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60288"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lang w:eastAsia="zh-CN"/>
        </w:rPr>
      </w:pPr>
    </w:p>
    <w:p>
      <w:pPr>
        <w:pStyle w:val="13"/>
        <w:rPr>
          <w:rFonts w:hint="eastAsia"/>
          <w:lang w:eastAsia="zh-CN"/>
        </w:rPr>
      </w:pPr>
    </w:p>
    <w:p>
      <w:pPr>
        <w:kinsoku w:val="0"/>
        <w:overflowPunct w:val="0"/>
        <w:ind w:right="17"/>
        <w:jc w:val="center"/>
        <w:outlineLvl w:val="9"/>
        <w:rPr>
          <w:rFonts w:hint="eastAsia" w:asciiTheme="minorEastAsia" w:hAnsiTheme="minorEastAsia" w:eastAsiaTheme="minorEastAsia" w:cstheme="minorEastAsia"/>
          <w:color w:val="auto"/>
          <w:sz w:val="28"/>
          <w:lang w:eastAsia="zh-CN"/>
        </w:rPr>
      </w:pPr>
      <w:r>
        <w:rPr>
          <w:rFonts w:hint="eastAsia" w:asciiTheme="minorEastAsia" w:hAnsiTheme="minorEastAsia" w:eastAsiaTheme="minorEastAsia" w:cstheme="minorEastAsia"/>
          <w:b/>
          <w:bCs/>
          <w:color w:val="FF0000"/>
          <w:sz w:val="28"/>
          <w:lang w:val="en-US" w:eastAsia="zh-CN"/>
        </w:rPr>
        <w:t xml:space="preserve"> </w:t>
      </w:r>
    </w:p>
    <w:p>
      <w:pPr>
        <w:pStyle w:val="13"/>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磋商</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3"/>
        <w:kinsoku w:val="0"/>
        <w:overflowPunct w:val="0"/>
        <w:rPr>
          <w:rFonts w:hint="eastAsia" w:asciiTheme="minorEastAsia" w:hAnsiTheme="minorEastAsia" w:eastAsiaTheme="minorEastAsia" w:cstheme="minorEastAsia"/>
          <w:color w:val="auto"/>
          <w:sz w:val="20"/>
        </w:rPr>
      </w:pPr>
    </w:p>
    <w:p>
      <w:pPr>
        <w:pStyle w:val="13"/>
        <w:kinsoku w:val="0"/>
        <w:overflowPunct w:val="0"/>
        <w:jc w:val="center"/>
        <w:rPr>
          <w:rFonts w:hint="eastAsia" w:asciiTheme="minorEastAsia" w:hAnsiTheme="minorEastAsia" w:eastAsiaTheme="minorEastAsia" w:cstheme="minorEastAsia"/>
          <w:color w:val="auto"/>
          <w:sz w:val="20"/>
        </w:rPr>
      </w:pPr>
    </w:p>
    <w:p>
      <w:pPr>
        <w:pStyle w:val="13"/>
        <w:kinsoku w:val="0"/>
        <w:overflowPunct w:val="0"/>
        <w:rPr>
          <w:rFonts w:hint="eastAsia" w:asciiTheme="minorEastAsia" w:hAnsiTheme="minorEastAsia" w:eastAsiaTheme="minorEastAsia" w:cstheme="minorEastAsia"/>
          <w:color w:val="auto"/>
          <w:sz w:val="20"/>
        </w:rPr>
      </w:pPr>
    </w:p>
    <w:p>
      <w:pPr>
        <w:pStyle w:val="13"/>
        <w:kinsoku w:val="0"/>
        <w:overflowPunct w:val="0"/>
        <w:rPr>
          <w:rFonts w:hint="eastAsia" w:asciiTheme="minorEastAsia" w:hAnsiTheme="minorEastAsia" w:eastAsiaTheme="minorEastAsia" w:cstheme="minorEastAsia"/>
          <w:color w:val="auto"/>
          <w:sz w:val="20"/>
        </w:rPr>
      </w:pPr>
    </w:p>
    <w:p>
      <w:pPr>
        <w:pStyle w:val="13"/>
        <w:kinsoku w:val="0"/>
        <w:overflowPunct w:val="0"/>
        <w:spacing w:before="2" w:after="1"/>
        <w:rPr>
          <w:rFonts w:hint="eastAsia" w:asciiTheme="minorEastAsia" w:hAnsiTheme="minorEastAsia" w:eastAsiaTheme="minorEastAsia" w:cstheme="minorEastAsia"/>
          <w:color w:val="auto"/>
          <w:sz w:val="11"/>
        </w:rPr>
      </w:pPr>
    </w:p>
    <w:tbl>
      <w:tblPr>
        <w:tblStyle w:val="30"/>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9"/>
              <w:kinsoku w:val="0"/>
              <w:overflowPunct w:val="0"/>
              <w:spacing w:line="320"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lang w:val="en-US" w:eastAsia="zh-CN"/>
              </w:rPr>
              <w:t>预算</w:t>
            </w:r>
            <w:r>
              <w:rPr>
                <w:rFonts w:hint="eastAsia" w:asciiTheme="minorEastAsia" w:hAnsiTheme="minorEastAsia" w:eastAsiaTheme="minorEastAsia" w:cstheme="minorEastAsia"/>
                <w:b/>
                <w:color w:val="auto"/>
                <w:sz w:val="28"/>
              </w:rPr>
              <w:t>执行</w:t>
            </w:r>
            <w:r>
              <w:rPr>
                <w:rFonts w:hint="eastAsia" w:asciiTheme="minorEastAsia" w:hAnsiTheme="minorEastAsia" w:eastAsiaTheme="minorEastAsia" w:cstheme="minorEastAsia"/>
                <w:b/>
                <w:color w:val="auto"/>
                <w:sz w:val="28"/>
                <w:lang w:val="en-US" w:eastAsia="zh-CN"/>
              </w:rPr>
              <w:t>计划</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9"/>
              <w:kinsoku w:val="0"/>
              <w:overflowPunct w:val="0"/>
              <w:spacing w:line="320" w:lineRule="exact"/>
              <w:ind w:left="55"/>
              <w:jc w:val="both"/>
              <w:rPr>
                <w:rFonts w:hint="eastAsia" w:asciiTheme="minorEastAsia" w:hAnsiTheme="minorEastAsia" w:eastAsiaTheme="minorEastAsia" w:cstheme="minorEastAsia"/>
                <w:b/>
                <w:color w:val="auto"/>
                <w:sz w:val="28"/>
                <w:lang w:eastAsia="zh-CN"/>
              </w:rPr>
            </w:pPr>
            <w:r>
              <w:rPr>
                <w:rFonts w:hint="eastAsia" w:asciiTheme="minorEastAsia" w:hAnsiTheme="minorEastAsia" w:eastAsiaTheme="minorEastAsia" w:cstheme="minorEastAsia"/>
                <w:b/>
                <w:color w:val="auto"/>
                <w:sz w:val="2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9"/>
              <w:kinsoku w:val="0"/>
              <w:overflowPunct w:val="0"/>
              <w:spacing w:before="122"/>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center"/>
          </w:tcPr>
          <w:p>
            <w:pPr>
              <w:pStyle w:val="99"/>
              <w:kinsoku w:val="0"/>
              <w:overflowPunct w:val="0"/>
              <w:spacing w:before="122"/>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ZJZB-202201-106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9"/>
              <w:kinsoku w:val="0"/>
              <w:overflowPunct w:val="0"/>
              <w:spacing w:before="123"/>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053" w:type="dxa"/>
            <w:tcBorders>
              <w:top w:val="nil"/>
              <w:left w:val="nil"/>
              <w:bottom w:val="nil"/>
              <w:right w:val="nil"/>
              <w:tl2br w:val="nil"/>
              <w:tr2bl w:val="nil"/>
            </w:tcBorders>
            <w:vAlign w:val="center"/>
          </w:tcPr>
          <w:p>
            <w:pPr>
              <w:pStyle w:val="99"/>
              <w:kinsoku w:val="0"/>
              <w:overflowPunct w:val="0"/>
              <w:spacing w:before="123" w:line="242" w:lineRule="auto"/>
              <w:ind w:left="55" w:right="136"/>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武汉船舶职业技术学院学生拓展训练承训服务项目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9"/>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9"/>
              <w:kinsoku w:val="0"/>
              <w:overflowPunct w:val="0"/>
              <w:spacing w:before="122" w:line="299" w:lineRule="exact"/>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9"/>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center"/>
          </w:tcPr>
          <w:p>
            <w:pPr>
              <w:pStyle w:val="99"/>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服务</w:t>
            </w:r>
          </w:p>
        </w:tc>
      </w:tr>
    </w:tbl>
    <w:p>
      <w:pPr>
        <w:pStyle w:val="13"/>
        <w:kinsoku w:val="0"/>
        <w:overflowPunct w:val="0"/>
        <w:rPr>
          <w:rFonts w:hint="eastAsia" w:asciiTheme="minorEastAsia" w:hAnsiTheme="minorEastAsia" w:eastAsiaTheme="minorEastAsia" w:cstheme="minorEastAsia"/>
          <w:color w:val="auto"/>
          <w:sz w:val="20"/>
        </w:rPr>
      </w:pPr>
    </w:p>
    <w:p>
      <w:pPr>
        <w:pStyle w:val="13"/>
        <w:kinsoku w:val="0"/>
        <w:overflowPunct w:val="0"/>
        <w:rPr>
          <w:rFonts w:hint="eastAsia" w:asciiTheme="minorEastAsia" w:hAnsiTheme="minorEastAsia" w:eastAsiaTheme="minorEastAsia" w:cstheme="minorEastAsia"/>
          <w:color w:val="auto"/>
          <w:sz w:val="20"/>
        </w:rPr>
      </w:pPr>
    </w:p>
    <w:p>
      <w:pPr>
        <w:pStyle w:val="13"/>
        <w:kinsoku w:val="0"/>
        <w:overflowPunct w:val="0"/>
        <w:rPr>
          <w:rFonts w:hint="eastAsia" w:asciiTheme="minorEastAsia" w:hAnsiTheme="minorEastAsia" w:eastAsiaTheme="minorEastAsia" w:cstheme="minorEastAsia"/>
          <w:color w:val="auto"/>
          <w:sz w:val="20"/>
        </w:rPr>
      </w:pPr>
    </w:p>
    <w:p>
      <w:pPr>
        <w:pStyle w:val="13"/>
        <w:kinsoku w:val="0"/>
        <w:overflowPunct w:val="0"/>
        <w:rPr>
          <w:rFonts w:hint="eastAsia" w:asciiTheme="minorEastAsia" w:hAnsiTheme="minorEastAsia" w:eastAsiaTheme="minorEastAsia" w:cstheme="minorEastAsia"/>
          <w:color w:val="auto"/>
          <w:sz w:val="20"/>
        </w:rPr>
      </w:pPr>
    </w:p>
    <w:p>
      <w:pPr>
        <w:pStyle w:val="13"/>
        <w:kinsoku w:val="0"/>
        <w:overflowPunct w:val="0"/>
        <w:rPr>
          <w:rFonts w:hint="eastAsia" w:asciiTheme="minorEastAsia" w:hAnsiTheme="minorEastAsia" w:eastAsiaTheme="minorEastAsia" w:cstheme="minorEastAsia"/>
          <w:color w:val="auto"/>
          <w:sz w:val="20"/>
        </w:rPr>
      </w:pPr>
    </w:p>
    <w:p>
      <w:pPr>
        <w:pStyle w:val="13"/>
        <w:kinsoku w:val="0"/>
        <w:overflowPunct w:val="0"/>
        <w:rPr>
          <w:rFonts w:hint="eastAsia" w:asciiTheme="minorEastAsia" w:hAnsiTheme="minorEastAsia" w:eastAsiaTheme="minorEastAsia" w:cstheme="minorEastAsia"/>
          <w:color w:val="auto"/>
          <w:sz w:val="20"/>
        </w:rPr>
      </w:pPr>
    </w:p>
    <w:p>
      <w:pPr>
        <w:pStyle w:val="13"/>
        <w:kinsoku w:val="0"/>
        <w:overflowPunct w:val="0"/>
        <w:rPr>
          <w:rFonts w:hint="eastAsia" w:asciiTheme="minorEastAsia" w:hAnsiTheme="minorEastAsia" w:eastAsiaTheme="minorEastAsia" w:cstheme="minorEastAsia"/>
          <w:color w:val="auto"/>
          <w:sz w:val="20"/>
        </w:rPr>
      </w:pPr>
    </w:p>
    <w:p>
      <w:pPr>
        <w:pStyle w:val="13"/>
        <w:kinsoku w:val="0"/>
        <w:overflowPunct w:val="0"/>
        <w:spacing w:before="4"/>
        <w:rPr>
          <w:rFonts w:hint="eastAsia" w:asciiTheme="minorEastAsia" w:hAnsiTheme="minorEastAsia" w:eastAsiaTheme="minorEastAsia" w:cstheme="minorEastAsia"/>
          <w:color w:val="auto"/>
          <w:sz w:val="20"/>
        </w:rPr>
      </w:pPr>
    </w:p>
    <w:tbl>
      <w:tblPr>
        <w:tblStyle w:val="30"/>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9"/>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人：</w:t>
            </w:r>
          </w:p>
        </w:tc>
        <w:tc>
          <w:tcPr>
            <w:tcW w:w="6082" w:type="dxa"/>
            <w:tcBorders>
              <w:top w:val="nil"/>
              <w:left w:val="nil"/>
              <w:bottom w:val="nil"/>
              <w:right w:val="nil"/>
              <w:tl2br w:val="nil"/>
              <w:tr2bl w:val="nil"/>
            </w:tcBorders>
            <w:vAlign w:val="center"/>
          </w:tcPr>
          <w:p>
            <w:pPr>
              <w:pStyle w:val="99"/>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rPr>
              <w:t>武汉船舶职业技术学院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9"/>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采购代理机构：</w:t>
            </w:r>
          </w:p>
        </w:tc>
        <w:tc>
          <w:tcPr>
            <w:tcW w:w="6082" w:type="dxa"/>
            <w:tcBorders>
              <w:top w:val="nil"/>
              <w:left w:val="nil"/>
              <w:bottom w:val="nil"/>
              <w:right w:val="nil"/>
              <w:tl2br w:val="nil"/>
              <w:tr2bl w:val="nil"/>
            </w:tcBorders>
            <w:vAlign w:val="center"/>
          </w:tcPr>
          <w:p>
            <w:pPr>
              <w:pStyle w:val="99"/>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9"/>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编 制 时 间 ：</w:t>
            </w:r>
          </w:p>
        </w:tc>
        <w:tc>
          <w:tcPr>
            <w:tcW w:w="6082" w:type="dxa"/>
            <w:tcBorders>
              <w:top w:val="nil"/>
              <w:left w:val="nil"/>
              <w:bottom w:val="nil"/>
              <w:right w:val="nil"/>
              <w:tl2br w:val="nil"/>
              <w:tr2bl w:val="nil"/>
            </w:tcBorders>
            <w:vAlign w:val="center"/>
          </w:tcPr>
          <w:p>
            <w:pPr>
              <w:pStyle w:val="99"/>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2022年01月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目  录</w:t>
      </w:r>
    </w:p>
    <w:p>
      <w:pPr>
        <w:pStyle w:val="21"/>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TOC \o "1-3" \h \z \u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_Toc6363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rPr>
        <w:t xml:space="preserve">第一章 </w:t>
      </w:r>
      <w:r>
        <w:rPr>
          <w:rFonts w:hint="eastAsia" w:asciiTheme="minorEastAsia" w:hAnsiTheme="minorEastAsia" w:eastAsiaTheme="minorEastAsia" w:cstheme="minorEastAsia"/>
          <w:sz w:val="21"/>
          <w:szCs w:val="21"/>
        </w:rPr>
        <w:t>竞争性磋商公告</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_Toc6363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_Toc6475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一、 项目基本情况</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_Toc6475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_Toc17986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二、 申请人的资格要求</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_Toc17986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_Toc25596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三、 获取</w:t>
      </w:r>
      <w:r>
        <w:rPr>
          <w:rFonts w:hint="eastAsia" w:asciiTheme="minorEastAsia" w:hAnsiTheme="minorEastAsia" w:eastAsiaTheme="minorEastAsia" w:cstheme="minorEastAsia"/>
          <w:sz w:val="21"/>
          <w:szCs w:val="21"/>
          <w:lang w:eastAsia="zh-CN"/>
        </w:rPr>
        <w:t>采购</w:t>
      </w:r>
      <w:r>
        <w:rPr>
          <w:rFonts w:hint="eastAsia" w:asciiTheme="minorEastAsia" w:hAnsiTheme="minorEastAsia" w:eastAsiaTheme="minorEastAsia" w:cstheme="minorEastAsia"/>
          <w:sz w:val="21"/>
          <w:szCs w:val="21"/>
        </w:rPr>
        <w:t>文件</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_Toc25596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_Toc20123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xml:space="preserve">四、 </w:t>
      </w:r>
      <w:r>
        <w:rPr>
          <w:rFonts w:hint="eastAsia" w:asciiTheme="minorEastAsia" w:hAnsiTheme="minorEastAsia" w:eastAsiaTheme="minorEastAsia" w:cstheme="minorEastAsia"/>
          <w:sz w:val="21"/>
          <w:szCs w:val="21"/>
          <w:lang w:eastAsia="zh-CN"/>
        </w:rPr>
        <w:t>响应文件提交</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_Toc20123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_Toc28228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eastAsia="zh-CN"/>
        </w:rPr>
        <w:t>五、 开启</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_Toc28228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_Toc12264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六、 公告期限</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_Toc12264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_Toc2961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七、 其他补充事宜</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_Toc2961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_Toc20355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八、 凡对本次采购提出询问，请按以下方式联系</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_Toc20355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_Toc5336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九、 注意事项</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_Toc5336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1"/>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_Toc3981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第二章 供应商须知</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_Toc3981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9</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_Toc1221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《供应商须知前附表》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_Toc1221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9</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_Toc25796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供应商须知</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_Toc25796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_Toc30402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一、 总则</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_Toc30402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_Toc6153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 适用法律及范围</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_Toc6153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_Toc9947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 定义</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_Toc9947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_Toc31012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xml:space="preserve">3、 </w:t>
      </w:r>
      <w:r>
        <w:rPr>
          <w:rFonts w:hint="eastAsia" w:asciiTheme="minorEastAsia" w:hAnsiTheme="minorEastAsia" w:eastAsiaTheme="minorEastAsia" w:cstheme="minorEastAsia"/>
          <w:snapToGrid w:val="0"/>
          <w:kern w:val="0"/>
          <w:sz w:val="21"/>
          <w:szCs w:val="21"/>
          <w:lang w:val="zh-CN"/>
        </w:rPr>
        <w:t>工程、货物及服务</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_Toc31012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_Toc16894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 费用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_Toc16894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_Toc13439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二、 竞争性磋商采购文件</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_Toc13439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_Toc4412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 竞争性磋商采购文件的构成</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_Toc4412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_Toc19446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napToGrid w:val="0"/>
          <w:kern w:val="0"/>
          <w:sz w:val="21"/>
          <w:szCs w:val="21"/>
          <w:lang w:val="zh-CN"/>
        </w:rPr>
        <w:t>6、 竞争性磋商采购文件的澄清</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_Toc19446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_Toc8166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napToGrid w:val="0"/>
          <w:kern w:val="0"/>
          <w:sz w:val="21"/>
          <w:szCs w:val="21"/>
          <w:lang w:val="zh-CN"/>
        </w:rPr>
        <w:t>7、 竞争性磋商采购文件的修改</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_Toc8166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15</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_Toc29421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三、 竞争性磋商响应文件</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_Toc29421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15</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_Toc15295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napToGrid w:val="0"/>
          <w:kern w:val="0"/>
          <w:sz w:val="21"/>
          <w:szCs w:val="21"/>
          <w:lang w:val="zh-CN"/>
        </w:rPr>
        <w:t>8、 语言和计量单位</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_Toc15295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15</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_Toc20553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napToGrid w:val="0"/>
          <w:kern w:val="0"/>
          <w:sz w:val="21"/>
          <w:szCs w:val="21"/>
          <w:lang w:val="zh-CN"/>
        </w:rPr>
        <w:t>9、 竞争性磋商响应文件的构成</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_Toc20553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15</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_Toc26524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napToGrid w:val="0"/>
          <w:kern w:val="0"/>
          <w:sz w:val="21"/>
          <w:szCs w:val="21"/>
          <w:lang w:val="zh-CN"/>
        </w:rPr>
        <w:t>10、 竞争性磋商响应文件的编制</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_Toc26524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15</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_Toc32001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napToGrid w:val="0"/>
          <w:kern w:val="0"/>
          <w:sz w:val="21"/>
          <w:szCs w:val="21"/>
          <w:lang w:val="zh-CN"/>
        </w:rPr>
        <w:t>11、 磋商报价</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_Toc32001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_Toc23591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napToGrid w:val="0"/>
          <w:kern w:val="0"/>
          <w:sz w:val="21"/>
          <w:szCs w:val="21"/>
          <w:lang w:val="zh-CN"/>
        </w:rPr>
        <w:t>12、 备选方案</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_Toc23591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_Toc3168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napToGrid w:val="0"/>
          <w:kern w:val="0"/>
          <w:sz w:val="21"/>
          <w:szCs w:val="21"/>
          <w:lang w:val="zh-CN"/>
        </w:rPr>
        <w:t>13、 联合体</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_Toc3168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_Toc20391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napToGrid w:val="0"/>
          <w:kern w:val="0"/>
          <w:sz w:val="21"/>
          <w:szCs w:val="21"/>
          <w:lang w:val="zh-CN"/>
        </w:rPr>
        <w:t>14、 供应商资格证明文件</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_Toc20391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_Toc4911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napToGrid w:val="0"/>
          <w:kern w:val="0"/>
          <w:sz w:val="21"/>
          <w:szCs w:val="21"/>
          <w:lang w:val="zh-CN"/>
        </w:rPr>
        <w:t>15、 证明报价内容、服务合格性和符合竞争性磋商采购文件规定的文件</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_Toc4911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17</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_Toc17646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napToGrid w:val="0"/>
          <w:kern w:val="0"/>
          <w:sz w:val="21"/>
          <w:szCs w:val="21"/>
          <w:lang w:val="zh-CN"/>
        </w:rPr>
        <w:t>16、 磋商保证金</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_Toc17646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17</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_Toc3426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napToGrid w:val="0"/>
          <w:kern w:val="0"/>
          <w:sz w:val="21"/>
          <w:szCs w:val="21"/>
          <w:lang w:val="zh-CN"/>
        </w:rPr>
        <w:t>17、 磋商有效期</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_Toc3426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17</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_Toc25313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napToGrid w:val="0"/>
          <w:kern w:val="0"/>
          <w:sz w:val="21"/>
          <w:szCs w:val="21"/>
          <w:lang w:val="zh-CN"/>
        </w:rPr>
        <w:t>18、 竞争性磋商响应文件的装订、签署和数量</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_Toc25313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18</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_Toc15872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四、 竞争性磋商响应文件的递交</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_Toc15872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18</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_Toc8513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napToGrid w:val="0"/>
          <w:kern w:val="0"/>
          <w:sz w:val="21"/>
          <w:szCs w:val="21"/>
          <w:lang w:val="zh-CN"/>
        </w:rPr>
        <w:t xml:space="preserve">19、 </w:t>
      </w:r>
      <w:r>
        <w:rPr>
          <w:rFonts w:hint="eastAsia" w:asciiTheme="minorEastAsia" w:hAnsiTheme="minorEastAsia" w:eastAsiaTheme="minorEastAsia" w:cstheme="minorEastAsia"/>
          <w:sz w:val="21"/>
          <w:szCs w:val="21"/>
        </w:rPr>
        <w:t>竞争性磋商响应文件</w:t>
      </w:r>
      <w:r>
        <w:rPr>
          <w:rFonts w:hint="eastAsia" w:asciiTheme="minorEastAsia" w:hAnsiTheme="minorEastAsia" w:eastAsiaTheme="minorEastAsia" w:cstheme="minorEastAsia"/>
          <w:snapToGrid w:val="0"/>
          <w:kern w:val="0"/>
          <w:sz w:val="21"/>
          <w:szCs w:val="21"/>
          <w:lang w:val="zh-CN"/>
        </w:rPr>
        <w:t>的密封和标记</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_Toc8513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18</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_Toc17235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napToGrid w:val="0"/>
          <w:kern w:val="0"/>
          <w:sz w:val="21"/>
          <w:szCs w:val="21"/>
          <w:lang w:val="zh-CN"/>
        </w:rPr>
        <w:t>20、 竞争性磋商响应文件的送达地点及截止时间</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_Toc17235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19</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_Toc15504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napToGrid w:val="0"/>
          <w:kern w:val="0"/>
          <w:sz w:val="21"/>
          <w:szCs w:val="21"/>
          <w:lang w:val="zh-CN"/>
        </w:rPr>
        <w:t>21、 迟交的竞争性磋商响应文件</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_Toc15504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19</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_Toc10669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napToGrid w:val="0"/>
          <w:kern w:val="0"/>
          <w:sz w:val="21"/>
          <w:szCs w:val="21"/>
          <w:lang w:val="zh-CN"/>
        </w:rPr>
        <w:t>22、 竞争性磋商响应文件的补充、修改或者撤回</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_Toc10669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19</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_Toc12875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五、 磋商程序及步骤</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_Toc12875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19</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_Toc22851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napToGrid w:val="0"/>
          <w:kern w:val="0"/>
          <w:sz w:val="21"/>
          <w:szCs w:val="21"/>
          <w:lang w:val="zh-CN"/>
        </w:rPr>
        <w:t xml:space="preserve">23、 </w:t>
      </w:r>
      <w:r>
        <w:rPr>
          <w:rFonts w:hint="eastAsia" w:asciiTheme="minorEastAsia" w:hAnsiTheme="minorEastAsia" w:eastAsiaTheme="minorEastAsia" w:cstheme="minorEastAsia"/>
          <w:sz w:val="21"/>
          <w:szCs w:val="21"/>
        </w:rPr>
        <w:t>竞争性磋商小组</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_Toc22851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19</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_Toc20435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napToGrid w:val="0"/>
          <w:kern w:val="0"/>
          <w:sz w:val="21"/>
          <w:szCs w:val="21"/>
          <w:lang w:val="zh-CN"/>
        </w:rPr>
        <w:t xml:space="preserve">24、 </w:t>
      </w:r>
      <w:r>
        <w:rPr>
          <w:rFonts w:hint="eastAsia" w:asciiTheme="minorEastAsia" w:hAnsiTheme="minorEastAsia" w:eastAsiaTheme="minorEastAsia" w:cstheme="minorEastAsia"/>
          <w:sz w:val="21"/>
          <w:szCs w:val="21"/>
        </w:rPr>
        <w:t>磋商代表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_Toc20435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19</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_Toc24556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25、 资格审查和符合性审查</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_Toc24556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19</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_Toc29110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26、 磋商</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_Toc29110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20</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_Toc24005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zh-CN"/>
        </w:rPr>
        <w:t>27、 保密</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_Toc24005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_Toc15936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六、 成交与签订合同</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_Toc15936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_Toc21514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zh-CN"/>
        </w:rPr>
        <w:t>28、 合同授予标准</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_Toc21514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_Toc15727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zh-CN"/>
        </w:rPr>
        <w:t>29、 签订合同</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_Toc15727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_Toc20387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zh-CN"/>
        </w:rPr>
        <w:t>31、 质疑回复</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_Toc20387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_Toc459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zh-CN"/>
        </w:rPr>
        <w:t>32、 投诉</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_Toc459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_Toc30010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zh-CN"/>
        </w:rPr>
        <w:t>八、 政策</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_Toc30010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_Toc28842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33、 政府采购政策</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_Toc28842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_Toc25296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zh-CN"/>
        </w:rPr>
        <w:t>九、 其他要求</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_Toc25296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_Toc28137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zh-CN"/>
        </w:rPr>
        <w:t>十、 适用法律</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_Toc28137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1"/>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_Toc15149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xml:space="preserve">第三章 </w:t>
      </w:r>
      <w:r>
        <w:rPr>
          <w:rFonts w:hint="eastAsia" w:asciiTheme="minorEastAsia" w:hAnsiTheme="minorEastAsia" w:eastAsiaTheme="minorEastAsia" w:cstheme="minorEastAsia"/>
          <w:bCs/>
          <w:sz w:val="21"/>
          <w:szCs w:val="21"/>
        </w:rPr>
        <w:t>采购需求</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_Toc15149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_Toc3623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lang w:val="en-US" w:eastAsia="zh-CN"/>
        </w:rPr>
        <w:t>一、技术需求</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_Toc3623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_Toc4510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lang w:val="en-US" w:eastAsia="zh-CN"/>
        </w:rPr>
        <w:t>二、商务需求</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_Toc4510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29</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1"/>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_Toc24802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xml:space="preserve">第四章 </w:t>
      </w:r>
      <w:r>
        <w:rPr>
          <w:rFonts w:hint="eastAsia" w:asciiTheme="minorEastAsia" w:hAnsiTheme="minorEastAsia" w:eastAsiaTheme="minorEastAsia" w:cstheme="minorEastAsia"/>
          <w:sz w:val="21"/>
          <w:szCs w:val="21"/>
          <w:lang w:val="en-US" w:eastAsia="zh-CN"/>
        </w:rPr>
        <w:t>竞争性磋商采购</w:t>
      </w:r>
      <w:r>
        <w:rPr>
          <w:rFonts w:hint="eastAsia" w:asciiTheme="minorEastAsia" w:hAnsiTheme="minorEastAsia" w:eastAsiaTheme="minorEastAsia" w:cstheme="minorEastAsia"/>
          <w:sz w:val="21"/>
          <w:szCs w:val="21"/>
        </w:rPr>
        <w:t>评定办法</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_Toc24802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30</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_Toc24499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一、</w:t>
      </w:r>
      <w:r>
        <w:rPr>
          <w:rFonts w:hint="eastAsia" w:asciiTheme="minorEastAsia" w:hAnsiTheme="minorEastAsia" w:eastAsiaTheme="minorEastAsia" w:cstheme="minorEastAsia"/>
          <w:sz w:val="21"/>
          <w:szCs w:val="21"/>
        </w:rPr>
        <w:t>评定办法前附表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_Toc24499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30</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_Toc20017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二、</w:t>
      </w:r>
      <w:r>
        <w:rPr>
          <w:rFonts w:hint="eastAsia" w:asciiTheme="minorEastAsia" w:hAnsiTheme="minorEastAsia" w:eastAsiaTheme="minorEastAsia" w:cstheme="minorEastAsia"/>
          <w:sz w:val="21"/>
          <w:szCs w:val="21"/>
        </w:rPr>
        <w:t>计算办法</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_Toc20017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33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_Toc5844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三、</w:t>
      </w:r>
      <w:r>
        <w:rPr>
          <w:rFonts w:hint="eastAsia" w:asciiTheme="minorEastAsia" w:hAnsiTheme="minorEastAsia" w:eastAsiaTheme="minorEastAsia" w:cstheme="minorEastAsia"/>
          <w:sz w:val="21"/>
          <w:szCs w:val="21"/>
        </w:rPr>
        <w:t>评分细则</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_Toc5844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34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_Toc16832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四、</w:t>
      </w:r>
      <w:r>
        <w:rPr>
          <w:rFonts w:hint="eastAsia" w:asciiTheme="minorEastAsia" w:hAnsiTheme="minorEastAsia" w:eastAsiaTheme="minorEastAsia" w:cstheme="minorEastAsia"/>
          <w:sz w:val="21"/>
          <w:szCs w:val="21"/>
        </w:rPr>
        <w:t>评定办法</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_Toc16832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36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_Toc12017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五、磋商及评审步骤</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_Toc12017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38</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1"/>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_Toc26676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kern w:val="0"/>
          <w:sz w:val="21"/>
          <w:szCs w:val="21"/>
        </w:rPr>
        <w:t xml:space="preserve">第五章 </w:t>
      </w:r>
      <w:r>
        <w:rPr>
          <w:rFonts w:hint="eastAsia" w:asciiTheme="minorEastAsia" w:hAnsiTheme="minorEastAsia" w:eastAsiaTheme="minorEastAsia" w:cstheme="minorEastAsia"/>
          <w:sz w:val="21"/>
          <w:szCs w:val="21"/>
        </w:rPr>
        <w:t>合同书</w:t>
      </w:r>
      <w:r>
        <w:rPr>
          <w:rFonts w:hint="eastAsia" w:asciiTheme="minorEastAsia" w:hAnsiTheme="minorEastAsia" w:eastAsiaTheme="minorEastAsia" w:cstheme="minorEastAsia"/>
          <w:sz w:val="21"/>
          <w:szCs w:val="21"/>
          <w:lang w:val="en-US" w:eastAsia="zh-CN"/>
        </w:rPr>
        <w:t>格式</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_Toc26676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40</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1"/>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_Toc6614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第六章 竞争性磋商响应文件格式</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_Toc6614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40</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_Toc3298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一</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评分标准索引表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_Toc3298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_Toc31578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二</w:t>
      </w:r>
      <w:r>
        <w:rPr>
          <w:rFonts w:hint="eastAsia" w:asciiTheme="minorEastAsia" w:hAnsiTheme="minorEastAsia" w:eastAsiaTheme="minorEastAsia" w:cstheme="minorEastAsia"/>
          <w:sz w:val="21"/>
          <w:szCs w:val="21"/>
        </w:rPr>
        <w:t>、磋商书</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_Toc31578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_Toc31434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三</w:t>
      </w:r>
      <w:r>
        <w:rPr>
          <w:rFonts w:hint="eastAsia" w:asciiTheme="minorEastAsia" w:hAnsiTheme="minorEastAsia" w:eastAsiaTheme="minorEastAsia" w:cstheme="minorEastAsia"/>
          <w:sz w:val="21"/>
          <w:szCs w:val="21"/>
        </w:rPr>
        <w:t>、法定代表人授权书</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_Toc31434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45</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_Toc30428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kern w:val="0"/>
          <w:sz w:val="21"/>
          <w:szCs w:val="21"/>
          <w:lang w:val="en-US" w:eastAsia="zh-CN"/>
        </w:rPr>
        <w:t>四</w:t>
      </w:r>
      <w:r>
        <w:rPr>
          <w:rFonts w:hint="eastAsia" w:asciiTheme="minorEastAsia" w:hAnsiTheme="minorEastAsia" w:eastAsiaTheme="minorEastAsia" w:cstheme="minorEastAsia"/>
          <w:bCs/>
          <w:kern w:val="0"/>
          <w:sz w:val="21"/>
          <w:szCs w:val="21"/>
        </w:rPr>
        <w:t>、</w:t>
      </w:r>
      <w:r>
        <w:rPr>
          <w:rFonts w:hint="eastAsia" w:asciiTheme="minorEastAsia" w:hAnsiTheme="minorEastAsia" w:eastAsiaTheme="minorEastAsia" w:cstheme="minorEastAsia"/>
          <w:bCs/>
          <w:sz w:val="21"/>
          <w:szCs w:val="21"/>
        </w:rPr>
        <w:t>法定代表人身份证明书</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_Toc30428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_Toc17074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lang w:val="en-US" w:eastAsia="zh-CN"/>
        </w:rPr>
        <w:t>五</w:t>
      </w:r>
      <w:r>
        <w:rPr>
          <w:rFonts w:hint="eastAsia" w:asciiTheme="minorEastAsia" w:hAnsiTheme="minorEastAsia" w:eastAsiaTheme="minorEastAsia" w:cstheme="minorEastAsia"/>
          <w:bCs/>
          <w:sz w:val="21"/>
          <w:szCs w:val="21"/>
        </w:rPr>
        <w:t>、报价一览表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_Toc17074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47</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_Toc20867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lang w:val="en-US" w:eastAsia="zh-CN"/>
        </w:rPr>
        <w:t>六</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eastAsia="zh-CN"/>
        </w:rPr>
        <w:t>报价费用构成表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_Toc20867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48</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_Toc30408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lang w:val="en-US" w:eastAsia="zh-CN"/>
        </w:rPr>
        <w:t>七</w:t>
      </w:r>
      <w:r>
        <w:rPr>
          <w:rFonts w:hint="eastAsia" w:asciiTheme="minorEastAsia" w:hAnsiTheme="minorEastAsia" w:eastAsiaTheme="minorEastAsia" w:cstheme="minorEastAsia"/>
          <w:bCs/>
          <w:sz w:val="21"/>
          <w:szCs w:val="21"/>
        </w:rPr>
        <w:t>、耗材清单（如有）</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_Toc30408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49</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_Toc22463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lang w:val="en-US" w:eastAsia="zh-CN"/>
        </w:rPr>
        <w:t>八、拟投入设备/备件、工具情况（如有）</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_Toc22463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50</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_Toc12473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lang w:val="en-US" w:eastAsia="zh-CN"/>
        </w:rPr>
        <w:t>九</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eastAsia="zh-CN"/>
        </w:rPr>
        <w:t>缴纳</w:t>
      </w:r>
      <w:r>
        <w:rPr>
          <w:rFonts w:hint="eastAsia" w:asciiTheme="minorEastAsia" w:hAnsiTheme="minorEastAsia" w:eastAsiaTheme="minorEastAsia" w:cstheme="minorEastAsia"/>
          <w:bCs/>
          <w:sz w:val="21"/>
          <w:szCs w:val="21"/>
        </w:rPr>
        <w:t>保证金的银行凭证</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lang w:val="en-US" w:eastAsia="zh-CN"/>
        </w:rPr>
        <w:t>如有</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_Toc12473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_Toc10142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lang w:val="en-US" w:eastAsia="zh-CN"/>
        </w:rPr>
        <w:t>十</w:t>
      </w:r>
      <w:r>
        <w:rPr>
          <w:rFonts w:hint="eastAsia" w:asciiTheme="minorEastAsia" w:hAnsiTheme="minorEastAsia" w:eastAsiaTheme="minorEastAsia" w:cstheme="minorEastAsia"/>
          <w:bCs/>
          <w:sz w:val="21"/>
          <w:szCs w:val="21"/>
        </w:rPr>
        <w:t>、偏离说明表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_Toc10142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52</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_Toc7457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kern w:val="0"/>
          <w:sz w:val="21"/>
          <w:szCs w:val="21"/>
        </w:rPr>
        <w:t>十</w:t>
      </w:r>
      <w:r>
        <w:rPr>
          <w:rFonts w:hint="eastAsia" w:asciiTheme="minorEastAsia" w:hAnsiTheme="minorEastAsia" w:eastAsiaTheme="minorEastAsia" w:cstheme="minorEastAsia"/>
          <w:kern w:val="0"/>
          <w:sz w:val="21"/>
          <w:szCs w:val="21"/>
          <w:lang w:eastAsia="zh-CN"/>
        </w:rPr>
        <w:t>一</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Cs/>
          <w:sz w:val="21"/>
          <w:szCs w:val="21"/>
        </w:rPr>
        <w:t xml:space="preserve">类似业绩一览表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_Toc7457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_Toc20207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rPr>
        <w:t>十</w:t>
      </w:r>
      <w:r>
        <w:rPr>
          <w:rFonts w:hint="eastAsia" w:asciiTheme="minorEastAsia" w:hAnsiTheme="minorEastAsia" w:eastAsiaTheme="minorEastAsia" w:cstheme="minorEastAsia"/>
          <w:bCs/>
          <w:sz w:val="21"/>
          <w:szCs w:val="21"/>
          <w:lang w:val="en-US" w:eastAsia="zh-CN"/>
        </w:rPr>
        <w:t>二</w:t>
      </w:r>
      <w:r>
        <w:rPr>
          <w:rFonts w:hint="eastAsia" w:asciiTheme="minorEastAsia" w:hAnsiTheme="minorEastAsia" w:eastAsiaTheme="minorEastAsia" w:cstheme="minorEastAsia"/>
          <w:bCs/>
          <w:sz w:val="21"/>
          <w:szCs w:val="21"/>
        </w:rPr>
        <w:t>、拟投入项目组人员一览表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_Toc20207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_Toc24501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kern w:val="0"/>
          <w:sz w:val="21"/>
          <w:szCs w:val="21"/>
        </w:rPr>
        <w:t>十</w:t>
      </w:r>
      <w:r>
        <w:rPr>
          <w:rFonts w:hint="eastAsia" w:asciiTheme="minorEastAsia" w:hAnsiTheme="minorEastAsia" w:eastAsiaTheme="minorEastAsia" w:cstheme="minorEastAsia"/>
          <w:bCs/>
          <w:kern w:val="0"/>
          <w:sz w:val="21"/>
          <w:szCs w:val="21"/>
          <w:lang w:val="en-US" w:eastAsia="zh-CN"/>
        </w:rPr>
        <w:t>三</w:t>
      </w:r>
      <w:r>
        <w:rPr>
          <w:rFonts w:hint="eastAsia" w:asciiTheme="minorEastAsia" w:hAnsiTheme="minorEastAsia" w:eastAsiaTheme="minorEastAsia" w:cstheme="minorEastAsia"/>
          <w:bCs/>
          <w:kern w:val="0"/>
          <w:sz w:val="21"/>
          <w:szCs w:val="21"/>
        </w:rPr>
        <w:t>、</w:t>
      </w:r>
      <w:r>
        <w:rPr>
          <w:rFonts w:hint="eastAsia" w:asciiTheme="minorEastAsia" w:hAnsiTheme="minorEastAsia" w:eastAsiaTheme="minorEastAsia" w:cstheme="minorEastAsia"/>
          <w:bCs/>
          <w:sz w:val="21"/>
          <w:szCs w:val="21"/>
        </w:rPr>
        <w:t>供应商的资格声明</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_Toc24501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55</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_Toc25412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kern w:val="0"/>
          <w:sz w:val="21"/>
          <w:szCs w:val="21"/>
        </w:rPr>
        <w:t>十</w:t>
      </w:r>
      <w:r>
        <w:rPr>
          <w:rFonts w:hint="eastAsia" w:asciiTheme="minorEastAsia" w:hAnsiTheme="minorEastAsia" w:eastAsiaTheme="minorEastAsia" w:cstheme="minorEastAsia"/>
          <w:bCs/>
          <w:kern w:val="0"/>
          <w:sz w:val="21"/>
          <w:szCs w:val="21"/>
          <w:lang w:val="en-US" w:eastAsia="zh-CN"/>
        </w:rPr>
        <w:t>四</w:t>
      </w:r>
      <w:r>
        <w:rPr>
          <w:rFonts w:hint="eastAsia" w:asciiTheme="minorEastAsia" w:hAnsiTheme="minorEastAsia" w:eastAsiaTheme="minorEastAsia" w:cstheme="minorEastAsia"/>
          <w:bCs/>
          <w:kern w:val="0"/>
          <w:sz w:val="21"/>
          <w:szCs w:val="21"/>
        </w:rPr>
        <w:t>、</w:t>
      </w:r>
      <w:r>
        <w:rPr>
          <w:rFonts w:hint="eastAsia" w:asciiTheme="minorEastAsia" w:hAnsiTheme="minorEastAsia" w:eastAsiaTheme="minorEastAsia" w:cstheme="minorEastAsia"/>
          <w:bCs/>
          <w:sz w:val="21"/>
          <w:szCs w:val="21"/>
        </w:rPr>
        <w:t>资格证明文件</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_Toc25412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_Toc32162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kern w:val="0"/>
          <w:sz w:val="21"/>
          <w:szCs w:val="21"/>
          <w:lang w:val="en-US" w:eastAsia="zh-CN"/>
        </w:rPr>
        <w:t>十五、</w:t>
      </w:r>
      <w:r>
        <w:rPr>
          <w:rFonts w:hint="eastAsia" w:asciiTheme="minorEastAsia" w:hAnsiTheme="minorEastAsia" w:eastAsiaTheme="minorEastAsia" w:cstheme="minorEastAsia"/>
          <w:sz w:val="21"/>
          <w:szCs w:val="21"/>
        </w:rPr>
        <w:t>报价技术文件</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_Toc32162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57</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_Toc11098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十</w:t>
      </w:r>
      <w:r>
        <w:rPr>
          <w:rFonts w:hint="eastAsia" w:asciiTheme="minorEastAsia" w:hAnsiTheme="minorEastAsia" w:eastAsiaTheme="minorEastAsia" w:cstheme="minorEastAsia"/>
          <w:sz w:val="21"/>
          <w:szCs w:val="21"/>
          <w:lang w:val="en-US" w:eastAsia="zh-CN"/>
        </w:rPr>
        <w:t>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zh-CN"/>
        </w:rPr>
        <w:t>中小企业声明函（工程、服务）（若</w:t>
      </w:r>
      <w:r>
        <w:rPr>
          <w:rFonts w:hint="eastAsia" w:asciiTheme="minorEastAsia" w:hAnsiTheme="minorEastAsia" w:eastAsiaTheme="minorEastAsia" w:cstheme="minorEastAsia"/>
          <w:sz w:val="21"/>
          <w:szCs w:val="21"/>
          <w:lang w:val="en-US" w:eastAsia="zh-CN"/>
        </w:rPr>
        <w:t>符合</w:t>
      </w: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_Toc11098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58</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_Toc10220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pacing w:val="6"/>
          <w:sz w:val="21"/>
          <w:szCs w:val="21"/>
          <w:lang w:val="en-US" w:eastAsia="zh-CN"/>
        </w:rPr>
        <w:t>十七、</w:t>
      </w:r>
      <w:r>
        <w:rPr>
          <w:rFonts w:hint="eastAsia" w:asciiTheme="minorEastAsia" w:hAnsiTheme="minorEastAsia" w:eastAsiaTheme="minorEastAsia" w:cstheme="minorEastAsia"/>
          <w:bCs/>
          <w:sz w:val="21"/>
          <w:szCs w:val="21"/>
          <w:lang w:val="zh-CN"/>
        </w:rPr>
        <w:t>监狱企业证</w:t>
      </w:r>
      <w:r>
        <w:rPr>
          <w:rFonts w:hint="eastAsia" w:asciiTheme="minorEastAsia" w:hAnsiTheme="minorEastAsia" w:eastAsiaTheme="minorEastAsia" w:cstheme="minorEastAsia"/>
          <w:sz w:val="21"/>
          <w:szCs w:val="21"/>
          <w:lang w:val="zh-CN"/>
        </w:rPr>
        <w:t>明文</w:t>
      </w:r>
      <w:r>
        <w:rPr>
          <w:rFonts w:hint="eastAsia" w:asciiTheme="minorEastAsia" w:hAnsiTheme="minorEastAsia" w:eastAsiaTheme="minorEastAsia" w:cstheme="minorEastAsia"/>
          <w:sz w:val="21"/>
          <w:szCs w:val="21"/>
        </w:rPr>
        <w:t>件</w:t>
      </w:r>
      <w:r>
        <w:rPr>
          <w:rFonts w:hint="eastAsia" w:asciiTheme="minorEastAsia" w:hAnsiTheme="minorEastAsia" w:eastAsiaTheme="minorEastAsia" w:cstheme="minorEastAsia"/>
          <w:sz w:val="21"/>
          <w:szCs w:val="21"/>
          <w:lang w:val="zh-CN"/>
        </w:rPr>
        <w:t>（若</w:t>
      </w:r>
      <w:r>
        <w:rPr>
          <w:rFonts w:hint="eastAsia" w:asciiTheme="minorEastAsia" w:hAnsiTheme="minorEastAsia" w:eastAsiaTheme="minorEastAsia" w:cstheme="minorEastAsia"/>
          <w:sz w:val="21"/>
          <w:szCs w:val="21"/>
          <w:lang w:val="en-US" w:eastAsia="zh-CN"/>
        </w:rPr>
        <w:t>符合</w:t>
      </w: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_Toc10220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59</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_Toc27762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十八</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zh-CN"/>
        </w:rPr>
        <w:t>残疾人福利性单位声明函（若</w:t>
      </w:r>
      <w:r>
        <w:rPr>
          <w:rFonts w:hint="eastAsia" w:asciiTheme="minorEastAsia" w:hAnsiTheme="minorEastAsia" w:eastAsiaTheme="minorEastAsia" w:cstheme="minorEastAsia"/>
          <w:sz w:val="21"/>
          <w:szCs w:val="21"/>
          <w:lang w:val="en-US" w:eastAsia="zh-CN"/>
        </w:rPr>
        <w:t>符合</w:t>
      </w: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_Toc27762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60</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_Toc19935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十九、节能环保产品证明材料（若符合）</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_Toc19935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61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_Toc17296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pacing w:val="6"/>
          <w:sz w:val="21"/>
          <w:szCs w:val="21"/>
          <w:lang w:val="en-US" w:eastAsia="zh-CN"/>
        </w:rPr>
        <w:t>二十</w:t>
      </w:r>
      <w:r>
        <w:rPr>
          <w:rFonts w:hint="eastAsia" w:asciiTheme="minorEastAsia" w:hAnsiTheme="minorEastAsia" w:eastAsiaTheme="minorEastAsia" w:cstheme="minorEastAsia"/>
          <w:bCs/>
          <w:spacing w:val="6"/>
          <w:sz w:val="21"/>
          <w:szCs w:val="21"/>
        </w:rPr>
        <w:t>、</w:t>
      </w:r>
      <w:r>
        <w:rPr>
          <w:rFonts w:hint="eastAsia" w:asciiTheme="minorEastAsia" w:hAnsiTheme="minorEastAsia" w:eastAsiaTheme="minorEastAsia" w:cstheme="minorEastAsia"/>
          <w:sz w:val="21"/>
          <w:szCs w:val="21"/>
        </w:rPr>
        <w:t>无重大违法记录声明</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_Toc17296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62</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23"/>
        <w:tabs>
          <w:tab w:val="right" w:leader="dot" w:pos="9072"/>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_Toc24513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pacing w:val="6"/>
          <w:sz w:val="21"/>
          <w:szCs w:val="21"/>
          <w:lang w:val="en-US" w:eastAsia="zh-CN"/>
        </w:rPr>
        <w:t xml:space="preserve">二十一、磋商供应商认为应该提交的其它文件（格式自拟）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_Toc24513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62</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sz w:val="21"/>
          <w:szCs w:val="21"/>
        </w:rPr>
        <w:fldChar w:fldCharType="end"/>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numPr>
          <w:ilvl w:val="0"/>
          <w:numId w:val="5"/>
        </w:numPr>
        <w:spacing w:line="360" w:lineRule="auto"/>
        <w:jc w:val="center"/>
        <w:outlineLvl w:val="0"/>
        <w:rPr>
          <w:rFonts w:hint="eastAsia"/>
          <w:b/>
          <w:bCs/>
          <w:sz w:val="24"/>
          <w:szCs w:val="24"/>
        </w:rPr>
      </w:pPr>
      <w:bookmarkStart w:id="0" w:name="_Toc6363"/>
      <w:bookmarkStart w:id="1" w:name="_Toc6866"/>
      <w:r>
        <w:rPr>
          <w:rFonts w:hint="eastAsia" w:ascii="宋体" w:hAnsi="宋体" w:cs="宋体"/>
          <w:b/>
          <w:sz w:val="36"/>
          <w:szCs w:val="36"/>
        </w:rPr>
        <w:t>竞争性磋商公告</w:t>
      </w:r>
      <w:bookmarkEnd w:id="0"/>
      <w:bookmarkEnd w:id="1"/>
      <w:bookmarkStart w:id="2" w:name="_Toc9976"/>
      <w:bookmarkStart w:id="3" w:name="_Toc144974480"/>
      <w:bookmarkStart w:id="4" w:name="_Toc152042288"/>
      <w:bookmarkStart w:id="5" w:name="_Toc524908844"/>
      <w:bookmarkStart w:id="6" w:name="_Toc179632528"/>
      <w:bookmarkStart w:id="7" w:name="_Toc152045512"/>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000000"/>
          <w:sz w:val="21"/>
          <w:szCs w:val="21"/>
        </w:rPr>
      </w:pPr>
      <w:r>
        <w:rPr>
          <w:rFonts w:hint="eastAsia" w:ascii="宋体" w:hAnsi="宋体" w:eastAsia="宋体" w:cs="宋体"/>
          <w:b/>
          <w:bCs/>
          <w:color w:val="000000"/>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u w:val="single"/>
        </w:rPr>
        <w:t>武汉船舶职业技术学院学生拓展训练承训服务项目</w:t>
      </w:r>
      <w:r>
        <w:rPr>
          <w:rFonts w:hint="eastAsia" w:ascii="宋体" w:hAnsi="宋体" w:eastAsia="宋体" w:cs="宋体"/>
          <w:color w:val="auto"/>
          <w:sz w:val="21"/>
          <w:szCs w:val="21"/>
          <w:u w:val="none"/>
          <w:lang w:val="en-US" w:eastAsia="zh-CN"/>
        </w:rPr>
        <w:t>的潜在供应商应在</w:t>
      </w:r>
      <w:r>
        <w:rPr>
          <w:rFonts w:hint="eastAsia" w:ascii="宋体" w:hAnsi="宋体" w:cs="宋体"/>
          <w:color w:val="000000"/>
          <w:sz w:val="21"/>
          <w:szCs w:val="21"/>
          <w:u w:val="single"/>
          <w:lang w:val="en-US" w:eastAsia="zh-CN"/>
        </w:rPr>
        <w:t>线上</w:t>
      </w:r>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文件，并于</w:t>
      </w:r>
      <w:r>
        <w:rPr>
          <w:rFonts w:hint="eastAsia" w:asciiTheme="minorEastAsia" w:hAnsiTheme="minorEastAsia" w:eastAsiaTheme="minorEastAsia" w:cstheme="minorEastAsia"/>
          <w:sz w:val="21"/>
          <w:szCs w:val="21"/>
          <w:u w:val="single"/>
          <w:lang w:val="en-US" w:eastAsia="zh-CN"/>
        </w:rPr>
        <w:t>2022年02月11日14点30分</w:t>
      </w:r>
      <w:r>
        <w:rPr>
          <w:rFonts w:hint="eastAsia" w:ascii="宋体" w:hAnsi="宋体" w:eastAsia="宋体" w:cs="宋体"/>
          <w:color w:val="auto"/>
          <w:sz w:val="21"/>
          <w:szCs w:val="21"/>
        </w:rPr>
        <w:t>（北京时间）前递交</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5"/>
        <w:numPr>
          <w:ilvl w:val="0"/>
          <w:numId w:val="6"/>
        </w:numPr>
        <w:spacing w:line="360" w:lineRule="auto"/>
        <w:jc w:val="left"/>
        <w:rPr>
          <w:rFonts w:hint="eastAsia" w:ascii="宋体" w:hAnsi="宋体" w:eastAsia="宋体" w:cs="宋体"/>
          <w:color w:val="auto"/>
          <w:sz w:val="21"/>
          <w:szCs w:val="21"/>
        </w:rPr>
      </w:pPr>
      <w:bookmarkStart w:id="8" w:name="_Toc6475"/>
      <w:r>
        <w:rPr>
          <w:rFonts w:hint="eastAsia" w:ascii="宋体" w:hAnsi="宋体" w:eastAsia="宋体" w:cs="宋体"/>
          <w:color w:val="auto"/>
          <w:sz w:val="21"/>
          <w:szCs w:val="21"/>
        </w:rPr>
        <w:t>项目基本情况</w:t>
      </w:r>
      <w:bookmarkEnd w:id="8"/>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项目编号：ZJZB-202201-106</w:t>
      </w:r>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2.采购计划备案号：/</w:t>
      </w:r>
    </w:p>
    <w:p>
      <w:pPr>
        <w:spacing w:line="36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项目名称：武汉船舶职业技术学院学生拓展训练承训服务项目</w:t>
      </w:r>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4.采购方式：竞争性磋商</w:t>
      </w:r>
    </w:p>
    <w:p>
      <w:pPr>
        <w:spacing w:line="36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预算</w:t>
      </w:r>
      <w:r>
        <w:rPr>
          <w:rFonts w:hint="eastAsia" w:asciiTheme="minorEastAsia" w:hAnsiTheme="minorEastAsia" w:eastAsiaTheme="minorEastAsia" w:cstheme="minorEastAsia"/>
          <w:color w:val="auto"/>
          <w:sz w:val="21"/>
          <w:szCs w:val="21"/>
          <w:lang w:eastAsia="zh-CN"/>
        </w:rPr>
        <w:t>金额</w:t>
      </w:r>
      <w:r>
        <w:rPr>
          <w:rFonts w:hint="eastAsia" w:asciiTheme="minorEastAsia" w:hAnsiTheme="minorEastAsia" w:eastAsiaTheme="minorEastAsia" w:cstheme="minorEastAsia"/>
          <w:color w:val="auto"/>
          <w:sz w:val="21"/>
          <w:szCs w:val="21"/>
        </w:rPr>
        <w:t>：人民币</w:t>
      </w:r>
      <w:r>
        <w:rPr>
          <w:rFonts w:hint="eastAsia" w:asciiTheme="minorEastAsia" w:hAnsiTheme="minorEastAsia" w:eastAsiaTheme="minorEastAsia" w:cstheme="minorEastAsia"/>
          <w:color w:val="auto"/>
          <w:sz w:val="21"/>
          <w:szCs w:val="21"/>
          <w:u w:val="single"/>
          <w:lang w:val="en-US" w:eastAsia="zh-CN"/>
        </w:rPr>
        <w:t xml:space="preserve"> 36 </w:t>
      </w:r>
      <w:r>
        <w:rPr>
          <w:rFonts w:hint="eastAsia" w:asciiTheme="minorEastAsia" w:hAnsiTheme="minorEastAsia" w:eastAsiaTheme="minorEastAsia" w:cstheme="minorEastAsia"/>
          <w:color w:val="auto"/>
          <w:sz w:val="21"/>
          <w:szCs w:val="21"/>
        </w:rPr>
        <w:t>万元</w:t>
      </w:r>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6.最高限价：</w:t>
      </w:r>
      <w:r>
        <w:rPr>
          <w:rFonts w:hint="eastAsia" w:asciiTheme="minorEastAsia" w:hAnsiTheme="minorEastAsia" w:eastAsiaTheme="minorEastAsia" w:cstheme="minorEastAsia"/>
          <w:color w:val="auto"/>
          <w:sz w:val="21"/>
          <w:szCs w:val="21"/>
        </w:rPr>
        <w:t>人民币</w:t>
      </w:r>
      <w:r>
        <w:rPr>
          <w:rFonts w:hint="eastAsia" w:asciiTheme="minorEastAsia" w:hAnsiTheme="minorEastAsia" w:eastAsiaTheme="minorEastAsia" w:cstheme="minorEastAsia"/>
          <w:color w:val="auto"/>
          <w:sz w:val="21"/>
          <w:szCs w:val="21"/>
          <w:u w:val="single"/>
          <w:lang w:val="en-US" w:eastAsia="zh-CN"/>
        </w:rPr>
        <w:t xml:space="preserve"> 36 </w:t>
      </w:r>
      <w:r>
        <w:rPr>
          <w:rFonts w:hint="eastAsia" w:asciiTheme="minorEastAsia" w:hAnsiTheme="minorEastAsia" w:eastAsiaTheme="minorEastAsia" w:cstheme="minorEastAsia"/>
          <w:color w:val="auto"/>
          <w:sz w:val="21"/>
          <w:szCs w:val="21"/>
        </w:rPr>
        <w:t>万元</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7.采购需求：选取2022春、2022秋、2023春三学期学生拓展训练承训方</w:t>
      </w:r>
      <w:r>
        <w:rPr>
          <w:rFonts w:hint="eastAsia" w:asciiTheme="minorEastAsia" w:hAnsiTheme="minorEastAsia" w:eastAsiaTheme="minorEastAsia" w:cstheme="minorEastAsia"/>
          <w:color w:val="auto"/>
          <w:sz w:val="21"/>
          <w:szCs w:val="21"/>
        </w:rPr>
        <w:t>(详见采购文件第三章“项目采购需求”）</w:t>
      </w:r>
    </w:p>
    <w:p>
      <w:pPr>
        <w:numPr>
          <w:ilvl w:val="0"/>
          <w:numId w:val="0"/>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类别：</w:t>
      </w:r>
      <w:r>
        <w:rPr>
          <w:rFonts w:hint="eastAsia" w:asciiTheme="minorEastAsia" w:hAnsiTheme="minorEastAsia" w:eastAsiaTheme="minorEastAsia" w:cstheme="minorEastAsia"/>
          <w:b w:val="0"/>
          <w:bCs w:val="0"/>
          <w:color w:val="auto"/>
          <w:kern w:val="2"/>
          <w:sz w:val="21"/>
          <w:szCs w:val="21"/>
          <w:lang w:val="en-US" w:eastAsia="zh-CN" w:bidi="ar-SA"/>
        </w:rPr>
        <w:t>服务</w:t>
      </w:r>
    </w:p>
    <w:p>
      <w:pPr>
        <w:numPr>
          <w:ilvl w:val="0"/>
          <w:numId w:val="0"/>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）其他</w:t>
      </w:r>
      <w:r>
        <w:rPr>
          <w:rFonts w:hint="eastAsia" w:asciiTheme="minorEastAsia" w:hAnsiTheme="minorEastAsia" w:eastAsiaTheme="minorEastAsia" w:cstheme="minorEastAsia"/>
          <w:color w:val="auto"/>
          <w:sz w:val="21"/>
          <w:szCs w:val="21"/>
        </w:rPr>
        <w:t>：本项目采用综合单价方式报价，最高单价限价：40元/学生/12学时，按三个学期共9000人计算，据实结算，磋商报价超过项目预算和最高单价限价为无效投标。</w:t>
      </w:r>
    </w:p>
    <w:p>
      <w:pPr>
        <w:numPr>
          <w:ilvl w:val="0"/>
          <w:numId w:val="0"/>
        </w:numPr>
        <w:spacing w:line="360" w:lineRule="auto"/>
        <w:jc w:val="left"/>
        <w:rPr>
          <w:rFonts w:hint="eastAsia" w:asciiTheme="minorEastAsia" w:hAnsiTheme="minorEastAsia" w:eastAsiaTheme="minorEastAsia" w:cstheme="minorEastAsia"/>
          <w:strike/>
          <w:dstrike w:val="0"/>
          <w:color w:val="auto"/>
          <w:sz w:val="21"/>
          <w:szCs w:val="21"/>
          <w:lang w:eastAsia="zh-CN"/>
        </w:rPr>
      </w:pP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、合同履行期限</w:t>
      </w:r>
      <w:r>
        <w:rPr>
          <w:rFonts w:hint="eastAsia" w:asciiTheme="minorEastAsia" w:hAnsiTheme="minorEastAsia" w:eastAsiaTheme="minorEastAsia" w:cstheme="minorEastAsia"/>
          <w:color w:val="auto"/>
          <w:sz w:val="21"/>
          <w:szCs w:val="21"/>
          <w:lang w:eastAsia="zh-CN"/>
        </w:rPr>
        <w:t>：合同签订之日起至2023年8月31日，共三个教学学期（即2022春、2022秋、2023春三学期）</w:t>
      </w:r>
      <w:r>
        <w:rPr>
          <w:rFonts w:hint="eastAsia" w:asciiTheme="minorEastAsia" w:hAnsiTheme="minorEastAsia" w:eastAsiaTheme="minorEastAsia" w:cstheme="minorEastAsia"/>
          <w:color w:val="auto"/>
          <w:sz w:val="21"/>
          <w:szCs w:val="21"/>
          <w:u w:val="single"/>
          <w:lang w:eastAsia="zh-CN"/>
        </w:rPr>
        <w:t xml:space="preserve">  </w:t>
      </w:r>
      <w:r>
        <w:rPr>
          <w:rFonts w:hint="eastAsia" w:asciiTheme="minorEastAsia" w:hAnsiTheme="minorEastAsia" w:eastAsiaTheme="minorEastAsia" w:cstheme="minorEastAsia"/>
          <w:color w:val="auto"/>
          <w:sz w:val="21"/>
          <w:szCs w:val="21"/>
          <w:u w:val="single"/>
          <w:lang w:val="en-US" w:eastAsia="zh-CN"/>
        </w:rPr>
        <w:t xml:space="preserve">                 </w:t>
      </w:r>
    </w:p>
    <w:p>
      <w:pPr>
        <w:numPr>
          <w:ilvl w:val="0"/>
          <w:numId w:val="0"/>
        </w:numPr>
        <w:spacing w:line="360" w:lineRule="auto"/>
        <w:jc w:val="left"/>
        <w:rPr>
          <w:rFonts w:hint="eastAsia" w:ascii="宋体" w:hAnsi="宋体" w:eastAsia="宋体" w:cs="宋体"/>
          <w:color w:val="auto"/>
          <w:sz w:val="21"/>
          <w:szCs w:val="21"/>
          <w:highlight w:val="yellow"/>
        </w:rPr>
      </w:pPr>
      <w:bookmarkStart w:id="9" w:name="_Toc17986"/>
      <w:r>
        <w:rPr>
          <w:rFonts w:hint="eastAsia" w:ascii="宋体" w:hAnsi="宋体" w:cs="宋体"/>
          <w:color w:val="auto"/>
          <w:sz w:val="21"/>
          <w:szCs w:val="21"/>
          <w:lang w:val="en-US" w:eastAsia="zh-CN"/>
        </w:rPr>
        <w:t>9.本项目（是/否）接受联合体投标：否</w:t>
      </w:r>
    </w:p>
    <w:p>
      <w:pPr>
        <w:numPr>
          <w:ilvl w:val="0"/>
          <w:numId w:val="0"/>
        </w:num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是否可采购进口产品：否</w:t>
      </w:r>
    </w:p>
    <w:p>
      <w:pPr>
        <w:numPr>
          <w:ilvl w:val="0"/>
          <w:numId w:val="0"/>
        </w:numPr>
        <w:spacing w:line="360" w:lineRule="auto"/>
        <w:jc w:val="left"/>
        <w:rPr>
          <w:rFonts w:hint="eastAsia" w:ascii="宋体" w:hAnsi="宋体" w:eastAsia="宋体" w:cs="宋体"/>
          <w:color w:val="auto"/>
          <w:sz w:val="21"/>
          <w:szCs w:val="21"/>
        </w:rPr>
      </w:pPr>
      <w:r>
        <w:rPr>
          <w:rFonts w:hint="eastAsia" w:asciiTheme="minorEastAsia" w:hAnsiTheme="minorEastAsia" w:eastAsiaTheme="minorEastAsia" w:cstheme="minorEastAsia"/>
          <w:color w:val="auto"/>
          <w:sz w:val="21"/>
          <w:szCs w:val="21"/>
          <w:highlight w:val="none"/>
        </w:rPr>
        <w:t>11</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本项目（是/否）专门面向中小微企业：否</w:t>
      </w:r>
    </w:p>
    <w:p>
      <w:pPr>
        <w:pStyle w:val="5"/>
        <w:numPr>
          <w:ilvl w:val="0"/>
          <w:numId w:val="6"/>
        </w:num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申请人的资格要求</w:t>
      </w:r>
      <w:bookmarkEnd w:id="9"/>
    </w:p>
    <w:p>
      <w:pPr>
        <w:numPr>
          <w:ilvl w:val="0"/>
          <w:numId w:val="7"/>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满足《中华人民共和国政府采购法》第二十二条规定；</w:t>
      </w:r>
    </w:p>
    <w:p>
      <w:p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具有独立承担民事责任的能力；</w:t>
      </w:r>
    </w:p>
    <w:p>
      <w:p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具有良好的商业信誉和健全的财务会计制度；</w:t>
      </w:r>
    </w:p>
    <w:p>
      <w:p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具有履行合同所必需的设备和专业技术能力；</w:t>
      </w:r>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4</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有依</w:t>
      </w:r>
      <w:r>
        <w:rPr>
          <w:rFonts w:hint="eastAsia" w:asciiTheme="minorEastAsia" w:hAnsiTheme="minorEastAsia" w:eastAsiaTheme="minorEastAsia" w:cstheme="minorEastAsia"/>
          <w:color w:val="auto"/>
          <w:sz w:val="21"/>
          <w:szCs w:val="21"/>
        </w:rPr>
        <w:t>法缴纳税收和社会保障资金的良好记录；</w:t>
      </w:r>
    </w:p>
    <w:p>
      <w:pPr>
        <w:spacing w:line="360" w:lineRule="auto"/>
        <w:ind w:firstLine="420" w:firstLineChars="200"/>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auto"/>
          <w:sz w:val="21"/>
          <w:szCs w:val="21"/>
        </w:rPr>
        <w:t>参加政府采购活动前三年内，在经营活动中没有重大违法记录</w:t>
      </w:r>
      <w:r>
        <w:rPr>
          <w:rFonts w:hint="eastAsia" w:asciiTheme="minorEastAsia" w:hAnsiTheme="minorEastAsia" w:eastAsiaTheme="minorEastAsia" w:cstheme="minorEastAsia"/>
          <w:color w:val="auto"/>
          <w:sz w:val="21"/>
          <w:szCs w:val="21"/>
          <w:lang w:eastAsia="zh-CN"/>
        </w:rPr>
        <w:t>；</w:t>
      </w:r>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auto"/>
          <w:sz w:val="21"/>
          <w:szCs w:val="21"/>
        </w:rPr>
        <w:t>法律、行政法规规定的其他条件；</w:t>
      </w:r>
    </w:p>
    <w:p>
      <w:pPr>
        <w:numPr>
          <w:ilvl w:val="0"/>
          <w:numId w:val="7"/>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单位负责人为同一人或者存在直接控股、管理关系的不同</w:t>
      </w:r>
      <w:r>
        <w:rPr>
          <w:rFonts w:hint="eastAsia" w:asciiTheme="minorEastAsia" w:hAnsiTheme="minorEastAsia" w:eastAsiaTheme="minorEastAsia" w:cstheme="minorEastAsia"/>
          <w:color w:val="000000"/>
          <w:sz w:val="21"/>
          <w:szCs w:val="21"/>
          <w:lang w:val="en-US" w:eastAsia="zh-CN"/>
        </w:rPr>
        <w:t>投标人</w:t>
      </w:r>
      <w:r>
        <w:rPr>
          <w:rFonts w:hint="eastAsia" w:asciiTheme="minorEastAsia" w:hAnsiTheme="minorEastAsia" w:eastAsiaTheme="minorEastAsia" w:cstheme="minorEastAsia"/>
          <w:color w:val="000000"/>
          <w:sz w:val="21"/>
          <w:szCs w:val="21"/>
        </w:rPr>
        <w:t>，不得参加本项目同一合同项下的政府采购活动。</w:t>
      </w:r>
    </w:p>
    <w:p>
      <w:pPr>
        <w:numPr>
          <w:ilvl w:val="0"/>
          <w:numId w:val="7"/>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为本采购项目提供整体设计、规范编制或者项目管理、监理、检测等服务的，不得再参加本项目的其他招标采购活动。</w:t>
      </w:r>
    </w:p>
    <w:p>
      <w:pPr>
        <w:numPr>
          <w:ilvl w:val="0"/>
          <w:numId w:val="7"/>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未被列入失信被执行人、重大税收违法案件当事人名单，未被列入政府采购严重违法失信行为记录名单。</w:t>
      </w:r>
    </w:p>
    <w:p>
      <w:pPr>
        <w:numPr>
          <w:ilvl w:val="0"/>
          <w:numId w:val="7"/>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落实政府采购政策需满足的资格要求：</w:t>
      </w:r>
      <w:r>
        <w:rPr>
          <w:rFonts w:hint="eastAsia" w:asciiTheme="minorEastAsia" w:hAnsiTheme="minorEastAsia" w:eastAsiaTheme="minorEastAsia" w:cstheme="minorEastAsia"/>
          <w:color w:val="auto"/>
          <w:sz w:val="21"/>
          <w:szCs w:val="21"/>
          <w:highlight w:val="none"/>
        </w:rPr>
        <w:t>本项目整体非专门面向中小企业，即小微企业参与本项目可享受政府采购中小企业扶持政策，本项目企业划分标准所属行业为“</w:t>
      </w:r>
      <w:r>
        <w:rPr>
          <w:rFonts w:hint="eastAsia" w:ascii="宋体" w:hAnsi="宋体" w:eastAsia="宋体" w:cs="宋体"/>
          <w:i w:val="0"/>
          <w:color w:val="auto"/>
          <w:kern w:val="0"/>
          <w:sz w:val="21"/>
          <w:szCs w:val="21"/>
          <w:highlight w:val="none"/>
          <w:u w:val="none"/>
          <w:lang w:val="en-US" w:eastAsia="zh-CN" w:bidi="ar"/>
        </w:rPr>
        <w:t>其他未列明行业</w:t>
      </w:r>
      <w:r>
        <w:rPr>
          <w:rFonts w:hint="eastAsia" w:asciiTheme="minorEastAsia" w:hAnsiTheme="minorEastAsia" w:eastAsiaTheme="minorEastAsia" w:cstheme="minorEastAsia"/>
          <w:color w:val="auto"/>
          <w:sz w:val="21"/>
          <w:szCs w:val="21"/>
          <w:highlight w:val="none"/>
        </w:rPr>
        <w:t>”。</w:t>
      </w:r>
    </w:p>
    <w:p>
      <w:pPr>
        <w:numPr>
          <w:ilvl w:val="0"/>
          <w:numId w:val="0"/>
        </w:numPr>
        <w:spacing w:line="360" w:lineRule="auto"/>
        <w:ind w:left="631" w:leftChars="200" w:hanging="211" w:hangingChars="1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lang w:val="en-US" w:eastAsia="zh-CN"/>
        </w:rPr>
        <w:t>6.</w:t>
      </w:r>
      <w:r>
        <w:rPr>
          <w:rFonts w:hint="eastAsia" w:asciiTheme="minorEastAsia" w:hAnsiTheme="minorEastAsia" w:eastAsiaTheme="minorEastAsia" w:cstheme="minorEastAsia"/>
          <w:b/>
          <w:bCs/>
          <w:color w:val="000000"/>
          <w:sz w:val="21"/>
          <w:szCs w:val="21"/>
        </w:rPr>
        <w:t>本项目的特定资格要求：</w:t>
      </w:r>
      <w:r>
        <w:rPr>
          <w:rFonts w:hint="eastAsia" w:asciiTheme="minorEastAsia" w:hAnsiTheme="minorEastAsia" w:eastAsiaTheme="minorEastAsia" w:cstheme="minorEastAsia"/>
          <w:b/>
          <w:bCs/>
          <w:color w:val="000000"/>
          <w:sz w:val="21"/>
          <w:szCs w:val="21"/>
          <w:lang w:val="en-US" w:eastAsia="zh-CN"/>
        </w:rPr>
        <w:t xml:space="preserve">无 </w:t>
      </w:r>
      <w:r>
        <w:rPr>
          <w:rFonts w:hint="eastAsia" w:asciiTheme="minorEastAsia" w:hAnsiTheme="minorEastAsia" w:eastAsiaTheme="minorEastAsia" w:cstheme="minorEastAsia"/>
          <w:color w:val="FF0000"/>
          <w:sz w:val="21"/>
          <w:szCs w:val="21"/>
          <w:u w:val="single"/>
          <w:lang w:val="en-US" w:eastAsia="zh-CN"/>
        </w:rPr>
        <w:t xml:space="preserve">                    </w:t>
      </w:r>
    </w:p>
    <w:p>
      <w:pPr>
        <w:pStyle w:val="5"/>
        <w:numPr>
          <w:ilvl w:val="0"/>
          <w:numId w:val="6"/>
        </w:numPr>
        <w:spacing w:line="360" w:lineRule="auto"/>
        <w:jc w:val="left"/>
        <w:rPr>
          <w:rFonts w:hint="eastAsia" w:asciiTheme="minorEastAsia" w:hAnsiTheme="minorEastAsia" w:eastAsiaTheme="minorEastAsia" w:cstheme="minorEastAsia"/>
          <w:sz w:val="21"/>
          <w:szCs w:val="21"/>
        </w:rPr>
      </w:pPr>
      <w:bookmarkStart w:id="10" w:name="_Toc25596"/>
      <w:bookmarkStart w:id="11" w:name="_Toc334539185"/>
      <w:r>
        <w:rPr>
          <w:rFonts w:hint="eastAsia" w:asciiTheme="minorEastAsia" w:hAnsiTheme="minorEastAsia" w:eastAsiaTheme="minorEastAsia" w:cstheme="minorEastAsia"/>
          <w:sz w:val="21"/>
          <w:szCs w:val="21"/>
        </w:rPr>
        <w:t>获取</w:t>
      </w:r>
      <w:r>
        <w:rPr>
          <w:rFonts w:hint="eastAsia" w:asciiTheme="minorEastAsia" w:hAnsiTheme="minorEastAsia" w:eastAsiaTheme="minorEastAsia" w:cstheme="minorEastAsia"/>
          <w:sz w:val="21"/>
          <w:szCs w:val="21"/>
          <w:lang w:eastAsia="zh-CN"/>
        </w:rPr>
        <w:t>采购</w:t>
      </w:r>
      <w:r>
        <w:rPr>
          <w:rFonts w:hint="eastAsia" w:asciiTheme="minorEastAsia" w:hAnsiTheme="minorEastAsia" w:eastAsiaTheme="minorEastAsia" w:cstheme="minorEastAsia"/>
          <w:sz w:val="21"/>
          <w:szCs w:val="21"/>
        </w:rPr>
        <w:t>文件</w:t>
      </w:r>
      <w:bookmarkEnd w:id="10"/>
    </w:p>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时间：</w:t>
      </w:r>
      <w:r>
        <w:rPr>
          <w:rFonts w:hint="eastAsia" w:asciiTheme="minorEastAsia" w:hAnsiTheme="minorEastAsia" w:eastAsiaTheme="minorEastAsia" w:cstheme="minorEastAsia"/>
          <w:sz w:val="21"/>
          <w:szCs w:val="21"/>
          <w:u w:val="single"/>
          <w:lang w:val="en-US" w:eastAsia="zh-CN"/>
        </w:rPr>
        <w:t>2022</w:t>
      </w:r>
      <w:r>
        <w:rPr>
          <w:rFonts w:hint="eastAsia" w:asciiTheme="minorEastAsia" w:hAnsiTheme="minorEastAsia" w:eastAsiaTheme="minorEastAsia" w:cstheme="minorEastAsia"/>
          <w:sz w:val="21"/>
          <w:szCs w:val="21"/>
          <w:u w:val="single"/>
        </w:rPr>
        <w:t>年</w:t>
      </w:r>
      <w:r>
        <w:rPr>
          <w:rFonts w:hint="eastAsia" w:asciiTheme="minorEastAsia" w:hAnsiTheme="minorEastAsia" w:eastAsiaTheme="minorEastAsia" w:cstheme="minorEastAsia"/>
          <w:sz w:val="21"/>
          <w:szCs w:val="21"/>
          <w:u w:val="single"/>
          <w:lang w:val="en-US" w:eastAsia="zh-CN"/>
        </w:rPr>
        <w:t>01</w:t>
      </w:r>
      <w:r>
        <w:rPr>
          <w:rFonts w:hint="eastAsia" w:asciiTheme="minorEastAsia" w:hAnsiTheme="minorEastAsia" w:eastAsiaTheme="minorEastAsia" w:cstheme="minorEastAsia"/>
          <w:sz w:val="21"/>
          <w:szCs w:val="21"/>
          <w:u w:val="single"/>
        </w:rPr>
        <w:t>月</w:t>
      </w:r>
      <w:r>
        <w:rPr>
          <w:rFonts w:hint="eastAsia" w:asciiTheme="minorEastAsia" w:hAnsiTheme="minorEastAsia" w:eastAsiaTheme="minorEastAsia" w:cstheme="minorEastAsia"/>
          <w:sz w:val="21"/>
          <w:szCs w:val="21"/>
          <w:u w:val="single"/>
          <w:lang w:val="en-US" w:eastAsia="zh-CN"/>
        </w:rPr>
        <w:t>20</w:t>
      </w:r>
      <w:r>
        <w:rPr>
          <w:rFonts w:hint="eastAsia" w:asciiTheme="minorEastAsia" w:hAnsiTheme="minorEastAsia" w:eastAsiaTheme="minorEastAsia" w:cstheme="minorEastAsia"/>
          <w:sz w:val="21"/>
          <w:szCs w:val="21"/>
          <w:u w:val="single"/>
        </w:rPr>
        <w:t>日至</w:t>
      </w:r>
      <w:r>
        <w:rPr>
          <w:rFonts w:hint="eastAsia" w:asciiTheme="minorEastAsia" w:hAnsiTheme="minorEastAsia" w:eastAsiaTheme="minorEastAsia" w:cstheme="minorEastAsia"/>
          <w:sz w:val="21"/>
          <w:szCs w:val="21"/>
          <w:u w:val="single"/>
          <w:lang w:val="en-US" w:eastAsia="zh-CN"/>
        </w:rPr>
        <w:t>2022</w:t>
      </w:r>
      <w:r>
        <w:rPr>
          <w:rFonts w:hint="eastAsia" w:asciiTheme="minorEastAsia" w:hAnsiTheme="minorEastAsia" w:eastAsiaTheme="minorEastAsia" w:cstheme="minorEastAsia"/>
          <w:sz w:val="21"/>
          <w:szCs w:val="21"/>
          <w:u w:val="single"/>
        </w:rPr>
        <w:t>年</w:t>
      </w:r>
      <w:r>
        <w:rPr>
          <w:rFonts w:hint="eastAsia" w:asciiTheme="minorEastAsia" w:hAnsiTheme="minorEastAsia" w:eastAsiaTheme="minorEastAsia" w:cstheme="minorEastAsia"/>
          <w:sz w:val="21"/>
          <w:szCs w:val="21"/>
          <w:u w:val="single"/>
          <w:lang w:val="en-US" w:eastAsia="zh-CN"/>
        </w:rPr>
        <w:t>01</w:t>
      </w:r>
      <w:r>
        <w:rPr>
          <w:rFonts w:hint="eastAsia" w:asciiTheme="minorEastAsia" w:hAnsiTheme="minorEastAsia" w:eastAsiaTheme="minorEastAsia" w:cstheme="minorEastAsia"/>
          <w:sz w:val="21"/>
          <w:szCs w:val="21"/>
          <w:u w:val="single"/>
        </w:rPr>
        <w:t>月</w:t>
      </w:r>
      <w:r>
        <w:rPr>
          <w:rFonts w:hint="eastAsia" w:asciiTheme="minorEastAsia" w:hAnsiTheme="minorEastAsia" w:eastAsiaTheme="minorEastAsia" w:cstheme="minorEastAsia"/>
          <w:sz w:val="21"/>
          <w:szCs w:val="21"/>
          <w:u w:val="single"/>
          <w:lang w:val="en-US" w:eastAsia="zh-CN"/>
        </w:rPr>
        <w:t>26</w:t>
      </w:r>
      <w:r>
        <w:rPr>
          <w:rFonts w:hint="eastAsia" w:asciiTheme="minorEastAsia" w:hAnsiTheme="minorEastAsia" w:eastAsiaTheme="minorEastAsia" w:cstheme="minorEastAsia"/>
          <w:sz w:val="21"/>
          <w:szCs w:val="21"/>
          <w:u w:val="single"/>
        </w:rPr>
        <w:t>日</w:t>
      </w:r>
      <w:r>
        <w:rPr>
          <w:rFonts w:hint="eastAsia" w:asciiTheme="minorEastAsia" w:hAnsiTheme="minorEastAsia" w:eastAsiaTheme="minorEastAsia" w:cstheme="minorEastAsia"/>
          <w:sz w:val="21"/>
          <w:szCs w:val="21"/>
        </w:rPr>
        <w:t>，每天上午</w:t>
      </w:r>
      <w:r>
        <w:rPr>
          <w:rFonts w:hint="eastAsia" w:asciiTheme="minorEastAsia" w:hAnsiTheme="minorEastAsia" w:eastAsiaTheme="minorEastAsia" w:cstheme="minorEastAsia"/>
          <w:sz w:val="21"/>
          <w:szCs w:val="21"/>
          <w:lang w:val="en-US" w:eastAsia="zh-CN"/>
        </w:rPr>
        <w:t>09:00</w:t>
      </w:r>
      <w:r>
        <w:rPr>
          <w:rFonts w:hint="eastAsia" w:asciiTheme="minorEastAsia" w:hAnsiTheme="minorEastAsia" w:eastAsiaTheme="minorEastAsia" w:cstheme="minorEastAsia"/>
          <w:sz w:val="21"/>
          <w:szCs w:val="21"/>
        </w:rPr>
        <w:t>至</w:t>
      </w:r>
      <w:r>
        <w:rPr>
          <w:rFonts w:hint="eastAsia" w:asciiTheme="minorEastAsia" w:hAnsiTheme="minorEastAsia" w:eastAsiaTheme="minorEastAsia" w:cstheme="minorEastAsia"/>
          <w:sz w:val="21"/>
          <w:szCs w:val="21"/>
          <w:lang w:val="en-US" w:eastAsia="zh-CN"/>
        </w:rPr>
        <w:t>12:00</w:t>
      </w:r>
      <w:r>
        <w:rPr>
          <w:rFonts w:hint="eastAsia" w:asciiTheme="minorEastAsia" w:hAnsiTheme="minorEastAsia" w:eastAsiaTheme="minorEastAsia" w:cstheme="minorEastAsia"/>
          <w:sz w:val="21"/>
          <w:szCs w:val="21"/>
        </w:rPr>
        <w:t>，下午</w:t>
      </w:r>
      <w:r>
        <w:rPr>
          <w:rFonts w:hint="eastAsia" w:asciiTheme="minorEastAsia" w:hAnsiTheme="minorEastAsia" w:eastAsiaTheme="minorEastAsia" w:cstheme="minorEastAsia"/>
          <w:sz w:val="21"/>
          <w:szCs w:val="21"/>
          <w:lang w:val="en-US" w:eastAsia="zh-CN"/>
        </w:rPr>
        <w:t>14:30</w:t>
      </w:r>
      <w:r>
        <w:rPr>
          <w:rFonts w:hint="eastAsia" w:asciiTheme="minorEastAsia" w:hAnsiTheme="minorEastAsia" w:eastAsiaTheme="minorEastAsia" w:cstheme="minorEastAsia"/>
          <w:sz w:val="21"/>
          <w:szCs w:val="21"/>
        </w:rPr>
        <w:t>至</w:t>
      </w:r>
      <w:r>
        <w:rPr>
          <w:rFonts w:hint="eastAsia" w:asciiTheme="minorEastAsia" w:hAnsiTheme="minorEastAsia" w:eastAsiaTheme="minorEastAsia" w:cstheme="minorEastAsia"/>
          <w:sz w:val="21"/>
          <w:szCs w:val="21"/>
          <w:lang w:val="en-US" w:eastAsia="zh-CN"/>
        </w:rPr>
        <w:t>17:00</w:t>
      </w:r>
      <w:r>
        <w:rPr>
          <w:rFonts w:hint="eastAsia" w:asciiTheme="minorEastAsia" w:hAnsiTheme="minorEastAsia" w:eastAsiaTheme="minorEastAsia" w:cstheme="minorEastAsia"/>
          <w:sz w:val="21"/>
          <w:szCs w:val="21"/>
        </w:rPr>
        <w:t>（北京时间，法定节假日除外）</w:t>
      </w:r>
    </w:p>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地点：</w:t>
      </w:r>
      <w:r>
        <w:rPr>
          <w:rFonts w:hint="eastAsia" w:asciiTheme="minorEastAsia" w:hAnsiTheme="minorEastAsia" w:eastAsiaTheme="minorEastAsia" w:cstheme="minorEastAsia"/>
          <w:sz w:val="21"/>
          <w:szCs w:val="21"/>
          <w:lang w:val="en-US" w:eastAsia="zh-CN"/>
        </w:rPr>
        <w:t>线上</w:t>
      </w:r>
      <w:r>
        <w:rPr>
          <w:rFonts w:hint="eastAsia" w:asciiTheme="minorEastAsia" w:hAnsiTheme="minorEastAsia" w:eastAsiaTheme="minorEastAsia" w:cstheme="minorEastAsia"/>
          <w:sz w:val="21"/>
          <w:szCs w:val="21"/>
        </w:rPr>
        <w:t>；</w:t>
      </w:r>
    </w:p>
    <w:bookmarkEnd w:id="11"/>
    <w:p>
      <w:pPr>
        <w:spacing w:line="360" w:lineRule="auto"/>
        <w:ind w:firstLine="420" w:firstLineChars="200"/>
        <w:jc w:val="left"/>
        <w:rPr>
          <w:rStyle w:val="36"/>
          <w:rFonts w:hint="eastAsia" w:ascii="宋体" w:hAnsi="宋体" w:eastAsia="宋体" w:cs="宋体"/>
          <w:b w:val="0"/>
          <w:bCs w:val="0"/>
          <w:color w:val="auto"/>
          <w:sz w:val="21"/>
          <w:szCs w:val="21"/>
          <w:u w:val="none"/>
          <w:lang w:val="en-US" w:eastAsia="zh-CN"/>
        </w:rPr>
      </w:pPr>
      <w:r>
        <w:rPr>
          <w:rFonts w:hint="eastAsia" w:ascii="宋体" w:hAnsi="宋体" w:eastAsia="宋体" w:cs="宋体"/>
          <w:b w:val="0"/>
          <w:bCs w:val="0"/>
          <w:color w:val="auto"/>
          <w:sz w:val="21"/>
          <w:szCs w:val="21"/>
          <w:u w:val="none"/>
          <w:lang w:val="en-US" w:eastAsia="zh-CN"/>
        </w:rPr>
        <w:t>线上获取：</w:t>
      </w:r>
      <w:r>
        <w:rPr>
          <w:rFonts w:hint="eastAsia" w:ascii="宋体" w:hAnsi="宋体" w:eastAsia="宋体" w:cs="宋体"/>
          <w:b w:val="0"/>
          <w:bCs w:val="0"/>
          <w:color w:val="auto"/>
          <w:sz w:val="21"/>
          <w:szCs w:val="21"/>
          <w:u w:val="none"/>
          <w:lang w:val="en-US" w:eastAsia="zh-CN"/>
        </w:rPr>
        <w:fldChar w:fldCharType="begin"/>
      </w:r>
      <w:r>
        <w:rPr>
          <w:rFonts w:hint="eastAsia" w:ascii="宋体" w:hAnsi="宋体" w:eastAsia="宋体" w:cs="宋体"/>
          <w:b w:val="0"/>
          <w:bCs w:val="0"/>
          <w:color w:val="auto"/>
          <w:sz w:val="21"/>
          <w:szCs w:val="21"/>
          <w:u w:val="none"/>
          <w:lang w:val="en-US" w:eastAsia="zh-CN"/>
        </w:rPr>
        <w:instrText xml:space="preserve"> HYPERLINK "mailto:因疫情原因，采取网上获取文件的方式，请各供应商将以下附件资料加盖公章扫描后传至2102252595@qq.com【邮件主题名称必须按照如下格式，否则不予受理。项目名称及包号（如有）+公司全称+授权委托人姓名及联系方式】，以邮箱显示收到的时间为准，各供应商递交资料后请耐心等待代理机构工作人员后台确认，资料确认无误的，工作人员会及时联系支付采购文件费用，并发送采购文件。采购文件售后不退，不办理邮寄；" </w:instrText>
      </w:r>
      <w:r>
        <w:rPr>
          <w:rFonts w:hint="eastAsia" w:ascii="宋体" w:hAnsi="宋体" w:eastAsia="宋体" w:cs="宋体"/>
          <w:b w:val="0"/>
          <w:bCs w:val="0"/>
          <w:color w:val="auto"/>
          <w:sz w:val="21"/>
          <w:szCs w:val="21"/>
          <w:u w:val="none"/>
          <w:lang w:val="en-US" w:eastAsia="zh-CN"/>
        </w:rPr>
        <w:fldChar w:fldCharType="separate"/>
      </w:r>
      <w:r>
        <w:rPr>
          <w:rStyle w:val="36"/>
          <w:rFonts w:hint="eastAsia" w:ascii="宋体" w:hAnsi="宋体" w:eastAsia="宋体" w:cs="宋体"/>
          <w:b w:val="0"/>
          <w:bCs w:val="0"/>
          <w:color w:val="auto"/>
          <w:sz w:val="21"/>
          <w:szCs w:val="21"/>
          <w:u w:val="none"/>
          <w:lang w:val="en-US" w:eastAsia="zh-CN"/>
        </w:rPr>
        <w:t>因疫情原因，采取网上获取文件的方式，请各供应商将以下附件资料加盖公章扫描后传至2102252595@qq.com【邮件主题名称必须按照如下格式，否则不予受理。项目名称及包号（如有）+公司全称+授权委托人姓名及联系方式】，以邮箱显示收到的时间为准，各供应商递交资料后请耐心等待代理机构工作人员后台确认，资料确认无误的，工作人员会及时联系支付采购文件费用，并发送采购文件。采购文件售后不退，不办理邮寄；</w:t>
      </w:r>
    </w:p>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宋体" w:hAnsi="宋体" w:eastAsia="宋体" w:cs="宋体"/>
          <w:b w:val="0"/>
          <w:bCs w:val="0"/>
          <w:color w:val="auto"/>
          <w:sz w:val="21"/>
          <w:szCs w:val="21"/>
          <w:u w:val="none"/>
          <w:lang w:val="en-US" w:eastAsia="zh-CN"/>
        </w:rPr>
        <w:fldChar w:fldCharType="end"/>
      </w:r>
      <w:r>
        <w:rPr>
          <w:rFonts w:hint="eastAsia" w:asciiTheme="minorEastAsia" w:hAnsiTheme="minorEastAsia" w:eastAsiaTheme="minorEastAsia" w:cstheme="minorEastAsia"/>
          <w:sz w:val="21"/>
          <w:szCs w:val="21"/>
          <w:lang w:val="en-US" w:eastAsia="zh-CN"/>
        </w:rPr>
        <w:t>售价：400(元)；</w:t>
      </w:r>
    </w:p>
    <w:p>
      <w:pPr>
        <w:pStyle w:val="5"/>
        <w:numPr>
          <w:ilvl w:val="0"/>
          <w:numId w:val="6"/>
        </w:numPr>
        <w:spacing w:line="360" w:lineRule="auto"/>
        <w:jc w:val="left"/>
        <w:rPr>
          <w:rFonts w:hint="eastAsia" w:asciiTheme="minorEastAsia" w:hAnsiTheme="minorEastAsia" w:eastAsiaTheme="minorEastAsia" w:cstheme="minorEastAsia"/>
          <w:sz w:val="21"/>
          <w:szCs w:val="21"/>
        </w:rPr>
      </w:pPr>
      <w:bookmarkStart w:id="12" w:name="_Toc20123"/>
      <w:r>
        <w:rPr>
          <w:rFonts w:hint="eastAsia" w:asciiTheme="minorEastAsia" w:hAnsiTheme="minorEastAsia" w:eastAsiaTheme="minorEastAsia" w:cstheme="minorEastAsia"/>
          <w:sz w:val="21"/>
          <w:szCs w:val="21"/>
          <w:lang w:eastAsia="zh-CN"/>
        </w:rPr>
        <w:t>响应文件提交</w:t>
      </w:r>
      <w:bookmarkEnd w:id="12"/>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开始时间：2022年02月11日12点00分（北京时间）</w:t>
      </w:r>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截止时间：2022年02月11日14点30分（北京时间）</w:t>
      </w:r>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sz w:val="21"/>
          <w:szCs w:val="21"/>
          <w:lang w:val="en-US" w:eastAsia="zh-CN"/>
        </w:rPr>
        <w:t>地点：武昌区中北路岳家嘴立交山河企业大厦4806室，凡是购买了采购文件且已回复确定参加磋商的潜在供应商，于磋商当日临时放弃竞标的，应及时以电话告知形式通知采购代理机构。</w:t>
      </w:r>
    </w:p>
    <w:p>
      <w:pPr>
        <w:pStyle w:val="5"/>
        <w:numPr>
          <w:ilvl w:val="0"/>
          <w:numId w:val="6"/>
        </w:numPr>
        <w:spacing w:line="360" w:lineRule="auto"/>
        <w:jc w:val="left"/>
        <w:rPr>
          <w:rFonts w:hint="eastAsia" w:asciiTheme="minorEastAsia" w:hAnsiTheme="minorEastAsia" w:eastAsiaTheme="minorEastAsia" w:cstheme="minorEastAsia"/>
          <w:sz w:val="21"/>
          <w:szCs w:val="21"/>
          <w:lang w:eastAsia="zh-CN"/>
        </w:rPr>
      </w:pPr>
      <w:bookmarkStart w:id="13" w:name="_Toc28228"/>
      <w:r>
        <w:rPr>
          <w:rFonts w:hint="eastAsia" w:asciiTheme="minorEastAsia" w:hAnsiTheme="minorEastAsia" w:eastAsiaTheme="minorEastAsia" w:cstheme="minorEastAsia"/>
          <w:sz w:val="21"/>
          <w:szCs w:val="21"/>
          <w:lang w:eastAsia="zh-CN"/>
        </w:rPr>
        <w:t>开启</w:t>
      </w:r>
      <w:bookmarkEnd w:id="13"/>
    </w:p>
    <w:p>
      <w:pPr>
        <w:numPr>
          <w:ilvl w:val="0"/>
          <w:numId w:val="0"/>
        </w:numPr>
        <w:spacing w:line="360" w:lineRule="auto"/>
        <w:ind w:leftChars="0" w:firstLine="420" w:firstLineChars="200"/>
        <w:jc w:val="lef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时间：2022年02月11日</w:t>
      </w:r>
      <w:bookmarkStart w:id="230" w:name="_GoBack"/>
      <w:bookmarkEnd w:id="230"/>
      <w:r>
        <w:rPr>
          <w:rFonts w:hint="eastAsia" w:asciiTheme="minorEastAsia" w:hAnsiTheme="minorEastAsia" w:eastAsiaTheme="minorEastAsia" w:cstheme="minorEastAsia"/>
          <w:sz w:val="21"/>
          <w:szCs w:val="21"/>
          <w:lang w:val="en-US" w:eastAsia="zh-CN"/>
        </w:rPr>
        <w:t>14点30分</w:t>
      </w:r>
      <w:r>
        <w:rPr>
          <w:rFonts w:hint="eastAsia" w:asciiTheme="minorEastAsia" w:hAnsiTheme="minorEastAsia" w:eastAsiaTheme="minorEastAsia" w:cstheme="minorEastAsia"/>
          <w:sz w:val="21"/>
          <w:szCs w:val="21"/>
          <w:lang w:eastAsia="zh-CN"/>
        </w:rPr>
        <w:t>（北京时间）</w:t>
      </w:r>
    </w:p>
    <w:p>
      <w:pPr>
        <w:pStyle w:val="5"/>
        <w:numPr>
          <w:ilvl w:val="0"/>
          <w:numId w:val="6"/>
        </w:numPr>
        <w:spacing w:line="360" w:lineRule="auto"/>
        <w:jc w:val="left"/>
        <w:rPr>
          <w:rFonts w:hint="eastAsia" w:asciiTheme="minorEastAsia" w:hAnsiTheme="minorEastAsia" w:eastAsiaTheme="minorEastAsia" w:cstheme="minorEastAsia"/>
          <w:sz w:val="21"/>
          <w:szCs w:val="21"/>
        </w:rPr>
      </w:pPr>
      <w:bookmarkStart w:id="14" w:name="_Toc12264"/>
      <w:r>
        <w:rPr>
          <w:rFonts w:hint="eastAsia" w:asciiTheme="minorEastAsia" w:hAnsiTheme="minorEastAsia" w:eastAsiaTheme="minorEastAsia" w:cstheme="minorEastAsia"/>
          <w:sz w:val="21"/>
          <w:szCs w:val="21"/>
        </w:rPr>
        <w:t>公告期限</w:t>
      </w:r>
      <w:bookmarkEnd w:id="14"/>
    </w:p>
    <w:p>
      <w:pPr>
        <w:spacing w:line="360" w:lineRule="auto"/>
        <w:ind w:firstLine="420" w:firstLineChars="200"/>
        <w:jc w:val="left"/>
        <w:rPr>
          <w:rFonts w:hint="eastAsia" w:asciiTheme="minorEastAsia" w:hAnsiTheme="minorEastAsia" w:eastAsiaTheme="minorEastAsia" w:cstheme="minorEastAsia"/>
          <w:sz w:val="21"/>
          <w:szCs w:val="21"/>
          <w:lang w:eastAsia="zh-CN"/>
        </w:rPr>
      </w:pPr>
      <w:bookmarkStart w:id="15" w:name="_Toc259607751"/>
      <w:bookmarkStart w:id="16" w:name="_Toc317262251"/>
      <w:bookmarkStart w:id="17" w:name="_Toc6021"/>
      <w:bookmarkStart w:id="18" w:name="_Toc334539188"/>
      <w:bookmarkStart w:id="19" w:name="_Toc276368888"/>
      <w:bookmarkStart w:id="20" w:name="_Toc320898024"/>
      <w:r>
        <w:rPr>
          <w:rFonts w:hint="eastAsia" w:asciiTheme="minorEastAsia" w:hAnsiTheme="minorEastAsia" w:eastAsiaTheme="minorEastAsia" w:cstheme="minorEastAsia"/>
          <w:sz w:val="21"/>
          <w:szCs w:val="21"/>
          <w:lang w:val="en-US" w:eastAsia="zh-CN"/>
        </w:rPr>
        <w:t>自本公告发布之日起3个工作日</w:t>
      </w:r>
    </w:p>
    <w:bookmarkEnd w:id="15"/>
    <w:bookmarkEnd w:id="16"/>
    <w:bookmarkEnd w:id="17"/>
    <w:bookmarkEnd w:id="18"/>
    <w:bookmarkEnd w:id="19"/>
    <w:bookmarkEnd w:id="20"/>
    <w:p>
      <w:pPr>
        <w:pStyle w:val="5"/>
        <w:numPr>
          <w:ilvl w:val="0"/>
          <w:numId w:val="6"/>
        </w:numPr>
        <w:spacing w:line="360" w:lineRule="auto"/>
        <w:jc w:val="left"/>
        <w:rPr>
          <w:rFonts w:hint="eastAsia" w:asciiTheme="minorEastAsia" w:hAnsiTheme="minorEastAsia" w:eastAsiaTheme="minorEastAsia" w:cstheme="minorEastAsia"/>
          <w:sz w:val="21"/>
          <w:szCs w:val="21"/>
        </w:rPr>
      </w:pPr>
      <w:bookmarkStart w:id="21" w:name="_Toc2961"/>
      <w:r>
        <w:rPr>
          <w:rFonts w:hint="eastAsia" w:asciiTheme="minorEastAsia" w:hAnsiTheme="minorEastAsia" w:eastAsiaTheme="minorEastAsia" w:cstheme="minorEastAsia"/>
          <w:sz w:val="21"/>
          <w:szCs w:val="21"/>
        </w:rPr>
        <w:t>其他补充事宜</w:t>
      </w:r>
      <w:bookmarkEnd w:id="21"/>
    </w:p>
    <w:p>
      <w:pPr>
        <w:numPr>
          <w:ilvl w:val="0"/>
          <w:numId w:val="0"/>
        </w:numPr>
        <w:spacing w:line="360" w:lineRule="auto"/>
        <w:ind w:firstLine="420" w:firstLineChars="200"/>
        <w:jc w:val="left"/>
        <w:rPr>
          <w:rFonts w:hint="default" w:asciiTheme="minorEastAsia" w:hAnsiTheme="minorEastAsia" w:eastAsiaTheme="minorEastAsia" w:cstheme="minorEastAsia"/>
          <w:color w:val="auto"/>
          <w:sz w:val="21"/>
          <w:szCs w:val="21"/>
          <w:lang w:val="en-US" w:eastAsia="zh-CN"/>
        </w:rPr>
      </w:pPr>
      <w:bookmarkStart w:id="22" w:name="_Toc259028279"/>
      <w:r>
        <w:rPr>
          <w:rFonts w:hint="eastAsia" w:asciiTheme="minorEastAsia" w:hAnsiTheme="minorEastAsia" w:eastAsiaTheme="minorEastAsia" w:cstheme="minorEastAsia"/>
          <w:color w:val="auto"/>
          <w:sz w:val="21"/>
          <w:szCs w:val="21"/>
          <w:lang w:val="en-US" w:eastAsia="zh-CN"/>
        </w:rPr>
        <w:t>1.本项目资金性质为：自筹资金</w:t>
      </w:r>
    </w:p>
    <w:p>
      <w:pPr>
        <w:spacing w:line="360" w:lineRule="auto"/>
        <w:ind w:firstLine="420" w:firstLineChars="20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lang w:val="en-US" w:eastAsia="zh-CN"/>
        </w:rPr>
        <w:t>2.供应商如需查询技术要求可</w:t>
      </w:r>
      <w:r>
        <w:rPr>
          <w:rFonts w:hint="eastAsia" w:asciiTheme="minorEastAsia" w:hAnsiTheme="minorEastAsia" w:eastAsiaTheme="minorEastAsia" w:cstheme="minorEastAsia"/>
          <w:sz w:val="21"/>
          <w:szCs w:val="21"/>
          <w:lang w:val="en-US" w:eastAsia="zh-CN"/>
        </w:rPr>
        <w:t>到我处查阅采购文件第三章相关内容。</w:t>
      </w:r>
    </w:p>
    <w:p>
      <w:pPr>
        <w:spacing w:line="360" w:lineRule="auto"/>
        <w:ind w:firstLine="420" w:firstLineChars="20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3.本项目将在以下网站发布所有信息，请参加本项目竞标的供应商密切关注。</w:t>
      </w:r>
    </w:p>
    <w:bookmarkEnd w:id="22"/>
    <w:p>
      <w:pPr>
        <w:spacing w:line="360" w:lineRule="auto"/>
        <w:ind w:firstLine="420" w:firstLineChars="200"/>
        <w:jc w:val="left"/>
        <w:rPr>
          <w:rFonts w:hint="eastAsia" w:ascii="宋体" w:hAnsi="宋体" w:eastAsia="宋体" w:cs="宋体"/>
          <w:color w:val="auto"/>
          <w:sz w:val="21"/>
          <w:szCs w:val="21"/>
          <w:highlight w:val="yellow"/>
          <w:lang w:val="en-US" w:eastAsia="zh-CN"/>
        </w:rPr>
      </w:pPr>
      <w:bookmarkStart w:id="23" w:name="_Toc20355"/>
      <w:r>
        <w:rPr>
          <w:rFonts w:hint="eastAsia" w:ascii="宋体" w:hAnsi="宋体" w:eastAsia="宋体" w:cs="宋体"/>
          <w:color w:val="auto"/>
          <w:sz w:val="21"/>
          <w:szCs w:val="21"/>
          <w:highlight w:val="none"/>
          <w:lang w:val="en-US" w:eastAsia="zh-CN"/>
        </w:rPr>
        <w:t>（1）《中国招标投标公共服务平台》（网址：http://www.cebpubservice.com/）</w:t>
      </w:r>
    </w:p>
    <w:p>
      <w:pPr>
        <w:spacing w:line="360" w:lineRule="auto"/>
        <w:ind w:firstLine="420" w:firstLineChars="200"/>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（2）《中经国际招标集团有限公司官网》（网址：</w:t>
      </w:r>
      <w:r>
        <w:rPr>
          <w:rFonts w:hint="eastAsia" w:ascii="宋体" w:hAnsi="宋体" w:eastAsia="宋体" w:cs="宋体"/>
          <w:color w:val="auto"/>
          <w:sz w:val="21"/>
          <w:szCs w:val="21"/>
          <w:lang w:val="en-US" w:eastAsia="zh-CN"/>
        </w:rPr>
        <w:fldChar w:fldCharType="begin"/>
      </w:r>
      <w:r>
        <w:rPr>
          <w:rFonts w:hint="eastAsia" w:ascii="宋体" w:hAnsi="宋体" w:eastAsia="宋体" w:cs="宋体"/>
          <w:color w:val="auto"/>
          <w:sz w:val="21"/>
          <w:szCs w:val="21"/>
          <w:lang w:val="en-US" w:eastAsia="zh-CN"/>
        </w:rPr>
        <w:instrText xml:space="preserve"> HYPERLINK "http://www.ceitcl.com/）" </w:instrText>
      </w:r>
      <w:r>
        <w:rPr>
          <w:rFonts w:hint="eastAsia" w:ascii="宋体" w:hAnsi="宋体" w:eastAsia="宋体" w:cs="宋体"/>
          <w:color w:val="auto"/>
          <w:sz w:val="21"/>
          <w:szCs w:val="21"/>
          <w:lang w:val="en-US" w:eastAsia="zh-CN"/>
        </w:rPr>
        <w:fldChar w:fldCharType="separate"/>
      </w:r>
      <w:r>
        <w:rPr>
          <w:rFonts w:hint="eastAsia" w:ascii="宋体" w:hAnsi="宋体" w:eastAsia="宋体" w:cs="宋体"/>
          <w:color w:val="auto"/>
          <w:sz w:val="21"/>
          <w:szCs w:val="21"/>
          <w:lang w:val="en-US" w:eastAsia="zh-CN"/>
        </w:rPr>
        <w:t>http://www.ceitcl.com/）</w:t>
      </w:r>
      <w:r>
        <w:rPr>
          <w:rFonts w:hint="eastAsia" w:ascii="宋体" w:hAnsi="宋体" w:eastAsia="宋体" w:cs="宋体"/>
          <w:color w:val="auto"/>
          <w:sz w:val="21"/>
          <w:szCs w:val="21"/>
          <w:lang w:val="en-US" w:eastAsia="zh-CN"/>
        </w:rPr>
        <w:fldChar w:fldCharType="end"/>
      </w:r>
    </w:p>
    <w:p>
      <w:pPr>
        <w:pStyle w:val="5"/>
        <w:numPr>
          <w:ilvl w:val="0"/>
          <w:numId w:val="6"/>
        </w:num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凡对本次采购提出询问，请按以下方式联系</w:t>
      </w:r>
      <w:bookmarkEnd w:id="23"/>
    </w:p>
    <w:p>
      <w:pPr>
        <w:spacing w:line="360" w:lineRule="auto"/>
        <w:ind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sz w:val="21"/>
          <w:szCs w:val="21"/>
          <w:lang w:eastAsia="zh-CN"/>
        </w:rPr>
        <w:t>1.采购</w:t>
      </w:r>
      <w:r>
        <w:rPr>
          <w:rFonts w:hint="eastAsia" w:asciiTheme="minorEastAsia" w:hAnsiTheme="minorEastAsia" w:eastAsiaTheme="minorEastAsia" w:cstheme="minorEastAsia"/>
          <w:color w:val="auto"/>
          <w:sz w:val="21"/>
          <w:szCs w:val="21"/>
          <w:lang w:eastAsia="zh-CN"/>
        </w:rPr>
        <w:t>人信息</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名 称：武汉船舶职业技术学院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地</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址：武汉市汉阳区月湖街铁桥南村2号　　　　　　　　　　　　</w:t>
      </w:r>
    </w:p>
    <w:p>
      <w:pPr>
        <w:spacing w:line="360" w:lineRule="auto"/>
        <w:ind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宋体" w:hAnsi="宋体" w:eastAsia="宋体" w:cs="宋体"/>
          <w:color w:val="auto"/>
          <w:sz w:val="21"/>
          <w:szCs w:val="21"/>
          <w:lang w:eastAsia="zh-CN"/>
        </w:rPr>
        <w:t>联系方式：027-84809856　</w:t>
      </w:r>
      <w:r>
        <w:rPr>
          <w:rFonts w:hint="eastAsia" w:asciiTheme="minorEastAsia" w:hAnsiTheme="minorEastAsia" w:eastAsiaTheme="minorEastAsia" w:cstheme="minorEastAsia"/>
          <w:color w:val="FF0000"/>
          <w:sz w:val="21"/>
          <w:szCs w:val="21"/>
          <w:lang w:eastAsia="zh-CN"/>
        </w:rPr>
        <w:t>　</w:t>
      </w:r>
      <w:r>
        <w:rPr>
          <w:rFonts w:hint="eastAsia" w:asciiTheme="minorEastAsia" w:hAnsiTheme="minorEastAsia" w:eastAsiaTheme="minorEastAsia" w:cstheme="minorEastAsia"/>
          <w:color w:val="auto"/>
          <w:sz w:val="21"/>
          <w:szCs w:val="21"/>
          <w:lang w:eastAsia="zh-CN"/>
        </w:rPr>
        <w:t xml:space="preserve">　　　　　　　　　 </w:t>
      </w:r>
    </w:p>
    <w:p>
      <w:pPr>
        <w:spacing w:line="360" w:lineRule="auto"/>
        <w:ind w:firstLine="420" w:firstLineChars="200"/>
        <w:jc w:val="lef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sz w:val="21"/>
          <w:szCs w:val="21"/>
          <w:lang w:eastAsia="zh-CN"/>
        </w:rPr>
        <w:t>2.采购代理机</w:t>
      </w:r>
      <w:r>
        <w:rPr>
          <w:rFonts w:hint="eastAsia" w:asciiTheme="minorEastAsia" w:hAnsiTheme="minorEastAsia" w:eastAsiaTheme="minorEastAsia" w:cstheme="minorEastAsia"/>
          <w:sz w:val="21"/>
          <w:szCs w:val="21"/>
          <w:lang w:eastAsia="zh-CN"/>
        </w:rPr>
        <w:t>构信息</w:t>
      </w:r>
    </w:p>
    <w:p>
      <w:pPr>
        <w:spacing w:line="360" w:lineRule="auto"/>
        <w:ind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sz w:val="21"/>
          <w:szCs w:val="21"/>
          <w:lang w:eastAsia="zh-CN"/>
        </w:rPr>
        <w:t xml:space="preserve">名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称：中经国</w:t>
      </w:r>
      <w:r>
        <w:rPr>
          <w:rFonts w:hint="eastAsia" w:asciiTheme="minorEastAsia" w:hAnsiTheme="minorEastAsia" w:eastAsiaTheme="minorEastAsia" w:cstheme="minorEastAsia"/>
          <w:color w:val="auto"/>
          <w:sz w:val="21"/>
          <w:szCs w:val="21"/>
          <w:lang w:eastAsia="zh-CN"/>
        </w:rPr>
        <w:t>际招标集团有限公司　　　　　　　　　　　　</w:t>
      </w:r>
    </w:p>
    <w:p>
      <w:pPr>
        <w:spacing w:line="360" w:lineRule="auto"/>
        <w:ind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地　址：武昌区中北路岳家嘴立交山河企业大厦</w:t>
      </w:r>
      <w:r>
        <w:rPr>
          <w:rFonts w:hint="eastAsia" w:asciiTheme="minorEastAsia" w:hAnsiTheme="minorEastAsia" w:eastAsiaTheme="minorEastAsia" w:cstheme="minorEastAsia"/>
          <w:color w:val="auto"/>
          <w:sz w:val="21"/>
          <w:szCs w:val="21"/>
          <w:lang w:val="en-US" w:eastAsia="zh-CN"/>
        </w:rPr>
        <w:t>48楼4805、</w:t>
      </w:r>
      <w:r>
        <w:rPr>
          <w:rFonts w:hint="eastAsia" w:asciiTheme="minorEastAsia" w:hAnsiTheme="minorEastAsia" w:eastAsiaTheme="minorEastAsia" w:cstheme="minorEastAsia"/>
          <w:color w:val="auto"/>
          <w:sz w:val="21"/>
          <w:szCs w:val="21"/>
          <w:lang w:eastAsia="zh-CN"/>
        </w:rPr>
        <w:t>4806室　　　　　　　　　　　　</w:t>
      </w:r>
    </w:p>
    <w:p>
      <w:pPr>
        <w:spacing w:line="360" w:lineRule="auto"/>
        <w:ind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联系方式：</w:t>
      </w:r>
      <w:r>
        <w:rPr>
          <w:rFonts w:hint="eastAsia" w:asciiTheme="minorEastAsia" w:hAnsiTheme="minorEastAsia" w:eastAsiaTheme="minorEastAsia" w:cstheme="minorEastAsia"/>
          <w:color w:val="auto"/>
          <w:sz w:val="21"/>
          <w:szCs w:val="21"/>
          <w:lang w:val="en-US" w:eastAsia="zh-CN"/>
        </w:rPr>
        <w:t>027-87820788</w:t>
      </w:r>
      <w:r>
        <w:rPr>
          <w:rFonts w:hint="eastAsia" w:asciiTheme="minorEastAsia" w:hAnsiTheme="minorEastAsia" w:eastAsiaTheme="minorEastAsia" w:cstheme="minorEastAsia"/>
          <w:color w:val="auto"/>
          <w:sz w:val="21"/>
          <w:szCs w:val="21"/>
          <w:lang w:eastAsia="zh-CN"/>
        </w:rPr>
        <w:t>　　　　　　　　　　　　</w:t>
      </w:r>
    </w:p>
    <w:p>
      <w:pPr>
        <w:spacing w:line="360" w:lineRule="auto"/>
        <w:ind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3.项目联系方式</w:t>
      </w:r>
    </w:p>
    <w:p>
      <w:pPr>
        <w:spacing w:line="360" w:lineRule="auto"/>
        <w:ind w:firstLine="420" w:firstLineChars="200"/>
        <w:jc w:val="left"/>
        <w:outlineLvl w:val="9"/>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项目联系人：</w:t>
      </w:r>
      <w:r>
        <w:rPr>
          <w:rFonts w:hint="eastAsia" w:asciiTheme="minorEastAsia" w:hAnsiTheme="minorEastAsia" w:eastAsiaTheme="minorEastAsia" w:cstheme="minorEastAsia"/>
          <w:color w:val="auto"/>
          <w:sz w:val="21"/>
          <w:szCs w:val="21"/>
          <w:lang w:val="en-US" w:eastAsia="zh-CN"/>
        </w:rPr>
        <w:t>张梦、刘思雨</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 w:val="21"/>
          <w:szCs w:val="21"/>
          <w:lang w:eastAsia="zh-CN"/>
        </w:rPr>
        <w:t>电</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lang w:eastAsia="zh-CN"/>
        </w:rPr>
        <w:t>　话：</w:t>
      </w:r>
      <w:r>
        <w:rPr>
          <w:rFonts w:hint="eastAsia" w:asciiTheme="minorEastAsia" w:hAnsiTheme="minorEastAsia" w:eastAsiaTheme="minorEastAsia" w:cstheme="minorEastAsia"/>
          <w:color w:val="auto"/>
          <w:sz w:val="21"/>
          <w:szCs w:val="21"/>
          <w:lang w:val="en-US" w:eastAsia="zh-CN"/>
        </w:rPr>
        <w:t>027-87820788</w:t>
      </w:r>
      <w:r>
        <w:rPr>
          <w:rFonts w:hint="eastAsia" w:asciiTheme="minorEastAsia" w:hAnsiTheme="minorEastAsia" w:eastAsiaTheme="minorEastAsia" w:cstheme="minorEastAsia"/>
          <w:color w:val="auto"/>
          <w:sz w:val="21"/>
          <w:szCs w:val="21"/>
          <w:lang w:eastAsia="zh-CN"/>
        </w:rPr>
        <w:t>　　</w:t>
      </w:r>
    </w:p>
    <w:p>
      <w:pPr>
        <w:pStyle w:val="5"/>
        <w:numPr>
          <w:ilvl w:val="0"/>
          <w:numId w:val="6"/>
        </w:num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24" w:name="_Toc5336"/>
      <w:bookmarkStart w:id="25" w:name="_Toc24714"/>
      <w:r>
        <w:rPr>
          <w:rFonts w:hint="eastAsia" w:asciiTheme="minorEastAsia" w:hAnsiTheme="minorEastAsia" w:eastAsiaTheme="minorEastAsia" w:cstheme="minorEastAsia"/>
          <w:sz w:val="21"/>
          <w:szCs w:val="21"/>
        </w:rPr>
        <w:t>注意事项</w:t>
      </w:r>
      <w:bookmarkEnd w:id="24"/>
      <w:bookmarkEnd w:id="25"/>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1.供应商在获取本项目竞争性磋商文件前须仔细阅读资格要求内容，并按磋商文件规定要求在响应文件中递交合格有效的资格证明文件，资格审查资料不合格将导致竞标失败。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hint="eastAsia" w:asciiTheme="minorEastAsia" w:hAnsiTheme="minorEastAsia" w:eastAsiaTheme="minorEastAsia" w:cstheme="minorEastAsia"/>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2022</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01</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19</w:t>
      </w:r>
      <w:r>
        <w:rPr>
          <w:rFonts w:hint="eastAsia" w:asciiTheme="minorEastAsia" w:hAnsiTheme="minorEastAsia" w:eastAsiaTheme="minorEastAsia" w:cstheme="minorEastAsia"/>
          <w:szCs w:val="21"/>
        </w:rPr>
        <w:t>日</w:t>
      </w:r>
    </w:p>
    <w:p>
      <w:pPr>
        <w:numPr>
          <w:ilvl w:val="0"/>
          <w:numId w:val="4"/>
        </w:numPr>
        <w:jc w:val="both"/>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p>
    <w:p>
      <w:pPr>
        <w:pStyle w:val="4"/>
        <w:numPr>
          <w:ilvl w:val="0"/>
          <w:numId w:val="4"/>
        </w:numPr>
        <w:jc w:val="center"/>
        <w:rPr>
          <w:rFonts w:hint="eastAsia" w:asciiTheme="minorEastAsia" w:hAnsiTheme="minorEastAsia" w:eastAsiaTheme="minorEastAsia" w:cstheme="minorEastAsia"/>
          <w:sz w:val="32"/>
          <w:szCs w:val="32"/>
        </w:rPr>
      </w:pPr>
      <w:bookmarkStart w:id="26" w:name="_Toc3981"/>
      <w:r>
        <w:rPr>
          <w:rFonts w:hint="eastAsia" w:asciiTheme="minorEastAsia" w:hAnsiTheme="minorEastAsia" w:eastAsiaTheme="minorEastAsia" w:cstheme="minorEastAsia"/>
          <w:sz w:val="36"/>
          <w:szCs w:val="36"/>
        </w:rPr>
        <w:t>供应商须知</w:t>
      </w:r>
      <w:bookmarkEnd w:id="26"/>
    </w:p>
    <w:p>
      <w:pPr>
        <w:autoSpaceDE w:val="0"/>
        <w:autoSpaceDN w:val="0"/>
        <w:adjustRightInd w:val="0"/>
        <w:spacing w:line="360" w:lineRule="auto"/>
        <w:jc w:val="center"/>
        <w:outlineLvl w:val="1"/>
        <w:rPr>
          <w:rFonts w:hint="eastAsia" w:asciiTheme="minorEastAsia" w:hAnsiTheme="minorEastAsia" w:eastAsiaTheme="minorEastAsia" w:cstheme="minorEastAsia"/>
          <w:b/>
          <w:szCs w:val="21"/>
          <w:lang w:val="zh-CN"/>
        </w:rPr>
      </w:pPr>
      <w:bookmarkStart w:id="27" w:name="_Toc1221"/>
      <w:r>
        <w:rPr>
          <w:rFonts w:hint="eastAsia" w:asciiTheme="minorEastAsia" w:hAnsiTheme="minorEastAsia" w:eastAsiaTheme="minorEastAsia" w:cstheme="minorEastAsia"/>
          <w:b/>
          <w:szCs w:val="21"/>
        </w:rPr>
        <w:t>《供应商须知前附表》</w:t>
      </w:r>
      <w:bookmarkEnd w:id="27"/>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3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条款号</w:t>
            </w:r>
          </w:p>
        </w:tc>
        <w:tc>
          <w:tcPr>
            <w:tcW w:w="2127"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6"/>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2.1</w:t>
            </w:r>
          </w:p>
        </w:tc>
        <w:tc>
          <w:tcPr>
            <w:tcW w:w="2127" w:type="dxa"/>
            <w:vAlign w:val="center"/>
          </w:tcPr>
          <w:p>
            <w:pPr>
              <w:pStyle w:val="26"/>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spacing w:line="240" w:lineRule="auto"/>
              <w:jc w:val="left"/>
              <w:rPr>
                <w:rFonts w:hint="eastAsia" w:asciiTheme="minorEastAsia" w:hAnsiTheme="minorEastAsia" w:eastAsiaTheme="minorEastAsia" w:cstheme="minorEastAsia"/>
                <w:color w:val="FF0000"/>
                <w:sz w:val="21"/>
                <w:szCs w:val="21"/>
                <w:lang w:val="zh-CN"/>
              </w:rPr>
            </w:pPr>
            <w:r>
              <w:rPr>
                <w:rFonts w:hint="eastAsia" w:ascii="宋体" w:hAnsi="宋体" w:eastAsia="宋体" w:cs="宋体"/>
                <w:color w:val="auto"/>
                <w:sz w:val="21"/>
                <w:szCs w:val="21"/>
                <w:lang w:eastAsia="zh-CN"/>
              </w:rPr>
              <w:t>武汉船舶职业技术学院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2127" w:type="dxa"/>
            <w:vAlign w:val="center"/>
          </w:tcPr>
          <w:p>
            <w:pPr>
              <w:pStyle w:val="26"/>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FF0000"/>
                <w:sz w:val="21"/>
                <w:szCs w:val="21"/>
                <w:lang w:val="zh-CN"/>
              </w:rPr>
            </w:pPr>
            <w:r>
              <w:rPr>
                <w:rFonts w:hint="eastAsia" w:ascii="宋体" w:hAnsi="宋体" w:eastAsia="宋体" w:cs="宋体"/>
                <w:color w:val="auto"/>
                <w:sz w:val="21"/>
                <w:szCs w:val="21"/>
                <w:lang w:eastAsia="zh-CN"/>
              </w:rPr>
              <w:t>武汉船舶职业技术学院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2127" w:type="dxa"/>
            <w:vAlign w:val="center"/>
          </w:tcPr>
          <w:p>
            <w:pPr>
              <w:pStyle w:val="26"/>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采购代理机构</w:t>
            </w:r>
          </w:p>
        </w:tc>
        <w:tc>
          <w:tcPr>
            <w:tcW w:w="6130" w:type="dxa"/>
            <w:vAlign w:val="center"/>
          </w:tcPr>
          <w:p>
            <w:pPr>
              <w:pStyle w:val="26"/>
              <w:widowControl w:val="0"/>
              <w:autoSpaceDE w:val="0"/>
              <w:autoSpaceDN w:val="0"/>
              <w:adjustRightInd w:val="0"/>
              <w:spacing w:before="31" w:beforeLines="10" w:beforeAutospacing="0" w:after="31" w:afterLines="10" w:afterAutospacing="0" w:line="240" w:lineRule="auto"/>
              <w:ind w:left="21" w:leftChars="10" w:right="21" w:rightChars="10"/>
              <w:jc w:val="left"/>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6"/>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2.5</w:t>
            </w:r>
          </w:p>
        </w:tc>
        <w:tc>
          <w:tcPr>
            <w:tcW w:w="2127" w:type="dxa"/>
            <w:vAlign w:val="center"/>
          </w:tcPr>
          <w:p>
            <w:pPr>
              <w:pStyle w:val="26"/>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磋商供应商</w:t>
            </w:r>
          </w:p>
        </w:tc>
        <w:tc>
          <w:tcPr>
            <w:tcW w:w="6130" w:type="dxa"/>
            <w:vAlign w:val="center"/>
          </w:tcPr>
          <w:p>
            <w:pPr>
              <w:pStyle w:val="26"/>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sz w:val="21"/>
                <w:szCs w:val="21"/>
                <w:lang w:val="zh-CN"/>
              </w:rPr>
              <w:t>详见</w:t>
            </w:r>
            <w:r>
              <w:rPr>
                <w:rFonts w:hint="eastAsia"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6"/>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rPr>
              <w:t>招标代理服务费</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根据国家发展与改革委员会办公厅发改办价格【2003】857号文的规定，经与</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协商，由</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按国家发展计划委员会计价格【2002】1980号文规定</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rPr>
              <w:t>取费标准</w:t>
            </w:r>
            <w:r>
              <w:rPr>
                <w:rFonts w:hint="eastAsia" w:asciiTheme="minorEastAsia" w:hAnsiTheme="minorEastAsia" w:eastAsiaTheme="minorEastAsia" w:cstheme="minorEastAsia"/>
                <w:sz w:val="21"/>
                <w:szCs w:val="21"/>
                <w:lang w:val="en-US" w:eastAsia="zh-CN"/>
              </w:rPr>
              <w:t>的90%</w:t>
            </w:r>
            <w:r>
              <w:rPr>
                <w:rFonts w:hint="eastAsia" w:asciiTheme="minorEastAsia" w:hAnsiTheme="minorEastAsia" w:eastAsiaTheme="minorEastAsia" w:cstheme="minorEastAsia"/>
                <w:sz w:val="21"/>
                <w:szCs w:val="21"/>
              </w:rPr>
              <w:t>向采</w:t>
            </w:r>
            <w:r>
              <w:rPr>
                <w:rFonts w:hint="eastAsia" w:asciiTheme="minorEastAsia" w:hAnsiTheme="minorEastAsia" w:eastAsiaTheme="minorEastAsia" w:cstheme="minorEastAsia"/>
                <w:color w:val="auto"/>
                <w:sz w:val="21"/>
                <w:szCs w:val="21"/>
              </w:rPr>
              <w:t>购代理机构支付招标代理服务费。招标代理服务费由</w:t>
            </w:r>
            <w:r>
              <w:rPr>
                <w:rFonts w:hint="eastAsia" w:asciiTheme="minorEastAsia" w:hAnsiTheme="minorEastAsia" w:eastAsiaTheme="minorEastAsia" w:cstheme="minorEastAsia"/>
                <w:color w:val="auto"/>
                <w:sz w:val="21"/>
                <w:szCs w:val="21"/>
                <w:lang w:eastAsia="zh-CN"/>
              </w:rPr>
              <w:t>中标人</w:t>
            </w:r>
            <w:r>
              <w:rPr>
                <w:rFonts w:hint="eastAsia" w:asciiTheme="minorEastAsia" w:hAnsiTheme="minorEastAsia" w:eastAsiaTheme="minorEastAsia" w:cstheme="minorEastAsia"/>
                <w:color w:val="auto"/>
                <w:sz w:val="21"/>
                <w:szCs w:val="21"/>
              </w:rPr>
              <w:t>在领取成交通知书的</w:t>
            </w:r>
            <w:r>
              <w:rPr>
                <w:rFonts w:hint="eastAsia" w:asciiTheme="minorEastAsia" w:hAnsiTheme="minorEastAsia" w:eastAsiaTheme="minorEastAsia" w:cstheme="minorEastAsia"/>
                <w:b w:val="0"/>
                <w:bCs w:val="0"/>
                <w:color w:val="auto"/>
                <w:sz w:val="21"/>
                <w:szCs w:val="21"/>
              </w:rPr>
              <w:t>同时</w:t>
            </w:r>
            <w:r>
              <w:rPr>
                <w:rFonts w:hint="eastAsia" w:asciiTheme="minorEastAsia" w:hAnsiTheme="minorEastAsia" w:eastAsiaTheme="minorEastAsia" w:cstheme="minorEastAsia"/>
                <w:color w:val="auto"/>
                <w:sz w:val="21"/>
                <w:szCs w:val="21"/>
              </w:rPr>
              <w:t>，向采购代理机构支付。</w:t>
            </w:r>
            <w:r>
              <w:rPr>
                <w:rFonts w:hint="eastAsia" w:asciiTheme="minorEastAsia" w:hAnsiTheme="minorEastAsia" w:eastAsiaTheme="minorEastAsia" w:cstheme="minorEastAsia"/>
                <w:color w:val="auto"/>
                <w:sz w:val="21"/>
                <w:szCs w:val="21"/>
                <w:lang w:eastAsia="zh-CN"/>
              </w:rPr>
              <w:t>详见成交公告。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6"/>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napToGrid w:val="0"/>
                <w:kern w:val="0"/>
                <w:sz w:val="21"/>
                <w:szCs w:val="21"/>
                <w:lang w:val="zh-CN"/>
              </w:rPr>
              <w:t>提疑、</w:t>
            </w:r>
            <w:r>
              <w:rPr>
                <w:rFonts w:hint="eastAsia" w:asciiTheme="minorEastAsia" w:hAnsiTheme="minorEastAsia" w:eastAsiaTheme="minorEastAsia" w:cstheme="minorEastAsia"/>
                <w:b w:val="0"/>
                <w:bCs w:val="0"/>
                <w:snapToGrid w:val="0"/>
                <w:kern w:val="0"/>
                <w:sz w:val="21"/>
                <w:szCs w:val="21"/>
                <w:lang w:val="en-US" w:eastAsia="zh-CN"/>
              </w:rPr>
              <w:t>质疑</w:t>
            </w:r>
            <w:r>
              <w:rPr>
                <w:rFonts w:hint="eastAsia" w:asciiTheme="minorEastAsia" w:hAnsiTheme="minorEastAsia" w:eastAsiaTheme="minorEastAsia" w:cstheme="minorEastAsia"/>
                <w:b w:val="0"/>
                <w:bCs w:val="0"/>
                <w:snapToGrid w:val="0"/>
                <w:kern w:val="0"/>
                <w:sz w:val="21"/>
                <w:szCs w:val="21"/>
                <w:lang w:val="zh-CN"/>
              </w:rPr>
              <w:t>截止时间</w:t>
            </w:r>
          </w:p>
        </w:tc>
        <w:tc>
          <w:tcPr>
            <w:tcW w:w="6130" w:type="dxa"/>
            <w:vAlign w:val="center"/>
          </w:tcPr>
          <w:p>
            <w:pPr>
              <w:pStyle w:val="26"/>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zh-CN"/>
              </w:rPr>
              <w:t>供应商认为磋商文件、磋商过程和成交结果使自己的权益受到损害</w:t>
            </w:r>
          </w:p>
          <w:p>
            <w:pPr>
              <w:pStyle w:val="26"/>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zh-CN"/>
              </w:rPr>
              <w:t>的，可以在知道或者应知其权益受到损害之日起</w:t>
            </w:r>
            <w:r>
              <w:rPr>
                <w:rFonts w:hint="eastAsia" w:asciiTheme="minorEastAsia" w:hAnsiTheme="minorEastAsia" w:eastAsiaTheme="minorEastAsia" w:cstheme="minorEastAsia"/>
                <w:b w:val="0"/>
                <w:bCs w:val="0"/>
                <w:sz w:val="21"/>
                <w:szCs w:val="21"/>
                <w:lang w:val="en-US" w:eastAsia="zh-CN"/>
              </w:rPr>
              <w:t>7</w:t>
            </w:r>
            <w:r>
              <w:rPr>
                <w:rFonts w:hint="eastAsia" w:asciiTheme="minorEastAsia" w:hAnsiTheme="minorEastAsia" w:eastAsiaTheme="minorEastAsia" w:cstheme="minorEastAsia"/>
                <w:b w:val="0"/>
                <w:bCs w:val="0"/>
                <w:sz w:val="21"/>
                <w:szCs w:val="21"/>
                <w:lang w:val="zh-CN"/>
              </w:rPr>
              <w:t>个工作日内，以</w:t>
            </w:r>
          </w:p>
          <w:p>
            <w:pPr>
              <w:pStyle w:val="26"/>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zh-CN"/>
              </w:rPr>
              <w:t>书面形式向采购人或采购代理机构提出。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6"/>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时间</w:t>
            </w:r>
          </w:p>
        </w:tc>
        <w:tc>
          <w:tcPr>
            <w:tcW w:w="6130" w:type="dxa"/>
            <w:vAlign w:val="center"/>
          </w:tcPr>
          <w:p>
            <w:pPr>
              <w:pStyle w:val="26"/>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对多</w:t>
            </w:r>
            <w:r>
              <w:rPr>
                <w:rFonts w:hint="eastAsia" w:asciiTheme="minorEastAsia" w:hAnsiTheme="minorEastAsia" w:eastAsiaTheme="minorEastAsia" w:cstheme="minorEastAsia"/>
                <w:snapToGrid w:val="0"/>
                <w:kern w:val="0"/>
                <w:sz w:val="21"/>
                <w:szCs w:val="21"/>
                <w:lang w:val="en-US" w:eastAsia="zh-CN"/>
              </w:rPr>
              <w:t>包</w:t>
            </w:r>
            <w:r>
              <w:rPr>
                <w:rFonts w:hint="eastAsia" w:asciiTheme="minorEastAsia" w:hAnsiTheme="minorEastAsia" w:eastAsiaTheme="minorEastAsia" w:cstheme="minorEastAsia"/>
                <w:snapToGrid w:val="0"/>
                <w:kern w:val="0"/>
                <w:sz w:val="21"/>
                <w:szCs w:val="21"/>
                <w:lang w:val="zh-CN"/>
              </w:rPr>
              <w:t>采购的规定</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zh-CN" w:eastAsia="zh-CN"/>
              </w:rPr>
              <w:t>详见</w:t>
            </w:r>
            <w:r>
              <w:rPr>
                <w:rFonts w:hint="eastAsia" w:asciiTheme="minorEastAsia" w:hAnsiTheme="minorEastAsia" w:eastAsiaTheme="minorEastAsia" w:cstheme="minorEastAsia"/>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6"/>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备选方案</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本次采购  </w:t>
            </w:r>
            <w:r>
              <w:rPr>
                <w:rFonts w:hint="eastAsia" w:asciiTheme="minorEastAsia" w:hAnsiTheme="minorEastAsia" w:eastAsiaTheme="minorEastAsia" w:cstheme="minorEastAsia"/>
                <w:sz w:val="21"/>
                <w:szCs w:val="21"/>
                <w:u w:val="single"/>
                <w:lang w:val="zh-CN"/>
              </w:rPr>
              <w:t>不接受</w:t>
            </w:r>
            <w:r>
              <w:rPr>
                <w:rFonts w:hint="eastAsia" w:asciiTheme="minorEastAsia" w:hAnsiTheme="minorEastAsia" w:eastAsiaTheme="minorEastAsia" w:cstheme="minorEastAsia"/>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6"/>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联合体磋商</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bCs/>
                <w:sz w:val="21"/>
                <w:szCs w:val="21"/>
                <w:lang w:val="zh-CN"/>
              </w:rPr>
              <w:t>应提交的其它资格证明文件（实质性</w:t>
            </w:r>
            <w:r>
              <w:rPr>
                <w:rFonts w:hint="eastAsia" w:asciiTheme="minorEastAsia" w:hAnsiTheme="minorEastAsia" w:eastAsiaTheme="minorEastAsia" w:cstheme="minorEastAsia"/>
                <w:b/>
                <w:bCs/>
                <w:sz w:val="21"/>
                <w:szCs w:val="21"/>
                <w:lang w:val="en-US" w:eastAsia="zh-CN"/>
              </w:rPr>
              <w:t>内容</w:t>
            </w:r>
            <w:r>
              <w:rPr>
                <w:rFonts w:hint="eastAsia" w:asciiTheme="minorEastAsia" w:hAnsiTheme="minorEastAsia" w:eastAsiaTheme="minorEastAsia" w:cstheme="minorEastAsia"/>
                <w:b/>
                <w:bCs/>
                <w:sz w:val="21"/>
                <w:szCs w:val="21"/>
                <w:lang w:val="zh-CN"/>
              </w:rPr>
              <w:t>要求）</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w:t>
            </w:r>
            <w:r>
              <w:rPr>
                <w:rFonts w:hint="eastAsia" w:asciiTheme="minorEastAsia" w:hAnsiTheme="minorEastAsia" w:eastAsiaTheme="minorEastAsia" w:cstheme="minorEastAsia"/>
                <w:color w:val="auto"/>
                <w:sz w:val="21"/>
                <w:szCs w:val="21"/>
                <w:lang w:val="en-US" w:eastAsia="zh-CN"/>
              </w:rPr>
              <w:t>竞争性磋商</w:t>
            </w:r>
            <w:r>
              <w:rPr>
                <w:rFonts w:hint="eastAsia" w:asciiTheme="minorEastAsia" w:hAnsiTheme="minorEastAsia" w:eastAsiaTheme="minorEastAsia" w:cstheme="minorEastAsia"/>
                <w:color w:val="auto"/>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val="zh-CN"/>
              </w:rPr>
              <w:t>）具有独立承担民事责任的能力；</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val="zh-CN"/>
              </w:rPr>
              <w:t>）具有良好的商业信誉和健全的财务会计制度；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良好的商业信誉证明材料（自拟），财务会计制度指上一年度经第三方审计的财务报告，部分其他组织和自然人，没有财务报告，</w:t>
            </w:r>
            <w:r>
              <w:rPr>
                <w:rFonts w:hint="eastAsia" w:asciiTheme="minorEastAsia" w:hAnsiTheme="minorEastAsia" w:eastAsiaTheme="minorEastAsia" w:cstheme="minorEastAsia"/>
                <w:color w:val="auto"/>
                <w:sz w:val="21"/>
                <w:szCs w:val="21"/>
                <w:lang w:val="en-US" w:eastAsia="zh-CN"/>
              </w:rPr>
              <w:t>可以</w:t>
            </w:r>
            <w:r>
              <w:rPr>
                <w:rFonts w:hint="eastAsia" w:asciiTheme="minorEastAsia" w:hAnsiTheme="minorEastAsia" w:eastAsiaTheme="minorEastAsia" w:cstheme="minorEastAsia"/>
                <w:color w:val="auto"/>
                <w:sz w:val="21"/>
                <w:szCs w:val="21"/>
                <w:lang w:val="zh-CN"/>
              </w:rPr>
              <w:t>提供银行出具的资信证明（银行资信证明应能说明该供应商与银行之间业务往来正常，企业信誉良好等。银行出具的单纯的存款证明不能视作银行资信证明。下同）。由财政部门认可的政府采购专业担保机构对供应商进行资信审查后出具投标担保函的，可以不用提供</w:t>
            </w:r>
            <w:r>
              <w:rPr>
                <w:rFonts w:hint="eastAsia" w:asciiTheme="minorEastAsia" w:hAnsiTheme="minorEastAsia" w:eastAsiaTheme="minorEastAsia" w:cstheme="minorEastAsia"/>
                <w:color w:val="auto"/>
                <w:sz w:val="21"/>
                <w:szCs w:val="21"/>
                <w:lang w:val="en-US" w:eastAsia="zh-CN"/>
              </w:rPr>
              <w:t>财务会计制度对应的相关内容</w:t>
            </w:r>
            <w:r>
              <w:rPr>
                <w:rFonts w:hint="eastAsia" w:asciiTheme="minorEastAsia" w:hAnsiTheme="minorEastAsia" w:eastAsiaTheme="minorEastAsia" w:cstheme="minorEastAsia"/>
                <w:color w:val="auto"/>
                <w:sz w:val="21"/>
                <w:szCs w:val="21"/>
                <w:lang w:val="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val="zh-CN"/>
              </w:rPr>
              <w:t>）具有履行合同所必需的设备和专业技术能力的证明材料；（自拟）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lang w:val="zh-CN"/>
              </w:rPr>
              <w:t>）具有依法缴纳税收和社会保障资金的良好记录：1）供应商依法缴纳税收的证明材料：递交响应文件截止时间往前推算</w:t>
            </w:r>
            <w:r>
              <w:rPr>
                <w:rFonts w:hint="eastAsia" w:asciiTheme="minorEastAsia" w:hAnsiTheme="minorEastAsia" w:eastAsiaTheme="minorEastAsia" w:cstheme="minorEastAsia"/>
                <w:color w:val="auto"/>
                <w:sz w:val="21"/>
                <w:szCs w:val="21"/>
                <w:lang w:val="en-US" w:eastAsia="zh-CN"/>
              </w:rPr>
              <w:t>六个月</w:t>
            </w:r>
            <w:r>
              <w:rPr>
                <w:rFonts w:hint="eastAsia" w:asciiTheme="minorEastAsia" w:hAnsiTheme="minorEastAsia" w:eastAsiaTheme="minorEastAsia" w:cstheme="minorEastAsia"/>
                <w:color w:val="auto"/>
                <w:sz w:val="21"/>
                <w:szCs w:val="21"/>
                <w:lang w:val="zh-CN"/>
              </w:rPr>
              <w:t>以来任意</w:t>
            </w:r>
            <w:r>
              <w:rPr>
                <w:rFonts w:hint="eastAsia" w:asciiTheme="minorEastAsia" w:hAnsiTheme="minorEastAsia" w:eastAsiaTheme="minorEastAsia" w:cstheme="minorEastAsia"/>
                <w:color w:val="auto"/>
                <w:sz w:val="21"/>
                <w:szCs w:val="21"/>
                <w:lang w:val="en-US" w:eastAsia="zh-CN"/>
              </w:rPr>
              <w:t>一</w:t>
            </w:r>
            <w:r>
              <w:rPr>
                <w:rFonts w:hint="eastAsia" w:asciiTheme="minorEastAsia" w:hAnsiTheme="minorEastAsia" w:eastAsiaTheme="minorEastAsia" w:cstheme="minorEastAsia"/>
                <w:color w:val="auto"/>
                <w:sz w:val="21"/>
                <w:szCs w:val="21"/>
                <w:lang w:val="zh-CN"/>
              </w:rPr>
              <w:t>个月缴纳税收的凭据（完税证明、缴款书、银行代扣（代缴）转账凭证等均可）；2）供应商依法缴纳社会保障资金的证明材料：递交响应文件截止时间往前推算</w:t>
            </w:r>
            <w:r>
              <w:rPr>
                <w:rFonts w:hint="eastAsia" w:asciiTheme="minorEastAsia" w:hAnsiTheme="minorEastAsia" w:eastAsiaTheme="minorEastAsia" w:cstheme="minorEastAsia"/>
                <w:color w:val="auto"/>
                <w:sz w:val="21"/>
                <w:szCs w:val="21"/>
                <w:lang w:val="en-US" w:eastAsia="zh-CN"/>
              </w:rPr>
              <w:t>六个月</w:t>
            </w:r>
            <w:r>
              <w:rPr>
                <w:rFonts w:hint="eastAsia" w:asciiTheme="minorEastAsia" w:hAnsiTheme="minorEastAsia" w:eastAsiaTheme="minorEastAsia" w:cstheme="minorEastAsia"/>
                <w:color w:val="auto"/>
                <w:sz w:val="21"/>
                <w:szCs w:val="21"/>
                <w:lang w:val="zh-CN"/>
              </w:rPr>
              <w:t>以来任意</w:t>
            </w:r>
            <w:r>
              <w:rPr>
                <w:rFonts w:hint="eastAsia" w:asciiTheme="minorEastAsia" w:hAnsiTheme="minorEastAsia" w:eastAsiaTheme="minorEastAsia" w:cstheme="minorEastAsia"/>
                <w:color w:val="auto"/>
                <w:sz w:val="21"/>
                <w:szCs w:val="21"/>
                <w:lang w:val="en-US" w:eastAsia="zh-CN"/>
              </w:rPr>
              <w:t>一</w:t>
            </w:r>
            <w:r>
              <w:rPr>
                <w:rFonts w:hint="eastAsia" w:asciiTheme="minorEastAsia" w:hAnsiTheme="minorEastAsia" w:eastAsiaTheme="minorEastAsia" w:cstheme="minorEastAsia"/>
                <w:color w:val="auto"/>
                <w:sz w:val="21"/>
                <w:szCs w:val="21"/>
                <w:lang w:val="zh-CN"/>
              </w:rPr>
              <w:t>个月缴纳社会保险的凭据（专用发票或社会保险缴纳清单）；3）供应商为其他组织或自然人的，也需要按此项规定提供缴纳税收的凭据和缴纳社会保险的凭据；4）递交响应文件截止时间当月成立但因税务机关原因导致其尚未依法缴纳税收的供应商，提供依法缴纳税收承诺书原件（格式自拟），该承诺书视同税收缴纳凭据。5）递交响应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val="zh-CN"/>
              </w:rPr>
              <w:t>）参加政府采购活动前三年内，在经营活动中没有重大违法记录；（提供书面声明）（重大违法记录是指供应商因违法经营受到刑事处罚或者责令停产停业、吊销许可证或者执照、较大数额罚款等行政处罚）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rPr>
              <w:t>（</w:t>
            </w:r>
            <w:r>
              <w:rPr>
                <w:rFonts w:hint="eastAsia" w:asciiTheme="minorEastAsia" w:hAnsiTheme="minorEastAsia" w:eastAsiaTheme="minorEastAsia" w:cstheme="minorEastAsia"/>
                <w:b/>
                <w:bCs/>
                <w:color w:val="auto"/>
                <w:sz w:val="21"/>
                <w:szCs w:val="21"/>
                <w:lang w:val="en-US" w:eastAsia="zh-CN"/>
              </w:rPr>
              <w:t>6</w:t>
            </w:r>
            <w:r>
              <w:rPr>
                <w:rFonts w:hint="eastAsia" w:asciiTheme="minorEastAsia" w:hAnsiTheme="minorEastAsia" w:eastAsiaTheme="minorEastAsia" w:cstheme="minorEastAsia"/>
                <w:b/>
                <w:bCs/>
                <w:color w:val="auto"/>
                <w:sz w:val="21"/>
                <w:szCs w:val="21"/>
                <w:lang w:val="zh-CN"/>
              </w:rPr>
              <w:t>）符合本文件第一章第二款资格要求的所有证明资料。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6"/>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6"/>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磋商保证金金额、递交方式、时间及接受磋商保证金的帐户信息</w:t>
            </w:r>
            <w:r>
              <w:rPr>
                <w:rFonts w:hint="eastAsia" w:asciiTheme="minorEastAsia" w:hAnsiTheme="minorEastAsia" w:eastAsiaTheme="minorEastAsia" w:cstheme="minorEastAsia"/>
                <w:b/>
                <w:bCs/>
                <w:snapToGrid w:val="0"/>
                <w:color w:val="auto"/>
                <w:kern w:val="0"/>
                <w:sz w:val="21"/>
                <w:szCs w:val="21"/>
                <w:lang w:val="zh-CN"/>
              </w:rPr>
              <w:t>（</w:t>
            </w:r>
            <w:r>
              <w:rPr>
                <w:rFonts w:hint="eastAsia" w:asciiTheme="minorEastAsia" w:hAnsiTheme="minorEastAsia" w:eastAsiaTheme="minorEastAsia" w:cstheme="minorEastAsia"/>
                <w:b/>
                <w:bCs/>
                <w:snapToGrid w:val="0"/>
                <w:color w:val="auto"/>
                <w:kern w:val="0"/>
                <w:sz w:val="21"/>
                <w:szCs w:val="21"/>
                <w:lang w:val="en-US" w:eastAsia="zh-CN"/>
              </w:rPr>
              <w:t>本项目不适用</w:t>
            </w:r>
            <w:r>
              <w:rPr>
                <w:rFonts w:hint="eastAsia" w:asciiTheme="minorEastAsia" w:hAnsiTheme="minorEastAsia" w:eastAsiaTheme="minorEastAsia" w:cstheme="minorEastAsia"/>
                <w:b/>
                <w:bCs/>
                <w:snapToGrid w:val="0"/>
                <w:color w:val="auto"/>
                <w:kern w:val="0"/>
                <w:sz w:val="21"/>
                <w:szCs w:val="21"/>
                <w:lang w:val="zh-CN"/>
              </w:rPr>
              <w:t>）</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6"/>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磋商有效期</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kern w:val="0"/>
                <w:sz w:val="21"/>
                <w:szCs w:val="21"/>
              </w:rPr>
              <w:t>自磋商截止时间起共</w:t>
            </w:r>
            <w:r>
              <w:rPr>
                <w:rFonts w:hint="eastAsia" w:asciiTheme="minorEastAsia" w:hAnsiTheme="minorEastAsia" w:eastAsiaTheme="minorEastAsia" w:cstheme="minorEastAsia"/>
                <w:kern w:val="0"/>
                <w:sz w:val="21"/>
                <w:szCs w:val="21"/>
                <w:u w:val="single"/>
                <w:lang w:val="en-US" w:eastAsia="zh-CN"/>
              </w:rPr>
              <w:t xml:space="preserve"> 90 </w:t>
            </w:r>
            <w:r>
              <w:rPr>
                <w:rFonts w:hint="eastAsia" w:asciiTheme="minorEastAsia" w:hAnsiTheme="minorEastAsia" w:eastAsiaTheme="minorEastAsia" w:cstheme="minorEastAsia"/>
                <w:kern w:val="0"/>
                <w:sz w:val="21"/>
                <w:szCs w:val="21"/>
              </w:rPr>
              <w:t>日历天</w:t>
            </w:r>
            <w:r>
              <w:rPr>
                <w:rFonts w:hint="eastAsia" w:asciiTheme="minorEastAsia" w:hAnsiTheme="minorEastAsia" w:eastAsiaTheme="minorEastAsia" w:cstheme="minorEastAsia"/>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6"/>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纸质版：正本</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壹</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贰</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A3"/>
            </w: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lang w:eastAsia="zh-CN"/>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要求，</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电子版内容</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3" w:firstLineChars="400"/>
              <w:jc w:val="lef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shd w:val="clear" w:color="auto" w:fill="FFFFFF"/>
                <w:lang w:eastAsia="zh-CN"/>
              </w:rPr>
              <w:t>响应文件</w:t>
            </w:r>
            <w:r>
              <w:rPr>
                <w:rFonts w:hint="eastAsia" w:asciiTheme="minorEastAsia" w:hAnsiTheme="minorEastAsia" w:eastAsiaTheme="minorEastAsia" w:cstheme="minorEastAsia"/>
                <w:b/>
                <w:bCs/>
                <w:color w:val="auto"/>
                <w:sz w:val="21"/>
                <w:szCs w:val="21"/>
                <w:shd w:val="clear" w:color="auto" w:fill="FFFFFF"/>
              </w:rPr>
              <w:t>电子版格式</w:t>
            </w:r>
            <w:r>
              <w:rPr>
                <w:rFonts w:hint="eastAsia" w:asciiTheme="minorEastAsia" w:hAnsiTheme="minorEastAsia" w:eastAsiaTheme="minorEastAsia" w:cstheme="minorEastAsia"/>
                <w:b/>
                <w:bCs/>
                <w:color w:val="auto"/>
                <w:sz w:val="21"/>
                <w:szCs w:val="21"/>
                <w:shd w:val="clear" w:color="auto" w:fill="FFFFFF"/>
                <w:lang w:eastAsia="zh-CN"/>
              </w:rPr>
              <w:t>：</w:t>
            </w:r>
            <w:r>
              <w:rPr>
                <w:rFonts w:hint="eastAsia" w:asciiTheme="minorEastAsia" w:hAnsiTheme="minorEastAsia" w:eastAsiaTheme="minorEastAsia" w:cstheme="minorEastAsia"/>
                <w:b/>
                <w:bCs/>
                <w:color w:val="auto"/>
                <w:sz w:val="21"/>
                <w:szCs w:val="21"/>
                <w:u w:val="single"/>
                <w:shd w:val="clear" w:color="auto" w:fill="FFFFFF"/>
                <w:lang w:val="en-US" w:eastAsia="zh-CN"/>
              </w:rPr>
              <w:t>WORD</w:t>
            </w:r>
            <w:r>
              <w:rPr>
                <w:rFonts w:hint="eastAsia" w:asciiTheme="minorEastAsia" w:hAnsiTheme="minorEastAsia" w:eastAsiaTheme="minorEastAsia" w:cstheme="minorEastAsia"/>
                <w:b/>
                <w:bCs/>
                <w:color w:val="auto"/>
                <w:sz w:val="21"/>
                <w:szCs w:val="21"/>
                <w:u w:val="single"/>
                <w:shd w:val="clear" w:color="auto" w:fill="FFFFFF"/>
              </w:rPr>
              <w:t>格式</w:t>
            </w:r>
            <w:r>
              <w:rPr>
                <w:rFonts w:hint="eastAsia" w:asciiTheme="minorEastAsia" w:hAnsiTheme="minorEastAsia" w:eastAsiaTheme="minorEastAsia" w:cstheme="minorEastAsia"/>
                <w:b/>
                <w:bCs/>
                <w:color w:val="auto"/>
                <w:sz w:val="21"/>
                <w:szCs w:val="21"/>
                <w:u w:val="single"/>
                <w:shd w:val="clear" w:color="auto" w:fill="FFFFFF"/>
                <w:lang w:val="en-US" w:eastAsia="zh-CN"/>
              </w:rPr>
              <w:t>和加</w:t>
            </w:r>
            <w:r>
              <w:rPr>
                <w:rFonts w:hint="eastAsia" w:asciiTheme="minorEastAsia" w:hAnsiTheme="minorEastAsia" w:eastAsiaTheme="minorEastAsia" w:cstheme="minorEastAsia"/>
                <w:b/>
                <w:bCs/>
                <w:color w:val="auto"/>
                <w:sz w:val="21"/>
                <w:szCs w:val="21"/>
                <w:u w:val="single"/>
                <w:lang w:val="en-US" w:eastAsia="zh-CN"/>
              </w:rPr>
              <w:t>盖公章后的</w:t>
            </w:r>
            <w:r>
              <w:rPr>
                <w:rFonts w:hint="eastAsia" w:asciiTheme="minorEastAsia" w:hAnsiTheme="minorEastAsia" w:eastAsiaTheme="minorEastAsia" w:cstheme="minorEastAsia"/>
                <w:b/>
                <w:bCs/>
                <w:color w:val="auto"/>
                <w:sz w:val="21"/>
                <w:szCs w:val="21"/>
                <w:u w:val="single"/>
              </w:rPr>
              <w:t>PDF</w:t>
            </w:r>
            <w:r>
              <w:rPr>
                <w:rFonts w:hint="eastAsia" w:asciiTheme="minorEastAsia" w:hAnsiTheme="minorEastAsia" w:eastAsiaTheme="minorEastAsia" w:cstheme="minorEastAsia"/>
                <w:b/>
                <w:bCs/>
                <w:color w:val="auto"/>
                <w:sz w:val="21"/>
                <w:szCs w:val="21"/>
                <w:u w:val="single"/>
                <w:lang w:val="en-US" w:eastAsia="zh-CN"/>
              </w:rPr>
              <w:t>扫描件</w:t>
            </w:r>
            <w:r>
              <w:rPr>
                <w:rFonts w:hint="eastAsia" w:asciiTheme="minorEastAsia" w:hAnsiTheme="minorEastAsia" w:eastAsiaTheme="minorEastAsia" w:cstheme="minorEastAsia"/>
                <w:b/>
                <w:bCs/>
                <w:color w:val="auto"/>
                <w:sz w:val="21"/>
                <w:szCs w:val="21"/>
                <w:u w:val="single"/>
              </w:rPr>
              <w:t>格式</w:t>
            </w:r>
            <w:r>
              <w:rPr>
                <w:rFonts w:hint="eastAsia" w:asciiTheme="minorEastAsia" w:hAnsiTheme="minorEastAsia" w:eastAsiaTheme="minorEastAsia" w:cstheme="minorEastAsia"/>
                <w:b/>
                <w:bCs/>
                <w:color w:val="auto"/>
                <w:sz w:val="21"/>
                <w:szCs w:val="21"/>
                <w:u w:val="single"/>
                <w:lang w:val="en-US" w:eastAsia="zh-CN"/>
              </w:rPr>
              <w:t>，</w:t>
            </w:r>
            <w:r>
              <w:rPr>
                <w:rFonts w:hint="eastAsia" w:asciiTheme="minorEastAsia" w:hAnsiTheme="minorEastAsia" w:eastAsiaTheme="minorEastAsia" w:cstheme="minorEastAsia"/>
                <w:b/>
                <w:bCs/>
                <w:color w:val="auto"/>
                <w:sz w:val="21"/>
                <w:szCs w:val="21"/>
                <w:highlight w:val="none"/>
                <w:u w:val="single"/>
                <w:lang w:eastAsia="zh-CN"/>
              </w:rPr>
              <w:t>如不</w:t>
            </w:r>
            <w:r>
              <w:rPr>
                <w:rFonts w:hint="eastAsia" w:asciiTheme="minorEastAsia" w:hAnsiTheme="minorEastAsia" w:eastAsiaTheme="minorEastAsia" w:cstheme="minorEastAsia"/>
                <w:b/>
                <w:bCs/>
                <w:color w:val="auto"/>
                <w:sz w:val="21"/>
                <w:szCs w:val="21"/>
                <w:highlight w:val="none"/>
                <w:u w:val="single"/>
                <w:lang w:val="en-US" w:eastAsia="zh-CN"/>
              </w:rPr>
              <w:t>满足</w:t>
            </w:r>
            <w:r>
              <w:rPr>
                <w:rFonts w:hint="eastAsia" w:asciiTheme="minorEastAsia" w:hAnsiTheme="minorEastAsia" w:eastAsiaTheme="minorEastAsia" w:cstheme="minorEastAsia"/>
                <w:b/>
                <w:bCs/>
                <w:color w:val="auto"/>
                <w:sz w:val="21"/>
                <w:szCs w:val="21"/>
                <w:highlight w:val="none"/>
                <w:u w:val="single"/>
                <w:lang w:eastAsia="zh-CN"/>
              </w:rPr>
              <w:t>作废标处理。</w:t>
            </w:r>
          </w:p>
          <w:p>
            <w:pPr>
              <w:autoSpaceDE w:val="0"/>
              <w:autoSpaceDN w:val="0"/>
              <w:adjustRightInd w:val="0"/>
              <w:spacing w:line="240" w:lineRule="auto"/>
              <w:ind w:firstLine="840" w:firstLineChars="400"/>
              <w:jc w:val="left"/>
              <w:rPr>
                <w:rFonts w:hint="eastAsia" w:asciiTheme="minorEastAsia" w:hAnsiTheme="minorEastAsia" w:eastAsiaTheme="minorEastAsia" w:cstheme="minorEastAsia"/>
                <w:color w:val="auto"/>
                <w:sz w:val="21"/>
                <w:szCs w:val="21"/>
                <w:u w:val="single"/>
                <w:lang w:eastAsia="zh-CN"/>
              </w:rPr>
            </w:pP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电子版形式：</w:t>
            </w:r>
            <w:r>
              <w:rPr>
                <w:rFonts w:hint="eastAsia" w:asciiTheme="minorEastAsia" w:hAnsiTheme="minorEastAsia" w:eastAsiaTheme="minorEastAsia" w:cstheme="minorEastAsia"/>
                <w:color w:val="auto"/>
                <w:sz w:val="21"/>
                <w:szCs w:val="21"/>
                <w:u w:val="single"/>
              </w:rPr>
              <w:t>U盘1份</w:t>
            </w:r>
            <w:r>
              <w:rPr>
                <w:rFonts w:hint="eastAsia" w:asciiTheme="minorEastAsia" w:hAnsiTheme="minorEastAsia" w:eastAsiaTheme="minorEastAsia" w:cstheme="minorEastAsia"/>
                <w:color w:val="auto"/>
                <w:sz w:val="21"/>
                <w:szCs w:val="21"/>
                <w:u w:val="single"/>
                <w:lang w:eastAsia="zh-CN"/>
              </w:rPr>
              <w:t>，需贴标签并注明公司名称；</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auto"/>
                <w:sz w:val="21"/>
                <w:szCs w:val="21"/>
                <w:u w:val="none"/>
                <w:lang w:val="en-US" w:eastAsia="zh-CN"/>
              </w:rPr>
              <w:t>（3）手持</w:t>
            </w:r>
            <w:r>
              <w:rPr>
                <w:rFonts w:hint="eastAsia" w:asciiTheme="minorEastAsia" w:hAnsiTheme="minorEastAsia" w:eastAsiaTheme="minorEastAsia" w:cstheme="minorEastAsia"/>
                <w:b w:val="0"/>
                <w:bCs w:val="0"/>
                <w:color w:val="auto"/>
                <w:sz w:val="21"/>
                <w:szCs w:val="21"/>
                <w:u w:val="none"/>
              </w:rPr>
              <w:t>法定代表人授权委托书（或法定代表人身份证明书）</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6"/>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kern w:val="0"/>
                <w:sz w:val="21"/>
                <w:szCs w:val="21"/>
                <w:lang w:val="zh-CN"/>
              </w:rPr>
              <w:t>竞争性磋商响应文件的密封和标记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kern w:val="0"/>
                <w:sz w:val="21"/>
                <w:szCs w:val="21"/>
              </w:rPr>
              <w:t>本条款细化为：响应文件</w:t>
            </w:r>
            <w:r>
              <w:rPr>
                <w:rFonts w:hint="eastAsia" w:asciiTheme="minorEastAsia" w:hAnsiTheme="minorEastAsia" w:eastAsiaTheme="minorEastAsia" w:cstheme="minorEastAsia"/>
                <w:kern w:val="0"/>
                <w:sz w:val="21"/>
                <w:szCs w:val="21"/>
                <w:lang w:eastAsia="zh-CN"/>
              </w:rPr>
              <w:t>正本</w:t>
            </w:r>
            <w:r>
              <w:rPr>
                <w:rFonts w:hint="eastAsia" w:asciiTheme="minorEastAsia" w:hAnsiTheme="minorEastAsia" w:eastAsiaTheme="minorEastAsia" w:cstheme="minorEastAsia"/>
                <w:kern w:val="0"/>
                <w:sz w:val="21"/>
                <w:szCs w:val="21"/>
              </w:rPr>
              <w:t>需逐页加盖供应商单位公章，不得使用单位其他专用章代替。</w:t>
            </w:r>
            <w:r>
              <w:rPr>
                <w:rFonts w:hint="eastAsia" w:asciiTheme="minorEastAsia" w:hAnsiTheme="minorEastAsia" w:eastAsiaTheme="minorEastAsia" w:cstheme="minorEastAsia"/>
                <w:kern w:val="0"/>
                <w:sz w:val="21"/>
                <w:szCs w:val="21"/>
                <w:lang w:eastAsia="zh-CN"/>
              </w:rPr>
              <w:t>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19.</w:t>
            </w:r>
            <w:r>
              <w:rPr>
                <w:rFonts w:hint="eastAsia" w:asciiTheme="minorEastAsia" w:hAnsiTheme="minorEastAsia" w:eastAsiaTheme="minorEastAsia" w:cstheme="minorEastAsia"/>
                <w:sz w:val="21"/>
                <w:szCs w:val="21"/>
                <w:lang w:val="en-US" w:eastAsia="zh-CN"/>
              </w:rPr>
              <w:t>3</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样品</w:t>
            </w:r>
          </w:p>
          <w:p>
            <w:pPr>
              <w:autoSpaceDE w:val="0"/>
              <w:autoSpaceDN w:val="0"/>
              <w:adjustRightInd w:val="0"/>
              <w:spacing w:line="240" w:lineRule="auto"/>
              <w:jc w:val="center"/>
              <w:rPr>
                <w:rFonts w:hint="default"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snapToGrid w:val="0"/>
                <w:color w:val="auto"/>
                <w:kern w:val="0"/>
                <w:sz w:val="21"/>
                <w:szCs w:val="21"/>
                <w:lang w:val="zh-CN"/>
              </w:rPr>
              <w:t>（</w:t>
            </w:r>
            <w:r>
              <w:rPr>
                <w:rFonts w:hint="eastAsia" w:asciiTheme="minorEastAsia" w:hAnsiTheme="minorEastAsia" w:eastAsiaTheme="minorEastAsia" w:cstheme="minorEastAsia"/>
                <w:b/>
                <w:bCs/>
                <w:snapToGrid w:val="0"/>
                <w:color w:val="auto"/>
                <w:kern w:val="0"/>
                <w:sz w:val="21"/>
                <w:szCs w:val="21"/>
                <w:lang w:val="en-US" w:eastAsia="zh-CN"/>
              </w:rPr>
              <w:t>本项目不适用</w:t>
            </w:r>
            <w:r>
              <w:rPr>
                <w:rFonts w:hint="eastAsia" w:asciiTheme="minorEastAsia" w:hAnsiTheme="minorEastAsia" w:eastAsiaTheme="minorEastAsia" w:cstheme="minorEastAsia"/>
                <w:b/>
                <w:bCs/>
                <w:snapToGrid w:val="0"/>
                <w:color w:val="auto"/>
                <w:kern w:val="0"/>
                <w:sz w:val="21"/>
                <w:szCs w:val="21"/>
                <w:lang w:val="zh-CN"/>
              </w:rPr>
              <w:t>）</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未成交供应商在成交公告发布之日起5个工作日内退还，具体电话通知。成交供应商样品移交采购人作为验收依据，不予退还。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响应文件送达地点及递交截止时间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3人或3人以上单数组成，其中采购人代表不超过成员总数的三分之一，外聘专家在省政府采购专家库中随机抽取。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kern w:val="0"/>
                <w:sz w:val="21"/>
                <w:szCs w:val="21"/>
                <w:lang w:val="en-US" w:eastAsia="zh-CN"/>
              </w:rPr>
            </w:pPr>
            <w:r>
              <w:rPr>
                <w:rFonts w:hint="eastAsia" w:asciiTheme="minorEastAsia" w:hAnsiTheme="minorEastAsia" w:eastAsiaTheme="minorEastAsia" w:cstheme="minorEastAsia"/>
                <w:b/>
                <w:bCs/>
                <w:snapToGrid w:val="0"/>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sz w:val="21"/>
                <w:szCs w:val="21"/>
                <w:lang w:val="en-US" w:eastAsia="zh-CN"/>
              </w:rPr>
              <w:t>为磋商小组详细介绍供应商公司情况及项目了解情况的人员，</w:t>
            </w:r>
            <w:r>
              <w:rPr>
                <w:rFonts w:hint="eastAsia" w:asciiTheme="minorEastAsia" w:hAnsiTheme="minorEastAsia" w:eastAsiaTheme="minorEastAsia" w:cstheme="minorEastAsia"/>
                <w:b/>
                <w:bCs/>
                <w:sz w:val="21"/>
                <w:szCs w:val="21"/>
                <w:lang w:val="zh-CN" w:eastAsia="zh-CN"/>
              </w:rPr>
              <w:t>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 w:val="21"/>
                <w:szCs w:val="21"/>
                <w:lang w:val="en-US" w:eastAsia="zh-CN"/>
              </w:rPr>
              <w:t>在指定地点以</w:t>
            </w:r>
            <w:r>
              <w:rPr>
                <w:rFonts w:hint="eastAsia" w:asciiTheme="minorEastAsia" w:hAnsiTheme="minorEastAsia" w:eastAsiaTheme="minorEastAsia" w:cstheme="minorEastAsia"/>
                <w:snapToGrid w:val="0"/>
                <w:kern w:val="0"/>
                <w:sz w:val="21"/>
                <w:szCs w:val="21"/>
                <w:lang w:val="zh-CN"/>
              </w:rPr>
              <w:t>密封</w:t>
            </w:r>
            <w:r>
              <w:rPr>
                <w:rFonts w:hint="eastAsia" w:asciiTheme="minorEastAsia" w:hAnsiTheme="minorEastAsia" w:eastAsiaTheme="minorEastAsia" w:cstheme="minorEastAsia"/>
                <w:snapToGrid w:val="0"/>
                <w:kern w:val="0"/>
                <w:sz w:val="21"/>
                <w:szCs w:val="21"/>
                <w:lang w:val="en-US" w:eastAsia="zh-CN"/>
              </w:rPr>
              <w:t>等形式</w:t>
            </w:r>
            <w:r>
              <w:rPr>
                <w:rFonts w:hint="eastAsia" w:asciiTheme="minorEastAsia" w:hAnsiTheme="minorEastAsia" w:eastAsiaTheme="minorEastAsia" w:cstheme="minorEastAsia"/>
                <w:snapToGrid w:val="0"/>
                <w:kern w:val="0"/>
                <w:sz w:val="21"/>
                <w:szCs w:val="21"/>
                <w:lang w:val="zh-CN"/>
              </w:rPr>
              <w:t>递交</w:t>
            </w:r>
            <w:r>
              <w:rPr>
                <w:rFonts w:hint="eastAsia" w:asciiTheme="minorEastAsia" w:hAnsiTheme="minorEastAsia" w:eastAsiaTheme="minorEastAsia" w:cstheme="minorEastAsia"/>
                <w:snapToGrid w:val="0"/>
                <w:kern w:val="0"/>
                <w:sz w:val="21"/>
                <w:szCs w:val="21"/>
                <w:lang w:val="en-US" w:eastAsia="zh-CN"/>
              </w:rPr>
              <w:t>给采购代理机构指定现场工作人员或</w:t>
            </w:r>
            <w:r>
              <w:rPr>
                <w:rFonts w:hint="eastAsia" w:asciiTheme="minorEastAsia" w:hAnsiTheme="minorEastAsia" w:eastAsiaTheme="minorEastAsia" w:cstheme="minorEastAsia"/>
                <w:snapToGrid w:val="0"/>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推荐成交候选</w:t>
            </w:r>
            <w:r>
              <w:rPr>
                <w:rFonts w:hint="eastAsia" w:asciiTheme="minorEastAsia" w:hAnsiTheme="minorEastAsia" w:eastAsiaTheme="minorEastAsia" w:cstheme="minorEastAsia"/>
                <w:snapToGrid w:val="0"/>
                <w:kern w:val="0"/>
                <w:sz w:val="21"/>
                <w:szCs w:val="21"/>
                <w:lang w:val="en-US" w:eastAsia="zh-CN"/>
              </w:rPr>
              <w:t>供应商</w:t>
            </w:r>
            <w:r>
              <w:rPr>
                <w:rFonts w:hint="eastAsia" w:asciiTheme="minorEastAsia" w:hAnsiTheme="minorEastAsia" w:eastAsiaTheme="minorEastAsia" w:cstheme="minorEastAsia"/>
                <w:snapToGrid w:val="0"/>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本项目推荐</w:t>
            </w:r>
            <w:r>
              <w:rPr>
                <w:rFonts w:hint="eastAsia" w:asciiTheme="minorEastAsia" w:hAnsiTheme="minorEastAsia" w:eastAsiaTheme="minorEastAsia" w:cstheme="minorEastAsia"/>
                <w:bCs/>
                <w:color w:val="auto"/>
                <w:kern w:val="44"/>
                <w:sz w:val="21"/>
                <w:szCs w:val="21"/>
                <w:u w:val="single"/>
                <w:lang w:val="en-US" w:eastAsia="zh-CN"/>
              </w:rPr>
              <w:t>3</w:t>
            </w:r>
            <w:r>
              <w:rPr>
                <w:rFonts w:hint="eastAsia" w:asciiTheme="minorEastAsia" w:hAnsiTheme="minorEastAsia" w:eastAsiaTheme="minorEastAsia" w:cstheme="minorEastAsia"/>
                <w:bCs/>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成交通知书的领取</w:t>
            </w:r>
            <w:r>
              <w:rPr>
                <w:rFonts w:hint="eastAsia" w:asciiTheme="minorEastAsia" w:hAnsiTheme="minorEastAsia" w:eastAsiaTheme="minorEastAsia" w:cstheme="minorEastAsia"/>
                <w:snapToGrid w:val="0"/>
                <w:kern w:val="0"/>
                <w:sz w:val="21"/>
                <w:szCs w:val="21"/>
                <w:lang w:val="en-US" w:eastAsia="zh-CN"/>
              </w:rPr>
              <w:t>时</w:t>
            </w:r>
            <w:r>
              <w:rPr>
                <w:rFonts w:hint="eastAsia" w:asciiTheme="minorEastAsia" w:hAnsiTheme="minorEastAsia" w:eastAsiaTheme="minorEastAsia" w:cstheme="minorEastAsia"/>
                <w:snapToGrid w:val="0"/>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发布以后即可</w:t>
            </w:r>
            <w:r>
              <w:rPr>
                <w:rFonts w:hint="eastAsia" w:asciiTheme="minorEastAsia" w:hAnsiTheme="minorEastAsia" w:eastAsiaTheme="minorEastAsia" w:cstheme="minorEastAsia"/>
                <w:bCs/>
                <w:kern w:val="44"/>
                <w:sz w:val="21"/>
                <w:szCs w:val="21"/>
                <w:lang w:val="en-US" w:eastAsia="zh-CN"/>
              </w:rPr>
              <w:t>联系采购代理机构</w:t>
            </w:r>
            <w:r>
              <w:rPr>
                <w:rFonts w:hint="eastAsia" w:asciiTheme="minorEastAsia" w:hAnsiTheme="minorEastAsia" w:eastAsiaTheme="minorEastAsia" w:cstheme="minorEastAsia"/>
                <w:bCs/>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rPr>
              <w:t>供应商按每个学生12个学时的综合单价进行报价，最高单价限价：40元/学生/12学时，应包含完成拓展培训所有流程的全部各项直接、间接费用。</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本项目</w:t>
            </w:r>
            <w:r>
              <w:rPr>
                <w:rFonts w:hint="eastAsia" w:asciiTheme="minorEastAsia" w:hAnsiTheme="minorEastAsia" w:eastAsiaTheme="minorEastAsia" w:cstheme="minorEastAsia"/>
                <w:color w:val="auto"/>
                <w:sz w:val="21"/>
                <w:szCs w:val="21"/>
                <w:lang w:val="en-US" w:eastAsia="zh-CN"/>
              </w:rPr>
              <w:t>竞标</w:t>
            </w:r>
            <w:r>
              <w:rPr>
                <w:rFonts w:hint="eastAsia" w:asciiTheme="minorEastAsia" w:hAnsiTheme="minorEastAsia" w:eastAsiaTheme="minorEastAsia" w:cstheme="minorEastAsia"/>
                <w:color w:val="auto"/>
                <w:sz w:val="21"/>
                <w:szCs w:val="21"/>
                <w:lang w:val="zh-CN"/>
              </w:rPr>
              <w:t>报价为“交钥匙”价。竞标报价应包括完成该</w:t>
            </w:r>
            <w:r>
              <w:rPr>
                <w:rFonts w:hint="eastAsia" w:asciiTheme="minorEastAsia" w:hAnsiTheme="minorEastAsia" w:eastAsiaTheme="minorEastAsia" w:cstheme="minorEastAsia"/>
                <w:color w:val="auto"/>
                <w:sz w:val="21"/>
                <w:szCs w:val="21"/>
                <w:lang w:val="en-US" w:eastAsia="zh-CN"/>
              </w:rPr>
              <w:t>项目采购范围内的</w:t>
            </w:r>
            <w:r>
              <w:rPr>
                <w:rFonts w:hint="eastAsia" w:asciiTheme="minorEastAsia" w:hAnsiTheme="minorEastAsia" w:eastAsiaTheme="minorEastAsia" w:cstheme="minorEastAsia"/>
                <w:color w:val="auto"/>
                <w:sz w:val="21"/>
                <w:szCs w:val="21"/>
              </w:rPr>
              <w:t>所有费用</w:t>
            </w:r>
            <w:r>
              <w:rPr>
                <w:rFonts w:hint="eastAsia" w:asciiTheme="minorEastAsia" w:hAnsiTheme="minorEastAsia" w:eastAsiaTheme="minorEastAsia" w:cstheme="minorEastAsia"/>
                <w:color w:val="auto"/>
                <w:sz w:val="21"/>
                <w:szCs w:val="21"/>
                <w:lang w:val="zh-CN"/>
              </w:rPr>
              <w:t>及</w:t>
            </w:r>
            <w:r>
              <w:rPr>
                <w:rFonts w:hint="eastAsia" w:asciiTheme="minorEastAsia" w:hAnsiTheme="minorEastAsia" w:eastAsiaTheme="minorEastAsia" w:cstheme="minorEastAsia"/>
                <w:color w:val="auto"/>
                <w:sz w:val="21"/>
                <w:szCs w:val="21"/>
                <w:lang w:val="en-US" w:eastAsia="zh-CN"/>
              </w:rPr>
              <w:t>后期</w:t>
            </w:r>
            <w:r>
              <w:rPr>
                <w:rFonts w:hint="eastAsia" w:asciiTheme="minorEastAsia" w:hAnsiTheme="minorEastAsia" w:eastAsiaTheme="minorEastAsia" w:cstheme="minorEastAsia"/>
                <w:color w:val="auto"/>
                <w:sz w:val="21"/>
                <w:szCs w:val="21"/>
                <w:lang w:val="zh-CN"/>
              </w:rPr>
              <w:t>质保期间等一切服务费用及其他售后服务等全部相关工作</w:t>
            </w:r>
            <w:r>
              <w:rPr>
                <w:rFonts w:hint="eastAsia" w:asciiTheme="minorEastAsia" w:hAnsiTheme="minorEastAsia" w:eastAsiaTheme="minorEastAsia" w:cstheme="minorEastAsia"/>
                <w:color w:val="auto"/>
                <w:sz w:val="21"/>
                <w:szCs w:val="21"/>
                <w:lang w:val="en-US" w:eastAsia="zh-CN"/>
              </w:rPr>
              <w:t>的全费用</w:t>
            </w:r>
            <w:r>
              <w:rPr>
                <w:rFonts w:hint="eastAsia" w:asciiTheme="minorEastAsia" w:hAnsiTheme="minorEastAsia" w:eastAsiaTheme="minorEastAsia" w:cstheme="minorEastAsia"/>
                <w:color w:val="auto"/>
                <w:sz w:val="21"/>
                <w:szCs w:val="21"/>
                <w:lang w:val="zh-CN"/>
              </w:rPr>
              <w:t>。合同签订后采购人未提出增加工作内容的情况下，合同价不得调整。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val="0"/>
                <w:bCs w:val="0"/>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lang w:val="en-US" w:eastAsia="zh-CN"/>
              </w:rPr>
              <w:t>采购人不组织统一踏勘，</w:t>
            </w:r>
            <w:r>
              <w:rPr>
                <w:rFonts w:hint="eastAsia" w:asciiTheme="minorEastAsia" w:hAnsiTheme="minorEastAsia" w:eastAsiaTheme="minorEastAsia" w:cstheme="minorEastAsia"/>
                <w:color w:val="auto"/>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□组织，踏勘时间：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踏勘集中地点：</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踏勘联系人：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注：（1）</w:t>
            </w:r>
            <w:r>
              <w:rPr>
                <w:rFonts w:hint="eastAsia" w:asciiTheme="minorEastAsia" w:hAnsiTheme="minorEastAsia" w:eastAsiaTheme="minorEastAsia" w:cstheme="minorEastAsia"/>
                <w:color w:val="auto"/>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0" w:leftChars="0" w:right="21" w:rightChars="10" w:firstLine="420" w:firstLineChars="200"/>
              <w:jc w:val="left"/>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采购人在踏勘现场中介绍的项目</w:t>
            </w:r>
            <w:r>
              <w:rPr>
                <w:rFonts w:hint="eastAsia" w:asciiTheme="minorEastAsia" w:hAnsiTheme="minorEastAsia" w:eastAsiaTheme="minorEastAsia" w:cstheme="minorEastAsia"/>
                <w:color w:val="auto"/>
                <w:sz w:val="21"/>
                <w:szCs w:val="21"/>
                <w:lang w:val="en-US" w:eastAsia="zh-CN"/>
              </w:rPr>
              <w:t>背景及项目现场</w:t>
            </w:r>
            <w:r>
              <w:rPr>
                <w:rFonts w:hint="eastAsia" w:asciiTheme="minorEastAsia" w:hAnsiTheme="minorEastAsia" w:eastAsiaTheme="minorEastAsia" w:cstheme="minorEastAsia"/>
                <w:color w:val="auto"/>
                <w:sz w:val="21"/>
                <w:szCs w:val="21"/>
              </w:rPr>
              <w:t>和相关的周边环境情况，供应商在编制响应文件时参考，采购人和采购代理机构不对供应商据此作出的判断和决策负责。</w:t>
            </w:r>
          </w:p>
        </w:tc>
      </w:tr>
    </w:tbl>
    <w:p>
      <w:pPr>
        <w:rPr>
          <w:rFonts w:hint="eastAsia" w:asciiTheme="minorEastAsia" w:hAnsiTheme="minorEastAsia" w:eastAsiaTheme="minorEastAsia" w:cstheme="minorEastAsia"/>
          <w:b/>
          <w:szCs w:val="21"/>
        </w:rPr>
      </w:pPr>
      <w:bookmarkStart w:id="28" w:name="_Toc25796"/>
      <w:r>
        <w:rPr>
          <w:rFonts w:hint="eastAsia" w:asciiTheme="minorEastAsia" w:hAnsiTheme="minorEastAsia" w:eastAsiaTheme="minorEastAsia" w:cstheme="minorEastAsia"/>
          <w:b/>
          <w:szCs w:val="21"/>
        </w:rPr>
        <w:br w:type="page"/>
      </w:r>
    </w:p>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供应商须知</w:t>
      </w:r>
      <w:bookmarkEnd w:id="28"/>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29" w:name="_Toc30402"/>
      <w:r>
        <w:rPr>
          <w:rFonts w:hint="eastAsia" w:asciiTheme="minorEastAsia" w:hAnsiTheme="minorEastAsia" w:eastAsiaTheme="minorEastAsia" w:cstheme="minorEastAsia"/>
          <w:b/>
          <w:szCs w:val="21"/>
        </w:rPr>
        <w:t>总则</w:t>
      </w:r>
      <w:bookmarkEnd w:id="29"/>
    </w:p>
    <w:p>
      <w:pPr>
        <w:numPr>
          <w:ilvl w:val="0"/>
          <w:numId w:val="9"/>
        </w:numPr>
        <w:spacing w:line="360" w:lineRule="auto"/>
        <w:ind w:hanging="540"/>
        <w:outlineLvl w:val="1"/>
        <w:rPr>
          <w:rFonts w:hint="eastAsia" w:asciiTheme="minorEastAsia" w:hAnsiTheme="minorEastAsia" w:eastAsiaTheme="minorEastAsia" w:cstheme="minorEastAsia"/>
          <w:b/>
          <w:szCs w:val="21"/>
        </w:rPr>
      </w:pPr>
      <w:bookmarkStart w:id="30" w:name="_Toc27243"/>
      <w:bookmarkStart w:id="31" w:name="_Toc6153"/>
      <w:r>
        <w:rPr>
          <w:rFonts w:hint="eastAsia" w:asciiTheme="minorEastAsia" w:hAnsiTheme="minorEastAsia" w:eastAsiaTheme="minorEastAsia" w:cstheme="minorEastAsia"/>
          <w:b/>
          <w:szCs w:val="21"/>
        </w:rPr>
        <w:t>适用法律及范围</w:t>
      </w:r>
      <w:bookmarkEnd w:id="30"/>
      <w:bookmarkEnd w:id="31"/>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9"/>
        </w:numPr>
        <w:spacing w:line="360" w:lineRule="auto"/>
        <w:ind w:hanging="540"/>
        <w:outlineLvl w:val="1"/>
        <w:rPr>
          <w:rFonts w:hint="eastAsia" w:asciiTheme="minorEastAsia" w:hAnsiTheme="minorEastAsia" w:eastAsiaTheme="minorEastAsia" w:cstheme="minorEastAsia"/>
          <w:b/>
          <w:szCs w:val="21"/>
        </w:rPr>
      </w:pPr>
      <w:bookmarkStart w:id="32" w:name="_Toc30547"/>
      <w:bookmarkStart w:id="33" w:name="_Toc9947"/>
      <w:r>
        <w:rPr>
          <w:rFonts w:hint="eastAsia" w:asciiTheme="minorEastAsia" w:hAnsiTheme="minorEastAsia" w:eastAsiaTheme="minorEastAsia" w:cstheme="minorEastAsia"/>
          <w:b/>
          <w:szCs w:val="21"/>
        </w:rPr>
        <w:t>定义</w:t>
      </w:r>
      <w:bookmarkEnd w:id="32"/>
      <w:bookmarkEnd w:id="33"/>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9"/>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9"/>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9"/>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w:t>
      </w:r>
      <w:r>
        <w:rPr>
          <w:rFonts w:hint="eastAsia" w:asciiTheme="minorEastAsia" w:hAnsiTheme="minorEastAsia" w:eastAsiaTheme="minorEastAsia" w:cstheme="minorEastAsia"/>
          <w:snapToGrid w:val="0"/>
          <w:color w:val="auto"/>
          <w:kern w:val="0"/>
          <w:szCs w:val="21"/>
          <w:lang w:val="zh-CN"/>
        </w:rPr>
        <w:t>磋商小组评</w:t>
      </w:r>
      <w:r>
        <w:rPr>
          <w:rFonts w:hint="eastAsia" w:asciiTheme="minorEastAsia" w:hAnsiTheme="minorEastAsia" w:eastAsiaTheme="minorEastAsia" w:cstheme="minorEastAsia"/>
          <w:snapToGrid w:val="0"/>
          <w:kern w:val="0"/>
          <w:szCs w:val="21"/>
          <w:lang w:val="zh-CN"/>
        </w:rPr>
        <w:t>审推荐，采购人授予合同的供应商。</w:t>
      </w:r>
    </w:p>
    <w:p>
      <w:pPr>
        <w:numPr>
          <w:ilvl w:val="0"/>
          <w:numId w:val="9"/>
        </w:numPr>
        <w:spacing w:line="360" w:lineRule="auto"/>
        <w:ind w:hanging="540"/>
        <w:outlineLvl w:val="1"/>
        <w:rPr>
          <w:rFonts w:hint="eastAsia" w:asciiTheme="minorEastAsia" w:hAnsiTheme="minorEastAsia" w:eastAsiaTheme="minorEastAsia" w:cstheme="minorEastAsia"/>
          <w:b/>
          <w:szCs w:val="21"/>
        </w:rPr>
      </w:pPr>
      <w:bookmarkStart w:id="34" w:name="_Toc30503"/>
      <w:bookmarkStart w:id="35" w:name="_Toc31012"/>
      <w:r>
        <w:rPr>
          <w:rFonts w:hint="eastAsia" w:asciiTheme="minorEastAsia" w:hAnsiTheme="minorEastAsia" w:eastAsiaTheme="minorEastAsia" w:cstheme="minorEastAsia"/>
          <w:b/>
          <w:snapToGrid w:val="0"/>
          <w:kern w:val="0"/>
          <w:szCs w:val="21"/>
          <w:lang w:val="zh-CN"/>
        </w:rPr>
        <w:t>工程、货物及服务</w:t>
      </w:r>
      <w:bookmarkEnd w:id="34"/>
      <w:bookmarkEnd w:id="35"/>
    </w:p>
    <w:p>
      <w:pPr>
        <w:numPr>
          <w:ilvl w:val="1"/>
          <w:numId w:val="12"/>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2"/>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“服务”是指除货物（指各种形态和种类的物品，包括原材料、燃料、设备、产品等）和工程（指建设工程，包括建筑物和构筑物的新建、改建、扩建及其相关的装修、拆除、修缮等）以外的其他政府采购对象。</w:t>
      </w:r>
    </w:p>
    <w:p>
      <w:pPr>
        <w:numPr>
          <w:ilvl w:val="0"/>
          <w:numId w:val="9"/>
        </w:numPr>
        <w:spacing w:line="360" w:lineRule="auto"/>
        <w:ind w:hanging="540"/>
        <w:outlineLvl w:val="1"/>
        <w:rPr>
          <w:rFonts w:hint="eastAsia" w:asciiTheme="minorEastAsia" w:hAnsiTheme="minorEastAsia" w:eastAsiaTheme="minorEastAsia" w:cstheme="minorEastAsia"/>
          <w:b/>
          <w:szCs w:val="21"/>
        </w:rPr>
      </w:pPr>
      <w:bookmarkStart w:id="36" w:name="_Toc16894"/>
      <w:bookmarkStart w:id="37" w:name="_Toc9974"/>
      <w:r>
        <w:rPr>
          <w:rFonts w:hint="eastAsia" w:asciiTheme="minorEastAsia" w:hAnsiTheme="minorEastAsia" w:eastAsiaTheme="minorEastAsia" w:cstheme="minorEastAsia"/>
          <w:b/>
          <w:szCs w:val="21"/>
        </w:rPr>
        <w:t>费用</w:t>
      </w:r>
      <w:bookmarkEnd w:id="36"/>
      <w:bookmarkEnd w:id="37"/>
      <w:r>
        <w:rPr>
          <w:rFonts w:hint="eastAsia" w:asciiTheme="minorEastAsia" w:hAnsiTheme="minorEastAsia" w:eastAsiaTheme="minorEastAsia" w:cstheme="minorEastAsia"/>
          <w:b/>
          <w:szCs w:val="21"/>
        </w:rPr>
        <w:t xml:space="preserve">  </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w:t>
      </w:r>
      <w:r>
        <w:rPr>
          <w:rFonts w:hint="eastAsia" w:asciiTheme="minorEastAsia" w:hAnsiTheme="minorEastAsia" w:eastAsiaTheme="minorEastAsia" w:cstheme="minorEastAsia"/>
          <w:color w:val="auto"/>
          <w:szCs w:val="21"/>
        </w:rPr>
        <w:t>承担这些费用。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招标代理服务费：成交供应商须在收到成交通知书时向采购代理机构支付招标代理服务费。服务费支付标准和方法详见《供应商须知前附表》。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国家计委计价格[2002]1980 号规定标准收费：</w:t>
      </w:r>
    </w:p>
    <w:tbl>
      <w:tblPr>
        <w:tblStyle w:val="30"/>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0.35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注：招标代理服务收费按差额定率累进法计算。例如：某服务招标代理业务中标金额为6000万元，计算招标代理服务收费额如下：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 xml:space="preserve"> 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100---500：400×0.800％=32000.000元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500---1000：500×0.450％=22500.000元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1000---5000：4000×0.250％=100000.000元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5000---6000：1000×0.100％=10000.000元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合计收费=179500.000元</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38" w:name="_Toc13439"/>
      <w:r>
        <w:rPr>
          <w:rFonts w:hint="eastAsia" w:asciiTheme="minorEastAsia" w:hAnsiTheme="minorEastAsia" w:eastAsiaTheme="minorEastAsia" w:cstheme="minorEastAsia"/>
          <w:b/>
          <w:color w:val="auto"/>
          <w:szCs w:val="21"/>
        </w:rPr>
        <w:t>竞争性磋商采购文件</w:t>
      </w:r>
      <w:bookmarkEnd w:id="38"/>
    </w:p>
    <w:p>
      <w:pPr>
        <w:numPr>
          <w:ilvl w:val="0"/>
          <w:numId w:val="9"/>
        </w:numPr>
        <w:spacing w:line="360" w:lineRule="auto"/>
        <w:ind w:hanging="540"/>
        <w:outlineLvl w:val="1"/>
        <w:rPr>
          <w:rFonts w:hint="eastAsia" w:asciiTheme="minorEastAsia" w:hAnsiTheme="minorEastAsia" w:eastAsiaTheme="minorEastAsia" w:cstheme="minorEastAsia"/>
          <w:b/>
          <w:color w:val="auto"/>
          <w:szCs w:val="21"/>
        </w:rPr>
      </w:pPr>
      <w:bookmarkStart w:id="39" w:name="_Toc4412"/>
      <w:bookmarkStart w:id="40" w:name="_Toc4547"/>
      <w:r>
        <w:rPr>
          <w:rFonts w:hint="eastAsia" w:asciiTheme="minorEastAsia" w:hAnsiTheme="minorEastAsia" w:eastAsiaTheme="minorEastAsia" w:cstheme="minorEastAsia"/>
          <w:b/>
          <w:color w:val="auto"/>
          <w:szCs w:val="21"/>
        </w:rPr>
        <w:t>竞争性磋商采购文件的构成</w:t>
      </w:r>
      <w:bookmarkEnd w:id="39"/>
      <w:bookmarkEnd w:id="40"/>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本竞争性磋商采购文件包括：</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磋商公告</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供应商须知</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采购需求</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竞争性磋商采购评定办法</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合同书格式</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竞争性磋商响应文件格式</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采购过程中由采购代理机构发出的澄清和修正文件</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磋商小组</w:t>
      </w:r>
      <w:r>
        <w:rPr>
          <w:rFonts w:hint="eastAsia" w:asciiTheme="minorEastAsia" w:hAnsiTheme="minorEastAsia" w:eastAsiaTheme="minorEastAsia" w:cstheme="minorEastAsia"/>
          <w:color w:val="auto"/>
          <w:szCs w:val="21"/>
        </w:rPr>
        <w:t>在磋商过程中发出的对本磋商文件的实质性变动</w:t>
      </w:r>
    </w:p>
    <w:p>
      <w:pPr>
        <w:numPr>
          <w:ilvl w:val="0"/>
          <w:numId w:val="9"/>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1" w:name="_Toc19446"/>
      <w:bookmarkStart w:id="42" w:name="_Toc29700"/>
      <w:r>
        <w:rPr>
          <w:rFonts w:hint="eastAsia" w:asciiTheme="minorEastAsia" w:hAnsiTheme="minorEastAsia" w:eastAsiaTheme="minorEastAsia" w:cstheme="minorEastAsia"/>
          <w:b/>
          <w:snapToGrid w:val="0"/>
          <w:color w:val="auto"/>
          <w:kern w:val="0"/>
          <w:szCs w:val="21"/>
          <w:lang w:val="zh-CN"/>
        </w:rPr>
        <w:t>竞争性磋商采购文件的澄清</w:t>
      </w:r>
      <w:bookmarkEnd w:id="41"/>
      <w:bookmarkEnd w:id="42"/>
    </w:p>
    <w:p>
      <w:pPr>
        <w:numPr>
          <w:ilvl w:val="1"/>
          <w:numId w:val="15"/>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供应商获取竞争性磋商采购文件后，应认真检查，如发现页数不全、附件缺失、印刷模糊等，应通知采购代理机构补全或更换，否则风险自负。</w:t>
      </w:r>
    </w:p>
    <w:p>
      <w:pPr>
        <w:numPr>
          <w:ilvl w:val="1"/>
          <w:numId w:val="15"/>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供应商要求对本竞争性磋商采购文件进行澄清的，应以书面形式（包括信函、电报、传真等可以有形地表现所载内容的形式，</w:t>
      </w:r>
      <w:r>
        <w:rPr>
          <w:rFonts w:hint="eastAsia" w:asciiTheme="minorEastAsia" w:hAnsiTheme="minorEastAsia" w:eastAsiaTheme="minorEastAsia" w:cstheme="minorEastAsia"/>
          <w:snapToGrid w:val="0"/>
          <w:kern w:val="0"/>
          <w:szCs w:val="21"/>
          <w:lang w:val="zh-CN"/>
        </w:rPr>
        <w:t>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5"/>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5"/>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9"/>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3" w:name="_Toc8166"/>
      <w:bookmarkStart w:id="44" w:name="_Toc31761"/>
      <w:r>
        <w:rPr>
          <w:rFonts w:hint="eastAsia" w:asciiTheme="minorEastAsia" w:hAnsiTheme="minorEastAsia" w:eastAsiaTheme="minorEastAsia" w:cstheme="minorEastAsia"/>
          <w:b/>
          <w:snapToGrid w:val="0"/>
          <w:kern w:val="0"/>
          <w:szCs w:val="21"/>
          <w:lang w:val="zh-CN"/>
        </w:rPr>
        <w:t>竞争性磋商采购文件的修改</w:t>
      </w:r>
      <w:bookmarkEnd w:id="43"/>
      <w:bookmarkEnd w:id="44"/>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6"/>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45" w:name="_Toc29421"/>
      <w:r>
        <w:rPr>
          <w:rFonts w:hint="eastAsia" w:asciiTheme="minorEastAsia" w:hAnsiTheme="minorEastAsia" w:eastAsiaTheme="minorEastAsia" w:cstheme="minorEastAsia"/>
          <w:b/>
          <w:szCs w:val="21"/>
        </w:rPr>
        <w:t>竞争性磋商响应文件</w:t>
      </w:r>
      <w:bookmarkEnd w:id="45"/>
    </w:p>
    <w:p>
      <w:pPr>
        <w:numPr>
          <w:ilvl w:val="0"/>
          <w:numId w:val="9"/>
        </w:numPr>
        <w:spacing w:line="360" w:lineRule="auto"/>
        <w:ind w:hanging="540"/>
        <w:outlineLvl w:val="1"/>
        <w:rPr>
          <w:rFonts w:hint="eastAsia" w:asciiTheme="minorEastAsia" w:hAnsiTheme="minorEastAsia" w:eastAsiaTheme="minorEastAsia" w:cstheme="minorEastAsia"/>
          <w:snapToGrid w:val="0"/>
          <w:kern w:val="0"/>
          <w:szCs w:val="21"/>
          <w:lang w:val="zh-CN"/>
        </w:rPr>
      </w:pPr>
      <w:bookmarkStart w:id="46" w:name="_Toc15295"/>
      <w:bookmarkStart w:id="47" w:name="_Toc30987"/>
      <w:r>
        <w:rPr>
          <w:rFonts w:hint="eastAsia" w:asciiTheme="minorEastAsia" w:hAnsiTheme="minorEastAsia" w:eastAsiaTheme="minorEastAsia" w:cstheme="minorEastAsia"/>
          <w:b/>
          <w:snapToGrid w:val="0"/>
          <w:kern w:val="0"/>
          <w:szCs w:val="21"/>
          <w:lang w:val="zh-CN"/>
        </w:rPr>
        <w:t>语言和计量单位</w:t>
      </w:r>
      <w:bookmarkEnd w:id="46"/>
      <w:bookmarkEnd w:id="47"/>
    </w:p>
    <w:p>
      <w:pPr>
        <w:numPr>
          <w:ilvl w:val="1"/>
          <w:numId w:val="17"/>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7"/>
        </w:numPr>
        <w:tabs>
          <w:tab w:val="left" w:pos="540"/>
          <w:tab w:val="clear" w:pos="360"/>
        </w:tabs>
        <w:spacing w:line="360" w:lineRule="auto"/>
        <w:ind w:left="540" w:hanging="540"/>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9"/>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8" w:name="_Toc32272"/>
      <w:bookmarkStart w:id="49" w:name="_Toc20553"/>
      <w:r>
        <w:rPr>
          <w:rFonts w:hint="eastAsia" w:asciiTheme="minorEastAsia" w:hAnsiTheme="minorEastAsia" w:eastAsiaTheme="minorEastAsia" w:cstheme="minorEastAsia"/>
          <w:b/>
          <w:snapToGrid w:val="0"/>
          <w:kern w:val="0"/>
          <w:szCs w:val="21"/>
          <w:lang w:val="zh-CN"/>
        </w:rPr>
        <w:t>竞争性磋商响应文件的构成</w:t>
      </w:r>
      <w:bookmarkEnd w:id="48"/>
      <w:bookmarkEnd w:id="49"/>
    </w:p>
    <w:p>
      <w:pPr>
        <w:numPr>
          <w:ilvl w:val="1"/>
          <w:numId w:val="18"/>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lang w:val="en-US" w:eastAsia="zh-CN"/>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9"/>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0" w:name="_Toc26524"/>
      <w:bookmarkStart w:id="51" w:name="_Toc25217"/>
      <w:r>
        <w:rPr>
          <w:rFonts w:hint="eastAsia" w:asciiTheme="minorEastAsia" w:hAnsiTheme="minorEastAsia" w:eastAsiaTheme="minorEastAsia" w:cstheme="minorEastAsia"/>
          <w:b/>
          <w:snapToGrid w:val="0"/>
          <w:kern w:val="0"/>
          <w:szCs w:val="21"/>
          <w:lang w:val="zh-CN"/>
        </w:rPr>
        <w:t>竞争性磋商响应文件的编制</w:t>
      </w:r>
      <w:bookmarkEnd w:id="50"/>
      <w:bookmarkEnd w:id="51"/>
    </w:p>
    <w:p>
      <w:pPr>
        <w:numPr>
          <w:ilvl w:val="1"/>
          <w:numId w:val="19"/>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19"/>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19"/>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19"/>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9"/>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2" w:name="_Toc32001"/>
      <w:bookmarkStart w:id="53" w:name="_Toc24544"/>
      <w:r>
        <w:rPr>
          <w:rFonts w:hint="eastAsia" w:asciiTheme="minorEastAsia" w:hAnsiTheme="minorEastAsia" w:eastAsiaTheme="minorEastAsia" w:cstheme="minorEastAsia"/>
          <w:b/>
          <w:snapToGrid w:val="0"/>
          <w:kern w:val="0"/>
          <w:szCs w:val="21"/>
          <w:lang w:val="zh-CN"/>
        </w:rPr>
        <w:t>磋商报价</w:t>
      </w:r>
      <w:bookmarkEnd w:id="52"/>
      <w:bookmarkEnd w:id="53"/>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每一种采购内容只允许有一个报价，否则其响应文件将被视为无效文件。</w:t>
      </w:r>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成交供应商的报价在合同执行过程中是固定不变的，不得以任何理由予以变更。</w:t>
      </w:r>
    </w:p>
    <w:p>
      <w:pPr>
        <w:numPr>
          <w:ilvl w:val="0"/>
          <w:numId w:val="9"/>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4" w:name="_Toc23591"/>
      <w:bookmarkStart w:id="55" w:name="_Toc6176"/>
      <w:r>
        <w:rPr>
          <w:rFonts w:hint="eastAsia" w:asciiTheme="minorEastAsia" w:hAnsiTheme="minorEastAsia" w:eastAsiaTheme="minorEastAsia" w:cstheme="minorEastAsia"/>
          <w:b/>
          <w:snapToGrid w:val="0"/>
          <w:kern w:val="0"/>
          <w:szCs w:val="21"/>
          <w:lang w:val="zh-CN"/>
        </w:rPr>
        <w:t>备选方案</w:t>
      </w:r>
      <w:bookmarkEnd w:id="54"/>
      <w:bookmarkEnd w:id="55"/>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9"/>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6" w:name="_Toc3324"/>
      <w:bookmarkStart w:id="57" w:name="_Toc3168"/>
      <w:r>
        <w:rPr>
          <w:rFonts w:hint="eastAsia" w:asciiTheme="minorEastAsia" w:hAnsiTheme="minorEastAsia" w:eastAsiaTheme="minorEastAsia" w:cstheme="minorEastAsia"/>
          <w:b/>
          <w:snapToGrid w:val="0"/>
          <w:kern w:val="0"/>
          <w:szCs w:val="21"/>
          <w:lang w:val="zh-CN"/>
        </w:rPr>
        <w:t>联合体</w:t>
      </w:r>
      <w:bookmarkEnd w:id="56"/>
      <w:bookmarkEnd w:id="57"/>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8" w:name="_Toc2434"/>
      <w:bookmarkStart w:id="59" w:name="_Toc20391"/>
      <w:r>
        <w:rPr>
          <w:rFonts w:hint="eastAsia" w:asciiTheme="minorEastAsia" w:hAnsiTheme="minorEastAsia" w:eastAsiaTheme="minorEastAsia" w:cstheme="minorEastAsia"/>
          <w:b/>
          <w:snapToGrid w:val="0"/>
          <w:kern w:val="0"/>
          <w:szCs w:val="21"/>
          <w:lang w:val="zh-CN"/>
        </w:rPr>
        <w:t>供应商资格证明文件</w:t>
      </w:r>
      <w:bookmarkEnd w:id="58"/>
      <w:bookmarkEnd w:id="59"/>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4"/>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lang w:val="en-US" w:eastAsia="zh-CN"/>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lang w:val="en-US" w:eastAsia="zh-CN"/>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lang w:val="en-US" w:eastAsia="zh-CN"/>
        </w:rPr>
        <w:t>否则做废标处理</w:t>
      </w:r>
      <w:r>
        <w:rPr>
          <w:rFonts w:hint="eastAsia" w:asciiTheme="minorEastAsia" w:hAnsiTheme="minorEastAsia" w:eastAsiaTheme="minorEastAsia" w:cstheme="minorEastAsia"/>
          <w:snapToGrid w:val="0"/>
          <w:kern w:val="0"/>
          <w:szCs w:val="21"/>
          <w:lang w:val="zh-CN"/>
        </w:rPr>
        <w:t>。</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0" w:name="_Toc4911"/>
      <w:bookmarkStart w:id="61" w:name="_Toc9935"/>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60"/>
      <w:bookmarkEnd w:id="61"/>
    </w:p>
    <w:p>
      <w:pPr>
        <w:numPr>
          <w:ilvl w:val="1"/>
          <w:numId w:val="25"/>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2" w:name="_Toc17646"/>
      <w:bookmarkStart w:id="63" w:name="_Toc27068"/>
      <w:r>
        <w:rPr>
          <w:rFonts w:hint="eastAsia" w:asciiTheme="minorEastAsia" w:hAnsiTheme="minorEastAsia" w:eastAsiaTheme="minorEastAsia" w:cstheme="minorEastAsia"/>
          <w:b/>
          <w:snapToGrid w:val="0"/>
          <w:color w:val="auto"/>
          <w:kern w:val="0"/>
          <w:szCs w:val="21"/>
          <w:lang w:val="zh-CN"/>
        </w:rPr>
        <w:t>磋商保证金</w:t>
      </w:r>
      <w:bookmarkEnd w:id="62"/>
      <w:bookmarkEnd w:id="63"/>
    </w:p>
    <w:p>
      <w:pPr>
        <w:numPr>
          <w:ilvl w:val="1"/>
          <w:numId w:val="26"/>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6"/>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w:t>
      </w:r>
      <w:r>
        <w:rPr>
          <w:rFonts w:hint="eastAsia" w:asciiTheme="minorEastAsia" w:hAnsiTheme="minorEastAsia" w:eastAsiaTheme="minorEastAsia" w:cstheme="minorEastAsia"/>
          <w:snapToGrid w:val="0"/>
          <w:kern w:val="0"/>
          <w:szCs w:val="21"/>
          <w:lang w:val="zh-CN"/>
        </w:rPr>
        <w:t>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6"/>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6"/>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6"/>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6"/>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7"/>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4" w:name="_Toc5668"/>
      <w:bookmarkStart w:id="65" w:name="_Toc3426"/>
      <w:r>
        <w:rPr>
          <w:rFonts w:hint="eastAsia" w:asciiTheme="minorEastAsia" w:hAnsiTheme="minorEastAsia" w:eastAsiaTheme="minorEastAsia" w:cstheme="minorEastAsia"/>
          <w:b/>
          <w:snapToGrid w:val="0"/>
          <w:kern w:val="0"/>
          <w:szCs w:val="21"/>
          <w:lang w:val="zh-CN"/>
        </w:rPr>
        <w:t>磋商有效期</w:t>
      </w:r>
      <w:bookmarkEnd w:id="64"/>
      <w:bookmarkEnd w:id="65"/>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6" w:name="_Toc25313"/>
      <w:bookmarkStart w:id="67"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66"/>
      <w:bookmarkEnd w:id="67"/>
    </w:p>
    <w:p>
      <w:pPr>
        <w:numPr>
          <w:ilvl w:val="1"/>
          <w:numId w:val="29"/>
        </w:numPr>
        <w:tabs>
          <w:tab w:val="left" w:pos="525"/>
          <w:tab w:val="clear" w:pos="465"/>
        </w:tabs>
        <w:autoSpaceDE w:val="0"/>
        <w:autoSpaceDN w:val="0"/>
        <w:adjustRightInd w:val="0"/>
        <w:spacing w:line="360" w:lineRule="auto"/>
        <w:ind w:left="540" w:hanging="540"/>
        <w:jc w:val="both"/>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。本次磋商供应商提交响应文件正、副本和电子文档的数量见《供应商须知前附表》。</w:t>
      </w:r>
    </w:p>
    <w:p>
      <w:pPr>
        <w:numPr>
          <w:ilvl w:val="1"/>
          <w:numId w:val="29"/>
        </w:numPr>
        <w:tabs>
          <w:tab w:val="left" w:pos="525"/>
          <w:tab w:val="clear" w:pos="465"/>
        </w:tabs>
        <w:autoSpaceDE w:val="0"/>
        <w:autoSpaceDN w:val="0"/>
        <w:adjustRightInd w:val="0"/>
        <w:spacing w:line="360" w:lineRule="auto"/>
        <w:ind w:left="540" w:hanging="540"/>
        <w:jc w:val="both"/>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法定代表人身份证明书）、响应文件正本不符，以正本为准。电子文档与纸质文件不符，以纸质文件为准。</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68" w:name="_Toc15872"/>
      <w:r>
        <w:rPr>
          <w:rFonts w:hint="eastAsia" w:asciiTheme="minorEastAsia" w:hAnsiTheme="minorEastAsia" w:eastAsiaTheme="minorEastAsia" w:cstheme="minorEastAsia"/>
          <w:b/>
          <w:szCs w:val="21"/>
        </w:rPr>
        <w:t>竞争性磋商响应文件的递交</w:t>
      </w:r>
      <w:bookmarkEnd w:id="68"/>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9" w:name="_Toc8513"/>
      <w:bookmarkStart w:id="70" w:name="_Toc27305"/>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69"/>
      <w:bookmarkEnd w:id="70"/>
    </w:p>
    <w:p>
      <w:pPr>
        <w:numPr>
          <w:ilvl w:val="1"/>
          <w:numId w:val="3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lang w:val="en-US" w:eastAsia="zh-CN"/>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lang w:val="en-US" w:eastAsia="zh-CN"/>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lang w:val="en-US" w:eastAsia="zh-CN"/>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0"/>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0"/>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w:t>
      </w:r>
      <w:r>
        <w:rPr>
          <w:rFonts w:hint="eastAsia" w:asciiTheme="minorEastAsia" w:hAnsiTheme="minorEastAsia" w:eastAsiaTheme="minorEastAsia" w:cstheme="minorEastAsia"/>
          <w:snapToGrid w:val="0"/>
          <w:kern w:val="0"/>
          <w:szCs w:val="21"/>
          <w:lang w:val="en-US" w:eastAsia="zh-CN"/>
        </w:rPr>
        <w:t>是否</w:t>
      </w:r>
      <w:r>
        <w:rPr>
          <w:rFonts w:hint="eastAsia" w:asciiTheme="minorEastAsia" w:hAnsiTheme="minorEastAsia" w:eastAsiaTheme="minorEastAsia" w:cstheme="minorEastAsia"/>
          <w:snapToGrid w:val="0"/>
          <w:kern w:val="0"/>
          <w:szCs w:val="21"/>
          <w:lang w:val="zh-CN"/>
        </w:rPr>
        <w:t>在样品上标明磋商供应商名称，有关提交及退还样品的相关规定。见《供应商须知前附表》。</w:t>
      </w:r>
    </w:p>
    <w:p>
      <w:pPr>
        <w:numPr>
          <w:ilvl w:val="0"/>
          <w:numId w:val="9"/>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1" w:name="_Toc17235"/>
      <w:bookmarkStart w:id="72"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71"/>
      <w:bookmarkEnd w:id="72"/>
    </w:p>
    <w:p>
      <w:pPr>
        <w:keepNext w:val="0"/>
        <w:keepLines w:val="0"/>
        <w:pageBreakBefore w:val="0"/>
        <w:widowControl w:val="0"/>
        <w:numPr>
          <w:ilvl w:val="0"/>
          <w:numId w:val="0"/>
        </w:numPr>
        <w:shd w:val="clear"/>
        <w:tabs>
          <w:tab w:val="left" w:pos="540"/>
        </w:tabs>
        <w:kinsoku/>
        <w:wordWrap/>
        <w:overflowPunct/>
        <w:topLinePunct w:val="0"/>
        <w:autoSpaceDE w:val="0"/>
        <w:autoSpaceDN w:val="0"/>
        <w:bidi w:val="0"/>
        <w:adjustRightInd w:val="0"/>
        <w:snapToGrid/>
        <w:spacing w:line="360" w:lineRule="auto"/>
        <w:ind w:left="617" w:leftChars="0" w:hanging="617" w:hangingChars="294"/>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20.1</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bCs/>
          <w:snapToGrid w:val="0"/>
          <w:kern w:val="0"/>
          <w:szCs w:val="21"/>
          <w:lang w:val="zh-CN"/>
        </w:rPr>
        <w:t>竞争性磋商</w:t>
      </w:r>
      <w:r>
        <w:rPr>
          <w:rFonts w:hint="eastAsia" w:asciiTheme="minorEastAsia" w:hAnsiTheme="minorEastAsia" w:eastAsiaTheme="minorEastAsia" w:cstheme="minorEastAsia"/>
          <w:snapToGrid w:val="0"/>
          <w:kern w:val="0"/>
          <w:szCs w:val="21"/>
          <w:lang w:val="zh-CN"/>
        </w:rPr>
        <w:t>文件中规定的首次送达、提交响应文件的最后时间。本次磋商响应文件的送达地点及截止时间见《供应商须知前附表》。</w:t>
      </w:r>
    </w:p>
    <w:p>
      <w:pPr>
        <w:numPr>
          <w:ilvl w:val="0"/>
          <w:numId w:val="9"/>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3" w:name="_Toc15504"/>
      <w:bookmarkStart w:id="74" w:name="_Toc31376"/>
      <w:r>
        <w:rPr>
          <w:rFonts w:hint="eastAsia" w:asciiTheme="minorEastAsia" w:hAnsiTheme="minorEastAsia" w:eastAsiaTheme="minorEastAsia" w:cstheme="minorEastAsia"/>
          <w:b/>
          <w:snapToGrid w:val="0"/>
          <w:kern w:val="0"/>
          <w:szCs w:val="21"/>
          <w:lang w:val="zh-CN"/>
        </w:rPr>
        <w:t>迟交的竞争性磋商响应文件</w:t>
      </w:r>
      <w:bookmarkEnd w:id="73"/>
      <w:bookmarkEnd w:id="74"/>
    </w:p>
    <w:p>
      <w:pPr>
        <w:keepNext w:val="0"/>
        <w:keepLines w:val="0"/>
        <w:pageBreakBefore w:val="0"/>
        <w:widowControl w:val="0"/>
        <w:numPr>
          <w:ilvl w:val="1"/>
          <w:numId w:val="31"/>
        </w:numPr>
        <w:shd w:val="clear"/>
        <w:tabs>
          <w:tab w:val="left" w:pos="540"/>
          <w:tab w:val="clear" w:pos="480"/>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9"/>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5" w:name="_Toc10669"/>
      <w:bookmarkStart w:id="76" w:name="_Toc31760"/>
      <w:r>
        <w:rPr>
          <w:rFonts w:hint="eastAsia" w:asciiTheme="minorEastAsia" w:hAnsiTheme="minorEastAsia" w:eastAsiaTheme="minorEastAsia" w:cstheme="minorEastAsia"/>
          <w:b/>
          <w:snapToGrid w:val="0"/>
          <w:kern w:val="0"/>
          <w:szCs w:val="21"/>
          <w:lang w:val="zh-CN"/>
        </w:rPr>
        <w:t>竞争性磋商响应文件的补充、修改或者撤回</w:t>
      </w:r>
      <w:bookmarkEnd w:id="75"/>
      <w:bookmarkEnd w:id="76"/>
    </w:p>
    <w:p>
      <w:pPr>
        <w:numPr>
          <w:ilvl w:val="1"/>
          <w:numId w:val="32"/>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keepNext w:val="0"/>
        <w:keepLines w:val="0"/>
        <w:pageBreakBefore w:val="0"/>
        <w:widowControl w:val="0"/>
        <w:numPr>
          <w:ilvl w:val="1"/>
          <w:numId w:val="32"/>
        </w:numPr>
        <w:tabs>
          <w:tab w:val="left" w:pos="540"/>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2"/>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77" w:name="_Toc12875"/>
      <w:r>
        <w:rPr>
          <w:rFonts w:hint="eastAsia" w:asciiTheme="minorEastAsia" w:hAnsiTheme="minorEastAsia" w:eastAsiaTheme="minorEastAsia" w:cstheme="minorEastAsia"/>
          <w:b/>
          <w:szCs w:val="21"/>
        </w:rPr>
        <w:t>磋商程序及步骤</w:t>
      </w:r>
      <w:bookmarkEnd w:id="77"/>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8" w:name="_Toc22624"/>
      <w:bookmarkStart w:id="79" w:name="_Toc22851"/>
      <w:r>
        <w:rPr>
          <w:rFonts w:hint="eastAsia" w:asciiTheme="minorEastAsia" w:hAnsiTheme="minorEastAsia" w:eastAsiaTheme="minorEastAsia" w:cstheme="minorEastAsia"/>
          <w:b/>
        </w:rPr>
        <w:t>竞争性磋商小组</w:t>
      </w:r>
      <w:bookmarkEnd w:id="78"/>
      <w:bookmarkEnd w:id="79"/>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23.1  </w:t>
      </w:r>
      <w:r>
        <w:rPr>
          <w:rFonts w:hint="eastAsia" w:asciiTheme="minorEastAsia" w:hAnsiTheme="minorEastAsia" w:eastAsiaTheme="minorEastAsia" w:cstheme="minorEastAsia"/>
          <w:snapToGrid w:val="0"/>
          <w:kern w:val="0"/>
          <w:szCs w:val="21"/>
          <w:lang w:val="zh-CN"/>
        </w:rPr>
        <w:t>采购人依照《中华人民共和国政府采购法》、《中华人民共和国政府采购法实施条例》、《政府采购竞争性磋商采购方式管理暂行办法》及现行法律规定组建磋商小组，磋商小组由采购人代表和评审专家共3人或</w:t>
      </w:r>
      <w:r>
        <w:rPr>
          <w:rFonts w:hint="eastAsia" w:asciiTheme="minorEastAsia" w:hAnsiTheme="minorEastAsia" w:eastAsiaTheme="minorEastAsia" w:cstheme="minorEastAsia"/>
          <w:snapToGrid w:val="0"/>
          <w:kern w:val="0"/>
          <w:szCs w:val="21"/>
          <w:lang w:val="en-US" w:eastAsia="zh-CN"/>
        </w:rPr>
        <w:t>3</w:t>
      </w:r>
      <w:r>
        <w:rPr>
          <w:rFonts w:hint="eastAsia" w:asciiTheme="minorEastAsia" w:hAnsiTheme="minorEastAsia" w:eastAsiaTheme="minorEastAsia" w:cstheme="minorEastAsia"/>
          <w:snapToGrid w:val="0"/>
          <w:kern w:val="0"/>
          <w:szCs w:val="21"/>
          <w:lang w:val="zh-CN"/>
        </w:rPr>
        <w:t>人以上单数组成。磋商小组人数详见《供应商须知前附表》。</w:t>
      </w:r>
    </w:p>
    <w:p>
      <w:pPr>
        <w:numPr>
          <w:ilvl w:val="0"/>
          <w:numId w:val="0"/>
        </w:numPr>
        <w:tabs>
          <w:tab w:val="left" w:pos="540"/>
        </w:tabs>
        <w:autoSpaceDE w:val="0"/>
        <w:autoSpaceDN w:val="0"/>
        <w:adjustRightInd w:val="0"/>
        <w:spacing w:line="360" w:lineRule="auto"/>
        <w:ind w:left="630" w:leftChars="0" w:hanging="630" w:hangingChars="3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23.2 </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 xml:space="preserve">磋商小组中的评审专家人数不少于磋商小组成员总数的2/3。除本采购文件另有规定，评审专家将从政府采购评审专家库中随机抽取。 </w:t>
      </w:r>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630" w:leftChars="0" w:hanging="630" w:hangingChars="30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23.3 </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磋商小组所有成员按事先抽取的磋商顺序</w:t>
      </w:r>
      <w:r>
        <w:rPr>
          <w:rFonts w:hint="eastAsia" w:asciiTheme="minorEastAsia" w:hAnsiTheme="minorEastAsia" w:eastAsiaTheme="minorEastAsia" w:cstheme="minorEastAsia"/>
          <w:snapToGrid w:val="0"/>
          <w:kern w:val="0"/>
          <w:szCs w:val="21"/>
          <w:lang w:val="zh-CN" w:eastAsia="zh-CN"/>
        </w:rPr>
        <w:t>，</w:t>
      </w:r>
      <w:r>
        <w:rPr>
          <w:rFonts w:hint="eastAsia" w:asciiTheme="minorEastAsia" w:hAnsiTheme="minorEastAsia" w:eastAsiaTheme="minorEastAsia" w:cstheme="minorEastAsia"/>
          <w:snapToGrid w:val="0"/>
          <w:kern w:val="0"/>
          <w:szCs w:val="21"/>
          <w:lang w:val="zh-CN"/>
        </w:rPr>
        <w:t>集中与单一供应商分别进行磋商，并给予所有参</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加磋商的供应商平等的磋商机会。</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0" w:name="_Toc21483"/>
      <w:bookmarkStart w:id="81" w:name="_Toc20435"/>
      <w:r>
        <w:rPr>
          <w:rFonts w:hint="eastAsia" w:asciiTheme="minorEastAsia" w:hAnsiTheme="minorEastAsia" w:eastAsiaTheme="minorEastAsia" w:cstheme="minorEastAsia"/>
          <w:b/>
        </w:rPr>
        <w:t>磋商代表</w:t>
      </w:r>
      <w:bookmarkEnd w:id="80"/>
      <w:bookmarkEnd w:id="81"/>
    </w:p>
    <w:p>
      <w:pPr>
        <w:keepNext w:val="0"/>
        <w:keepLines w:val="0"/>
        <w:pageBreakBefore w:val="0"/>
        <w:widowControl w:val="0"/>
        <w:tabs>
          <w:tab w:val="left" w:pos="864"/>
          <w:tab w:val="left" w:pos="1080"/>
        </w:tabs>
        <w:kinsoku/>
        <w:wordWrap/>
        <w:overflowPunct/>
        <w:topLinePunct w:val="0"/>
        <w:autoSpaceDE/>
        <w:autoSpaceDN/>
        <w:bidi w:val="0"/>
        <w:adjustRightInd/>
        <w:snapToGrid/>
        <w:spacing w:line="360" w:lineRule="auto"/>
        <w:ind w:left="632" w:hanging="632" w:hangingChars="300"/>
        <w:jc w:val="left"/>
        <w:textAlignment w:val="auto"/>
        <w:rPr>
          <w:rFonts w:hint="eastAsia" w:asciiTheme="minorEastAsia" w:hAnsiTheme="minorEastAsia" w:eastAsiaTheme="minorEastAsia" w:cstheme="minorEastAsia"/>
          <w:szCs w:val="21"/>
          <w:lang w:val="en-US" w:eastAsia="zh-CN"/>
        </w:rPr>
      </w:pPr>
      <w:bookmarkStart w:id="82" w:name="_Toc32662"/>
      <w:bookmarkStart w:id="83" w:name="_Toc9967"/>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b/>
          <w:lang w:val="en-US" w:eastAsia="zh-CN"/>
        </w:rPr>
        <w:t xml:space="preserve">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82"/>
      <w:bookmarkEnd w:id="83"/>
      <w:r>
        <w:rPr>
          <w:rFonts w:hint="eastAsia" w:asciiTheme="minorEastAsia" w:hAnsiTheme="minorEastAsia" w:eastAsiaTheme="minorEastAsia" w:cstheme="minorEastAsia"/>
          <w:szCs w:val="21"/>
          <w:lang w:val="en-US" w:eastAsia="zh-CN"/>
        </w:rPr>
        <w:t>磋商代表的其他要求见《供应商须知前附表》。</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84" w:name="_Toc24556"/>
      <w:r>
        <w:rPr>
          <w:rFonts w:hint="eastAsia" w:asciiTheme="minorEastAsia" w:hAnsiTheme="minorEastAsia" w:eastAsiaTheme="minorEastAsia" w:cstheme="minorEastAsia"/>
          <w:b/>
        </w:rPr>
        <w:t>资格审查和符合性审查</w:t>
      </w:r>
      <w:bookmarkEnd w:id="84"/>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25.1</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在正式磋商前，本磋商文件第四章规定的程序和方法，对供应商进行资格性审查和符合性审查，通过资格性审查和符合性审查，实质性响应磋商文件的供应商方可进入磋商程序。</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85" w:name="_Toc29110"/>
      <w:r>
        <w:rPr>
          <w:rFonts w:hint="eastAsia" w:asciiTheme="minorEastAsia" w:hAnsiTheme="minorEastAsia" w:eastAsiaTheme="minorEastAsia" w:cstheme="minorEastAsia"/>
          <w:b/>
        </w:rPr>
        <w:t>磋商</w:t>
      </w:r>
      <w:bookmarkEnd w:id="85"/>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26.1</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磋商小组将根据本磋商文件第四章规定的程序和方法与</w:t>
      </w:r>
      <w:r>
        <w:rPr>
          <w:rFonts w:hint="eastAsia" w:asciiTheme="minorEastAsia" w:hAnsiTheme="minorEastAsia" w:eastAsiaTheme="minorEastAsia" w:cstheme="minorEastAsia"/>
          <w:szCs w:val="21"/>
          <w:lang w:val="en-US" w:eastAsia="zh-CN"/>
        </w:rPr>
        <w:t>供应商</w:t>
      </w:r>
      <w:r>
        <w:rPr>
          <w:rFonts w:hint="eastAsia" w:asciiTheme="minorEastAsia" w:hAnsiTheme="minorEastAsia" w:eastAsiaTheme="minorEastAsia" w:cstheme="minorEastAsia"/>
          <w:szCs w:val="21"/>
        </w:rPr>
        <w:t>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26.2</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26.3</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w:t>
      </w:r>
      <w:r>
        <w:rPr>
          <w:rFonts w:hint="eastAsia" w:asciiTheme="minorEastAsia" w:hAnsiTheme="minorEastAsia" w:eastAsiaTheme="minorEastAsia" w:cstheme="minorEastAsia"/>
        </w:rPr>
        <w:t>的，以重新提交的响应文件为准。不按要求签署或逾时不提交响应文件的，视同放弃磋商，放弃磋商的供应商的磋商保证金将在成交通知书发放后的五个工作日内退还。</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26.4  竞标报价有算术错误的，</w:t>
      </w:r>
      <w:r>
        <w:rPr>
          <w:rFonts w:hint="eastAsia" w:asciiTheme="minorEastAsia" w:hAnsiTheme="minorEastAsia" w:eastAsiaTheme="minorEastAsia" w:cstheme="minorEastAsia"/>
          <w:szCs w:val="21"/>
        </w:rPr>
        <w:t>磋商小组</w:t>
      </w:r>
      <w:r>
        <w:rPr>
          <w:rFonts w:hint="eastAsia" w:asciiTheme="minorEastAsia" w:hAnsiTheme="minorEastAsia" w:eastAsiaTheme="minorEastAsia" w:cstheme="minorEastAsia"/>
          <w:szCs w:val="21"/>
          <w:lang w:eastAsia="zh-CN"/>
        </w:rPr>
        <w:t>按照以下原则对</w:t>
      </w:r>
      <w:r>
        <w:rPr>
          <w:rFonts w:hint="eastAsia" w:asciiTheme="minorEastAsia" w:hAnsiTheme="minorEastAsia" w:eastAsiaTheme="minorEastAsia" w:cstheme="minorEastAsia"/>
          <w:szCs w:val="21"/>
          <w:lang w:val="en-US" w:eastAsia="zh-CN"/>
        </w:rPr>
        <w:t>竞标</w:t>
      </w:r>
      <w:r>
        <w:rPr>
          <w:rFonts w:hint="eastAsia" w:asciiTheme="minorEastAsia" w:hAnsiTheme="minorEastAsia" w:eastAsiaTheme="minorEastAsia" w:cstheme="minorEastAsia"/>
          <w:szCs w:val="21"/>
          <w:lang w:eastAsia="zh-CN"/>
        </w:rPr>
        <w:t>报价进行修正，修正的价格经供应商书面确认后具有约束力。供应商不接受修正价格的，</w:t>
      </w:r>
      <w:r>
        <w:rPr>
          <w:rFonts w:hint="eastAsia" w:asciiTheme="minorEastAsia" w:hAnsiTheme="minorEastAsia" w:eastAsiaTheme="minorEastAsia" w:cstheme="minorEastAsia"/>
          <w:szCs w:val="21"/>
        </w:rPr>
        <w:t>磋商小组</w:t>
      </w:r>
      <w:r>
        <w:rPr>
          <w:rFonts w:hint="eastAsia" w:asciiTheme="minorEastAsia" w:hAnsiTheme="minorEastAsia" w:eastAsiaTheme="minorEastAsia" w:cstheme="minorEastAsia"/>
          <w:szCs w:val="21"/>
          <w:lang w:eastAsia="zh-CN"/>
        </w:rPr>
        <w:t>应当否决其</w:t>
      </w:r>
      <w:r>
        <w:rPr>
          <w:rFonts w:hint="eastAsia" w:asciiTheme="minorEastAsia" w:hAnsiTheme="minorEastAsia" w:eastAsiaTheme="minorEastAsia" w:cstheme="minorEastAsia"/>
          <w:szCs w:val="21"/>
          <w:lang w:val="en-US" w:eastAsia="zh-CN"/>
        </w:rPr>
        <w:t>竞标</w:t>
      </w:r>
      <w:r>
        <w:rPr>
          <w:rFonts w:hint="eastAsia" w:asciiTheme="minorEastAsia" w:hAnsiTheme="minorEastAsia" w:eastAsiaTheme="minorEastAsia" w:cstheme="minorEastAsia"/>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 xml:space="preserve">     （1）响应文件中的大写金额与小写金额不一致的，以大写金额为准；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 xml:space="preserve">     （2）总价金额与根据单价计算出的结果不一致的，以单价金额为准修正总价，但单价金额小数点有明显错误的除外。</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w:t>
      </w:r>
      <w:r>
        <w:rPr>
          <w:rFonts w:hint="eastAsia" w:asciiTheme="minorEastAsia" w:hAnsiTheme="minorEastAsia" w:eastAsiaTheme="minorEastAsia" w:cstheme="minorEastAsia"/>
          <w:lang w:val="en-US" w:eastAsia="zh-CN"/>
        </w:rPr>
        <w:t xml:space="preserve">5  </w:t>
      </w:r>
      <w:r>
        <w:rPr>
          <w:rFonts w:hint="eastAsia" w:asciiTheme="minorEastAsia" w:hAnsiTheme="minorEastAsia" w:eastAsiaTheme="minorEastAsia" w:cstheme="minorEastAsia"/>
        </w:rPr>
        <w:t>最后报价</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210" w:firstLineChars="1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最后报价为本次竞争性磋商不可变动的最终价格。</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w:t>
      </w:r>
      <w:r>
        <w:rPr>
          <w:rFonts w:hint="eastAsia" w:asciiTheme="minorEastAsia" w:hAnsiTheme="minorEastAsia" w:eastAsiaTheme="minorEastAsia" w:cstheme="minorEastAsia"/>
          <w:lang w:val="en-US" w:eastAsia="zh-CN"/>
        </w:rPr>
        <w:t xml:space="preserve">6  </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bCs/>
          <w:kern w:val="44"/>
          <w:szCs w:val="21"/>
        </w:rPr>
        <w:t xml:space="preserve"> </w:t>
      </w:r>
      <w:r>
        <w:rPr>
          <w:rFonts w:hint="eastAsia" w:asciiTheme="minorEastAsia" w:hAnsiTheme="minorEastAsia" w:eastAsiaTheme="minorEastAsia" w:cstheme="minorEastAsia"/>
          <w:bCs/>
          <w:kern w:val="44"/>
          <w:szCs w:val="21"/>
          <w:lang w:val="en-US" w:eastAsia="zh-CN"/>
        </w:rPr>
        <w:t xml:space="preserve"> </w:t>
      </w:r>
      <w:r>
        <w:rPr>
          <w:rFonts w:hint="eastAsia" w:asciiTheme="minorEastAsia" w:hAnsiTheme="minorEastAsia" w:eastAsiaTheme="minorEastAsia" w:cstheme="minorEastAsia"/>
          <w:bCs/>
          <w:kern w:val="44"/>
          <w:szCs w:val="21"/>
        </w:rPr>
        <w:t>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w:t>
      </w:r>
      <w:r>
        <w:rPr>
          <w:rFonts w:hint="eastAsia" w:asciiTheme="minorEastAsia" w:hAnsiTheme="minorEastAsia" w:eastAsiaTheme="minorEastAsia" w:cstheme="minorEastAsia"/>
          <w:bCs/>
          <w:kern w:val="44"/>
          <w:szCs w:val="21"/>
          <w:lang w:val="en-US" w:eastAsia="zh-CN"/>
        </w:rPr>
        <w:t xml:space="preserve">8  </w:t>
      </w:r>
      <w:r>
        <w:rPr>
          <w:rFonts w:hint="eastAsia" w:asciiTheme="minorEastAsia" w:hAnsiTheme="minorEastAsia" w:eastAsiaTheme="minorEastAsia" w:cstheme="minorEastAsia"/>
          <w:bCs/>
          <w:kern w:val="44"/>
          <w:szCs w:val="21"/>
        </w:rPr>
        <w:t>采购代理机构对磋商过程和重要磋商内容进行记录，磋商双方在记录上签字确认。</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6" w:name="_Toc24005"/>
      <w:r>
        <w:rPr>
          <w:rFonts w:hint="eastAsia" w:asciiTheme="minorEastAsia" w:hAnsiTheme="minorEastAsia" w:eastAsiaTheme="minorEastAsia" w:cstheme="minorEastAsia"/>
          <w:b/>
          <w:lang w:val="zh-CN"/>
        </w:rPr>
        <w:t>保密</w:t>
      </w:r>
      <w:bookmarkEnd w:id="86"/>
    </w:p>
    <w:p>
      <w:pPr>
        <w:numPr>
          <w:ilvl w:val="1"/>
          <w:numId w:val="33"/>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3"/>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lang w:val="en-US" w:eastAsia="zh-CN"/>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lang w:val="en-US" w:eastAsia="zh-CN"/>
        </w:rPr>
        <w:t>评定办法</w:t>
      </w:r>
      <w:r>
        <w:rPr>
          <w:rFonts w:hint="eastAsia" w:asciiTheme="minorEastAsia" w:hAnsiTheme="minorEastAsia" w:eastAsiaTheme="minorEastAsia" w:cstheme="minorEastAsia"/>
          <w:snapToGrid w:val="0"/>
          <w:kern w:val="0"/>
          <w:szCs w:val="21"/>
          <w:lang w:val="zh-CN"/>
        </w:rPr>
        <w:t>”。</w:t>
      </w:r>
    </w:p>
    <w:p>
      <w:pPr>
        <w:numPr>
          <w:ilvl w:val="1"/>
          <w:numId w:val="33"/>
        </w:numPr>
        <w:autoSpaceDE w:val="0"/>
        <w:autoSpaceDN w:val="0"/>
        <w:adjustRightInd w:val="0"/>
        <w:spacing w:line="360" w:lineRule="auto"/>
        <w:jc w:val="left"/>
        <w:rPr>
          <w:rFonts w:hint="eastAsia"/>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7" w:name="_Toc15936"/>
      <w:r>
        <w:rPr>
          <w:rFonts w:hint="eastAsia" w:asciiTheme="minorEastAsia" w:hAnsiTheme="minorEastAsia" w:eastAsiaTheme="minorEastAsia" w:cstheme="minorEastAsia"/>
          <w:b/>
          <w:szCs w:val="21"/>
        </w:rPr>
        <w:t>成交与签订合同</w:t>
      </w:r>
      <w:bookmarkEnd w:id="87"/>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8" w:name="_Toc21514"/>
      <w:r>
        <w:rPr>
          <w:rFonts w:hint="eastAsia" w:asciiTheme="minorEastAsia" w:hAnsiTheme="minorEastAsia" w:eastAsiaTheme="minorEastAsia" w:cstheme="minorEastAsia"/>
          <w:b/>
          <w:lang w:val="zh-CN"/>
        </w:rPr>
        <w:t>合同授予标准</w:t>
      </w:r>
      <w:bookmarkEnd w:id="88"/>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kern w:val="0"/>
          <w:sz w:val="21"/>
          <w:szCs w:val="21"/>
          <w:lang w:val="zh-CN"/>
        </w:rPr>
      </w:pPr>
      <w:r>
        <w:rPr>
          <w:rFonts w:hint="eastAsia" w:asciiTheme="minorEastAsia" w:hAnsiTheme="minorEastAsia" w:eastAsiaTheme="minorEastAsia" w:cstheme="minorEastAsia"/>
          <w:iCs/>
          <w:snapToGrid w:val="0"/>
          <w:kern w:val="0"/>
          <w:szCs w:val="21"/>
          <w:lang w:val="zh-CN"/>
        </w:rPr>
        <w:t>28.1</w:t>
      </w:r>
      <w:r>
        <w:rPr>
          <w:rFonts w:hint="eastAsia" w:asciiTheme="minorEastAsia" w:hAnsiTheme="minorEastAsia" w:eastAsiaTheme="minorEastAsia" w:cstheme="minorEastAsia"/>
          <w:iCs/>
          <w:snapToGrid w:val="0"/>
          <w:kern w:val="0"/>
          <w:szCs w:val="21"/>
          <w:lang w:val="en-US" w:eastAsia="zh-CN"/>
        </w:rPr>
        <w:t xml:space="preserve">  </w:t>
      </w:r>
      <w:r>
        <w:rPr>
          <w:rFonts w:hint="eastAsia" w:asciiTheme="minorEastAsia" w:hAnsiTheme="minorEastAsia" w:eastAsiaTheme="minorEastAsia" w:cstheme="minorEastAsia"/>
          <w:iCs/>
          <w:snapToGrid w:val="0"/>
          <w:kern w:val="0"/>
          <w:sz w:val="21"/>
          <w:szCs w:val="21"/>
          <w:lang w:val="zh-CN"/>
        </w:rPr>
        <w:t>采购人将把合同授予排名</w:t>
      </w:r>
      <w:r>
        <w:rPr>
          <w:rFonts w:hint="eastAsia" w:asciiTheme="minorEastAsia" w:hAnsiTheme="minorEastAsia" w:eastAsiaTheme="minorEastAsia" w:cstheme="minorEastAsia"/>
          <w:iCs/>
          <w:snapToGrid w:val="0"/>
          <w:kern w:val="0"/>
          <w:sz w:val="21"/>
          <w:szCs w:val="21"/>
          <w:lang w:val="en-US" w:eastAsia="zh-CN"/>
        </w:rPr>
        <w:t>推荐数量</w:t>
      </w:r>
      <w:r>
        <w:rPr>
          <w:rFonts w:hint="eastAsia" w:asciiTheme="minorEastAsia" w:hAnsiTheme="minorEastAsia" w:eastAsiaTheme="minorEastAsia" w:cstheme="minorEastAsia"/>
          <w:iCs/>
          <w:snapToGrid w:val="0"/>
          <w:kern w:val="0"/>
          <w:sz w:val="21"/>
          <w:szCs w:val="21"/>
          <w:lang w:val="zh-CN"/>
        </w:rPr>
        <w:t>的供应商，特殊情况按本须知29.3的规定执行。</w:t>
      </w:r>
    </w:p>
    <w:p>
      <w:pPr>
        <w:keepNext w:val="0"/>
        <w:keepLines w:val="0"/>
        <w:pageBreakBefore w:val="0"/>
        <w:widowControl w:val="0"/>
        <w:kinsoku/>
        <w:wordWrap/>
        <w:overflowPunct/>
        <w:topLinePunct w:val="0"/>
        <w:bidi w:val="0"/>
        <w:snapToGrid/>
        <w:spacing w:line="360" w:lineRule="auto"/>
        <w:ind w:left="630" w:hanging="630" w:hangingChars="300"/>
        <w:jc w:val="left"/>
        <w:textAlignment w:val="auto"/>
        <w:outlineLvl w:val="9"/>
        <w:rPr>
          <w:rFonts w:ascii="宋体" w:hAnsi="宋体" w:eastAsia="宋体" w:cs="宋体"/>
          <w:sz w:val="21"/>
          <w:szCs w:val="21"/>
        </w:rPr>
      </w:pPr>
      <w:r>
        <w:rPr>
          <w:rFonts w:hint="eastAsia" w:asciiTheme="minorEastAsia" w:hAnsiTheme="minorEastAsia" w:eastAsiaTheme="minorEastAsia" w:cstheme="minorEastAsia"/>
          <w:iCs/>
          <w:snapToGrid w:val="0"/>
          <w:kern w:val="0"/>
          <w:sz w:val="21"/>
          <w:szCs w:val="21"/>
          <w:lang w:val="zh-CN"/>
        </w:rPr>
        <w:t>28.</w:t>
      </w:r>
      <w:r>
        <w:rPr>
          <w:rFonts w:hint="eastAsia" w:asciiTheme="minorEastAsia" w:hAnsiTheme="minorEastAsia" w:eastAsiaTheme="minorEastAsia" w:cstheme="minorEastAsia"/>
          <w:iCs/>
          <w:snapToGrid w:val="0"/>
          <w:kern w:val="0"/>
          <w:sz w:val="21"/>
          <w:szCs w:val="21"/>
          <w:lang w:val="en-US" w:eastAsia="zh-CN"/>
        </w:rPr>
        <w:t xml:space="preserve">2  </w:t>
      </w:r>
      <w:r>
        <w:rPr>
          <w:rFonts w:hint="eastAsia" w:asciiTheme="minorEastAsia" w:hAnsiTheme="minorEastAsia" w:eastAsiaTheme="minorEastAsia" w:cstheme="minorEastAsia"/>
          <w:iCs/>
          <w:snapToGrid w:val="0"/>
          <w:kern w:val="0"/>
          <w:sz w:val="21"/>
          <w:szCs w:val="21"/>
          <w:lang w:val="zh-CN"/>
        </w:rPr>
        <w:t>采购代理机构应当在评审结束后2个工作日内将评审报告送采购人确认。</w:t>
      </w:r>
      <w:r>
        <w:rPr>
          <w:rFonts w:ascii="宋体" w:hAnsi="宋体" w:eastAsia="宋体" w:cs="宋体"/>
          <w:sz w:val="21"/>
          <w:szCs w:val="21"/>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hanging="630" w:hangingChars="300"/>
        <w:jc w:val="left"/>
        <w:textAlignment w:val="auto"/>
        <w:outlineLvl w:val="9"/>
        <w:rPr>
          <w:rFonts w:hint="eastAsia" w:asciiTheme="minorEastAsia" w:hAnsiTheme="minorEastAsia" w:eastAsiaTheme="minorEastAsia" w:cstheme="minorEastAsia"/>
          <w:iCs/>
          <w:snapToGrid w:val="0"/>
          <w:kern w:val="0"/>
          <w:sz w:val="21"/>
          <w:szCs w:val="21"/>
          <w:lang w:val="zh-CN"/>
        </w:rPr>
      </w:pPr>
      <w:r>
        <w:rPr>
          <w:rFonts w:hint="eastAsia" w:asciiTheme="minorEastAsia" w:hAnsiTheme="minorEastAsia" w:eastAsiaTheme="minorEastAsia" w:cstheme="minorEastAsia"/>
          <w:iCs/>
          <w:snapToGrid w:val="0"/>
          <w:kern w:val="0"/>
          <w:sz w:val="21"/>
          <w:szCs w:val="21"/>
          <w:lang w:val="zh-CN"/>
        </w:rPr>
        <w:t>28.</w:t>
      </w:r>
      <w:r>
        <w:rPr>
          <w:rFonts w:hint="eastAsia" w:asciiTheme="minorEastAsia" w:hAnsiTheme="minorEastAsia" w:eastAsiaTheme="minorEastAsia" w:cstheme="minorEastAsia"/>
          <w:iCs/>
          <w:snapToGrid w:val="0"/>
          <w:kern w:val="0"/>
          <w:sz w:val="21"/>
          <w:szCs w:val="21"/>
          <w:lang w:val="en-US" w:eastAsia="zh-CN"/>
        </w:rPr>
        <w:t xml:space="preserve">3  </w:t>
      </w:r>
      <w:r>
        <w:rPr>
          <w:rFonts w:hint="eastAsia" w:asciiTheme="minorEastAsia" w:hAnsiTheme="minorEastAsia" w:eastAsiaTheme="minorEastAsia" w:cstheme="minorEastAsia"/>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kern w:val="0"/>
          <w:sz w:val="21"/>
          <w:szCs w:val="21"/>
          <w:lang w:val="zh-CN"/>
        </w:rPr>
      </w:pPr>
      <w:r>
        <w:rPr>
          <w:rFonts w:hint="eastAsia" w:asciiTheme="minorEastAsia" w:hAnsiTheme="minorEastAsia" w:eastAsiaTheme="minorEastAsia" w:cstheme="minorEastAsia"/>
          <w:iCs/>
          <w:snapToGrid w:val="0"/>
          <w:kern w:val="0"/>
          <w:sz w:val="21"/>
          <w:szCs w:val="21"/>
          <w:lang w:val="zh-CN"/>
        </w:rPr>
        <w:t>28.</w:t>
      </w:r>
      <w:r>
        <w:rPr>
          <w:rFonts w:hint="eastAsia" w:asciiTheme="minorEastAsia" w:hAnsiTheme="minorEastAsia" w:eastAsiaTheme="minorEastAsia" w:cstheme="minorEastAsia"/>
          <w:iCs/>
          <w:snapToGrid w:val="0"/>
          <w:kern w:val="0"/>
          <w:sz w:val="21"/>
          <w:szCs w:val="21"/>
          <w:lang w:val="en-US" w:eastAsia="zh-CN"/>
        </w:rPr>
        <w:t xml:space="preserve">4  </w:t>
      </w:r>
      <w:r>
        <w:rPr>
          <w:rFonts w:hint="eastAsia" w:asciiTheme="minorEastAsia" w:hAnsiTheme="minorEastAsia" w:eastAsiaTheme="minorEastAsia" w:cstheme="minorEastAsia"/>
          <w:iCs/>
          <w:snapToGrid w:val="0"/>
          <w:kern w:val="0"/>
          <w:sz w:val="21"/>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kern w:val="0"/>
          <w:sz w:val="21"/>
          <w:szCs w:val="21"/>
          <w:lang w:val="zh-CN"/>
        </w:rPr>
      </w:pPr>
      <w:r>
        <w:rPr>
          <w:rFonts w:hint="eastAsia" w:asciiTheme="minorEastAsia" w:hAnsiTheme="minorEastAsia" w:eastAsiaTheme="minorEastAsia" w:cstheme="minorEastAsia"/>
          <w:iCs/>
          <w:snapToGrid w:val="0"/>
          <w:kern w:val="0"/>
          <w:sz w:val="21"/>
          <w:szCs w:val="21"/>
          <w:lang w:val="zh-CN"/>
        </w:rPr>
        <w:t>28.</w:t>
      </w:r>
      <w:r>
        <w:rPr>
          <w:rFonts w:hint="eastAsia" w:asciiTheme="minorEastAsia" w:hAnsiTheme="minorEastAsia" w:eastAsiaTheme="minorEastAsia" w:cstheme="minorEastAsia"/>
          <w:iCs/>
          <w:snapToGrid w:val="0"/>
          <w:kern w:val="0"/>
          <w:sz w:val="21"/>
          <w:szCs w:val="21"/>
          <w:lang w:val="en-US" w:eastAsia="zh-CN"/>
        </w:rPr>
        <w:t xml:space="preserve">5  </w:t>
      </w:r>
      <w:r>
        <w:rPr>
          <w:rFonts w:hint="eastAsia" w:asciiTheme="minorEastAsia" w:hAnsiTheme="minorEastAsia" w:eastAsiaTheme="minorEastAsia" w:cstheme="minorEastAsia"/>
          <w:iCs/>
          <w:snapToGrid w:val="0"/>
          <w:kern w:val="0"/>
          <w:sz w:val="21"/>
          <w:szCs w:val="21"/>
          <w:lang w:val="zh-CN"/>
        </w:rPr>
        <w:t>成交通知书的领取时间详见《供应商须知前附表》。</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9" w:name="_Toc15727"/>
      <w:r>
        <w:rPr>
          <w:rFonts w:hint="eastAsia" w:asciiTheme="minorEastAsia" w:hAnsiTheme="minorEastAsia" w:eastAsiaTheme="minorEastAsia" w:cstheme="minorEastAsia"/>
          <w:b/>
          <w:lang w:val="zh-CN"/>
        </w:rPr>
        <w:t>签订合同</w:t>
      </w:r>
      <w:bookmarkEnd w:id="89"/>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29.1 </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竞争性磋商采购文件对履约保证金有规定的，成交供应商应按规定在签订合同前缴纳履约保证金。</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 xml:space="preserve">29.2 </w:t>
      </w:r>
      <w:r>
        <w:rPr>
          <w:rFonts w:hint="eastAsia" w:asciiTheme="minorEastAsia" w:hAnsiTheme="minorEastAsia" w:eastAsiaTheme="minorEastAsia" w:cstheme="minorEastAsia"/>
          <w:snapToGrid w:val="0"/>
          <w:szCs w:val="21"/>
          <w:lang w:val="en-US" w:eastAsia="zh-CN"/>
        </w:rPr>
        <w:t xml:space="preserve"> </w:t>
      </w:r>
      <w:r>
        <w:rPr>
          <w:rFonts w:hint="eastAsia" w:asciiTheme="minorEastAsia" w:hAnsiTheme="minorEastAsia" w:eastAsiaTheme="minorEastAsia" w:cstheme="minorEastAsia"/>
          <w:snapToGrid w:val="0"/>
          <w:szCs w:val="21"/>
          <w:lang w:val="zh-CN"/>
        </w:rPr>
        <w:t>采购人与成交供应商应当在成交通知书发出之日起30日内，按照采购文件确定的合同文本以及采购标的、规格型号、采购金额、采购数量、技术和服务要求等事项签订政府采购合同。</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29.5 </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 xml:space="preserve">29.6 </w:t>
      </w:r>
      <w:r>
        <w:rPr>
          <w:rFonts w:hint="eastAsia" w:asciiTheme="minorEastAsia" w:hAnsiTheme="minorEastAsia" w:eastAsiaTheme="minorEastAsia" w:cstheme="minorEastAsia"/>
          <w:snapToGrid w:val="0"/>
          <w:szCs w:val="21"/>
          <w:lang w:val="en-US" w:eastAsia="zh-CN"/>
        </w:rPr>
        <w:t xml:space="preserve"> </w:t>
      </w:r>
      <w:r>
        <w:rPr>
          <w:rFonts w:hint="eastAsia" w:asciiTheme="minorEastAsia" w:hAnsiTheme="minorEastAsia" w:eastAsiaTheme="minorEastAsia" w:cstheme="minorEastAsia"/>
          <w:snapToGrid w:val="0"/>
          <w:szCs w:val="21"/>
          <w:lang w:val="zh-CN"/>
        </w:rPr>
        <w:t>除不可抗力等因素外，成交通知书发出后，采购人改变成交结果，或者成交供应商拒绝签订政府采购合同的，应当承担相应的法律责任。</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keepNext w:val="0"/>
        <w:keepLines w:val="0"/>
        <w:pageBreakBefore w:val="0"/>
        <w:widowControl w:val="0"/>
        <w:numPr>
          <w:ilvl w:val="1"/>
          <w:numId w:val="8"/>
        </w:numPr>
        <w:tabs>
          <w:tab w:val="left" w:pos="540"/>
          <w:tab w:val="clear" w:pos="840"/>
        </w:tabs>
        <w:kinsoku/>
        <w:wordWrap/>
        <w:overflowPunct/>
        <w:topLinePunct w:val="0"/>
        <w:bidi w:val="0"/>
        <w:snapToGrid/>
        <w:spacing w:line="360" w:lineRule="auto"/>
        <w:ind w:left="630" w:hanging="632" w:hangingChars="300"/>
        <w:jc w:val="left"/>
        <w:textAlignment w:val="auto"/>
        <w:outlineLvl w:val="9"/>
        <w:rPr>
          <w:rFonts w:hint="eastAsia" w:asciiTheme="minorEastAsia" w:hAnsiTheme="minorEastAsia" w:eastAsiaTheme="minorEastAsia" w:cstheme="minorEastAsia"/>
          <w:b/>
          <w:szCs w:val="21"/>
          <w:lang w:val="zh-CN"/>
        </w:rPr>
      </w:pPr>
      <w:bookmarkStart w:id="90" w:name="_Toc4883"/>
      <w:bookmarkStart w:id="91" w:name="_Toc14510"/>
      <w:bookmarkStart w:id="92" w:name="_Toc13988"/>
      <w:r>
        <w:rPr>
          <w:rFonts w:hint="eastAsia" w:asciiTheme="minorEastAsia" w:hAnsiTheme="minorEastAsia" w:eastAsiaTheme="minorEastAsia" w:cstheme="minorEastAsia"/>
          <w:b/>
          <w:szCs w:val="21"/>
          <w:lang w:val="zh-CN"/>
        </w:rPr>
        <w:t>质疑和投诉</w:t>
      </w:r>
      <w:bookmarkEnd w:id="90"/>
      <w:bookmarkEnd w:id="91"/>
      <w:bookmarkEnd w:id="92"/>
    </w:p>
    <w:p>
      <w:pPr>
        <w:keepNext w:val="0"/>
        <w:keepLines w:val="0"/>
        <w:pageBreakBefore w:val="0"/>
        <w:widowControl w:val="0"/>
        <w:numPr>
          <w:ilvl w:val="0"/>
          <w:numId w:val="9"/>
        </w:numPr>
        <w:tabs>
          <w:tab w:val="left" w:pos="864"/>
          <w:tab w:val="left" w:pos="1080"/>
        </w:tabs>
        <w:kinsoku/>
        <w:wordWrap/>
        <w:overflowPunct/>
        <w:topLinePunct w:val="0"/>
        <w:bidi w:val="0"/>
        <w:snapToGrid/>
        <w:spacing w:line="360" w:lineRule="auto"/>
        <w:ind w:left="630" w:hanging="632" w:hangingChars="300"/>
        <w:jc w:val="left"/>
        <w:textAlignment w:val="auto"/>
        <w:outlineLvl w:val="9"/>
        <w:rPr>
          <w:rFonts w:hint="eastAsia" w:asciiTheme="minorEastAsia" w:hAnsiTheme="minorEastAsia" w:eastAsiaTheme="minorEastAsia" w:cstheme="minorEastAsia"/>
          <w:b/>
          <w:lang w:val="zh-CN"/>
        </w:rPr>
      </w:pPr>
      <w:r>
        <w:rPr>
          <w:rFonts w:hint="eastAsia" w:asciiTheme="minorEastAsia" w:hAnsiTheme="minorEastAsia" w:eastAsiaTheme="minorEastAsia" w:cstheme="minorEastAsia"/>
          <w:b/>
          <w:lang w:val="zh-CN"/>
        </w:rPr>
        <w:t>质疑</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质疑书应当包括下列主要内容：</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质疑人的名称、地址、联系人及联系电话等；</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被质疑人的名称、地址、联系人及联系电话等；</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质疑项目名称及编号、质疑事项和明确的请求；</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（4）</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质疑事项的事实根据、法律依据及其他必要的证明材料；质疑人提供的证明材料属于其他供应商投标（响应）文件未公开内容的，应当提供书面材料证明其合法来源；</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（5）</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提出质疑的日期；</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（6）</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质疑人的署名及签章（质疑人为自然人的，应当由本人签字；质疑人为法人或者其他组织的，应当由法定代表人或者主要负责人签字盖章并加盖公章）；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（7）</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法人授权委托书（质疑人或法人委托代理人办理质疑事务的，应当提供授权委托书，授权委托书应当载明委托代理的具体权限和事项）。</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3" w:name="_Toc20387"/>
      <w:r>
        <w:rPr>
          <w:rFonts w:hint="eastAsia" w:asciiTheme="minorEastAsia" w:hAnsiTheme="minorEastAsia" w:eastAsiaTheme="minorEastAsia" w:cstheme="minorEastAsia"/>
          <w:b/>
          <w:lang w:val="zh-CN"/>
        </w:rPr>
        <w:t>质疑回复</w:t>
      </w:r>
      <w:bookmarkEnd w:id="93"/>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质疑答复应当包括下列内容：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4" w:name="_Toc459"/>
      <w:r>
        <w:rPr>
          <w:rFonts w:hint="eastAsia" w:asciiTheme="minorEastAsia" w:hAnsiTheme="minorEastAsia" w:eastAsiaTheme="minorEastAsia" w:cstheme="minorEastAsia"/>
          <w:b/>
          <w:lang w:val="zh-CN"/>
        </w:rPr>
        <w:t>投诉</w:t>
      </w:r>
      <w:bookmarkEnd w:id="94"/>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95" w:name="_Toc28705"/>
      <w:bookmarkStart w:id="96" w:name="_Toc5571"/>
      <w:bookmarkStart w:id="97" w:name="_Toc30010"/>
      <w:bookmarkStart w:id="98" w:name="_Toc14767"/>
      <w:r>
        <w:rPr>
          <w:rFonts w:hint="eastAsia" w:asciiTheme="minorEastAsia" w:hAnsiTheme="minorEastAsia" w:eastAsiaTheme="minorEastAsia" w:cstheme="minorEastAsia"/>
          <w:b/>
          <w:szCs w:val="21"/>
          <w:lang w:val="zh-CN"/>
        </w:rPr>
        <w:t>政策</w:t>
      </w:r>
      <w:bookmarkEnd w:id="95"/>
      <w:bookmarkEnd w:id="96"/>
      <w:bookmarkEnd w:id="97"/>
      <w:bookmarkEnd w:id="98"/>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lang w:val="en-US" w:eastAsia="zh-CN"/>
        </w:rPr>
      </w:pPr>
      <w:bookmarkStart w:id="99" w:name="_Toc28842"/>
      <w:r>
        <w:rPr>
          <w:rFonts w:hint="eastAsia" w:asciiTheme="minorEastAsia" w:hAnsiTheme="minorEastAsia" w:eastAsiaTheme="minorEastAsia" w:cstheme="minorEastAsia"/>
          <w:b/>
          <w:lang w:val="en-US" w:eastAsia="zh-CN"/>
        </w:rPr>
        <w:t>政府采购政策</w:t>
      </w:r>
      <w:bookmarkEnd w:id="99"/>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spacing w:val="-2"/>
          <w:kern w:val="0"/>
          <w:szCs w:val="21"/>
          <w:lang w:val="zh-CN"/>
        </w:rPr>
        <w:t>除非“供应商须知前附表”中有特殊规定，本项目所采购的货物</w:t>
      </w:r>
      <w:r>
        <w:rPr>
          <w:rFonts w:hint="eastAsia" w:ascii="宋体" w:hAnsi="宋体" w:cs="宋体"/>
          <w:snapToGrid w:val="0"/>
          <w:spacing w:val="-2"/>
          <w:kern w:val="0"/>
          <w:szCs w:val="21"/>
          <w:lang w:val="en-US" w:eastAsia="zh-CN"/>
        </w:rPr>
        <w:t>或服务或工程</w:t>
      </w:r>
      <w:r>
        <w:rPr>
          <w:rFonts w:hint="eastAsia" w:ascii="宋体" w:hAnsi="宋体" w:cs="宋体"/>
          <w:snapToGrid w:val="0"/>
          <w:spacing w:val="-2"/>
          <w:kern w:val="0"/>
          <w:szCs w:val="21"/>
          <w:lang w:val="zh-CN"/>
        </w:rPr>
        <w:t>应当为中华人民共和国境内提供。</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为促进中小企业发展，本项目供应商如符合工信部联企业【</w:t>
      </w:r>
      <w:r>
        <w:rPr>
          <w:rFonts w:hint="eastAsia" w:ascii="宋体" w:hAnsi="宋体" w:cs="宋体"/>
          <w:snapToGrid w:val="0"/>
          <w:kern w:val="0"/>
          <w:szCs w:val="21"/>
          <w:lang w:val="en-US" w:eastAsia="zh-CN"/>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en-US"/>
        </w:rPr>
      </w:pPr>
      <w:r>
        <w:rPr>
          <w:rFonts w:hint="eastAsia" w:ascii="宋体" w:hAnsi="宋体" w:cs="宋体"/>
          <w:snapToGrid w:val="0"/>
          <w:kern w:val="0"/>
          <w:szCs w:val="21"/>
          <w:lang w:val="zh-CN" w:eastAsia="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eastAsia="zh-CN"/>
        </w:rPr>
        <w:t>.</w:t>
      </w:r>
      <w:r>
        <w:rPr>
          <w:rFonts w:hint="eastAsia" w:ascii="宋体" w:hAnsi="宋体" w:cs="宋体"/>
          <w:snapToGrid w:val="0"/>
          <w:kern w:val="0"/>
          <w:szCs w:val="21"/>
          <w:lang w:val="en-US" w:eastAsia="zh-CN"/>
        </w:rPr>
        <w:t>5  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lang w:val="en-US" w:eastAsia="zh-CN"/>
        </w:rPr>
        <w:t xml:space="preserve">6  </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b/>
          <w:bCs/>
          <w:lang w:val="zh-CN"/>
        </w:rPr>
      </w:pPr>
      <w:r>
        <w:rPr>
          <w:rFonts w:hint="eastAsia" w:ascii="宋体" w:hAnsi="宋体" w:cs="宋体"/>
          <w:b/>
          <w:bCs/>
          <w:snapToGrid w:val="0"/>
          <w:kern w:val="0"/>
          <w:szCs w:val="21"/>
          <w:lang w:val="zh-CN"/>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0" w:name="_Toc25296"/>
      <w:r>
        <w:rPr>
          <w:rFonts w:hint="eastAsia" w:asciiTheme="minorEastAsia" w:hAnsiTheme="minorEastAsia" w:eastAsiaTheme="minorEastAsia" w:cstheme="minorEastAsia"/>
          <w:b/>
          <w:szCs w:val="21"/>
          <w:lang w:val="zh-CN"/>
        </w:rPr>
        <w:t>其他要求</w:t>
      </w:r>
      <w:bookmarkEnd w:id="100"/>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1" w:name="_Toc28137"/>
      <w:r>
        <w:rPr>
          <w:rFonts w:hint="eastAsia" w:asciiTheme="minorEastAsia" w:hAnsiTheme="minorEastAsia" w:eastAsiaTheme="minorEastAsia" w:cstheme="minorEastAsia"/>
          <w:b/>
          <w:szCs w:val="21"/>
          <w:lang w:val="zh-CN"/>
        </w:rPr>
        <w:t>适用法律</w:t>
      </w:r>
      <w:bookmarkEnd w:id="101"/>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
          <w:bCs/>
          <w:snapToGrid w:val="0"/>
          <w:kern w:val="0"/>
          <w:szCs w:val="21"/>
          <w:lang w:val="zh-CN"/>
        </w:rPr>
        <w:t>补充说明：</w:t>
      </w:r>
    </w:p>
    <w:p>
      <w:pPr>
        <w:keepNext w:val="0"/>
        <w:keepLines w:val="0"/>
        <w:pageBreakBefore w:val="0"/>
        <w:widowControl w:val="0"/>
        <w:numPr>
          <w:ilvl w:val="0"/>
          <w:numId w:val="34"/>
        </w:numPr>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11 月 30 日。</w:t>
      </w:r>
    </w:p>
    <w:p>
      <w:pPr>
        <w:keepNext w:val="0"/>
        <w:keepLines w:val="0"/>
        <w:pageBreakBefore w:val="0"/>
        <w:widowControl w:val="0"/>
        <w:numPr>
          <w:ilvl w:val="0"/>
          <w:numId w:val="34"/>
        </w:numPr>
        <w:kinsoku/>
        <w:wordWrap/>
        <w:overflowPunct/>
        <w:topLinePunct w:val="0"/>
        <w:autoSpaceDE w:val="0"/>
        <w:autoSpaceDN w:val="0"/>
        <w:bidi w:val="0"/>
        <w:adjustRightInd w:val="0"/>
        <w:snapToGrid/>
        <w:spacing w:line="360" w:lineRule="auto"/>
        <w:ind w:left="630" w:leftChars="0" w:hanging="630" w:hangingChars="30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lang w:val="en-US" w:eastAsia="zh-CN"/>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lang w:val="en-US" w:eastAsia="zh-CN"/>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8</w:t>
      </w:r>
      <w:r>
        <w:rPr>
          <w:rFonts w:hint="eastAsia" w:asciiTheme="minorEastAsia" w:hAnsiTheme="minorEastAsia" w:eastAsiaTheme="minorEastAsia" w:cstheme="minorEastAsia"/>
          <w:snapToGrid w:val="0"/>
          <w:kern w:val="0"/>
          <w:szCs w:val="21"/>
          <w:lang w:val="zh-CN"/>
        </w:rPr>
        <w:t>年度。</w:t>
      </w:r>
    </w:p>
    <w:p>
      <w:pPr>
        <w:keepNext w:val="0"/>
        <w:keepLines w:val="0"/>
        <w:pageBreakBefore w:val="0"/>
        <w:widowControl w:val="0"/>
        <w:numPr>
          <w:ilvl w:val="0"/>
          <w:numId w:val="34"/>
        </w:numPr>
        <w:kinsoku/>
        <w:wordWrap/>
        <w:overflowPunct/>
        <w:topLinePunct w:val="0"/>
        <w:autoSpaceDE w:val="0"/>
        <w:autoSpaceDN w:val="0"/>
        <w:bidi w:val="0"/>
        <w:adjustRightInd w:val="0"/>
        <w:snapToGrid/>
        <w:spacing w:line="360" w:lineRule="auto"/>
        <w:ind w:left="630" w:leftChars="0" w:hanging="630" w:hangingChars="30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本采购文件所称的“以上”、“以下”、“内”、“以内”，均包括本数；所称的“不足”，不包括本数。</w:t>
      </w:r>
    </w:p>
    <w:p>
      <w:pPr>
        <w:pStyle w:val="13"/>
        <w:rPr>
          <w:rFonts w:hint="eastAsia"/>
          <w:lang w:val="zh-CN"/>
        </w:rPr>
      </w:pPr>
    </w:p>
    <w:p>
      <w:pPr>
        <w:pStyle w:val="13"/>
        <w:rPr>
          <w:rFonts w:hint="eastAsia"/>
          <w:lang w:val="zh-CN"/>
        </w:rPr>
      </w:pPr>
    </w:p>
    <w:p>
      <w:pPr>
        <w:pStyle w:val="13"/>
        <w:rPr>
          <w:rFonts w:hint="eastAsia"/>
          <w:lang w:val="zh-CN"/>
        </w:rPr>
      </w:pP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br w:type="page"/>
      </w:r>
      <w:bookmarkStart w:id="102" w:name="_Toc15149"/>
      <w:r>
        <w:rPr>
          <w:rFonts w:hint="eastAsia" w:asciiTheme="minorEastAsia" w:hAnsiTheme="minorEastAsia" w:eastAsiaTheme="minorEastAsia" w:cstheme="minorEastAsia"/>
          <w:b/>
          <w:bCs/>
          <w:sz w:val="36"/>
          <w:szCs w:val="36"/>
        </w:rPr>
        <w:t>采购需求</w:t>
      </w:r>
      <w:bookmarkEnd w:id="102"/>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03" w:name="_Toc3623"/>
      <w:r>
        <w:rPr>
          <w:rFonts w:hint="eastAsia" w:asciiTheme="minorEastAsia" w:hAnsiTheme="minorEastAsia" w:eastAsiaTheme="minorEastAsia" w:cstheme="minorEastAsia"/>
          <w:b/>
          <w:bCs/>
          <w:color w:val="auto"/>
          <w:sz w:val="24"/>
          <w:szCs w:val="24"/>
          <w:lang w:val="en-US" w:eastAsia="zh-CN"/>
        </w:rPr>
        <w:t>一、技术需求</w:t>
      </w:r>
      <w:bookmarkEnd w:id="103"/>
    </w:p>
    <w:p>
      <w:pPr>
        <w:spacing w:line="360" w:lineRule="auto"/>
        <w:jc w:val="left"/>
        <w:rPr>
          <w:rFonts w:hint="eastAsia" w:ascii="宋体" w:hAnsi="宋体" w:eastAsia="宋体" w:cs="宋体"/>
          <w:b/>
          <w:bCs/>
          <w:color w:val="auto"/>
          <w:sz w:val="21"/>
          <w:szCs w:val="21"/>
          <w:lang w:eastAsia="zh-CN"/>
        </w:rPr>
      </w:pPr>
      <w:r>
        <w:rPr>
          <w:rFonts w:hint="eastAsia" w:ascii="宋体" w:hAnsi="宋体" w:eastAsia="宋体" w:cs="宋体"/>
          <w:b/>
          <w:bCs/>
          <w:color w:val="auto"/>
          <w:szCs w:val="21"/>
          <w:lang w:val="en-US" w:eastAsia="zh-CN"/>
        </w:rPr>
        <w:t>1.</w:t>
      </w:r>
      <w:r>
        <w:rPr>
          <w:rFonts w:hint="eastAsia" w:ascii="宋体" w:hAnsi="宋体" w:eastAsia="宋体" w:cs="宋体"/>
          <w:b/>
          <w:bCs/>
          <w:color w:val="auto"/>
          <w:sz w:val="21"/>
          <w:szCs w:val="21"/>
          <w:lang w:val="en-US" w:eastAsia="zh-CN"/>
        </w:rPr>
        <w:t>采购人现有</w:t>
      </w:r>
      <w:r>
        <w:rPr>
          <w:rFonts w:hint="eastAsia" w:ascii="宋体" w:hAnsi="宋体" w:eastAsia="宋体" w:cs="宋体"/>
          <w:b/>
          <w:bCs/>
          <w:color w:val="auto"/>
          <w:sz w:val="21"/>
          <w:szCs w:val="21"/>
        </w:rPr>
        <w:t>设施明细</w:t>
      </w:r>
      <w:r>
        <w:rPr>
          <w:rFonts w:hint="eastAsia" w:ascii="宋体" w:hAnsi="宋体" w:eastAsia="宋体" w:cs="宋体"/>
          <w:b/>
          <w:bCs/>
          <w:color w:val="auto"/>
          <w:sz w:val="21"/>
          <w:szCs w:val="21"/>
          <w:lang w:eastAsia="zh-CN"/>
        </w:rPr>
        <w:t>：</w:t>
      </w: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1.1</w:t>
      </w:r>
      <w:r>
        <w:rPr>
          <w:rFonts w:hint="eastAsia" w:ascii="宋体" w:hAnsi="宋体" w:eastAsia="宋体" w:cs="宋体"/>
          <w:b/>
          <w:bCs/>
          <w:color w:val="auto"/>
          <w:sz w:val="21"/>
          <w:szCs w:val="21"/>
        </w:rPr>
        <w:t>高空项目明细</w:t>
      </w:r>
    </w:p>
    <w:tbl>
      <w:tblPr>
        <w:tblStyle w:val="30"/>
        <w:tblW w:w="4997"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70"/>
        <w:gridCol w:w="1715"/>
        <w:gridCol w:w="1331"/>
        <w:gridCol w:w="2129"/>
        <w:gridCol w:w="2111"/>
        <w:gridCol w:w="639"/>
        <w:gridCol w:w="5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7"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序号</w:t>
            </w:r>
          </w:p>
        </w:tc>
        <w:tc>
          <w:tcPr>
            <w:tcW w:w="9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名称</w:t>
            </w:r>
          </w:p>
        </w:tc>
        <w:tc>
          <w:tcPr>
            <w:tcW w:w="733"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型号</w:t>
            </w:r>
          </w:p>
        </w:tc>
        <w:tc>
          <w:tcPr>
            <w:tcW w:w="1172"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规格</w:t>
            </w:r>
          </w:p>
        </w:tc>
        <w:tc>
          <w:tcPr>
            <w:tcW w:w="1162"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材质</w:t>
            </w:r>
          </w:p>
        </w:tc>
        <w:tc>
          <w:tcPr>
            <w:tcW w:w="3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数量</w:t>
            </w:r>
          </w:p>
        </w:tc>
        <w:tc>
          <w:tcPr>
            <w:tcW w:w="320"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7"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94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7面体框架A</w:t>
            </w: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GK004A</w:t>
            </w:r>
          </w:p>
        </w:tc>
        <w:tc>
          <w:tcPr>
            <w:tcW w:w="117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6500*12000mm</w:t>
            </w:r>
          </w:p>
        </w:tc>
        <w:tc>
          <w:tcPr>
            <w:tcW w:w="116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钢木</w:t>
            </w:r>
          </w:p>
        </w:tc>
        <w:tc>
          <w:tcPr>
            <w:tcW w:w="35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20"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7"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94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巨人梯（新）</w:t>
            </w: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GK3101A</w:t>
            </w:r>
          </w:p>
        </w:tc>
        <w:tc>
          <w:tcPr>
            <w:tcW w:w="117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3000*10500mm</w:t>
            </w:r>
          </w:p>
        </w:tc>
        <w:tc>
          <w:tcPr>
            <w:tcW w:w="116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钢木</w:t>
            </w:r>
          </w:p>
        </w:tc>
        <w:tc>
          <w:tcPr>
            <w:tcW w:w="35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20"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7"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94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高空断桥（新）</w:t>
            </w: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GK3102A</w:t>
            </w:r>
          </w:p>
        </w:tc>
        <w:tc>
          <w:tcPr>
            <w:tcW w:w="117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6500mm</w:t>
            </w:r>
          </w:p>
        </w:tc>
        <w:tc>
          <w:tcPr>
            <w:tcW w:w="116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钢构</w:t>
            </w:r>
          </w:p>
        </w:tc>
        <w:tc>
          <w:tcPr>
            <w:tcW w:w="35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20"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7"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94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空中抓杠（新）</w:t>
            </w: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GK3103A</w:t>
            </w:r>
          </w:p>
        </w:tc>
        <w:tc>
          <w:tcPr>
            <w:tcW w:w="117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抓杠825*600mm</w:t>
            </w:r>
          </w:p>
        </w:tc>
        <w:tc>
          <w:tcPr>
            <w:tcW w:w="116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钢构</w:t>
            </w:r>
          </w:p>
        </w:tc>
        <w:tc>
          <w:tcPr>
            <w:tcW w:w="35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20"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7"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94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泸定桥（新）</w:t>
            </w: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GK3104A</w:t>
            </w:r>
          </w:p>
        </w:tc>
        <w:tc>
          <w:tcPr>
            <w:tcW w:w="117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6500*500mm</w:t>
            </w:r>
          </w:p>
        </w:tc>
        <w:tc>
          <w:tcPr>
            <w:tcW w:w="116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钢构</w:t>
            </w:r>
          </w:p>
        </w:tc>
        <w:tc>
          <w:tcPr>
            <w:tcW w:w="35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20"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7"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94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天使之手（新）</w:t>
            </w: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GK3105A</w:t>
            </w:r>
          </w:p>
        </w:tc>
        <w:tc>
          <w:tcPr>
            <w:tcW w:w="117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6500mm</w:t>
            </w:r>
          </w:p>
        </w:tc>
        <w:tc>
          <w:tcPr>
            <w:tcW w:w="116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钢索、尼龙绳</w:t>
            </w:r>
          </w:p>
        </w:tc>
        <w:tc>
          <w:tcPr>
            <w:tcW w:w="35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20"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7"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94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空中相依（新）</w:t>
            </w: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GK3107A</w:t>
            </w:r>
          </w:p>
        </w:tc>
        <w:tc>
          <w:tcPr>
            <w:tcW w:w="117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6500mm</w:t>
            </w:r>
          </w:p>
        </w:tc>
        <w:tc>
          <w:tcPr>
            <w:tcW w:w="116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钢构平台、绳索</w:t>
            </w:r>
          </w:p>
        </w:tc>
        <w:tc>
          <w:tcPr>
            <w:tcW w:w="35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20"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94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高空路（新）</w:t>
            </w: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GK3115A</w:t>
            </w:r>
          </w:p>
        </w:tc>
        <w:tc>
          <w:tcPr>
            <w:tcW w:w="117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6500mm</w:t>
            </w:r>
          </w:p>
        </w:tc>
        <w:tc>
          <w:tcPr>
            <w:tcW w:w="116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钢构</w:t>
            </w:r>
          </w:p>
        </w:tc>
        <w:tc>
          <w:tcPr>
            <w:tcW w:w="35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20"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9</w:t>
            </w:r>
          </w:p>
        </w:tc>
        <w:tc>
          <w:tcPr>
            <w:tcW w:w="94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攀岩直板</w:t>
            </w: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GK3106A</w:t>
            </w:r>
          </w:p>
        </w:tc>
        <w:tc>
          <w:tcPr>
            <w:tcW w:w="117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900*900mm</w:t>
            </w:r>
          </w:p>
        </w:tc>
        <w:tc>
          <w:tcPr>
            <w:tcW w:w="116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玻璃钢材料、镀锌钢架</w:t>
            </w:r>
          </w:p>
        </w:tc>
        <w:tc>
          <w:tcPr>
            <w:tcW w:w="35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66</w:t>
            </w:r>
          </w:p>
        </w:tc>
        <w:tc>
          <w:tcPr>
            <w:tcW w:w="320"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10</w:t>
            </w:r>
          </w:p>
        </w:tc>
        <w:tc>
          <w:tcPr>
            <w:tcW w:w="94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攀岩支点</w:t>
            </w: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py002</w:t>
            </w:r>
          </w:p>
        </w:tc>
        <w:tc>
          <w:tcPr>
            <w:tcW w:w="117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不规则</w:t>
            </w:r>
          </w:p>
        </w:tc>
        <w:tc>
          <w:tcPr>
            <w:tcW w:w="116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纯树脂材料</w:t>
            </w:r>
          </w:p>
        </w:tc>
        <w:tc>
          <w:tcPr>
            <w:tcW w:w="35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264</w:t>
            </w:r>
          </w:p>
        </w:tc>
        <w:tc>
          <w:tcPr>
            <w:tcW w:w="320"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11</w:t>
            </w:r>
          </w:p>
        </w:tc>
        <w:tc>
          <w:tcPr>
            <w:tcW w:w="94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攀岩钢架</w:t>
            </w: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py003</w:t>
            </w:r>
          </w:p>
        </w:tc>
        <w:tc>
          <w:tcPr>
            <w:tcW w:w="117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方管</w:t>
            </w:r>
          </w:p>
        </w:tc>
        <w:tc>
          <w:tcPr>
            <w:tcW w:w="116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钢结构镀锌</w:t>
            </w:r>
          </w:p>
        </w:tc>
        <w:tc>
          <w:tcPr>
            <w:tcW w:w="35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1.6</w:t>
            </w:r>
          </w:p>
        </w:tc>
        <w:tc>
          <w:tcPr>
            <w:tcW w:w="320"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12</w:t>
            </w:r>
          </w:p>
        </w:tc>
        <w:tc>
          <w:tcPr>
            <w:tcW w:w="94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封边板</w:t>
            </w: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py004</w:t>
            </w:r>
          </w:p>
        </w:tc>
        <w:tc>
          <w:tcPr>
            <w:tcW w:w="117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120*90cm</w:t>
            </w:r>
          </w:p>
        </w:tc>
        <w:tc>
          <w:tcPr>
            <w:tcW w:w="116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玻璃钢</w:t>
            </w:r>
          </w:p>
        </w:tc>
        <w:tc>
          <w:tcPr>
            <w:tcW w:w="35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4</w:t>
            </w:r>
          </w:p>
        </w:tc>
        <w:tc>
          <w:tcPr>
            <w:tcW w:w="320"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trPr>
        <w:tc>
          <w:tcPr>
            <w:tcW w:w="31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13</w:t>
            </w:r>
          </w:p>
        </w:tc>
        <w:tc>
          <w:tcPr>
            <w:tcW w:w="94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附件费用</w:t>
            </w:r>
          </w:p>
        </w:tc>
        <w:tc>
          <w:tcPr>
            <w:tcW w:w="733"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py006</w:t>
            </w:r>
          </w:p>
        </w:tc>
        <w:tc>
          <w:tcPr>
            <w:tcW w:w="117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不规则</w:t>
            </w:r>
          </w:p>
        </w:tc>
        <w:tc>
          <w:tcPr>
            <w:tcW w:w="116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钢构件</w:t>
            </w:r>
          </w:p>
        </w:tc>
        <w:tc>
          <w:tcPr>
            <w:tcW w:w="35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1</w:t>
            </w:r>
          </w:p>
        </w:tc>
        <w:tc>
          <w:tcPr>
            <w:tcW w:w="320"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套</w:t>
            </w:r>
          </w:p>
        </w:tc>
      </w:tr>
    </w:tbl>
    <w:p>
      <w:pPr>
        <w:bidi w:val="0"/>
        <w:rPr>
          <w:rFonts w:hint="eastAsia"/>
        </w:rPr>
      </w:pPr>
    </w:p>
    <w:p>
      <w:pPr>
        <w:numPr>
          <w:ilvl w:val="0"/>
          <w:numId w:val="0"/>
        </w:num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1.2</w:t>
      </w:r>
      <w:r>
        <w:rPr>
          <w:rFonts w:hint="eastAsia" w:ascii="宋体" w:hAnsi="宋体" w:eastAsia="宋体" w:cs="宋体"/>
          <w:b/>
          <w:color w:val="auto"/>
          <w:sz w:val="21"/>
          <w:szCs w:val="21"/>
        </w:rPr>
        <w:t>场地项目明细</w:t>
      </w:r>
    </w:p>
    <w:tbl>
      <w:tblPr>
        <w:tblStyle w:val="30"/>
        <w:tblW w:w="4998"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67"/>
        <w:gridCol w:w="1700"/>
        <w:gridCol w:w="1322"/>
        <w:gridCol w:w="2156"/>
        <w:gridCol w:w="2047"/>
        <w:gridCol w:w="702"/>
        <w:gridCol w:w="5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5" w:hRule="atLeast"/>
        </w:trPr>
        <w:tc>
          <w:tcPr>
            <w:tcW w:w="312"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936"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728"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型号</w:t>
            </w:r>
          </w:p>
        </w:tc>
        <w:tc>
          <w:tcPr>
            <w:tcW w:w="1187"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规格</w:t>
            </w:r>
          </w:p>
        </w:tc>
        <w:tc>
          <w:tcPr>
            <w:tcW w:w="1127"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材质</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321"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5" w:hRule="atLeast"/>
        </w:trPr>
        <w:tc>
          <w:tcPr>
            <w:tcW w:w="31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936"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模拟电网</w:t>
            </w:r>
          </w:p>
        </w:tc>
        <w:tc>
          <w:tcPr>
            <w:tcW w:w="728"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CD3006A</w:t>
            </w:r>
          </w:p>
        </w:tc>
        <w:tc>
          <w:tcPr>
            <w:tcW w:w="1187"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4000*2000mm</w:t>
            </w:r>
          </w:p>
        </w:tc>
        <w:tc>
          <w:tcPr>
            <w:tcW w:w="1127"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钢构</w:t>
            </w:r>
          </w:p>
        </w:tc>
        <w:tc>
          <w:tcPr>
            <w:tcW w:w="386"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5" w:hRule="atLeast"/>
        </w:trPr>
        <w:tc>
          <w:tcPr>
            <w:tcW w:w="31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936"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毕业墙</w:t>
            </w:r>
          </w:p>
        </w:tc>
        <w:tc>
          <w:tcPr>
            <w:tcW w:w="728"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CD3001A</w:t>
            </w:r>
          </w:p>
        </w:tc>
        <w:tc>
          <w:tcPr>
            <w:tcW w:w="1187"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4000*3000*4000mm</w:t>
            </w:r>
          </w:p>
        </w:tc>
        <w:tc>
          <w:tcPr>
            <w:tcW w:w="1127"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钢木</w:t>
            </w:r>
          </w:p>
        </w:tc>
        <w:tc>
          <w:tcPr>
            <w:tcW w:w="386"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5" w:hRule="atLeast"/>
        </w:trPr>
        <w:tc>
          <w:tcPr>
            <w:tcW w:w="31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936"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信任背摔</w:t>
            </w:r>
          </w:p>
        </w:tc>
        <w:tc>
          <w:tcPr>
            <w:tcW w:w="728"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CD3004A</w:t>
            </w:r>
          </w:p>
        </w:tc>
        <w:tc>
          <w:tcPr>
            <w:tcW w:w="1187"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3000*1170*3000mm</w:t>
            </w:r>
          </w:p>
        </w:tc>
        <w:tc>
          <w:tcPr>
            <w:tcW w:w="1127"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钢木</w:t>
            </w:r>
          </w:p>
        </w:tc>
        <w:tc>
          <w:tcPr>
            <w:tcW w:w="386"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5" w:hRule="atLeast"/>
        </w:trPr>
        <w:tc>
          <w:tcPr>
            <w:tcW w:w="31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936"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盲目障碍</w:t>
            </w:r>
          </w:p>
        </w:tc>
        <w:tc>
          <w:tcPr>
            <w:tcW w:w="728"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CD3009A</w:t>
            </w:r>
          </w:p>
        </w:tc>
        <w:tc>
          <w:tcPr>
            <w:tcW w:w="1187"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9790*1945*760mm</w:t>
            </w:r>
          </w:p>
        </w:tc>
        <w:tc>
          <w:tcPr>
            <w:tcW w:w="1127"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钢木</w:t>
            </w:r>
          </w:p>
        </w:tc>
        <w:tc>
          <w:tcPr>
            <w:tcW w:w="386"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5" w:hRule="atLeast"/>
        </w:trPr>
        <w:tc>
          <w:tcPr>
            <w:tcW w:w="31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936"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移花接木</w:t>
            </w:r>
          </w:p>
        </w:tc>
        <w:tc>
          <w:tcPr>
            <w:tcW w:w="728"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CD008A</w:t>
            </w:r>
          </w:p>
        </w:tc>
        <w:tc>
          <w:tcPr>
            <w:tcW w:w="1187"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3000*2600*3000mm</w:t>
            </w:r>
          </w:p>
        </w:tc>
        <w:tc>
          <w:tcPr>
            <w:tcW w:w="1127"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钢构</w:t>
            </w:r>
          </w:p>
        </w:tc>
        <w:tc>
          <w:tcPr>
            <w:tcW w:w="386"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5" w:hRule="atLeast"/>
        </w:trPr>
        <w:tc>
          <w:tcPr>
            <w:tcW w:w="312"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936"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有轨电车</w:t>
            </w:r>
          </w:p>
        </w:tc>
        <w:tc>
          <w:tcPr>
            <w:tcW w:w="728"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CD013A</w:t>
            </w:r>
          </w:p>
        </w:tc>
        <w:tc>
          <w:tcPr>
            <w:tcW w:w="1187"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3000*200mm</w:t>
            </w:r>
          </w:p>
        </w:tc>
        <w:tc>
          <w:tcPr>
            <w:tcW w:w="1127"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绳木</w:t>
            </w:r>
          </w:p>
        </w:tc>
        <w:tc>
          <w:tcPr>
            <w:tcW w:w="386"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21"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bl>
    <w:p>
      <w:pPr>
        <w:spacing w:line="360" w:lineRule="auto"/>
        <w:rPr>
          <w:rFonts w:hint="eastAsia"/>
          <w:b/>
          <w:color w:val="auto"/>
          <w:sz w:val="21"/>
          <w:szCs w:val="21"/>
        </w:rPr>
      </w:pPr>
    </w:p>
    <w:p>
      <w:pPr>
        <w:numPr>
          <w:ilvl w:val="0"/>
          <w:numId w:val="0"/>
        </w:numPr>
        <w:spacing w:line="360" w:lineRule="auto"/>
        <w:ind w:leftChars="0"/>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1.3</w:t>
      </w:r>
      <w:r>
        <w:rPr>
          <w:rFonts w:hint="eastAsia" w:ascii="宋体" w:hAnsi="宋体" w:eastAsia="宋体" w:cs="宋体"/>
          <w:b/>
          <w:color w:val="auto"/>
          <w:sz w:val="21"/>
          <w:szCs w:val="21"/>
        </w:rPr>
        <w:t>中空平衡训练系统</w:t>
      </w:r>
    </w:p>
    <w:tbl>
      <w:tblPr>
        <w:tblStyle w:val="30"/>
        <w:tblW w:w="4997"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56"/>
        <w:gridCol w:w="1667"/>
        <w:gridCol w:w="1297"/>
        <w:gridCol w:w="2223"/>
        <w:gridCol w:w="2225"/>
        <w:gridCol w:w="554"/>
        <w:gridCol w:w="5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306"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918"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714"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型号</w:t>
            </w:r>
          </w:p>
        </w:tc>
        <w:tc>
          <w:tcPr>
            <w:tcW w:w="1224"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规格</w:t>
            </w:r>
          </w:p>
        </w:tc>
        <w:tc>
          <w:tcPr>
            <w:tcW w:w="12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材质</w:t>
            </w:r>
          </w:p>
        </w:tc>
        <w:tc>
          <w:tcPr>
            <w:tcW w:w="305"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305" w:type="pc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top"/>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306"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918"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中空平衡</w:t>
            </w:r>
          </w:p>
        </w:tc>
        <w:tc>
          <w:tcPr>
            <w:tcW w:w="71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YL063A</w:t>
            </w:r>
          </w:p>
        </w:tc>
        <w:tc>
          <w:tcPr>
            <w:tcW w:w="1224"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40000*5000*7500mm</w:t>
            </w:r>
          </w:p>
        </w:tc>
        <w:tc>
          <w:tcPr>
            <w:tcW w:w="1225"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钢构</w:t>
            </w:r>
          </w:p>
        </w:tc>
        <w:tc>
          <w:tcPr>
            <w:tcW w:w="305"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05"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bl>
    <w:p>
      <w:pPr>
        <w:rPr>
          <w:rFonts w:hint="eastAsia"/>
          <w:b/>
          <w:sz w:val="21"/>
          <w:szCs w:val="21"/>
        </w:rPr>
      </w:pPr>
    </w:p>
    <w:p>
      <w:pPr>
        <w:numPr>
          <w:ilvl w:val="0"/>
          <w:numId w:val="0"/>
        </w:numPr>
        <w:bidi w:val="0"/>
        <w:spacing w:line="360" w:lineRule="auto"/>
        <w:rPr>
          <w:rFonts w:hint="eastAsia" w:ascii="宋体" w:hAnsi="宋体" w:eastAsia="宋体" w:cs="宋体"/>
          <w:b/>
          <w:bCs/>
          <w:lang w:val="en-US" w:eastAsia="zh-CN"/>
        </w:rPr>
      </w:pPr>
      <w:r>
        <w:rPr>
          <w:rFonts w:hint="eastAsia" w:ascii="宋体" w:hAnsi="宋体" w:eastAsia="宋体" w:cs="宋体"/>
          <w:b/>
          <w:bCs/>
          <w:color w:val="auto"/>
          <w:lang w:val="en-US" w:eastAsia="zh-CN"/>
        </w:rPr>
        <w:t>2.课时分配</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FF0000"/>
          <w:szCs w:val="21"/>
          <w:lang w:val="en-US" w:eastAsia="zh-CN"/>
        </w:rPr>
      </w:pPr>
      <w:r>
        <w:rPr>
          <w:rFonts w:hint="eastAsia"/>
          <w:color w:val="auto"/>
          <w:lang w:val="en-US" w:eastAsia="zh-CN"/>
        </w:rPr>
        <w:t>要求供应商依据现有设施制定拓展训练活动，服务期内需</w:t>
      </w:r>
      <w:r>
        <w:rPr>
          <w:rFonts w:hint="eastAsia"/>
          <w:color w:val="auto"/>
          <w:highlight w:val="none"/>
          <w:lang w:val="en-US" w:eastAsia="zh-CN"/>
        </w:rPr>
        <w:t>培训约9000个学生（具体学生数量以实际为准），拓展活动不得少于12学时（具体一个自然班多少位学生以实际为准）。</w:t>
      </w:r>
    </w:p>
    <w:p>
      <w:pPr>
        <w:rPr>
          <w:rFonts w:hint="eastAsia" w:asciiTheme="minorEastAsia" w:hAnsiTheme="minorEastAsia" w:eastAsiaTheme="minorEastAsia" w:cstheme="minorEastAsia"/>
          <w:b w:val="0"/>
          <w:bCs w:val="0"/>
          <w:color w:val="auto"/>
          <w:szCs w:val="21"/>
          <w:lang w:val="en-US" w:eastAsia="zh-CN"/>
        </w:rPr>
      </w:pPr>
    </w:p>
    <w:p>
      <w:pPr>
        <w:autoSpaceDE w:val="0"/>
        <w:autoSpaceDN w:val="0"/>
        <w:adjustRightInd w:val="0"/>
        <w:spacing w:line="360" w:lineRule="auto"/>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3.服务内容和要求：</w:t>
      </w:r>
    </w:p>
    <w:p>
      <w:pPr>
        <w:autoSpaceDE w:val="0"/>
        <w:autoSpaceDN w:val="0"/>
        <w:adjustRightInd w:val="0"/>
        <w:spacing w:line="360" w:lineRule="auto"/>
        <w:outlineLvl w:val="9"/>
        <w:rPr>
          <w:rFonts w:hint="eastAsia" w:ascii="宋体" w:hAnsi="宋体" w:eastAsia="宋体" w:cs="宋体"/>
          <w:color w:val="auto"/>
          <w:highlight w:val="none"/>
          <w:lang w:val="en-US" w:eastAsia="zh-CN"/>
        </w:rPr>
      </w:pPr>
      <w:r>
        <w:rPr>
          <w:rFonts w:hint="eastAsia" w:ascii="宋体" w:hAnsi="宋体" w:eastAsia="宋体" w:cs="宋体"/>
          <w:b/>
          <w:bCs/>
          <w:color w:val="auto"/>
          <w:szCs w:val="21"/>
          <w:lang w:val="en-US" w:eastAsia="zh-CN"/>
        </w:rPr>
        <w:t>3.</w:t>
      </w:r>
      <w:r>
        <w:rPr>
          <w:rFonts w:hint="eastAsia" w:ascii="宋体" w:hAnsi="宋体" w:eastAsia="宋体" w:cs="宋体"/>
          <w:b/>
          <w:bCs/>
          <w:color w:val="auto"/>
          <w:highlight w:val="none"/>
          <w:lang w:val="en-US" w:eastAsia="zh-CN"/>
        </w:rPr>
        <w:t>1教学目标</w:t>
      </w:r>
    </w:p>
    <w:p>
      <w:pPr>
        <w:autoSpaceDE w:val="0"/>
        <w:autoSpaceDN w:val="0"/>
        <w:adjustRightInd w:val="0"/>
        <w:spacing w:line="360" w:lineRule="auto"/>
        <w:ind w:firstLine="420" w:firstLineChars="200"/>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1）培养学生自我挑战及团队协作的能力；</w:t>
      </w:r>
    </w:p>
    <w:p>
      <w:pPr>
        <w:autoSpaceDE w:val="0"/>
        <w:autoSpaceDN w:val="0"/>
        <w:adjustRightInd w:val="0"/>
        <w:spacing w:line="360" w:lineRule="auto"/>
        <w:ind w:firstLine="420" w:firstLineChars="200"/>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2）培养学生积极的社会适应能力。</w:t>
      </w:r>
    </w:p>
    <w:p>
      <w:pPr>
        <w:autoSpaceDE w:val="0"/>
        <w:autoSpaceDN w:val="0"/>
        <w:adjustRightInd w:val="0"/>
        <w:spacing w:line="360" w:lineRule="auto"/>
        <w:outlineLvl w:val="9"/>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3.2户外拓展训练（另：遇恶劣天气换成室内活动方案)</w:t>
      </w:r>
    </w:p>
    <w:p>
      <w:pPr>
        <w:autoSpaceDE w:val="0"/>
        <w:autoSpaceDN w:val="0"/>
        <w:adjustRightInd w:val="0"/>
        <w:spacing w:line="360" w:lineRule="auto"/>
        <w:ind w:firstLine="420" w:firstLineChars="200"/>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 热身</w:t>
      </w:r>
    </w:p>
    <w:p>
      <w:pPr>
        <w:autoSpaceDE w:val="0"/>
        <w:autoSpaceDN w:val="0"/>
        <w:adjustRightInd w:val="0"/>
        <w:spacing w:line="360" w:lineRule="auto"/>
        <w:ind w:firstLine="420" w:firstLineChars="200"/>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要求：制定热身活动，通过个人挑战或团队配合的小游戏，打破坚冰，预热团队，开放自我，吸引学生并让其渴望参加其后的类似活动，按要求组建团队并展示。</w:t>
      </w:r>
    </w:p>
    <w:p>
      <w:pPr>
        <w:autoSpaceDE w:val="0"/>
        <w:autoSpaceDN w:val="0"/>
        <w:adjustRightInd w:val="0"/>
        <w:spacing w:line="360" w:lineRule="auto"/>
        <w:ind w:firstLine="420" w:firstLineChars="200"/>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 挑战</w:t>
      </w:r>
    </w:p>
    <w:p>
      <w:pPr>
        <w:autoSpaceDE w:val="0"/>
        <w:autoSpaceDN w:val="0"/>
        <w:adjustRightInd w:val="0"/>
        <w:spacing w:line="360" w:lineRule="auto"/>
        <w:ind w:firstLine="420" w:firstLineChars="200"/>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要求：通过高空器械项目的体验，为学生提供挑战自我和个人胆量的机会，培养学生的身体协调性，锻炼学生的意志力，消除学生的胆怯心理，使学生建立自信心，突破自我设限，开发个人潜能。</w:t>
      </w:r>
    </w:p>
    <w:p>
      <w:pPr>
        <w:autoSpaceDE w:val="0"/>
        <w:autoSpaceDN w:val="0"/>
        <w:adjustRightInd w:val="0"/>
        <w:spacing w:line="360" w:lineRule="auto"/>
        <w:ind w:firstLine="420" w:firstLineChars="200"/>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3）团队挑战</w:t>
      </w:r>
    </w:p>
    <w:p>
      <w:pPr>
        <w:autoSpaceDE w:val="0"/>
        <w:autoSpaceDN w:val="0"/>
        <w:adjustRightInd w:val="0"/>
        <w:spacing w:line="360" w:lineRule="auto"/>
        <w:ind w:firstLine="420" w:firstLineChars="200"/>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要求：通过团队挑战项目的体验，培养学生的团队合作精神和协调能力，增强学生的胆量，体会团队协作的重要性，培养勇攀高峰的信心。</w:t>
      </w:r>
    </w:p>
    <w:p>
      <w:pPr>
        <w:autoSpaceDE w:val="0"/>
        <w:autoSpaceDN w:val="0"/>
        <w:adjustRightInd w:val="0"/>
        <w:spacing w:line="360" w:lineRule="auto"/>
        <w:outlineLvl w:val="9"/>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3.3教学场地使用说明</w:t>
      </w:r>
    </w:p>
    <w:p>
      <w:pPr>
        <w:autoSpaceDE w:val="0"/>
        <w:autoSpaceDN w:val="0"/>
        <w:adjustRightInd w:val="0"/>
        <w:spacing w:line="360" w:lineRule="auto"/>
        <w:ind w:firstLine="420" w:firstLineChars="200"/>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 校内拓展基地，遇恶劣天气可提供4号楼8楼报告厅使用。</w:t>
      </w:r>
    </w:p>
    <w:p>
      <w:pPr>
        <w:autoSpaceDE w:val="0"/>
        <w:autoSpaceDN w:val="0"/>
        <w:adjustRightInd w:val="0"/>
        <w:spacing w:line="360" w:lineRule="auto"/>
        <w:outlineLvl w:val="9"/>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3.4教学耗材明细</w:t>
      </w:r>
    </w:p>
    <w:p>
      <w:pPr>
        <w:autoSpaceDE w:val="0"/>
        <w:autoSpaceDN w:val="0"/>
        <w:adjustRightInd w:val="0"/>
        <w:spacing w:line="360" w:lineRule="auto"/>
        <w:ind w:firstLine="420" w:firstLineChars="200"/>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承训公司自备。</w:t>
      </w:r>
    </w:p>
    <w:p>
      <w:pPr>
        <w:autoSpaceDE w:val="0"/>
        <w:autoSpaceDN w:val="0"/>
        <w:adjustRightInd w:val="0"/>
        <w:spacing w:line="360" w:lineRule="auto"/>
        <w:outlineLvl w:val="9"/>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3.5教学协作要求</w:t>
      </w:r>
    </w:p>
    <w:p>
      <w:pPr>
        <w:autoSpaceDE w:val="0"/>
        <w:autoSpaceDN w:val="0"/>
        <w:adjustRightInd w:val="0"/>
        <w:spacing w:line="360" w:lineRule="auto"/>
        <w:ind w:firstLine="420" w:firstLineChars="200"/>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活动中需要分成4个小组进行比拼，副教负责小组内的纪律安全问题。</w:t>
      </w:r>
    </w:p>
    <w:p>
      <w:pPr>
        <w:autoSpaceDE w:val="0"/>
        <w:autoSpaceDN w:val="0"/>
        <w:adjustRightInd w:val="0"/>
        <w:spacing w:line="360" w:lineRule="auto"/>
        <w:outlineLvl w:val="9"/>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3.6教学效果评价</w:t>
      </w:r>
    </w:p>
    <w:p>
      <w:pPr>
        <w:autoSpaceDE w:val="0"/>
        <w:autoSpaceDN w:val="0"/>
        <w:adjustRightInd w:val="0"/>
        <w:spacing w:line="360" w:lineRule="auto"/>
        <w:ind w:firstLine="420" w:firstLineChars="200"/>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（1）学生成绩评价</w:t>
      </w:r>
    </w:p>
    <w:p>
      <w:pPr>
        <w:autoSpaceDE w:val="0"/>
        <w:autoSpaceDN w:val="0"/>
        <w:adjustRightInd w:val="0"/>
        <w:spacing w:line="360" w:lineRule="auto"/>
        <w:ind w:firstLine="420" w:firstLineChars="200"/>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课程考核注重过程考核与阶段性考核相结合，要求学生积极参与并分享，各自由任课教师或培训教练考查认定，各以百分制打分，再进行综合。</w:t>
      </w:r>
    </w:p>
    <w:p>
      <w:pPr>
        <w:autoSpaceDE w:val="0"/>
        <w:autoSpaceDN w:val="0"/>
        <w:adjustRightInd w:val="0"/>
        <w:spacing w:line="360" w:lineRule="auto"/>
        <w:ind w:firstLine="420" w:firstLineChars="200"/>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（2）教学评价反馈</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center"/>
        <w:textAlignment w:val="auto"/>
        <w:outlineLvl w:val="9"/>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户外拓展训练调查表</w:t>
      </w:r>
    </w:p>
    <w:p>
      <w:pPr>
        <w:numPr>
          <w:ilvl w:val="0"/>
          <w:numId w:val="35"/>
        </w:numPr>
        <w:spacing w:line="360" w:lineRule="auto"/>
        <w:ind w:left="357" w:hanging="357"/>
        <w:rPr>
          <w:rFonts w:hint="eastAsia" w:ascii="宋体" w:hAnsi="宋体" w:eastAsia="宋体" w:cs="宋体"/>
          <w:b/>
          <w:color w:val="auto"/>
          <w:sz w:val="21"/>
          <w:szCs w:val="21"/>
        </w:rPr>
      </w:pPr>
      <w:r>
        <w:rPr>
          <w:rFonts w:hint="eastAsia" w:ascii="宋体" w:hAnsi="宋体" w:eastAsia="宋体" w:cs="宋体"/>
          <w:b/>
          <w:color w:val="auto"/>
          <w:sz w:val="21"/>
          <w:szCs w:val="21"/>
        </w:rPr>
        <w:t>对</w:t>
      </w:r>
      <w:r>
        <w:rPr>
          <w:rFonts w:hint="eastAsia" w:ascii="宋体" w:hAnsi="宋体" w:eastAsia="宋体" w:cs="宋体"/>
          <w:b/>
          <w:color w:val="auto"/>
          <w:sz w:val="21"/>
          <w:szCs w:val="21"/>
          <w:lang w:eastAsia="zh-CN"/>
        </w:rPr>
        <w:t>教练</w:t>
      </w:r>
      <w:r>
        <w:rPr>
          <w:rFonts w:hint="eastAsia" w:ascii="宋体" w:hAnsi="宋体" w:eastAsia="宋体" w:cs="宋体"/>
          <w:b/>
          <w:color w:val="auto"/>
          <w:sz w:val="21"/>
          <w:szCs w:val="21"/>
        </w:rPr>
        <w:t>的评价</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1104"/>
        <w:gridCol w:w="900"/>
        <w:gridCol w:w="1072"/>
        <w:gridCol w:w="126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noWrap w:val="0"/>
            <w:vAlign w:val="center"/>
          </w:tcPr>
          <w:p>
            <w:pPr>
              <w:tabs>
                <w:tab w:val="left" w:pos="720"/>
              </w:tabs>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对</w:t>
            </w:r>
            <w:r>
              <w:rPr>
                <w:rFonts w:hint="eastAsia" w:ascii="宋体" w:hAnsi="宋体" w:eastAsia="宋体" w:cs="宋体"/>
                <w:b w:val="0"/>
                <w:bCs/>
                <w:color w:val="auto"/>
                <w:sz w:val="21"/>
                <w:szCs w:val="21"/>
                <w:lang w:eastAsia="zh-CN"/>
              </w:rPr>
              <w:t>教练</w:t>
            </w:r>
            <w:r>
              <w:rPr>
                <w:rFonts w:hint="eastAsia" w:ascii="宋体" w:hAnsi="宋体" w:eastAsia="宋体" w:cs="宋体"/>
                <w:b w:val="0"/>
                <w:bCs/>
                <w:color w:val="auto"/>
                <w:sz w:val="21"/>
                <w:szCs w:val="21"/>
              </w:rPr>
              <w:t>的评价</w:t>
            </w:r>
          </w:p>
        </w:tc>
        <w:tc>
          <w:tcPr>
            <w:tcW w:w="1104" w:type="dxa"/>
            <w:noWrap w:val="0"/>
            <w:vAlign w:val="center"/>
          </w:tcPr>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很满意</w:t>
            </w:r>
          </w:p>
        </w:tc>
        <w:tc>
          <w:tcPr>
            <w:tcW w:w="900" w:type="dxa"/>
            <w:noWrap w:val="0"/>
            <w:vAlign w:val="center"/>
          </w:tcPr>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满意</w:t>
            </w:r>
          </w:p>
        </w:tc>
        <w:tc>
          <w:tcPr>
            <w:tcW w:w="1072" w:type="dxa"/>
            <w:noWrap w:val="0"/>
            <w:vAlign w:val="center"/>
          </w:tcPr>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一般</w:t>
            </w:r>
          </w:p>
        </w:tc>
        <w:tc>
          <w:tcPr>
            <w:tcW w:w="1268" w:type="dxa"/>
            <w:noWrap w:val="0"/>
            <w:vAlign w:val="center"/>
          </w:tcPr>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不满意</w:t>
            </w:r>
          </w:p>
        </w:tc>
        <w:tc>
          <w:tcPr>
            <w:tcW w:w="1574" w:type="dxa"/>
            <w:noWrap w:val="0"/>
            <w:vAlign w:val="center"/>
          </w:tcPr>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工作态度</w:t>
            </w:r>
          </w:p>
        </w:tc>
        <w:tc>
          <w:tcPr>
            <w:tcW w:w="1104" w:type="dxa"/>
            <w:noWrap w:val="0"/>
            <w:vAlign w:val="center"/>
          </w:tcPr>
          <w:p>
            <w:pPr>
              <w:spacing w:line="360" w:lineRule="auto"/>
              <w:rPr>
                <w:rFonts w:hint="eastAsia" w:ascii="宋体" w:hAnsi="宋体" w:eastAsia="宋体" w:cs="宋体"/>
                <w:color w:val="auto"/>
                <w:sz w:val="21"/>
                <w:szCs w:val="21"/>
              </w:rPr>
            </w:pPr>
          </w:p>
        </w:tc>
        <w:tc>
          <w:tcPr>
            <w:tcW w:w="900" w:type="dxa"/>
            <w:noWrap w:val="0"/>
            <w:vAlign w:val="center"/>
          </w:tcPr>
          <w:p>
            <w:pPr>
              <w:spacing w:line="360" w:lineRule="auto"/>
              <w:rPr>
                <w:rFonts w:hint="eastAsia" w:ascii="宋体" w:hAnsi="宋体" w:eastAsia="宋体" w:cs="宋体"/>
                <w:color w:val="auto"/>
                <w:sz w:val="21"/>
                <w:szCs w:val="21"/>
              </w:rPr>
            </w:pPr>
          </w:p>
        </w:tc>
        <w:tc>
          <w:tcPr>
            <w:tcW w:w="1072" w:type="dxa"/>
            <w:noWrap w:val="0"/>
            <w:vAlign w:val="center"/>
          </w:tcPr>
          <w:p>
            <w:pPr>
              <w:spacing w:line="360" w:lineRule="auto"/>
              <w:rPr>
                <w:rFonts w:hint="eastAsia" w:ascii="宋体" w:hAnsi="宋体" w:eastAsia="宋体" w:cs="宋体"/>
                <w:color w:val="auto"/>
                <w:sz w:val="21"/>
                <w:szCs w:val="21"/>
              </w:rPr>
            </w:pPr>
          </w:p>
        </w:tc>
        <w:tc>
          <w:tcPr>
            <w:tcW w:w="1268" w:type="dxa"/>
            <w:noWrap w:val="0"/>
            <w:vAlign w:val="center"/>
          </w:tcPr>
          <w:p>
            <w:pPr>
              <w:spacing w:line="360" w:lineRule="auto"/>
              <w:rPr>
                <w:rFonts w:hint="eastAsia" w:ascii="宋体" w:hAnsi="宋体" w:eastAsia="宋体" w:cs="宋体"/>
                <w:color w:val="auto"/>
                <w:sz w:val="21"/>
                <w:szCs w:val="21"/>
              </w:rPr>
            </w:pPr>
          </w:p>
        </w:tc>
        <w:tc>
          <w:tcPr>
            <w:tcW w:w="1574" w:type="dxa"/>
            <w:noWrap w:val="0"/>
            <w:vAlign w:val="center"/>
          </w:tcPr>
          <w:p>
            <w:pPr>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表达能力</w:t>
            </w:r>
          </w:p>
        </w:tc>
        <w:tc>
          <w:tcPr>
            <w:tcW w:w="1104" w:type="dxa"/>
            <w:noWrap w:val="0"/>
            <w:vAlign w:val="center"/>
          </w:tcPr>
          <w:p>
            <w:pPr>
              <w:spacing w:line="360" w:lineRule="auto"/>
              <w:rPr>
                <w:rFonts w:hint="eastAsia" w:ascii="宋体" w:hAnsi="宋体" w:eastAsia="宋体" w:cs="宋体"/>
                <w:color w:val="auto"/>
                <w:sz w:val="21"/>
                <w:szCs w:val="21"/>
              </w:rPr>
            </w:pPr>
          </w:p>
        </w:tc>
        <w:tc>
          <w:tcPr>
            <w:tcW w:w="900" w:type="dxa"/>
            <w:noWrap w:val="0"/>
            <w:vAlign w:val="center"/>
          </w:tcPr>
          <w:p>
            <w:pPr>
              <w:spacing w:line="360" w:lineRule="auto"/>
              <w:rPr>
                <w:rFonts w:hint="eastAsia" w:ascii="宋体" w:hAnsi="宋体" w:eastAsia="宋体" w:cs="宋体"/>
                <w:color w:val="auto"/>
                <w:sz w:val="21"/>
                <w:szCs w:val="21"/>
              </w:rPr>
            </w:pPr>
          </w:p>
        </w:tc>
        <w:tc>
          <w:tcPr>
            <w:tcW w:w="1072" w:type="dxa"/>
            <w:noWrap w:val="0"/>
            <w:vAlign w:val="center"/>
          </w:tcPr>
          <w:p>
            <w:pPr>
              <w:spacing w:line="360" w:lineRule="auto"/>
              <w:rPr>
                <w:rFonts w:hint="eastAsia" w:ascii="宋体" w:hAnsi="宋体" w:eastAsia="宋体" w:cs="宋体"/>
                <w:color w:val="auto"/>
                <w:sz w:val="21"/>
                <w:szCs w:val="21"/>
              </w:rPr>
            </w:pPr>
          </w:p>
        </w:tc>
        <w:tc>
          <w:tcPr>
            <w:tcW w:w="1268" w:type="dxa"/>
            <w:noWrap w:val="0"/>
            <w:vAlign w:val="center"/>
          </w:tcPr>
          <w:p>
            <w:pPr>
              <w:spacing w:line="360" w:lineRule="auto"/>
              <w:rPr>
                <w:rFonts w:hint="eastAsia" w:ascii="宋体" w:hAnsi="宋体" w:eastAsia="宋体" w:cs="宋体"/>
                <w:color w:val="auto"/>
                <w:sz w:val="21"/>
                <w:szCs w:val="21"/>
              </w:rPr>
            </w:pPr>
          </w:p>
        </w:tc>
        <w:tc>
          <w:tcPr>
            <w:tcW w:w="1574" w:type="dxa"/>
            <w:noWrap w:val="0"/>
            <w:vAlign w:val="center"/>
          </w:tcPr>
          <w:p>
            <w:pPr>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示范能力</w:t>
            </w:r>
          </w:p>
        </w:tc>
        <w:tc>
          <w:tcPr>
            <w:tcW w:w="1104" w:type="dxa"/>
            <w:noWrap w:val="0"/>
            <w:vAlign w:val="center"/>
          </w:tcPr>
          <w:p>
            <w:pPr>
              <w:spacing w:line="360" w:lineRule="auto"/>
              <w:rPr>
                <w:rFonts w:hint="eastAsia" w:ascii="宋体" w:hAnsi="宋体" w:eastAsia="宋体" w:cs="宋体"/>
                <w:color w:val="auto"/>
                <w:sz w:val="21"/>
                <w:szCs w:val="21"/>
              </w:rPr>
            </w:pPr>
          </w:p>
        </w:tc>
        <w:tc>
          <w:tcPr>
            <w:tcW w:w="900" w:type="dxa"/>
            <w:noWrap w:val="0"/>
            <w:vAlign w:val="center"/>
          </w:tcPr>
          <w:p>
            <w:pPr>
              <w:spacing w:line="360" w:lineRule="auto"/>
              <w:rPr>
                <w:rFonts w:hint="eastAsia" w:ascii="宋体" w:hAnsi="宋体" w:eastAsia="宋体" w:cs="宋体"/>
                <w:color w:val="auto"/>
                <w:sz w:val="21"/>
                <w:szCs w:val="21"/>
              </w:rPr>
            </w:pPr>
          </w:p>
        </w:tc>
        <w:tc>
          <w:tcPr>
            <w:tcW w:w="1072" w:type="dxa"/>
            <w:noWrap w:val="0"/>
            <w:vAlign w:val="center"/>
          </w:tcPr>
          <w:p>
            <w:pPr>
              <w:spacing w:line="360" w:lineRule="auto"/>
              <w:rPr>
                <w:rFonts w:hint="eastAsia" w:ascii="宋体" w:hAnsi="宋体" w:eastAsia="宋体" w:cs="宋体"/>
                <w:color w:val="auto"/>
                <w:sz w:val="21"/>
                <w:szCs w:val="21"/>
              </w:rPr>
            </w:pPr>
          </w:p>
        </w:tc>
        <w:tc>
          <w:tcPr>
            <w:tcW w:w="1268" w:type="dxa"/>
            <w:noWrap w:val="0"/>
            <w:vAlign w:val="center"/>
          </w:tcPr>
          <w:p>
            <w:pPr>
              <w:spacing w:line="360" w:lineRule="auto"/>
              <w:rPr>
                <w:rFonts w:hint="eastAsia" w:ascii="宋体" w:hAnsi="宋体" w:eastAsia="宋体" w:cs="宋体"/>
                <w:color w:val="auto"/>
                <w:sz w:val="21"/>
                <w:szCs w:val="21"/>
              </w:rPr>
            </w:pPr>
          </w:p>
        </w:tc>
        <w:tc>
          <w:tcPr>
            <w:tcW w:w="1574" w:type="dxa"/>
            <w:noWrap w:val="0"/>
            <w:vAlign w:val="center"/>
          </w:tcPr>
          <w:p>
            <w:pPr>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对学生的激发能力</w:t>
            </w:r>
          </w:p>
        </w:tc>
        <w:tc>
          <w:tcPr>
            <w:tcW w:w="1104" w:type="dxa"/>
            <w:noWrap w:val="0"/>
            <w:vAlign w:val="center"/>
          </w:tcPr>
          <w:p>
            <w:pPr>
              <w:spacing w:line="360" w:lineRule="auto"/>
              <w:rPr>
                <w:rFonts w:hint="eastAsia" w:ascii="宋体" w:hAnsi="宋体" w:eastAsia="宋体" w:cs="宋体"/>
                <w:color w:val="auto"/>
                <w:sz w:val="21"/>
                <w:szCs w:val="21"/>
              </w:rPr>
            </w:pPr>
          </w:p>
        </w:tc>
        <w:tc>
          <w:tcPr>
            <w:tcW w:w="900" w:type="dxa"/>
            <w:noWrap w:val="0"/>
            <w:vAlign w:val="center"/>
          </w:tcPr>
          <w:p>
            <w:pPr>
              <w:spacing w:line="360" w:lineRule="auto"/>
              <w:rPr>
                <w:rFonts w:hint="eastAsia" w:ascii="宋体" w:hAnsi="宋体" w:eastAsia="宋体" w:cs="宋体"/>
                <w:color w:val="auto"/>
                <w:sz w:val="21"/>
                <w:szCs w:val="21"/>
              </w:rPr>
            </w:pPr>
          </w:p>
        </w:tc>
        <w:tc>
          <w:tcPr>
            <w:tcW w:w="1072" w:type="dxa"/>
            <w:noWrap w:val="0"/>
            <w:vAlign w:val="center"/>
          </w:tcPr>
          <w:p>
            <w:pPr>
              <w:spacing w:line="360" w:lineRule="auto"/>
              <w:rPr>
                <w:rFonts w:hint="eastAsia" w:ascii="宋体" w:hAnsi="宋体" w:eastAsia="宋体" w:cs="宋体"/>
                <w:color w:val="auto"/>
                <w:sz w:val="21"/>
                <w:szCs w:val="21"/>
              </w:rPr>
            </w:pPr>
          </w:p>
        </w:tc>
        <w:tc>
          <w:tcPr>
            <w:tcW w:w="1268" w:type="dxa"/>
            <w:noWrap w:val="0"/>
            <w:vAlign w:val="center"/>
          </w:tcPr>
          <w:p>
            <w:pPr>
              <w:spacing w:line="360" w:lineRule="auto"/>
              <w:rPr>
                <w:rFonts w:hint="eastAsia" w:ascii="宋体" w:hAnsi="宋体" w:eastAsia="宋体" w:cs="宋体"/>
                <w:color w:val="auto"/>
                <w:sz w:val="21"/>
                <w:szCs w:val="21"/>
              </w:rPr>
            </w:pPr>
          </w:p>
        </w:tc>
        <w:tc>
          <w:tcPr>
            <w:tcW w:w="1574" w:type="dxa"/>
            <w:noWrap w:val="0"/>
            <w:vAlign w:val="center"/>
          </w:tcPr>
          <w:p>
            <w:pPr>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引导能力</w:t>
            </w:r>
          </w:p>
        </w:tc>
        <w:tc>
          <w:tcPr>
            <w:tcW w:w="1104" w:type="dxa"/>
            <w:noWrap w:val="0"/>
            <w:vAlign w:val="center"/>
          </w:tcPr>
          <w:p>
            <w:pPr>
              <w:spacing w:line="360" w:lineRule="auto"/>
              <w:rPr>
                <w:rFonts w:hint="eastAsia" w:ascii="宋体" w:hAnsi="宋体" w:eastAsia="宋体" w:cs="宋体"/>
                <w:color w:val="auto"/>
                <w:sz w:val="21"/>
                <w:szCs w:val="21"/>
              </w:rPr>
            </w:pPr>
          </w:p>
        </w:tc>
        <w:tc>
          <w:tcPr>
            <w:tcW w:w="900" w:type="dxa"/>
            <w:noWrap w:val="0"/>
            <w:vAlign w:val="center"/>
          </w:tcPr>
          <w:p>
            <w:pPr>
              <w:spacing w:line="360" w:lineRule="auto"/>
              <w:rPr>
                <w:rFonts w:hint="eastAsia" w:ascii="宋体" w:hAnsi="宋体" w:eastAsia="宋体" w:cs="宋体"/>
                <w:color w:val="auto"/>
                <w:sz w:val="21"/>
                <w:szCs w:val="21"/>
              </w:rPr>
            </w:pPr>
          </w:p>
        </w:tc>
        <w:tc>
          <w:tcPr>
            <w:tcW w:w="1072" w:type="dxa"/>
            <w:noWrap w:val="0"/>
            <w:vAlign w:val="center"/>
          </w:tcPr>
          <w:p>
            <w:pPr>
              <w:spacing w:line="360" w:lineRule="auto"/>
              <w:rPr>
                <w:rFonts w:hint="eastAsia" w:ascii="宋体" w:hAnsi="宋体" w:eastAsia="宋体" w:cs="宋体"/>
                <w:color w:val="auto"/>
                <w:sz w:val="21"/>
                <w:szCs w:val="21"/>
              </w:rPr>
            </w:pPr>
          </w:p>
        </w:tc>
        <w:tc>
          <w:tcPr>
            <w:tcW w:w="1268" w:type="dxa"/>
            <w:noWrap w:val="0"/>
            <w:vAlign w:val="center"/>
          </w:tcPr>
          <w:p>
            <w:pPr>
              <w:spacing w:line="360" w:lineRule="auto"/>
              <w:rPr>
                <w:rFonts w:hint="eastAsia" w:ascii="宋体" w:hAnsi="宋体" w:eastAsia="宋体" w:cs="宋体"/>
                <w:color w:val="auto"/>
                <w:sz w:val="21"/>
                <w:szCs w:val="21"/>
              </w:rPr>
            </w:pPr>
          </w:p>
        </w:tc>
        <w:tc>
          <w:tcPr>
            <w:tcW w:w="1574" w:type="dxa"/>
            <w:noWrap w:val="0"/>
            <w:vAlign w:val="center"/>
          </w:tcPr>
          <w:p>
            <w:pPr>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分享提升能力</w:t>
            </w:r>
          </w:p>
        </w:tc>
        <w:tc>
          <w:tcPr>
            <w:tcW w:w="1104" w:type="dxa"/>
            <w:noWrap w:val="0"/>
            <w:vAlign w:val="center"/>
          </w:tcPr>
          <w:p>
            <w:pPr>
              <w:spacing w:line="360" w:lineRule="auto"/>
              <w:rPr>
                <w:rFonts w:hint="eastAsia" w:ascii="宋体" w:hAnsi="宋体" w:eastAsia="宋体" w:cs="宋体"/>
                <w:color w:val="auto"/>
                <w:sz w:val="21"/>
                <w:szCs w:val="21"/>
              </w:rPr>
            </w:pPr>
          </w:p>
        </w:tc>
        <w:tc>
          <w:tcPr>
            <w:tcW w:w="900" w:type="dxa"/>
            <w:noWrap w:val="0"/>
            <w:vAlign w:val="center"/>
          </w:tcPr>
          <w:p>
            <w:pPr>
              <w:spacing w:line="360" w:lineRule="auto"/>
              <w:rPr>
                <w:rFonts w:hint="eastAsia" w:ascii="宋体" w:hAnsi="宋体" w:eastAsia="宋体" w:cs="宋体"/>
                <w:color w:val="auto"/>
                <w:sz w:val="21"/>
                <w:szCs w:val="21"/>
              </w:rPr>
            </w:pPr>
          </w:p>
        </w:tc>
        <w:tc>
          <w:tcPr>
            <w:tcW w:w="1072" w:type="dxa"/>
            <w:noWrap w:val="0"/>
            <w:vAlign w:val="center"/>
          </w:tcPr>
          <w:p>
            <w:pPr>
              <w:spacing w:line="360" w:lineRule="auto"/>
              <w:rPr>
                <w:rFonts w:hint="eastAsia" w:ascii="宋体" w:hAnsi="宋体" w:eastAsia="宋体" w:cs="宋体"/>
                <w:color w:val="auto"/>
                <w:sz w:val="21"/>
                <w:szCs w:val="21"/>
              </w:rPr>
            </w:pPr>
          </w:p>
        </w:tc>
        <w:tc>
          <w:tcPr>
            <w:tcW w:w="1268" w:type="dxa"/>
            <w:noWrap w:val="0"/>
            <w:vAlign w:val="center"/>
          </w:tcPr>
          <w:p>
            <w:pPr>
              <w:spacing w:line="360" w:lineRule="auto"/>
              <w:rPr>
                <w:rFonts w:hint="eastAsia" w:ascii="宋体" w:hAnsi="宋体" w:eastAsia="宋体" w:cs="宋体"/>
                <w:color w:val="auto"/>
                <w:sz w:val="21"/>
                <w:szCs w:val="21"/>
              </w:rPr>
            </w:pPr>
          </w:p>
        </w:tc>
        <w:tc>
          <w:tcPr>
            <w:tcW w:w="1574" w:type="dxa"/>
            <w:noWrap w:val="0"/>
            <w:vAlign w:val="center"/>
          </w:tcPr>
          <w:p>
            <w:pPr>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对团队发展的评价能力</w:t>
            </w:r>
          </w:p>
        </w:tc>
        <w:tc>
          <w:tcPr>
            <w:tcW w:w="1104" w:type="dxa"/>
            <w:noWrap w:val="0"/>
            <w:vAlign w:val="center"/>
          </w:tcPr>
          <w:p>
            <w:pPr>
              <w:spacing w:line="360" w:lineRule="auto"/>
              <w:rPr>
                <w:rFonts w:hint="eastAsia" w:ascii="宋体" w:hAnsi="宋体" w:eastAsia="宋体" w:cs="宋体"/>
                <w:color w:val="auto"/>
                <w:sz w:val="21"/>
                <w:szCs w:val="21"/>
              </w:rPr>
            </w:pPr>
          </w:p>
        </w:tc>
        <w:tc>
          <w:tcPr>
            <w:tcW w:w="900" w:type="dxa"/>
            <w:noWrap w:val="0"/>
            <w:vAlign w:val="center"/>
          </w:tcPr>
          <w:p>
            <w:pPr>
              <w:spacing w:line="360" w:lineRule="auto"/>
              <w:rPr>
                <w:rFonts w:hint="eastAsia" w:ascii="宋体" w:hAnsi="宋体" w:eastAsia="宋体" w:cs="宋体"/>
                <w:color w:val="auto"/>
                <w:sz w:val="21"/>
                <w:szCs w:val="21"/>
              </w:rPr>
            </w:pPr>
          </w:p>
        </w:tc>
        <w:tc>
          <w:tcPr>
            <w:tcW w:w="1072" w:type="dxa"/>
            <w:noWrap w:val="0"/>
            <w:vAlign w:val="center"/>
          </w:tcPr>
          <w:p>
            <w:pPr>
              <w:spacing w:line="360" w:lineRule="auto"/>
              <w:rPr>
                <w:rFonts w:hint="eastAsia" w:ascii="宋体" w:hAnsi="宋体" w:eastAsia="宋体" w:cs="宋体"/>
                <w:color w:val="auto"/>
                <w:sz w:val="21"/>
                <w:szCs w:val="21"/>
              </w:rPr>
            </w:pPr>
          </w:p>
        </w:tc>
        <w:tc>
          <w:tcPr>
            <w:tcW w:w="1268" w:type="dxa"/>
            <w:noWrap w:val="0"/>
            <w:vAlign w:val="center"/>
          </w:tcPr>
          <w:p>
            <w:pPr>
              <w:spacing w:line="360" w:lineRule="auto"/>
              <w:rPr>
                <w:rFonts w:hint="eastAsia" w:ascii="宋体" w:hAnsi="宋体" w:eastAsia="宋体" w:cs="宋体"/>
                <w:color w:val="auto"/>
                <w:sz w:val="21"/>
                <w:szCs w:val="21"/>
              </w:rPr>
            </w:pPr>
          </w:p>
        </w:tc>
        <w:tc>
          <w:tcPr>
            <w:tcW w:w="1574" w:type="dxa"/>
            <w:noWrap w:val="0"/>
            <w:vAlign w:val="center"/>
          </w:tcPr>
          <w:p>
            <w:pPr>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综合能力</w:t>
            </w:r>
          </w:p>
        </w:tc>
        <w:tc>
          <w:tcPr>
            <w:tcW w:w="1104" w:type="dxa"/>
            <w:noWrap w:val="0"/>
            <w:vAlign w:val="center"/>
          </w:tcPr>
          <w:p>
            <w:pPr>
              <w:spacing w:line="360" w:lineRule="auto"/>
              <w:rPr>
                <w:rFonts w:hint="eastAsia" w:ascii="宋体" w:hAnsi="宋体" w:eastAsia="宋体" w:cs="宋体"/>
                <w:color w:val="auto"/>
                <w:sz w:val="21"/>
                <w:szCs w:val="21"/>
              </w:rPr>
            </w:pPr>
          </w:p>
        </w:tc>
        <w:tc>
          <w:tcPr>
            <w:tcW w:w="900" w:type="dxa"/>
            <w:noWrap w:val="0"/>
            <w:vAlign w:val="center"/>
          </w:tcPr>
          <w:p>
            <w:pPr>
              <w:spacing w:line="360" w:lineRule="auto"/>
              <w:rPr>
                <w:rFonts w:hint="eastAsia" w:ascii="宋体" w:hAnsi="宋体" w:eastAsia="宋体" w:cs="宋体"/>
                <w:color w:val="auto"/>
                <w:sz w:val="21"/>
                <w:szCs w:val="21"/>
              </w:rPr>
            </w:pPr>
          </w:p>
        </w:tc>
        <w:tc>
          <w:tcPr>
            <w:tcW w:w="1072" w:type="dxa"/>
            <w:noWrap w:val="0"/>
            <w:vAlign w:val="center"/>
          </w:tcPr>
          <w:p>
            <w:pPr>
              <w:spacing w:line="360" w:lineRule="auto"/>
              <w:rPr>
                <w:rFonts w:hint="eastAsia" w:ascii="宋体" w:hAnsi="宋体" w:eastAsia="宋体" w:cs="宋体"/>
                <w:color w:val="auto"/>
                <w:sz w:val="21"/>
                <w:szCs w:val="21"/>
              </w:rPr>
            </w:pPr>
          </w:p>
        </w:tc>
        <w:tc>
          <w:tcPr>
            <w:tcW w:w="1268" w:type="dxa"/>
            <w:noWrap w:val="0"/>
            <w:vAlign w:val="center"/>
          </w:tcPr>
          <w:p>
            <w:pPr>
              <w:spacing w:line="360" w:lineRule="auto"/>
              <w:rPr>
                <w:rFonts w:hint="eastAsia" w:ascii="宋体" w:hAnsi="宋体" w:eastAsia="宋体" w:cs="宋体"/>
                <w:color w:val="auto"/>
                <w:sz w:val="21"/>
                <w:szCs w:val="21"/>
              </w:rPr>
            </w:pPr>
          </w:p>
        </w:tc>
        <w:tc>
          <w:tcPr>
            <w:tcW w:w="1574" w:type="dxa"/>
            <w:noWrap w:val="0"/>
            <w:vAlign w:val="center"/>
          </w:tcPr>
          <w:p>
            <w:pPr>
              <w:spacing w:line="360" w:lineRule="auto"/>
              <w:rPr>
                <w:rFonts w:hint="eastAsia" w:ascii="宋体" w:hAnsi="宋体" w:eastAsia="宋体" w:cs="宋体"/>
                <w:color w:val="auto"/>
                <w:sz w:val="21"/>
                <w:szCs w:val="21"/>
              </w:rPr>
            </w:pPr>
          </w:p>
        </w:tc>
      </w:tr>
    </w:tbl>
    <w:p>
      <w:pPr>
        <w:numPr>
          <w:ilvl w:val="0"/>
          <w:numId w:val="35"/>
        </w:numPr>
        <w:spacing w:line="360" w:lineRule="auto"/>
        <w:ind w:left="357" w:hanging="357"/>
        <w:rPr>
          <w:rFonts w:hint="eastAsia" w:ascii="宋体" w:hAnsi="宋体" w:eastAsia="宋体" w:cs="宋体"/>
          <w:b/>
          <w:color w:val="auto"/>
          <w:sz w:val="21"/>
          <w:szCs w:val="21"/>
        </w:rPr>
      </w:pPr>
      <w:r>
        <w:rPr>
          <w:rFonts w:hint="eastAsia" w:ascii="宋体" w:hAnsi="宋体" w:eastAsia="宋体" w:cs="宋体"/>
          <w:b/>
          <w:color w:val="auto"/>
          <w:sz w:val="21"/>
          <w:szCs w:val="21"/>
        </w:rPr>
        <w:t>你对</w:t>
      </w:r>
      <w:r>
        <w:rPr>
          <w:rFonts w:hint="eastAsia" w:ascii="宋体" w:hAnsi="宋体" w:eastAsia="宋体" w:cs="宋体"/>
          <w:b/>
          <w:color w:val="auto"/>
          <w:sz w:val="21"/>
          <w:szCs w:val="21"/>
          <w:lang w:eastAsia="zh-CN"/>
        </w:rPr>
        <w:t>教练</w:t>
      </w:r>
      <w:r>
        <w:rPr>
          <w:rFonts w:hint="eastAsia" w:ascii="宋体" w:hAnsi="宋体" w:eastAsia="宋体" w:cs="宋体"/>
          <w:b/>
          <w:color w:val="auto"/>
          <w:sz w:val="21"/>
          <w:szCs w:val="21"/>
        </w:rPr>
        <w:t>的建议</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宋体" w:hAnsi="宋体" w:eastAsia="宋体" w:cs="宋体"/>
          <w:color w:val="auto"/>
          <w:sz w:val="21"/>
          <w:szCs w:val="21"/>
        </w:rPr>
        <w:t>学生工作部负责人签名：                   教务处审核：</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p>
    <w:p>
      <w:pPr>
        <w:autoSpaceDE w:val="0"/>
        <w:autoSpaceDN w:val="0"/>
        <w:adjustRightInd w:val="0"/>
        <w:spacing w:line="360" w:lineRule="auto"/>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3.7服务要求</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（1）人员要求：每一个自然班（约40人）需至少配备2名教练（其中主班教练至少有3年以上拓展训练经验），每批次（天）一般2个自然班同时上课。</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（2）质量要求：在保证安全的前提下，按时按量完成教学任务。</w:t>
      </w:r>
    </w:p>
    <w:p>
      <w:pPr>
        <w:pStyle w:val="13"/>
        <w:rPr>
          <w:rFonts w:hint="eastAsia"/>
          <w:lang w:val="en-US" w:eastAsia="zh-CN"/>
        </w:rPr>
      </w:pPr>
    </w:p>
    <w:p>
      <w:pPr>
        <w:rPr>
          <w:rFonts w:hint="eastAsia" w:asciiTheme="minorEastAsia" w:hAnsiTheme="minorEastAsia" w:eastAsiaTheme="minorEastAsia" w:cstheme="minorEastAsia"/>
          <w:b/>
          <w:bCs/>
          <w:color w:val="auto"/>
          <w:sz w:val="24"/>
          <w:szCs w:val="24"/>
          <w:lang w:val="en-US" w:eastAsia="zh-CN"/>
        </w:rPr>
      </w:pPr>
      <w:bookmarkStart w:id="104" w:name="_Toc4510"/>
      <w:r>
        <w:rPr>
          <w:rFonts w:hint="eastAsia" w:asciiTheme="minorEastAsia" w:hAnsiTheme="minorEastAsia" w:eastAsiaTheme="minorEastAsia" w:cstheme="minorEastAsia"/>
          <w:b/>
          <w:bCs/>
          <w:color w:val="auto"/>
          <w:sz w:val="24"/>
          <w:szCs w:val="24"/>
          <w:lang w:val="en-US" w:eastAsia="zh-CN"/>
        </w:rPr>
        <w:br w:type="page"/>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二、商务需求</w:t>
      </w:r>
      <w:bookmarkEnd w:id="104"/>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1.1所有拟派服务人员及设备均需按照磋商文件指标要求及竞标响应情况进行检查核对后方可签订合同，不满足磋商文件要求的，采购人有权不对其进行验收；同时采购人有权对成交供应商进行双倍罚款或取消合同。</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1.2若非采购人原因，成交供应商逾期签订合同的，成交供应商向采购人支付逾期违约金，逾期违约金为每天1000.00元人民币，但其最终累计金额不超过合同价款的10%。</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1.3因成交供应商原因服务质量及诚信要求达不到约定的标准，由成交供应商向采购人支付合同价款10%的违约金。</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2.服务期：合同签订之日起至2023年8月31日，服务期为三个教学学期。</w:t>
      </w:r>
    </w:p>
    <w:p>
      <w:pPr>
        <w:pStyle w:val="13"/>
        <w:spacing w:line="360" w:lineRule="auto"/>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3.报价要求：供应商按每个学生12个学时的综合单价进行报价，最高单价限价：40元/学生/12学时，应包含完成拓展培训所有流程的全部各项直接、间接费用。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4.服务地点：按采购人指定地点。</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5.付款方式：按合同约定支付，具体学生数量据实结算。</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6.其它：其他未尽事宜由成交供应商和采购人按合同进行约定。</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pStyle w:val="13"/>
        <w:rPr>
          <w:rFonts w:hint="eastAsia"/>
          <w:lang w:val="en-US" w:eastAsia="zh-CN"/>
        </w:rPr>
      </w:pPr>
    </w:p>
    <w:p>
      <w:pPr>
        <w:pStyle w:val="13"/>
        <w:rPr>
          <w:rFonts w:hint="eastAsia"/>
          <w:lang w:val="en-US" w:eastAsia="zh-CN"/>
        </w:rPr>
      </w:pPr>
    </w:p>
    <w:p>
      <w:pPr>
        <w:pStyle w:val="13"/>
        <w:rPr>
          <w:rFonts w:hint="eastAsia"/>
          <w:lang w:val="en-US" w:eastAsia="zh-CN"/>
        </w:rPr>
      </w:pPr>
    </w:p>
    <w:p>
      <w:pPr>
        <w:outlineLvl w:val="9"/>
        <w:rPr>
          <w:rFonts w:hint="eastAsia"/>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pStyle w:val="13"/>
        <w:rPr>
          <w:rFonts w:hint="eastAsia"/>
          <w:lang w:val="en-US" w:eastAsia="zh-CN"/>
        </w:rPr>
      </w:pPr>
    </w:p>
    <w:p>
      <w:pPr>
        <w:pStyle w:val="4"/>
        <w:numPr>
          <w:ilvl w:val="0"/>
          <w:numId w:val="4"/>
        </w:numPr>
        <w:jc w:val="center"/>
        <w:rPr>
          <w:rFonts w:hint="eastAsia" w:asciiTheme="minorEastAsia" w:hAnsiTheme="minorEastAsia" w:eastAsiaTheme="minorEastAsia" w:cstheme="minorEastAsia"/>
          <w:szCs w:val="21"/>
        </w:rPr>
      </w:pPr>
      <w:bookmarkStart w:id="105" w:name="_Toc24802"/>
      <w:r>
        <w:rPr>
          <w:rFonts w:hint="eastAsia" w:asciiTheme="minorEastAsia" w:hAnsiTheme="minorEastAsia" w:eastAsiaTheme="minorEastAsia" w:cstheme="minorEastAsia"/>
          <w:sz w:val="36"/>
          <w:szCs w:val="36"/>
          <w:lang w:val="en-US" w:eastAsia="zh-CN"/>
        </w:rPr>
        <w:t>竞争性磋商采购</w:t>
      </w:r>
      <w:r>
        <w:rPr>
          <w:rFonts w:hint="eastAsia" w:asciiTheme="minorEastAsia" w:hAnsiTheme="minorEastAsia" w:eastAsiaTheme="minorEastAsia" w:cstheme="minorEastAsia"/>
          <w:sz w:val="36"/>
          <w:szCs w:val="36"/>
        </w:rPr>
        <w:t>评定办法</w:t>
      </w:r>
      <w:bookmarkEnd w:id="105"/>
    </w:p>
    <w:p>
      <w:pPr>
        <w:spacing w:line="360" w:lineRule="auto"/>
        <w:outlineLvl w:val="1"/>
        <w:rPr>
          <w:rFonts w:hint="eastAsia" w:asciiTheme="minorEastAsia" w:hAnsiTheme="minorEastAsia" w:eastAsiaTheme="minorEastAsia" w:cstheme="minorEastAsia"/>
          <w:b/>
          <w:szCs w:val="21"/>
        </w:rPr>
      </w:pPr>
      <w:bookmarkStart w:id="106" w:name="_Toc24499"/>
      <w:r>
        <w:rPr>
          <w:rFonts w:hint="eastAsia" w:asciiTheme="minorEastAsia" w:hAnsiTheme="minorEastAsia" w:eastAsiaTheme="minorEastAsia" w:cstheme="minorEastAsia"/>
          <w:b/>
          <w:szCs w:val="21"/>
          <w:lang w:val="en-US" w:eastAsia="zh-CN"/>
        </w:rPr>
        <w:t>一、</w:t>
      </w:r>
      <w:r>
        <w:rPr>
          <w:rFonts w:hint="eastAsia" w:asciiTheme="minorEastAsia" w:hAnsiTheme="minorEastAsia" w:eastAsiaTheme="minorEastAsia" w:cstheme="minorEastAsia"/>
          <w:b/>
          <w:szCs w:val="21"/>
        </w:rPr>
        <w:t>评定办法前附表</w:t>
      </w:r>
      <w:bookmarkEnd w:id="106"/>
    </w:p>
    <w:tbl>
      <w:tblPr>
        <w:tblStyle w:val="30"/>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2160"/>
        <w:gridCol w:w="5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tblHeader/>
          <w:jc w:val="center"/>
        </w:trPr>
        <w:tc>
          <w:tcPr>
            <w:tcW w:w="1531" w:type="dxa"/>
            <w:gridSpan w:val="2"/>
            <w:vAlign w:val="center"/>
          </w:tcPr>
          <w:p>
            <w:pPr>
              <w:widowControl/>
              <w:spacing w:line="360" w:lineRule="auto"/>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2160" w:type="dxa"/>
            <w:vAlign w:val="center"/>
          </w:tcPr>
          <w:p>
            <w:pPr>
              <w:widowControl/>
              <w:spacing w:line="360" w:lineRule="auto"/>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5671" w:type="dxa"/>
            <w:vAlign w:val="center"/>
          </w:tcPr>
          <w:p>
            <w:pPr>
              <w:widowControl/>
              <w:spacing w:line="360" w:lineRule="auto"/>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spacing w:line="360" w:lineRule="auto"/>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spacing w:line="360" w:lineRule="auto"/>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2160" w:type="dxa"/>
            <w:vAlign w:val="center"/>
          </w:tcPr>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 w:val="21"/>
                <w:szCs w:val="21"/>
              </w:rPr>
              <w:t>满足《中华人民共和国政府采购法》第二十二条规定</w:t>
            </w:r>
          </w:p>
        </w:tc>
        <w:tc>
          <w:tcPr>
            <w:tcW w:w="5671" w:type="dxa"/>
            <w:vAlign w:val="center"/>
          </w:tcPr>
          <w:p>
            <w:pPr>
              <w:spacing w:line="36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具有独立承担民事责任的能力；</w:t>
            </w:r>
          </w:p>
          <w:p>
            <w:pPr>
              <w:spacing w:line="36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具有良好的商业信誉和健全的财务会计制度；</w:t>
            </w:r>
          </w:p>
          <w:p>
            <w:pPr>
              <w:spacing w:line="36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具有履行合同所必需的设备和专业技术能力；</w:t>
            </w:r>
          </w:p>
          <w:p>
            <w:pPr>
              <w:spacing w:line="36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4</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有依法缴纳税收和社会保障资金的良好记录；</w:t>
            </w:r>
          </w:p>
          <w:p>
            <w:pPr>
              <w:spacing w:line="360" w:lineRule="auto"/>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参加政府采购活动前三年内，在经营活动中没有重大违法记录</w:t>
            </w:r>
            <w:r>
              <w:rPr>
                <w:rFonts w:hint="eastAsia" w:asciiTheme="minorEastAsia" w:hAnsiTheme="minorEastAsia" w:eastAsiaTheme="minorEastAsia" w:cstheme="minorEastAsia"/>
                <w:color w:val="000000"/>
                <w:sz w:val="21"/>
                <w:szCs w:val="21"/>
                <w:lang w:eastAsia="zh-CN"/>
              </w:rPr>
              <w:t>；</w:t>
            </w:r>
          </w:p>
          <w:p>
            <w:pPr>
              <w:widowControl/>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9"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szCs w:val="21"/>
              </w:rPr>
            </w:pPr>
          </w:p>
        </w:tc>
        <w:tc>
          <w:tcPr>
            <w:tcW w:w="2160" w:type="dxa"/>
            <w:vMerge w:val="restart"/>
            <w:vAlign w:val="center"/>
          </w:tcPr>
          <w:p>
            <w:pPr>
              <w:widowControl/>
              <w:spacing w:line="360" w:lineRule="auto"/>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lang w:eastAsia="zh-CN"/>
              </w:rPr>
              <w:t>禁止性情形</w:t>
            </w:r>
          </w:p>
        </w:tc>
        <w:tc>
          <w:tcPr>
            <w:tcW w:w="5671" w:type="dxa"/>
            <w:vAlign w:val="center"/>
          </w:tcPr>
          <w:p>
            <w:pPr>
              <w:numPr>
                <w:ilvl w:val="0"/>
                <w:numId w:val="0"/>
              </w:numPr>
              <w:spacing w:line="360" w:lineRule="auto"/>
              <w:jc w:val="left"/>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000000"/>
                <w:sz w:val="21"/>
                <w:szCs w:val="21"/>
              </w:rPr>
              <w:t>单位负责人为同一人或者存在直接控股、管理关系的不同</w:t>
            </w:r>
            <w:r>
              <w:rPr>
                <w:rFonts w:hint="eastAsia" w:asciiTheme="minorEastAsia" w:hAnsiTheme="minorEastAsia" w:eastAsiaTheme="minorEastAsia" w:cstheme="minorEastAsia"/>
                <w:color w:val="000000"/>
                <w:sz w:val="21"/>
                <w:szCs w:val="21"/>
                <w:lang w:eastAsia="zh-CN"/>
              </w:rPr>
              <w:t>磋商代表</w:t>
            </w:r>
            <w:r>
              <w:rPr>
                <w:rFonts w:hint="eastAsia" w:asciiTheme="minorEastAsia" w:hAnsiTheme="minorEastAsia" w:eastAsiaTheme="minorEastAsia" w:cstheme="minorEastAsia"/>
                <w:color w:val="000000"/>
                <w:sz w:val="21"/>
                <w:szCs w:val="21"/>
              </w:rPr>
              <w:t>，不得参加本项目同一合同项下的政府采购活动。</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按在采购代理机构获取文件的顺次序选择供应商参加本项目</w:t>
            </w:r>
            <w:r>
              <w:rPr>
                <w:rFonts w:hint="eastAsia" w:asciiTheme="minorEastAsia" w:hAnsiTheme="minorEastAsia" w:eastAsiaTheme="minorEastAsia" w:cstheme="minorEastAsia"/>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3"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szCs w:val="21"/>
              </w:rPr>
            </w:pPr>
          </w:p>
        </w:tc>
        <w:tc>
          <w:tcPr>
            <w:tcW w:w="2160" w:type="dxa"/>
            <w:vMerge w:val="continue"/>
            <w:vAlign w:val="center"/>
          </w:tcPr>
          <w:p>
            <w:pPr>
              <w:widowControl/>
              <w:spacing w:line="360" w:lineRule="auto"/>
              <w:jc w:val="center"/>
              <w:rPr>
                <w:rFonts w:hint="eastAsia" w:asciiTheme="minorEastAsia" w:hAnsiTheme="minorEastAsia" w:eastAsiaTheme="minorEastAsia" w:cstheme="minorEastAsia"/>
                <w:color w:val="auto"/>
                <w:szCs w:val="21"/>
                <w:lang w:val="zh-CN"/>
              </w:rPr>
            </w:pPr>
          </w:p>
        </w:tc>
        <w:tc>
          <w:tcPr>
            <w:tcW w:w="5671" w:type="dxa"/>
            <w:vAlign w:val="center"/>
          </w:tcPr>
          <w:p>
            <w:pPr>
              <w:numPr>
                <w:ilvl w:val="0"/>
                <w:numId w:val="0"/>
              </w:numPr>
              <w:spacing w:line="360" w:lineRule="auto"/>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000000"/>
                <w:sz w:val="21"/>
                <w:szCs w:val="21"/>
              </w:rPr>
              <w:t>为本采购项目提供整体设计、规范编制或者项目管理、监理、检测等服务的，不得再参加本项目的其他招标采购活动。</w:t>
            </w:r>
            <w:r>
              <w:rPr>
                <w:rFonts w:hint="eastAsia" w:asciiTheme="minorEastAsia" w:hAnsiTheme="minorEastAsia" w:eastAsiaTheme="minorEastAsia" w:cstheme="minorEastAsia"/>
                <w:color w:val="FF0000"/>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8"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szCs w:val="21"/>
              </w:rPr>
            </w:pPr>
          </w:p>
        </w:tc>
        <w:tc>
          <w:tcPr>
            <w:tcW w:w="2160" w:type="dxa"/>
            <w:vMerge w:val="continue"/>
            <w:vAlign w:val="center"/>
          </w:tcPr>
          <w:p>
            <w:pPr>
              <w:widowControl/>
              <w:spacing w:line="360" w:lineRule="auto"/>
              <w:jc w:val="center"/>
              <w:rPr>
                <w:rFonts w:hint="eastAsia" w:asciiTheme="minorEastAsia" w:hAnsiTheme="minorEastAsia" w:eastAsiaTheme="minorEastAsia" w:cstheme="minorEastAsia"/>
                <w:color w:val="auto"/>
                <w:szCs w:val="21"/>
                <w:lang w:val="zh-CN"/>
              </w:rPr>
            </w:pPr>
          </w:p>
        </w:tc>
        <w:tc>
          <w:tcPr>
            <w:tcW w:w="5671" w:type="dxa"/>
            <w:vAlign w:val="center"/>
          </w:tcPr>
          <w:p>
            <w:pPr>
              <w:numPr>
                <w:ilvl w:val="0"/>
                <w:numId w:val="0"/>
              </w:numPr>
              <w:spacing w:line="360" w:lineRule="auto"/>
              <w:jc w:val="left"/>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未被列入失信被执行人、重大税收违法案件当事人名单（</w:t>
            </w:r>
            <w:r>
              <w:rPr>
                <w:rFonts w:hint="eastAsia" w:asciiTheme="minorEastAsia" w:hAnsiTheme="minorEastAsia" w:eastAsiaTheme="minorEastAsia" w:cstheme="minorEastAsia"/>
                <w:color w:val="auto"/>
                <w:szCs w:val="21"/>
                <w:lang w:val="en-US" w:eastAsia="zh-CN"/>
              </w:rPr>
              <w:t>链接：https://www.creditchina.gov.cn/</w:t>
            </w:r>
            <w:r>
              <w:rPr>
                <w:rFonts w:hint="eastAsia" w:asciiTheme="minorEastAsia" w:hAnsiTheme="minorEastAsia" w:eastAsiaTheme="minorEastAsia" w:cstheme="minorEastAsia"/>
                <w:b w:val="0"/>
                <w:bCs w:val="0"/>
                <w:color w:val="auto"/>
                <w:szCs w:val="21"/>
                <w:lang w:val="en-US" w:eastAsia="zh-CN"/>
              </w:rPr>
              <w:t>），未被列入政府采购严重违法失信行为记录名单（</w:t>
            </w:r>
            <w:r>
              <w:rPr>
                <w:rFonts w:hint="eastAsia" w:asciiTheme="minorEastAsia" w:hAnsiTheme="minorEastAsia" w:eastAsiaTheme="minorEastAsia" w:cstheme="minorEastAsia"/>
                <w:color w:val="auto"/>
                <w:szCs w:val="21"/>
                <w:lang w:val="en-US" w:eastAsia="zh-CN"/>
              </w:rPr>
              <w:t>链接：http://www.ccgp.gov.cn/search/cr/</w:t>
            </w:r>
            <w:r>
              <w:rPr>
                <w:rFonts w:hint="eastAsia" w:asciiTheme="minorEastAsia" w:hAnsiTheme="minorEastAsia" w:eastAsiaTheme="minorEastAsia" w:cstheme="minorEastAsia"/>
                <w:b w:val="0"/>
                <w:bCs w:val="0"/>
                <w:color w:val="auto"/>
                <w:szCs w:val="21"/>
                <w:lang w:val="en-US" w:eastAsia="zh-CN"/>
              </w:rPr>
              <w:t>）。</w:t>
            </w:r>
          </w:p>
          <w:p>
            <w:pPr>
              <w:numPr>
                <w:ilvl w:val="0"/>
                <w:numId w:val="0"/>
              </w:numPr>
              <w:spacing w:line="360" w:lineRule="auto"/>
              <w:jc w:val="left"/>
              <w:rPr>
                <w:rFonts w:hint="eastAsia" w:asciiTheme="minorEastAsia" w:hAnsiTheme="minorEastAsia" w:eastAsiaTheme="minorEastAsia" w:cstheme="minorEastAsia"/>
                <w:color w:val="auto"/>
                <w:szCs w:val="21"/>
                <w:lang w:val="zh-CN" w:eastAsia="zh-CN"/>
              </w:rPr>
            </w:pPr>
            <w:r>
              <w:rPr>
                <w:rFonts w:hint="eastAsia" w:asciiTheme="minorEastAsia" w:hAnsiTheme="minorEastAsia" w:eastAsiaTheme="minorEastAsia" w:cstheme="minorEastAsia"/>
                <w:color w:val="auto"/>
                <w:szCs w:val="21"/>
                <w:lang w:val="en-US" w:eastAsia="zh-CN"/>
              </w:rPr>
              <w:t>以递交响应文件截止之日，采购代理机构现场网络查询并打印存档。</w:t>
            </w:r>
            <w:r>
              <w:rPr>
                <w:rFonts w:hint="eastAsia" w:asciiTheme="minorEastAsia" w:hAnsiTheme="minorEastAsia" w:eastAsiaTheme="minorEastAsia" w:cstheme="minorEastAsia"/>
                <w:b w:val="0"/>
                <w:bCs w:val="0"/>
                <w:color w:val="auto"/>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szCs w:val="21"/>
              </w:rPr>
            </w:pPr>
          </w:p>
        </w:tc>
        <w:tc>
          <w:tcPr>
            <w:tcW w:w="2160" w:type="dxa"/>
            <w:vAlign w:val="center"/>
          </w:tcPr>
          <w:p>
            <w:pPr>
              <w:widowControl/>
              <w:spacing w:line="360" w:lineRule="auto"/>
              <w:jc w:val="center"/>
              <w:rPr>
                <w:rFonts w:hint="eastAsia" w:asciiTheme="minorEastAsia" w:hAnsiTheme="minorEastAsia" w:eastAsiaTheme="minorEastAsia" w:cstheme="minorEastAsia"/>
                <w:color w:val="auto"/>
                <w:kern w:val="0"/>
                <w:sz w:val="21"/>
                <w:szCs w:val="21"/>
                <w:lang w:val="zh-CN" w:eastAsia="zh-CN" w:bidi="ar-SA"/>
              </w:rPr>
            </w:pPr>
            <w:r>
              <w:rPr>
                <w:rFonts w:hint="eastAsia" w:asciiTheme="minorEastAsia" w:hAnsiTheme="minorEastAsia" w:eastAsiaTheme="minorEastAsia" w:cstheme="minorEastAsia"/>
                <w:color w:val="auto"/>
                <w:sz w:val="21"/>
                <w:szCs w:val="21"/>
              </w:rPr>
              <w:t>落实政府采购政策需满足的资格要求</w:t>
            </w:r>
          </w:p>
        </w:tc>
        <w:tc>
          <w:tcPr>
            <w:tcW w:w="5671" w:type="dxa"/>
            <w:vAlign w:val="center"/>
          </w:tcPr>
          <w:p>
            <w:pPr>
              <w:widowControl/>
              <w:spacing w:line="360" w:lineRule="auto"/>
              <w:jc w:val="left"/>
              <w:rPr>
                <w:rFonts w:hint="eastAsia" w:asciiTheme="minorEastAsia" w:hAnsiTheme="minorEastAsia" w:eastAsiaTheme="minorEastAsia" w:cstheme="minorEastAsia"/>
                <w:color w:val="auto"/>
                <w:kern w:val="0"/>
                <w:sz w:val="21"/>
                <w:szCs w:val="21"/>
                <w:lang w:val="zh-CN" w:eastAsia="zh-CN" w:bidi="ar-SA"/>
              </w:rPr>
            </w:pPr>
            <w:r>
              <w:rPr>
                <w:rFonts w:hint="eastAsia" w:asciiTheme="minorEastAsia" w:hAnsiTheme="minorEastAsia" w:eastAsiaTheme="minorEastAsia" w:cstheme="minorEastAsia"/>
                <w:b w:val="0"/>
                <w:bCs w:val="0"/>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szCs w:val="21"/>
              </w:rPr>
            </w:pPr>
          </w:p>
        </w:tc>
        <w:tc>
          <w:tcPr>
            <w:tcW w:w="2160" w:type="dxa"/>
            <w:vAlign w:val="center"/>
          </w:tcPr>
          <w:p>
            <w:pPr>
              <w:widowControl/>
              <w:spacing w:line="360" w:lineRule="auto"/>
              <w:jc w:val="center"/>
              <w:rPr>
                <w:rFonts w:hint="eastAsia" w:asciiTheme="minorEastAsia" w:hAnsiTheme="minorEastAsia" w:eastAsiaTheme="minorEastAsia" w:cstheme="minorEastAsia"/>
                <w:kern w:val="0"/>
                <w:sz w:val="21"/>
                <w:szCs w:val="21"/>
                <w:lang w:val="zh-CN" w:eastAsia="zh-CN" w:bidi="ar-SA"/>
              </w:rPr>
            </w:pPr>
            <w:r>
              <w:rPr>
                <w:rFonts w:hint="eastAsia" w:asciiTheme="minorEastAsia" w:hAnsiTheme="minorEastAsia" w:eastAsiaTheme="minorEastAsia" w:cstheme="minorEastAsia"/>
                <w:color w:val="000000"/>
                <w:sz w:val="21"/>
                <w:szCs w:val="21"/>
              </w:rPr>
              <w:t>特定资格要求</w:t>
            </w:r>
          </w:p>
        </w:tc>
        <w:tc>
          <w:tcPr>
            <w:tcW w:w="5671" w:type="dxa"/>
            <w:vAlign w:val="center"/>
          </w:tcPr>
          <w:p>
            <w:pPr>
              <w:widowControl/>
              <w:spacing w:line="360" w:lineRule="auto"/>
              <w:jc w:val="left"/>
              <w:rPr>
                <w:rFonts w:hint="eastAsia" w:asciiTheme="minorEastAsia" w:hAnsiTheme="minorEastAsia" w:eastAsiaTheme="minorEastAsia" w:cstheme="minorEastAsia"/>
                <w:kern w:val="0"/>
                <w:sz w:val="21"/>
                <w:szCs w:val="21"/>
                <w:lang w:val="zh-CN" w:eastAsia="zh-CN" w:bidi="ar-SA"/>
              </w:rPr>
            </w:pPr>
            <w:r>
              <w:rPr>
                <w:rFonts w:hint="eastAsia" w:asciiTheme="minorEastAsia" w:hAnsiTheme="minorEastAsia" w:eastAsiaTheme="minorEastAsia" w:cstheme="minorEastAsia"/>
                <w:kern w:val="0"/>
                <w:szCs w:val="21"/>
              </w:rPr>
              <w:t>符合本采购文件第一章第二款</w:t>
            </w:r>
            <w:r>
              <w:rPr>
                <w:rFonts w:hint="eastAsia" w:asciiTheme="minorEastAsia" w:hAnsiTheme="minorEastAsia" w:eastAsiaTheme="minorEastAsia" w:cstheme="minorEastAsia"/>
                <w:kern w:val="0"/>
                <w:szCs w:val="21"/>
                <w:lang w:eastAsia="zh-CN"/>
              </w:rPr>
              <w:t>第</w:t>
            </w:r>
            <w:r>
              <w:rPr>
                <w:rFonts w:hint="eastAsia" w:asciiTheme="minorEastAsia" w:hAnsiTheme="minorEastAsia" w:eastAsiaTheme="minorEastAsia" w:cstheme="minorEastAsia"/>
                <w:kern w:val="0"/>
                <w:szCs w:val="21"/>
                <w:lang w:val="en-US" w:eastAsia="zh-CN"/>
              </w:rPr>
              <w:t>六条</w:t>
            </w:r>
            <w:r>
              <w:rPr>
                <w:rFonts w:hint="eastAsia" w:asciiTheme="minorEastAsia" w:hAnsiTheme="minorEastAsia" w:eastAsiaTheme="minorEastAsia" w:cstheme="minorEastAsia"/>
                <w:kern w:val="0"/>
                <w:szCs w:val="21"/>
              </w:rPr>
              <w:t>要求，并提供合格有效的证明材料</w:t>
            </w:r>
            <w:r>
              <w:rPr>
                <w:rFonts w:hint="eastAsia" w:asciiTheme="minorEastAsia" w:hAnsiTheme="minorEastAsia" w:eastAsiaTheme="minorEastAsia" w:cstheme="minorEastAsia"/>
                <w:color w:val="FF000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spacing w:line="360" w:lineRule="auto"/>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spacing w:line="360" w:lineRule="auto"/>
              <w:jc w:val="center"/>
              <w:rPr>
                <w:rFonts w:hint="eastAsia" w:asciiTheme="minorEastAsia" w:hAnsiTheme="minorEastAsia" w:eastAsiaTheme="minorEastAsia" w:cstheme="minorEastAsia"/>
                <w:szCs w:val="21"/>
              </w:rPr>
            </w:pPr>
          </w:p>
        </w:tc>
        <w:tc>
          <w:tcPr>
            <w:tcW w:w="2160" w:type="dxa"/>
            <w:vAlign w:val="center"/>
          </w:tcPr>
          <w:p>
            <w:pPr>
              <w:widowControl/>
              <w:spacing w:line="360" w:lineRule="auto"/>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color w:val="auto"/>
                <w:kern w:val="0"/>
                <w:szCs w:val="21"/>
              </w:rPr>
              <w:t>磋商保证金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p>
        </w:tc>
        <w:tc>
          <w:tcPr>
            <w:tcW w:w="5671" w:type="dxa"/>
            <w:vAlign w:val="center"/>
          </w:tcPr>
          <w:p>
            <w:pPr>
              <w:widowControl/>
              <w:spacing w:line="360" w:lineRule="auto"/>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8"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2160" w:type="dxa"/>
            <w:vAlign w:val="center"/>
          </w:tcPr>
          <w:p>
            <w:pPr>
              <w:widowControl/>
              <w:spacing w:line="360" w:lineRule="auto"/>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p>
        </w:tc>
        <w:tc>
          <w:tcPr>
            <w:tcW w:w="5671" w:type="dxa"/>
            <w:vAlign w:val="center"/>
          </w:tcPr>
          <w:p>
            <w:pPr>
              <w:widowControl/>
              <w:spacing w:line="360" w:lineRule="auto"/>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2160" w:type="dxa"/>
            <w:vAlign w:val="center"/>
          </w:tcPr>
          <w:p>
            <w:pPr>
              <w:widowControl/>
              <w:spacing w:line="360" w:lineRule="auto"/>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kern w:val="0"/>
                <w:szCs w:val="21"/>
              </w:rPr>
              <w:t>磋商书签字盖章</w:t>
            </w:r>
          </w:p>
        </w:tc>
        <w:tc>
          <w:tcPr>
            <w:tcW w:w="5671" w:type="dxa"/>
            <w:vAlign w:val="center"/>
          </w:tcPr>
          <w:p>
            <w:pPr>
              <w:widowControl/>
              <w:spacing w:line="360" w:lineRule="auto"/>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2160" w:type="dxa"/>
            <w:vAlign w:val="center"/>
          </w:tcPr>
          <w:p>
            <w:pPr>
              <w:widowControl/>
              <w:spacing w:line="360" w:lineRule="auto"/>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磋商有效期</w:t>
            </w:r>
          </w:p>
        </w:tc>
        <w:tc>
          <w:tcPr>
            <w:tcW w:w="5671" w:type="dxa"/>
            <w:vAlign w:val="center"/>
          </w:tcPr>
          <w:p>
            <w:pPr>
              <w:widowControl/>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磋商</w:t>
            </w:r>
            <w:r>
              <w:rPr>
                <w:rFonts w:hint="eastAsia" w:asciiTheme="minorEastAsia" w:hAnsiTheme="minorEastAsia" w:eastAsiaTheme="minorEastAsia" w:cstheme="minorEastAsia"/>
                <w:color w:val="auto"/>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2160" w:type="dxa"/>
            <w:vMerge w:val="restart"/>
            <w:vAlign w:val="center"/>
          </w:tcPr>
          <w:p>
            <w:pPr>
              <w:widowControl/>
              <w:spacing w:line="360" w:lineRule="auto"/>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采购需求响应</w:t>
            </w:r>
          </w:p>
        </w:tc>
        <w:tc>
          <w:tcPr>
            <w:tcW w:w="5671" w:type="dxa"/>
            <w:vAlign w:val="center"/>
          </w:tcPr>
          <w:p>
            <w:pPr>
              <w:widowControl/>
              <w:spacing w:line="360" w:lineRule="auto"/>
              <w:rPr>
                <w:rFonts w:hint="eastAsia" w:asciiTheme="minorEastAsia" w:hAnsiTheme="minorEastAsia" w:eastAsiaTheme="minorEastAsia" w:cstheme="minorEastAsia"/>
                <w:color w:val="auto"/>
                <w:kern w:val="0"/>
                <w:szCs w:val="21"/>
              </w:rPr>
            </w:pPr>
            <w:r>
              <w:rPr>
                <w:rFonts w:hint="eastAsia" w:ascii="宋体" w:hAnsi="宋体" w:cs="宋体"/>
                <w:color w:val="auto"/>
                <w:kern w:val="0"/>
                <w:szCs w:val="21"/>
                <w:shd w:val="clear" w:color="auto" w:fill="FFFFFF"/>
                <w:lang w:val="en-US" w:eastAsia="zh-CN"/>
              </w:rPr>
              <w:t>带“★”号条款（如有）</w:t>
            </w:r>
            <w:r>
              <w:rPr>
                <w:rFonts w:hint="eastAsia" w:ascii="宋体" w:hAnsi="宋体" w:cs="宋体"/>
                <w:color w:val="auto"/>
                <w:kern w:val="0"/>
                <w:szCs w:val="21"/>
                <w:shd w:val="clear" w:color="auto" w:fill="FFFFFF"/>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2160" w:type="dxa"/>
            <w:vMerge w:val="continue"/>
            <w:vAlign w:val="center"/>
          </w:tcPr>
          <w:p>
            <w:pPr>
              <w:widowControl/>
              <w:spacing w:line="360" w:lineRule="auto"/>
              <w:jc w:val="center"/>
              <w:rPr>
                <w:rFonts w:hint="eastAsia" w:asciiTheme="minorEastAsia" w:hAnsiTheme="minorEastAsia" w:eastAsiaTheme="minorEastAsia" w:cstheme="minorEastAsia"/>
                <w:color w:val="auto"/>
                <w:kern w:val="0"/>
                <w:szCs w:val="21"/>
              </w:rPr>
            </w:pPr>
          </w:p>
        </w:tc>
        <w:tc>
          <w:tcPr>
            <w:tcW w:w="5671" w:type="dxa"/>
            <w:vAlign w:val="center"/>
          </w:tcPr>
          <w:p>
            <w:pPr>
              <w:widowControl/>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94"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2160" w:type="dxa"/>
            <w:vAlign w:val="center"/>
          </w:tcPr>
          <w:p>
            <w:pPr>
              <w:autoSpaceDE w:val="0"/>
              <w:autoSpaceDN w:val="0"/>
              <w:adjustRightInd w:val="0"/>
              <w:snapToGrid w:val="0"/>
              <w:spacing w:line="360" w:lineRule="auto"/>
              <w:jc w:val="center"/>
              <w:rPr>
                <w:rFonts w:hint="eastAsia" w:ascii="宋体" w:hAnsi="宋体" w:eastAsia="宋体"/>
                <w:color w:val="auto"/>
                <w:szCs w:val="21"/>
                <w:lang w:eastAsia="zh-CN"/>
              </w:rPr>
            </w:pPr>
            <w:r>
              <w:rPr>
                <w:rFonts w:hint="eastAsia" w:ascii="宋体" w:hAnsi="宋体"/>
                <w:color w:val="auto"/>
                <w:szCs w:val="21"/>
              </w:rPr>
              <w:t>其他要求</w:t>
            </w:r>
            <w:r>
              <w:rPr>
                <w:rFonts w:hint="eastAsia" w:ascii="宋体" w:hAnsi="宋体"/>
                <w:color w:val="auto"/>
                <w:szCs w:val="21"/>
                <w:lang w:eastAsia="zh-CN"/>
              </w:rPr>
              <w:t>（</w:t>
            </w:r>
            <w:r>
              <w:rPr>
                <w:rFonts w:hint="eastAsia" w:ascii="宋体" w:hAnsi="宋体"/>
                <w:color w:val="auto"/>
                <w:szCs w:val="21"/>
                <w:lang w:val="en-US" w:eastAsia="zh-CN"/>
              </w:rPr>
              <w:t>一</w:t>
            </w:r>
            <w:r>
              <w:rPr>
                <w:rFonts w:hint="eastAsia" w:ascii="宋体" w:hAnsi="宋体"/>
                <w:color w:val="auto"/>
                <w:szCs w:val="21"/>
                <w:lang w:eastAsia="zh-CN"/>
              </w:rPr>
              <w:t>）</w:t>
            </w:r>
          </w:p>
        </w:tc>
        <w:tc>
          <w:tcPr>
            <w:tcW w:w="5671" w:type="dxa"/>
            <w:vAlign w:val="center"/>
          </w:tcPr>
          <w:p>
            <w:pPr>
              <w:autoSpaceDE w:val="0"/>
              <w:autoSpaceDN w:val="0"/>
              <w:adjustRightInd w:val="0"/>
              <w:snapToGrid w:val="0"/>
              <w:spacing w:line="360" w:lineRule="auto"/>
              <w:rPr>
                <w:rFonts w:hint="eastAsia" w:ascii="宋体" w:hAnsi="宋体"/>
                <w:color w:val="auto"/>
                <w:szCs w:val="21"/>
              </w:rPr>
            </w:pPr>
            <w:r>
              <w:rPr>
                <w:rFonts w:hint="eastAsia" w:ascii="宋体" w:hAnsi="宋体"/>
                <w:color w:val="auto"/>
                <w:szCs w:val="21"/>
              </w:rPr>
              <w:t>供应商未有下列任一情形：</w:t>
            </w:r>
          </w:p>
          <w:p>
            <w:pPr>
              <w:autoSpaceDE w:val="0"/>
              <w:autoSpaceDN w:val="0"/>
              <w:adjustRightInd w:val="0"/>
              <w:snapToGrid w:val="0"/>
              <w:spacing w:line="360" w:lineRule="auto"/>
              <w:rPr>
                <w:rFonts w:hint="eastAsia" w:ascii="宋体" w:hAnsi="宋体"/>
                <w:color w:val="auto"/>
                <w:szCs w:val="21"/>
              </w:rPr>
            </w:pPr>
            <w:r>
              <w:rPr>
                <w:rFonts w:hint="eastAsia" w:ascii="宋体" w:hAnsi="宋体"/>
                <w:color w:val="auto"/>
                <w:szCs w:val="21"/>
              </w:rPr>
              <w:t>（1）不同供应商的响应文件由同一单位或者个人编制；</w:t>
            </w:r>
          </w:p>
          <w:p>
            <w:pPr>
              <w:autoSpaceDE w:val="0"/>
              <w:autoSpaceDN w:val="0"/>
              <w:adjustRightInd w:val="0"/>
              <w:snapToGrid w:val="0"/>
              <w:spacing w:line="360" w:lineRule="auto"/>
              <w:rPr>
                <w:rFonts w:hint="eastAsia" w:ascii="宋体" w:hAnsi="宋体"/>
                <w:color w:val="auto"/>
                <w:szCs w:val="21"/>
              </w:rPr>
            </w:pPr>
            <w:r>
              <w:rPr>
                <w:rFonts w:hint="eastAsia" w:ascii="宋体" w:hAnsi="宋体"/>
                <w:color w:val="auto"/>
                <w:szCs w:val="21"/>
              </w:rPr>
              <w:t>（2）不同供应商委托同一单位或者个人办理投标事宜；</w:t>
            </w:r>
          </w:p>
          <w:p>
            <w:pPr>
              <w:autoSpaceDE w:val="0"/>
              <w:autoSpaceDN w:val="0"/>
              <w:adjustRightInd w:val="0"/>
              <w:snapToGrid w:val="0"/>
              <w:spacing w:line="360" w:lineRule="auto"/>
              <w:rPr>
                <w:rFonts w:hint="eastAsia" w:ascii="宋体" w:hAnsi="宋体"/>
                <w:color w:val="auto"/>
                <w:szCs w:val="21"/>
              </w:rPr>
            </w:pPr>
            <w:r>
              <w:rPr>
                <w:rFonts w:hint="eastAsia" w:ascii="宋体" w:hAnsi="宋体"/>
                <w:color w:val="auto"/>
                <w:szCs w:val="21"/>
              </w:rPr>
              <w:t>（3）不同供应商的响应文件载明的项目管理成员或者联系人员为同一人；</w:t>
            </w:r>
          </w:p>
          <w:p>
            <w:pPr>
              <w:autoSpaceDE w:val="0"/>
              <w:autoSpaceDN w:val="0"/>
              <w:adjustRightInd w:val="0"/>
              <w:snapToGrid w:val="0"/>
              <w:spacing w:line="360" w:lineRule="auto"/>
              <w:rPr>
                <w:rFonts w:hint="eastAsia" w:ascii="宋体" w:hAnsi="宋体"/>
                <w:color w:val="auto"/>
                <w:szCs w:val="21"/>
              </w:rPr>
            </w:pPr>
            <w:r>
              <w:rPr>
                <w:rFonts w:hint="eastAsia" w:ascii="宋体" w:hAnsi="宋体"/>
                <w:color w:val="auto"/>
                <w:szCs w:val="21"/>
              </w:rPr>
              <w:t>（4）不同供应商的响应文件异常一致或者投标报价呈规律性差异；</w:t>
            </w:r>
          </w:p>
          <w:p>
            <w:pPr>
              <w:autoSpaceDE w:val="0"/>
              <w:autoSpaceDN w:val="0"/>
              <w:adjustRightInd w:val="0"/>
              <w:snapToGrid w:val="0"/>
              <w:spacing w:line="360" w:lineRule="auto"/>
              <w:rPr>
                <w:rFonts w:hint="eastAsia" w:ascii="宋体" w:hAnsi="宋体"/>
                <w:color w:val="auto"/>
                <w:szCs w:val="21"/>
              </w:rPr>
            </w:pPr>
            <w:r>
              <w:rPr>
                <w:rFonts w:hint="eastAsia" w:ascii="宋体" w:hAnsi="宋体"/>
                <w:color w:val="auto"/>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6"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2160" w:type="dxa"/>
            <w:vAlign w:val="center"/>
          </w:tcPr>
          <w:p>
            <w:pPr>
              <w:widowControl/>
              <w:spacing w:line="360" w:lineRule="auto"/>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其他要求</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二</w:t>
            </w:r>
            <w:r>
              <w:rPr>
                <w:rFonts w:hint="eastAsia" w:asciiTheme="minorEastAsia" w:hAnsiTheme="minorEastAsia" w:eastAsiaTheme="minorEastAsia" w:cstheme="minorEastAsia"/>
                <w:color w:val="auto"/>
                <w:kern w:val="0"/>
                <w:szCs w:val="21"/>
                <w:lang w:eastAsia="zh-CN"/>
              </w:rPr>
              <w:t>）</w:t>
            </w:r>
          </w:p>
        </w:tc>
        <w:tc>
          <w:tcPr>
            <w:tcW w:w="5671" w:type="dxa"/>
            <w:vAlign w:val="center"/>
          </w:tcPr>
          <w:p>
            <w:pPr>
              <w:widowControl/>
              <w:spacing w:line="360" w:lineRule="auto"/>
              <w:rPr>
                <w:rFonts w:hint="eastAsia" w:asciiTheme="minorEastAsia" w:hAnsiTheme="minorEastAsia" w:eastAsiaTheme="minorEastAsia" w:cstheme="minorEastAsia"/>
                <w:color w:val="auto"/>
                <w:kern w:val="0"/>
                <w:szCs w:val="21"/>
              </w:rPr>
            </w:pPr>
            <w:r>
              <w:rPr>
                <w:rFonts w:hint="eastAsia" w:ascii="宋体" w:hAnsi="宋体" w:cs="宋体"/>
                <w:color w:val="auto"/>
                <w:kern w:val="0"/>
                <w:sz w:val="21"/>
                <w:szCs w:val="21"/>
                <w:lang w:val="en-US" w:eastAsia="zh-CN"/>
              </w:rPr>
              <w:t>磋商</w:t>
            </w:r>
            <w:r>
              <w:rPr>
                <w:rFonts w:hint="eastAsia" w:ascii="宋体" w:hAnsi="宋体" w:cs="宋体"/>
                <w:color w:val="auto"/>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6"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bCs/>
                <w:kern w:val="0"/>
                <w:szCs w:val="21"/>
              </w:rPr>
            </w:pPr>
          </w:p>
        </w:tc>
        <w:tc>
          <w:tcPr>
            <w:tcW w:w="2160" w:type="dxa"/>
            <w:vAlign w:val="center"/>
          </w:tcPr>
          <w:p>
            <w:pPr>
              <w:widowControl/>
              <w:spacing w:line="360" w:lineRule="auto"/>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其他要求（三）（如有）</w:t>
            </w:r>
          </w:p>
        </w:tc>
        <w:tc>
          <w:tcPr>
            <w:tcW w:w="5671" w:type="dxa"/>
            <w:vAlign w:val="center"/>
          </w:tcPr>
          <w:p>
            <w:pPr>
              <w:widowControl/>
              <w:spacing w:line="360" w:lineRule="auto"/>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澄清、说明或者补正等材料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99" w:hRule="atLeast"/>
          <w:jc w:val="center"/>
        </w:trPr>
        <w:tc>
          <w:tcPr>
            <w:tcW w:w="680" w:type="dxa"/>
            <w:vMerge w:val="restart"/>
            <w:vAlign w:val="center"/>
          </w:tcPr>
          <w:p>
            <w:pPr>
              <w:widowControl/>
              <w:spacing w:line="360" w:lineRule="auto"/>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lang w:val="en-US" w:eastAsia="zh-CN"/>
              </w:rPr>
              <w:t>2</w:t>
            </w:r>
          </w:p>
        </w:tc>
        <w:tc>
          <w:tcPr>
            <w:tcW w:w="851" w:type="dxa"/>
            <w:vMerge w:val="restart"/>
            <w:vAlign w:val="center"/>
          </w:tcPr>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2160" w:type="dxa"/>
            <w:vAlign w:val="center"/>
          </w:tcPr>
          <w:p>
            <w:pPr>
              <w:widowControl/>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磋商文件能完整、明确列明采购需求，无需要供应商提供最终设计方案或者解决方案的</w:t>
            </w:r>
          </w:p>
        </w:tc>
        <w:tc>
          <w:tcPr>
            <w:tcW w:w="5671" w:type="dxa"/>
            <w:vAlign w:val="center"/>
          </w:tcPr>
          <w:p>
            <w:pPr>
              <w:widowControl/>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在磋商结束后，磋商小组向所有通过</w:t>
            </w:r>
            <w:r>
              <w:rPr>
                <w:rFonts w:hint="eastAsia" w:asciiTheme="minorEastAsia" w:hAnsiTheme="minorEastAsia" w:eastAsiaTheme="minorEastAsia" w:cstheme="minorEastAsia"/>
                <w:color w:val="auto"/>
                <w:kern w:val="0"/>
                <w:szCs w:val="21"/>
                <w:lang w:val="en-US" w:eastAsia="zh-CN"/>
              </w:rPr>
              <w:t>资格性和符合性审查</w:t>
            </w:r>
            <w:r>
              <w:rPr>
                <w:rFonts w:hint="eastAsia" w:asciiTheme="minorEastAsia" w:hAnsiTheme="minorEastAsia" w:eastAsiaTheme="minorEastAsia" w:cstheme="minorEastAsia"/>
                <w:color w:val="auto"/>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48"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kern w:val="0"/>
                <w:szCs w:val="21"/>
              </w:rPr>
            </w:pPr>
          </w:p>
        </w:tc>
        <w:tc>
          <w:tcPr>
            <w:tcW w:w="2160" w:type="dxa"/>
            <w:vAlign w:val="center"/>
          </w:tcPr>
          <w:p>
            <w:pPr>
              <w:widowControl/>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磋商文件不能完整、明确列明采购需求，需要由供应商提供最终设计方案或者解决方案的</w:t>
            </w:r>
          </w:p>
        </w:tc>
        <w:tc>
          <w:tcPr>
            <w:tcW w:w="5671" w:type="dxa"/>
            <w:vAlign w:val="center"/>
          </w:tcPr>
          <w:p>
            <w:pPr>
              <w:widowControl/>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Align w:val="center"/>
          </w:tcPr>
          <w:p>
            <w:pPr>
              <w:widowControl/>
              <w:spacing w:line="360" w:lineRule="auto"/>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bCs/>
                <w:color w:val="auto"/>
                <w:kern w:val="0"/>
                <w:szCs w:val="21"/>
                <w:lang w:val="en-US" w:eastAsia="zh-CN"/>
              </w:rPr>
              <w:t>3</w:t>
            </w:r>
          </w:p>
        </w:tc>
        <w:tc>
          <w:tcPr>
            <w:tcW w:w="851" w:type="dxa"/>
            <w:vAlign w:val="center"/>
          </w:tcPr>
          <w:p>
            <w:pPr>
              <w:widowControl/>
              <w:spacing w:line="360" w:lineRule="auto"/>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评定</w:t>
            </w:r>
          </w:p>
          <w:p>
            <w:pPr>
              <w:widowControl/>
              <w:spacing w:line="360" w:lineRule="auto"/>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办法</w:t>
            </w:r>
          </w:p>
        </w:tc>
        <w:tc>
          <w:tcPr>
            <w:tcW w:w="2160" w:type="dxa"/>
            <w:vAlign w:val="center"/>
          </w:tcPr>
          <w:p>
            <w:pPr>
              <w:spacing w:line="360" w:lineRule="auto"/>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综合评分法</w:t>
            </w:r>
          </w:p>
        </w:tc>
        <w:tc>
          <w:tcPr>
            <w:tcW w:w="5671" w:type="dxa"/>
            <w:vAlign w:val="center"/>
          </w:tcPr>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spacing w:line="360" w:lineRule="auto"/>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所属行业及</w:t>
            </w:r>
          </w:p>
          <w:p>
            <w:pPr>
              <w:widowControl/>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划型标准</w:t>
            </w:r>
          </w:p>
        </w:tc>
        <w:tc>
          <w:tcPr>
            <w:tcW w:w="7831" w:type="dxa"/>
            <w:gridSpan w:val="2"/>
            <w:vAlign w:val="center"/>
          </w:tcPr>
          <w:p>
            <w:pPr>
              <w:widowControl/>
              <w:spacing w:line="360" w:lineRule="auto"/>
              <w:rPr>
                <w:rFonts w:hint="default"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eastAsiaTheme="minorEastAsia" w:cstheme="minorEastAsia"/>
                <w:color w:val="auto"/>
                <w:kern w:val="0"/>
                <w:szCs w:val="21"/>
                <w:highlight w:val="none"/>
              </w:rPr>
              <w:t>类型：</w:t>
            </w:r>
            <w:r>
              <w:rPr>
                <w:rFonts w:hint="eastAsia" w:asciiTheme="minorEastAsia" w:hAnsiTheme="minorEastAsia" w:eastAsiaTheme="minorEastAsia" w:cstheme="minorEastAsia"/>
                <w:strike w:val="0"/>
                <w:dstrike w:val="0"/>
                <w:color w:val="auto"/>
                <w:kern w:val="0"/>
                <w:szCs w:val="21"/>
                <w:highlight w:val="none"/>
                <w:lang w:val="en-US" w:eastAsia="zh-CN"/>
              </w:rPr>
              <w:t>其他未列明行业</w:t>
            </w:r>
          </w:p>
          <w:p>
            <w:pPr>
              <w:widowControl/>
              <w:spacing w:line="360" w:lineRule="auto"/>
              <w:rPr>
                <w:rFonts w:hint="eastAsia" w:asciiTheme="minorEastAsia" w:hAnsiTheme="minorEastAsia" w:eastAsiaTheme="minorEastAsia" w:cstheme="minorEastAsia"/>
                <w:color w:val="auto"/>
                <w:kern w:val="0"/>
                <w:szCs w:val="21"/>
                <w:highlight w:val="none"/>
                <w:u w:val="single"/>
              </w:rPr>
            </w:pPr>
            <w:r>
              <w:rPr>
                <w:rFonts w:hint="eastAsia" w:asciiTheme="minorEastAsia" w:hAnsiTheme="minorEastAsia" w:eastAsiaTheme="minorEastAsia" w:cstheme="minorEastAsia"/>
                <w:color w:val="auto"/>
                <w:kern w:val="0"/>
                <w:szCs w:val="21"/>
                <w:highlight w:val="none"/>
              </w:rPr>
              <w:t>小型：</w:t>
            </w:r>
            <w:r>
              <w:rPr>
                <w:rFonts w:hint="eastAsia" w:asciiTheme="minorEastAsia" w:hAnsiTheme="minorEastAsia" w:eastAsiaTheme="minorEastAsia" w:cstheme="minorEastAsia"/>
                <w:color w:val="auto"/>
                <w:kern w:val="0"/>
                <w:szCs w:val="21"/>
                <w:highlight w:val="none"/>
                <w:u w:val="none"/>
              </w:rPr>
              <w:t>从业人员</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single"/>
              </w:rPr>
              <w:tab/>
            </w:r>
            <w:r>
              <w:rPr>
                <w:rFonts w:hint="eastAsia" w:asciiTheme="minorEastAsia" w:hAnsiTheme="minorEastAsia" w:eastAsiaTheme="minorEastAsia" w:cstheme="minorEastAsia"/>
                <w:color w:val="auto"/>
                <w:kern w:val="0"/>
                <w:szCs w:val="21"/>
                <w:highlight w:val="none"/>
                <w:u w:val="none"/>
              </w:rPr>
              <w:t>营业收入</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none"/>
              </w:rPr>
              <w:t>资产总额</w:t>
            </w:r>
            <w:r>
              <w:rPr>
                <w:rFonts w:hint="eastAsia" w:asciiTheme="minorEastAsia" w:hAnsiTheme="minorEastAsia" w:eastAsiaTheme="minorEastAsia" w:cstheme="minorEastAsia"/>
                <w:color w:val="auto"/>
                <w:kern w:val="0"/>
                <w:szCs w:val="21"/>
                <w:highlight w:val="none"/>
                <w:u w:val="single"/>
              </w:rPr>
              <w:t xml:space="preserve">     </w:t>
            </w:r>
          </w:p>
          <w:p>
            <w:pPr>
              <w:widowControl/>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微型：</w:t>
            </w:r>
            <w:r>
              <w:rPr>
                <w:rFonts w:hint="eastAsia" w:asciiTheme="minorEastAsia" w:hAnsiTheme="minorEastAsia" w:eastAsiaTheme="minorEastAsia" w:cstheme="minorEastAsia"/>
                <w:color w:val="auto"/>
                <w:kern w:val="0"/>
                <w:szCs w:val="21"/>
                <w:highlight w:val="none"/>
                <w:u w:val="none"/>
              </w:rPr>
              <w:t>从业人员</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single"/>
              </w:rPr>
              <w:tab/>
            </w:r>
            <w:r>
              <w:rPr>
                <w:rFonts w:hint="eastAsia" w:asciiTheme="minorEastAsia" w:hAnsiTheme="minorEastAsia" w:eastAsiaTheme="minorEastAsia" w:cstheme="minorEastAsia"/>
                <w:color w:val="auto"/>
                <w:kern w:val="0"/>
                <w:szCs w:val="21"/>
                <w:highlight w:val="none"/>
                <w:u w:val="none"/>
              </w:rPr>
              <w:t>营业收入</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none"/>
              </w:rPr>
              <w:t>资产总额</w:t>
            </w:r>
            <w:r>
              <w:rPr>
                <w:rFonts w:hint="eastAsia" w:asciiTheme="minorEastAsia" w:hAnsiTheme="minorEastAsia" w:eastAsiaTheme="minorEastAsia" w:cstheme="minorEastAsia"/>
                <w:color w:val="auto"/>
                <w:kern w:val="0"/>
                <w:szCs w:val="21"/>
                <w:highlight w:val="none"/>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如符合工信部联企业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 xml:space="preserve">300号文中对中小企业划型标准的， </w:t>
            </w:r>
            <w:r>
              <w:rPr>
                <w:rFonts w:hint="eastAsia" w:asciiTheme="minorEastAsia" w:hAnsiTheme="minorEastAsia" w:eastAsiaTheme="minorEastAsia" w:cstheme="minorEastAsia"/>
                <w:color w:val="auto"/>
                <w:kern w:val="0"/>
                <w:szCs w:val="21"/>
                <w:lang w:val="en-US" w:eastAsia="zh-CN"/>
              </w:rPr>
              <w:t>可</w:t>
            </w:r>
            <w:r>
              <w:rPr>
                <w:rFonts w:hint="eastAsia" w:asciiTheme="minorEastAsia" w:hAnsiTheme="minorEastAsia" w:eastAsiaTheme="minorEastAsia" w:cstheme="minorEastAsia"/>
                <w:color w:val="auto"/>
                <w:kern w:val="0"/>
                <w:szCs w:val="21"/>
              </w:rPr>
              <w:t>提供本单位的 《中小企业声明函》（格式见第六章）。</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将根据</w:t>
            </w:r>
            <w:r>
              <w:rPr>
                <w:rFonts w:hint="eastAsia" w:asciiTheme="minorEastAsia" w:hAnsiTheme="minorEastAsia" w:eastAsiaTheme="minorEastAsia" w:cstheme="minorEastAsia"/>
                <w:color w:val="auto"/>
                <w:kern w:val="0"/>
                <w:szCs w:val="21"/>
                <w:lang w:val="en-US" w:eastAsia="zh-CN"/>
              </w:rPr>
              <w:t>财库【2020】46号文《政府采购促进中小企业发展管理办法》</w:t>
            </w:r>
            <w:r>
              <w:rPr>
                <w:rFonts w:hint="eastAsia" w:asciiTheme="minorEastAsia" w:hAnsiTheme="minorEastAsia" w:eastAsiaTheme="minorEastAsia" w:cstheme="minorEastAsia"/>
                <w:color w:val="auto"/>
                <w:kern w:val="0"/>
                <w:szCs w:val="21"/>
              </w:rPr>
              <w:t>的相关规定在评定时对小型和微型企业产品的价格给予</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%的扣除后的价格参与评审</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适用于非专门面向中小企业、监狱企业、残疾人福利性的项目</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。大中型企业与小型、微型企业组成联合体共同参加非专门面向中小企业的政府采购活动，且联合体协议中约定小型、微型企业的协议合同金额占到联合体协议合同总金额30%以上的，给予联合体2%的价格扣除。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按照财政部《关于政府采购支持监狱企业发展有关问题的通知》（财库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2014</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属于监狱企业的，在评定时视同中小企业</w:t>
            </w:r>
            <w:r>
              <w:rPr>
                <w:rFonts w:hint="eastAsia" w:asciiTheme="minorEastAsia" w:hAnsiTheme="minorEastAsia" w:eastAsiaTheme="minorEastAsia" w:cstheme="minorEastAsia"/>
                <w:color w:val="auto"/>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按照《三部门联合发布关于促进残疾人就业政府采购政策的通知》（财库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spacing w:line="360" w:lineRule="auto"/>
              <w:jc w:val="center"/>
              <w:rPr>
                <w:rFonts w:hint="eastAsia" w:ascii="宋体" w:hAnsi="宋体" w:cs="宋体"/>
                <w:snapToGrid w:val="0"/>
                <w:color w:val="auto"/>
                <w:kern w:val="0"/>
                <w:szCs w:val="21"/>
                <w:lang w:val="zh-CN"/>
              </w:rPr>
            </w:pPr>
          </w:p>
          <w:p>
            <w:pPr>
              <w:autoSpaceDE w:val="0"/>
              <w:autoSpaceDN w:val="0"/>
              <w:adjustRightInd w:val="0"/>
              <w:spacing w:line="360" w:lineRule="auto"/>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spacing w:line="360" w:lineRule="auto"/>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审核确认供应商投标产品符合以上政府采购政策的，给予该项</w:t>
            </w:r>
            <w:r>
              <w:rPr>
                <w:rFonts w:hint="eastAsia" w:asciiTheme="minorEastAsia" w:hAnsiTheme="minorEastAsia" w:eastAsiaTheme="minorEastAsia" w:cstheme="minorEastAsia"/>
                <w:color w:val="auto"/>
                <w:kern w:val="0"/>
                <w:szCs w:val="21"/>
                <w:lang w:val="en-US" w:eastAsia="zh-CN"/>
              </w:rPr>
              <w:t>竞标</w:t>
            </w:r>
            <w:r>
              <w:rPr>
                <w:rFonts w:hint="eastAsia" w:asciiTheme="minorEastAsia" w:hAnsiTheme="minorEastAsia" w:eastAsiaTheme="minorEastAsia" w:cstheme="minorEastAsia"/>
                <w:color w:val="auto"/>
                <w:kern w:val="0"/>
                <w:szCs w:val="21"/>
              </w:rPr>
              <w:t>产品所占价格的1%的价格扣除，用扣除后的价格参与评审。上述政府采购政策优惠须</w:t>
            </w:r>
            <w:r>
              <w:rPr>
                <w:rFonts w:hint="eastAsia" w:asciiTheme="minorEastAsia" w:hAnsiTheme="minorEastAsia" w:eastAsiaTheme="minorEastAsia" w:cstheme="minorEastAsia"/>
                <w:color w:val="auto"/>
                <w:kern w:val="0"/>
                <w:szCs w:val="21"/>
                <w:lang w:val="en-US" w:eastAsia="zh-CN"/>
              </w:rPr>
              <w:t>经磋商小组</w:t>
            </w:r>
            <w:r>
              <w:rPr>
                <w:rFonts w:hint="eastAsia" w:asciiTheme="minorEastAsia" w:hAnsiTheme="minorEastAsia" w:eastAsiaTheme="minorEastAsia" w:cstheme="minorEastAsia"/>
                <w:color w:val="auto"/>
                <w:kern w:val="0"/>
                <w:szCs w:val="21"/>
              </w:rPr>
              <w:t>评审后执行，未提供单独分项报价或证明资料不全的不给予价格扣除。同一项目包内的节能产品价格扣除只对属于节能产品政府清单内的非强制类产品进行，强制类产品已作为</w:t>
            </w:r>
            <w:r>
              <w:rPr>
                <w:rFonts w:hint="eastAsia" w:asciiTheme="minorEastAsia" w:hAnsiTheme="minorEastAsia" w:eastAsiaTheme="minorEastAsia" w:cstheme="minorEastAsia"/>
                <w:color w:val="auto"/>
                <w:kern w:val="0"/>
                <w:szCs w:val="21"/>
                <w:lang w:val="en-US" w:eastAsia="zh-CN"/>
              </w:rPr>
              <w:t>竞标</w:t>
            </w:r>
            <w:r>
              <w:rPr>
                <w:rFonts w:hint="eastAsia" w:asciiTheme="minorEastAsia" w:hAnsiTheme="minorEastAsia" w:eastAsiaTheme="minorEastAsia" w:cstheme="minorEastAsia"/>
                <w:color w:val="auto"/>
                <w:kern w:val="0"/>
                <w:szCs w:val="21"/>
              </w:rPr>
              <w:t>时强制性要求不再给予价格扣除。同时被认证为节能产品和环境标志产品的不重复享受价格扣除。</w:t>
            </w:r>
          </w:p>
        </w:tc>
      </w:tr>
    </w:tbl>
    <w:p>
      <w:pPr>
        <w:bidi w:val="0"/>
        <w:rPr>
          <w:rFonts w:hint="eastAsia"/>
          <w:lang w:val="en-US" w:eastAsia="zh-CN"/>
        </w:rPr>
      </w:pPr>
      <w:bookmarkStart w:id="107" w:name="_Toc20017"/>
    </w:p>
    <w:p>
      <w:pPr>
        <w:pStyle w:val="13"/>
        <w:rPr>
          <w:rFonts w:hint="eastAsia"/>
          <w:lang w:val="en-US" w:eastAsia="zh-CN"/>
        </w:rPr>
      </w:pPr>
    </w:p>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计算办法</w:t>
      </w:r>
      <w:bookmarkEnd w:id="107"/>
    </w:p>
    <w:tbl>
      <w:tblPr>
        <w:tblStyle w:val="30"/>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szCs w:val="21"/>
        </w:rPr>
      </w:pPr>
    </w:p>
    <w:p>
      <w:pPr>
        <w:spacing w:line="360" w:lineRule="auto"/>
        <w:outlineLvl w:val="1"/>
        <w:rPr>
          <w:rFonts w:hint="eastAsia" w:asciiTheme="minorEastAsia" w:hAnsiTheme="minorEastAsia" w:eastAsiaTheme="minorEastAsia" w:cstheme="minorEastAsia"/>
          <w:b/>
          <w:szCs w:val="21"/>
        </w:rPr>
      </w:pPr>
      <w:bookmarkStart w:id="108" w:name="_Toc5844"/>
      <w:r>
        <w:rPr>
          <w:rFonts w:hint="eastAsia" w:asciiTheme="minorEastAsia" w:hAnsiTheme="minorEastAsia" w:eastAsiaTheme="minorEastAsia" w:cstheme="minorEastAsia"/>
          <w:b/>
          <w:szCs w:val="21"/>
          <w:lang w:val="en-US" w:eastAsia="zh-CN"/>
        </w:rPr>
        <w:t>三、</w:t>
      </w:r>
      <w:r>
        <w:rPr>
          <w:rFonts w:hint="eastAsia" w:asciiTheme="minorEastAsia" w:hAnsiTheme="minorEastAsia" w:eastAsiaTheme="minorEastAsia" w:cstheme="minorEastAsia"/>
          <w:b/>
          <w:szCs w:val="21"/>
        </w:rPr>
        <w:t>评分细则</w:t>
      </w:r>
      <w:bookmarkEnd w:id="108"/>
    </w:p>
    <w:tbl>
      <w:tblPr>
        <w:tblStyle w:val="30"/>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156"/>
        <w:gridCol w:w="6570"/>
        <w:gridCol w:w="8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blHeader/>
        </w:trPr>
        <w:tc>
          <w:tcPr>
            <w:tcW w:w="736" w:type="dxa"/>
            <w:tcBorders>
              <w:top w:val="single" w:color="auto" w:sz="12" w:space="0"/>
            </w:tcBorders>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b/>
                <w:bCs/>
                <w:color w:val="auto"/>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156" w:type="dxa"/>
            <w:tcBorders>
              <w:top w:val="single" w:color="auto" w:sz="12" w:space="0"/>
            </w:tcBorders>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6570" w:type="dxa"/>
            <w:tcBorders>
              <w:top w:val="single" w:color="auto" w:sz="12" w:space="0"/>
            </w:tcBorders>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826" w:type="dxa"/>
            <w:tcBorders>
              <w:top w:val="single" w:color="auto" w:sz="12" w:space="0"/>
            </w:tcBorders>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vAlign w:val="center"/>
          </w:tcPr>
          <w:p>
            <w:pPr>
              <w:keepNext w:val="0"/>
              <w:keepLines w:val="0"/>
              <w:pageBreakBefore w:val="0"/>
              <w:widowControl/>
              <w:kinsoku/>
              <w:wordWrap/>
              <w:overflowPunct/>
              <w:topLinePunct w:val="0"/>
              <w:bidi w:val="0"/>
              <w:snapToGrid/>
              <w:spacing w:line="360" w:lineRule="auto"/>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val="en-US" w:eastAsia="zh-CN" w:bidi="ar"/>
              </w:rPr>
              <w:t>竞标</w:t>
            </w:r>
            <w:r>
              <w:rPr>
                <w:rFonts w:hint="eastAsia" w:ascii="宋体" w:hAnsi="宋体" w:eastAsia="宋体" w:cs="宋体"/>
                <w:color w:val="auto"/>
                <w:kern w:val="0"/>
                <w:sz w:val="21"/>
                <w:szCs w:val="21"/>
                <w:lang w:bidi="ar"/>
              </w:rPr>
              <w:t>报价</w:t>
            </w:r>
          </w:p>
          <w:p>
            <w:pPr>
              <w:keepNext w:val="0"/>
              <w:keepLines w:val="0"/>
              <w:pageBreakBefore w:val="0"/>
              <w:widowControl/>
              <w:kinsoku/>
              <w:wordWrap/>
              <w:overflowPunct/>
              <w:topLinePunct w:val="0"/>
              <w:bidi w:val="0"/>
              <w:snapToGrid/>
              <w:spacing w:line="360" w:lineRule="auto"/>
              <w:jc w:val="center"/>
              <w:textAlignment w:val="center"/>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lang w:val="en-US" w:eastAsia="zh-CN" w:bidi="ar"/>
              </w:rPr>
              <w:t>30</w:t>
            </w:r>
            <w:r>
              <w:rPr>
                <w:rFonts w:hint="eastAsia" w:ascii="宋体" w:hAnsi="宋体" w:eastAsia="宋体" w:cs="宋体"/>
                <w:color w:val="auto"/>
                <w:kern w:val="0"/>
                <w:sz w:val="21"/>
                <w:szCs w:val="21"/>
                <w:lang w:bidi="ar"/>
              </w:rPr>
              <w:t>分</w:t>
            </w:r>
          </w:p>
        </w:tc>
        <w:tc>
          <w:tcPr>
            <w:tcW w:w="1156" w:type="dxa"/>
            <w:vAlign w:val="center"/>
          </w:tcPr>
          <w:p>
            <w:pPr>
              <w:keepNext w:val="0"/>
              <w:keepLines w:val="0"/>
              <w:pageBreakBefore w:val="0"/>
              <w:widowControl/>
              <w:kinsoku/>
              <w:wordWrap/>
              <w:overflowPunct/>
              <w:topLinePunct w:val="0"/>
              <w:bidi w:val="0"/>
              <w:snapToGrid/>
              <w:spacing w:line="360" w:lineRule="auto"/>
              <w:jc w:val="center"/>
              <w:textAlignment w:val="center"/>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lang w:val="en-US" w:eastAsia="zh-CN" w:bidi="ar"/>
              </w:rPr>
              <w:t>最后</w:t>
            </w:r>
            <w:r>
              <w:rPr>
                <w:rFonts w:hint="eastAsia" w:ascii="宋体" w:hAnsi="宋体" w:eastAsia="宋体" w:cs="宋体"/>
                <w:color w:val="auto"/>
                <w:kern w:val="0"/>
                <w:sz w:val="21"/>
                <w:szCs w:val="21"/>
                <w:lang w:bidi="ar"/>
              </w:rPr>
              <w:t>报价</w:t>
            </w:r>
          </w:p>
        </w:tc>
        <w:tc>
          <w:tcPr>
            <w:tcW w:w="6570" w:type="dxa"/>
            <w:vAlign w:val="center"/>
          </w:tcPr>
          <w:p>
            <w:pPr>
              <w:keepNext w:val="0"/>
              <w:keepLines w:val="0"/>
              <w:pageBreakBefore w:val="0"/>
              <w:widowControl/>
              <w:kinsoku/>
              <w:wordWrap/>
              <w:overflowPunct/>
              <w:topLinePunct w:val="0"/>
              <w:bidi w:val="0"/>
              <w:snapToGrid/>
              <w:spacing w:line="360" w:lineRule="auto"/>
              <w:jc w:val="left"/>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报价采用低价优先法计算，即满足</w:t>
            </w: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rPr>
              <w:t>采购文件要求且报价最低的报价为磋商基准价，其报价分为满分</w:t>
            </w:r>
            <w:r>
              <w:rPr>
                <w:rFonts w:hint="eastAsia" w:ascii="宋体" w:hAnsi="宋体" w:eastAsia="宋体" w:cs="宋体"/>
                <w:color w:val="auto"/>
                <w:kern w:val="0"/>
                <w:sz w:val="21"/>
                <w:szCs w:val="21"/>
                <w:lang w:val="en-US" w:eastAsia="zh-CN" w:bidi="ar"/>
              </w:rPr>
              <w:t>30</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p>
          <w:p>
            <w:pPr>
              <w:keepNext w:val="0"/>
              <w:keepLines w:val="0"/>
              <w:pageBreakBefore w:val="0"/>
              <w:widowControl/>
              <w:kinsoku/>
              <w:wordWrap/>
              <w:overflowPunct/>
              <w:topLinePunct w:val="0"/>
              <w:bidi w:val="0"/>
              <w:snapToGrid/>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其他供应商的报价分按照下列公式计算：</w:t>
            </w:r>
          </w:p>
          <w:p>
            <w:pPr>
              <w:keepNext w:val="0"/>
              <w:keepLines w:val="0"/>
              <w:pageBreakBefore w:val="0"/>
              <w:widowControl/>
              <w:kinsoku/>
              <w:wordWrap/>
              <w:overflowPunct/>
              <w:topLinePunct w:val="0"/>
              <w:bidi w:val="0"/>
              <w:snapToGrid/>
              <w:spacing w:line="360" w:lineRule="auto"/>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报价分=（磋商基准价/磋商报价）×</w:t>
            </w:r>
            <w:r>
              <w:rPr>
                <w:rFonts w:hint="eastAsia" w:ascii="宋体" w:hAnsi="宋体" w:eastAsia="宋体" w:cs="宋体"/>
                <w:color w:val="auto"/>
                <w:kern w:val="0"/>
                <w:sz w:val="21"/>
                <w:szCs w:val="21"/>
                <w:lang w:val="en-US" w:eastAsia="zh-CN" w:bidi="ar"/>
              </w:rPr>
              <w:t>30</w:t>
            </w:r>
          </w:p>
          <w:p>
            <w:pPr>
              <w:keepNext w:val="0"/>
              <w:keepLines w:val="0"/>
              <w:pageBreakBefore w:val="0"/>
              <w:widowControl/>
              <w:kinsoku/>
              <w:wordWrap/>
              <w:overflowPunct/>
              <w:topLinePunct w:val="0"/>
              <w:bidi w:val="0"/>
              <w:snapToGrid/>
              <w:spacing w:line="360" w:lineRule="auto"/>
              <w:jc w:val="left"/>
              <w:textAlignment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备注：</w:t>
            </w: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keepNext w:val="0"/>
              <w:keepLines w:val="0"/>
              <w:pageBreakBefore w:val="0"/>
              <w:widowControl/>
              <w:kinsoku/>
              <w:wordWrap/>
              <w:overflowPunct/>
              <w:topLinePunct w:val="0"/>
              <w:bidi w:val="0"/>
              <w:snapToGrid/>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符合本磋商文件第</w:t>
            </w:r>
            <w:r>
              <w:rPr>
                <w:rFonts w:hint="eastAsia" w:ascii="宋体" w:hAnsi="宋体" w:eastAsia="宋体" w:cs="宋体"/>
                <w:b/>
                <w:bCs/>
                <w:color w:val="auto"/>
                <w:sz w:val="21"/>
                <w:szCs w:val="21"/>
                <w:lang w:val="en-US" w:eastAsia="zh-CN"/>
              </w:rPr>
              <w:t>四</w:t>
            </w:r>
            <w:r>
              <w:rPr>
                <w:rFonts w:hint="eastAsia" w:ascii="宋体" w:hAnsi="宋体" w:eastAsia="宋体" w:cs="宋体"/>
                <w:b/>
                <w:bCs/>
                <w:color w:val="auto"/>
                <w:sz w:val="21"/>
                <w:szCs w:val="21"/>
              </w:rPr>
              <w:t>章“政策支持”</w:t>
            </w:r>
            <w:r>
              <w:rPr>
                <w:rFonts w:hint="eastAsia" w:ascii="宋体" w:hAnsi="宋体" w:eastAsia="宋体" w:cs="宋体"/>
                <w:b/>
                <w:bCs/>
                <w:color w:val="auto"/>
                <w:sz w:val="21"/>
                <w:szCs w:val="21"/>
                <w:lang w:val="en-US" w:eastAsia="zh-CN"/>
              </w:rPr>
              <w:t>条件</w:t>
            </w:r>
            <w:r>
              <w:rPr>
                <w:rFonts w:hint="eastAsia" w:ascii="宋体" w:hAnsi="宋体" w:eastAsia="宋体" w:cs="宋体"/>
                <w:b/>
                <w:bCs/>
                <w:color w:val="auto"/>
                <w:sz w:val="21"/>
                <w:szCs w:val="21"/>
              </w:rPr>
              <w:t>的，在评审时予以价格扣除，用扣除后的价格参与评审。</w:t>
            </w:r>
          </w:p>
        </w:tc>
        <w:tc>
          <w:tcPr>
            <w:tcW w:w="826" w:type="dxa"/>
            <w:vAlign w:val="center"/>
          </w:tcPr>
          <w:p>
            <w:pPr>
              <w:keepNext w:val="0"/>
              <w:keepLines w:val="0"/>
              <w:pageBreakBefore w:val="0"/>
              <w:widowControl/>
              <w:kinsoku/>
              <w:wordWrap/>
              <w:overflowPunct/>
              <w:topLinePunct w:val="0"/>
              <w:bidi w:val="0"/>
              <w:snapToGrid/>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30</w:t>
            </w:r>
            <w:r>
              <w:rPr>
                <w:rFonts w:hint="eastAsia" w:ascii="宋体" w:hAnsi="宋体" w:eastAsia="宋体" w:cs="宋体"/>
                <w:color w:val="auto"/>
                <w:kern w:val="0"/>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keepNext w:val="0"/>
              <w:keepLines w:val="0"/>
              <w:pageBreakBefore w:val="0"/>
              <w:kinsoku/>
              <w:wordWrap/>
              <w:overflowPunct/>
              <w:topLinePunct w:val="0"/>
              <w:bidi w:val="0"/>
              <w:snapToGrid/>
              <w:spacing w:line="36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商务34分</w:t>
            </w:r>
          </w:p>
        </w:tc>
        <w:tc>
          <w:tcPr>
            <w:tcW w:w="1156" w:type="dxa"/>
            <w:vMerge w:val="restart"/>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color w:val="auto"/>
                <w:spacing w:val="-6"/>
                <w:kern w:val="0"/>
                <w:sz w:val="21"/>
                <w:szCs w:val="21"/>
              </w:rPr>
            </w:pPr>
            <w:r>
              <w:rPr>
                <w:rFonts w:hint="eastAsia" w:ascii="宋体" w:hAnsi="宋体" w:eastAsia="宋体" w:cs="宋体"/>
                <w:color w:val="auto"/>
                <w:spacing w:val="-6"/>
                <w:kern w:val="0"/>
                <w:sz w:val="21"/>
                <w:szCs w:val="21"/>
                <w:highlight w:val="none"/>
              </w:rPr>
              <w:t>类似业绩</w:t>
            </w:r>
          </w:p>
        </w:tc>
        <w:tc>
          <w:tcPr>
            <w:tcW w:w="6570" w:type="dxa"/>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近三年（磋商截止时间往前推算36个月）具有类似业绩的，每个得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分，最多得</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分；（需提供成交通知书</w:t>
            </w:r>
            <w:r>
              <w:rPr>
                <w:rFonts w:hint="eastAsia" w:ascii="宋体" w:hAnsi="宋体" w:eastAsia="宋体" w:cs="宋体"/>
                <w:color w:val="auto"/>
                <w:sz w:val="21"/>
                <w:szCs w:val="21"/>
                <w:highlight w:val="none"/>
                <w:lang w:val="en-US" w:eastAsia="zh-CN"/>
              </w:rPr>
              <w:t>及</w:t>
            </w:r>
            <w:r>
              <w:rPr>
                <w:rFonts w:hint="eastAsia" w:ascii="宋体" w:hAnsi="宋体" w:eastAsia="宋体" w:cs="宋体"/>
                <w:color w:val="auto"/>
                <w:sz w:val="21"/>
                <w:szCs w:val="21"/>
                <w:highlight w:val="none"/>
              </w:rPr>
              <w:t>合同真彩扫描件）</w:t>
            </w:r>
          </w:p>
        </w:tc>
        <w:tc>
          <w:tcPr>
            <w:tcW w:w="826" w:type="dxa"/>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default" w:ascii="宋体" w:hAnsi="宋体" w:eastAsia="宋体" w:cs="宋体"/>
                <w:color w:val="auto"/>
                <w:spacing w:val="-6"/>
                <w:kern w:val="0"/>
                <w:sz w:val="21"/>
                <w:szCs w:val="21"/>
                <w:lang w:val="en-US" w:eastAsia="zh-CN"/>
              </w:rPr>
            </w:pPr>
            <w:r>
              <w:rPr>
                <w:rFonts w:hint="eastAsia" w:ascii="宋体" w:hAnsi="宋体" w:eastAsia="宋体" w:cs="宋体"/>
                <w:color w:val="auto"/>
                <w:spacing w:val="-6"/>
                <w:kern w:val="0"/>
                <w:sz w:val="21"/>
                <w:szCs w:val="21"/>
                <w:lang w:val="en-US" w:eastAsia="zh-CN"/>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color w:val="auto"/>
                <w:sz w:val="21"/>
                <w:szCs w:val="21"/>
              </w:rPr>
            </w:pPr>
          </w:p>
        </w:tc>
        <w:tc>
          <w:tcPr>
            <w:tcW w:w="1156" w:type="dxa"/>
            <w:vMerge w:val="continue"/>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color w:val="auto"/>
                <w:spacing w:val="-6"/>
                <w:kern w:val="0"/>
                <w:sz w:val="21"/>
                <w:szCs w:val="21"/>
                <w:highlight w:val="none"/>
              </w:rPr>
            </w:pPr>
          </w:p>
        </w:tc>
        <w:tc>
          <w:tcPr>
            <w:tcW w:w="6570" w:type="dxa"/>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近三年（磋商截止时间往前推算36个月）具备的类似户外拓展基地合作管理经验，每</w:t>
            </w:r>
            <w:r>
              <w:rPr>
                <w:rFonts w:hint="eastAsia" w:ascii="宋体" w:hAnsi="宋体" w:eastAsia="宋体" w:cs="宋体"/>
                <w:color w:val="auto"/>
                <w:sz w:val="21"/>
                <w:szCs w:val="21"/>
                <w:highlight w:val="none"/>
                <w:lang w:val="en-US" w:eastAsia="zh-CN"/>
              </w:rPr>
              <w:t>个</w:t>
            </w:r>
            <w:r>
              <w:rPr>
                <w:rFonts w:hint="eastAsia" w:ascii="宋体" w:hAnsi="宋体" w:eastAsia="宋体" w:cs="宋体"/>
                <w:color w:val="auto"/>
                <w:sz w:val="21"/>
                <w:szCs w:val="21"/>
                <w:highlight w:val="none"/>
              </w:rPr>
              <w:t>得1分，最多得</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需提供</w:t>
            </w:r>
            <w:r>
              <w:rPr>
                <w:rFonts w:hint="eastAsia" w:ascii="宋体" w:hAnsi="宋体" w:eastAsia="宋体" w:cs="宋体"/>
                <w:color w:val="auto"/>
                <w:sz w:val="21"/>
                <w:szCs w:val="21"/>
                <w:highlight w:val="none"/>
              </w:rPr>
              <w:t>与对应拓展基地签订的管理合同或中标通知复印件，并加盖供应商公章）</w:t>
            </w:r>
          </w:p>
        </w:tc>
        <w:tc>
          <w:tcPr>
            <w:tcW w:w="826" w:type="dxa"/>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default" w:ascii="宋体" w:hAnsi="宋体" w:eastAsia="宋体" w:cs="宋体"/>
                <w:color w:val="auto"/>
                <w:spacing w:val="-6"/>
                <w:kern w:val="0"/>
                <w:sz w:val="21"/>
                <w:szCs w:val="21"/>
                <w:lang w:val="en-US" w:eastAsia="zh-CN"/>
              </w:rPr>
            </w:pPr>
            <w:r>
              <w:rPr>
                <w:rFonts w:hint="eastAsia" w:ascii="宋体" w:hAnsi="宋体" w:cs="宋体"/>
                <w:color w:val="auto"/>
                <w:spacing w:val="-6"/>
                <w:kern w:val="0"/>
                <w:sz w:val="21"/>
                <w:szCs w:val="21"/>
                <w:lang w:val="en-US" w:eastAsia="zh-CN"/>
              </w:rPr>
              <w:t>6</w:t>
            </w:r>
            <w:r>
              <w:rPr>
                <w:rFonts w:hint="eastAsia" w:ascii="宋体" w:hAnsi="宋体" w:eastAsia="宋体" w:cs="宋体"/>
                <w:color w:val="auto"/>
                <w:spacing w:val="-6"/>
                <w:kern w:val="0"/>
                <w:sz w:val="21"/>
                <w:szCs w:val="21"/>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color w:val="auto"/>
                <w:sz w:val="21"/>
                <w:szCs w:val="21"/>
              </w:rPr>
            </w:pPr>
          </w:p>
        </w:tc>
        <w:tc>
          <w:tcPr>
            <w:tcW w:w="1156" w:type="dxa"/>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z w:val="21"/>
                <w:szCs w:val="21"/>
                <w:lang w:val="zh-CN"/>
              </w:rPr>
              <w:t>用户反馈</w:t>
            </w:r>
          </w:p>
        </w:tc>
        <w:tc>
          <w:tcPr>
            <w:tcW w:w="6570" w:type="dxa"/>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zh-CN"/>
              </w:rPr>
              <w:t>提供近三年（磋商截止时间往前推算36个月）用户出具的满意评价证明（盖用户单位公章），每提供一个得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rPr>
              <w:t>分，最高得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val="zh-CN"/>
              </w:rPr>
              <w:t>分。（需提供不同单位出具加盖公章的满意评价证明）</w:t>
            </w:r>
          </w:p>
        </w:tc>
        <w:tc>
          <w:tcPr>
            <w:tcW w:w="826" w:type="dxa"/>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rPr>
                <w:rFonts w:hint="default" w:ascii="宋体" w:hAnsi="宋体" w:eastAsia="宋体" w:cs="宋体"/>
                <w:color w:val="auto"/>
                <w:spacing w:val="-6"/>
                <w:kern w:val="2"/>
                <w:sz w:val="21"/>
                <w:szCs w:val="21"/>
                <w:lang w:val="en-US" w:eastAsia="zh-CN" w:bidi="ar-SA"/>
              </w:rPr>
            </w:pPr>
            <w:r>
              <w:rPr>
                <w:rFonts w:hint="eastAsia" w:ascii="宋体" w:hAnsi="宋体" w:eastAsia="宋体" w:cs="宋体"/>
                <w:color w:val="auto"/>
                <w:spacing w:val="-6"/>
                <w:sz w:val="21"/>
                <w:szCs w:val="21"/>
                <w:lang w:val="en-US" w:eastAsia="zh-CN"/>
              </w:rPr>
              <w:t xml:space="preserve"> 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color w:val="auto"/>
                <w:sz w:val="21"/>
                <w:szCs w:val="21"/>
              </w:rPr>
            </w:pPr>
          </w:p>
        </w:tc>
        <w:tc>
          <w:tcPr>
            <w:tcW w:w="1156" w:type="dxa"/>
            <w:vMerge w:val="restart"/>
            <w:vAlign w:val="center"/>
          </w:tcPr>
          <w:p>
            <w:pPr>
              <w:keepNext w:val="0"/>
              <w:keepLines w:val="0"/>
              <w:pageBreakBefore w:val="0"/>
              <w:kinsoku/>
              <w:wordWrap/>
              <w:overflowPunct/>
              <w:topLinePunct w:val="0"/>
              <w:bidi w:val="0"/>
              <w:snapToGrid/>
              <w:spacing w:line="360" w:lineRule="auto"/>
              <w:jc w:val="center"/>
              <w:rPr>
                <w:rFonts w:hint="default" w:ascii="宋体" w:hAnsi="宋体" w:eastAsia="宋体" w:cs="宋体"/>
                <w:color w:val="auto"/>
                <w:spacing w:val="-6"/>
                <w:kern w:val="0"/>
                <w:sz w:val="21"/>
                <w:szCs w:val="21"/>
                <w:lang w:val="en-US" w:eastAsia="zh-CN"/>
              </w:rPr>
            </w:pPr>
            <w:r>
              <w:rPr>
                <w:rFonts w:hint="eastAsia" w:ascii="宋体" w:hAnsi="宋体" w:eastAsia="宋体" w:cs="宋体"/>
                <w:color w:val="auto"/>
                <w:spacing w:val="-6"/>
                <w:kern w:val="0"/>
                <w:sz w:val="21"/>
                <w:szCs w:val="21"/>
                <w:lang w:val="en-US" w:eastAsia="zh-CN"/>
              </w:rPr>
              <w:t>师资力量</w:t>
            </w:r>
          </w:p>
        </w:tc>
        <w:tc>
          <w:tcPr>
            <w:tcW w:w="6570" w:type="dxa"/>
            <w:tcBorders>
              <w:bottom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rPr>
                <w:rFonts w:hint="eastAsia" w:ascii="宋体" w:hAnsi="宋体" w:eastAsia="宋体" w:cs="宋体"/>
                <w:color w:val="auto"/>
                <w:spacing w:val="-6"/>
                <w:kern w:val="0"/>
                <w:sz w:val="21"/>
                <w:szCs w:val="21"/>
                <w:lang w:val="en-US" w:eastAsia="zh-CN"/>
              </w:rPr>
            </w:pPr>
            <w:r>
              <w:rPr>
                <w:rFonts w:hint="eastAsia" w:ascii="宋体" w:hAnsi="宋体" w:eastAsia="宋体" w:cs="宋体"/>
                <w:color w:val="auto"/>
                <w:spacing w:val="-6"/>
                <w:kern w:val="0"/>
                <w:sz w:val="21"/>
                <w:szCs w:val="21"/>
              </w:rPr>
              <w:t>供应商拟提供</w:t>
            </w:r>
            <w:r>
              <w:rPr>
                <w:rFonts w:hint="eastAsia" w:ascii="宋体" w:hAnsi="宋体" w:eastAsia="宋体" w:cs="宋体"/>
                <w:color w:val="auto"/>
                <w:spacing w:val="-6"/>
                <w:kern w:val="0"/>
                <w:sz w:val="21"/>
                <w:szCs w:val="21"/>
                <w:lang w:val="en-US" w:eastAsia="zh-CN"/>
              </w:rPr>
              <w:t>的</w:t>
            </w:r>
            <w:r>
              <w:rPr>
                <w:rFonts w:hint="eastAsia" w:ascii="宋体" w:hAnsi="宋体" w:eastAsia="宋体" w:cs="宋体"/>
                <w:color w:val="auto"/>
                <w:spacing w:val="-6"/>
                <w:kern w:val="0"/>
                <w:sz w:val="21"/>
                <w:szCs w:val="21"/>
              </w:rPr>
              <w:t>服务人员具备拓展培训师资质证书的得1分，最高得8分。（需提供相应证明材料）</w:t>
            </w:r>
            <w:r>
              <w:rPr>
                <w:rFonts w:hint="eastAsia" w:ascii="宋体" w:hAnsi="宋体" w:cs="宋体"/>
                <w:color w:val="auto"/>
                <w:spacing w:val="-6"/>
                <w:kern w:val="0"/>
                <w:sz w:val="21"/>
                <w:szCs w:val="21"/>
                <w:lang w:val="en-US" w:eastAsia="zh-CN"/>
              </w:rPr>
              <w:t xml:space="preserve"> </w:t>
            </w:r>
          </w:p>
        </w:tc>
        <w:tc>
          <w:tcPr>
            <w:tcW w:w="826" w:type="dxa"/>
            <w:tcBorders>
              <w:bottom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default" w:ascii="宋体" w:hAnsi="宋体" w:eastAsia="宋体" w:cs="宋体"/>
                <w:color w:val="auto"/>
                <w:spacing w:val="-6"/>
                <w:kern w:val="0"/>
                <w:sz w:val="21"/>
                <w:szCs w:val="21"/>
                <w:lang w:val="en-US" w:eastAsia="zh-CN"/>
              </w:rPr>
            </w:pPr>
            <w:r>
              <w:rPr>
                <w:rFonts w:hint="eastAsia" w:ascii="宋体" w:hAnsi="宋体" w:eastAsia="宋体" w:cs="宋体"/>
                <w:color w:val="auto"/>
                <w:spacing w:val="-6"/>
                <w:kern w:val="0"/>
                <w:sz w:val="21"/>
                <w:szCs w:val="21"/>
                <w:lang w:val="en-US" w:eastAsia="zh-CN"/>
              </w:rPr>
              <w:t>8分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color w:val="auto"/>
                <w:sz w:val="21"/>
                <w:szCs w:val="21"/>
              </w:rPr>
            </w:pPr>
          </w:p>
        </w:tc>
        <w:tc>
          <w:tcPr>
            <w:tcW w:w="1156" w:type="dxa"/>
            <w:vMerge w:val="continue"/>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color w:val="auto"/>
                <w:spacing w:val="-6"/>
                <w:kern w:val="0"/>
                <w:sz w:val="21"/>
                <w:szCs w:val="21"/>
                <w:lang w:val="en-US" w:eastAsia="zh-CN"/>
              </w:rPr>
            </w:pPr>
          </w:p>
        </w:tc>
        <w:tc>
          <w:tcPr>
            <w:tcW w:w="6570" w:type="dxa"/>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rPr>
                <w:rFonts w:hint="eastAsia" w:ascii="宋体" w:hAnsi="宋体" w:eastAsia="宋体" w:cs="宋体"/>
                <w:color w:val="auto"/>
                <w:spacing w:val="-6"/>
                <w:kern w:val="0"/>
                <w:sz w:val="21"/>
                <w:szCs w:val="21"/>
              </w:rPr>
            </w:pPr>
            <w:r>
              <w:rPr>
                <w:rFonts w:hint="eastAsia" w:ascii="宋体" w:hAnsi="宋体" w:eastAsia="宋体" w:cs="宋体"/>
                <w:color w:val="auto"/>
                <w:spacing w:val="-6"/>
                <w:kern w:val="0"/>
                <w:sz w:val="21"/>
                <w:szCs w:val="21"/>
              </w:rPr>
              <w:t>供应商拟提供</w:t>
            </w:r>
            <w:r>
              <w:rPr>
                <w:rFonts w:hint="eastAsia" w:ascii="宋体" w:hAnsi="宋体" w:eastAsia="宋体" w:cs="宋体"/>
                <w:color w:val="auto"/>
                <w:spacing w:val="-6"/>
                <w:kern w:val="0"/>
                <w:sz w:val="21"/>
                <w:szCs w:val="21"/>
                <w:lang w:val="en-US" w:eastAsia="zh-CN"/>
              </w:rPr>
              <w:t>的</w:t>
            </w:r>
            <w:r>
              <w:rPr>
                <w:rFonts w:hint="eastAsia" w:ascii="宋体" w:hAnsi="宋体" w:eastAsia="宋体" w:cs="宋体"/>
                <w:color w:val="auto"/>
                <w:spacing w:val="-6"/>
                <w:kern w:val="0"/>
                <w:sz w:val="21"/>
                <w:szCs w:val="21"/>
              </w:rPr>
              <w:t>主班教练经验丰富，每名培训资质</w:t>
            </w:r>
            <w:r>
              <w:rPr>
                <w:rFonts w:hint="eastAsia" w:ascii="宋体" w:hAnsi="宋体" w:eastAsia="宋体" w:cs="宋体"/>
                <w:color w:val="auto"/>
                <w:spacing w:val="-6"/>
                <w:kern w:val="0"/>
                <w:sz w:val="21"/>
                <w:szCs w:val="21"/>
                <w:lang w:val="en-US" w:eastAsia="zh-CN"/>
              </w:rPr>
              <w:t>具有</w:t>
            </w:r>
            <w:r>
              <w:rPr>
                <w:rFonts w:hint="eastAsia" w:ascii="宋体" w:hAnsi="宋体" w:eastAsia="宋体" w:cs="宋体"/>
                <w:color w:val="auto"/>
                <w:spacing w:val="-6"/>
                <w:kern w:val="0"/>
                <w:sz w:val="21"/>
                <w:szCs w:val="21"/>
              </w:rPr>
              <w:t>3年以上拓展训练经验的得1分，最高得5分。（需提供相应证明材料）</w:t>
            </w:r>
          </w:p>
        </w:tc>
        <w:tc>
          <w:tcPr>
            <w:tcW w:w="826" w:type="dxa"/>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default" w:ascii="宋体" w:hAnsi="宋体" w:eastAsia="宋体" w:cs="宋体"/>
                <w:color w:val="auto"/>
                <w:spacing w:val="-6"/>
                <w:kern w:val="0"/>
                <w:sz w:val="21"/>
                <w:szCs w:val="21"/>
                <w:lang w:val="en-US" w:eastAsia="zh-CN"/>
              </w:rPr>
            </w:pPr>
            <w:r>
              <w:rPr>
                <w:rFonts w:hint="eastAsia" w:ascii="宋体" w:hAnsi="宋体" w:eastAsia="宋体" w:cs="宋体"/>
                <w:color w:val="auto"/>
                <w:spacing w:val="-6"/>
                <w:kern w:val="0"/>
                <w:sz w:val="21"/>
                <w:szCs w:val="21"/>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63" w:hRule="atLeast"/>
        </w:trPr>
        <w:tc>
          <w:tcPr>
            <w:tcW w:w="736" w:type="dxa"/>
            <w:vMerge w:val="restart"/>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技术服务</w:t>
            </w:r>
          </w:p>
          <w:p>
            <w:pPr>
              <w:keepNext w:val="0"/>
              <w:keepLines w:val="0"/>
              <w:pageBreakBefore w:val="0"/>
              <w:kinsoku/>
              <w:wordWrap/>
              <w:overflowPunct/>
              <w:topLinePunct w:val="0"/>
              <w:bidi w:val="0"/>
              <w:snapToGrid/>
              <w:spacing w:line="360" w:lineRule="auto"/>
              <w:jc w:val="center"/>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lang w:val="en-US" w:eastAsia="zh-CN"/>
              </w:rPr>
              <w:t>3</w:t>
            </w:r>
            <w:r>
              <w:rPr>
                <w:rFonts w:hint="eastAsia" w:ascii="宋体" w:hAnsi="宋体" w:cs="宋体"/>
                <w:color w:val="auto"/>
                <w:spacing w:val="-6"/>
                <w:sz w:val="21"/>
                <w:szCs w:val="21"/>
                <w:lang w:val="en-US" w:eastAsia="zh-CN"/>
              </w:rPr>
              <w:t>6</w:t>
            </w:r>
            <w:r>
              <w:rPr>
                <w:rFonts w:hint="eastAsia" w:ascii="宋体" w:hAnsi="宋体" w:eastAsia="宋体" w:cs="宋体"/>
                <w:color w:val="auto"/>
                <w:spacing w:val="-6"/>
                <w:sz w:val="21"/>
                <w:szCs w:val="21"/>
              </w:rPr>
              <w:t>分</w:t>
            </w:r>
          </w:p>
        </w:tc>
        <w:tc>
          <w:tcPr>
            <w:tcW w:w="1156" w:type="dxa"/>
            <w:vAlign w:val="center"/>
          </w:tcPr>
          <w:p>
            <w:pPr>
              <w:keepNext w:val="0"/>
              <w:keepLines w:val="0"/>
              <w:pageBreakBefore w:val="0"/>
              <w:widowControl/>
              <w:kinsoku/>
              <w:wordWrap/>
              <w:overflowPunct/>
              <w:topLinePunct w:val="0"/>
              <w:bidi w:val="0"/>
              <w:snapToGrid/>
              <w:spacing w:line="360" w:lineRule="auto"/>
              <w:jc w:val="center"/>
              <w:rPr>
                <w:rFonts w:hint="eastAsia" w:ascii="宋体" w:hAnsi="宋体" w:eastAsia="宋体" w:cs="宋体"/>
                <w:color w:val="auto"/>
                <w:spacing w:val="-6"/>
                <w:kern w:val="2"/>
                <w:sz w:val="21"/>
                <w:szCs w:val="21"/>
                <w:lang w:val="en-US" w:eastAsia="zh-CN" w:bidi="ar-SA"/>
              </w:rPr>
            </w:pPr>
            <w:r>
              <w:rPr>
                <w:rFonts w:hint="eastAsia" w:ascii="宋体" w:hAnsi="宋体" w:eastAsia="宋体" w:cs="宋体"/>
                <w:bCs/>
                <w:color w:val="auto"/>
                <w:sz w:val="21"/>
                <w:szCs w:val="21"/>
              </w:rPr>
              <w:t>重、难点分析及对策措施</w:t>
            </w:r>
          </w:p>
        </w:tc>
        <w:tc>
          <w:tcPr>
            <w:tcW w:w="6570" w:type="dxa"/>
            <w:vAlign w:val="center"/>
          </w:tcPr>
          <w:p>
            <w:pPr>
              <w:keepNext w:val="0"/>
              <w:keepLines w:val="0"/>
              <w:pageBreakBefore w:val="0"/>
              <w:widowControl/>
              <w:kinsoku/>
              <w:wordWrap/>
              <w:overflowPunct/>
              <w:topLinePunct w:val="0"/>
              <w:bidi w:val="0"/>
              <w:snapToGrid/>
              <w:spacing w:line="360" w:lineRule="auto"/>
              <w:jc w:val="left"/>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根据供应商</w:t>
            </w:r>
            <w:r>
              <w:rPr>
                <w:rFonts w:hint="eastAsia" w:ascii="宋体" w:hAnsi="宋体" w:eastAsia="宋体" w:cs="宋体"/>
                <w:bCs/>
                <w:color w:val="auto"/>
                <w:sz w:val="21"/>
                <w:szCs w:val="21"/>
              </w:rPr>
              <w:t>对项目</w:t>
            </w:r>
            <w:r>
              <w:rPr>
                <w:rFonts w:hint="eastAsia" w:ascii="宋体" w:hAnsi="宋体" w:eastAsia="宋体" w:cs="宋体"/>
                <w:bCs/>
                <w:color w:val="auto"/>
                <w:sz w:val="21"/>
                <w:szCs w:val="21"/>
                <w:lang w:val="en-US" w:eastAsia="zh-CN"/>
              </w:rPr>
              <w:t>服务</w:t>
            </w:r>
            <w:r>
              <w:rPr>
                <w:rFonts w:hint="eastAsia" w:ascii="宋体" w:hAnsi="宋体" w:eastAsia="宋体" w:cs="宋体"/>
                <w:bCs/>
                <w:color w:val="auto"/>
                <w:sz w:val="21"/>
                <w:szCs w:val="21"/>
              </w:rPr>
              <w:t>实施方案中工作重点和难点分析及对策措施</w:t>
            </w:r>
            <w:r>
              <w:rPr>
                <w:rFonts w:hint="eastAsia" w:ascii="宋体" w:hAnsi="宋体" w:eastAsia="宋体" w:cs="宋体"/>
                <w:bCs/>
                <w:color w:val="auto"/>
                <w:sz w:val="21"/>
                <w:szCs w:val="21"/>
                <w:lang w:val="en-US" w:eastAsia="zh-CN"/>
              </w:rPr>
              <w:t>方案</w:t>
            </w:r>
            <w:r>
              <w:rPr>
                <w:rFonts w:hint="eastAsia" w:ascii="宋体" w:hAnsi="宋体" w:eastAsia="宋体" w:cs="宋体"/>
                <w:bCs/>
                <w:color w:val="auto"/>
                <w:sz w:val="21"/>
                <w:szCs w:val="21"/>
              </w:rPr>
              <w:t>进行</w:t>
            </w:r>
            <w:r>
              <w:rPr>
                <w:rFonts w:hint="eastAsia" w:ascii="宋体" w:hAnsi="宋体" w:eastAsia="宋体" w:cs="宋体"/>
                <w:bCs/>
                <w:color w:val="auto"/>
                <w:sz w:val="21"/>
                <w:szCs w:val="21"/>
                <w:lang w:val="en-US" w:eastAsia="zh-CN"/>
              </w:rPr>
              <w:t>综合</w:t>
            </w:r>
            <w:r>
              <w:rPr>
                <w:rFonts w:hint="eastAsia" w:ascii="宋体" w:hAnsi="宋体" w:eastAsia="宋体" w:cs="宋体"/>
                <w:bCs/>
                <w:color w:val="auto"/>
                <w:sz w:val="21"/>
                <w:szCs w:val="21"/>
              </w:rPr>
              <w:t>评分：</w:t>
            </w:r>
          </w:p>
          <w:p>
            <w:pPr>
              <w:keepNext w:val="0"/>
              <w:keepLines w:val="0"/>
              <w:pageBreakBefore w:val="0"/>
              <w:widowControl/>
              <w:kinsoku/>
              <w:wordWrap/>
              <w:overflowPunct/>
              <w:topLinePunct w:val="0"/>
              <w:bidi w:val="0"/>
              <w:snapToGrid/>
              <w:spacing w:line="360" w:lineRule="auto"/>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科学、合理，针对性强，</w:t>
            </w:r>
            <w:r>
              <w:rPr>
                <w:rFonts w:hint="eastAsia" w:ascii="宋体" w:hAnsi="宋体" w:cs="宋体"/>
                <w:color w:val="auto"/>
                <w:kern w:val="0"/>
                <w:sz w:val="21"/>
                <w:szCs w:val="21"/>
                <w:lang w:val="en-US" w:eastAsia="zh-CN"/>
              </w:rPr>
              <w:t>6</w:t>
            </w:r>
            <w:r>
              <w:rPr>
                <w:rFonts w:hint="eastAsia" w:ascii="宋体" w:hAnsi="宋体" w:eastAsia="宋体" w:cs="宋体"/>
                <w:color w:val="auto"/>
                <w:kern w:val="0"/>
                <w:sz w:val="21"/>
                <w:szCs w:val="21"/>
              </w:rPr>
              <w:t>分；</w:t>
            </w:r>
          </w:p>
          <w:p>
            <w:pPr>
              <w:keepNext w:val="0"/>
              <w:keepLines w:val="0"/>
              <w:pageBreakBefore w:val="0"/>
              <w:widowControl/>
              <w:kinsoku/>
              <w:wordWrap/>
              <w:overflowPunct/>
              <w:topLinePunct w:val="0"/>
              <w:bidi w:val="0"/>
              <w:snapToGrid/>
              <w:spacing w:line="360" w:lineRule="auto"/>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合理，可行，</w:t>
            </w:r>
            <w:r>
              <w:rPr>
                <w:rFonts w:hint="eastAsia" w:ascii="宋体" w:hAnsi="宋体" w:cs="宋体"/>
                <w:color w:val="auto"/>
                <w:kern w:val="0"/>
                <w:sz w:val="21"/>
                <w:szCs w:val="21"/>
                <w:lang w:val="en-US" w:eastAsia="zh-CN"/>
              </w:rPr>
              <w:t>4</w:t>
            </w:r>
            <w:r>
              <w:rPr>
                <w:rFonts w:hint="eastAsia" w:ascii="宋体" w:hAnsi="宋体" w:eastAsia="宋体" w:cs="宋体"/>
                <w:color w:val="auto"/>
                <w:kern w:val="0"/>
                <w:sz w:val="21"/>
                <w:szCs w:val="21"/>
              </w:rPr>
              <w:t>分；</w:t>
            </w:r>
          </w:p>
          <w:p>
            <w:pPr>
              <w:keepNext w:val="0"/>
              <w:keepLines w:val="0"/>
              <w:pageBreakBefore w:val="0"/>
              <w:widowControl/>
              <w:kinsoku/>
              <w:wordWrap/>
              <w:overflowPunct/>
              <w:topLinePunct w:val="0"/>
              <w:bidi w:val="0"/>
              <w:snapToGrid/>
              <w:spacing w:line="360" w:lineRule="auto"/>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欠合理，基本可行，</w:t>
            </w:r>
            <w:r>
              <w:rPr>
                <w:rFonts w:hint="eastAsia" w:ascii="宋体" w:hAnsi="宋体" w:cs="宋体"/>
                <w:color w:val="auto"/>
                <w:kern w:val="0"/>
                <w:sz w:val="21"/>
                <w:szCs w:val="21"/>
                <w:lang w:val="en-US" w:eastAsia="zh-CN"/>
              </w:rPr>
              <w:t>2</w:t>
            </w:r>
            <w:r>
              <w:rPr>
                <w:rFonts w:hint="eastAsia" w:ascii="宋体" w:hAnsi="宋体" w:eastAsia="宋体" w:cs="宋体"/>
                <w:color w:val="auto"/>
                <w:kern w:val="0"/>
                <w:sz w:val="21"/>
                <w:szCs w:val="21"/>
              </w:rPr>
              <w:t>分；</w:t>
            </w:r>
          </w:p>
          <w:p>
            <w:pPr>
              <w:keepNext w:val="0"/>
              <w:keepLines w:val="0"/>
              <w:pageBreakBefore w:val="0"/>
              <w:widowControl/>
              <w:kinsoku/>
              <w:wordWrap/>
              <w:overflowPunct/>
              <w:topLinePunct w:val="0"/>
              <w:bidi w:val="0"/>
              <w:snapToGrid/>
              <w:spacing w:line="360" w:lineRule="auto"/>
              <w:jc w:val="left"/>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kern w:val="0"/>
                <w:sz w:val="21"/>
                <w:szCs w:val="21"/>
              </w:rPr>
              <w:t>不可行，0 分。</w:t>
            </w:r>
          </w:p>
        </w:tc>
        <w:tc>
          <w:tcPr>
            <w:tcW w:w="826" w:type="dxa"/>
            <w:vAlign w:val="center"/>
          </w:tcPr>
          <w:p>
            <w:pPr>
              <w:keepNext w:val="0"/>
              <w:keepLines w:val="0"/>
              <w:pageBreakBefore w:val="0"/>
              <w:kinsoku/>
              <w:wordWrap/>
              <w:overflowPunct/>
              <w:topLinePunct w:val="0"/>
              <w:bidi w:val="0"/>
              <w:snapToGrid/>
              <w:spacing w:line="360" w:lineRule="auto"/>
              <w:ind w:left="-4" w:leftChars="-2" w:firstLine="1" w:firstLineChars="1"/>
              <w:jc w:val="center"/>
              <w:rPr>
                <w:rFonts w:hint="eastAsia" w:ascii="宋体" w:hAnsi="宋体" w:eastAsia="宋体" w:cs="宋体"/>
                <w:color w:val="auto"/>
                <w:sz w:val="21"/>
                <w:szCs w:val="21"/>
              </w:rPr>
            </w:pPr>
            <w:r>
              <w:rPr>
                <w:rFonts w:hint="eastAsia" w:ascii="宋体" w:hAnsi="宋体" w:cs="宋体"/>
                <w:color w:val="auto"/>
                <w:spacing w:val="-6"/>
                <w:sz w:val="21"/>
                <w:szCs w:val="21"/>
                <w:lang w:val="en-US" w:eastAsia="zh-CN"/>
              </w:rPr>
              <w:t>6</w:t>
            </w:r>
            <w:r>
              <w:rPr>
                <w:rFonts w:hint="eastAsia" w:ascii="宋体" w:hAnsi="宋体" w:eastAsia="宋体" w:cs="宋体"/>
                <w:color w:val="auto"/>
                <w:spacing w:val="-6"/>
                <w:sz w:val="21"/>
                <w:szCs w:val="21"/>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spacing w:line="360" w:lineRule="auto"/>
              <w:ind w:left="-4" w:leftChars="-2" w:firstLine="2" w:firstLineChars="1"/>
              <w:rPr>
                <w:rFonts w:hint="eastAsia" w:ascii="宋体" w:hAnsi="宋体" w:eastAsia="宋体" w:cs="宋体"/>
                <w:color w:val="auto"/>
                <w:sz w:val="21"/>
                <w:szCs w:val="21"/>
              </w:rPr>
            </w:pPr>
          </w:p>
        </w:tc>
        <w:tc>
          <w:tcPr>
            <w:tcW w:w="1156" w:type="dxa"/>
            <w:vAlign w:val="center"/>
          </w:tcPr>
          <w:p>
            <w:pPr>
              <w:keepNext w:val="0"/>
              <w:keepLines w:val="0"/>
              <w:pageBreakBefore w:val="0"/>
              <w:widowControl/>
              <w:kinsoku/>
              <w:wordWrap/>
              <w:overflowPunct/>
              <w:topLinePunct w:val="0"/>
              <w:bidi w:val="0"/>
              <w:snapToGrid/>
              <w:spacing w:line="360" w:lineRule="auto"/>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服务人员配备</w:t>
            </w:r>
          </w:p>
        </w:tc>
        <w:tc>
          <w:tcPr>
            <w:tcW w:w="6570" w:type="dxa"/>
            <w:vAlign w:val="center"/>
          </w:tcPr>
          <w:p>
            <w:pPr>
              <w:keepNext w:val="0"/>
              <w:keepLines w:val="0"/>
              <w:pageBreakBefore w:val="0"/>
              <w:widowControl/>
              <w:kinsoku/>
              <w:wordWrap/>
              <w:overflowPunct/>
              <w:topLinePunct w:val="0"/>
              <w:bidi w:val="0"/>
              <w:snapToGrid/>
              <w:spacing w:line="360" w:lineRule="auto"/>
              <w:jc w:val="left"/>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根据供应商提供的人员配备实施方案</w:t>
            </w:r>
            <w:r>
              <w:rPr>
                <w:rFonts w:hint="eastAsia" w:ascii="宋体" w:hAnsi="宋体" w:eastAsia="宋体" w:cs="宋体"/>
                <w:bCs/>
                <w:color w:val="auto"/>
                <w:sz w:val="21"/>
                <w:szCs w:val="21"/>
              </w:rPr>
              <w:t>进行</w:t>
            </w:r>
            <w:r>
              <w:rPr>
                <w:rFonts w:hint="eastAsia" w:ascii="宋体" w:hAnsi="宋体" w:eastAsia="宋体" w:cs="宋体"/>
                <w:bCs/>
                <w:color w:val="auto"/>
                <w:sz w:val="21"/>
                <w:szCs w:val="21"/>
                <w:lang w:val="en-US" w:eastAsia="zh-CN"/>
              </w:rPr>
              <w:t>综合</w:t>
            </w:r>
            <w:r>
              <w:rPr>
                <w:rFonts w:hint="eastAsia" w:ascii="宋体" w:hAnsi="宋体" w:eastAsia="宋体" w:cs="宋体"/>
                <w:bCs/>
                <w:color w:val="auto"/>
                <w:sz w:val="21"/>
                <w:szCs w:val="21"/>
              </w:rPr>
              <w:t>评分：</w:t>
            </w:r>
          </w:p>
          <w:p>
            <w:pPr>
              <w:keepNext w:val="0"/>
              <w:keepLines w:val="0"/>
              <w:pageBreakBefore w:val="0"/>
              <w:widowControl/>
              <w:kinsoku/>
              <w:wordWrap/>
              <w:overflowPunct/>
              <w:topLinePunct w:val="0"/>
              <w:bidi w:val="0"/>
              <w:snapToGrid/>
              <w:spacing w:line="360" w:lineRule="auto"/>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科学、合理，针对性强，</w:t>
            </w:r>
            <w:r>
              <w:rPr>
                <w:rFonts w:hint="eastAsia" w:ascii="宋体" w:hAnsi="宋体" w:cs="宋体"/>
                <w:color w:val="auto"/>
                <w:kern w:val="0"/>
                <w:sz w:val="21"/>
                <w:szCs w:val="21"/>
                <w:lang w:val="en-US" w:eastAsia="zh-CN"/>
              </w:rPr>
              <w:t>6</w:t>
            </w:r>
            <w:r>
              <w:rPr>
                <w:rFonts w:hint="eastAsia" w:ascii="宋体" w:hAnsi="宋体" w:eastAsia="宋体" w:cs="宋体"/>
                <w:color w:val="auto"/>
                <w:kern w:val="0"/>
                <w:sz w:val="21"/>
                <w:szCs w:val="21"/>
              </w:rPr>
              <w:t>分；</w:t>
            </w:r>
          </w:p>
          <w:p>
            <w:pPr>
              <w:keepNext w:val="0"/>
              <w:keepLines w:val="0"/>
              <w:pageBreakBefore w:val="0"/>
              <w:widowControl/>
              <w:kinsoku/>
              <w:wordWrap/>
              <w:overflowPunct/>
              <w:topLinePunct w:val="0"/>
              <w:bidi w:val="0"/>
              <w:snapToGrid/>
              <w:spacing w:line="360" w:lineRule="auto"/>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合理，可行，</w:t>
            </w:r>
            <w:r>
              <w:rPr>
                <w:rFonts w:hint="eastAsia" w:ascii="宋体" w:hAnsi="宋体" w:cs="宋体"/>
                <w:color w:val="auto"/>
                <w:kern w:val="0"/>
                <w:sz w:val="21"/>
                <w:szCs w:val="21"/>
                <w:lang w:val="en-US" w:eastAsia="zh-CN"/>
              </w:rPr>
              <w:t>4</w:t>
            </w:r>
            <w:r>
              <w:rPr>
                <w:rFonts w:hint="eastAsia" w:ascii="宋体" w:hAnsi="宋体" w:eastAsia="宋体" w:cs="宋体"/>
                <w:color w:val="auto"/>
                <w:kern w:val="0"/>
                <w:sz w:val="21"/>
                <w:szCs w:val="21"/>
              </w:rPr>
              <w:t>分；</w:t>
            </w:r>
          </w:p>
          <w:p>
            <w:pPr>
              <w:keepNext w:val="0"/>
              <w:keepLines w:val="0"/>
              <w:pageBreakBefore w:val="0"/>
              <w:widowControl/>
              <w:kinsoku/>
              <w:wordWrap/>
              <w:overflowPunct/>
              <w:topLinePunct w:val="0"/>
              <w:bidi w:val="0"/>
              <w:snapToGrid/>
              <w:spacing w:line="360" w:lineRule="auto"/>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欠合理，基本可行，</w:t>
            </w:r>
            <w:r>
              <w:rPr>
                <w:rFonts w:hint="eastAsia" w:ascii="宋体" w:hAnsi="宋体" w:cs="宋体"/>
                <w:color w:val="auto"/>
                <w:kern w:val="0"/>
                <w:sz w:val="21"/>
                <w:szCs w:val="21"/>
                <w:lang w:val="en-US" w:eastAsia="zh-CN"/>
              </w:rPr>
              <w:t>2</w:t>
            </w:r>
            <w:r>
              <w:rPr>
                <w:rFonts w:hint="eastAsia" w:ascii="宋体" w:hAnsi="宋体" w:eastAsia="宋体" w:cs="宋体"/>
                <w:color w:val="auto"/>
                <w:kern w:val="0"/>
                <w:sz w:val="21"/>
                <w:szCs w:val="21"/>
              </w:rPr>
              <w:t>分；</w:t>
            </w:r>
          </w:p>
          <w:p>
            <w:pPr>
              <w:keepNext w:val="0"/>
              <w:keepLines w:val="0"/>
              <w:pageBreakBefore w:val="0"/>
              <w:widowControl/>
              <w:kinsoku/>
              <w:wordWrap/>
              <w:overflowPunct/>
              <w:topLinePunct w:val="0"/>
              <w:bidi w:val="0"/>
              <w:snapToGrid/>
              <w:spacing w:line="360" w:lineRule="auto"/>
              <w:jc w:val="left"/>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kern w:val="0"/>
                <w:sz w:val="21"/>
                <w:szCs w:val="21"/>
              </w:rPr>
              <w:t>不可行，0 分。</w:t>
            </w:r>
          </w:p>
        </w:tc>
        <w:tc>
          <w:tcPr>
            <w:tcW w:w="826" w:type="dxa"/>
            <w:vAlign w:val="center"/>
          </w:tcPr>
          <w:p>
            <w:pPr>
              <w:keepNext w:val="0"/>
              <w:keepLines w:val="0"/>
              <w:pageBreakBefore w:val="0"/>
              <w:kinsoku/>
              <w:wordWrap/>
              <w:overflowPunct/>
              <w:topLinePunct w:val="0"/>
              <w:bidi w:val="0"/>
              <w:snapToGrid/>
              <w:spacing w:line="360" w:lineRule="auto"/>
              <w:ind w:left="-4" w:leftChars="-2" w:firstLine="1" w:firstLineChars="1"/>
              <w:jc w:val="center"/>
              <w:rPr>
                <w:rFonts w:hint="eastAsia" w:ascii="宋体" w:hAnsi="宋体" w:eastAsia="宋体" w:cs="宋体"/>
                <w:color w:val="auto"/>
                <w:sz w:val="21"/>
                <w:szCs w:val="21"/>
              </w:rPr>
            </w:pPr>
            <w:r>
              <w:rPr>
                <w:rFonts w:hint="eastAsia" w:ascii="宋体" w:hAnsi="宋体" w:cs="宋体"/>
                <w:color w:val="auto"/>
                <w:spacing w:val="-6"/>
                <w:sz w:val="21"/>
                <w:szCs w:val="21"/>
                <w:lang w:val="en-US" w:eastAsia="zh-CN"/>
              </w:rPr>
              <w:t>6</w:t>
            </w:r>
            <w:r>
              <w:rPr>
                <w:rFonts w:hint="eastAsia" w:ascii="宋体" w:hAnsi="宋体" w:eastAsia="宋体" w:cs="宋体"/>
                <w:color w:val="auto"/>
                <w:spacing w:val="-6"/>
                <w:sz w:val="21"/>
                <w:szCs w:val="21"/>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spacing w:line="360" w:lineRule="auto"/>
              <w:ind w:left="-4" w:leftChars="-2" w:firstLine="2" w:firstLineChars="1"/>
              <w:rPr>
                <w:rFonts w:hint="eastAsia" w:ascii="宋体" w:hAnsi="宋体" w:eastAsia="宋体" w:cs="宋体"/>
                <w:color w:val="auto"/>
                <w:sz w:val="21"/>
                <w:szCs w:val="21"/>
              </w:rPr>
            </w:pPr>
          </w:p>
        </w:tc>
        <w:tc>
          <w:tcPr>
            <w:tcW w:w="1156" w:type="dxa"/>
            <w:vAlign w:val="center"/>
          </w:tcPr>
          <w:p>
            <w:pPr>
              <w:spacing w:line="360" w:lineRule="auto"/>
              <w:jc w:val="center"/>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z w:val="21"/>
                <w:szCs w:val="21"/>
                <w:lang w:val="zh-CN"/>
              </w:rPr>
              <w:t>安全保障</w:t>
            </w:r>
          </w:p>
        </w:tc>
        <w:tc>
          <w:tcPr>
            <w:tcW w:w="6570" w:type="dxa"/>
            <w:vAlign w:val="center"/>
          </w:tcPr>
          <w:p>
            <w:pPr>
              <w:spacing w:line="360" w:lineRule="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rPr>
              <w:t>根据</w:t>
            </w:r>
            <w:r>
              <w:rPr>
                <w:rFonts w:hint="eastAsia" w:ascii="宋体" w:hAnsi="宋体" w:eastAsia="宋体" w:cs="宋体"/>
                <w:color w:val="auto"/>
                <w:sz w:val="21"/>
                <w:szCs w:val="21"/>
                <w:lang w:val="zh-CN" w:eastAsia="zh-CN"/>
              </w:rPr>
              <w:t>供应商</w:t>
            </w:r>
            <w:r>
              <w:rPr>
                <w:rFonts w:hint="eastAsia" w:ascii="宋体" w:hAnsi="宋体" w:eastAsia="宋体" w:cs="宋体"/>
                <w:color w:val="auto"/>
                <w:sz w:val="21"/>
                <w:szCs w:val="21"/>
                <w:lang w:val="zh-CN"/>
              </w:rPr>
              <w:t>承诺并明示的安全保障措施</w:t>
            </w:r>
            <w:r>
              <w:rPr>
                <w:rFonts w:hint="eastAsia" w:ascii="宋体" w:hAnsi="宋体" w:eastAsia="宋体" w:cs="宋体"/>
                <w:bCs/>
                <w:color w:val="auto"/>
                <w:sz w:val="21"/>
                <w:szCs w:val="21"/>
              </w:rPr>
              <w:t>进行</w:t>
            </w:r>
            <w:r>
              <w:rPr>
                <w:rFonts w:hint="eastAsia" w:ascii="宋体" w:hAnsi="宋体" w:eastAsia="宋体" w:cs="宋体"/>
                <w:bCs/>
                <w:color w:val="auto"/>
                <w:sz w:val="21"/>
                <w:szCs w:val="21"/>
                <w:lang w:val="en-US" w:eastAsia="zh-CN"/>
              </w:rPr>
              <w:t>综合</w:t>
            </w:r>
            <w:r>
              <w:rPr>
                <w:rFonts w:hint="eastAsia" w:ascii="宋体" w:hAnsi="宋体" w:eastAsia="宋体" w:cs="宋体"/>
                <w:bCs/>
                <w:color w:val="auto"/>
                <w:sz w:val="21"/>
                <w:szCs w:val="21"/>
              </w:rPr>
              <w:t>评分</w:t>
            </w:r>
            <w:r>
              <w:rPr>
                <w:rFonts w:hint="eastAsia" w:ascii="宋体" w:hAnsi="宋体" w:eastAsia="宋体" w:cs="宋体"/>
                <w:color w:val="auto"/>
                <w:sz w:val="21"/>
                <w:szCs w:val="21"/>
                <w:lang w:val="zh-CN" w:eastAsia="zh-CN"/>
              </w:rPr>
              <w:t>：</w:t>
            </w:r>
          </w:p>
          <w:p>
            <w:pPr>
              <w:spacing w:line="360" w:lineRule="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eastAsia="zh-CN"/>
              </w:rPr>
              <w:t>安全方案提供全面、科学、</w:t>
            </w:r>
            <w:r>
              <w:rPr>
                <w:rFonts w:hint="eastAsia" w:ascii="宋体" w:hAnsi="宋体" w:eastAsia="宋体" w:cs="宋体"/>
                <w:color w:val="auto"/>
                <w:sz w:val="21"/>
                <w:szCs w:val="21"/>
                <w:lang w:val="zh-CN"/>
              </w:rPr>
              <w:t>对意外事故干预得当</w:t>
            </w:r>
            <w:r>
              <w:rPr>
                <w:rFonts w:hint="eastAsia" w:ascii="宋体" w:hAnsi="宋体" w:eastAsia="宋体" w:cs="宋体"/>
                <w:color w:val="auto"/>
                <w:sz w:val="21"/>
                <w:szCs w:val="21"/>
                <w:lang w:val="zh-CN" w:eastAsia="zh-CN"/>
              </w:rPr>
              <w:t>的</w:t>
            </w:r>
            <w:r>
              <w:rPr>
                <w:rFonts w:hint="eastAsia" w:ascii="宋体" w:hAnsi="宋体" w:eastAsia="宋体" w:cs="宋体"/>
                <w:color w:val="auto"/>
                <w:sz w:val="21"/>
                <w:szCs w:val="21"/>
                <w:lang w:val="zh-CN"/>
              </w:rPr>
              <w:t>得</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val="zh-CN"/>
              </w:rPr>
              <w:t>分；</w:t>
            </w:r>
          </w:p>
          <w:p>
            <w:pPr>
              <w:spacing w:line="360" w:lineRule="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eastAsia="zh-CN"/>
              </w:rPr>
              <w:t>安全方案提供合理的得</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val="zh-CN"/>
              </w:rPr>
              <w:t>分；</w:t>
            </w:r>
          </w:p>
          <w:p>
            <w:pPr>
              <w:spacing w:line="360" w:lineRule="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eastAsia="zh-CN"/>
              </w:rPr>
              <w:t>安全方案提供稍有瑕疵的</w:t>
            </w:r>
            <w:r>
              <w:rPr>
                <w:rFonts w:hint="eastAsia" w:ascii="宋体" w:hAnsi="宋体" w:eastAsia="宋体" w:cs="宋体"/>
                <w:color w:val="auto"/>
                <w:sz w:val="21"/>
                <w:szCs w:val="21"/>
                <w:lang w:val="zh-CN"/>
              </w:rPr>
              <w:t>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zh-CN"/>
              </w:rPr>
              <w:t>分；</w:t>
            </w:r>
          </w:p>
          <w:p>
            <w:pPr>
              <w:spacing w:line="360" w:lineRule="auto"/>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z w:val="21"/>
                <w:szCs w:val="21"/>
                <w:lang w:val="zh-CN" w:eastAsia="zh-CN"/>
              </w:rPr>
              <w:t>未提供方案不得分。</w:t>
            </w:r>
          </w:p>
        </w:tc>
        <w:tc>
          <w:tcPr>
            <w:tcW w:w="826"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spacing w:line="360" w:lineRule="auto"/>
              <w:ind w:left="-4" w:leftChars="-2" w:firstLine="2" w:firstLineChars="1"/>
              <w:rPr>
                <w:rFonts w:hint="eastAsia" w:ascii="宋体" w:hAnsi="宋体" w:eastAsia="宋体" w:cs="宋体"/>
                <w:color w:val="auto"/>
                <w:sz w:val="21"/>
                <w:szCs w:val="21"/>
              </w:rPr>
            </w:pPr>
          </w:p>
        </w:tc>
        <w:tc>
          <w:tcPr>
            <w:tcW w:w="1156" w:type="dxa"/>
            <w:vAlign w:val="center"/>
          </w:tcPr>
          <w:p>
            <w:pPr>
              <w:spacing w:line="360" w:lineRule="auto"/>
              <w:jc w:val="center"/>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z w:val="21"/>
                <w:szCs w:val="21"/>
                <w:lang w:val="zh-CN"/>
              </w:rPr>
              <w:t>场地管理及维护</w:t>
            </w:r>
          </w:p>
        </w:tc>
        <w:tc>
          <w:tcPr>
            <w:tcW w:w="6570" w:type="dxa"/>
            <w:vAlign w:val="center"/>
          </w:tcPr>
          <w:p>
            <w:pPr>
              <w:spacing w:line="360" w:lineRule="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rPr>
              <w:t>根据</w:t>
            </w:r>
            <w:r>
              <w:rPr>
                <w:rFonts w:hint="eastAsia" w:ascii="宋体" w:hAnsi="宋体" w:eastAsia="宋体" w:cs="宋体"/>
                <w:color w:val="auto"/>
                <w:sz w:val="21"/>
                <w:szCs w:val="21"/>
                <w:lang w:val="zh-CN" w:eastAsia="zh-CN"/>
              </w:rPr>
              <w:t>供应商</w:t>
            </w:r>
            <w:r>
              <w:rPr>
                <w:rFonts w:hint="eastAsia" w:ascii="宋体" w:hAnsi="宋体" w:eastAsia="宋体" w:cs="宋体"/>
                <w:color w:val="auto"/>
                <w:sz w:val="21"/>
                <w:szCs w:val="21"/>
                <w:lang w:val="zh-CN"/>
              </w:rPr>
              <w:t>承诺并明示的场地管理方案合理性</w:t>
            </w:r>
            <w:r>
              <w:rPr>
                <w:rFonts w:hint="eastAsia" w:ascii="宋体" w:hAnsi="宋体" w:eastAsia="宋体" w:cs="宋体"/>
                <w:bCs/>
                <w:color w:val="auto"/>
                <w:sz w:val="21"/>
                <w:szCs w:val="21"/>
              </w:rPr>
              <w:t>进行</w:t>
            </w:r>
            <w:r>
              <w:rPr>
                <w:rFonts w:hint="eastAsia" w:ascii="宋体" w:hAnsi="宋体" w:eastAsia="宋体" w:cs="宋体"/>
                <w:bCs/>
                <w:color w:val="auto"/>
                <w:sz w:val="21"/>
                <w:szCs w:val="21"/>
                <w:lang w:val="en-US" w:eastAsia="zh-CN"/>
              </w:rPr>
              <w:t>综合</w:t>
            </w:r>
            <w:r>
              <w:rPr>
                <w:rFonts w:hint="eastAsia" w:ascii="宋体" w:hAnsi="宋体" w:eastAsia="宋体" w:cs="宋体"/>
                <w:bCs/>
                <w:color w:val="auto"/>
                <w:sz w:val="21"/>
                <w:szCs w:val="21"/>
              </w:rPr>
              <w:t>评分</w:t>
            </w:r>
            <w:r>
              <w:rPr>
                <w:rFonts w:hint="eastAsia" w:ascii="宋体" w:hAnsi="宋体" w:eastAsia="宋体" w:cs="宋体"/>
                <w:bCs/>
                <w:color w:val="auto"/>
                <w:sz w:val="21"/>
                <w:szCs w:val="21"/>
                <w:lang w:eastAsia="zh-CN"/>
              </w:rPr>
              <w:t>：</w:t>
            </w:r>
          </w:p>
          <w:p>
            <w:pPr>
              <w:spacing w:line="360" w:lineRule="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eastAsia="zh-CN"/>
              </w:rPr>
              <w:t>方案提供</w:t>
            </w:r>
            <w:r>
              <w:rPr>
                <w:rFonts w:hint="eastAsia" w:ascii="宋体" w:hAnsi="宋体" w:eastAsia="宋体" w:cs="宋体"/>
                <w:color w:val="auto"/>
                <w:sz w:val="21"/>
                <w:szCs w:val="21"/>
                <w:lang w:val="zh-CN"/>
              </w:rPr>
              <w:t>定期维护场地、出现问题反应迅速、措施得当</w:t>
            </w:r>
            <w:r>
              <w:rPr>
                <w:rFonts w:hint="eastAsia" w:ascii="宋体" w:hAnsi="宋体" w:eastAsia="宋体" w:cs="宋体"/>
                <w:color w:val="auto"/>
                <w:sz w:val="21"/>
                <w:szCs w:val="21"/>
                <w:lang w:val="zh-CN" w:eastAsia="zh-CN"/>
              </w:rPr>
              <w:t>的</w:t>
            </w:r>
            <w:r>
              <w:rPr>
                <w:rFonts w:hint="eastAsia" w:ascii="宋体" w:hAnsi="宋体" w:eastAsia="宋体" w:cs="宋体"/>
                <w:color w:val="auto"/>
                <w:sz w:val="21"/>
                <w:szCs w:val="21"/>
                <w:lang w:val="zh-CN"/>
              </w:rPr>
              <w:t>得</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val="zh-CN"/>
              </w:rPr>
              <w:t>分；</w:t>
            </w:r>
          </w:p>
          <w:p>
            <w:pPr>
              <w:spacing w:line="360" w:lineRule="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eastAsia="zh-CN"/>
              </w:rPr>
              <w:t>方案提供合理但不够完善的得</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val="zh-CN"/>
              </w:rPr>
              <w:t>分；</w:t>
            </w:r>
          </w:p>
          <w:p>
            <w:pPr>
              <w:spacing w:line="360" w:lineRule="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eastAsia="zh-CN"/>
              </w:rPr>
              <w:t>方案提供的有瑕疵的</w:t>
            </w:r>
            <w:r>
              <w:rPr>
                <w:rFonts w:hint="eastAsia" w:ascii="宋体" w:hAnsi="宋体" w:eastAsia="宋体" w:cs="宋体"/>
                <w:color w:val="auto"/>
                <w:sz w:val="21"/>
                <w:szCs w:val="21"/>
                <w:lang w:val="zh-CN"/>
              </w:rPr>
              <w:t>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zh-CN"/>
              </w:rPr>
              <w:t>分；</w:t>
            </w:r>
          </w:p>
          <w:p>
            <w:pPr>
              <w:spacing w:line="360" w:lineRule="auto"/>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z w:val="21"/>
                <w:szCs w:val="21"/>
                <w:lang w:val="zh-CN" w:eastAsia="zh-CN"/>
              </w:rPr>
              <w:t>未提供方案不得分。</w:t>
            </w:r>
          </w:p>
        </w:tc>
        <w:tc>
          <w:tcPr>
            <w:tcW w:w="826"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spacing w:line="360" w:lineRule="auto"/>
              <w:ind w:left="-4" w:leftChars="-2" w:firstLine="2" w:firstLineChars="1"/>
              <w:rPr>
                <w:rFonts w:hint="eastAsia" w:ascii="宋体" w:hAnsi="宋体" w:eastAsia="宋体" w:cs="宋体"/>
                <w:color w:val="auto"/>
                <w:sz w:val="21"/>
                <w:szCs w:val="21"/>
              </w:rPr>
            </w:pPr>
          </w:p>
        </w:tc>
        <w:tc>
          <w:tcPr>
            <w:tcW w:w="1156" w:type="dxa"/>
            <w:vAlign w:val="center"/>
          </w:tcPr>
          <w:p>
            <w:pPr>
              <w:spacing w:line="360" w:lineRule="auto"/>
              <w:jc w:val="center"/>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z w:val="21"/>
                <w:szCs w:val="21"/>
                <w:lang w:val="zh-CN" w:eastAsia="zh-CN"/>
              </w:rPr>
              <w:t>活动方案</w:t>
            </w:r>
          </w:p>
        </w:tc>
        <w:tc>
          <w:tcPr>
            <w:tcW w:w="6570" w:type="dxa"/>
            <w:vAlign w:val="center"/>
          </w:tcPr>
          <w:p>
            <w:pPr>
              <w:spacing w:line="360" w:lineRule="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根据供应商编写的活动教学方案（含备选方案）</w:t>
            </w:r>
            <w:r>
              <w:rPr>
                <w:rFonts w:hint="eastAsia" w:ascii="宋体" w:hAnsi="宋体" w:eastAsia="宋体" w:cs="宋体"/>
                <w:bCs/>
                <w:color w:val="auto"/>
                <w:sz w:val="21"/>
                <w:szCs w:val="21"/>
              </w:rPr>
              <w:t>进行</w:t>
            </w:r>
            <w:r>
              <w:rPr>
                <w:rFonts w:hint="eastAsia" w:ascii="宋体" w:hAnsi="宋体" w:eastAsia="宋体" w:cs="宋体"/>
                <w:bCs/>
                <w:color w:val="auto"/>
                <w:sz w:val="21"/>
                <w:szCs w:val="21"/>
                <w:lang w:val="en-US" w:eastAsia="zh-CN"/>
              </w:rPr>
              <w:t>综合</w:t>
            </w:r>
            <w:r>
              <w:rPr>
                <w:rFonts w:hint="eastAsia" w:ascii="宋体" w:hAnsi="宋体" w:eastAsia="宋体" w:cs="宋体"/>
                <w:bCs/>
                <w:color w:val="auto"/>
                <w:sz w:val="21"/>
                <w:szCs w:val="21"/>
              </w:rPr>
              <w:t>评分</w:t>
            </w:r>
            <w:r>
              <w:rPr>
                <w:rFonts w:hint="eastAsia" w:ascii="宋体" w:hAnsi="宋体" w:eastAsia="宋体" w:cs="宋体"/>
                <w:bCs/>
                <w:color w:val="auto"/>
                <w:sz w:val="21"/>
                <w:szCs w:val="21"/>
                <w:lang w:eastAsia="zh-CN"/>
              </w:rPr>
              <w:t>：</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zh-CN" w:eastAsia="zh-CN"/>
              </w:rPr>
              <w:t>方案（含备选方案）有创新、有针对性的得</w:t>
            </w:r>
            <w:r>
              <w:rPr>
                <w:rFonts w:hint="eastAsia" w:ascii="宋体" w:hAnsi="宋体" w:eastAsia="宋体" w:cs="宋体"/>
                <w:color w:val="auto"/>
                <w:sz w:val="21"/>
                <w:szCs w:val="21"/>
                <w:lang w:val="en-US" w:eastAsia="zh-CN"/>
              </w:rPr>
              <w:t>6分；</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方案</w:t>
            </w:r>
            <w:r>
              <w:rPr>
                <w:rFonts w:hint="eastAsia" w:ascii="宋体" w:hAnsi="宋体" w:eastAsia="宋体" w:cs="宋体"/>
                <w:color w:val="auto"/>
                <w:sz w:val="21"/>
                <w:szCs w:val="21"/>
                <w:lang w:val="zh-CN" w:eastAsia="zh-CN"/>
              </w:rPr>
              <w:t>（含备选方案）</w:t>
            </w:r>
            <w:r>
              <w:rPr>
                <w:rFonts w:hint="eastAsia" w:ascii="宋体" w:hAnsi="宋体" w:eastAsia="宋体" w:cs="宋体"/>
                <w:color w:val="auto"/>
                <w:sz w:val="21"/>
                <w:szCs w:val="21"/>
                <w:lang w:val="en-US" w:eastAsia="zh-CN"/>
              </w:rPr>
              <w:t>合理，能满足教学要求的得4分；</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方案</w:t>
            </w:r>
            <w:r>
              <w:rPr>
                <w:rFonts w:hint="eastAsia" w:ascii="宋体" w:hAnsi="宋体" w:eastAsia="宋体" w:cs="宋体"/>
                <w:color w:val="auto"/>
                <w:sz w:val="21"/>
                <w:szCs w:val="21"/>
                <w:lang w:val="zh-CN" w:eastAsia="zh-CN"/>
              </w:rPr>
              <w:t>（含备选方案）</w:t>
            </w:r>
            <w:r>
              <w:rPr>
                <w:rFonts w:hint="eastAsia" w:ascii="宋体" w:hAnsi="宋体" w:eastAsia="宋体" w:cs="宋体"/>
                <w:color w:val="auto"/>
                <w:sz w:val="21"/>
                <w:szCs w:val="21"/>
                <w:lang w:val="en-US" w:eastAsia="zh-CN"/>
              </w:rPr>
              <w:t>有瑕疵的得2分；</w:t>
            </w:r>
          </w:p>
          <w:p>
            <w:pPr>
              <w:spacing w:line="360" w:lineRule="auto"/>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z w:val="21"/>
                <w:szCs w:val="21"/>
                <w:lang w:val="en-US" w:eastAsia="zh-CN"/>
              </w:rPr>
              <w:t>未提供方案的不得分。</w:t>
            </w:r>
          </w:p>
        </w:tc>
        <w:tc>
          <w:tcPr>
            <w:tcW w:w="826"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spacing w:line="360" w:lineRule="auto"/>
              <w:ind w:left="-4" w:leftChars="-2" w:firstLine="2" w:firstLineChars="1"/>
              <w:rPr>
                <w:rFonts w:hint="eastAsia" w:ascii="宋体" w:hAnsi="宋体" w:eastAsia="宋体" w:cs="宋体"/>
                <w:color w:val="auto"/>
                <w:sz w:val="21"/>
                <w:szCs w:val="21"/>
              </w:rPr>
            </w:pPr>
          </w:p>
        </w:tc>
        <w:tc>
          <w:tcPr>
            <w:tcW w:w="1156" w:type="dxa"/>
            <w:vAlign w:val="center"/>
          </w:tcPr>
          <w:p>
            <w:pPr>
              <w:spacing w:line="360" w:lineRule="auto"/>
              <w:jc w:val="center"/>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z w:val="21"/>
                <w:szCs w:val="21"/>
                <w:lang w:val="zh-CN" w:eastAsia="zh-CN"/>
              </w:rPr>
              <w:t>提供耗材</w:t>
            </w:r>
          </w:p>
        </w:tc>
        <w:tc>
          <w:tcPr>
            <w:tcW w:w="6570" w:type="dxa"/>
            <w:vAlign w:val="center"/>
          </w:tcPr>
          <w:p>
            <w:pPr>
              <w:spacing w:line="360" w:lineRule="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根据供应商编写的活动方案（含备选方案）所提供的耗材</w:t>
            </w:r>
            <w:r>
              <w:rPr>
                <w:rFonts w:hint="eastAsia" w:ascii="宋体" w:hAnsi="宋体" w:eastAsia="宋体" w:cs="宋体"/>
                <w:bCs/>
                <w:color w:val="auto"/>
                <w:sz w:val="21"/>
                <w:szCs w:val="21"/>
              </w:rPr>
              <w:t>进行</w:t>
            </w:r>
            <w:r>
              <w:rPr>
                <w:rFonts w:hint="eastAsia" w:ascii="宋体" w:hAnsi="宋体" w:eastAsia="宋体" w:cs="宋体"/>
                <w:bCs/>
                <w:color w:val="auto"/>
                <w:sz w:val="21"/>
                <w:szCs w:val="21"/>
                <w:lang w:val="en-US" w:eastAsia="zh-CN"/>
              </w:rPr>
              <w:t>综合</w:t>
            </w:r>
            <w:r>
              <w:rPr>
                <w:rFonts w:hint="eastAsia" w:ascii="宋体" w:hAnsi="宋体" w:eastAsia="宋体" w:cs="宋体"/>
                <w:bCs/>
                <w:color w:val="auto"/>
                <w:sz w:val="21"/>
                <w:szCs w:val="21"/>
              </w:rPr>
              <w:t>评分</w:t>
            </w:r>
            <w:r>
              <w:rPr>
                <w:rFonts w:hint="eastAsia" w:ascii="宋体" w:hAnsi="宋体" w:eastAsia="宋体" w:cs="宋体"/>
                <w:bCs/>
                <w:color w:val="auto"/>
                <w:sz w:val="21"/>
                <w:szCs w:val="21"/>
                <w:lang w:eastAsia="zh-CN"/>
              </w:rPr>
              <w:t>：</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zh-CN" w:eastAsia="zh-CN"/>
              </w:rPr>
              <w:t>耗材齐全，针对活动方案所需的得</w:t>
            </w:r>
            <w:r>
              <w:rPr>
                <w:rFonts w:hint="eastAsia" w:ascii="宋体" w:hAnsi="宋体" w:eastAsia="宋体" w:cs="宋体"/>
                <w:color w:val="auto"/>
                <w:sz w:val="21"/>
                <w:szCs w:val="21"/>
                <w:lang w:val="en-US" w:eastAsia="zh-CN"/>
              </w:rPr>
              <w:t>6分；</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耗材基本保证活动所需的得4分；</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耗材提供不齐全的得2分；</w:t>
            </w:r>
          </w:p>
          <w:p>
            <w:pPr>
              <w:spacing w:line="360" w:lineRule="auto"/>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z w:val="21"/>
                <w:szCs w:val="21"/>
                <w:lang w:val="en-US" w:eastAsia="zh-CN"/>
              </w:rPr>
              <w:t>未提供耗材的不得分。</w:t>
            </w:r>
          </w:p>
        </w:tc>
        <w:tc>
          <w:tcPr>
            <w:tcW w:w="826"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总分</w:t>
            </w:r>
          </w:p>
        </w:tc>
        <w:tc>
          <w:tcPr>
            <w:tcW w:w="8552" w:type="dxa"/>
            <w:gridSpan w:val="3"/>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lang w:val="en-US" w:eastAsia="zh-CN"/>
              </w:rPr>
              <w:t>100</w:t>
            </w:r>
          </w:p>
        </w:tc>
      </w:tr>
    </w:tbl>
    <w:p>
      <w:pPr>
        <w:spacing w:line="360" w:lineRule="auto"/>
        <w:outlineLvl w:val="9"/>
        <w:rPr>
          <w:rFonts w:hint="eastAsia" w:asciiTheme="minorEastAsia" w:hAnsiTheme="minorEastAsia" w:eastAsiaTheme="minorEastAsia" w:cstheme="minorEastAsia"/>
          <w:b/>
          <w:szCs w:val="21"/>
          <w:lang w:val="en-US" w:eastAsia="zh-CN"/>
        </w:rPr>
      </w:pPr>
      <w:bookmarkStart w:id="109" w:name="_Toc16832"/>
    </w:p>
    <w:p>
      <w:pPr>
        <w:pStyle w:val="13"/>
        <w:rPr>
          <w:rFonts w:hint="eastAsia"/>
          <w:lang w:val="en-US" w:eastAsia="zh-CN"/>
        </w:rPr>
      </w:pPr>
    </w:p>
    <w:p>
      <w:pPr>
        <w:spacing w:line="360" w:lineRule="auto"/>
        <w:outlineLvl w:val="9"/>
        <w:rPr>
          <w:rFonts w:hint="eastAsia" w:asciiTheme="minorEastAsia" w:hAnsiTheme="minorEastAsia" w:eastAsiaTheme="minorEastAsia" w:cstheme="minorEastAsia"/>
          <w:b/>
          <w:szCs w:val="21"/>
          <w:lang w:val="en-US" w:eastAsia="zh-CN"/>
        </w:rPr>
      </w:pPr>
      <w:r>
        <w:rPr>
          <w:rFonts w:hint="eastAsia" w:asciiTheme="minorEastAsia" w:hAnsiTheme="minorEastAsia" w:eastAsiaTheme="minorEastAsia" w:cstheme="minorEastAsia"/>
          <w:b/>
          <w:szCs w:val="21"/>
          <w:lang w:val="en-US" w:eastAsia="zh-CN"/>
        </w:rPr>
        <w:t>注：上述类似业绩证明材料是否具有类似性以及其符合性均由磋商小组判定，如果资料不全或经磋商小组认定不具有类似性的，该项业绩不计分，并由磋商小组在评审报告中记录详细原因。</w:t>
      </w:r>
    </w:p>
    <w:p>
      <w:pPr>
        <w:bidi w:val="0"/>
        <w:rPr>
          <w:rFonts w:hint="eastAsia"/>
          <w:lang w:val="en-US" w:eastAsia="zh-CN"/>
        </w:rPr>
      </w:pPr>
    </w:p>
    <w:p>
      <w:pPr>
        <w:pStyle w:val="13"/>
        <w:rPr>
          <w:rFonts w:hint="eastAsia"/>
          <w:lang w:val="en-US" w:eastAsia="zh-CN"/>
        </w:rPr>
      </w:pPr>
    </w:p>
    <w:p>
      <w:pPr>
        <w:pStyle w:val="13"/>
        <w:rPr>
          <w:rFonts w:hint="eastAsia"/>
          <w:lang w:val="en-US" w:eastAsia="zh-CN"/>
        </w:rPr>
      </w:pPr>
    </w:p>
    <w:p>
      <w:pPr>
        <w:pStyle w:val="13"/>
        <w:rPr>
          <w:rFonts w:hint="eastAsia"/>
          <w:lang w:val="en-US" w:eastAsia="zh-CN"/>
        </w:rPr>
      </w:pPr>
    </w:p>
    <w:p>
      <w:pPr>
        <w:pStyle w:val="13"/>
        <w:rPr>
          <w:rFonts w:hint="eastAsia"/>
          <w:lang w:val="en-US" w:eastAsia="zh-CN"/>
        </w:rPr>
      </w:pPr>
    </w:p>
    <w:p>
      <w:pPr>
        <w:pStyle w:val="13"/>
        <w:rPr>
          <w:rFonts w:hint="eastAsia"/>
          <w:lang w:val="en-US" w:eastAsia="zh-CN"/>
        </w:rPr>
      </w:pPr>
    </w:p>
    <w:p>
      <w:pPr>
        <w:pStyle w:val="13"/>
        <w:rPr>
          <w:rFonts w:hint="eastAsia"/>
          <w:lang w:val="en-US" w:eastAsia="zh-CN"/>
        </w:rPr>
      </w:pPr>
    </w:p>
    <w:p>
      <w:pPr>
        <w:rPr>
          <w:rFonts w:hint="eastAsia" w:asciiTheme="minorEastAsia" w:hAnsiTheme="minorEastAsia" w:eastAsiaTheme="minorEastAsia" w:cstheme="minorEastAsia"/>
          <w:b/>
          <w:szCs w:val="21"/>
          <w:lang w:val="en-US" w:eastAsia="zh-CN"/>
        </w:rPr>
      </w:pPr>
      <w:r>
        <w:rPr>
          <w:rFonts w:hint="eastAsia" w:asciiTheme="minorEastAsia" w:hAnsiTheme="minorEastAsia" w:eastAsiaTheme="minorEastAsia" w:cstheme="minorEastAsia"/>
          <w:b/>
          <w:szCs w:val="21"/>
          <w:lang w:val="en-US" w:eastAsia="zh-CN"/>
        </w:rPr>
        <w:br w:type="page"/>
      </w:r>
    </w:p>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四、</w:t>
      </w:r>
      <w:r>
        <w:rPr>
          <w:rFonts w:hint="eastAsia" w:asciiTheme="minorEastAsia" w:hAnsiTheme="minorEastAsia" w:eastAsiaTheme="minorEastAsia" w:cstheme="minorEastAsia"/>
          <w:b/>
          <w:szCs w:val="21"/>
        </w:rPr>
        <w:t>评定办法</w:t>
      </w:r>
      <w:bookmarkEnd w:id="109"/>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2.1 分值构成</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 评标基准价计算</w:t>
      </w:r>
    </w:p>
    <w:p>
      <w:pPr>
        <w:spacing w:line="360" w:lineRule="auto"/>
        <w:ind w:firstLine="840" w:firstLineChars="4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 评分标准</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3.2</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pPr>
    </w:p>
    <w:p>
      <w:pPr>
        <w:outlineLvl w:val="9"/>
      </w:pPr>
    </w:p>
    <w:p>
      <w:pPr>
        <w:outlineLvl w:val="9"/>
      </w:pPr>
    </w:p>
    <w:p>
      <w:pPr>
        <w:outlineLvl w:val="9"/>
      </w:pPr>
    </w:p>
    <w:p>
      <w:pPr>
        <w:spacing w:line="360" w:lineRule="auto"/>
        <w:outlineLvl w:val="1"/>
        <w:rPr>
          <w:rFonts w:hint="eastAsia" w:asciiTheme="minorEastAsia" w:hAnsiTheme="minorEastAsia" w:eastAsiaTheme="minorEastAsia" w:cstheme="minorEastAsia"/>
          <w:b/>
          <w:szCs w:val="21"/>
          <w:lang w:val="en-US" w:eastAsia="zh-CN"/>
        </w:rPr>
      </w:pPr>
      <w:bookmarkStart w:id="110" w:name="_Toc12017"/>
      <w:r>
        <w:rPr>
          <w:rFonts w:hint="eastAsia" w:asciiTheme="minorEastAsia" w:hAnsiTheme="minorEastAsia" w:eastAsiaTheme="minorEastAsia" w:cstheme="minorEastAsia"/>
          <w:b/>
          <w:szCs w:val="21"/>
          <w:lang w:val="en-US" w:eastAsia="zh-CN"/>
        </w:rPr>
        <w:t>五、磋商及评审步骤</w:t>
      </w:r>
      <w:bookmarkEnd w:id="110"/>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w:t>
      </w:r>
      <w:r>
        <w:rPr>
          <w:rFonts w:hint="eastAsia" w:asciiTheme="minorEastAsia" w:hAnsiTheme="minorEastAsia" w:eastAsiaTheme="minorEastAsia" w:cstheme="minorEastAsia"/>
          <w:szCs w:val="28"/>
          <w:lang w:val="en-US" w:eastAsia="zh-CN"/>
        </w:rPr>
        <w:t>响应文件</w:t>
      </w:r>
      <w:r>
        <w:rPr>
          <w:rFonts w:hint="eastAsia" w:asciiTheme="minorEastAsia" w:hAnsiTheme="minorEastAsia" w:eastAsiaTheme="minorEastAsia" w:cstheme="minorEastAsia"/>
          <w:szCs w:val="28"/>
        </w:rPr>
        <w:t>密封检查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2.1</w:t>
      </w:r>
      <w:r>
        <w:rPr>
          <w:rFonts w:hint="eastAsia" w:asciiTheme="minorEastAsia" w:hAnsiTheme="minorEastAsia" w:eastAsiaTheme="minorEastAsia" w:cstheme="minorEastAsia"/>
          <w:szCs w:val="28"/>
          <w:lang w:val="en-US" w:eastAsia="zh-CN"/>
        </w:rPr>
        <w:t xml:space="preserve"> </w:t>
      </w:r>
      <w:r>
        <w:rPr>
          <w:rFonts w:hint="eastAsia" w:asciiTheme="minorEastAsia" w:hAnsiTheme="minorEastAsia" w:eastAsiaTheme="minorEastAsia" w:cstheme="minorEastAsia"/>
          <w:szCs w:val="28"/>
        </w:rPr>
        <w:t>磋商小组审查每份响应文件是否实质上响应了采购文件的要求。磋商小组决定其是否响应只根据响应文件本身的内容，而不依据外部的证据，但响应文件有不真实不正确的内容时除外。</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w:t>
      </w:r>
      <w:r>
        <w:rPr>
          <w:rFonts w:hint="eastAsia" w:asciiTheme="minorEastAsia" w:hAnsiTheme="minorEastAsia" w:eastAsiaTheme="minorEastAsia" w:cstheme="minorEastAsia"/>
          <w:color w:val="auto"/>
          <w:szCs w:val="28"/>
        </w:rPr>
        <w:t>不明确、同类问题表述不一致或者有明显文字和计算错误的内容等作出必要的澄清、说明或者更正。供应商的澄清、说明或者更正不得超出响应文件的范围或者改变响应文件的实质性内容。为贯彻落实财政部关于促进政府采购公平竞争优化营商环境的通知（财库[2019]38号）及其他优化营商环境等政策要求，</w:t>
      </w:r>
      <w:r>
        <w:rPr>
          <w:rFonts w:hint="eastAsia" w:asciiTheme="minorEastAsia" w:hAnsiTheme="minorEastAsia" w:eastAsiaTheme="minorEastAsia" w:cstheme="minorEastAsia"/>
          <w:color w:val="auto"/>
          <w:szCs w:val="28"/>
          <w:lang w:val="en-US" w:eastAsia="zh-CN"/>
        </w:rPr>
        <w:t>响应</w:t>
      </w:r>
      <w:r>
        <w:rPr>
          <w:rFonts w:hint="eastAsia" w:asciiTheme="minorEastAsia" w:hAnsiTheme="minorEastAsia" w:eastAsiaTheme="minorEastAsia" w:cstheme="minorEastAsia"/>
          <w:color w:val="auto"/>
          <w:szCs w:val="28"/>
        </w:rPr>
        <w:t>文件中出现的对履约服务质量不造成实质性影响的其他形式性等内容，</w:t>
      </w:r>
      <w:r>
        <w:rPr>
          <w:rFonts w:hint="eastAsia" w:asciiTheme="minorEastAsia" w:hAnsiTheme="minorEastAsia" w:eastAsiaTheme="minorEastAsia" w:cstheme="minorEastAsia"/>
          <w:color w:val="auto"/>
          <w:szCs w:val="28"/>
          <w:lang w:val="en-US" w:eastAsia="zh-CN"/>
        </w:rPr>
        <w:t>磋商小组</w:t>
      </w:r>
      <w:r>
        <w:rPr>
          <w:rFonts w:hint="eastAsia" w:asciiTheme="minorEastAsia" w:hAnsiTheme="minorEastAsia" w:eastAsiaTheme="minorEastAsia" w:cstheme="minorEastAsia"/>
          <w:color w:val="auto"/>
          <w:szCs w:val="28"/>
        </w:rPr>
        <w:t>也可以以书面形式要求</w:t>
      </w:r>
      <w:r>
        <w:rPr>
          <w:rFonts w:hint="eastAsia" w:asciiTheme="minorEastAsia" w:hAnsiTheme="minorEastAsia" w:eastAsiaTheme="minorEastAsia" w:cstheme="minorEastAsia"/>
          <w:color w:val="auto"/>
          <w:szCs w:val="28"/>
          <w:lang w:val="en-US" w:eastAsia="zh-CN"/>
        </w:rPr>
        <w:t>供应商</w:t>
      </w:r>
      <w:r>
        <w:rPr>
          <w:rFonts w:hint="eastAsia" w:asciiTheme="minorEastAsia" w:hAnsiTheme="minorEastAsia" w:eastAsiaTheme="minorEastAsia" w:cstheme="minorEastAsia"/>
          <w:color w:val="auto"/>
          <w:szCs w:val="28"/>
        </w:rPr>
        <w:t>作出必要的澄清、说明或者补正。</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3.供应商的澄清</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w:t>
      </w:r>
      <w:r>
        <w:rPr>
          <w:rFonts w:hint="eastAsia" w:asciiTheme="minorEastAsia" w:hAnsiTheme="minorEastAsia" w:eastAsiaTheme="minorEastAsia" w:cstheme="minorEastAsia"/>
          <w:szCs w:val="28"/>
          <w:lang w:val="en-US" w:eastAsia="zh-CN"/>
        </w:rPr>
        <w:t>磋商会随机抽签</w:t>
      </w:r>
      <w:r>
        <w:rPr>
          <w:rFonts w:hint="eastAsia" w:asciiTheme="minorEastAsia" w:hAnsiTheme="minorEastAsia" w:eastAsiaTheme="minorEastAsia" w:cstheme="minorEastAsia"/>
          <w:szCs w:val="28"/>
        </w:rPr>
        <w:t>的顺序给予所有参加磋商的供应商平等的磋商机会。</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w:t>
      </w:r>
      <w:r>
        <w:rPr>
          <w:rFonts w:hint="eastAsia" w:asciiTheme="minorEastAsia" w:hAnsiTheme="minorEastAsia" w:eastAsiaTheme="minorEastAsia" w:cstheme="minorEastAsia"/>
          <w:b/>
          <w:szCs w:val="28"/>
          <w:lang w:val="en-US" w:eastAsia="zh-CN"/>
        </w:rPr>
        <w:t>5</w:t>
      </w:r>
      <w:r>
        <w:rPr>
          <w:rFonts w:hint="eastAsia" w:asciiTheme="minorEastAsia" w:hAnsiTheme="minorEastAsia" w:eastAsiaTheme="minorEastAsia" w:cstheme="minorEastAsia"/>
          <w:b/>
          <w:szCs w:val="28"/>
        </w:rPr>
        <w:t>分钟内不能抵达磋商会现场的，视为该供应商自动退出磋商。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5</w:t>
      </w:r>
      <w:r>
        <w:rPr>
          <w:rFonts w:hint="eastAsia" w:asciiTheme="minorEastAsia" w:hAnsiTheme="minorEastAsia" w:eastAsiaTheme="minorEastAsia" w:cstheme="minorEastAsia"/>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w:t>
      </w:r>
      <w:r>
        <w:rPr>
          <w:rFonts w:hint="eastAsia" w:asciiTheme="minorEastAsia" w:hAnsiTheme="minorEastAsia" w:eastAsiaTheme="minorEastAsia" w:cstheme="minorEastAsia"/>
          <w:bCs/>
          <w:szCs w:val="28"/>
          <w:lang w:val="en-US" w:eastAsia="zh-CN"/>
        </w:rPr>
        <w:t>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7</w:t>
      </w:r>
      <w:r>
        <w:rPr>
          <w:rFonts w:hint="eastAsia" w:asciiTheme="minorEastAsia" w:hAnsiTheme="minorEastAsia" w:eastAsiaTheme="minorEastAsia" w:cstheme="minorEastAsia"/>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szCs w:val="28"/>
          <w:lang w:val="en-US" w:eastAsia="zh-CN"/>
        </w:rPr>
        <w:t>评分细则</w:t>
      </w:r>
      <w:r>
        <w:rPr>
          <w:rFonts w:hint="eastAsia" w:asciiTheme="minorEastAsia" w:hAnsiTheme="minorEastAsia" w:eastAsiaTheme="minorEastAsia" w:cstheme="minorEastAsia"/>
          <w:szCs w:val="28"/>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5.5</w:t>
      </w:r>
      <w:r>
        <w:rPr>
          <w:rFonts w:hint="eastAsia" w:asciiTheme="minorEastAsia" w:hAnsiTheme="minorEastAsia" w:eastAsiaTheme="minorEastAsia" w:cstheme="minorEastAsia"/>
          <w:szCs w:val="28"/>
        </w:rPr>
        <w:t>在评审期间，供应商不得干扰和阻碍评审工作，供应商不得向磋商小组询问评审情况，任何影响和干扰评审工作的行为都可能导致被取消本次评审的资格，并承担相应的法律责任。</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lang w:eastAsia="zh-CN"/>
        </w:rPr>
      </w:pPr>
      <w:r>
        <w:rPr>
          <w:rFonts w:hint="eastAsia" w:asciiTheme="minorEastAsia" w:hAnsiTheme="minorEastAsia" w:eastAsiaTheme="minorEastAsia" w:cstheme="minorEastAsia"/>
          <w:szCs w:val="28"/>
          <w:lang w:val="en-US" w:eastAsia="zh-CN"/>
        </w:rPr>
        <w:t>5.6</w:t>
      </w:r>
      <w:r>
        <w:rPr>
          <w:rFonts w:hint="eastAsia" w:asciiTheme="minorEastAsia" w:hAnsiTheme="minorEastAsia" w:eastAsiaTheme="minorEastAsia" w:cstheme="minorEastAsia"/>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rPr>
          <w:rFonts w:hint="eastAsia" w:asciiTheme="minorEastAsia" w:hAnsiTheme="minorEastAsia" w:eastAsiaTheme="minorEastAsia" w:cstheme="minorEastAsia"/>
          <w:b w:val="0"/>
          <w:kern w:val="0"/>
          <w:szCs w:val="21"/>
        </w:rPr>
      </w:pPr>
      <w:bookmarkStart w:id="111" w:name="_Toc318643471"/>
      <w:bookmarkStart w:id="112" w:name="_Toc211783328"/>
      <w:r>
        <w:rPr>
          <w:rFonts w:hint="eastAsia" w:asciiTheme="minorEastAsia" w:hAnsiTheme="minorEastAsia" w:eastAsiaTheme="minorEastAsia" w:cstheme="minorEastAsia"/>
          <w:sz w:val="36"/>
          <w:szCs w:val="36"/>
        </w:rPr>
        <w:br w:type="page"/>
      </w:r>
    </w:p>
    <w:p>
      <w:pPr>
        <w:pStyle w:val="4"/>
        <w:numPr>
          <w:ilvl w:val="0"/>
          <w:numId w:val="4"/>
        </w:numPr>
        <w:spacing w:line="240" w:lineRule="auto"/>
        <w:jc w:val="center"/>
        <w:rPr>
          <w:rFonts w:hint="eastAsia" w:asciiTheme="minorEastAsia" w:hAnsiTheme="minorEastAsia" w:eastAsiaTheme="minorEastAsia" w:cstheme="minorEastAsia"/>
          <w:b w:val="0"/>
          <w:kern w:val="0"/>
          <w:szCs w:val="21"/>
        </w:rPr>
      </w:pPr>
      <w:bookmarkStart w:id="113" w:name="_Toc26676"/>
      <w:r>
        <w:rPr>
          <w:rFonts w:hint="eastAsia" w:asciiTheme="minorEastAsia" w:hAnsiTheme="minorEastAsia" w:eastAsiaTheme="minorEastAsia" w:cstheme="minorEastAsia"/>
          <w:sz w:val="36"/>
          <w:szCs w:val="36"/>
        </w:rPr>
        <w:t>合同书</w:t>
      </w:r>
      <w:bookmarkEnd w:id="111"/>
      <w:bookmarkEnd w:id="112"/>
      <w:r>
        <w:rPr>
          <w:rFonts w:hint="eastAsia" w:asciiTheme="minorEastAsia" w:hAnsiTheme="minorEastAsia" w:eastAsiaTheme="minorEastAsia" w:cstheme="minorEastAsia"/>
          <w:sz w:val="36"/>
          <w:szCs w:val="36"/>
          <w:lang w:val="en-US" w:eastAsia="zh-CN"/>
        </w:rPr>
        <w:t>格式</w:t>
      </w:r>
      <w:bookmarkEnd w:id="113"/>
    </w:p>
    <w:p>
      <w:pPr>
        <w:spacing w:line="240" w:lineRule="auto"/>
        <w:ind w:firstLine="420"/>
        <w:jc w:val="center"/>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N w:val="0"/>
        <w:spacing w:before="150" w:line="360" w:lineRule="auto"/>
        <w:rPr>
          <w:rFonts w:hint="eastAsia" w:ascii="宋体" w:hAnsi="宋体" w:eastAsia="宋体" w:cs="宋体"/>
          <w:color w:val="auto"/>
          <w:sz w:val="21"/>
          <w:szCs w:val="21"/>
        </w:rPr>
      </w:pPr>
      <w:bookmarkStart w:id="114" w:name="_Toc6614"/>
      <w:r>
        <w:rPr>
          <w:rFonts w:hint="eastAsia" w:ascii="宋体" w:hAnsi="宋体" w:eastAsia="宋体" w:cs="宋体"/>
          <w:color w:val="auto"/>
          <w:sz w:val="21"/>
          <w:szCs w:val="21"/>
        </w:rPr>
        <w:t xml:space="preserve">甲方（客户方）：                                                 </w:t>
      </w:r>
    </w:p>
    <w:p>
      <w:pPr>
        <w:spacing w:beforeLines="50" w:line="360" w:lineRule="auto"/>
        <w:jc w:val="left"/>
        <w:rPr>
          <w:rFonts w:hint="eastAsia" w:ascii="宋体" w:hAnsi="宋体" w:eastAsia="宋体" w:cs="宋体"/>
          <w:color w:val="auto"/>
          <w:kern w:val="0"/>
          <w:sz w:val="21"/>
          <w:szCs w:val="21"/>
        </w:rPr>
      </w:pPr>
      <w:r>
        <w:rPr>
          <w:rFonts w:hint="eastAsia" w:ascii="宋体" w:hAnsi="宋体" w:eastAsia="宋体" w:cs="宋体"/>
          <w:color w:val="auto"/>
          <w:sz w:val="21"/>
          <w:szCs w:val="21"/>
        </w:rPr>
        <w:t>乙方（服务方）：</w:t>
      </w:r>
      <w:r>
        <w:rPr>
          <w:rFonts w:hint="eastAsia" w:ascii="宋体" w:hAnsi="宋体" w:eastAsia="宋体" w:cs="宋体"/>
          <w:color w:val="auto"/>
          <w:kern w:val="0"/>
          <w:sz w:val="21"/>
          <w:szCs w:val="21"/>
        </w:rPr>
        <w:t>                          </w:t>
      </w:r>
    </w:p>
    <w:p>
      <w:pPr>
        <w:spacing w:beforeLines="50"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根据《中华人民共和国合同法》等法律法规的规定，甲方按照采购程序进行采购，确定乙方为中标供应商。甲乙双方经过协商，本着自愿及平等的原则签订本合同，达成如下条款： </w:t>
      </w:r>
    </w:p>
    <w:p>
      <w:pPr>
        <w:spacing w:line="360" w:lineRule="auto"/>
        <w:ind w:firstLine="417" w:firstLineChars="199"/>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autoSpaceDN w:val="0"/>
        <w:spacing w:before="150"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　　一、 服务内容</w:t>
      </w:r>
    </w:p>
    <w:p>
      <w:pPr>
        <w:spacing w:line="360" w:lineRule="auto"/>
        <w:ind w:firstLine="417" w:firstLineChars="199"/>
        <w:rPr>
          <w:rFonts w:hint="eastAsia" w:ascii="宋体" w:hAnsi="宋体" w:eastAsia="宋体" w:cs="宋体"/>
          <w:color w:val="auto"/>
          <w:sz w:val="21"/>
          <w:szCs w:val="21"/>
        </w:rPr>
      </w:pPr>
      <w:r>
        <w:rPr>
          <w:rFonts w:hint="eastAsia" w:ascii="宋体" w:hAnsi="宋体" w:eastAsia="宋体" w:cs="宋体"/>
          <w:color w:val="auto"/>
          <w:sz w:val="21"/>
          <w:szCs w:val="21"/>
        </w:rPr>
        <w:t>1、乙方同意向甲方提供附于本合同并作为本合同一部分的附件A所列的特定服务。服务的内容、时限、衡量成果的</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HYPERLINK "http://www.jianshe99.com/web/zhuanyeziliao/biaozhunguifan/"</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标准</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 xml:space="preserve">见附件A。 </w:t>
      </w:r>
    </w:p>
    <w:p>
      <w:pPr>
        <w:spacing w:line="360" w:lineRule="auto"/>
        <w:ind w:firstLine="417" w:firstLineChars="199"/>
        <w:rPr>
          <w:rFonts w:hint="eastAsia" w:ascii="宋体" w:hAnsi="宋体" w:eastAsia="宋体" w:cs="宋体"/>
          <w:color w:val="auto"/>
          <w:sz w:val="21"/>
          <w:szCs w:val="21"/>
        </w:rPr>
      </w:pPr>
      <w:r>
        <w:rPr>
          <w:rFonts w:hint="eastAsia" w:ascii="宋体" w:hAnsi="宋体" w:eastAsia="宋体" w:cs="宋体"/>
          <w:color w:val="auto"/>
          <w:sz w:val="21"/>
          <w:szCs w:val="21"/>
        </w:rPr>
        <w:t>2、如果乙方在工作中因自身过错而发生任何错误或遗漏，乙方应无条件更正，而不另外收费，并对因此而对甲方造成的损失承担赔偿责任，赔偿以附件A所载明的该项服务内容对应之服务费为限。若因甲方原因造成工作的延误，将由甲方承担相应的损失。</w:t>
      </w:r>
    </w:p>
    <w:p>
      <w:pPr>
        <w:spacing w:line="360" w:lineRule="auto"/>
        <w:ind w:firstLine="417" w:firstLineChars="199"/>
        <w:rPr>
          <w:rFonts w:hint="eastAsia" w:ascii="宋体" w:hAnsi="宋体" w:eastAsia="宋体" w:cs="宋体"/>
          <w:color w:val="auto"/>
          <w:sz w:val="21"/>
          <w:szCs w:val="21"/>
        </w:rPr>
      </w:pPr>
      <w:r>
        <w:rPr>
          <w:rFonts w:hint="eastAsia" w:ascii="宋体" w:hAnsi="宋体" w:eastAsia="宋体" w:cs="宋体"/>
          <w:color w:val="auto"/>
          <w:sz w:val="21"/>
          <w:szCs w:val="21"/>
        </w:rPr>
        <w:t>3、乙方的服务承诺：</w:t>
      </w:r>
    </w:p>
    <w:p>
      <w:pPr>
        <w:spacing w:line="360" w:lineRule="auto"/>
        <w:ind w:firstLine="417" w:firstLineChars="199"/>
        <w:rPr>
          <w:rFonts w:hint="eastAsia" w:ascii="宋体" w:hAnsi="宋体" w:eastAsia="宋体" w:cs="宋体"/>
          <w:color w:val="auto"/>
          <w:sz w:val="21"/>
          <w:szCs w:val="21"/>
        </w:rPr>
      </w:pPr>
      <w:r>
        <w:rPr>
          <w:rFonts w:hint="eastAsia" w:ascii="宋体" w:hAnsi="宋体" w:eastAsia="宋体" w:cs="宋体"/>
          <w:color w:val="auto"/>
          <w:sz w:val="21"/>
          <w:szCs w:val="21"/>
        </w:rPr>
        <w:t>1） 乙方接到甲方通过电话、信函传真、电子邮件、网上提交等方式提出关于附件A所列服务的请求后，在两个有效工作日内给予响应并提供服务。</w:t>
      </w:r>
    </w:p>
    <w:p>
      <w:pPr>
        <w:spacing w:line="360" w:lineRule="auto"/>
        <w:ind w:firstLine="417" w:firstLineChars="199"/>
        <w:rPr>
          <w:rFonts w:hint="eastAsia" w:ascii="宋体" w:hAnsi="宋体" w:eastAsia="宋体" w:cs="宋体"/>
          <w:color w:val="auto"/>
          <w:sz w:val="21"/>
          <w:szCs w:val="21"/>
        </w:rPr>
      </w:pPr>
      <w:r>
        <w:rPr>
          <w:rFonts w:hint="eastAsia" w:ascii="宋体" w:hAnsi="宋体" w:eastAsia="宋体" w:cs="宋体"/>
          <w:color w:val="auto"/>
          <w:sz w:val="21"/>
          <w:szCs w:val="21"/>
        </w:rPr>
        <w:t>2）乙方提供给甲方的服务，必须按照合同附件A规定的标准进行。</w:t>
      </w:r>
    </w:p>
    <w:p>
      <w:pPr>
        <w:autoSpaceDN w:val="0"/>
        <w:spacing w:before="150" w:line="360" w:lineRule="auto"/>
        <w:rPr>
          <w:rFonts w:hint="eastAsia" w:ascii="宋体" w:hAnsi="宋体" w:eastAsia="宋体" w:cs="宋体"/>
          <w:b/>
          <w:color w:val="auto"/>
          <w:sz w:val="21"/>
          <w:szCs w:val="21"/>
        </w:rPr>
      </w:pPr>
      <w:r>
        <w:rPr>
          <w:rFonts w:hint="eastAsia" w:ascii="宋体" w:hAnsi="宋体" w:eastAsia="宋体" w:cs="宋体"/>
          <w:color w:val="auto"/>
          <w:sz w:val="21"/>
          <w:szCs w:val="21"/>
        </w:rPr>
        <w:t>　　</w:t>
      </w:r>
      <w:r>
        <w:rPr>
          <w:rFonts w:hint="eastAsia" w:ascii="宋体" w:hAnsi="宋体" w:eastAsia="宋体" w:cs="宋体"/>
          <w:b/>
          <w:color w:val="auto"/>
          <w:sz w:val="21"/>
          <w:szCs w:val="21"/>
        </w:rPr>
        <w:t>二、 服务费的支付</w:t>
      </w:r>
    </w:p>
    <w:p>
      <w:pPr>
        <w:spacing w:line="360" w:lineRule="auto"/>
        <w:ind w:firstLine="417" w:firstLineChars="199"/>
        <w:rPr>
          <w:rFonts w:hint="eastAsia" w:ascii="宋体" w:hAnsi="宋体" w:eastAsia="宋体" w:cs="宋体"/>
          <w:color w:val="auto"/>
          <w:sz w:val="21"/>
          <w:szCs w:val="21"/>
        </w:rPr>
      </w:pPr>
      <w:r>
        <w:rPr>
          <w:rFonts w:hint="eastAsia" w:ascii="宋体" w:hAnsi="宋体" w:eastAsia="宋体" w:cs="宋体"/>
          <w:color w:val="auto"/>
          <w:sz w:val="21"/>
          <w:szCs w:val="21"/>
        </w:rPr>
        <w:t>1、服务费总金额为      人民币 (大写:     人民币元整)。</w:t>
      </w:r>
    </w:p>
    <w:p>
      <w:pPr>
        <w:spacing w:line="360" w:lineRule="auto"/>
        <w:ind w:firstLine="417" w:firstLineChars="199"/>
        <w:rPr>
          <w:rFonts w:hint="eastAsia" w:ascii="宋体" w:hAnsi="宋体" w:eastAsia="宋体" w:cs="宋体"/>
          <w:color w:val="auto"/>
          <w:sz w:val="21"/>
          <w:szCs w:val="21"/>
        </w:rPr>
      </w:pPr>
      <w:r>
        <w:rPr>
          <w:rFonts w:hint="eastAsia" w:ascii="宋体" w:hAnsi="宋体" w:eastAsia="宋体" w:cs="宋体"/>
          <w:color w:val="auto"/>
          <w:sz w:val="21"/>
          <w:szCs w:val="21"/>
        </w:rPr>
        <w:t>2、本费用结构仅限于附件A中列明的工作。</w:t>
      </w:r>
    </w:p>
    <w:p>
      <w:pPr>
        <w:spacing w:line="360" w:lineRule="auto"/>
        <w:ind w:firstLine="417" w:firstLineChars="199"/>
        <w:rPr>
          <w:rFonts w:hint="eastAsia" w:ascii="宋体" w:hAnsi="宋体" w:eastAsia="宋体" w:cs="宋体"/>
          <w:color w:val="auto"/>
          <w:sz w:val="21"/>
          <w:szCs w:val="21"/>
        </w:rPr>
      </w:pPr>
      <w:r>
        <w:rPr>
          <w:rFonts w:hint="eastAsia" w:ascii="宋体" w:hAnsi="宋体" w:eastAsia="宋体" w:cs="宋体"/>
          <w:color w:val="auto"/>
          <w:sz w:val="21"/>
          <w:szCs w:val="21"/>
        </w:rPr>
        <w:t>3、甲乙双方一致同意项目服务费按阶段以人民币形式支付。每阶段末，甲方将在验收确认该阶段服务完成合格，并且乙方发出该阶段工作的费用账单及正式有效的税务发票后    个工作日内，向乙方支付约定的费用。</w:t>
      </w:r>
    </w:p>
    <w:p>
      <w:pPr>
        <w:autoSpaceDN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4、阶段付款的比例及时间约定如下：</w:t>
      </w:r>
    </w:p>
    <w:p>
      <w:pPr>
        <w:autoSpaceDN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项目阶段 付款比例 付款时间</w:t>
      </w:r>
    </w:p>
    <w:p>
      <w:pPr>
        <w:autoSpaceDN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第一阶段     %    </w:t>
      </w:r>
      <w:r>
        <w:rPr>
          <w:rFonts w:hint="eastAsia" w:ascii="宋体" w:hAnsi="宋体" w:eastAsia="宋体" w:cs="宋体"/>
          <w:color w:val="auto"/>
          <w:sz w:val="21"/>
          <w:szCs w:val="21"/>
          <w:u w:val="single"/>
        </w:rPr>
        <w:t>附件A所列之（ ）~（ ）</w:t>
      </w:r>
      <w:r>
        <w:rPr>
          <w:rFonts w:hint="eastAsia" w:ascii="宋体" w:hAnsi="宋体" w:eastAsia="宋体" w:cs="宋体"/>
          <w:color w:val="auto"/>
          <w:sz w:val="21"/>
          <w:szCs w:val="21"/>
        </w:rPr>
        <w:t>结束之后</w:t>
      </w:r>
    </w:p>
    <w:p>
      <w:pPr>
        <w:autoSpaceDN w:val="0"/>
        <w:spacing w:before="15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第二阶段     %    </w:t>
      </w:r>
      <w:r>
        <w:rPr>
          <w:rFonts w:hint="eastAsia" w:ascii="宋体" w:hAnsi="宋体" w:eastAsia="宋体" w:cs="宋体"/>
          <w:color w:val="auto"/>
          <w:sz w:val="21"/>
          <w:szCs w:val="21"/>
          <w:u w:val="single"/>
        </w:rPr>
        <w:t>附件A所列之（ ）~（ ）</w:t>
      </w:r>
      <w:r>
        <w:rPr>
          <w:rFonts w:hint="eastAsia" w:ascii="宋体" w:hAnsi="宋体" w:eastAsia="宋体" w:cs="宋体"/>
          <w:color w:val="auto"/>
          <w:sz w:val="21"/>
          <w:szCs w:val="21"/>
        </w:rPr>
        <w:t>结束之后</w:t>
      </w:r>
    </w:p>
    <w:p>
      <w:pPr>
        <w:autoSpaceDN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第三阶段     %    附件A所列全部服务项目结束汇报之后</w:t>
      </w:r>
    </w:p>
    <w:p>
      <w:pPr>
        <w:autoSpaceDN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5、 有关发票方面的任何问题，甲方应在收到发票后及时书面通知乙方，以便乙方及时作出解释或解决问题，以使甲方能按时付款。</w:t>
      </w:r>
    </w:p>
    <w:p>
      <w:pPr>
        <w:autoSpaceDN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6、 乙方将自行承担项目实施范围内合理的差旅费用。</w:t>
      </w:r>
    </w:p>
    <w:p>
      <w:pPr>
        <w:autoSpaceDN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7、 乙方同意免除项目杂费。</w:t>
      </w:r>
    </w:p>
    <w:p>
      <w:pPr>
        <w:autoSpaceDN w:val="0"/>
        <w:spacing w:line="360" w:lineRule="auto"/>
        <w:rPr>
          <w:rFonts w:hint="eastAsia" w:ascii="宋体" w:hAnsi="宋体" w:eastAsia="宋体" w:cs="宋体"/>
          <w:b/>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b/>
          <w:color w:val="auto"/>
          <w:sz w:val="21"/>
          <w:szCs w:val="21"/>
        </w:rPr>
        <w:t>三、 服务的变更</w:t>
      </w:r>
    </w:p>
    <w:p>
      <w:pPr>
        <w:autoSpaceDN w:val="0"/>
        <w:spacing w:before="15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甲方可以提前</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个工作日以书面形式要求变更或增加所提供的服务。该变更最终应由双方互相商定认可。</w:t>
      </w:r>
    </w:p>
    <w:p>
      <w:pPr>
        <w:autoSpaceDN w:val="0"/>
        <w:spacing w:before="150"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四、争议处理</w:t>
      </w:r>
    </w:p>
    <w:p>
      <w:pPr>
        <w:autoSpaceDN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甲乙双方如对协议条款规定的理解有异议，或者对与协议有关的事项发生争议，双方应本着友好合作的精神进行协商。协商不能解决的，任何一方可向武汉仲裁委员会提起仲裁。</w:t>
      </w:r>
    </w:p>
    <w:p>
      <w:pPr>
        <w:autoSpaceDN w:val="0"/>
        <w:spacing w:line="360" w:lineRule="auto"/>
        <w:rPr>
          <w:rFonts w:hint="eastAsia" w:ascii="宋体" w:hAnsi="宋体" w:eastAsia="宋体" w:cs="宋体"/>
          <w:b/>
          <w:color w:val="auto"/>
          <w:sz w:val="21"/>
          <w:szCs w:val="21"/>
        </w:rPr>
      </w:pPr>
      <w:r>
        <w:rPr>
          <w:rFonts w:hint="eastAsia" w:ascii="宋体" w:hAnsi="宋体" w:eastAsia="宋体" w:cs="宋体"/>
          <w:color w:val="auto"/>
          <w:sz w:val="21"/>
          <w:szCs w:val="21"/>
        </w:rPr>
        <w:t>　</w:t>
      </w:r>
      <w:r>
        <w:rPr>
          <w:rFonts w:hint="eastAsia" w:ascii="宋体" w:hAnsi="宋体" w:eastAsia="宋体" w:cs="宋体"/>
          <w:b/>
          <w:color w:val="auto"/>
          <w:sz w:val="21"/>
          <w:szCs w:val="21"/>
        </w:rPr>
        <w:t>　五、 其他</w:t>
      </w:r>
    </w:p>
    <w:p>
      <w:pPr>
        <w:autoSpaceDN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1、本合同中所用的标题仅为方便而设，而不影响对本合同的解释。</w:t>
      </w:r>
    </w:p>
    <w:p>
      <w:pPr>
        <w:autoSpaceDN w:val="0"/>
        <w:spacing w:line="360" w:lineRule="auto"/>
        <w:ind w:firstLine="465"/>
        <w:rPr>
          <w:rFonts w:hint="eastAsia" w:ascii="宋体" w:hAnsi="宋体" w:eastAsia="宋体" w:cs="宋体"/>
          <w:color w:val="auto"/>
          <w:sz w:val="21"/>
          <w:szCs w:val="21"/>
        </w:rPr>
      </w:pPr>
      <w:r>
        <w:rPr>
          <w:rFonts w:hint="eastAsia" w:ascii="宋体" w:hAnsi="宋体" w:eastAsia="宋体" w:cs="宋体"/>
          <w:color w:val="auto"/>
          <w:sz w:val="21"/>
          <w:szCs w:val="21"/>
        </w:rPr>
        <w:t>2、附件A是本合同不可分割的组成部分，与本合同具有同等</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HYPERLINK "http://www.jianshe99.com/web/fagui/"</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法律</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效力。</w:t>
      </w:r>
    </w:p>
    <w:p>
      <w:pPr>
        <w:autoSpaceDN w:val="0"/>
        <w:spacing w:line="360" w:lineRule="auto"/>
        <w:ind w:firstLine="465"/>
        <w:rPr>
          <w:rFonts w:hint="eastAsia" w:ascii="宋体" w:hAnsi="宋体" w:eastAsia="宋体" w:cs="宋体"/>
          <w:color w:val="auto"/>
          <w:sz w:val="21"/>
          <w:szCs w:val="21"/>
        </w:rPr>
      </w:pPr>
      <w:r>
        <w:rPr>
          <w:rFonts w:hint="eastAsia" w:ascii="宋体" w:hAnsi="宋体" w:eastAsia="宋体" w:cs="宋体"/>
          <w:color w:val="auto"/>
          <w:sz w:val="21"/>
          <w:szCs w:val="21"/>
        </w:rPr>
        <w:t>3、本合同未尽事宜，由甲乙双方协商后产生书面文件，作为本合同的补充条款，具备与本合同同等法律效力。</w:t>
      </w:r>
    </w:p>
    <w:p>
      <w:pPr>
        <w:autoSpaceDN w:val="0"/>
        <w:spacing w:line="360" w:lineRule="auto"/>
        <w:ind w:firstLine="465"/>
        <w:rPr>
          <w:rFonts w:hint="eastAsia" w:ascii="宋体" w:hAnsi="宋体" w:eastAsia="宋体" w:cs="宋体"/>
          <w:color w:val="auto"/>
          <w:sz w:val="21"/>
          <w:szCs w:val="21"/>
        </w:rPr>
      </w:pPr>
      <w:r>
        <w:rPr>
          <w:rFonts w:hint="eastAsia" w:ascii="宋体" w:hAnsi="宋体" w:eastAsia="宋体" w:cs="宋体"/>
          <w:color w:val="auto"/>
          <w:sz w:val="21"/>
          <w:szCs w:val="21"/>
        </w:rPr>
        <w:t>4、对本合同内容的任何修改和变更需要用书面形式，并经双方确认后生效。</w:t>
      </w:r>
    </w:p>
    <w:p>
      <w:pPr>
        <w:autoSpaceDN w:val="0"/>
        <w:spacing w:line="360" w:lineRule="auto"/>
        <w:ind w:firstLine="465"/>
        <w:rPr>
          <w:rFonts w:hint="eastAsia" w:ascii="宋体" w:hAnsi="宋体" w:eastAsia="宋体" w:cs="宋体"/>
          <w:color w:val="auto"/>
          <w:sz w:val="21"/>
          <w:szCs w:val="21"/>
        </w:rPr>
      </w:pPr>
      <w:r>
        <w:rPr>
          <w:rFonts w:hint="eastAsia" w:ascii="宋体" w:hAnsi="宋体" w:eastAsia="宋体" w:cs="宋体"/>
          <w:color w:val="auto"/>
          <w:sz w:val="21"/>
          <w:szCs w:val="21"/>
        </w:rPr>
        <w:t>（以下无正文）</w:t>
      </w:r>
    </w:p>
    <w:p>
      <w:pPr>
        <w:spacing w:line="360" w:lineRule="auto"/>
        <w:ind w:left="424" w:leftChars="202"/>
        <w:rPr>
          <w:rFonts w:hint="eastAsia" w:ascii="宋体" w:hAnsi="宋体" w:eastAsia="宋体" w:cs="宋体"/>
          <w:color w:val="auto"/>
          <w:sz w:val="21"/>
          <w:szCs w:val="21"/>
        </w:rPr>
      </w:pPr>
    </w:p>
    <w:p>
      <w:pPr>
        <w:spacing w:line="360" w:lineRule="auto"/>
        <w:ind w:left="424" w:leftChars="202"/>
        <w:rPr>
          <w:rFonts w:hint="eastAsia" w:ascii="宋体" w:hAnsi="宋体" w:eastAsia="宋体" w:cs="宋体"/>
          <w:color w:val="auto"/>
          <w:sz w:val="21"/>
          <w:szCs w:val="21"/>
        </w:rPr>
      </w:pPr>
      <w:r>
        <w:rPr>
          <w:rFonts w:hint="eastAsia" w:ascii="宋体" w:hAnsi="宋体" w:eastAsia="宋体" w:cs="宋体"/>
          <w:color w:val="auto"/>
          <w:sz w:val="21"/>
          <w:szCs w:val="21"/>
        </w:rPr>
        <w:t>甲方（签章）                          乙方（签章）</w:t>
      </w:r>
    </w:p>
    <w:p>
      <w:pPr>
        <w:spacing w:line="360" w:lineRule="auto"/>
        <w:ind w:left="424" w:leftChars="202"/>
        <w:rPr>
          <w:rFonts w:hint="eastAsia" w:ascii="宋体" w:hAnsi="宋体" w:eastAsia="宋体" w:cs="宋体"/>
          <w:color w:val="auto"/>
          <w:sz w:val="21"/>
          <w:szCs w:val="21"/>
        </w:rPr>
      </w:pPr>
      <w:r>
        <w:rPr>
          <w:rFonts w:hint="eastAsia" w:ascii="宋体" w:hAnsi="宋体" w:eastAsia="宋体" w:cs="宋体"/>
          <w:color w:val="auto"/>
          <w:sz w:val="21"/>
          <w:szCs w:val="21"/>
        </w:rPr>
        <w:t>代表签字：                            代表签字：</w:t>
      </w:r>
    </w:p>
    <w:p>
      <w:pPr>
        <w:spacing w:line="360" w:lineRule="auto"/>
        <w:ind w:left="424" w:leftChars="202"/>
        <w:rPr>
          <w:rFonts w:hint="eastAsia" w:ascii="宋体" w:hAnsi="宋体" w:eastAsia="宋体" w:cs="宋体"/>
          <w:color w:val="auto"/>
          <w:sz w:val="21"/>
          <w:szCs w:val="21"/>
        </w:rPr>
      </w:pPr>
      <w:r>
        <w:rPr>
          <w:rFonts w:hint="eastAsia" w:ascii="宋体" w:hAnsi="宋体" w:eastAsia="宋体" w:cs="宋体"/>
          <w:color w:val="auto"/>
          <w:sz w:val="21"/>
          <w:szCs w:val="21"/>
        </w:rPr>
        <w:t>地点：                                地点：</w:t>
      </w:r>
    </w:p>
    <w:p>
      <w:pPr>
        <w:spacing w:line="360" w:lineRule="auto"/>
        <w:ind w:left="424" w:leftChars="202"/>
        <w:rPr>
          <w:rFonts w:hint="eastAsia" w:ascii="宋体" w:hAnsi="宋体" w:eastAsia="宋体" w:cs="宋体"/>
          <w:color w:val="auto"/>
          <w:sz w:val="21"/>
          <w:szCs w:val="21"/>
        </w:rPr>
      </w:pPr>
      <w:r>
        <w:rPr>
          <w:rFonts w:hint="eastAsia" w:ascii="宋体" w:hAnsi="宋体" w:eastAsia="宋体" w:cs="宋体"/>
          <w:color w:val="auto"/>
          <w:sz w:val="21"/>
          <w:szCs w:val="21"/>
        </w:rPr>
        <w:t>日期：                                日期：</w:t>
      </w:r>
    </w:p>
    <w:p>
      <w:pPr>
        <w:spacing w:line="360" w:lineRule="auto"/>
        <w:ind w:left="424" w:leftChars="202"/>
        <w:rPr>
          <w:rFonts w:hint="eastAsia" w:ascii="宋体" w:hAnsi="宋体" w:eastAsia="宋体" w:cs="宋体"/>
          <w:color w:val="auto"/>
          <w:sz w:val="21"/>
          <w:szCs w:val="21"/>
        </w:rPr>
      </w:pPr>
      <w:r>
        <w:rPr>
          <w:rFonts w:hint="eastAsia" w:ascii="宋体" w:hAnsi="宋体" w:eastAsia="宋体" w:cs="宋体"/>
          <w:color w:val="auto"/>
          <w:sz w:val="21"/>
          <w:szCs w:val="21"/>
        </w:rPr>
        <w:t>附件A</w:t>
      </w:r>
    </w:p>
    <w:tbl>
      <w:tblPr>
        <w:tblStyle w:val="30"/>
        <w:tblW w:w="0" w:type="auto"/>
        <w:tblInd w:w="4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2"/>
        <w:gridCol w:w="2268"/>
        <w:gridCol w:w="2725"/>
        <w:gridCol w:w="2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1102" w:type="dxa"/>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2268" w:type="dxa"/>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服务内容</w:t>
            </w:r>
          </w:p>
        </w:tc>
        <w:tc>
          <w:tcPr>
            <w:tcW w:w="2725" w:type="dxa"/>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时限</w:t>
            </w:r>
          </w:p>
        </w:tc>
        <w:tc>
          <w:tcPr>
            <w:tcW w:w="2003" w:type="dxa"/>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完成标准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2" w:type="dxa"/>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268" w:type="dxa"/>
            <w:noWrap w:val="0"/>
            <w:vAlign w:val="top"/>
          </w:tcPr>
          <w:p>
            <w:pPr>
              <w:spacing w:line="360" w:lineRule="auto"/>
              <w:rPr>
                <w:rFonts w:hint="eastAsia" w:ascii="宋体" w:hAnsi="宋体" w:eastAsia="宋体" w:cs="宋体"/>
                <w:color w:val="auto"/>
                <w:sz w:val="21"/>
                <w:szCs w:val="21"/>
              </w:rPr>
            </w:pPr>
          </w:p>
        </w:tc>
        <w:tc>
          <w:tcPr>
            <w:tcW w:w="2725" w:type="dxa"/>
            <w:noWrap w:val="0"/>
            <w:vAlign w:val="top"/>
          </w:tcPr>
          <w:p>
            <w:pPr>
              <w:spacing w:line="360" w:lineRule="auto"/>
              <w:rPr>
                <w:rFonts w:hint="eastAsia" w:ascii="宋体" w:hAnsi="宋体" w:eastAsia="宋体" w:cs="宋体"/>
                <w:color w:val="auto"/>
                <w:sz w:val="21"/>
                <w:szCs w:val="21"/>
              </w:rPr>
            </w:pPr>
          </w:p>
        </w:tc>
        <w:tc>
          <w:tcPr>
            <w:tcW w:w="2003" w:type="dxa"/>
            <w:noWrap w:val="0"/>
            <w:vAlign w:val="top"/>
          </w:tcPr>
          <w:p>
            <w:pPr>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2" w:type="dxa"/>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268" w:type="dxa"/>
            <w:noWrap w:val="0"/>
            <w:vAlign w:val="top"/>
          </w:tcPr>
          <w:p>
            <w:pPr>
              <w:spacing w:line="360" w:lineRule="auto"/>
              <w:rPr>
                <w:rFonts w:hint="eastAsia" w:ascii="宋体" w:hAnsi="宋体" w:eastAsia="宋体" w:cs="宋体"/>
                <w:color w:val="auto"/>
                <w:sz w:val="21"/>
                <w:szCs w:val="21"/>
              </w:rPr>
            </w:pPr>
          </w:p>
        </w:tc>
        <w:tc>
          <w:tcPr>
            <w:tcW w:w="2725" w:type="dxa"/>
            <w:noWrap w:val="0"/>
            <w:vAlign w:val="top"/>
          </w:tcPr>
          <w:p>
            <w:pPr>
              <w:spacing w:line="360" w:lineRule="auto"/>
              <w:rPr>
                <w:rFonts w:hint="eastAsia" w:ascii="宋体" w:hAnsi="宋体" w:eastAsia="宋体" w:cs="宋体"/>
                <w:color w:val="auto"/>
                <w:sz w:val="21"/>
                <w:szCs w:val="21"/>
              </w:rPr>
            </w:pPr>
          </w:p>
        </w:tc>
        <w:tc>
          <w:tcPr>
            <w:tcW w:w="2003" w:type="dxa"/>
            <w:noWrap w:val="0"/>
            <w:vAlign w:val="top"/>
          </w:tcPr>
          <w:p>
            <w:pPr>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1102" w:type="dxa"/>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2268" w:type="dxa"/>
            <w:noWrap w:val="0"/>
            <w:vAlign w:val="top"/>
          </w:tcPr>
          <w:p>
            <w:pPr>
              <w:spacing w:line="360" w:lineRule="auto"/>
              <w:rPr>
                <w:rFonts w:hint="eastAsia" w:ascii="宋体" w:hAnsi="宋体" w:eastAsia="宋体" w:cs="宋体"/>
                <w:color w:val="auto"/>
                <w:sz w:val="21"/>
                <w:szCs w:val="21"/>
              </w:rPr>
            </w:pPr>
          </w:p>
        </w:tc>
        <w:tc>
          <w:tcPr>
            <w:tcW w:w="2725" w:type="dxa"/>
            <w:noWrap w:val="0"/>
            <w:vAlign w:val="top"/>
          </w:tcPr>
          <w:p>
            <w:pPr>
              <w:spacing w:line="360" w:lineRule="auto"/>
              <w:rPr>
                <w:rFonts w:hint="eastAsia" w:ascii="宋体" w:hAnsi="宋体" w:eastAsia="宋体" w:cs="宋体"/>
                <w:color w:val="auto"/>
                <w:sz w:val="21"/>
                <w:szCs w:val="21"/>
              </w:rPr>
            </w:pPr>
          </w:p>
        </w:tc>
        <w:tc>
          <w:tcPr>
            <w:tcW w:w="2003" w:type="dxa"/>
            <w:noWrap w:val="0"/>
            <w:vAlign w:val="top"/>
          </w:tcPr>
          <w:p>
            <w:pPr>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 w:hRule="atLeast"/>
        </w:trPr>
        <w:tc>
          <w:tcPr>
            <w:tcW w:w="1102" w:type="dxa"/>
            <w:noWrap w:val="0"/>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2268" w:type="dxa"/>
            <w:noWrap w:val="0"/>
            <w:vAlign w:val="top"/>
          </w:tcPr>
          <w:p>
            <w:pPr>
              <w:spacing w:line="360" w:lineRule="auto"/>
              <w:rPr>
                <w:rFonts w:hint="eastAsia" w:ascii="宋体" w:hAnsi="宋体" w:eastAsia="宋体" w:cs="宋体"/>
                <w:color w:val="auto"/>
                <w:sz w:val="21"/>
                <w:szCs w:val="21"/>
              </w:rPr>
            </w:pPr>
          </w:p>
        </w:tc>
        <w:tc>
          <w:tcPr>
            <w:tcW w:w="2725" w:type="dxa"/>
            <w:noWrap w:val="0"/>
            <w:vAlign w:val="top"/>
          </w:tcPr>
          <w:p>
            <w:pPr>
              <w:spacing w:line="360" w:lineRule="auto"/>
              <w:rPr>
                <w:rFonts w:hint="eastAsia" w:ascii="宋体" w:hAnsi="宋体" w:eastAsia="宋体" w:cs="宋体"/>
                <w:color w:val="auto"/>
                <w:sz w:val="21"/>
                <w:szCs w:val="21"/>
              </w:rPr>
            </w:pPr>
          </w:p>
        </w:tc>
        <w:tc>
          <w:tcPr>
            <w:tcW w:w="2003" w:type="dxa"/>
            <w:noWrap w:val="0"/>
            <w:vAlign w:val="top"/>
          </w:tcPr>
          <w:p>
            <w:pPr>
              <w:spacing w:line="360" w:lineRule="auto"/>
              <w:rPr>
                <w:rFonts w:hint="eastAsia" w:ascii="宋体" w:hAnsi="宋体" w:eastAsia="宋体" w:cs="宋体"/>
                <w:color w:val="auto"/>
                <w:sz w:val="21"/>
                <w:szCs w:val="21"/>
              </w:rPr>
            </w:pPr>
          </w:p>
        </w:tc>
      </w:tr>
    </w:tbl>
    <w:p>
      <w:pPr>
        <w:pStyle w:val="4"/>
        <w:numPr>
          <w:ilvl w:val="0"/>
          <w:numId w:val="4"/>
        </w:numPr>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竞争性磋商响应文件格式</w:t>
      </w:r>
      <w:bookmarkEnd w:id="114"/>
    </w:p>
    <w:p>
      <w:pPr>
        <w:autoSpaceDE w:val="0"/>
        <w:autoSpaceDN w:val="0"/>
        <w:adjustRightInd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autoSpaceDE w:val="0"/>
        <w:autoSpaceDN w:val="0"/>
        <w:adjustRightInd w:val="0"/>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none"/>
        </w:rPr>
        <w:t xml:space="preserve">预算执行计划： </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15" w:name="_Toc23858"/>
      <w:bookmarkStart w:id="116" w:name="_Toc5751"/>
    </w:p>
    <w:p>
      <w:pPr>
        <w:autoSpaceDE w:val="0"/>
        <w:autoSpaceDN w:val="0"/>
        <w:adjustRightInd w:val="0"/>
        <w:spacing w:line="360" w:lineRule="auto"/>
        <w:ind w:firstLine="1260" w:firstLineChars="4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15"/>
    <w:bookmarkEnd w:id="116"/>
    <w:p>
      <w:pPr>
        <w:autoSpaceDE w:val="0"/>
        <w:autoSpaceDN w:val="0"/>
        <w:adjustRightInd w:val="0"/>
        <w:spacing w:line="360" w:lineRule="auto"/>
        <w:jc w:val="center"/>
        <w:rPr>
          <w:rFonts w:hint="eastAsia" w:asciiTheme="minorEastAsia" w:hAnsiTheme="minorEastAsia" w:eastAsiaTheme="minorEastAsia" w:cstheme="minorEastAsia"/>
          <w:b/>
          <w:bCs/>
          <w:sz w:val="24"/>
        </w:rPr>
      </w:pPr>
      <w:bookmarkStart w:id="117" w:name="_Toc360174584"/>
      <w:bookmarkStart w:id="118" w:name="_Toc264644272"/>
      <w:bookmarkStart w:id="119" w:name="_Toc533331084"/>
      <w:bookmarkStart w:id="120" w:name="_Toc11320441"/>
      <w:bookmarkStart w:id="121" w:name="_Toc211783342"/>
      <w:bookmarkStart w:id="122" w:name="_Toc533330957"/>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17"/>
      <w:bookmarkEnd w:id="118"/>
    </w:p>
    <w:p>
      <w:pPr>
        <w:autoSpaceDE w:val="0"/>
        <w:autoSpaceDN w:val="0"/>
        <w:adjustRightInd w:val="0"/>
        <w:rPr>
          <w:rFonts w:hint="eastAsia" w:asciiTheme="minorEastAsia" w:hAnsiTheme="minorEastAsia" w:eastAsiaTheme="minorEastAsia" w:cstheme="minorEastAsia"/>
          <w:b/>
          <w:bCs/>
          <w:szCs w:val="21"/>
        </w:rPr>
      </w:pPr>
    </w:p>
    <w:p>
      <w:pPr>
        <w:autoSpaceDE w:val="0"/>
        <w:autoSpaceDN w:val="0"/>
        <w:adjustRightInd w:val="0"/>
        <w:spacing w:line="360" w:lineRule="auto"/>
        <w:outlineLvl w:val="9"/>
        <w:rPr>
          <w:rFonts w:hint="eastAsia" w:ascii="宋体" w:hAnsi="宋体" w:eastAsia="宋体" w:cs="宋体"/>
          <w:b/>
          <w:sz w:val="21"/>
          <w:szCs w:val="21"/>
          <w:lang w:eastAsia="zh-CN"/>
        </w:rPr>
      </w:pPr>
      <w:r>
        <w:rPr>
          <w:rFonts w:hint="eastAsia" w:ascii="宋体" w:hAnsi="宋体" w:eastAsia="宋体" w:cs="宋体"/>
          <w:b/>
          <w:sz w:val="21"/>
          <w:szCs w:val="21"/>
        </w:rPr>
        <w:t>注：</w:t>
      </w:r>
      <w:r>
        <w:rPr>
          <w:rFonts w:hint="eastAsia" w:ascii="宋体" w:hAnsi="宋体" w:cs="宋体"/>
          <w:b/>
          <w:sz w:val="21"/>
          <w:szCs w:val="21"/>
          <w:lang w:val="en-US" w:eastAsia="zh-CN"/>
        </w:rPr>
        <w:t>响应文件</w:t>
      </w:r>
      <w:r>
        <w:rPr>
          <w:rFonts w:hint="eastAsia" w:ascii="宋体" w:hAnsi="宋体" w:eastAsia="宋体" w:cs="宋体"/>
          <w:b/>
          <w:sz w:val="21"/>
          <w:szCs w:val="21"/>
        </w:rPr>
        <w:t>目录及内容每页须顺序编写页码。</w:t>
      </w:r>
    </w:p>
    <w:p>
      <w:pPr>
        <w:bidi w:val="0"/>
        <w:rPr>
          <w:rFonts w:hint="eastAsia"/>
          <w:lang w:eastAsia="zh-CN"/>
        </w:rPr>
      </w:pPr>
      <w:bookmarkStart w:id="123" w:name="_Toc3298"/>
    </w:p>
    <w:p>
      <w:pPr>
        <w:autoSpaceDE w:val="0"/>
        <w:autoSpaceDN w:val="0"/>
        <w:adjustRightInd w:val="0"/>
        <w:spacing w:line="360" w:lineRule="auto"/>
        <w:jc w:val="center"/>
        <w:outlineLvl w:val="1"/>
        <w:rPr>
          <w:rFonts w:hint="eastAsia" w:ascii="宋体" w:hAnsi="宋体" w:eastAsia="宋体" w:cs="宋体"/>
          <w:b/>
          <w:sz w:val="21"/>
          <w:szCs w:val="21"/>
        </w:rPr>
      </w:pPr>
      <w:r>
        <w:rPr>
          <w:rFonts w:hint="eastAsia" w:ascii="宋体" w:hAnsi="宋体" w:eastAsia="宋体" w:cs="宋体"/>
          <w:b/>
          <w:sz w:val="21"/>
          <w:szCs w:val="21"/>
        </w:rPr>
        <w:t>一</w:t>
      </w:r>
      <w:r>
        <w:rPr>
          <w:rFonts w:hint="eastAsia" w:ascii="宋体" w:hAnsi="宋体" w:eastAsia="宋体" w:cs="宋体"/>
          <w:b/>
          <w:sz w:val="21"/>
          <w:szCs w:val="21"/>
          <w:lang w:eastAsia="zh-CN"/>
        </w:rPr>
        <w:t>、</w:t>
      </w:r>
      <w:r>
        <w:rPr>
          <w:rFonts w:hint="eastAsia" w:ascii="宋体" w:hAnsi="宋体" w:eastAsia="宋体" w:cs="宋体"/>
          <w:b/>
          <w:sz w:val="21"/>
          <w:szCs w:val="21"/>
        </w:rPr>
        <w:t>评分标准索引表</w:t>
      </w:r>
      <w:bookmarkEnd w:id="123"/>
    </w:p>
    <w:tbl>
      <w:tblPr>
        <w:tblStyle w:val="3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285"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5358"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825"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c>
          <w:tcPr>
            <w:tcW w:w="1133"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noWrap w:val="0"/>
            <w:vAlign w:val="center"/>
          </w:tcPr>
          <w:p>
            <w:pPr>
              <w:widowControl/>
              <w:spacing w:line="360" w:lineRule="auto"/>
              <w:jc w:val="center"/>
              <w:textAlignment w:val="center"/>
              <w:rPr>
                <w:rFonts w:hint="eastAsia" w:ascii="宋体" w:hAnsi="宋体" w:eastAsia="宋体" w:cs="宋体"/>
                <w:spacing w:val="-6"/>
                <w:sz w:val="21"/>
                <w:szCs w:val="21"/>
              </w:rPr>
            </w:pPr>
          </w:p>
        </w:tc>
        <w:tc>
          <w:tcPr>
            <w:tcW w:w="1285" w:type="dxa"/>
            <w:noWrap w:val="0"/>
            <w:vAlign w:val="center"/>
          </w:tcPr>
          <w:p>
            <w:pPr>
              <w:widowControl/>
              <w:spacing w:line="360" w:lineRule="auto"/>
              <w:jc w:val="center"/>
              <w:textAlignment w:val="center"/>
              <w:rPr>
                <w:rFonts w:hint="eastAsia" w:ascii="宋体" w:hAnsi="宋体" w:eastAsia="宋体" w:cs="宋体"/>
                <w:spacing w:val="-6"/>
                <w:sz w:val="21"/>
                <w:szCs w:val="21"/>
              </w:rPr>
            </w:pPr>
          </w:p>
        </w:tc>
        <w:tc>
          <w:tcPr>
            <w:tcW w:w="5358" w:type="dxa"/>
            <w:noWrap w:val="0"/>
            <w:vAlign w:val="center"/>
          </w:tcPr>
          <w:p>
            <w:pPr>
              <w:widowControl/>
              <w:spacing w:line="360" w:lineRule="auto"/>
              <w:jc w:val="left"/>
              <w:textAlignment w:val="center"/>
              <w:rPr>
                <w:rFonts w:hint="eastAsia" w:ascii="宋体" w:hAnsi="宋体" w:eastAsia="宋体" w:cs="宋体"/>
                <w:sz w:val="21"/>
                <w:szCs w:val="21"/>
              </w:rPr>
            </w:pPr>
          </w:p>
        </w:tc>
        <w:tc>
          <w:tcPr>
            <w:tcW w:w="825" w:type="dxa"/>
            <w:noWrap w:val="0"/>
            <w:vAlign w:val="center"/>
          </w:tcPr>
          <w:p>
            <w:pPr>
              <w:widowControl/>
              <w:spacing w:line="360" w:lineRule="auto"/>
              <w:jc w:val="center"/>
              <w:textAlignment w:val="center"/>
              <w:rPr>
                <w:rFonts w:hint="eastAsia" w:ascii="宋体" w:hAnsi="宋体" w:eastAsia="宋体" w:cs="宋体"/>
                <w:sz w:val="21"/>
                <w:szCs w:val="21"/>
              </w:rPr>
            </w:pPr>
          </w:p>
        </w:tc>
        <w:tc>
          <w:tcPr>
            <w:tcW w:w="1133" w:type="dxa"/>
            <w:noWrap w:val="0"/>
            <w:vAlign w:val="center"/>
          </w:tcPr>
          <w:p>
            <w:pPr>
              <w:widowControl/>
              <w:spacing w:line="360" w:lineRule="auto"/>
              <w:jc w:val="center"/>
              <w:textAlignment w:val="center"/>
              <w:rPr>
                <w:rFonts w:hint="eastAsia" w:ascii="宋体" w:hAnsi="宋体" w:eastAsia="宋体" w:cs="宋体"/>
                <w:color w:val="FF0000"/>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spacing w:val="-6"/>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spacing w:line="360" w:lineRule="auto"/>
              <w:rPr>
                <w:rFonts w:hint="eastAsia" w:ascii="宋体" w:hAnsi="宋体" w:eastAsia="宋体" w:cs="宋体"/>
                <w:spacing w:val="-6"/>
                <w:sz w:val="21"/>
                <w:szCs w:val="21"/>
              </w:rPr>
            </w:pPr>
          </w:p>
        </w:tc>
        <w:tc>
          <w:tcPr>
            <w:tcW w:w="825" w:type="dxa"/>
            <w:noWrap w:val="0"/>
            <w:vAlign w:val="center"/>
          </w:tcPr>
          <w:p>
            <w:pPr>
              <w:spacing w:line="360" w:lineRule="auto"/>
              <w:rPr>
                <w:rFonts w:hint="eastAsia" w:ascii="宋体" w:hAnsi="宋体" w:eastAsia="宋体" w:cs="宋体"/>
                <w:spacing w:val="-6"/>
                <w:sz w:val="21"/>
                <w:szCs w:val="21"/>
              </w:rPr>
            </w:pPr>
          </w:p>
        </w:tc>
        <w:tc>
          <w:tcPr>
            <w:tcW w:w="1133" w:type="dxa"/>
            <w:noWrap w:val="0"/>
            <w:vAlign w:val="center"/>
          </w:tcPr>
          <w:p>
            <w:pPr>
              <w:spacing w:line="360" w:lineRule="auto"/>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color w:val="000000"/>
                <w:spacing w:val="-6"/>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tcBorders>
              <w:bottom w:val="single" w:color="auto" w:sz="4" w:space="0"/>
            </w:tcBorders>
            <w:noWrap w:val="0"/>
            <w:vAlign w:val="center"/>
          </w:tcPr>
          <w:p>
            <w:pPr>
              <w:spacing w:line="360" w:lineRule="auto"/>
              <w:rPr>
                <w:rFonts w:hint="eastAsia" w:ascii="宋体" w:hAnsi="宋体" w:eastAsia="宋体" w:cs="宋体"/>
                <w:spacing w:val="-6"/>
                <w:kern w:val="0"/>
                <w:sz w:val="21"/>
                <w:szCs w:val="21"/>
              </w:rPr>
            </w:pPr>
          </w:p>
        </w:tc>
        <w:tc>
          <w:tcPr>
            <w:tcW w:w="5358"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tcBorders>
              <w:top w:val="single" w:color="auto" w:sz="4" w:space="0"/>
            </w:tcBorders>
            <w:noWrap w:val="0"/>
            <w:vAlign w:val="center"/>
          </w:tcPr>
          <w:p>
            <w:pPr>
              <w:spacing w:line="360" w:lineRule="auto"/>
              <w:rPr>
                <w:rFonts w:hint="eastAsia" w:ascii="宋体" w:hAnsi="宋体" w:eastAsia="宋体" w:cs="宋体"/>
                <w:spacing w:val="-6"/>
                <w:kern w:val="0"/>
                <w:sz w:val="21"/>
                <w:szCs w:val="21"/>
              </w:rPr>
            </w:pPr>
          </w:p>
        </w:tc>
        <w:tc>
          <w:tcPr>
            <w:tcW w:w="5358"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spacing w:val="-6"/>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ind w:left="-4" w:leftChars="-2" w:firstLine="2" w:firstLineChars="1"/>
              <w:rPr>
                <w:rFonts w:hint="eastAsia" w:ascii="宋体" w:hAnsi="宋体" w:eastAsia="宋体" w:cs="宋体"/>
                <w:sz w:val="21"/>
                <w:szCs w:val="21"/>
              </w:rPr>
            </w:pPr>
          </w:p>
        </w:tc>
        <w:tc>
          <w:tcPr>
            <w:tcW w:w="1285" w:type="dxa"/>
            <w:noWrap w:val="0"/>
            <w:vAlign w:val="center"/>
          </w:tcPr>
          <w:p>
            <w:pPr>
              <w:spacing w:line="360" w:lineRule="auto"/>
              <w:ind w:left="-4" w:leftChars="-2" w:firstLine="2" w:firstLineChars="1"/>
              <w:rPr>
                <w:rFonts w:hint="eastAsia" w:ascii="宋体" w:hAnsi="宋体" w:eastAsia="宋体" w:cs="宋体"/>
                <w:sz w:val="21"/>
                <w:szCs w:val="21"/>
              </w:rPr>
            </w:pPr>
          </w:p>
        </w:tc>
        <w:tc>
          <w:tcPr>
            <w:tcW w:w="5358" w:type="dxa"/>
            <w:noWrap w:val="0"/>
            <w:vAlign w:val="center"/>
          </w:tcPr>
          <w:p>
            <w:pPr>
              <w:spacing w:line="360" w:lineRule="auto"/>
              <w:ind w:left="-4" w:leftChars="-2" w:firstLine="2" w:firstLineChars="1"/>
              <w:rPr>
                <w:rFonts w:hint="eastAsia" w:ascii="宋体" w:hAnsi="宋体" w:eastAsia="宋体" w:cs="宋体"/>
                <w:sz w:val="21"/>
                <w:szCs w:val="21"/>
              </w:rPr>
            </w:pPr>
          </w:p>
        </w:tc>
        <w:tc>
          <w:tcPr>
            <w:tcW w:w="825" w:type="dxa"/>
            <w:noWrap w:val="0"/>
            <w:vAlign w:val="center"/>
          </w:tcPr>
          <w:p>
            <w:pPr>
              <w:spacing w:line="360" w:lineRule="auto"/>
              <w:ind w:left="-4" w:leftChars="-2" w:firstLine="2" w:firstLineChars="1"/>
              <w:rPr>
                <w:rFonts w:hint="eastAsia" w:ascii="宋体" w:hAnsi="宋体" w:eastAsia="宋体" w:cs="宋体"/>
                <w:sz w:val="21"/>
                <w:szCs w:val="21"/>
              </w:rPr>
            </w:pPr>
          </w:p>
        </w:tc>
        <w:tc>
          <w:tcPr>
            <w:tcW w:w="1133" w:type="dxa"/>
            <w:noWrap w:val="0"/>
            <w:vAlign w:val="center"/>
          </w:tcPr>
          <w:p>
            <w:pPr>
              <w:spacing w:line="360" w:lineRule="auto"/>
              <w:ind w:left="-4" w:leftChars="-2" w:firstLine="2" w:firstLineChars="1"/>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c>
          <w:tcPr>
            <w:tcW w:w="825"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c>
          <w:tcPr>
            <w:tcW w:w="1133"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rPr>
                <w:rFonts w:hint="eastAsia" w:ascii="宋体" w:hAnsi="宋体" w:eastAsia="宋体" w:cs="宋体"/>
                <w:spacing w:val="-6"/>
                <w:sz w:val="21"/>
                <w:szCs w:val="21"/>
              </w:rPr>
            </w:pPr>
          </w:p>
        </w:tc>
        <w:tc>
          <w:tcPr>
            <w:tcW w:w="825" w:type="dxa"/>
            <w:noWrap w:val="0"/>
            <w:vAlign w:val="center"/>
          </w:tcPr>
          <w:p>
            <w:pPr>
              <w:spacing w:line="360" w:lineRule="auto"/>
              <w:rPr>
                <w:rFonts w:hint="eastAsia" w:ascii="宋体" w:hAnsi="宋体" w:eastAsia="宋体" w:cs="宋体"/>
                <w:spacing w:val="-6"/>
                <w:sz w:val="21"/>
                <w:szCs w:val="21"/>
              </w:rPr>
            </w:pPr>
          </w:p>
        </w:tc>
        <w:tc>
          <w:tcPr>
            <w:tcW w:w="1133" w:type="dxa"/>
            <w:noWrap w:val="0"/>
            <w:vAlign w:val="center"/>
          </w:tcPr>
          <w:p>
            <w:pPr>
              <w:spacing w:line="360" w:lineRule="auto"/>
              <w:rPr>
                <w:rFonts w:hint="eastAsia" w:ascii="宋体" w:hAnsi="宋体" w:eastAsia="宋体" w:cs="宋体"/>
                <w:spacing w:val="-6"/>
                <w:sz w:val="21"/>
                <w:szCs w:val="21"/>
              </w:rPr>
            </w:pPr>
          </w:p>
        </w:tc>
      </w:tr>
    </w:tbl>
    <w:p>
      <w:pPr>
        <w:autoSpaceDE w:val="0"/>
        <w:autoSpaceDN w:val="0"/>
        <w:adjustRightInd w:val="0"/>
        <w:spacing w:line="480" w:lineRule="auto"/>
        <w:rPr>
          <w:rFonts w:hint="eastAsia" w:asciiTheme="minorEastAsia" w:hAnsiTheme="minorEastAsia" w:eastAsiaTheme="minorEastAsia" w:cstheme="minorEastAsia"/>
          <w:b/>
        </w:rPr>
      </w:pPr>
    </w:p>
    <w:p>
      <w:pPr>
        <w:adjustRightInd w:val="0"/>
        <w:snapToGrid w:val="0"/>
        <w:spacing w:line="480" w:lineRule="auto"/>
        <w:rPr>
          <w:rFonts w:hint="eastAsia" w:asciiTheme="minorEastAsia" w:hAnsiTheme="minorEastAsia" w:eastAsiaTheme="minorEastAsia" w:cstheme="minorEastAsia"/>
          <w:szCs w:val="21"/>
          <w:lang w:eastAsia="zh-CN"/>
        </w:rPr>
      </w:pPr>
    </w:p>
    <w:p>
      <w:pPr>
        <w:pStyle w:val="13"/>
        <w:rPr>
          <w:rFonts w:hint="eastAsia"/>
          <w:lang w:eastAsia="zh-CN"/>
        </w:rPr>
      </w:pPr>
    </w:p>
    <w:p>
      <w:pPr>
        <w:adjustRightInd w:val="0"/>
        <w:snapToGrid w:val="0"/>
        <w:spacing w:line="480" w:lineRule="auto"/>
        <w:jc w:val="center"/>
        <w:outlineLvl w:val="1"/>
        <w:rPr>
          <w:rFonts w:hint="eastAsia" w:asciiTheme="minorEastAsia" w:hAnsiTheme="minorEastAsia" w:eastAsiaTheme="minorEastAsia" w:cstheme="minorEastAsia"/>
          <w:b/>
        </w:rPr>
      </w:pPr>
      <w:bookmarkStart w:id="124" w:name="_Toc31578"/>
      <w:bookmarkStart w:id="125" w:name="_Toc479184125"/>
      <w:bookmarkStart w:id="126" w:name="_Toc15789"/>
      <w:bookmarkStart w:id="127" w:name="_Toc30144"/>
      <w:r>
        <w:rPr>
          <w:rFonts w:hint="eastAsia" w:asciiTheme="minorEastAsia" w:hAnsiTheme="minorEastAsia" w:eastAsiaTheme="minorEastAsia" w:cstheme="minorEastAsia"/>
          <w:b/>
          <w:lang w:val="en-US" w:eastAsia="zh-CN"/>
        </w:rPr>
        <w:t>二</w:t>
      </w:r>
      <w:r>
        <w:rPr>
          <w:rFonts w:hint="eastAsia" w:asciiTheme="minorEastAsia" w:hAnsiTheme="minorEastAsia" w:eastAsiaTheme="minorEastAsia" w:cstheme="minorEastAsia"/>
          <w:b/>
        </w:rPr>
        <w:t>、磋商书</w:t>
      </w:r>
      <w:bookmarkEnd w:id="124"/>
      <w:bookmarkEnd w:id="125"/>
      <w:bookmarkEnd w:id="126"/>
      <w:bookmarkEnd w:id="127"/>
    </w:p>
    <w:p>
      <w:pPr>
        <w:pStyle w:val="21"/>
        <w:rPr>
          <w:rFonts w:hint="eastAsia" w:asciiTheme="minorEastAsia" w:hAnsiTheme="minorEastAsia" w:eastAsiaTheme="minorEastAsia" w:cstheme="minorEastAsia"/>
          <w:b/>
          <w:szCs w:val="21"/>
        </w:rPr>
      </w:pPr>
    </w:p>
    <w:p>
      <w:pPr>
        <w:autoSpaceDE w:val="0"/>
        <w:autoSpaceDN w:val="0"/>
        <w:adjustRightInd w:val="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w:t>
      </w:r>
      <w:r>
        <w:rPr>
          <w:rFonts w:hint="eastAsia" w:asciiTheme="minorEastAsia" w:hAnsiTheme="minorEastAsia" w:eastAsiaTheme="minorEastAsia" w:cstheme="minorEastAsia"/>
          <w:kern w:val="0"/>
          <w:szCs w:val="21"/>
          <w:lang w:val="en-US" w:eastAsia="zh-CN"/>
        </w:rPr>
        <w:t>项目</w:t>
      </w:r>
      <w:r>
        <w:rPr>
          <w:rFonts w:hint="eastAsia" w:asciiTheme="minorEastAsia" w:hAnsiTheme="minorEastAsia" w:eastAsiaTheme="minorEastAsia" w:cstheme="minorEastAsia"/>
          <w:kern w:val="0"/>
          <w:szCs w:val="21"/>
        </w:rPr>
        <w:t>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w:t>
      </w:r>
      <w:r>
        <w:rPr>
          <w:rFonts w:hint="eastAsia" w:asciiTheme="minorEastAsia" w:hAnsiTheme="minorEastAsia" w:eastAsiaTheme="minorEastAsia" w:cstheme="minorEastAsia"/>
          <w:kern w:val="0"/>
          <w:szCs w:val="21"/>
          <w:lang w:val="en-US" w:eastAsia="zh-CN"/>
        </w:rPr>
        <w:t>服务</w:t>
      </w:r>
      <w:r>
        <w:rPr>
          <w:rFonts w:hint="eastAsia" w:asciiTheme="minorEastAsia" w:hAnsiTheme="minorEastAsia" w:eastAsiaTheme="minorEastAsia" w:cstheme="minorEastAsia"/>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4.1</w:t>
      </w:r>
      <w:r>
        <w:rPr>
          <w:rFonts w:hint="eastAsia" w:asciiTheme="minorEastAsia" w:hAnsiTheme="minorEastAsia" w:eastAsiaTheme="minorEastAsia" w:cstheme="minorEastAsia"/>
          <w:b w:val="0"/>
          <w:bCs w:val="0"/>
          <w:lang w:val="en-US" w:eastAsia="zh-CN"/>
        </w:rPr>
        <w:t>与我方单位负责人为同一人的其他单位名称：□无；□有，具体单位名称为：</w:t>
      </w:r>
      <w:r>
        <w:rPr>
          <w:rFonts w:hint="eastAsia" w:asciiTheme="minorEastAsia" w:hAnsiTheme="minorEastAsia" w:eastAsiaTheme="minorEastAsia" w:cstheme="minorEastAsia"/>
          <w:b w:val="0"/>
          <w:bCs w:val="0"/>
          <w:u w:val="single"/>
          <w:lang w:val="en-US" w:eastAsia="zh-CN"/>
        </w:rPr>
        <w:t>     </w:t>
      </w:r>
      <w:r>
        <w:rPr>
          <w:rFonts w:hint="eastAsia" w:asciiTheme="minorEastAsia" w:hAnsiTheme="minorEastAsia" w:eastAsiaTheme="minorEastAsia" w:cstheme="minorEastAsia"/>
          <w:b w:val="0"/>
          <w:bCs w:val="0"/>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u w:val="single"/>
          <w:lang w:val="en-US" w:eastAsia="zh-CN"/>
        </w:rPr>
        <w:t>     </w:t>
      </w:r>
    </w:p>
    <w:p>
      <w:pPr>
        <w:outlineLvl w:val="9"/>
        <w:rPr>
          <w:rFonts w:hint="eastAsia"/>
          <w:lang w:val="en-US" w:eastAsia="zh-CN"/>
        </w:rPr>
      </w:pPr>
      <w:r>
        <w:rPr>
          <w:rFonts w:hint="eastAsia" w:asciiTheme="minorEastAsia" w:hAnsiTheme="minorEastAsia" w:eastAsiaTheme="minorEastAsia" w:cstheme="minorEastAsia"/>
          <w:b/>
          <w:bCs/>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 w:val="21"/>
          <w:szCs w:val="21"/>
          <w:u w:val="single"/>
          <w:lang w:val="en-US" w:eastAsia="zh-CN"/>
        </w:rPr>
        <w:t>90</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rPr>
        <w:t>日历天</w:t>
      </w:r>
      <w:r>
        <w:rPr>
          <w:rFonts w:hint="eastAsia" w:asciiTheme="minorEastAsia" w:hAnsiTheme="minorEastAsia" w:eastAsiaTheme="minorEastAsia" w:cstheme="minorEastAsia"/>
          <w:kern w:val="0"/>
          <w:szCs w:val="21"/>
          <w:lang w:eastAsia="zh-CN"/>
        </w:rPr>
        <w:t>。</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 xml:space="preserve">    8.  我公司若有幸成为本项目的成交供应商，则我公司承诺按照采购文件及成交结果公告规定的方式、时间和金额向采购代理机构交纳成交服务费。</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签字</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bidi w:val="0"/>
        <w:rPr>
          <w:rFonts w:hint="eastAsia"/>
          <w:lang w:val="en-US" w:eastAsia="zh-CN"/>
        </w:rPr>
      </w:pPr>
      <w:bookmarkStart w:id="128" w:name="_Toc24205"/>
      <w:bookmarkStart w:id="129" w:name="_Toc479184126"/>
      <w:bookmarkStart w:id="130" w:name="_Toc31434"/>
      <w:bookmarkStart w:id="131" w:name="_Toc13969"/>
    </w:p>
    <w:p>
      <w:pPr>
        <w:tabs>
          <w:tab w:val="left" w:pos="540"/>
        </w:tabs>
        <w:autoSpaceDE w:val="0"/>
        <w:autoSpaceDN w:val="0"/>
        <w:adjustRightInd w:val="0"/>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三</w:t>
      </w:r>
      <w:r>
        <w:rPr>
          <w:rFonts w:hint="eastAsia" w:asciiTheme="minorEastAsia" w:hAnsiTheme="minorEastAsia" w:eastAsiaTheme="minorEastAsia" w:cstheme="minorEastAsia"/>
          <w:b/>
        </w:rPr>
        <w:t>、法定代表人授权书</w:t>
      </w:r>
      <w:bookmarkEnd w:id="128"/>
      <w:bookmarkEnd w:id="129"/>
      <w:bookmarkEnd w:id="130"/>
      <w:bookmarkEnd w:id="131"/>
    </w:p>
    <w:p>
      <w:pPr>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u w:val="single"/>
          <w:lang w:val="en-US" w:eastAsia="zh-CN"/>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职务：</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p>
    <w:tbl>
      <w:tblPr>
        <w:tblStyle w:val="3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rPr>
            </w:pPr>
            <w:r>
              <w:rPr>
                <w:rFonts w:hint="eastAsia"/>
                <w:lang w:val="en-US" w:eastAsia="zh-CN"/>
              </w:rPr>
              <w:t>授权代表</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p>
            <w:pPr>
              <w:autoSpaceDE w:val="0"/>
              <w:autoSpaceDN w:val="0"/>
              <w:adjustRightInd w:val="0"/>
              <w:spacing w:line="360" w:lineRule="auto"/>
              <w:jc w:val="left"/>
              <w:rPr>
                <w:rFonts w:hint="eastAsia"/>
              </w:rPr>
            </w:pPr>
            <w:r>
              <w:rPr>
                <w:rFonts w:hint="eastAsia"/>
                <w:lang w:val="en-US" w:eastAsia="zh-CN"/>
              </w:rPr>
              <w:t>法定代表</w:t>
            </w:r>
            <w:r>
              <w:rPr>
                <w:rFonts w:hint="eastAsia"/>
              </w:rPr>
              <w:t>人身份证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rPr>
            </w:pPr>
            <w:r>
              <w:rPr>
                <w:rFonts w:hint="eastAsia"/>
                <w:b/>
                <w:bCs/>
              </w:rPr>
              <w:t>注：如法定代表人直接参加磋商并签署响应文件，无须提供本授权书。</w:t>
            </w:r>
          </w:p>
        </w:tc>
      </w:tr>
    </w:tbl>
    <w:p>
      <w:pPr>
        <w:bidi w:val="0"/>
        <w:rPr>
          <w:rFonts w:hint="eastAsia"/>
          <w:lang w:val="en-US" w:eastAsia="zh-CN"/>
        </w:rPr>
      </w:pPr>
      <w:bookmarkStart w:id="132" w:name="_Toc479184127"/>
      <w:bookmarkStart w:id="133" w:name="_Toc30245"/>
      <w:bookmarkStart w:id="134" w:name="_Toc30428"/>
      <w:bookmarkStart w:id="135" w:name="_Toc432149008"/>
      <w:bookmarkStart w:id="136" w:name="_Toc424832832"/>
      <w:bookmarkStart w:id="137" w:name="_Toc29904"/>
      <w:bookmarkStart w:id="138" w:name="_Toc360120184"/>
      <w:bookmarkStart w:id="139" w:name="_Toc12123"/>
    </w:p>
    <w:p>
      <w:pPr>
        <w:pStyle w:val="13"/>
        <w:rPr>
          <w:rFonts w:hint="eastAsia"/>
          <w:lang w:val="en-US" w:eastAsia="zh-CN"/>
        </w:rPr>
      </w:pPr>
    </w:p>
    <w:p>
      <w:pPr>
        <w:rPr>
          <w:rFonts w:hint="eastAsia" w:asciiTheme="minorEastAsia" w:hAnsiTheme="minorEastAsia" w:eastAsiaTheme="minorEastAsia" w:cstheme="minorEastAsia"/>
          <w:b/>
          <w:bCs/>
          <w:kern w:val="0"/>
          <w:szCs w:val="21"/>
          <w:lang w:val="en-US" w:eastAsia="zh-CN"/>
        </w:rPr>
      </w:pPr>
      <w:r>
        <w:rPr>
          <w:rFonts w:hint="eastAsia" w:asciiTheme="minorEastAsia" w:hAnsiTheme="minorEastAsia" w:eastAsiaTheme="minorEastAsia" w:cstheme="minorEastAsia"/>
          <w:b/>
          <w:bCs/>
          <w:kern w:val="0"/>
          <w:szCs w:val="21"/>
          <w:lang w:val="en-US" w:eastAsia="zh-CN"/>
        </w:rPr>
        <w:br w:type="page"/>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kern w:val="0"/>
          <w:szCs w:val="21"/>
          <w:lang w:val="en-US" w:eastAsia="zh-CN"/>
        </w:rPr>
        <w:t>四</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法定代表人身份证明书</w:t>
      </w:r>
      <w:bookmarkEnd w:id="132"/>
      <w:bookmarkEnd w:id="133"/>
      <w:bookmarkEnd w:id="134"/>
      <w:bookmarkEnd w:id="135"/>
      <w:bookmarkEnd w:id="136"/>
      <w:bookmarkEnd w:id="137"/>
      <w:bookmarkEnd w:id="138"/>
      <w:bookmarkEnd w:id="139"/>
    </w:p>
    <w:p>
      <w:pPr>
        <w:spacing w:line="360" w:lineRule="auto"/>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r>
        <w:rPr>
          <w:rFonts w:hint="eastAsia" w:asciiTheme="minorEastAsia" w:hAnsiTheme="minorEastAsia" w:eastAsiaTheme="minorEastAsia" w:cstheme="minorEastAsia"/>
          <w:kern w:val="0"/>
          <w:szCs w:val="21"/>
          <w:lang w:val="en-US" w:eastAsia="zh-CN"/>
        </w:rPr>
        <w:t>签字或盖</w:t>
      </w:r>
      <w:r>
        <w:rPr>
          <w:rFonts w:hint="eastAsia" w:asciiTheme="minorEastAsia" w:hAnsiTheme="minorEastAsia" w:eastAsiaTheme="minorEastAsia" w:cstheme="minorEastAsia"/>
          <w:kern w:val="0"/>
          <w:szCs w:val="21"/>
        </w:rPr>
        <w:t>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tbl>
      <w:tblPr>
        <w:tblStyle w:val="3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kern w:val="0"/>
                <w:szCs w:val="21"/>
              </w:rPr>
            </w:pPr>
          </w:p>
          <w:p>
            <w:pPr>
              <w:spacing w:line="360" w:lineRule="auto"/>
              <w:rPr>
                <w:rFonts w:hint="eastAsia" w:asciiTheme="minorEastAsia" w:hAnsiTheme="minorEastAsia" w:eastAsiaTheme="minorEastAsia" w:cstheme="minorEastAsia"/>
                <w:kern w:val="0"/>
                <w:szCs w:val="21"/>
              </w:rPr>
            </w:pPr>
            <w:r>
              <w:rPr>
                <w:rFonts w:hint="eastAsia"/>
                <w:lang w:val="en-US" w:eastAsia="zh-CN"/>
              </w:rPr>
              <w:t>法定代表人</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bl>
    <w:p>
      <w:pPr>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kern w:val="0"/>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bCs/>
          <w:szCs w:val="21"/>
        </w:rPr>
      </w:pPr>
    </w:p>
    <w:p>
      <w:pPr>
        <w:tabs>
          <w:tab w:val="left" w:pos="3969"/>
        </w:tabs>
        <w:spacing w:line="500" w:lineRule="exact"/>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40" w:name="_Toc432149006"/>
      <w:bookmarkStart w:id="141" w:name="_Toc422466732"/>
      <w:r>
        <w:rPr>
          <w:rFonts w:hint="eastAsia" w:asciiTheme="minorEastAsia" w:hAnsiTheme="minorEastAsia" w:eastAsiaTheme="minorEastAsia" w:cstheme="minorEastAsia"/>
          <w:b/>
          <w:bCs/>
          <w:sz w:val="24"/>
        </w:rPr>
        <w:br w:type="page"/>
      </w:r>
      <w:bookmarkStart w:id="142" w:name="_Toc479184128"/>
      <w:bookmarkStart w:id="143" w:name="_Toc17074"/>
      <w:bookmarkStart w:id="144" w:name="_Toc4741"/>
      <w:bookmarkStart w:id="145" w:name="_Toc4301"/>
      <w:r>
        <w:rPr>
          <w:rFonts w:hint="eastAsia" w:asciiTheme="minorEastAsia" w:hAnsiTheme="minorEastAsia" w:eastAsiaTheme="minorEastAsia" w:cstheme="minorEastAsia"/>
          <w:b/>
          <w:bCs/>
          <w:szCs w:val="21"/>
          <w:lang w:val="en-US" w:eastAsia="zh-CN"/>
        </w:rPr>
        <w:t>五</w:t>
      </w:r>
      <w:r>
        <w:rPr>
          <w:rFonts w:hint="eastAsia" w:asciiTheme="minorEastAsia" w:hAnsiTheme="minorEastAsia" w:eastAsiaTheme="minorEastAsia" w:cstheme="minorEastAsia"/>
          <w:b/>
          <w:bCs/>
          <w:szCs w:val="21"/>
        </w:rPr>
        <w:t>、报价一览表</w:t>
      </w:r>
      <w:bookmarkEnd w:id="140"/>
      <w:bookmarkEnd w:id="141"/>
      <w:bookmarkEnd w:id="142"/>
      <w:bookmarkEnd w:id="143"/>
      <w:bookmarkEnd w:id="144"/>
      <w:bookmarkEnd w:id="145"/>
    </w:p>
    <w:p>
      <w:pPr>
        <w:adjustRightInd w:val="0"/>
        <w:snapToGrid w:val="0"/>
        <w:ind w:left="-88" w:leftChars="-4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30"/>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宋体" w:hAnsi="宋体"/>
                <w:szCs w:val="21"/>
                <w:lang w:val="en-US" w:eastAsia="zh-CN"/>
              </w:rPr>
              <w:t>供应商</w:t>
            </w:r>
            <w:r>
              <w:rPr>
                <w:rFonts w:hint="eastAsia" w:ascii="宋体" w:hAnsi="宋体"/>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both"/>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lang w:val="en-US" w:eastAsia="zh-CN"/>
              </w:rPr>
              <w:t>竞标</w:t>
            </w:r>
            <w:r>
              <w:rPr>
                <w:rFonts w:hint="eastAsia" w:asciiTheme="minorEastAsia" w:hAnsiTheme="minorEastAsia" w:eastAsiaTheme="minorEastAsia" w:cstheme="minorEastAsia"/>
                <w:bCs/>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_______</w:t>
            </w:r>
            <w:r>
              <w:rPr>
                <w:rFonts w:hint="eastAsia" w:asciiTheme="minorEastAsia" w:hAnsiTheme="minorEastAsia" w:eastAsiaTheme="minorEastAsia" w:cstheme="minorEastAsia"/>
                <w:szCs w:val="21"/>
                <w:lang w:eastAsia="zh-CN"/>
              </w:rPr>
              <w:t>元/学生/12学时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优惠声明</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cstheme="minorEastAsia"/>
                <w:szCs w:val="21"/>
                <w:lang w:val="en-US" w:eastAsia="zh-CN"/>
              </w:rPr>
            </w:pPr>
            <w:r>
              <w:rPr>
                <w:rFonts w:hint="default" w:asciiTheme="minorEastAsia" w:hAnsiTheme="minorEastAsia" w:eastAsiaTheme="minorEastAsia" w:cstheme="minorEastAsia"/>
                <w:szCs w:val="21"/>
                <w:lang w:val="en-US" w:eastAsia="zh-CN"/>
              </w:rPr>
              <w:t>□</w:t>
            </w:r>
            <w:r>
              <w:rPr>
                <w:rFonts w:hint="eastAsia" w:asciiTheme="minorEastAsia" w:hAnsiTheme="minorEastAsia" w:eastAsiaTheme="minorEastAsia" w:cstheme="minorEastAsia"/>
                <w:szCs w:val="21"/>
                <w:lang w:val="en-US" w:eastAsia="zh-CN"/>
              </w:rPr>
              <w:t xml:space="preserve">有；      </w:t>
            </w:r>
            <w:r>
              <w:rPr>
                <w:rFonts w:hint="default" w:asciiTheme="minorEastAsia" w:hAnsiTheme="minorEastAsia" w:eastAsiaTheme="minorEastAsia" w:cstheme="minorEastAsia"/>
                <w:szCs w:val="21"/>
                <w:lang w:val="en-US" w:eastAsia="zh-CN"/>
              </w:rPr>
              <w:t>□</w:t>
            </w:r>
            <w:r>
              <w:rPr>
                <w:rFonts w:hint="eastAsia" w:asciiTheme="minorEastAsia" w:hAnsiTheme="minorEastAsia" w:eastAsiaTheme="minorEastAsia" w:cstheme="minorEastAsia"/>
                <w:szCs w:val="21"/>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pStyle w:val="11"/>
              <w:rPr>
                <w:rFonts w:hint="default"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eastAsia="zh-CN"/>
              </w:rPr>
              <w:t>如有优惠声明，</w:t>
            </w:r>
            <w:r>
              <w:rPr>
                <w:rFonts w:hint="default" w:asciiTheme="minorEastAsia" w:hAnsiTheme="minorEastAsia" w:eastAsiaTheme="minorEastAsia" w:cstheme="minorEastAsia"/>
                <w:szCs w:val="21"/>
                <w:lang w:val="en-US" w:eastAsia="zh-CN"/>
              </w:rPr>
              <w:t>优惠声明</w:t>
            </w:r>
            <w:r>
              <w:rPr>
                <w:rFonts w:hint="eastAsia" w:asciiTheme="minorEastAsia" w:hAnsiTheme="minorEastAsia" w:eastAsiaTheme="minorEastAsia" w:cstheme="minorEastAsia"/>
                <w:szCs w:val="21"/>
                <w:lang w:val="en-US" w:eastAsia="zh-CN"/>
              </w:rPr>
              <w:t>后的价格必须与竞标报价一致。</w:t>
            </w:r>
          </w:p>
        </w:tc>
      </w:tr>
    </w:tbl>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价格应按照“供应商须知” 的要求报价。</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szCs w:val="21"/>
          <w:u w:val="single"/>
        </w:rPr>
      </w:pPr>
      <w:bookmarkStart w:id="146" w:name="_Toc259028723"/>
      <w:bookmarkStart w:id="147" w:name="_Toc460258117"/>
      <w:bookmarkStart w:id="148" w:name="_Toc424832831"/>
      <w:bookmarkStart w:id="149" w:name="_Toc432149007"/>
      <w:r>
        <w:rPr>
          <w:rFonts w:hint="eastAsia" w:asciiTheme="minorEastAsia" w:hAnsiTheme="minorEastAsia" w:eastAsiaTheme="minorEastAsia" w:cstheme="minorEastAsia"/>
          <w:b/>
          <w:bCs/>
          <w:sz w:val="24"/>
        </w:rPr>
        <w:br w:type="page"/>
      </w:r>
      <w:bookmarkStart w:id="150" w:name="_Toc18559"/>
      <w:bookmarkStart w:id="151" w:name="_Toc479184129"/>
      <w:bookmarkStart w:id="152" w:name="_Toc1079"/>
      <w:bookmarkStart w:id="153" w:name="_Toc20867"/>
      <w:r>
        <w:rPr>
          <w:rFonts w:hint="eastAsia" w:asciiTheme="minorEastAsia" w:hAnsiTheme="minorEastAsia" w:eastAsiaTheme="minorEastAsia" w:cstheme="minorEastAsia"/>
          <w:b/>
          <w:bCs/>
          <w:szCs w:val="21"/>
          <w:lang w:val="en-US" w:eastAsia="zh-CN"/>
        </w:rPr>
        <w:t>六</w:t>
      </w:r>
      <w:r>
        <w:rPr>
          <w:rFonts w:hint="eastAsia" w:asciiTheme="minorEastAsia" w:hAnsiTheme="minorEastAsia" w:eastAsiaTheme="minorEastAsia" w:cstheme="minorEastAsia"/>
          <w:b/>
          <w:bCs/>
          <w:szCs w:val="21"/>
        </w:rPr>
        <w:t>、</w:t>
      </w:r>
      <w:bookmarkEnd w:id="146"/>
      <w:bookmarkEnd w:id="147"/>
      <w:bookmarkEnd w:id="150"/>
      <w:bookmarkEnd w:id="151"/>
      <w:bookmarkEnd w:id="152"/>
      <w:r>
        <w:rPr>
          <w:rFonts w:hint="eastAsia" w:asciiTheme="minorEastAsia" w:hAnsiTheme="minorEastAsia" w:eastAsiaTheme="minorEastAsia" w:cstheme="minorEastAsia"/>
          <w:b/>
          <w:bCs/>
          <w:szCs w:val="21"/>
          <w:lang w:eastAsia="zh-CN"/>
        </w:rPr>
        <w:t>报价费用构成表</w:t>
      </w:r>
      <w:bookmarkEnd w:id="153"/>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3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630"/>
        <w:gridCol w:w="936"/>
        <w:gridCol w:w="1118"/>
        <w:gridCol w:w="1248"/>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w:t>
            </w: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w:t>
            </w: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总价</w:t>
            </w: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31" w:type="dxa"/>
            <w:gridSpan w:val="4"/>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1"/>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w:t>
      </w:r>
    </w:p>
    <w:p>
      <w:pPr>
        <w:numPr>
          <w:ilvl w:val="0"/>
          <w:numId w:val="41"/>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1"/>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文件。</w:t>
      </w:r>
    </w:p>
    <w:p>
      <w:pPr>
        <w:adjustRightInd w:val="0"/>
        <w:snapToGrid w:val="0"/>
        <w:spacing w:line="360" w:lineRule="auto"/>
        <w:ind w:left="-88" w:leftChars="-42"/>
        <w:rPr>
          <w:rFonts w:hint="eastAsia" w:asciiTheme="minorEastAsia" w:hAnsiTheme="minorEastAsia" w:eastAsiaTheme="minorEastAsia" w:cstheme="minorEastAsia"/>
          <w:b/>
          <w:bCs/>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4" w:name="_Toc479184130"/>
      <w:bookmarkStart w:id="155" w:name="_Toc28656"/>
      <w:bookmarkStart w:id="156" w:name="_Toc26825"/>
      <w:bookmarkStart w:id="157" w:name="_Toc30408"/>
      <w:r>
        <w:rPr>
          <w:rFonts w:hint="eastAsia" w:asciiTheme="minorEastAsia" w:hAnsiTheme="minorEastAsia" w:eastAsiaTheme="minorEastAsia" w:cstheme="minorEastAsia"/>
          <w:b/>
          <w:bCs/>
          <w:szCs w:val="21"/>
          <w:lang w:val="en-US" w:eastAsia="zh-CN"/>
        </w:rPr>
        <w:t>七</w:t>
      </w:r>
      <w:r>
        <w:rPr>
          <w:rFonts w:hint="eastAsia" w:asciiTheme="minorEastAsia" w:hAnsiTheme="minorEastAsia" w:eastAsiaTheme="minorEastAsia" w:cstheme="minorEastAsia"/>
          <w:b/>
          <w:bCs/>
          <w:szCs w:val="21"/>
        </w:rPr>
        <w:t>、耗材清单</w:t>
      </w:r>
      <w:bookmarkEnd w:id="154"/>
      <w:bookmarkEnd w:id="155"/>
      <w:bookmarkEnd w:id="156"/>
      <w:r>
        <w:rPr>
          <w:rFonts w:hint="eastAsia" w:asciiTheme="minorEastAsia" w:hAnsiTheme="minorEastAsia" w:eastAsiaTheme="minorEastAsia" w:cstheme="minorEastAsia"/>
          <w:b/>
          <w:bCs/>
          <w:szCs w:val="21"/>
        </w:rPr>
        <w:t>（如有）</w:t>
      </w:r>
      <w:bookmarkEnd w:id="157"/>
    </w:p>
    <w:p>
      <w:pPr>
        <w:adjustRightInd w:val="0"/>
        <w:snapToGrid w:val="0"/>
        <w:rPr>
          <w:rFonts w:hint="eastAsia" w:asciiTheme="minorEastAsia" w:hAnsiTheme="minorEastAsia" w:eastAsiaTheme="minorEastAsia" w:cstheme="minorEastAsia"/>
          <w:b/>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30"/>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outlineLvl w:val="9"/>
        <w:rPr>
          <w:rFonts w:hint="eastAsia"/>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8" w:name="_Toc32726"/>
      <w:bookmarkStart w:id="159" w:name="_Toc479184131"/>
      <w:bookmarkStart w:id="160" w:name="_Toc7535"/>
      <w:bookmarkStart w:id="161" w:name="_Toc22463"/>
      <w:r>
        <w:rPr>
          <w:rFonts w:hint="eastAsia" w:asciiTheme="minorEastAsia" w:hAnsiTheme="minorEastAsia" w:eastAsiaTheme="minorEastAsia" w:cstheme="minorEastAsia"/>
          <w:b/>
          <w:bCs/>
          <w:szCs w:val="21"/>
          <w:lang w:val="en-US" w:eastAsia="zh-CN"/>
        </w:rPr>
        <w:t>八、拟投入设备/备件、工具情况</w:t>
      </w:r>
      <w:bookmarkEnd w:id="158"/>
      <w:bookmarkEnd w:id="159"/>
      <w:bookmarkEnd w:id="160"/>
      <w:r>
        <w:rPr>
          <w:rFonts w:hint="eastAsia" w:asciiTheme="minorEastAsia" w:hAnsiTheme="minorEastAsia" w:eastAsiaTheme="minorEastAsia" w:cstheme="minorEastAsia"/>
          <w:b/>
          <w:bCs/>
          <w:szCs w:val="21"/>
          <w:lang w:val="en-US" w:eastAsia="zh-CN"/>
        </w:rPr>
        <w:t>（如有）</w:t>
      </w:r>
      <w:bookmarkEnd w:id="161"/>
    </w:p>
    <w:p>
      <w:pPr>
        <w:spacing w:line="360" w:lineRule="auto"/>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30"/>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设备</w:t>
            </w:r>
            <w:r>
              <w:rPr>
                <w:rFonts w:hint="eastAsia" w:asciiTheme="minorEastAsia" w:hAnsiTheme="minorEastAsia" w:eastAsiaTheme="minorEastAsia" w:cstheme="minorEastAsia"/>
                <w:b/>
                <w:bCs/>
                <w:szCs w:val="21"/>
                <w:lang w:val="en-US" w:eastAsia="zh-CN"/>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outlineLvl w:val="9"/>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szCs w:val="21"/>
        </w:rPr>
        <w:br w:type="page"/>
      </w:r>
      <w:bookmarkStart w:id="162" w:name="_Toc450827818"/>
      <w:bookmarkStart w:id="163" w:name="_Toc10449"/>
      <w:bookmarkStart w:id="164" w:name="_Toc27053"/>
      <w:bookmarkStart w:id="165" w:name="_Toc479184132"/>
      <w:bookmarkStart w:id="166" w:name="_Toc12473"/>
      <w:r>
        <w:rPr>
          <w:rFonts w:hint="eastAsia" w:asciiTheme="minorEastAsia" w:hAnsiTheme="minorEastAsia" w:eastAsiaTheme="minorEastAsia" w:cstheme="minorEastAsia"/>
          <w:b/>
          <w:bCs/>
          <w:szCs w:val="21"/>
          <w:lang w:val="en-US" w:eastAsia="zh-CN"/>
        </w:rPr>
        <w:t>九</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eastAsia="zh-CN"/>
        </w:rPr>
        <w:t>缴纳</w:t>
      </w:r>
      <w:r>
        <w:rPr>
          <w:rFonts w:hint="eastAsia" w:asciiTheme="minorEastAsia" w:hAnsiTheme="minorEastAsia" w:eastAsiaTheme="minorEastAsia" w:cstheme="minorEastAsia"/>
          <w:b/>
          <w:bCs/>
          <w:szCs w:val="21"/>
        </w:rPr>
        <w:t>保证金的银行凭证</w:t>
      </w:r>
      <w:bookmarkEnd w:id="162"/>
      <w:bookmarkEnd w:id="163"/>
      <w:bookmarkEnd w:id="164"/>
      <w:bookmarkEnd w:id="165"/>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如有</w:t>
      </w:r>
      <w:r>
        <w:rPr>
          <w:rFonts w:hint="eastAsia" w:asciiTheme="minorEastAsia" w:hAnsiTheme="minorEastAsia" w:eastAsiaTheme="minorEastAsia" w:cstheme="minorEastAsia"/>
          <w:b/>
          <w:bCs/>
          <w:szCs w:val="21"/>
          <w:lang w:eastAsia="zh-CN"/>
        </w:rPr>
        <w:t>）</w:t>
      </w:r>
      <w:bookmarkEnd w:id="166"/>
    </w:p>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bl>
      <w:tblPr>
        <w:tblStyle w:val="30"/>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c>
      </w:tr>
    </w:tbl>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48"/>
    <w:bookmarkEnd w:id="149"/>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67" w:name="_Toc10142"/>
      <w:bookmarkStart w:id="168" w:name="_Toc432149012"/>
      <w:bookmarkStart w:id="169" w:name="_Toc28200"/>
      <w:bookmarkStart w:id="170" w:name="_Toc422466736"/>
      <w:bookmarkStart w:id="171" w:name="_Toc1591"/>
      <w:bookmarkStart w:id="172" w:name="_Toc479184133"/>
      <w:r>
        <w:rPr>
          <w:rFonts w:hint="eastAsia" w:asciiTheme="minorEastAsia" w:hAnsiTheme="minorEastAsia" w:eastAsiaTheme="minorEastAsia" w:cstheme="minorEastAsia"/>
          <w:b/>
          <w:bCs/>
          <w:szCs w:val="21"/>
          <w:lang w:val="en-US" w:eastAsia="zh-CN"/>
        </w:rPr>
        <w:t>十</w:t>
      </w:r>
      <w:r>
        <w:rPr>
          <w:rFonts w:hint="eastAsia" w:asciiTheme="minorEastAsia" w:hAnsiTheme="minorEastAsia" w:eastAsiaTheme="minorEastAsia" w:cstheme="minorEastAsia"/>
          <w:b/>
          <w:bCs/>
          <w:szCs w:val="21"/>
        </w:rPr>
        <w:t>、偏离说明表</w:t>
      </w:r>
      <w:bookmarkEnd w:id="167"/>
      <w:bookmarkEnd w:id="168"/>
      <w:bookmarkEnd w:id="169"/>
      <w:bookmarkEnd w:id="170"/>
      <w:bookmarkEnd w:id="171"/>
      <w:bookmarkEnd w:id="172"/>
    </w:p>
    <w:p>
      <w:pPr>
        <w:adjustRightInd w:val="0"/>
        <w:snapToGrid w:val="0"/>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3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技术</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商务</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w:t>
            </w:r>
            <w:r>
              <w:rPr>
                <w:rFonts w:hint="eastAsia" w:asciiTheme="minorEastAsia" w:hAnsiTheme="minorEastAsia" w:eastAsiaTheme="minorEastAsia" w:cstheme="minorEastAsia"/>
                <w:b/>
                <w:szCs w:val="21"/>
                <w:lang w:val="en-US" w:eastAsia="zh-CN"/>
              </w:rPr>
              <w:t>性</w:t>
            </w:r>
            <w:r>
              <w:rPr>
                <w:rFonts w:hint="eastAsia" w:asciiTheme="minorEastAsia" w:hAnsiTheme="minorEastAsia" w:eastAsiaTheme="minorEastAsia" w:cs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fill="D7D7D7" w:themeFill="background1" w:themeFillShade="D8"/>
                <w:lang w:val="en-US" w:eastAsia="zh-CN"/>
              </w:rPr>
              <w:t>符合性</w:t>
            </w:r>
            <w:r>
              <w:rPr>
                <w:rFonts w:hint="eastAsia" w:asciiTheme="minorEastAsia" w:hAnsiTheme="minorEastAsia" w:eastAsiaTheme="minorEastAsia" w:cstheme="minorEastAsia"/>
                <w:b/>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2"/>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2"/>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b/>
          <w:kern w:val="0"/>
          <w:szCs w:val="21"/>
        </w:rPr>
        <w:br w:type="page"/>
      </w:r>
      <w:bookmarkStart w:id="173" w:name="_Toc32060"/>
      <w:bookmarkStart w:id="174" w:name="_Toc28283"/>
      <w:bookmarkStart w:id="175" w:name="_Toc479184134"/>
      <w:bookmarkStart w:id="176" w:name="_Toc362935521"/>
      <w:bookmarkStart w:id="177" w:name="_Toc432149013"/>
      <w:bookmarkStart w:id="178" w:name="_Toc7457"/>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kern w:val="0"/>
          <w:szCs w:val="21"/>
          <w:lang w:eastAsia="zh-CN"/>
        </w:rPr>
        <w:t>一</w:t>
      </w:r>
      <w:r>
        <w:rPr>
          <w:rFonts w:hint="eastAsia" w:asciiTheme="minorEastAsia" w:hAnsiTheme="minorEastAsia" w:eastAsiaTheme="minorEastAsia" w:cstheme="minorEastAsia"/>
          <w:b/>
          <w:kern w:val="0"/>
          <w:szCs w:val="21"/>
        </w:rPr>
        <w:t>、</w:t>
      </w:r>
      <w:r>
        <w:rPr>
          <w:rFonts w:hint="eastAsia" w:asciiTheme="minorEastAsia" w:hAnsiTheme="minorEastAsia" w:eastAsiaTheme="minorEastAsia" w:cstheme="minorEastAsia"/>
          <w:b/>
          <w:bCs/>
          <w:szCs w:val="21"/>
        </w:rPr>
        <w:t>类似业绩一览表</w:t>
      </w:r>
      <w:bookmarkEnd w:id="173"/>
      <w:bookmarkEnd w:id="174"/>
      <w:bookmarkEnd w:id="175"/>
      <w:bookmarkEnd w:id="176"/>
      <w:bookmarkEnd w:id="177"/>
      <w:bookmarkEnd w:id="178"/>
    </w:p>
    <w:p>
      <w:pPr>
        <w:pStyle w:val="13"/>
        <w:rPr>
          <w:rFonts w:hint="eastAsia"/>
          <w:lang w:eastAsia="zh-CN"/>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30"/>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spacing w:val="-6"/>
                <w:szCs w:val="21"/>
                <w:lang w:val="en-US" w:eastAsia="zh-CN"/>
              </w:rPr>
              <w:t>序号</w:t>
            </w:r>
          </w:p>
        </w:tc>
        <w:tc>
          <w:tcPr>
            <w:tcW w:w="142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名称</w:t>
            </w:r>
          </w:p>
        </w:tc>
        <w:tc>
          <w:tcPr>
            <w:tcW w:w="82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123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9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9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负责人</w:t>
            </w:r>
          </w:p>
        </w:tc>
        <w:tc>
          <w:tcPr>
            <w:tcW w:w="134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19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中标公告网页链接（如有）</w:t>
            </w:r>
          </w:p>
        </w:tc>
        <w:tc>
          <w:tcPr>
            <w:tcW w:w="64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1.附</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供应商承担类似项目的情况填入本表中</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提供业绩合同等评分标准要求的相关</w:t>
      </w:r>
      <w:r>
        <w:rPr>
          <w:rFonts w:hint="eastAsia" w:asciiTheme="minorEastAsia" w:hAnsiTheme="minorEastAsia" w:eastAsiaTheme="minorEastAsia" w:cstheme="minorEastAsia"/>
          <w:szCs w:val="21"/>
        </w:rPr>
        <w:t>证明材料。 无证明材料的内容评审时将不予考虑。</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2.公开竞标成交的类似业绩，还应提供成交/中标公告网页链接。</w:t>
      </w:r>
    </w:p>
    <w:p>
      <w:pPr>
        <w:spacing w:line="360" w:lineRule="auto"/>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3.经查实存在虚假信息（服务单位联系人与实际不符或合同金额不符等）将被取消资格。</w:t>
      </w:r>
    </w:p>
    <w:p>
      <w:pPr>
        <w:spacing w:line="360" w:lineRule="auto"/>
        <w:rPr>
          <w:rFonts w:hint="eastAsia" w:asciiTheme="minorEastAsia" w:hAnsiTheme="minorEastAsia" w:eastAsiaTheme="minorEastAsia" w:cstheme="minorEastAsia"/>
          <w:b/>
          <w:bCs/>
          <w:sz w:val="24"/>
          <w:lang w:eastAsia="zh-CN"/>
        </w:rPr>
      </w:pPr>
      <w:bookmarkStart w:id="179" w:name="_Toc454806053"/>
      <w:bookmarkStart w:id="180" w:name="_Toc460258118"/>
    </w:p>
    <w:p>
      <w:pPr>
        <w:pStyle w:val="13"/>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1" w:name="_Toc20207"/>
      <w:bookmarkStart w:id="182" w:name="_Toc4834"/>
      <w:bookmarkStart w:id="183" w:name="_Toc30455"/>
      <w:bookmarkStart w:id="184" w:name="_Toc479184135"/>
      <w:r>
        <w:rPr>
          <w:rFonts w:hint="eastAsia" w:asciiTheme="minorEastAsia" w:hAnsiTheme="minorEastAsia" w:eastAsiaTheme="minorEastAsia" w:cstheme="minorEastAsia"/>
          <w:b/>
          <w:bCs/>
          <w:szCs w:val="21"/>
        </w:rPr>
        <w:t>十</w:t>
      </w:r>
      <w:r>
        <w:rPr>
          <w:rFonts w:hint="eastAsia" w:asciiTheme="minorEastAsia" w:hAnsiTheme="minorEastAsia" w:eastAsiaTheme="minorEastAsia" w:cstheme="minorEastAsia"/>
          <w:b/>
          <w:bCs/>
          <w:szCs w:val="21"/>
          <w:lang w:val="en-US" w:eastAsia="zh-CN"/>
        </w:rPr>
        <w:t>二</w:t>
      </w:r>
      <w:r>
        <w:rPr>
          <w:rFonts w:hint="eastAsia" w:asciiTheme="minorEastAsia" w:hAnsiTheme="minorEastAsia" w:eastAsiaTheme="minorEastAsia" w:cstheme="minorEastAsia"/>
          <w:b/>
          <w:bCs/>
          <w:szCs w:val="21"/>
        </w:rPr>
        <w:t>、拟投入项目组人员一览表</w:t>
      </w:r>
      <w:bookmarkEnd w:id="179"/>
      <w:bookmarkEnd w:id="180"/>
      <w:bookmarkEnd w:id="181"/>
      <w:bookmarkEnd w:id="182"/>
      <w:bookmarkEnd w:id="183"/>
      <w:bookmarkEnd w:id="184"/>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30"/>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w:t>
            </w:r>
            <w:r>
              <w:rPr>
                <w:rFonts w:hint="eastAsia" w:asciiTheme="minorEastAsia" w:hAnsiTheme="minorEastAsia" w:eastAsiaTheme="minorEastAsia" w:cstheme="minorEastAsia"/>
                <w:szCs w:val="21"/>
                <w:lang w:val="en-US" w:eastAsia="zh-CN"/>
              </w:rPr>
              <w:t>担</w:t>
            </w:r>
            <w:r>
              <w:rPr>
                <w:rFonts w:hint="eastAsia" w:asciiTheme="minorEastAsia" w:hAnsiTheme="minorEastAsia" w:eastAsiaTheme="minorEastAsia" w:cstheme="minorEastAsia"/>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w:t>
      </w:r>
      <w:r>
        <w:rPr>
          <w:rFonts w:hint="eastAsia" w:asciiTheme="minorEastAsia" w:hAnsiTheme="minorEastAsia" w:eastAsiaTheme="minorEastAsia" w:cstheme="minorEastAsia"/>
          <w:szCs w:val="21"/>
          <w:lang w:val="en-US" w:eastAsia="zh-CN"/>
        </w:rPr>
        <w:t>身份证、劳动合同、社保证明、</w:t>
      </w:r>
      <w:r>
        <w:rPr>
          <w:rFonts w:hint="eastAsia"/>
        </w:rPr>
        <w:t>职称证书</w:t>
      </w:r>
      <w:r>
        <w:rPr>
          <w:rFonts w:hint="eastAsia"/>
          <w:lang w:eastAsia="zh-CN"/>
        </w:rPr>
        <w:t>、</w:t>
      </w:r>
      <w:r>
        <w:rPr>
          <w:rFonts w:hint="eastAsia"/>
        </w:rPr>
        <w:t>学历证书</w:t>
      </w:r>
      <w:r>
        <w:rPr>
          <w:rFonts w:hint="eastAsia" w:asciiTheme="minorEastAsia" w:hAnsiTheme="minorEastAsia" w:eastAsiaTheme="minorEastAsia" w:cstheme="minorEastAsia"/>
          <w:szCs w:val="21"/>
        </w:rPr>
        <w:t>等</w:t>
      </w:r>
      <w:r>
        <w:rPr>
          <w:rFonts w:hint="eastAsia" w:asciiTheme="minorEastAsia" w:hAnsiTheme="minorEastAsia" w:eastAsiaTheme="minorEastAsia" w:cstheme="minorEastAsia"/>
          <w:szCs w:val="21"/>
          <w:lang w:val="en-US" w:eastAsia="zh-CN"/>
        </w:rPr>
        <w:t>评分标准要求的其他相关</w:t>
      </w:r>
      <w:r>
        <w:rPr>
          <w:rFonts w:hint="eastAsia" w:asciiTheme="minorEastAsia" w:hAnsiTheme="minorEastAsia" w:eastAsiaTheme="minorEastAsia" w:cstheme="minorEastAsia"/>
          <w:szCs w:val="21"/>
        </w:rPr>
        <w:t>证明材料。无证明材料的内容评审时将不予考虑。</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kern w:val="0"/>
          <w:szCs w:val="21"/>
          <w:lang w:eastAsia="zh-CN"/>
        </w:rPr>
      </w:pPr>
    </w:p>
    <w:p>
      <w:pPr>
        <w:pStyle w:val="13"/>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85" w:name="_Toc422466737"/>
      <w:bookmarkStart w:id="186" w:name="_Toc479184136"/>
      <w:bookmarkStart w:id="187" w:name="_Toc432149014"/>
      <w:bookmarkStart w:id="188" w:name="_Toc10429"/>
      <w:bookmarkStart w:id="189" w:name="_Toc26838"/>
      <w:bookmarkStart w:id="190" w:name="_Toc24501"/>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供应商的资格声明</w:t>
      </w:r>
      <w:bookmarkEnd w:id="185"/>
      <w:bookmarkEnd w:id="186"/>
      <w:bookmarkEnd w:id="187"/>
      <w:bookmarkEnd w:id="188"/>
      <w:bookmarkEnd w:id="189"/>
      <w:bookmarkEnd w:id="190"/>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3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1" w:name="_Toc25412"/>
      <w:bookmarkStart w:id="192" w:name="_Toc259028731"/>
      <w:bookmarkStart w:id="193" w:name="_Toc17527"/>
      <w:bookmarkStart w:id="194" w:name="_Toc479184137"/>
      <w:bookmarkStart w:id="195" w:name="_Toc450827823"/>
      <w:bookmarkStart w:id="196" w:name="_Toc17331"/>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四</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资格证明文件</w:t>
      </w:r>
      <w:bookmarkEnd w:id="191"/>
      <w:bookmarkEnd w:id="192"/>
      <w:bookmarkEnd w:id="193"/>
      <w:bookmarkEnd w:id="194"/>
      <w:bookmarkEnd w:id="195"/>
      <w:bookmarkEnd w:id="196"/>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提供第</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val="en-US" w:eastAsia="zh-CN"/>
        </w:rPr>
        <w:t>第二款</w:t>
      </w:r>
      <w:r>
        <w:rPr>
          <w:rFonts w:hint="eastAsia" w:asciiTheme="minorEastAsia" w:hAnsiTheme="minorEastAsia" w:eastAsiaTheme="minorEastAsia" w:cstheme="minorEastAsia"/>
          <w:szCs w:val="21"/>
        </w:rPr>
        <w:t>资格要求</w:t>
      </w:r>
      <w:r>
        <w:rPr>
          <w:rFonts w:hint="eastAsia" w:asciiTheme="minorEastAsia" w:hAnsiTheme="minorEastAsia" w:eastAsiaTheme="minorEastAsia" w:cstheme="minorEastAsia"/>
          <w:szCs w:val="21"/>
          <w:lang w:val="en-US" w:eastAsia="zh-CN"/>
        </w:rPr>
        <w:t>的</w:t>
      </w:r>
      <w:r>
        <w:rPr>
          <w:rFonts w:hint="eastAsia" w:asciiTheme="minorEastAsia" w:hAnsiTheme="minorEastAsia" w:eastAsiaTheme="minorEastAsia" w:cstheme="minorEastAsia"/>
          <w:szCs w:val="21"/>
        </w:rPr>
        <w:t>资格证明文件的</w:t>
      </w:r>
      <w:r>
        <w:rPr>
          <w:rFonts w:hint="eastAsia" w:asciiTheme="minorEastAsia" w:hAnsiTheme="minorEastAsia" w:eastAsiaTheme="minorEastAsia" w:cstheme="minorEastAsia"/>
          <w:szCs w:val="21"/>
          <w:lang w:val="en-US" w:eastAsia="zh-CN"/>
        </w:rPr>
        <w:t>真彩扫描件，详见第二章供应商须知前附表14.1条款内容。</w:t>
      </w:r>
    </w:p>
    <w:p>
      <w:pPr>
        <w:rPr>
          <w:rFonts w:hint="eastAsia" w:asciiTheme="minorEastAsia" w:hAnsiTheme="minorEastAsia" w:eastAsiaTheme="minorEastAsia" w:cstheme="minorEastAsia"/>
          <w:szCs w:val="21"/>
        </w:rPr>
      </w:pPr>
    </w:p>
    <w:p>
      <w:pPr>
        <w:adjustRightInd w:val="0"/>
        <w:snapToGrid w:val="0"/>
        <w:spacing w:line="360" w:lineRule="auto"/>
        <w:ind w:left="-88" w:leftChars="-42"/>
        <w:jc w:val="center"/>
        <w:rPr>
          <w:rFonts w:hint="eastAsia" w:asciiTheme="minorEastAsia" w:hAnsiTheme="minorEastAsia" w:eastAsiaTheme="minorEastAsia" w:cstheme="minorEastAsia"/>
          <w:szCs w:val="21"/>
        </w:rPr>
      </w:pPr>
    </w:p>
    <w:p>
      <w:pPr>
        <w:spacing w:line="360" w:lineRule="auto"/>
        <w:ind w:left="168" w:leftChars="80"/>
        <w:jc w:val="center"/>
        <w:outlineLvl w:val="9"/>
        <w:rPr>
          <w:rFonts w:hint="eastAsia" w:asciiTheme="minorEastAsia" w:hAnsiTheme="minorEastAsia" w:eastAsiaTheme="minorEastAsia" w:cstheme="minorEastAsia"/>
          <w:bCs/>
          <w:szCs w:val="21"/>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bidi w:val="0"/>
        <w:rPr>
          <w:rFonts w:hint="eastAsia"/>
          <w:lang w:eastAsia="zh-CN"/>
        </w:rPr>
      </w:pPr>
      <w:bookmarkStart w:id="197" w:name="_Toc5793"/>
      <w:bookmarkStart w:id="198" w:name="_Toc18555"/>
      <w:bookmarkStart w:id="199" w:name="_Toc427239751"/>
      <w:bookmarkStart w:id="200" w:name="_Toc32187"/>
      <w:bookmarkStart w:id="201" w:name="_Toc358447587"/>
      <w:bookmarkStart w:id="202" w:name="_Toc364868916"/>
      <w:bookmarkStart w:id="203" w:name="_Toc290207179"/>
      <w:bookmarkStart w:id="204" w:name="_Toc32162"/>
    </w:p>
    <w:p>
      <w:pPr>
        <w:pStyle w:val="13"/>
        <w:rPr>
          <w:rFonts w:hint="eastAsia"/>
          <w:lang w:eastAsia="zh-CN"/>
        </w:rPr>
      </w:pPr>
    </w:p>
    <w:p>
      <w:pPr>
        <w:pStyle w:val="13"/>
        <w:rPr>
          <w:rFonts w:hint="eastAsia"/>
          <w:lang w:eastAsia="zh-CN"/>
        </w:rPr>
      </w:pPr>
    </w:p>
    <w:p>
      <w:pPr>
        <w:rPr>
          <w:rFonts w:hint="eastAsia" w:asciiTheme="minorEastAsia" w:hAnsiTheme="minorEastAsia" w:eastAsiaTheme="minorEastAsia" w:cstheme="minorEastAsia"/>
          <w:b/>
          <w:bCs/>
          <w:kern w:val="0"/>
          <w:szCs w:val="21"/>
          <w:lang w:val="en-US" w:eastAsia="zh-CN"/>
        </w:rPr>
      </w:pPr>
      <w:r>
        <w:rPr>
          <w:rFonts w:hint="eastAsia" w:asciiTheme="minorEastAsia" w:hAnsiTheme="minorEastAsia" w:eastAsiaTheme="minorEastAsia" w:cstheme="minorEastAsia"/>
          <w:b/>
          <w:bCs/>
          <w:kern w:val="0"/>
          <w:szCs w:val="21"/>
          <w:lang w:val="en-US" w:eastAsia="zh-CN"/>
        </w:rPr>
        <w:br w:type="page"/>
      </w:r>
    </w:p>
    <w:p>
      <w:pPr>
        <w:spacing w:line="360" w:lineRule="auto"/>
        <w:ind w:left="168" w:leftChars="80"/>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kern w:val="0"/>
          <w:szCs w:val="21"/>
          <w:lang w:val="en-US" w:eastAsia="zh-CN"/>
        </w:rPr>
        <w:t>十五、</w:t>
      </w:r>
      <w:bookmarkEnd w:id="197"/>
      <w:bookmarkEnd w:id="198"/>
      <w:bookmarkEnd w:id="199"/>
      <w:bookmarkEnd w:id="200"/>
      <w:bookmarkEnd w:id="201"/>
      <w:bookmarkEnd w:id="202"/>
      <w:bookmarkEnd w:id="203"/>
      <w:bookmarkStart w:id="205" w:name="_Toc27229"/>
      <w:bookmarkStart w:id="206" w:name="_Toc479184138"/>
      <w:bookmarkStart w:id="207" w:name="_Toc29785"/>
      <w:bookmarkStart w:id="208" w:name="_Toc460258123"/>
      <w:r>
        <w:rPr>
          <w:rFonts w:hint="eastAsia" w:asciiTheme="minorEastAsia" w:hAnsiTheme="minorEastAsia" w:eastAsiaTheme="minorEastAsia" w:cstheme="minorEastAsia"/>
          <w:b/>
        </w:rPr>
        <w:t>报价技术文件</w:t>
      </w:r>
      <w:bookmarkEnd w:id="204"/>
      <w:bookmarkEnd w:id="205"/>
      <w:bookmarkEnd w:id="206"/>
      <w:bookmarkEnd w:id="207"/>
      <w:bookmarkEnd w:id="208"/>
    </w:p>
    <w:p>
      <w:pPr>
        <w:rPr>
          <w:rFonts w:hint="eastAsia" w:asciiTheme="minorEastAsia" w:hAnsiTheme="minorEastAsia" w:eastAsiaTheme="minorEastAsia" w:cstheme="minorEastAsia"/>
          <w:szCs w:val="21"/>
        </w:rPr>
      </w:pPr>
    </w:p>
    <w:p>
      <w:pPr>
        <w:pStyle w:val="101"/>
        <w:spacing w:line="360" w:lineRule="auto"/>
        <w:ind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以下内容仅供参考，格式自拟。</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rPr>
        <w:br w:type="page"/>
      </w:r>
      <w:bookmarkStart w:id="209" w:name="_Toc22465"/>
      <w:bookmarkStart w:id="210" w:name="_Toc422466739"/>
      <w:bookmarkStart w:id="211" w:name="_Toc432149016"/>
      <w:bookmarkStart w:id="212" w:name="_Toc479184140"/>
      <w:bookmarkStart w:id="213" w:name="_Toc356836516"/>
      <w:bookmarkStart w:id="214" w:name="_Toc12119"/>
      <w:bookmarkStart w:id="215" w:name="_Toc355802499"/>
      <w:bookmarkStart w:id="216" w:name="_Toc2101"/>
      <w:bookmarkStart w:id="217" w:name="_Toc8098"/>
      <w:bookmarkStart w:id="218" w:name="_Toc11098"/>
      <w:r>
        <w:rPr>
          <w:rFonts w:hint="eastAsia" w:asciiTheme="minorEastAsia" w:hAnsiTheme="minorEastAsia" w:eastAsiaTheme="minorEastAsia" w:cstheme="minorEastAsia"/>
          <w:b/>
        </w:rPr>
        <w:t>十</w:t>
      </w:r>
      <w:r>
        <w:rPr>
          <w:rFonts w:hint="eastAsia" w:asciiTheme="minorEastAsia" w:hAnsiTheme="minorEastAsia" w:eastAsiaTheme="minorEastAsia" w:cstheme="minorEastAsia"/>
          <w:b/>
          <w:lang w:val="en-US" w:eastAsia="zh-CN"/>
        </w:rPr>
        <w:t>六</w:t>
      </w:r>
      <w:r>
        <w:rPr>
          <w:rFonts w:hint="eastAsia" w:asciiTheme="minorEastAsia" w:hAnsiTheme="minorEastAsia" w:eastAsiaTheme="minorEastAsia" w:cstheme="minorEastAsia"/>
          <w:b/>
        </w:rPr>
        <w:t>、</w:t>
      </w:r>
      <w:bookmarkEnd w:id="209"/>
      <w:bookmarkEnd w:id="210"/>
      <w:bookmarkEnd w:id="211"/>
      <w:bookmarkEnd w:id="212"/>
      <w:bookmarkEnd w:id="213"/>
      <w:bookmarkEnd w:id="214"/>
      <w:bookmarkEnd w:id="215"/>
      <w:bookmarkEnd w:id="216"/>
      <w:bookmarkEnd w:id="217"/>
      <w:r>
        <w:rPr>
          <w:rFonts w:hint="eastAsia" w:asciiTheme="minorEastAsia" w:hAnsiTheme="minorEastAsia" w:eastAsiaTheme="minorEastAsia" w:cstheme="minorEastAsia"/>
          <w:b/>
          <w:lang w:val="zh-CN"/>
        </w:rPr>
        <w:t>中小企业声明函（工</w:t>
      </w:r>
      <w:r>
        <w:rPr>
          <w:rFonts w:hint="eastAsia" w:asciiTheme="minorEastAsia" w:hAnsiTheme="minorEastAsia" w:eastAsiaTheme="minorEastAsia" w:cstheme="minorEastAsia"/>
          <w:b/>
          <w:color w:val="auto"/>
          <w:lang w:val="zh-CN"/>
        </w:rPr>
        <w:t>程、服务）（若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18"/>
    </w:p>
    <w:p>
      <w:pPr>
        <w:spacing w:line="360" w:lineRule="auto"/>
        <w:jc w:val="center"/>
        <w:rPr>
          <w:rFonts w:ascii="宋体" w:hAnsi="宋体" w:eastAsia="宋体" w:cs="宋体"/>
          <w:color w:val="auto"/>
          <w:sz w:val="21"/>
          <w:szCs w:val="21"/>
        </w:rPr>
      </w:pPr>
      <w:r>
        <w:rPr>
          <w:rFonts w:hint="eastAsia" w:asciiTheme="minorEastAsia" w:hAnsiTheme="minorEastAsia" w:eastAsiaTheme="minorEastAsia" w:cstheme="minorEastAsia"/>
          <w:color w:val="auto"/>
          <w:spacing w:val="6"/>
          <w:sz w:val="21"/>
          <w:szCs w:val="21"/>
          <w:lang w:val="en-US" w:eastAsia="zh-CN"/>
        </w:rPr>
        <w:t xml:space="preserve"> </w:t>
      </w:r>
      <w:r>
        <w:rPr>
          <w:rFonts w:ascii="宋体" w:hAnsi="宋体" w:eastAsia="宋体" w:cs="宋体"/>
          <w:color w:val="auto"/>
          <w:sz w:val="21"/>
          <w:szCs w:val="21"/>
        </w:rPr>
        <w:t>中小企业声明函（</w:t>
      </w:r>
      <w:r>
        <w:rPr>
          <w:rFonts w:hint="eastAsia" w:ascii="宋体" w:hAnsi="宋体" w:cs="宋体"/>
          <w:color w:val="auto"/>
          <w:sz w:val="21"/>
          <w:szCs w:val="21"/>
          <w:lang w:val="en-US" w:eastAsia="zh-CN"/>
        </w:rPr>
        <w:t>工程、服务</w:t>
      </w:r>
      <w:r>
        <w:rPr>
          <w:rFonts w:ascii="宋体" w:hAnsi="宋体" w:eastAsia="宋体" w:cs="宋体"/>
          <w:color w:val="auto"/>
          <w:sz w:val="21"/>
          <w:szCs w:val="21"/>
        </w:rPr>
        <w:t>）</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rPr>
        <w:t>本公司（联合体）郑重声明，根据《政府采购促进中小企业发展管理办法》（财库﹝2020﹞46 号）的规定，本公司（联合体）参加</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highlight w:val="none"/>
          <w:u w:val="single"/>
        </w:rPr>
        <w:t>（单位名称）</w:t>
      </w:r>
      <w:r>
        <w:rPr>
          <w:rFonts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u w:val="single"/>
        </w:rPr>
        <w:t>（项目名称）</w:t>
      </w:r>
      <w:r>
        <w:rPr>
          <w:rFonts w:ascii="宋体" w:hAnsi="宋体" w:eastAsia="宋体" w:cs="宋体"/>
          <w:color w:val="auto"/>
          <w:sz w:val="21"/>
          <w:szCs w:val="21"/>
          <w:highlight w:val="none"/>
        </w:rPr>
        <w:t>采购活动，</w:t>
      </w:r>
      <w:r>
        <w:rPr>
          <w:rFonts w:hint="eastAsia" w:ascii="宋体" w:hAnsi="宋体" w:eastAsia="宋体" w:cs="宋体"/>
          <w:color w:val="auto"/>
          <w:sz w:val="21"/>
          <w:szCs w:val="21"/>
          <w:highlight w:val="none"/>
        </w:rPr>
        <w:t>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color w:val="auto"/>
          <w:sz w:val="21"/>
          <w:szCs w:val="21"/>
          <w:highlight w:val="none"/>
          <w:lang w:val="en-US" w:eastAsia="zh-CN"/>
        </w:rPr>
        <w:t xml:space="preserve">    </w:t>
      </w:r>
      <w:r>
        <w:rPr>
          <w:rFonts w:ascii="宋体" w:hAnsi="宋体" w:eastAsia="宋体" w:cs="宋体"/>
          <w:color w:val="auto"/>
          <w:sz w:val="21"/>
          <w:szCs w:val="21"/>
          <w:highlight w:val="none"/>
        </w:rPr>
        <w:t xml:space="preserve">1. </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u w:val="single"/>
        </w:rPr>
        <w:t>（标的名称）</w:t>
      </w:r>
      <w:r>
        <w:rPr>
          <w:rFonts w:ascii="宋体" w:hAnsi="宋体" w:eastAsia="宋体" w:cs="宋体"/>
          <w:color w:val="auto"/>
          <w:sz w:val="21"/>
          <w:szCs w:val="21"/>
          <w:highlight w:val="none"/>
        </w:rPr>
        <w:t xml:space="preserve"> ，属于</w:t>
      </w:r>
      <w:r>
        <w:rPr>
          <w:rFonts w:hint="eastAsia" w:ascii="宋体" w:hAnsi="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u w:val="single"/>
        </w:rPr>
        <w:t>（采购文</w:t>
      </w:r>
      <w:r>
        <w:rPr>
          <w:rFonts w:ascii="宋体" w:hAnsi="宋体" w:eastAsia="宋体" w:cs="宋体"/>
          <w:sz w:val="21"/>
          <w:szCs w:val="21"/>
          <w:highlight w:val="none"/>
          <w:u w:val="single"/>
        </w:rPr>
        <w:t>件中明确的所属行业）</w:t>
      </w:r>
      <w:r>
        <w:rPr>
          <w:rFonts w:ascii="宋体" w:hAnsi="宋体" w:eastAsia="宋体" w:cs="宋体"/>
          <w:sz w:val="21"/>
          <w:szCs w:val="21"/>
          <w:highlight w:val="none"/>
        </w:rPr>
        <w:t xml:space="preserve"> 行业；</w:t>
      </w:r>
      <w:r>
        <w:rPr>
          <w:rFonts w:hint="eastAsia" w:ascii="宋体" w:hAnsi="宋体" w:eastAsia="宋体" w:cs="宋体"/>
          <w:sz w:val="21"/>
          <w:szCs w:val="21"/>
          <w:highlight w:val="none"/>
        </w:rPr>
        <w:t>承建（承接）企业为</w:t>
      </w:r>
      <w:r>
        <w:rPr>
          <w:rFonts w:hint="eastAsia" w:ascii="宋体" w:hAnsi="宋体" w:cs="宋体"/>
          <w:sz w:val="21"/>
          <w:szCs w:val="21"/>
          <w:highlight w:val="none"/>
          <w:u w:val="single"/>
          <w:lang w:val="en-US" w:eastAsia="zh-CN"/>
        </w:rPr>
        <w:t xml:space="preserve">     </w:t>
      </w:r>
      <w:r>
        <w:rPr>
          <w:rFonts w:ascii="宋体" w:hAnsi="宋体" w:eastAsia="宋体" w:cs="宋体"/>
          <w:sz w:val="21"/>
          <w:szCs w:val="21"/>
          <w:highlight w:val="none"/>
          <w:u w:val="single"/>
        </w:rPr>
        <w:t>（企业名称）</w:t>
      </w:r>
      <w:r>
        <w:rPr>
          <w:rFonts w:ascii="宋体" w:hAnsi="宋体" w:eastAsia="宋体" w:cs="宋体"/>
          <w:sz w:val="21"/>
          <w:szCs w:val="21"/>
          <w:highlight w:val="none"/>
        </w:rPr>
        <w:t>，从业人员</w:t>
      </w:r>
      <w:r>
        <w:rPr>
          <w:rFonts w:hint="eastAsia" w:ascii="宋体" w:hAnsi="宋体" w:eastAsia="宋体" w:cs="宋体"/>
          <w:sz w:val="21"/>
          <w:szCs w:val="21"/>
          <w:highlight w:val="none"/>
          <w:u w:val="single"/>
          <w:lang w:val="en-US" w:eastAsia="zh-CN"/>
        </w:rPr>
        <w:t xml:space="preserve">        </w:t>
      </w:r>
      <w:r>
        <w:rPr>
          <w:rFonts w:ascii="宋体" w:hAnsi="宋体" w:eastAsia="宋体" w:cs="宋体"/>
          <w:sz w:val="21"/>
          <w:szCs w:val="21"/>
          <w:highlight w:val="none"/>
        </w:rPr>
        <w:t>人，营业收入为</w:t>
      </w:r>
      <w:r>
        <w:rPr>
          <w:rFonts w:hint="eastAsia" w:ascii="宋体" w:hAnsi="宋体" w:eastAsia="宋体" w:cs="宋体"/>
          <w:sz w:val="21"/>
          <w:szCs w:val="21"/>
          <w:highlight w:val="none"/>
          <w:u w:val="single"/>
          <w:lang w:val="en-US" w:eastAsia="zh-CN"/>
        </w:rPr>
        <w:t xml:space="preserve">        </w:t>
      </w:r>
      <w:r>
        <w:rPr>
          <w:rFonts w:ascii="宋体" w:hAnsi="宋体" w:eastAsia="宋体" w:cs="宋体"/>
          <w:sz w:val="21"/>
          <w:szCs w:val="21"/>
          <w:highlight w:val="none"/>
        </w:rPr>
        <w:t>万元，资产总额为</w:t>
      </w:r>
      <w:r>
        <w:rPr>
          <w:rFonts w:hint="eastAsia" w:ascii="宋体" w:hAnsi="宋体" w:eastAsia="宋体" w:cs="宋体"/>
          <w:sz w:val="21"/>
          <w:szCs w:val="21"/>
          <w:highlight w:val="none"/>
          <w:u w:val="single"/>
          <w:lang w:val="en-US" w:eastAsia="zh-CN"/>
        </w:rPr>
        <w:t xml:space="preserve">        </w:t>
      </w:r>
      <w:r>
        <w:rPr>
          <w:rFonts w:ascii="宋体" w:hAnsi="宋体" w:eastAsia="宋体" w:cs="宋体"/>
          <w:sz w:val="21"/>
          <w:szCs w:val="21"/>
          <w:highlight w:val="none"/>
        </w:rPr>
        <w:t>万元，属于</w:t>
      </w:r>
      <w:r>
        <w:rPr>
          <w:rFonts w:ascii="宋体" w:hAnsi="宋体" w:eastAsia="宋体" w:cs="宋体"/>
          <w:sz w:val="21"/>
          <w:szCs w:val="21"/>
          <w:highlight w:val="none"/>
          <w:u w:val="single"/>
        </w:rPr>
        <w:t>（中型企业、小型企业、微型企业）；</w:t>
      </w:r>
      <w:r>
        <w:rPr>
          <w:rFonts w:ascii="宋体" w:hAnsi="宋体" w:eastAsia="宋体" w:cs="宋体"/>
          <w:sz w:val="21"/>
          <w:szCs w:val="21"/>
          <w:highlight w:val="none"/>
        </w:rPr>
        <w:t xml:space="preserve"> </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 xml:space="preserve">    </w:t>
      </w:r>
      <w:r>
        <w:rPr>
          <w:rFonts w:ascii="宋体" w:hAnsi="宋体" w:eastAsia="宋体" w:cs="宋体"/>
          <w:sz w:val="21"/>
          <w:szCs w:val="21"/>
          <w:highlight w:val="none"/>
        </w:rPr>
        <w:t xml:space="preserve">2. </w:t>
      </w:r>
      <w:r>
        <w:rPr>
          <w:rFonts w:hint="eastAsia" w:ascii="宋体" w:hAnsi="宋体" w:eastAsia="宋体" w:cs="宋体"/>
          <w:sz w:val="21"/>
          <w:szCs w:val="21"/>
          <w:highlight w:val="none"/>
          <w:u w:val="single"/>
          <w:lang w:val="en-US" w:eastAsia="zh-CN"/>
        </w:rPr>
        <w:t xml:space="preserve">        </w:t>
      </w:r>
      <w:r>
        <w:rPr>
          <w:rFonts w:ascii="宋体" w:hAnsi="宋体" w:eastAsia="宋体" w:cs="宋体"/>
          <w:sz w:val="21"/>
          <w:szCs w:val="21"/>
          <w:highlight w:val="none"/>
          <w:u w:val="single"/>
        </w:rPr>
        <w:t>（标的名称）</w:t>
      </w:r>
      <w:r>
        <w:rPr>
          <w:rFonts w:ascii="宋体" w:hAnsi="宋体" w:eastAsia="宋体" w:cs="宋体"/>
          <w:sz w:val="21"/>
          <w:szCs w:val="21"/>
          <w:highlight w:val="none"/>
        </w:rPr>
        <w:t xml:space="preserve"> ，属于</w:t>
      </w:r>
      <w:r>
        <w:rPr>
          <w:rFonts w:hint="eastAsia" w:ascii="宋体" w:hAnsi="宋体" w:cs="宋体"/>
          <w:sz w:val="21"/>
          <w:szCs w:val="21"/>
          <w:highlight w:val="none"/>
          <w:u w:val="single"/>
          <w:lang w:val="en-US" w:eastAsia="zh-CN"/>
        </w:rPr>
        <w:t xml:space="preserve">               </w:t>
      </w:r>
      <w:r>
        <w:rPr>
          <w:rFonts w:ascii="宋体" w:hAnsi="宋体" w:eastAsia="宋体" w:cs="宋体"/>
          <w:sz w:val="21"/>
          <w:szCs w:val="21"/>
          <w:highlight w:val="none"/>
          <w:u w:val="single"/>
        </w:rPr>
        <w:t>（采购文件中明确的所属行业）</w:t>
      </w:r>
      <w:r>
        <w:rPr>
          <w:rFonts w:ascii="宋体" w:hAnsi="宋体" w:eastAsia="宋体" w:cs="宋体"/>
          <w:sz w:val="21"/>
          <w:szCs w:val="21"/>
          <w:highlight w:val="none"/>
        </w:rPr>
        <w:t>行业；</w:t>
      </w:r>
      <w:r>
        <w:rPr>
          <w:rFonts w:hint="eastAsia" w:ascii="宋体" w:hAnsi="宋体" w:eastAsia="宋体" w:cs="宋体"/>
          <w:sz w:val="21"/>
          <w:szCs w:val="21"/>
          <w:highlight w:val="none"/>
        </w:rPr>
        <w:t>承建（承接）企业为</w:t>
      </w:r>
      <w:r>
        <w:rPr>
          <w:rFonts w:hint="eastAsia" w:ascii="宋体" w:hAnsi="宋体" w:cs="宋体"/>
          <w:sz w:val="21"/>
          <w:szCs w:val="21"/>
          <w:highlight w:val="none"/>
          <w:u w:val="single"/>
          <w:lang w:val="en-US" w:eastAsia="zh-CN"/>
        </w:rPr>
        <w:t xml:space="preserve">     </w:t>
      </w:r>
      <w:r>
        <w:rPr>
          <w:rFonts w:ascii="宋体" w:hAnsi="宋体" w:eastAsia="宋体" w:cs="宋体"/>
          <w:sz w:val="21"/>
          <w:szCs w:val="21"/>
          <w:highlight w:val="none"/>
          <w:u w:val="single"/>
        </w:rPr>
        <w:t>（企业名称）</w:t>
      </w:r>
      <w:r>
        <w:rPr>
          <w:rFonts w:ascii="宋体" w:hAnsi="宋体" w:eastAsia="宋体" w:cs="宋体"/>
          <w:sz w:val="21"/>
          <w:szCs w:val="21"/>
          <w:highlight w:val="none"/>
        </w:rPr>
        <w:t>，从业人员</w:t>
      </w:r>
      <w:r>
        <w:rPr>
          <w:rFonts w:hint="eastAsia" w:ascii="宋体" w:hAnsi="宋体" w:eastAsia="宋体" w:cs="宋体"/>
          <w:sz w:val="21"/>
          <w:szCs w:val="21"/>
          <w:highlight w:val="none"/>
          <w:u w:val="single"/>
          <w:lang w:val="en-US" w:eastAsia="zh-CN"/>
        </w:rPr>
        <w:t xml:space="preserve">        </w:t>
      </w:r>
      <w:r>
        <w:rPr>
          <w:rFonts w:ascii="宋体" w:hAnsi="宋体" w:eastAsia="宋体" w:cs="宋体"/>
          <w:sz w:val="21"/>
          <w:szCs w:val="21"/>
          <w:highlight w:val="none"/>
        </w:rPr>
        <w:t>人，营业收入为</w:t>
      </w:r>
      <w:r>
        <w:rPr>
          <w:rFonts w:hint="eastAsia" w:ascii="宋体" w:hAnsi="宋体" w:eastAsia="宋体" w:cs="宋体"/>
          <w:sz w:val="21"/>
          <w:szCs w:val="21"/>
          <w:highlight w:val="none"/>
          <w:u w:val="single"/>
          <w:lang w:val="en-US" w:eastAsia="zh-CN"/>
        </w:rPr>
        <w:t xml:space="preserve">        </w:t>
      </w:r>
      <w:r>
        <w:rPr>
          <w:rFonts w:ascii="宋体" w:hAnsi="宋体" w:eastAsia="宋体" w:cs="宋体"/>
          <w:sz w:val="21"/>
          <w:szCs w:val="21"/>
          <w:highlight w:val="none"/>
        </w:rPr>
        <w:t>万元，资产总额为</w:t>
      </w:r>
      <w:r>
        <w:rPr>
          <w:rFonts w:hint="eastAsia" w:ascii="宋体" w:hAnsi="宋体" w:eastAsia="宋体" w:cs="宋体"/>
          <w:sz w:val="21"/>
          <w:szCs w:val="21"/>
          <w:highlight w:val="none"/>
          <w:u w:val="single"/>
          <w:lang w:val="en-US" w:eastAsia="zh-CN"/>
        </w:rPr>
        <w:t xml:space="preserve">        </w:t>
      </w:r>
      <w:r>
        <w:rPr>
          <w:rFonts w:ascii="宋体" w:hAnsi="宋体" w:eastAsia="宋体" w:cs="宋体"/>
          <w:sz w:val="21"/>
          <w:szCs w:val="21"/>
          <w:highlight w:val="none"/>
        </w:rPr>
        <w:t>万元，属于</w:t>
      </w:r>
      <w:r>
        <w:rPr>
          <w:rFonts w:ascii="宋体" w:hAnsi="宋体" w:eastAsia="宋体" w:cs="宋体"/>
          <w:sz w:val="21"/>
          <w:szCs w:val="21"/>
          <w:highlight w:val="none"/>
          <w:u w:val="single"/>
        </w:rPr>
        <w:t>（中型企业、小型企业、微型企业）</w:t>
      </w:r>
      <w:r>
        <w:rPr>
          <w:rFonts w:ascii="宋体" w:hAnsi="宋体" w:eastAsia="宋体" w:cs="宋体"/>
          <w:sz w:val="21"/>
          <w:szCs w:val="21"/>
          <w:highlight w:val="none"/>
        </w:rPr>
        <w:t xml:space="preserve">； </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r>
        <w:rPr>
          <w:rFonts w:ascii="宋体" w:hAnsi="宋体" w:eastAsia="宋体" w:cs="宋体"/>
          <w:sz w:val="21"/>
          <w:szCs w:val="21"/>
        </w:rPr>
        <w:t xml:space="preserve">…… </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r>
        <w:rPr>
          <w:rFonts w:ascii="宋体" w:hAnsi="宋体" w:eastAsia="宋体" w:cs="宋体"/>
          <w:sz w:val="21"/>
          <w:szCs w:val="21"/>
        </w:rPr>
        <w:t xml:space="preserve">以上企业，不属于大企业的分支机构，不存在控股股东为大企业的情形，也不存在与大企业的负责人为同一人的情形。 </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lang w:val="en-US" w:eastAsia="zh-CN"/>
        </w:rPr>
        <w:t xml:space="preserve">    </w:t>
      </w:r>
      <w:r>
        <w:rPr>
          <w:rFonts w:ascii="宋体" w:hAnsi="宋体" w:eastAsia="宋体" w:cs="宋体"/>
          <w:sz w:val="21"/>
          <w:szCs w:val="21"/>
        </w:rPr>
        <w:t xml:space="preserve">本企业对上述声明内容的真实性负责。如有虚假，将依法承担相应责任。 </w:t>
      </w:r>
    </w:p>
    <w:p>
      <w:pPr>
        <w:spacing w:line="360" w:lineRule="auto"/>
        <w:ind w:firstLine="6930" w:firstLineChars="3300"/>
        <w:jc w:val="both"/>
        <w:rPr>
          <w:rFonts w:ascii="宋体" w:hAnsi="宋体" w:eastAsia="宋体" w:cs="宋体"/>
          <w:sz w:val="21"/>
          <w:szCs w:val="21"/>
        </w:rPr>
      </w:pPr>
      <w:r>
        <w:rPr>
          <w:rFonts w:ascii="宋体" w:hAnsi="宋体" w:eastAsia="宋体" w:cs="宋体"/>
          <w:sz w:val="21"/>
          <w:szCs w:val="21"/>
        </w:rPr>
        <w:t xml:space="preserve">企业名称（盖章）： </w:t>
      </w:r>
    </w:p>
    <w:p>
      <w:pPr>
        <w:spacing w:line="360" w:lineRule="auto"/>
        <w:ind w:firstLine="420" w:firstLineChars="200"/>
        <w:jc w:val="center"/>
        <w:rPr>
          <w:rFonts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ascii="宋体" w:hAnsi="宋体" w:eastAsia="宋体" w:cs="宋体"/>
          <w:sz w:val="21"/>
          <w:szCs w:val="21"/>
        </w:rPr>
        <w:t>日 期：</w:t>
      </w:r>
    </w:p>
    <w:p>
      <w:pPr>
        <w:spacing w:line="360" w:lineRule="auto"/>
        <w:rPr>
          <w:rFonts w:ascii="宋体" w:hAnsi="宋体" w:eastAsia="宋体" w:cs="宋体"/>
          <w:sz w:val="21"/>
          <w:szCs w:val="21"/>
        </w:rPr>
      </w:pPr>
    </w:p>
    <w:p>
      <w:pPr>
        <w:spacing w:line="360" w:lineRule="auto"/>
        <w:rPr>
          <w:rFonts w:ascii="宋体" w:hAnsi="宋体" w:eastAsia="宋体" w:cs="宋体"/>
          <w:sz w:val="21"/>
          <w:szCs w:val="21"/>
        </w:rPr>
      </w:pPr>
    </w:p>
    <w:p>
      <w:pPr>
        <w:spacing w:line="360" w:lineRule="auto"/>
        <w:rPr>
          <w:rFonts w:ascii="宋体" w:hAnsi="宋体" w:eastAsia="宋体" w:cs="宋体"/>
          <w:sz w:val="21"/>
          <w:szCs w:val="21"/>
        </w:rPr>
      </w:pPr>
    </w:p>
    <w:p>
      <w:pPr>
        <w:spacing w:line="360" w:lineRule="auto"/>
        <w:rPr>
          <w:rFonts w:ascii="宋体" w:hAnsi="宋体" w:eastAsia="宋体" w:cs="宋体"/>
          <w:sz w:val="21"/>
          <w:szCs w:val="21"/>
        </w:rPr>
      </w:pPr>
    </w:p>
    <w:p>
      <w:pPr>
        <w:spacing w:line="360" w:lineRule="auto"/>
        <w:ind w:firstLine="420" w:firstLineChars="200"/>
        <w:rPr>
          <w:rFonts w:hint="eastAsia"/>
          <w:sz w:val="21"/>
          <w:szCs w:val="21"/>
          <w:lang w:eastAsia="zh-CN"/>
        </w:rPr>
      </w:pPr>
      <w:r>
        <w:rPr>
          <w:rFonts w:ascii="宋体" w:hAnsi="宋体" w:eastAsia="宋体" w:cs="宋体"/>
          <w:sz w:val="21"/>
          <w:szCs w:val="21"/>
        </w:rPr>
        <w:t>从业人员、营业收入、资产总额填报上一年度数据，无上一年度数据的新成立企业可不填报。</w:t>
      </w:r>
    </w:p>
    <w:p>
      <w:pPr>
        <w:numPr>
          <w:ilvl w:val="0"/>
          <w:numId w:val="0"/>
        </w:numPr>
        <w:spacing w:line="360" w:lineRule="auto"/>
        <w:ind w:firstLine="444" w:firstLineChars="200"/>
        <w:rPr>
          <w:rFonts w:hint="eastAsia" w:asciiTheme="minorEastAsia" w:hAnsiTheme="minorEastAsia" w:eastAsiaTheme="minorEastAsia" w:cstheme="minorEastAsia"/>
          <w:spacing w:val="6"/>
          <w:szCs w:val="21"/>
          <w:lang w:val="en-US" w:eastAsia="zh-CN"/>
        </w:rPr>
      </w:pPr>
    </w:p>
    <w:p>
      <w:pPr>
        <w:pStyle w:val="13"/>
        <w:rPr>
          <w:rFonts w:hint="eastAsia"/>
          <w:lang w:val="en-US" w:eastAsia="zh-CN"/>
        </w:rPr>
      </w:pPr>
    </w:p>
    <w:p>
      <w:pPr>
        <w:pStyle w:val="13"/>
        <w:rPr>
          <w:rFonts w:hint="eastAsia"/>
          <w:lang w:val="en-US" w:eastAsia="zh-CN"/>
        </w:rPr>
      </w:pPr>
    </w:p>
    <w:p>
      <w:pPr>
        <w:numPr>
          <w:ilvl w:val="0"/>
          <w:numId w:val="0"/>
        </w:num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hint="eastAsia" w:asciiTheme="minorEastAsia" w:hAnsiTheme="minorEastAsia" w:eastAsiaTheme="minorEastAsia" w:cstheme="minorEastAsia"/>
          <w:spacing w:val="6"/>
          <w:szCs w:val="21"/>
        </w:rPr>
      </w:pPr>
    </w:p>
    <w:bookmarkEnd w:id="119"/>
    <w:bookmarkEnd w:id="120"/>
    <w:bookmarkEnd w:id="121"/>
    <w:bookmarkEnd w:id="122"/>
    <w:p>
      <w:pPr>
        <w:numPr>
          <w:ilvl w:val="0"/>
          <w:numId w:val="0"/>
        </w:numPr>
        <w:adjustRightInd w:val="0"/>
        <w:snapToGrid w:val="0"/>
        <w:jc w:val="center"/>
        <w:outlineLvl w:val="1"/>
        <w:rPr>
          <w:rFonts w:hint="eastAsia" w:asciiTheme="minorEastAsia" w:hAnsiTheme="minorEastAsia" w:eastAsiaTheme="minorEastAsia" w:cstheme="minorEastAsia"/>
          <w:b/>
        </w:rPr>
      </w:pPr>
      <w:bookmarkStart w:id="219" w:name="_Toc10220"/>
      <w:bookmarkStart w:id="220" w:name="_Toc4320"/>
      <w:bookmarkStart w:id="221" w:name="_Toc30406"/>
      <w:bookmarkStart w:id="222" w:name="_Toc479184141"/>
      <w:bookmarkStart w:id="223" w:name="_Toc7229"/>
      <w:bookmarkStart w:id="224" w:name="_Toc476839034"/>
      <w:r>
        <w:rPr>
          <w:rFonts w:hint="eastAsia" w:asciiTheme="minorEastAsia" w:hAnsiTheme="minorEastAsia" w:eastAsiaTheme="minorEastAsia" w:cstheme="minorEastAsia"/>
          <w:b/>
          <w:bCs/>
          <w:spacing w:val="6"/>
          <w:szCs w:val="21"/>
          <w:lang w:val="en-US" w:eastAsia="zh-CN"/>
        </w:rPr>
        <w:t>十七、</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19"/>
    </w:p>
    <w:p>
      <w:pPr>
        <w:numPr>
          <w:ilvl w:val="0"/>
          <w:numId w:val="0"/>
        </w:numPr>
        <w:adjustRightInd w:val="0"/>
        <w:snapToGrid w:val="0"/>
        <w:jc w:val="center"/>
        <w:outlineLvl w:val="9"/>
        <w:rPr>
          <w:rFonts w:hint="eastAsia" w:asciiTheme="minorEastAsia" w:hAnsiTheme="minorEastAsia" w:eastAsiaTheme="minorEastAsia" w:cstheme="minorEastAsia"/>
          <w:spacing w:val="6"/>
          <w:szCs w:val="21"/>
        </w:rPr>
      </w:pPr>
    </w:p>
    <w:p>
      <w:pPr>
        <w:numPr>
          <w:ilvl w:val="0"/>
          <w:numId w:val="0"/>
        </w:numPr>
        <w:spacing w:line="360" w:lineRule="auto"/>
        <w:outlineLvl w:val="9"/>
        <w:rPr>
          <w:rFonts w:hint="eastAsia" w:asciiTheme="minorEastAsia" w:hAnsiTheme="minorEastAsia" w:eastAsiaTheme="minorEastAsia" w:cstheme="minorEastAsia"/>
          <w:spacing w:val="6"/>
          <w:szCs w:val="21"/>
          <w:lang w:eastAsia="zh-CN"/>
        </w:rPr>
      </w:pPr>
    </w:p>
    <w:p>
      <w:pPr>
        <w:pStyle w:val="13"/>
        <w:rPr>
          <w:rFonts w:hint="eastAsia"/>
          <w:lang w:eastAsia="zh-CN"/>
        </w:rPr>
      </w:pPr>
    </w:p>
    <w:p>
      <w:pPr>
        <w:numPr>
          <w:ilvl w:val="0"/>
          <w:numId w:val="0"/>
        </w:numPr>
        <w:spacing w:line="360" w:lineRule="auto"/>
        <w:outlineLvl w:val="9"/>
        <w:rPr>
          <w:rFonts w:hint="eastAsia" w:asciiTheme="minorEastAsia" w:hAnsiTheme="minorEastAsia" w:eastAsiaTheme="minorEastAsia" w:cstheme="minorEastAsia"/>
          <w:spacing w:val="6"/>
          <w:szCs w:val="21"/>
          <w:lang w:eastAsia="zh-CN"/>
        </w:rPr>
      </w:pPr>
      <w:r>
        <w:rPr>
          <w:rFonts w:hint="eastAsia" w:asciiTheme="minorEastAsia" w:hAnsiTheme="minorEastAsia" w:eastAsiaTheme="minorEastAsia" w:cstheme="minorEastAsia"/>
          <w:spacing w:val="6"/>
          <w:szCs w:val="21"/>
        </w:rPr>
        <w:t>供应商如是监狱企业，提供相关证明文件。</w:t>
      </w:r>
    </w:p>
    <w:p>
      <w:pPr>
        <w:pStyle w:val="13"/>
        <w:rPr>
          <w:rFonts w:hint="eastAsia"/>
          <w:lang w:eastAsia="zh-CN"/>
        </w:rPr>
      </w:pPr>
    </w:p>
    <w:p>
      <w:pPr>
        <w:numPr>
          <w:ilvl w:val="0"/>
          <w:numId w:val="0"/>
        </w:numPr>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outlineLvl w:val="9"/>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outlineLvl w:val="9"/>
        <w:rPr>
          <w:rFonts w:hint="eastAsia" w:eastAsia="宋体"/>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numPr>
          <w:ilvl w:val="0"/>
          <w:numId w:val="0"/>
        </w:numPr>
        <w:adjustRightInd w:val="0"/>
        <w:snapToGrid w:val="0"/>
        <w:jc w:val="center"/>
        <w:outlineLvl w:val="1"/>
        <w:rPr>
          <w:rFonts w:hint="eastAsia" w:asciiTheme="minorEastAsia" w:hAnsiTheme="minorEastAsia" w:eastAsiaTheme="minorEastAsia" w:cstheme="minorEastAsia"/>
          <w:b/>
          <w:lang w:val="zh-CN"/>
        </w:rPr>
      </w:pPr>
      <w:bookmarkStart w:id="225" w:name="_Toc27762"/>
      <w:r>
        <w:rPr>
          <w:rFonts w:hint="eastAsia" w:asciiTheme="minorEastAsia" w:hAnsiTheme="minorEastAsia" w:eastAsiaTheme="minorEastAsia" w:cstheme="minorEastAsia"/>
          <w:b/>
          <w:lang w:val="en-US" w:eastAsia="zh-CN"/>
        </w:rPr>
        <w:t>十八</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25"/>
    </w:p>
    <w:p>
      <w:pPr>
        <w:pStyle w:val="16"/>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6"/>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6"/>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6"/>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6"/>
        <w:spacing w:line="360" w:lineRule="auto"/>
        <w:ind w:left="1033" w:leftChars="342" w:hanging="315" w:hangingChars="1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备注：享受政府采购支持政策的残疾人福利性单位应当同时满足以下条件：</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安置的残疾人占本单位在职职工人数的比例不低于 25%（含 25%），并且安置的残疾人人数不少于 10 人（含 10 人）；</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依法与安置的每位残疾人签订了一年以上（含一年）的劳动合同或服务协议；</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为安置的每位残疾人按月足额缴纳了基本养老保险、基本医疗保险、失业保险、工伤保险和生育保险等社会保险费；</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通过银行等金融机构向安置的每位残疾人，按月支付了不低于单位所在区县适用的经省级人民政府批准的月最低工资标准的工资；</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szCs w:val="21"/>
          <w:u w:val="single"/>
        </w:rPr>
      </w:pPr>
      <w:bookmarkStart w:id="226" w:name="_Toc19935"/>
      <w:r>
        <w:rPr>
          <w:rFonts w:hint="eastAsia" w:asciiTheme="minorEastAsia" w:hAnsiTheme="minorEastAsia" w:eastAsiaTheme="minorEastAsia" w:cstheme="minorEastAsia"/>
          <w:b/>
          <w:lang w:val="en-US" w:eastAsia="zh-CN"/>
        </w:rPr>
        <w:t>十九、节能环保产品证明材料（若符合）</w:t>
      </w:r>
      <w:bookmarkEnd w:id="226"/>
    </w:p>
    <w:p>
      <w:pPr>
        <w:adjustRightInd w:val="0"/>
        <w:snapToGrid w:val="0"/>
        <w:spacing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项目编号：</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节能产品：</w:t>
      </w:r>
    </w:p>
    <w:tbl>
      <w:tblPr>
        <w:tblStyle w:val="30"/>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环保产品：</w:t>
      </w:r>
    </w:p>
    <w:tbl>
      <w:tblPr>
        <w:tblStyle w:val="3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注</w:t>
      </w:r>
      <w:r>
        <w:rPr>
          <w:rFonts w:hint="eastAsia" w:asciiTheme="minorEastAsia" w:hAnsiTheme="minorEastAsia" w:eastAsiaTheme="minorEastAsia" w:cstheme="minorEastAsia"/>
          <w:color w:val="auto"/>
          <w:szCs w:val="21"/>
        </w:rPr>
        <w:t>：供应商所提供产品如为节能环保产品，则应按本磋商文件第</w:t>
      </w:r>
      <w:r>
        <w:rPr>
          <w:rFonts w:hint="eastAsia" w:asciiTheme="minorEastAsia" w:hAnsiTheme="minorEastAsia" w:eastAsiaTheme="minorEastAsia" w:cstheme="minorEastAsia"/>
          <w:color w:val="auto"/>
          <w:szCs w:val="21"/>
          <w:lang w:val="en-US" w:eastAsia="zh-CN"/>
        </w:rPr>
        <w:t>四</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政策支持</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提供相关证明材料，并将节能、环保产品分别列入上表中，未填写本表或未提供有效认证证书的不给予价格扣除。</w:t>
      </w:r>
    </w:p>
    <w:p>
      <w:pPr>
        <w:pStyle w:val="13"/>
        <w:rPr>
          <w:rFonts w:hint="eastAsia"/>
          <w:lang w:eastAsia="zh-CN"/>
        </w:rPr>
      </w:pPr>
    </w:p>
    <w:p>
      <w:pPr>
        <w:pStyle w:val="13"/>
        <w:rPr>
          <w:rFonts w:hint="eastAsia"/>
          <w:lang w:eastAsia="zh-CN"/>
        </w:rPr>
      </w:pP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color w:val="auto"/>
          <w:szCs w:val="21"/>
          <w:lang w:eastAsia="zh-CN"/>
        </w:rPr>
      </w:pPr>
    </w:p>
    <w:p>
      <w:pPr>
        <w:pStyle w:val="13"/>
        <w:rPr>
          <w:rFonts w:hint="eastAsia"/>
          <w:lang w:eastAsia="zh-CN"/>
        </w:rPr>
      </w:pPr>
    </w:p>
    <w:p>
      <w:pPr>
        <w:adjustRightInd w:val="0"/>
        <w:snapToGrid w:val="0"/>
        <w:spacing w:line="360" w:lineRule="auto"/>
        <w:jc w:val="center"/>
        <w:outlineLvl w:val="1"/>
        <w:rPr>
          <w:rFonts w:hint="eastAsia" w:asciiTheme="minorEastAsia" w:hAnsiTheme="minorEastAsia" w:eastAsiaTheme="minorEastAsia" w:cstheme="minorEastAsia"/>
          <w:b/>
          <w:color w:val="auto"/>
        </w:rPr>
      </w:pPr>
      <w:bookmarkStart w:id="227" w:name="_Toc17296"/>
      <w:r>
        <w:rPr>
          <w:rFonts w:hint="eastAsia" w:asciiTheme="minorEastAsia" w:hAnsiTheme="minorEastAsia" w:eastAsiaTheme="minorEastAsia" w:cstheme="minorEastAsia"/>
          <w:b/>
          <w:bCs/>
          <w:color w:val="auto"/>
          <w:spacing w:val="6"/>
          <w:szCs w:val="21"/>
          <w:lang w:val="en-US" w:eastAsia="zh-CN"/>
        </w:rPr>
        <w:t>二十</w:t>
      </w:r>
      <w:r>
        <w:rPr>
          <w:rFonts w:hint="eastAsia" w:asciiTheme="minorEastAsia" w:hAnsiTheme="minorEastAsia" w:eastAsiaTheme="minorEastAsia" w:cstheme="minorEastAsia"/>
          <w:b/>
          <w:bCs/>
          <w:color w:val="auto"/>
          <w:spacing w:val="6"/>
          <w:szCs w:val="21"/>
        </w:rPr>
        <w:t>、</w:t>
      </w:r>
      <w:r>
        <w:rPr>
          <w:rFonts w:hint="eastAsia" w:asciiTheme="minorEastAsia" w:hAnsiTheme="minorEastAsia" w:eastAsiaTheme="minorEastAsia" w:cstheme="minorEastAsia"/>
          <w:b/>
          <w:color w:val="auto"/>
        </w:rPr>
        <w:t>无重大违法记录声明</w:t>
      </w:r>
      <w:bookmarkEnd w:id="220"/>
      <w:bookmarkEnd w:id="221"/>
      <w:bookmarkEnd w:id="222"/>
      <w:bookmarkEnd w:id="223"/>
      <w:bookmarkEnd w:id="224"/>
      <w:bookmarkEnd w:id="227"/>
    </w:p>
    <w:p>
      <w:pPr>
        <w:spacing w:line="480" w:lineRule="auto"/>
        <w:jc w:val="center"/>
        <w:rPr>
          <w:rFonts w:hint="eastAsia"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lang w:eastAsia="zh-CN"/>
        </w:rPr>
        <w:t>（</w:t>
      </w:r>
      <w:r>
        <w:rPr>
          <w:rFonts w:hint="eastAsia" w:asciiTheme="minorEastAsia" w:hAnsiTheme="minorEastAsia" w:eastAsiaTheme="minorEastAsia" w:cstheme="minorEastAsia"/>
          <w:b/>
          <w:bCs/>
          <w:color w:val="auto"/>
          <w:kern w:val="0"/>
          <w:sz w:val="24"/>
        </w:rPr>
        <w:t>磋商供应商应</w:t>
      </w:r>
      <w:r>
        <w:rPr>
          <w:rFonts w:hint="eastAsia" w:asciiTheme="minorEastAsia" w:hAnsiTheme="minorEastAsia" w:eastAsiaTheme="minorEastAsia" w:cstheme="minorEastAsia"/>
          <w:b/>
          <w:bCs/>
          <w:color w:val="auto"/>
          <w:kern w:val="0"/>
          <w:sz w:val="24"/>
          <w:lang w:val="en-US" w:eastAsia="zh-CN"/>
        </w:rPr>
        <w:t>在此基础上，</w:t>
      </w:r>
      <w:r>
        <w:rPr>
          <w:rFonts w:hint="eastAsia" w:asciiTheme="minorEastAsia" w:hAnsiTheme="minorEastAsia" w:eastAsiaTheme="minorEastAsia" w:cstheme="minorEastAsia"/>
          <w:b/>
          <w:bCs/>
          <w:color w:val="auto"/>
          <w:kern w:val="0"/>
          <w:sz w:val="24"/>
        </w:rPr>
        <w:t>根据本单位实际情况进行声明</w:t>
      </w:r>
      <w:r>
        <w:rPr>
          <w:rFonts w:hint="eastAsia" w:asciiTheme="minorEastAsia" w:hAnsiTheme="minorEastAsia" w:eastAsiaTheme="minorEastAsia" w:cstheme="minorEastAsia"/>
          <w:b/>
          <w:bCs/>
          <w:color w:val="auto"/>
          <w:kern w:val="0"/>
          <w:sz w:val="24"/>
          <w:lang w:eastAsia="zh-CN"/>
        </w:rPr>
        <w:t>）</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采购人和采购代理机构：</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我方在此声明，我方在参加本</w:t>
      </w:r>
      <w:r>
        <w:rPr>
          <w:rFonts w:hint="eastAsia" w:asciiTheme="minorEastAsia" w:hAnsiTheme="minorEastAsia" w:eastAsiaTheme="minorEastAsia" w:cstheme="minorEastAsia"/>
          <w:color w:val="auto"/>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color w:val="auto"/>
          <w:kern w:val="0"/>
          <w:szCs w:val="21"/>
          <w:shd w:val="clear" w:color="auto" w:fill="FFFFFF"/>
          <w:lang w:eastAsia="zh-CN"/>
        </w:rPr>
      </w:pPr>
      <w:r>
        <w:rPr>
          <w:rFonts w:hint="eastAsia" w:asciiTheme="minorEastAsia" w:hAnsiTheme="minorEastAsia" w:eastAsiaTheme="minorEastAsia" w:cstheme="minorEastAsia"/>
          <w:color w:val="auto"/>
          <w:kern w:val="0"/>
          <w:szCs w:val="21"/>
          <w:shd w:val="clear" w:color="auto" w:fill="FFFFFF"/>
        </w:rPr>
        <w:t>3.我方因违法经营被处以较大数额罚款等行政处罚</w:t>
      </w:r>
      <w:r>
        <w:rPr>
          <w:rFonts w:hint="eastAsia" w:asciiTheme="minorEastAsia" w:hAnsiTheme="minorEastAsia" w:eastAsiaTheme="minorEastAsia" w:cstheme="minorEastAsia"/>
          <w:color w:val="auto"/>
          <w:kern w:val="0"/>
          <w:szCs w:val="21"/>
          <w:shd w:val="clear" w:color="auto" w:fill="FFFFFF"/>
          <w:lang w:eastAsia="zh-CN"/>
        </w:rPr>
        <w:t>；</w:t>
      </w:r>
    </w:p>
    <w:p>
      <w:pPr>
        <w:spacing w:line="480" w:lineRule="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kern w:val="0"/>
          <w:szCs w:val="21"/>
          <w:shd w:val="clear" w:color="auto" w:fill="FFFFFF"/>
          <w:lang w:eastAsia="zh-CN"/>
        </w:rPr>
        <w:t>4.不良经济纠纷记录和违法行为。</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特此声明！</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ind w:firstLine="420" w:firstLineChars="200"/>
        <w:jc w:val="center"/>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bidi w:val="0"/>
        <w:rPr>
          <w:rFonts w:hint="eastAsia"/>
          <w:lang w:eastAsia="zh-CN"/>
        </w:rPr>
      </w:pPr>
      <w:bookmarkStart w:id="228" w:name="_Toc24513"/>
      <w:bookmarkStart w:id="229" w:name="_Toc5812"/>
    </w:p>
    <w:p>
      <w:pPr>
        <w:pStyle w:val="13"/>
        <w:rPr>
          <w:rFonts w:hint="eastAsia"/>
          <w:lang w:eastAsia="zh-CN"/>
        </w:rPr>
      </w:pPr>
    </w:p>
    <w:p>
      <w:pPr>
        <w:pStyle w:val="13"/>
        <w:rPr>
          <w:rFonts w:hint="eastAsia"/>
          <w:lang w:eastAsia="zh-CN"/>
        </w:rPr>
      </w:pPr>
    </w:p>
    <w:p>
      <w:pPr>
        <w:ind w:firstLine="446" w:firstLineChars="200"/>
        <w:jc w:val="center"/>
        <w:outlineLvl w:val="1"/>
        <w:rPr>
          <w:rFonts w:hint="eastAsia" w:asciiTheme="minorEastAsia" w:hAnsiTheme="minorEastAsia" w:eastAsiaTheme="minorEastAsia" w:cstheme="minorEastAsia"/>
          <w:b/>
          <w:bCs/>
          <w:color w:val="auto"/>
          <w:spacing w:val="6"/>
          <w:szCs w:val="21"/>
          <w:lang w:val="en-US" w:eastAsia="zh-CN"/>
        </w:rPr>
      </w:pPr>
      <w:r>
        <w:rPr>
          <w:rFonts w:hint="eastAsia" w:asciiTheme="minorEastAsia" w:hAnsiTheme="minorEastAsia" w:eastAsiaTheme="minorEastAsia" w:cstheme="minorEastAsia"/>
          <w:b/>
          <w:bCs/>
          <w:color w:val="auto"/>
          <w:spacing w:val="6"/>
          <w:szCs w:val="21"/>
          <w:lang w:val="en-US" w:eastAsia="zh-CN"/>
        </w:rPr>
        <w:t>二十一、磋商供应商认为应该提交的其它文件（格式自拟）</w:t>
      </w:r>
      <w:bookmarkEnd w:id="228"/>
      <w:bookmarkEnd w:id="229"/>
    </w:p>
    <w:p>
      <w:pPr>
        <w:pStyle w:val="13"/>
        <w:rPr>
          <w:rFonts w:hint="eastAsia"/>
          <w:lang w:val="en-US" w:eastAsia="zh-CN"/>
        </w:rPr>
      </w:pPr>
    </w:p>
    <w:p>
      <w:pPr>
        <w:pStyle w:val="13"/>
        <w:rPr>
          <w:rFonts w:hint="eastAsia"/>
          <w:lang w:val="en-US" w:eastAsia="zh-CN"/>
        </w:rPr>
      </w:pPr>
    </w:p>
    <w:p>
      <w:pPr>
        <w:pStyle w:val="13"/>
        <w:rPr>
          <w:rFonts w:hint="eastAsia"/>
          <w:lang w:val="en-US" w:eastAsia="zh-CN"/>
        </w:rPr>
      </w:pPr>
    </w:p>
    <w:p>
      <w:pPr>
        <w:pStyle w:val="13"/>
        <w:rPr>
          <w:rFonts w:hint="eastAsia"/>
          <w:lang w:val="en-US" w:eastAsia="zh-CN"/>
        </w:rPr>
        <w:sectPr>
          <w:footerReference r:id="rId7" w:type="default"/>
          <w:type w:val="continuous"/>
          <w:pgSz w:w="11906" w:h="16838"/>
          <w:pgMar w:top="1417" w:right="1417" w:bottom="1417" w:left="1417" w:header="851" w:footer="992" w:gutter="0"/>
          <w:cols w:space="720" w:num="1"/>
          <w:docGrid w:type="lines" w:linePitch="312" w:charSpace="0"/>
        </w:sectPr>
      </w:pPr>
    </w:p>
    <w:tbl>
      <w:tblPr>
        <w:tblStyle w:val="30"/>
        <w:tblW w:w="5484" w:type="pct"/>
        <w:tblInd w:w="-466" w:type="dxa"/>
        <w:shd w:val="clear" w:color="auto" w:fill="auto"/>
        <w:tblLayout w:type="fixed"/>
        <w:tblCellMar>
          <w:top w:w="0" w:type="dxa"/>
          <w:left w:w="0" w:type="dxa"/>
          <w:bottom w:w="0" w:type="dxa"/>
          <w:right w:w="0" w:type="dxa"/>
        </w:tblCellMar>
      </w:tblPr>
      <w:tblGrid>
        <w:gridCol w:w="1165"/>
        <w:gridCol w:w="664"/>
        <w:gridCol w:w="761"/>
        <w:gridCol w:w="818"/>
        <w:gridCol w:w="666"/>
        <w:gridCol w:w="783"/>
        <w:gridCol w:w="781"/>
        <w:gridCol w:w="658"/>
        <w:gridCol w:w="767"/>
        <w:gridCol w:w="746"/>
        <w:gridCol w:w="794"/>
        <w:gridCol w:w="686"/>
        <w:gridCol w:w="693"/>
      </w:tblGrid>
      <w:tr>
        <w:tblPrEx>
          <w:shd w:val="clear" w:color="auto" w:fill="auto"/>
          <w:tblCellMar>
            <w:top w:w="0" w:type="dxa"/>
            <w:left w:w="0" w:type="dxa"/>
            <w:bottom w:w="0" w:type="dxa"/>
            <w:right w:w="0" w:type="dxa"/>
          </w:tblCellMar>
        </w:tblPrEx>
        <w:trPr>
          <w:trHeight w:val="720" w:hRule="atLeast"/>
          <w:tblHeader/>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auto"/>
                <w:sz w:val="40"/>
                <w:szCs w:val="40"/>
                <w:u w:val="none"/>
              </w:rPr>
            </w:pPr>
            <w:r>
              <w:rPr>
                <w:rFonts w:hint="eastAsia" w:ascii="黑体" w:hAnsi="宋体" w:eastAsia="黑体" w:cs="黑体"/>
                <w:b/>
                <w:i w:val="0"/>
                <w:color w:val="auto"/>
                <w:kern w:val="0"/>
                <w:sz w:val="40"/>
                <w:szCs w:val="40"/>
                <w:u w:val="none"/>
                <w:lang w:val="en-US" w:eastAsia="zh-CN" w:bidi="ar"/>
              </w:rPr>
              <w:t>中小企业划型标准规定（工信部联企业[2011]300号）</w:t>
            </w:r>
          </w:p>
        </w:tc>
      </w:tr>
      <w:tr>
        <w:tblPrEx>
          <w:shd w:val="clear" w:color="auto" w:fill="auto"/>
          <w:tblCellMar>
            <w:top w:w="0" w:type="dxa"/>
            <w:left w:w="0" w:type="dxa"/>
            <w:bottom w:w="0" w:type="dxa"/>
            <w:right w:w="0" w:type="dxa"/>
          </w:tblCellMar>
        </w:tblPrEx>
        <w:trPr>
          <w:trHeight w:val="270" w:hRule="atLeast"/>
          <w:tblHeader/>
        </w:trPr>
        <w:tc>
          <w:tcPr>
            <w:tcW w:w="583" w:type="pct"/>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行业</w:t>
            </w:r>
          </w:p>
        </w:tc>
        <w:tc>
          <w:tcPr>
            <w:tcW w:w="1123"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中小微型企业（</w:t>
            </w:r>
            <w:r>
              <w:rPr>
                <w:rFonts w:hint="eastAsia" w:ascii="宋体" w:hAnsi="宋体" w:eastAsia="宋体" w:cs="宋体"/>
                <w:b/>
                <w:i w:val="0"/>
                <w:color w:val="auto"/>
                <w:kern w:val="0"/>
                <w:sz w:val="21"/>
                <w:szCs w:val="21"/>
                <w:u w:val="none"/>
                <w:lang w:val="en-US" w:eastAsia="zh-CN" w:bidi="ar"/>
              </w:rPr>
              <w:t>或</w:t>
            </w:r>
            <w:r>
              <w:rPr>
                <w:rFonts w:hint="eastAsia" w:ascii="宋体" w:hAnsi="宋体" w:eastAsia="宋体" w:cs="宋体"/>
                <w:i w:val="0"/>
                <w:color w:val="auto"/>
                <w:kern w:val="0"/>
                <w:sz w:val="21"/>
                <w:szCs w:val="21"/>
                <w:u w:val="none"/>
                <w:lang w:val="en-US" w:eastAsia="zh-CN" w:bidi="ar"/>
              </w:rPr>
              <w:t>）</w:t>
            </w:r>
          </w:p>
        </w:tc>
        <w:tc>
          <w:tcPr>
            <w:tcW w:w="1117"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中型企业（</w:t>
            </w:r>
            <w:r>
              <w:rPr>
                <w:rFonts w:hint="eastAsia" w:ascii="宋体" w:hAnsi="宋体" w:eastAsia="宋体" w:cs="宋体"/>
                <w:b/>
                <w:i w:val="0"/>
                <w:color w:val="auto"/>
                <w:kern w:val="0"/>
                <w:sz w:val="21"/>
                <w:szCs w:val="21"/>
                <w:u w:val="none"/>
                <w:lang w:val="en-US" w:eastAsia="zh-CN" w:bidi="ar"/>
              </w:rPr>
              <w:t>且</w:t>
            </w:r>
            <w:r>
              <w:rPr>
                <w:rFonts w:hint="eastAsia" w:ascii="宋体" w:hAnsi="宋体" w:eastAsia="宋体" w:cs="宋体"/>
                <w:i w:val="0"/>
                <w:color w:val="auto"/>
                <w:kern w:val="0"/>
                <w:sz w:val="21"/>
                <w:szCs w:val="21"/>
                <w:u w:val="none"/>
                <w:lang w:val="en-US" w:eastAsia="zh-CN" w:bidi="ar"/>
              </w:rPr>
              <w:t>）</w:t>
            </w:r>
          </w:p>
        </w:tc>
        <w:tc>
          <w:tcPr>
            <w:tcW w:w="1087"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小型企业（</w:t>
            </w:r>
            <w:r>
              <w:rPr>
                <w:rFonts w:hint="eastAsia" w:ascii="宋体" w:hAnsi="宋体" w:eastAsia="宋体" w:cs="宋体"/>
                <w:b/>
                <w:i w:val="0"/>
                <w:color w:val="auto"/>
                <w:kern w:val="0"/>
                <w:sz w:val="21"/>
                <w:szCs w:val="21"/>
                <w:u w:val="none"/>
                <w:lang w:val="en-US" w:eastAsia="zh-CN" w:bidi="ar"/>
              </w:rPr>
              <w:t>且</w:t>
            </w:r>
            <w:r>
              <w:rPr>
                <w:rFonts w:hint="eastAsia" w:ascii="宋体" w:hAnsi="宋体" w:eastAsia="宋体" w:cs="宋体"/>
                <w:i w:val="0"/>
                <w:color w:val="auto"/>
                <w:kern w:val="0"/>
                <w:sz w:val="21"/>
                <w:szCs w:val="21"/>
                <w:u w:val="none"/>
                <w:lang w:val="en-US" w:eastAsia="zh-CN" w:bidi="ar"/>
              </w:rPr>
              <w:t>）</w:t>
            </w:r>
          </w:p>
        </w:tc>
        <w:tc>
          <w:tcPr>
            <w:tcW w:w="1088"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微型企业（</w:t>
            </w:r>
            <w:r>
              <w:rPr>
                <w:rFonts w:hint="eastAsia" w:ascii="宋体" w:hAnsi="宋体" w:eastAsia="宋体" w:cs="宋体"/>
                <w:b/>
                <w:i w:val="0"/>
                <w:color w:val="auto"/>
                <w:kern w:val="0"/>
                <w:sz w:val="21"/>
                <w:szCs w:val="21"/>
                <w:u w:val="none"/>
                <w:lang w:val="en-US" w:eastAsia="zh-CN" w:bidi="ar"/>
              </w:rPr>
              <w:t>或</w:t>
            </w:r>
            <w:r>
              <w:rPr>
                <w:rFonts w:hint="eastAsia" w:ascii="宋体" w:hAnsi="宋体" w:eastAsia="宋体" w:cs="宋体"/>
                <w:i w:val="0"/>
                <w:color w:val="auto"/>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70" w:hRule="atLeast"/>
          <w:tblHeader/>
        </w:trPr>
        <w:tc>
          <w:tcPr>
            <w:tcW w:w="583" w:type="pct"/>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r>
      <w:tr>
        <w:tblPrEx>
          <w:shd w:val="clear" w:color="auto" w:fill="auto"/>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农、林、牧、渔业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shd w:val="clear" w:color="auto" w:fill="auto"/>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工业（包括采矿业，制造业，电力、热力、燃气及水生产和供应业）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shd w:val="clear" w:color="auto" w:fill="auto"/>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建筑业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80000万元以下</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300万元以下</w:t>
            </w:r>
          </w:p>
        </w:tc>
      </w:tr>
      <w:tr>
        <w:tblPrEx>
          <w:shd w:val="clear" w:color="auto" w:fill="auto"/>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批发业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shd w:val="clear" w:color="auto" w:fill="auto"/>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零售业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shd w:val="clear" w:color="auto" w:fill="auto"/>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交通运输业（不含铁路运输业）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shd w:val="clear" w:color="auto" w:fill="auto"/>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仓储业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shd w:val="clear" w:color="auto" w:fill="auto"/>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邮政业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shd w:val="clear" w:color="auto" w:fill="auto"/>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住宿业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shd w:val="clear" w:color="auto" w:fill="auto"/>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餐饮业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shd w:val="clear" w:color="auto" w:fill="auto"/>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信息传输业（包括电信、互联网和相关服务）</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软件和信息技术服务业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shd w:val="clear" w:color="auto" w:fill="auto"/>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房地产开发经营</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200000万元以下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2000万元以下</w:t>
            </w:r>
          </w:p>
        </w:tc>
      </w:tr>
      <w:tr>
        <w:tblPrEx>
          <w:shd w:val="clear" w:color="auto" w:fill="auto"/>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物业管理</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shd w:val="clear" w:color="auto" w:fill="auto"/>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租赁和商务服务业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120000万元以下</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r>
      <w:tr>
        <w:tblPrEx>
          <w:shd w:val="clear" w:color="auto" w:fill="auto"/>
          <w:tblCellMar>
            <w:top w:w="0" w:type="dxa"/>
            <w:left w:w="0" w:type="dxa"/>
            <w:bottom w:w="0" w:type="dxa"/>
            <w:right w:w="0" w:type="dxa"/>
          </w:tblCellMar>
        </w:tblPrEx>
        <w:trPr>
          <w:trHeight w:val="1065" w:hRule="atLeast"/>
        </w:trPr>
        <w:tc>
          <w:tcPr>
            <w:tcW w:w="583" w:type="pct"/>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其他未列明行业（包括科学研究和技术服务业，水利、环境和公共设施管理业，居民服务、修理和其他服务业，社会工作，文化、体育和娱乐业等）</w:t>
            </w:r>
          </w:p>
        </w:tc>
        <w:tc>
          <w:tcPr>
            <w:tcW w:w="332"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409"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7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7" w:type="pct"/>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shd w:val="clear" w:color="auto" w:fill="auto"/>
          <w:tblCellMar>
            <w:top w:w="0" w:type="dxa"/>
            <w:left w:w="0" w:type="dxa"/>
            <w:bottom w:w="0" w:type="dxa"/>
            <w:right w:w="0" w:type="dxa"/>
          </w:tblCellMar>
        </w:tblPrEx>
        <w:trPr>
          <w:trHeight w:val="27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本规定适用于在中华人民共和国境内依法设立的各类所有制和各种组织形式的企业。</w:t>
            </w:r>
            <w:r>
              <w:rPr>
                <w:rFonts w:hint="eastAsia" w:ascii="宋体" w:hAnsi="宋体" w:eastAsia="宋体" w:cs="宋体"/>
                <w:b/>
                <w:i w:val="0"/>
                <w:color w:val="auto"/>
                <w:kern w:val="0"/>
                <w:sz w:val="21"/>
                <w:szCs w:val="21"/>
                <w:u w:val="none"/>
                <w:lang w:val="en-US" w:eastAsia="zh-CN" w:bidi="ar"/>
              </w:rPr>
              <w:t>个体工商户</w:t>
            </w:r>
            <w:r>
              <w:rPr>
                <w:rFonts w:hint="eastAsia" w:ascii="宋体" w:hAnsi="宋体" w:eastAsia="宋体" w:cs="宋体"/>
                <w:i w:val="0"/>
                <w:color w:val="auto"/>
                <w:kern w:val="0"/>
                <w:sz w:val="21"/>
                <w:szCs w:val="21"/>
                <w:u w:val="none"/>
                <w:lang w:val="en-US" w:eastAsia="zh-CN" w:bidi="ar"/>
              </w:rPr>
              <w:t>和本规定以外的行业，参照本规定进行划型。</w:t>
            </w:r>
          </w:p>
        </w:tc>
      </w:tr>
      <w:tr>
        <w:tblPrEx>
          <w:shd w:val="clear" w:color="auto" w:fill="auto"/>
          <w:tblCellMar>
            <w:top w:w="0" w:type="dxa"/>
            <w:left w:w="0" w:type="dxa"/>
            <w:bottom w:w="0" w:type="dxa"/>
            <w:right w:w="0" w:type="dxa"/>
          </w:tblCellMar>
        </w:tblPrEx>
        <w:trPr>
          <w:trHeight w:val="27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spacing w:line="240" w:lineRule="auto"/>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本规定的中型企业标准上限即为大型企业标准的下限，国家统计部门据此制定大中小微型企业的统计分类。国务院有关部门据此进行相关数据分析，不得制定与本规定不一致的企业划型标准。</w:t>
            </w:r>
          </w:p>
        </w:tc>
      </w:tr>
    </w:tbl>
    <w:p>
      <w:pPr>
        <w:bidi w:val="0"/>
        <w:rPr>
          <w:rFonts w:hint="eastAsia"/>
          <w:lang w:val="en-US" w:eastAsia="zh-CN"/>
        </w:rPr>
      </w:pP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5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34"/>
      </w:rPr>
    </w:pPr>
    <w:r>
      <w:fldChar w:fldCharType="begin"/>
    </w:r>
    <w:r>
      <w:rPr>
        <w:rStyle w:val="34"/>
      </w:rPr>
      <w:instrText xml:space="preserve">PAGE  </w:instrText>
    </w:r>
    <w:r>
      <w:fldChar w:fldCharType="end"/>
    </w:r>
  </w:p>
  <w:p>
    <w:pPr>
      <w:pStyle w:val="2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rPr>
      <w:t>46</w:t>
    </w:r>
    <w: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7216;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1">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2">
    <w:nsid w:val="044F5BAD"/>
    <w:multiLevelType w:val="singleLevel"/>
    <w:tmpl w:val="044F5BAD"/>
    <w:lvl w:ilvl="0" w:tentative="0">
      <w:start w:val="1"/>
      <w:numFmt w:val="decimal"/>
      <w:suff w:val="nothing"/>
      <w:lvlText w:val="（%1）"/>
      <w:lvlJc w:val="left"/>
    </w:lvl>
  </w:abstractNum>
  <w:abstractNum w:abstractNumId="3">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6">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8">
    <w:nsid w:val="15907297"/>
    <w:multiLevelType w:val="multilevel"/>
    <w:tmpl w:val="15907297"/>
    <w:lvl w:ilvl="0" w:tentative="0">
      <w:start w:val="1"/>
      <w:numFmt w:val="decimal"/>
      <w:pStyle w:val="83"/>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5"/>
      <w:lvlText w:val="%1.%2.%3"/>
      <w:lvlJc w:val="left"/>
      <w:pPr>
        <w:tabs>
          <w:tab w:val="left" w:pos="720"/>
        </w:tabs>
        <w:ind w:left="720" w:hanging="153"/>
      </w:pPr>
      <w:rPr>
        <w:rFonts w:hint="eastAsia"/>
      </w:rPr>
    </w:lvl>
    <w:lvl w:ilvl="3" w:tentative="0">
      <w:start w:val="1"/>
      <w:numFmt w:val="decimal"/>
      <w:pStyle w:val="82"/>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9">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3">
    <w:nsid w:val="20BA2AF0"/>
    <w:multiLevelType w:val="singleLevel"/>
    <w:tmpl w:val="20BA2AF0"/>
    <w:lvl w:ilvl="0" w:tentative="0">
      <w:start w:val="1"/>
      <w:numFmt w:val="decimal"/>
      <w:suff w:val="space"/>
      <w:lvlText w:val="%1）"/>
      <w:lvlJc w:val="left"/>
    </w:lvl>
  </w:abstractNum>
  <w:abstractNum w:abstractNumId="14">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5">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6">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9"/>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7">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8">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9">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0">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2">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4">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5">
    <w:nsid w:val="4B331C36"/>
    <w:multiLevelType w:val="multilevel"/>
    <w:tmpl w:val="4B331C36"/>
    <w:lvl w:ilvl="0" w:tentative="0">
      <w:start w:val="1"/>
      <w:numFmt w:val="japaneseCounting"/>
      <w:pStyle w:val="94"/>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7">
    <w:nsid w:val="4FD97241"/>
    <w:multiLevelType w:val="multilevel"/>
    <w:tmpl w:val="4FD9724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9">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0">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1">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2">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4">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6">
    <w:nsid w:val="6CEA2025"/>
    <w:multiLevelType w:val="multilevel"/>
    <w:tmpl w:val="6CEA2025"/>
    <w:lvl w:ilvl="0" w:tentative="0">
      <w:start w:val="1"/>
      <w:numFmt w:val="none"/>
      <w:pStyle w:val="71"/>
      <w:suff w:val="nothing"/>
      <w:lvlText w:val="%1"/>
      <w:lvlJc w:val="left"/>
      <w:pPr>
        <w:ind w:left="0" w:firstLine="0"/>
      </w:pPr>
      <w:rPr>
        <w:rFonts w:hint="default" w:ascii="Times New Roman" w:hAnsi="Times New Roman"/>
        <w:b/>
        <w:i w:val="0"/>
        <w:sz w:val="21"/>
      </w:rPr>
    </w:lvl>
    <w:lvl w:ilvl="1" w:tentative="0">
      <w:start w:val="1"/>
      <w:numFmt w:val="decimal"/>
      <w:pStyle w:val="74"/>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80"/>
      <w:suff w:val="nothing"/>
      <w:lvlText w:val="%1%2.%3　"/>
      <w:lvlJc w:val="left"/>
      <w:pPr>
        <w:ind w:left="720" w:firstLine="0"/>
      </w:pPr>
      <w:rPr>
        <w:rFonts w:hint="eastAsia" w:ascii="黑体" w:hAnsi="Times New Roman" w:eastAsia="黑体"/>
        <w:b w:val="0"/>
        <w:i w:val="0"/>
        <w:sz w:val="21"/>
      </w:rPr>
    </w:lvl>
    <w:lvl w:ilvl="3" w:tentative="0">
      <w:start w:val="1"/>
      <w:numFmt w:val="decimal"/>
      <w:pStyle w:val="79"/>
      <w:suff w:val="nothing"/>
      <w:lvlText w:val="%1%2.4.%4　"/>
      <w:lvlJc w:val="left"/>
      <w:pPr>
        <w:ind w:left="420" w:firstLine="0"/>
      </w:pPr>
      <w:rPr>
        <w:rFonts w:hint="eastAsia" w:ascii="黑体" w:hAnsi="Times New Roman" w:eastAsia="黑体"/>
        <w:b w:val="0"/>
        <w:i w:val="0"/>
        <w:sz w:val="21"/>
      </w:rPr>
    </w:lvl>
    <w:lvl w:ilvl="4" w:tentative="0">
      <w:start w:val="1"/>
      <w:numFmt w:val="decimal"/>
      <w:pStyle w:val="86"/>
      <w:suff w:val="nothing"/>
      <w:lvlText w:val="5.%12.5.%5　"/>
      <w:lvlJc w:val="left"/>
      <w:pPr>
        <w:ind w:left="42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7">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8">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9">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1">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3">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6"/>
  </w:num>
  <w:num w:numId="2">
    <w:abstractNumId w:val="8"/>
  </w:num>
  <w:num w:numId="3">
    <w:abstractNumId w:val="16"/>
  </w:num>
  <w:num w:numId="4">
    <w:abstractNumId w:val="25"/>
  </w:num>
  <w:num w:numId="5">
    <w:abstractNumId w:val="11"/>
  </w:num>
  <w:num w:numId="6">
    <w:abstractNumId w:val="10"/>
  </w:num>
  <w:num w:numId="7">
    <w:abstractNumId w:val="30"/>
  </w:num>
  <w:num w:numId="8">
    <w:abstractNumId w:val="6"/>
  </w:num>
  <w:num w:numId="9">
    <w:abstractNumId w:val="12"/>
  </w:num>
  <w:num w:numId="10">
    <w:abstractNumId w:val="32"/>
  </w:num>
  <w:num w:numId="11">
    <w:abstractNumId w:val="42"/>
  </w:num>
  <w:num w:numId="12">
    <w:abstractNumId w:val="43"/>
  </w:num>
  <w:num w:numId="13">
    <w:abstractNumId w:val="24"/>
  </w:num>
  <w:num w:numId="14">
    <w:abstractNumId w:val="28"/>
  </w:num>
  <w:num w:numId="15">
    <w:abstractNumId w:val="31"/>
  </w:num>
  <w:num w:numId="16">
    <w:abstractNumId w:val="33"/>
  </w:num>
  <w:num w:numId="17">
    <w:abstractNumId w:val="1"/>
  </w:num>
  <w:num w:numId="18">
    <w:abstractNumId w:val="35"/>
  </w:num>
  <w:num w:numId="19">
    <w:abstractNumId w:val="3"/>
  </w:num>
  <w:num w:numId="20">
    <w:abstractNumId w:val="22"/>
  </w:num>
  <w:num w:numId="21">
    <w:abstractNumId w:val="18"/>
  </w:num>
  <w:num w:numId="22">
    <w:abstractNumId w:val="38"/>
  </w:num>
  <w:num w:numId="23">
    <w:abstractNumId w:val="9"/>
  </w:num>
  <w:num w:numId="24">
    <w:abstractNumId w:val="23"/>
  </w:num>
  <w:num w:numId="25">
    <w:abstractNumId w:val="5"/>
  </w:num>
  <w:num w:numId="26">
    <w:abstractNumId w:val="37"/>
  </w:num>
  <w:num w:numId="27">
    <w:abstractNumId w:val="41"/>
  </w:num>
  <w:num w:numId="28">
    <w:abstractNumId w:val="26"/>
  </w:num>
  <w:num w:numId="29">
    <w:abstractNumId w:val="20"/>
  </w:num>
  <w:num w:numId="30">
    <w:abstractNumId w:val="7"/>
  </w:num>
  <w:num w:numId="31">
    <w:abstractNumId w:val="17"/>
  </w:num>
  <w:num w:numId="32">
    <w:abstractNumId w:val="40"/>
  </w:num>
  <w:num w:numId="33">
    <w:abstractNumId w:val="21"/>
  </w:num>
  <w:num w:numId="34">
    <w:abstractNumId w:val="13"/>
  </w:num>
  <w:num w:numId="35">
    <w:abstractNumId w:val="27"/>
  </w:num>
  <w:num w:numId="36">
    <w:abstractNumId w:val="39"/>
  </w:num>
  <w:num w:numId="37">
    <w:abstractNumId w:val="34"/>
  </w:num>
  <w:num w:numId="38">
    <w:abstractNumId w:val="14"/>
  </w:num>
  <w:num w:numId="39">
    <w:abstractNumId w:val="29"/>
  </w:num>
  <w:num w:numId="40">
    <w:abstractNumId w:val="0"/>
  </w:num>
  <w:num w:numId="41">
    <w:abstractNumId w:val="15"/>
  </w:num>
  <w:num w:numId="42">
    <w:abstractNumId w:val="19"/>
  </w:num>
  <w:num w:numId="43">
    <w:abstractNumId w:val="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26FF"/>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11FB"/>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23B"/>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B67F3"/>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2F2FDA"/>
    <w:rsid w:val="01461ACD"/>
    <w:rsid w:val="018D0205"/>
    <w:rsid w:val="01A06ACD"/>
    <w:rsid w:val="01C12A88"/>
    <w:rsid w:val="01D07706"/>
    <w:rsid w:val="01D97163"/>
    <w:rsid w:val="0221271C"/>
    <w:rsid w:val="02263749"/>
    <w:rsid w:val="022D649C"/>
    <w:rsid w:val="02351774"/>
    <w:rsid w:val="023A6ECB"/>
    <w:rsid w:val="02420646"/>
    <w:rsid w:val="0245540E"/>
    <w:rsid w:val="026647A4"/>
    <w:rsid w:val="028223A8"/>
    <w:rsid w:val="029D4FA6"/>
    <w:rsid w:val="02A9706C"/>
    <w:rsid w:val="02DE374B"/>
    <w:rsid w:val="0300517D"/>
    <w:rsid w:val="031C10FC"/>
    <w:rsid w:val="031C67BA"/>
    <w:rsid w:val="033F3CD6"/>
    <w:rsid w:val="03451C6E"/>
    <w:rsid w:val="03511571"/>
    <w:rsid w:val="035E37BC"/>
    <w:rsid w:val="03745129"/>
    <w:rsid w:val="03A25185"/>
    <w:rsid w:val="03A92E0C"/>
    <w:rsid w:val="03A93F07"/>
    <w:rsid w:val="03B83EAC"/>
    <w:rsid w:val="03DD17F0"/>
    <w:rsid w:val="03F25E1C"/>
    <w:rsid w:val="03F730D5"/>
    <w:rsid w:val="040E4213"/>
    <w:rsid w:val="04137380"/>
    <w:rsid w:val="04160294"/>
    <w:rsid w:val="0421064D"/>
    <w:rsid w:val="0424709F"/>
    <w:rsid w:val="04273734"/>
    <w:rsid w:val="042C6AE4"/>
    <w:rsid w:val="0439748C"/>
    <w:rsid w:val="045D48A5"/>
    <w:rsid w:val="04663DEE"/>
    <w:rsid w:val="048B6224"/>
    <w:rsid w:val="049319BD"/>
    <w:rsid w:val="049C3EF3"/>
    <w:rsid w:val="04BC1BA0"/>
    <w:rsid w:val="04CC44AE"/>
    <w:rsid w:val="04CC4566"/>
    <w:rsid w:val="04FD23FC"/>
    <w:rsid w:val="05005426"/>
    <w:rsid w:val="051576B1"/>
    <w:rsid w:val="055A38B5"/>
    <w:rsid w:val="059C5F8E"/>
    <w:rsid w:val="05AD5736"/>
    <w:rsid w:val="05CA2818"/>
    <w:rsid w:val="05D75A41"/>
    <w:rsid w:val="05FA06DD"/>
    <w:rsid w:val="06023A8F"/>
    <w:rsid w:val="0611621E"/>
    <w:rsid w:val="062C5A12"/>
    <w:rsid w:val="063F258E"/>
    <w:rsid w:val="065044F8"/>
    <w:rsid w:val="0653482B"/>
    <w:rsid w:val="06B7286F"/>
    <w:rsid w:val="06C116BD"/>
    <w:rsid w:val="06C767F8"/>
    <w:rsid w:val="06CE3218"/>
    <w:rsid w:val="06EA2FBD"/>
    <w:rsid w:val="06FE4AAE"/>
    <w:rsid w:val="070157D1"/>
    <w:rsid w:val="07117CDC"/>
    <w:rsid w:val="07354BE2"/>
    <w:rsid w:val="07457C0D"/>
    <w:rsid w:val="07506DDE"/>
    <w:rsid w:val="078360F1"/>
    <w:rsid w:val="079555F7"/>
    <w:rsid w:val="07AA21A6"/>
    <w:rsid w:val="07B323DD"/>
    <w:rsid w:val="07C67401"/>
    <w:rsid w:val="07D33E7D"/>
    <w:rsid w:val="07DA2552"/>
    <w:rsid w:val="07E61182"/>
    <w:rsid w:val="07F0255A"/>
    <w:rsid w:val="07F876CF"/>
    <w:rsid w:val="07FA3FC0"/>
    <w:rsid w:val="08376BE0"/>
    <w:rsid w:val="083F0656"/>
    <w:rsid w:val="08483779"/>
    <w:rsid w:val="085D5FC0"/>
    <w:rsid w:val="086A6893"/>
    <w:rsid w:val="0886626A"/>
    <w:rsid w:val="08912C45"/>
    <w:rsid w:val="08AD0CF8"/>
    <w:rsid w:val="08AD503B"/>
    <w:rsid w:val="08C76CFD"/>
    <w:rsid w:val="08E340CC"/>
    <w:rsid w:val="08E95B0E"/>
    <w:rsid w:val="090C54BE"/>
    <w:rsid w:val="092936B1"/>
    <w:rsid w:val="092A049B"/>
    <w:rsid w:val="092B3782"/>
    <w:rsid w:val="096A4BCE"/>
    <w:rsid w:val="0977301B"/>
    <w:rsid w:val="098226D8"/>
    <w:rsid w:val="09894939"/>
    <w:rsid w:val="09A02CD8"/>
    <w:rsid w:val="09C67157"/>
    <w:rsid w:val="09F4276E"/>
    <w:rsid w:val="0A165448"/>
    <w:rsid w:val="0A502EA2"/>
    <w:rsid w:val="0A5758F7"/>
    <w:rsid w:val="0A5C2605"/>
    <w:rsid w:val="0A67144A"/>
    <w:rsid w:val="0A71618F"/>
    <w:rsid w:val="0A7E1671"/>
    <w:rsid w:val="0AA37590"/>
    <w:rsid w:val="0AC165DA"/>
    <w:rsid w:val="0AC16F66"/>
    <w:rsid w:val="0AE4294C"/>
    <w:rsid w:val="0B1111D6"/>
    <w:rsid w:val="0B435CD5"/>
    <w:rsid w:val="0B456825"/>
    <w:rsid w:val="0B4B17AC"/>
    <w:rsid w:val="0B4F5787"/>
    <w:rsid w:val="0B625354"/>
    <w:rsid w:val="0B6438A9"/>
    <w:rsid w:val="0BC22757"/>
    <w:rsid w:val="0BD0342B"/>
    <w:rsid w:val="0BE3070D"/>
    <w:rsid w:val="0BF06979"/>
    <w:rsid w:val="0C367BBD"/>
    <w:rsid w:val="0C3C4113"/>
    <w:rsid w:val="0C4159CC"/>
    <w:rsid w:val="0C4225D4"/>
    <w:rsid w:val="0C49239C"/>
    <w:rsid w:val="0C4E57C8"/>
    <w:rsid w:val="0C6B5179"/>
    <w:rsid w:val="0C6F4FC2"/>
    <w:rsid w:val="0C7336D0"/>
    <w:rsid w:val="0CC36F40"/>
    <w:rsid w:val="0CF02600"/>
    <w:rsid w:val="0D162766"/>
    <w:rsid w:val="0D215ABE"/>
    <w:rsid w:val="0D41682C"/>
    <w:rsid w:val="0D50445B"/>
    <w:rsid w:val="0D526216"/>
    <w:rsid w:val="0D7807F1"/>
    <w:rsid w:val="0D895A46"/>
    <w:rsid w:val="0D9B67EB"/>
    <w:rsid w:val="0DB362DD"/>
    <w:rsid w:val="0DD1236C"/>
    <w:rsid w:val="0DE45CCC"/>
    <w:rsid w:val="0DE86CEC"/>
    <w:rsid w:val="0E09521B"/>
    <w:rsid w:val="0E0A51BD"/>
    <w:rsid w:val="0E133949"/>
    <w:rsid w:val="0E141CA7"/>
    <w:rsid w:val="0E386D2E"/>
    <w:rsid w:val="0E442D5B"/>
    <w:rsid w:val="0E4E7B59"/>
    <w:rsid w:val="0E6E5960"/>
    <w:rsid w:val="0EAE4301"/>
    <w:rsid w:val="0ED27024"/>
    <w:rsid w:val="0ED41F63"/>
    <w:rsid w:val="0ED94F19"/>
    <w:rsid w:val="0EDC5EDB"/>
    <w:rsid w:val="0EE82229"/>
    <w:rsid w:val="0F1458F0"/>
    <w:rsid w:val="0F1B0DB7"/>
    <w:rsid w:val="0F3425BB"/>
    <w:rsid w:val="0F4D5DDE"/>
    <w:rsid w:val="0F6C7EA7"/>
    <w:rsid w:val="0F6E10DC"/>
    <w:rsid w:val="0F7229B5"/>
    <w:rsid w:val="0FA03F81"/>
    <w:rsid w:val="0FA32A0E"/>
    <w:rsid w:val="0FBA5888"/>
    <w:rsid w:val="0FC5121F"/>
    <w:rsid w:val="0FC52200"/>
    <w:rsid w:val="0FC57219"/>
    <w:rsid w:val="0FF11896"/>
    <w:rsid w:val="0FF743B8"/>
    <w:rsid w:val="1023278F"/>
    <w:rsid w:val="104114BC"/>
    <w:rsid w:val="104C091D"/>
    <w:rsid w:val="104D6F99"/>
    <w:rsid w:val="104F21E7"/>
    <w:rsid w:val="105170A9"/>
    <w:rsid w:val="10681B45"/>
    <w:rsid w:val="10D545EB"/>
    <w:rsid w:val="10E51E7E"/>
    <w:rsid w:val="1109548A"/>
    <w:rsid w:val="11156035"/>
    <w:rsid w:val="111F2499"/>
    <w:rsid w:val="11296D36"/>
    <w:rsid w:val="113E0437"/>
    <w:rsid w:val="1146103D"/>
    <w:rsid w:val="116C7384"/>
    <w:rsid w:val="11A20E56"/>
    <w:rsid w:val="11EF7FD9"/>
    <w:rsid w:val="12107133"/>
    <w:rsid w:val="12305D0B"/>
    <w:rsid w:val="12423595"/>
    <w:rsid w:val="12595354"/>
    <w:rsid w:val="12676ACE"/>
    <w:rsid w:val="128C79F5"/>
    <w:rsid w:val="12987FD1"/>
    <w:rsid w:val="12C3649B"/>
    <w:rsid w:val="12D57C7C"/>
    <w:rsid w:val="12DE2F04"/>
    <w:rsid w:val="12E1444B"/>
    <w:rsid w:val="12F453F7"/>
    <w:rsid w:val="12F70776"/>
    <w:rsid w:val="13424AAD"/>
    <w:rsid w:val="135A65CD"/>
    <w:rsid w:val="13681291"/>
    <w:rsid w:val="139A72A6"/>
    <w:rsid w:val="13C96353"/>
    <w:rsid w:val="13D75C16"/>
    <w:rsid w:val="14171AEC"/>
    <w:rsid w:val="141A71FC"/>
    <w:rsid w:val="14225F28"/>
    <w:rsid w:val="14393E39"/>
    <w:rsid w:val="1439492C"/>
    <w:rsid w:val="144E282E"/>
    <w:rsid w:val="14905D77"/>
    <w:rsid w:val="14C13D98"/>
    <w:rsid w:val="14C818C6"/>
    <w:rsid w:val="14D17473"/>
    <w:rsid w:val="14D2285A"/>
    <w:rsid w:val="14F848F0"/>
    <w:rsid w:val="1533008F"/>
    <w:rsid w:val="153D3401"/>
    <w:rsid w:val="155142E7"/>
    <w:rsid w:val="15544C42"/>
    <w:rsid w:val="157752E5"/>
    <w:rsid w:val="15855A36"/>
    <w:rsid w:val="158E06A1"/>
    <w:rsid w:val="15932B1E"/>
    <w:rsid w:val="15AF36C0"/>
    <w:rsid w:val="15D645CA"/>
    <w:rsid w:val="15E62FA3"/>
    <w:rsid w:val="15EE7CEF"/>
    <w:rsid w:val="160D691C"/>
    <w:rsid w:val="1611027B"/>
    <w:rsid w:val="16333435"/>
    <w:rsid w:val="16391530"/>
    <w:rsid w:val="166C136C"/>
    <w:rsid w:val="168C0198"/>
    <w:rsid w:val="16C6539F"/>
    <w:rsid w:val="16C83962"/>
    <w:rsid w:val="16ED23AA"/>
    <w:rsid w:val="16FB2D1D"/>
    <w:rsid w:val="17034CBD"/>
    <w:rsid w:val="1730286B"/>
    <w:rsid w:val="173E2364"/>
    <w:rsid w:val="1761710C"/>
    <w:rsid w:val="17756A1D"/>
    <w:rsid w:val="17812612"/>
    <w:rsid w:val="17871823"/>
    <w:rsid w:val="1789592C"/>
    <w:rsid w:val="17933C9F"/>
    <w:rsid w:val="17A92C80"/>
    <w:rsid w:val="17B13E29"/>
    <w:rsid w:val="17D67A38"/>
    <w:rsid w:val="17DB1463"/>
    <w:rsid w:val="17ED5B45"/>
    <w:rsid w:val="17EE7984"/>
    <w:rsid w:val="18260DD1"/>
    <w:rsid w:val="182656C2"/>
    <w:rsid w:val="18303541"/>
    <w:rsid w:val="183735E3"/>
    <w:rsid w:val="1858215D"/>
    <w:rsid w:val="186D03ED"/>
    <w:rsid w:val="18744310"/>
    <w:rsid w:val="18A12DFD"/>
    <w:rsid w:val="18A922F3"/>
    <w:rsid w:val="18B137E8"/>
    <w:rsid w:val="18D46399"/>
    <w:rsid w:val="18F56002"/>
    <w:rsid w:val="1910719D"/>
    <w:rsid w:val="19125034"/>
    <w:rsid w:val="191D2489"/>
    <w:rsid w:val="192F50C9"/>
    <w:rsid w:val="19633F03"/>
    <w:rsid w:val="199C3850"/>
    <w:rsid w:val="199E02FC"/>
    <w:rsid w:val="19BA1CE3"/>
    <w:rsid w:val="19DF55C2"/>
    <w:rsid w:val="19FA7D22"/>
    <w:rsid w:val="19FC2D96"/>
    <w:rsid w:val="1A0C61A8"/>
    <w:rsid w:val="1A132F57"/>
    <w:rsid w:val="1A300E03"/>
    <w:rsid w:val="1A5F760F"/>
    <w:rsid w:val="1A6F3E95"/>
    <w:rsid w:val="1A6F6E85"/>
    <w:rsid w:val="1AB70FFB"/>
    <w:rsid w:val="1AB745E3"/>
    <w:rsid w:val="1AD51B88"/>
    <w:rsid w:val="1B2058A0"/>
    <w:rsid w:val="1B566A66"/>
    <w:rsid w:val="1B8565CF"/>
    <w:rsid w:val="1B9104B0"/>
    <w:rsid w:val="1BAC363D"/>
    <w:rsid w:val="1BAC6412"/>
    <w:rsid w:val="1BBB7E3E"/>
    <w:rsid w:val="1BCA3781"/>
    <w:rsid w:val="1BD60F79"/>
    <w:rsid w:val="1C0C60A0"/>
    <w:rsid w:val="1C41527E"/>
    <w:rsid w:val="1C49412F"/>
    <w:rsid w:val="1C4F5FC4"/>
    <w:rsid w:val="1C64078D"/>
    <w:rsid w:val="1C685476"/>
    <w:rsid w:val="1C81524F"/>
    <w:rsid w:val="1CA121A3"/>
    <w:rsid w:val="1CDF257F"/>
    <w:rsid w:val="1CE40841"/>
    <w:rsid w:val="1CF405AE"/>
    <w:rsid w:val="1CFB22F4"/>
    <w:rsid w:val="1D014450"/>
    <w:rsid w:val="1D2A2C86"/>
    <w:rsid w:val="1D2A6659"/>
    <w:rsid w:val="1D41310E"/>
    <w:rsid w:val="1D426DC5"/>
    <w:rsid w:val="1D4377C2"/>
    <w:rsid w:val="1D54682E"/>
    <w:rsid w:val="1D575B51"/>
    <w:rsid w:val="1D6C2520"/>
    <w:rsid w:val="1D9E396B"/>
    <w:rsid w:val="1D9F4A19"/>
    <w:rsid w:val="1DA05599"/>
    <w:rsid w:val="1DAB519B"/>
    <w:rsid w:val="1DB91540"/>
    <w:rsid w:val="1DC65420"/>
    <w:rsid w:val="1DC94DC3"/>
    <w:rsid w:val="1E0649A4"/>
    <w:rsid w:val="1E316CE9"/>
    <w:rsid w:val="1E474E6F"/>
    <w:rsid w:val="1E4D30A6"/>
    <w:rsid w:val="1E6843C7"/>
    <w:rsid w:val="1EA60FCA"/>
    <w:rsid w:val="1EA87417"/>
    <w:rsid w:val="1ED70A99"/>
    <w:rsid w:val="1F353005"/>
    <w:rsid w:val="1F35766F"/>
    <w:rsid w:val="1F65672E"/>
    <w:rsid w:val="1F6B4880"/>
    <w:rsid w:val="1F6D18D3"/>
    <w:rsid w:val="1F855EC8"/>
    <w:rsid w:val="1F865B87"/>
    <w:rsid w:val="1F8D0E35"/>
    <w:rsid w:val="1FAD401E"/>
    <w:rsid w:val="1FB611E4"/>
    <w:rsid w:val="1FBA2E91"/>
    <w:rsid w:val="1FC02D54"/>
    <w:rsid w:val="1FD92D82"/>
    <w:rsid w:val="1FEE1F52"/>
    <w:rsid w:val="20067C86"/>
    <w:rsid w:val="20701DF7"/>
    <w:rsid w:val="20844231"/>
    <w:rsid w:val="20950348"/>
    <w:rsid w:val="20981E88"/>
    <w:rsid w:val="20A10137"/>
    <w:rsid w:val="20B97750"/>
    <w:rsid w:val="20BD2343"/>
    <w:rsid w:val="20C125E5"/>
    <w:rsid w:val="20F77EBA"/>
    <w:rsid w:val="20FE0571"/>
    <w:rsid w:val="212F48FD"/>
    <w:rsid w:val="215274AB"/>
    <w:rsid w:val="21B23C30"/>
    <w:rsid w:val="21C52F8D"/>
    <w:rsid w:val="21D5663A"/>
    <w:rsid w:val="21DE0782"/>
    <w:rsid w:val="220D5F91"/>
    <w:rsid w:val="220F017A"/>
    <w:rsid w:val="223D6488"/>
    <w:rsid w:val="224F423C"/>
    <w:rsid w:val="227710AB"/>
    <w:rsid w:val="229B4E78"/>
    <w:rsid w:val="22C77F82"/>
    <w:rsid w:val="22E50F21"/>
    <w:rsid w:val="22F562BD"/>
    <w:rsid w:val="231C3AC6"/>
    <w:rsid w:val="23261385"/>
    <w:rsid w:val="233970A1"/>
    <w:rsid w:val="2345547A"/>
    <w:rsid w:val="2390118C"/>
    <w:rsid w:val="23A33225"/>
    <w:rsid w:val="23A3458B"/>
    <w:rsid w:val="23A83880"/>
    <w:rsid w:val="23AC3B0D"/>
    <w:rsid w:val="23AE3EA4"/>
    <w:rsid w:val="23BD797B"/>
    <w:rsid w:val="23CC13DF"/>
    <w:rsid w:val="241374BB"/>
    <w:rsid w:val="24210897"/>
    <w:rsid w:val="242E0AC8"/>
    <w:rsid w:val="24474E0A"/>
    <w:rsid w:val="244E4AD0"/>
    <w:rsid w:val="246B4679"/>
    <w:rsid w:val="249900C5"/>
    <w:rsid w:val="24BF7D42"/>
    <w:rsid w:val="255D2F2A"/>
    <w:rsid w:val="256C5A3D"/>
    <w:rsid w:val="25763A12"/>
    <w:rsid w:val="257963F1"/>
    <w:rsid w:val="259B03C3"/>
    <w:rsid w:val="25A7402B"/>
    <w:rsid w:val="25FE15DC"/>
    <w:rsid w:val="26683D33"/>
    <w:rsid w:val="26806C09"/>
    <w:rsid w:val="26863962"/>
    <w:rsid w:val="26FA6E39"/>
    <w:rsid w:val="271E4603"/>
    <w:rsid w:val="272A0710"/>
    <w:rsid w:val="272D4FDD"/>
    <w:rsid w:val="274B3FF9"/>
    <w:rsid w:val="27555997"/>
    <w:rsid w:val="276E4B45"/>
    <w:rsid w:val="277E0E1B"/>
    <w:rsid w:val="27C102AD"/>
    <w:rsid w:val="27C13C20"/>
    <w:rsid w:val="27E47883"/>
    <w:rsid w:val="280260F1"/>
    <w:rsid w:val="28031DED"/>
    <w:rsid w:val="28120519"/>
    <w:rsid w:val="281327C3"/>
    <w:rsid w:val="28195AAE"/>
    <w:rsid w:val="2823540A"/>
    <w:rsid w:val="28311120"/>
    <w:rsid w:val="28323569"/>
    <w:rsid w:val="28326E12"/>
    <w:rsid w:val="28504863"/>
    <w:rsid w:val="287013AF"/>
    <w:rsid w:val="28943CBF"/>
    <w:rsid w:val="28E96526"/>
    <w:rsid w:val="28F77A34"/>
    <w:rsid w:val="29213FAC"/>
    <w:rsid w:val="294019F3"/>
    <w:rsid w:val="295F6F3A"/>
    <w:rsid w:val="298168E8"/>
    <w:rsid w:val="2985741A"/>
    <w:rsid w:val="29880DC9"/>
    <w:rsid w:val="299658C8"/>
    <w:rsid w:val="29BF618A"/>
    <w:rsid w:val="29C74336"/>
    <w:rsid w:val="29D3585D"/>
    <w:rsid w:val="29F84B24"/>
    <w:rsid w:val="2A0C4705"/>
    <w:rsid w:val="2A0E44BE"/>
    <w:rsid w:val="2A104C01"/>
    <w:rsid w:val="2A2219FF"/>
    <w:rsid w:val="2A2649D3"/>
    <w:rsid w:val="2A2F0453"/>
    <w:rsid w:val="2A375CB0"/>
    <w:rsid w:val="2A4F7A8E"/>
    <w:rsid w:val="2A5C693A"/>
    <w:rsid w:val="2A8629DC"/>
    <w:rsid w:val="2A9D1044"/>
    <w:rsid w:val="2AA14EFF"/>
    <w:rsid w:val="2AE42B9F"/>
    <w:rsid w:val="2AE96027"/>
    <w:rsid w:val="2AFA4FF0"/>
    <w:rsid w:val="2AFF35D3"/>
    <w:rsid w:val="2B0A651F"/>
    <w:rsid w:val="2B132D50"/>
    <w:rsid w:val="2B2133D5"/>
    <w:rsid w:val="2B6076B4"/>
    <w:rsid w:val="2B617D56"/>
    <w:rsid w:val="2BEA29C3"/>
    <w:rsid w:val="2BEA69E1"/>
    <w:rsid w:val="2BEB27E3"/>
    <w:rsid w:val="2BEB2E9D"/>
    <w:rsid w:val="2BF61207"/>
    <w:rsid w:val="2BFD1075"/>
    <w:rsid w:val="2C036BC4"/>
    <w:rsid w:val="2C2E6F83"/>
    <w:rsid w:val="2C397AEF"/>
    <w:rsid w:val="2C620007"/>
    <w:rsid w:val="2C922343"/>
    <w:rsid w:val="2CD367CC"/>
    <w:rsid w:val="2CDD2B9E"/>
    <w:rsid w:val="2CF33E6B"/>
    <w:rsid w:val="2D022F3E"/>
    <w:rsid w:val="2D09394F"/>
    <w:rsid w:val="2D6345E9"/>
    <w:rsid w:val="2D7E4209"/>
    <w:rsid w:val="2D9A55C1"/>
    <w:rsid w:val="2D9B288E"/>
    <w:rsid w:val="2DAD757E"/>
    <w:rsid w:val="2DAF3FC3"/>
    <w:rsid w:val="2DBD42B5"/>
    <w:rsid w:val="2DCB5DC1"/>
    <w:rsid w:val="2DCE5309"/>
    <w:rsid w:val="2DE2242A"/>
    <w:rsid w:val="2E194ACD"/>
    <w:rsid w:val="2E3516CF"/>
    <w:rsid w:val="2E4225F7"/>
    <w:rsid w:val="2E463849"/>
    <w:rsid w:val="2E4B01D1"/>
    <w:rsid w:val="2E522374"/>
    <w:rsid w:val="2E5A5340"/>
    <w:rsid w:val="2E677780"/>
    <w:rsid w:val="2E6E73D5"/>
    <w:rsid w:val="2E81141D"/>
    <w:rsid w:val="2E9A7ADA"/>
    <w:rsid w:val="2EC304B4"/>
    <w:rsid w:val="2F1B0798"/>
    <w:rsid w:val="2F235807"/>
    <w:rsid w:val="2F4F0438"/>
    <w:rsid w:val="2F506BFB"/>
    <w:rsid w:val="2F7E2CC0"/>
    <w:rsid w:val="2F921764"/>
    <w:rsid w:val="2F98405A"/>
    <w:rsid w:val="2FD11EB8"/>
    <w:rsid w:val="303D5772"/>
    <w:rsid w:val="306E40F7"/>
    <w:rsid w:val="30B04042"/>
    <w:rsid w:val="30B15581"/>
    <w:rsid w:val="30B93848"/>
    <w:rsid w:val="30BD1E67"/>
    <w:rsid w:val="30BE1DE8"/>
    <w:rsid w:val="30C20775"/>
    <w:rsid w:val="31253510"/>
    <w:rsid w:val="313177AD"/>
    <w:rsid w:val="31341EAD"/>
    <w:rsid w:val="31423CC5"/>
    <w:rsid w:val="3157256E"/>
    <w:rsid w:val="31665B97"/>
    <w:rsid w:val="31854B7E"/>
    <w:rsid w:val="31E86EE4"/>
    <w:rsid w:val="31F33D55"/>
    <w:rsid w:val="31FD6157"/>
    <w:rsid w:val="32171B71"/>
    <w:rsid w:val="322B53E9"/>
    <w:rsid w:val="32915ABA"/>
    <w:rsid w:val="329C1497"/>
    <w:rsid w:val="32D72576"/>
    <w:rsid w:val="32D93319"/>
    <w:rsid w:val="32F556EA"/>
    <w:rsid w:val="330D0307"/>
    <w:rsid w:val="332C3D97"/>
    <w:rsid w:val="334A372A"/>
    <w:rsid w:val="335C422F"/>
    <w:rsid w:val="3360351F"/>
    <w:rsid w:val="33620CB2"/>
    <w:rsid w:val="33B17CDB"/>
    <w:rsid w:val="33DD0184"/>
    <w:rsid w:val="33E04B57"/>
    <w:rsid w:val="33FA7456"/>
    <w:rsid w:val="34024883"/>
    <w:rsid w:val="34264530"/>
    <w:rsid w:val="342C6E98"/>
    <w:rsid w:val="343E2F3B"/>
    <w:rsid w:val="344F7140"/>
    <w:rsid w:val="34755DB1"/>
    <w:rsid w:val="349E0FB2"/>
    <w:rsid w:val="34A96A1A"/>
    <w:rsid w:val="34B370D1"/>
    <w:rsid w:val="34C27532"/>
    <w:rsid w:val="34CA52FD"/>
    <w:rsid w:val="34E622D6"/>
    <w:rsid w:val="3518700F"/>
    <w:rsid w:val="352B5FF0"/>
    <w:rsid w:val="352F2FF3"/>
    <w:rsid w:val="35375748"/>
    <w:rsid w:val="35486C73"/>
    <w:rsid w:val="3569462D"/>
    <w:rsid w:val="359E09BB"/>
    <w:rsid w:val="3600191D"/>
    <w:rsid w:val="361A4DE1"/>
    <w:rsid w:val="361F592F"/>
    <w:rsid w:val="362B3643"/>
    <w:rsid w:val="362F79EA"/>
    <w:rsid w:val="364416D7"/>
    <w:rsid w:val="36516B14"/>
    <w:rsid w:val="36556C85"/>
    <w:rsid w:val="3675230B"/>
    <w:rsid w:val="36766F5C"/>
    <w:rsid w:val="36777C43"/>
    <w:rsid w:val="367E7A3F"/>
    <w:rsid w:val="36C1347A"/>
    <w:rsid w:val="36C31B41"/>
    <w:rsid w:val="36C45CB1"/>
    <w:rsid w:val="36C532A1"/>
    <w:rsid w:val="36CE234D"/>
    <w:rsid w:val="36D347D3"/>
    <w:rsid w:val="36DA50A9"/>
    <w:rsid w:val="36E42C99"/>
    <w:rsid w:val="3736228A"/>
    <w:rsid w:val="37671725"/>
    <w:rsid w:val="376F122C"/>
    <w:rsid w:val="3798526A"/>
    <w:rsid w:val="37B72EB1"/>
    <w:rsid w:val="37C806F3"/>
    <w:rsid w:val="37C85C3C"/>
    <w:rsid w:val="37CF1603"/>
    <w:rsid w:val="38393506"/>
    <w:rsid w:val="38585500"/>
    <w:rsid w:val="385D1C71"/>
    <w:rsid w:val="388E1434"/>
    <w:rsid w:val="38BA5460"/>
    <w:rsid w:val="38C62FF5"/>
    <w:rsid w:val="38D62476"/>
    <w:rsid w:val="38E27127"/>
    <w:rsid w:val="39027E88"/>
    <w:rsid w:val="39075875"/>
    <w:rsid w:val="39175D39"/>
    <w:rsid w:val="391904A1"/>
    <w:rsid w:val="391C718D"/>
    <w:rsid w:val="394D30B0"/>
    <w:rsid w:val="395466DA"/>
    <w:rsid w:val="39624091"/>
    <w:rsid w:val="397C6037"/>
    <w:rsid w:val="39D43B66"/>
    <w:rsid w:val="39EC03FA"/>
    <w:rsid w:val="3A03077C"/>
    <w:rsid w:val="3A072568"/>
    <w:rsid w:val="3A1E303B"/>
    <w:rsid w:val="3A1F74C9"/>
    <w:rsid w:val="3A224445"/>
    <w:rsid w:val="3A2A1F54"/>
    <w:rsid w:val="3A2D40D1"/>
    <w:rsid w:val="3A314B02"/>
    <w:rsid w:val="3A535438"/>
    <w:rsid w:val="3A5C2602"/>
    <w:rsid w:val="3A5E6F34"/>
    <w:rsid w:val="3A765F75"/>
    <w:rsid w:val="3A79657B"/>
    <w:rsid w:val="3A8B77C7"/>
    <w:rsid w:val="3A9A32EA"/>
    <w:rsid w:val="3ACD391F"/>
    <w:rsid w:val="3B026D00"/>
    <w:rsid w:val="3B1471CB"/>
    <w:rsid w:val="3B655681"/>
    <w:rsid w:val="3B6C4553"/>
    <w:rsid w:val="3B6F3ABC"/>
    <w:rsid w:val="3B7527F4"/>
    <w:rsid w:val="3BAA143A"/>
    <w:rsid w:val="3BC378A6"/>
    <w:rsid w:val="3BD67C57"/>
    <w:rsid w:val="3BDC08FD"/>
    <w:rsid w:val="3BE42ECD"/>
    <w:rsid w:val="3BE7315C"/>
    <w:rsid w:val="3BFE1CAB"/>
    <w:rsid w:val="3C10260E"/>
    <w:rsid w:val="3C274A05"/>
    <w:rsid w:val="3C7511AE"/>
    <w:rsid w:val="3C8A0FBB"/>
    <w:rsid w:val="3C8D1A37"/>
    <w:rsid w:val="3C9B364F"/>
    <w:rsid w:val="3CA977D2"/>
    <w:rsid w:val="3CC733AF"/>
    <w:rsid w:val="3CF76813"/>
    <w:rsid w:val="3CFC6063"/>
    <w:rsid w:val="3D0702D4"/>
    <w:rsid w:val="3D1319B5"/>
    <w:rsid w:val="3D260CA6"/>
    <w:rsid w:val="3D520CCB"/>
    <w:rsid w:val="3D5C6974"/>
    <w:rsid w:val="3D6678B0"/>
    <w:rsid w:val="3D70364C"/>
    <w:rsid w:val="3D772181"/>
    <w:rsid w:val="3D823D30"/>
    <w:rsid w:val="3DCE6FB3"/>
    <w:rsid w:val="3DD16176"/>
    <w:rsid w:val="3DEB2C72"/>
    <w:rsid w:val="3E0D7410"/>
    <w:rsid w:val="3E104E3F"/>
    <w:rsid w:val="3E1D6E9C"/>
    <w:rsid w:val="3E2B373B"/>
    <w:rsid w:val="3E4A1BED"/>
    <w:rsid w:val="3E662345"/>
    <w:rsid w:val="3E810EE1"/>
    <w:rsid w:val="3E82228B"/>
    <w:rsid w:val="3E8242C1"/>
    <w:rsid w:val="3EB33AF3"/>
    <w:rsid w:val="3EFD0DF6"/>
    <w:rsid w:val="3EFE49C6"/>
    <w:rsid w:val="3F0A5B5C"/>
    <w:rsid w:val="3F1A0890"/>
    <w:rsid w:val="3F3F5846"/>
    <w:rsid w:val="3F71500B"/>
    <w:rsid w:val="3F75685F"/>
    <w:rsid w:val="3F801023"/>
    <w:rsid w:val="3F8064EB"/>
    <w:rsid w:val="3F982DCA"/>
    <w:rsid w:val="3FD12D26"/>
    <w:rsid w:val="3FDE4917"/>
    <w:rsid w:val="402F3ADF"/>
    <w:rsid w:val="40306F5A"/>
    <w:rsid w:val="40452510"/>
    <w:rsid w:val="40476BB3"/>
    <w:rsid w:val="404C05E7"/>
    <w:rsid w:val="40546FB6"/>
    <w:rsid w:val="40554803"/>
    <w:rsid w:val="407A60D5"/>
    <w:rsid w:val="40961808"/>
    <w:rsid w:val="40AB4DEE"/>
    <w:rsid w:val="40B926EA"/>
    <w:rsid w:val="40D24BBE"/>
    <w:rsid w:val="40EC4043"/>
    <w:rsid w:val="40F36253"/>
    <w:rsid w:val="412008E0"/>
    <w:rsid w:val="413A6D3B"/>
    <w:rsid w:val="41515AC7"/>
    <w:rsid w:val="41902B9F"/>
    <w:rsid w:val="41C02331"/>
    <w:rsid w:val="41C13A63"/>
    <w:rsid w:val="41C67037"/>
    <w:rsid w:val="41D229E1"/>
    <w:rsid w:val="41E12821"/>
    <w:rsid w:val="41EC6E94"/>
    <w:rsid w:val="41F72149"/>
    <w:rsid w:val="422F085E"/>
    <w:rsid w:val="42415ACC"/>
    <w:rsid w:val="427D539F"/>
    <w:rsid w:val="42991E30"/>
    <w:rsid w:val="42CE0B28"/>
    <w:rsid w:val="42CF6367"/>
    <w:rsid w:val="42DE1CCC"/>
    <w:rsid w:val="42FC0B99"/>
    <w:rsid w:val="4308546B"/>
    <w:rsid w:val="430E36C9"/>
    <w:rsid w:val="43263445"/>
    <w:rsid w:val="43276BE6"/>
    <w:rsid w:val="434157E3"/>
    <w:rsid w:val="43494860"/>
    <w:rsid w:val="434D380E"/>
    <w:rsid w:val="436D1B9F"/>
    <w:rsid w:val="437F2C8C"/>
    <w:rsid w:val="43934189"/>
    <w:rsid w:val="439D4850"/>
    <w:rsid w:val="43C27232"/>
    <w:rsid w:val="43DD3717"/>
    <w:rsid w:val="43ED069F"/>
    <w:rsid w:val="43F21951"/>
    <w:rsid w:val="442A6E5A"/>
    <w:rsid w:val="444E0900"/>
    <w:rsid w:val="445C4B8F"/>
    <w:rsid w:val="44796121"/>
    <w:rsid w:val="44833851"/>
    <w:rsid w:val="448A40F8"/>
    <w:rsid w:val="44982752"/>
    <w:rsid w:val="44BF6F86"/>
    <w:rsid w:val="44C45031"/>
    <w:rsid w:val="44D53AB2"/>
    <w:rsid w:val="44F27B0D"/>
    <w:rsid w:val="45485BDE"/>
    <w:rsid w:val="454C183F"/>
    <w:rsid w:val="45945C30"/>
    <w:rsid w:val="459F2306"/>
    <w:rsid w:val="45A51B52"/>
    <w:rsid w:val="45A832FE"/>
    <w:rsid w:val="45AB6174"/>
    <w:rsid w:val="45BA63E5"/>
    <w:rsid w:val="45CC5EDC"/>
    <w:rsid w:val="45F73D47"/>
    <w:rsid w:val="462D2575"/>
    <w:rsid w:val="46467FD8"/>
    <w:rsid w:val="46522858"/>
    <w:rsid w:val="46601D33"/>
    <w:rsid w:val="4666746C"/>
    <w:rsid w:val="467505FA"/>
    <w:rsid w:val="468720BA"/>
    <w:rsid w:val="46895AFC"/>
    <w:rsid w:val="46BA2F04"/>
    <w:rsid w:val="46BC623F"/>
    <w:rsid w:val="46D855B9"/>
    <w:rsid w:val="470D2C74"/>
    <w:rsid w:val="477570F1"/>
    <w:rsid w:val="479F7CDD"/>
    <w:rsid w:val="47B41AAA"/>
    <w:rsid w:val="47CD38AD"/>
    <w:rsid w:val="47DB16D8"/>
    <w:rsid w:val="48060BC6"/>
    <w:rsid w:val="48416760"/>
    <w:rsid w:val="48466F81"/>
    <w:rsid w:val="4847049F"/>
    <w:rsid w:val="484D02A2"/>
    <w:rsid w:val="486B647A"/>
    <w:rsid w:val="48896934"/>
    <w:rsid w:val="48C12AEC"/>
    <w:rsid w:val="48D072A1"/>
    <w:rsid w:val="48D1341D"/>
    <w:rsid w:val="48D63F90"/>
    <w:rsid w:val="48E0279A"/>
    <w:rsid w:val="48E64C8E"/>
    <w:rsid w:val="48FA7B87"/>
    <w:rsid w:val="4916087F"/>
    <w:rsid w:val="4919356E"/>
    <w:rsid w:val="492A7740"/>
    <w:rsid w:val="49300AA7"/>
    <w:rsid w:val="49391CB0"/>
    <w:rsid w:val="493C3A20"/>
    <w:rsid w:val="49401E21"/>
    <w:rsid w:val="49526EB9"/>
    <w:rsid w:val="49684311"/>
    <w:rsid w:val="496D00AD"/>
    <w:rsid w:val="49742114"/>
    <w:rsid w:val="49754CB4"/>
    <w:rsid w:val="49921F0F"/>
    <w:rsid w:val="49B9015D"/>
    <w:rsid w:val="49C87B2C"/>
    <w:rsid w:val="49CE6B8E"/>
    <w:rsid w:val="49D72FF3"/>
    <w:rsid w:val="49E0102B"/>
    <w:rsid w:val="4A026FC1"/>
    <w:rsid w:val="4A106283"/>
    <w:rsid w:val="4A2945F2"/>
    <w:rsid w:val="4A29762E"/>
    <w:rsid w:val="4A486AD4"/>
    <w:rsid w:val="4A5A0B06"/>
    <w:rsid w:val="4A615154"/>
    <w:rsid w:val="4A96607C"/>
    <w:rsid w:val="4AB92E92"/>
    <w:rsid w:val="4AD646F7"/>
    <w:rsid w:val="4B2134B8"/>
    <w:rsid w:val="4B24233C"/>
    <w:rsid w:val="4B2734DA"/>
    <w:rsid w:val="4B330A0B"/>
    <w:rsid w:val="4B5E55F9"/>
    <w:rsid w:val="4B685D82"/>
    <w:rsid w:val="4B7B4674"/>
    <w:rsid w:val="4B7C1135"/>
    <w:rsid w:val="4B7C663B"/>
    <w:rsid w:val="4B812078"/>
    <w:rsid w:val="4B896F57"/>
    <w:rsid w:val="4BB34535"/>
    <w:rsid w:val="4BF71347"/>
    <w:rsid w:val="4BF97932"/>
    <w:rsid w:val="4C0E21DB"/>
    <w:rsid w:val="4C141E75"/>
    <w:rsid w:val="4C2850B8"/>
    <w:rsid w:val="4C2A4039"/>
    <w:rsid w:val="4C2E02EB"/>
    <w:rsid w:val="4C501CC2"/>
    <w:rsid w:val="4C847BBF"/>
    <w:rsid w:val="4CAE60E3"/>
    <w:rsid w:val="4CD1565B"/>
    <w:rsid w:val="4CEE1D13"/>
    <w:rsid w:val="4D032DA9"/>
    <w:rsid w:val="4D0C6DBE"/>
    <w:rsid w:val="4D25615C"/>
    <w:rsid w:val="4D36054D"/>
    <w:rsid w:val="4D41137F"/>
    <w:rsid w:val="4D524AEA"/>
    <w:rsid w:val="4D5724F7"/>
    <w:rsid w:val="4D654F3D"/>
    <w:rsid w:val="4D757452"/>
    <w:rsid w:val="4D8C3F82"/>
    <w:rsid w:val="4DBC14B8"/>
    <w:rsid w:val="4DDC29C3"/>
    <w:rsid w:val="4DE936C7"/>
    <w:rsid w:val="4DF23555"/>
    <w:rsid w:val="4E050D4C"/>
    <w:rsid w:val="4E06569E"/>
    <w:rsid w:val="4E093792"/>
    <w:rsid w:val="4E1D26B7"/>
    <w:rsid w:val="4E1F052C"/>
    <w:rsid w:val="4E451D41"/>
    <w:rsid w:val="4E7A454C"/>
    <w:rsid w:val="4E85341C"/>
    <w:rsid w:val="4E9A6D77"/>
    <w:rsid w:val="4E9B7B12"/>
    <w:rsid w:val="4EC2049B"/>
    <w:rsid w:val="4EC47712"/>
    <w:rsid w:val="4EDD3C61"/>
    <w:rsid w:val="4EF1457F"/>
    <w:rsid w:val="4F2C40A0"/>
    <w:rsid w:val="4F2E384E"/>
    <w:rsid w:val="4F2F3B98"/>
    <w:rsid w:val="4F380B7A"/>
    <w:rsid w:val="4F420D1A"/>
    <w:rsid w:val="4F4B0CB3"/>
    <w:rsid w:val="4F4F0EBF"/>
    <w:rsid w:val="4F551D3F"/>
    <w:rsid w:val="4F8C4B40"/>
    <w:rsid w:val="4F9F62E6"/>
    <w:rsid w:val="4FAA5CD5"/>
    <w:rsid w:val="4FBD187E"/>
    <w:rsid w:val="4FBF7CF0"/>
    <w:rsid w:val="4FD11AC0"/>
    <w:rsid w:val="4FFC278C"/>
    <w:rsid w:val="50231F54"/>
    <w:rsid w:val="50244473"/>
    <w:rsid w:val="502F75EB"/>
    <w:rsid w:val="50400243"/>
    <w:rsid w:val="50494336"/>
    <w:rsid w:val="50784012"/>
    <w:rsid w:val="507C7D8B"/>
    <w:rsid w:val="50813C12"/>
    <w:rsid w:val="5087463E"/>
    <w:rsid w:val="50A11680"/>
    <w:rsid w:val="50B77550"/>
    <w:rsid w:val="50C62E8E"/>
    <w:rsid w:val="50C773AE"/>
    <w:rsid w:val="50CD6602"/>
    <w:rsid w:val="510D0F23"/>
    <w:rsid w:val="51197B59"/>
    <w:rsid w:val="51215D4C"/>
    <w:rsid w:val="5130178D"/>
    <w:rsid w:val="5152731C"/>
    <w:rsid w:val="51615030"/>
    <w:rsid w:val="51627812"/>
    <w:rsid w:val="51D33F6D"/>
    <w:rsid w:val="52045DB4"/>
    <w:rsid w:val="5229705D"/>
    <w:rsid w:val="522C275E"/>
    <w:rsid w:val="523B42BA"/>
    <w:rsid w:val="529000F6"/>
    <w:rsid w:val="5296149A"/>
    <w:rsid w:val="52A65672"/>
    <w:rsid w:val="52BA4073"/>
    <w:rsid w:val="52CD7B31"/>
    <w:rsid w:val="52D576F4"/>
    <w:rsid w:val="52DF170A"/>
    <w:rsid w:val="52E25B6D"/>
    <w:rsid w:val="52F362FB"/>
    <w:rsid w:val="52F4161A"/>
    <w:rsid w:val="52F965A5"/>
    <w:rsid w:val="53081AD8"/>
    <w:rsid w:val="530E6DD1"/>
    <w:rsid w:val="53235275"/>
    <w:rsid w:val="53240623"/>
    <w:rsid w:val="53321C03"/>
    <w:rsid w:val="533415F9"/>
    <w:rsid w:val="534823B8"/>
    <w:rsid w:val="534A49AF"/>
    <w:rsid w:val="535657D0"/>
    <w:rsid w:val="535868CC"/>
    <w:rsid w:val="53597EDB"/>
    <w:rsid w:val="538A5F7C"/>
    <w:rsid w:val="538D066D"/>
    <w:rsid w:val="53934B1D"/>
    <w:rsid w:val="53A2278E"/>
    <w:rsid w:val="53CB788B"/>
    <w:rsid w:val="53E32E36"/>
    <w:rsid w:val="53F60F5A"/>
    <w:rsid w:val="54203B94"/>
    <w:rsid w:val="5424233E"/>
    <w:rsid w:val="542A3DC2"/>
    <w:rsid w:val="542C299E"/>
    <w:rsid w:val="543642C1"/>
    <w:rsid w:val="5461235D"/>
    <w:rsid w:val="54667BA2"/>
    <w:rsid w:val="547C37D1"/>
    <w:rsid w:val="547E7555"/>
    <w:rsid w:val="54863FE2"/>
    <w:rsid w:val="54A01FAE"/>
    <w:rsid w:val="54A1363F"/>
    <w:rsid w:val="54C0256E"/>
    <w:rsid w:val="54C334B7"/>
    <w:rsid w:val="54D4667D"/>
    <w:rsid w:val="54D55C56"/>
    <w:rsid w:val="54EC389B"/>
    <w:rsid w:val="54F847D9"/>
    <w:rsid w:val="55126190"/>
    <w:rsid w:val="55346174"/>
    <w:rsid w:val="553D1731"/>
    <w:rsid w:val="555F3833"/>
    <w:rsid w:val="55667780"/>
    <w:rsid w:val="556E493A"/>
    <w:rsid w:val="55941D63"/>
    <w:rsid w:val="559C0CE1"/>
    <w:rsid w:val="55D11119"/>
    <w:rsid w:val="55DB1F79"/>
    <w:rsid w:val="560A42BD"/>
    <w:rsid w:val="560C1D89"/>
    <w:rsid w:val="56353B20"/>
    <w:rsid w:val="56443B98"/>
    <w:rsid w:val="56453A77"/>
    <w:rsid w:val="565752A9"/>
    <w:rsid w:val="566B4C2E"/>
    <w:rsid w:val="56757259"/>
    <w:rsid w:val="56CB4BCB"/>
    <w:rsid w:val="56F4711F"/>
    <w:rsid w:val="56F75E9E"/>
    <w:rsid w:val="57391A95"/>
    <w:rsid w:val="573F3C9E"/>
    <w:rsid w:val="57410BD2"/>
    <w:rsid w:val="574C52C4"/>
    <w:rsid w:val="57526FDB"/>
    <w:rsid w:val="57572F35"/>
    <w:rsid w:val="575B33A4"/>
    <w:rsid w:val="57674A5D"/>
    <w:rsid w:val="57841519"/>
    <w:rsid w:val="57B25019"/>
    <w:rsid w:val="57BB6F5D"/>
    <w:rsid w:val="57C90530"/>
    <w:rsid w:val="57CE0836"/>
    <w:rsid w:val="57DA7697"/>
    <w:rsid w:val="57EA01D3"/>
    <w:rsid w:val="57FB6CB9"/>
    <w:rsid w:val="582F44F7"/>
    <w:rsid w:val="583F27F2"/>
    <w:rsid w:val="58455B6D"/>
    <w:rsid w:val="584D29B0"/>
    <w:rsid w:val="584F7C49"/>
    <w:rsid w:val="585A5CC1"/>
    <w:rsid w:val="586013DF"/>
    <w:rsid w:val="587A0690"/>
    <w:rsid w:val="5888302C"/>
    <w:rsid w:val="5889129A"/>
    <w:rsid w:val="58924D9B"/>
    <w:rsid w:val="589C7CB5"/>
    <w:rsid w:val="58A43ABE"/>
    <w:rsid w:val="58AA0522"/>
    <w:rsid w:val="58AD528C"/>
    <w:rsid w:val="58B31955"/>
    <w:rsid w:val="58BA1500"/>
    <w:rsid w:val="58BA45A1"/>
    <w:rsid w:val="58EF0759"/>
    <w:rsid w:val="592034CA"/>
    <w:rsid w:val="594F6915"/>
    <w:rsid w:val="59737A65"/>
    <w:rsid w:val="59842DF4"/>
    <w:rsid w:val="598F4E97"/>
    <w:rsid w:val="59A0359A"/>
    <w:rsid w:val="59AF48B3"/>
    <w:rsid w:val="59CC7DC9"/>
    <w:rsid w:val="59E52D9A"/>
    <w:rsid w:val="5A300449"/>
    <w:rsid w:val="5A482DEE"/>
    <w:rsid w:val="5A55295D"/>
    <w:rsid w:val="5A5B4022"/>
    <w:rsid w:val="5A7E104A"/>
    <w:rsid w:val="5A8208A0"/>
    <w:rsid w:val="5A861FD5"/>
    <w:rsid w:val="5ADE2E08"/>
    <w:rsid w:val="5AE3253A"/>
    <w:rsid w:val="5AEA30C9"/>
    <w:rsid w:val="5AEA3475"/>
    <w:rsid w:val="5AF54C6B"/>
    <w:rsid w:val="5B087B94"/>
    <w:rsid w:val="5B0C2FBE"/>
    <w:rsid w:val="5B0E3E89"/>
    <w:rsid w:val="5B124740"/>
    <w:rsid w:val="5B3E7FCE"/>
    <w:rsid w:val="5B3F66E7"/>
    <w:rsid w:val="5B497E4A"/>
    <w:rsid w:val="5B872AE6"/>
    <w:rsid w:val="5BA77753"/>
    <w:rsid w:val="5BC025EF"/>
    <w:rsid w:val="5C1203C7"/>
    <w:rsid w:val="5C1F35AE"/>
    <w:rsid w:val="5C2023E0"/>
    <w:rsid w:val="5C3905BF"/>
    <w:rsid w:val="5C4B278D"/>
    <w:rsid w:val="5C66397A"/>
    <w:rsid w:val="5C7349B6"/>
    <w:rsid w:val="5C824C05"/>
    <w:rsid w:val="5C8723CB"/>
    <w:rsid w:val="5C8725EE"/>
    <w:rsid w:val="5C9125C3"/>
    <w:rsid w:val="5CB0251A"/>
    <w:rsid w:val="5CB97030"/>
    <w:rsid w:val="5CC97332"/>
    <w:rsid w:val="5CD66F29"/>
    <w:rsid w:val="5CFF67D4"/>
    <w:rsid w:val="5D187049"/>
    <w:rsid w:val="5D1D2427"/>
    <w:rsid w:val="5D6C3EA2"/>
    <w:rsid w:val="5D756277"/>
    <w:rsid w:val="5D955FBD"/>
    <w:rsid w:val="5DA62524"/>
    <w:rsid w:val="5DAC3919"/>
    <w:rsid w:val="5DB36259"/>
    <w:rsid w:val="5DBD33B2"/>
    <w:rsid w:val="5DC223CB"/>
    <w:rsid w:val="5DF66637"/>
    <w:rsid w:val="5DFF6858"/>
    <w:rsid w:val="5E185132"/>
    <w:rsid w:val="5E272402"/>
    <w:rsid w:val="5E277957"/>
    <w:rsid w:val="5E2A0167"/>
    <w:rsid w:val="5E5D68E8"/>
    <w:rsid w:val="5E802A96"/>
    <w:rsid w:val="5E9074FF"/>
    <w:rsid w:val="5EB62A77"/>
    <w:rsid w:val="5EB80355"/>
    <w:rsid w:val="5EBB2226"/>
    <w:rsid w:val="5EBE5F24"/>
    <w:rsid w:val="5EC20AA8"/>
    <w:rsid w:val="5ED61633"/>
    <w:rsid w:val="5EF07004"/>
    <w:rsid w:val="5F0E1E9A"/>
    <w:rsid w:val="5F6E58DA"/>
    <w:rsid w:val="5F860C23"/>
    <w:rsid w:val="5FC44411"/>
    <w:rsid w:val="5FC502AF"/>
    <w:rsid w:val="605C7AA6"/>
    <w:rsid w:val="605F132B"/>
    <w:rsid w:val="605F50CE"/>
    <w:rsid w:val="608510A4"/>
    <w:rsid w:val="608762FF"/>
    <w:rsid w:val="609E1C45"/>
    <w:rsid w:val="60BD4FD1"/>
    <w:rsid w:val="60BF4C23"/>
    <w:rsid w:val="60D507D0"/>
    <w:rsid w:val="60EA1511"/>
    <w:rsid w:val="60EB6C34"/>
    <w:rsid w:val="60FD5C7B"/>
    <w:rsid w:val="611D33DB"/>
    <w:rsid w:val="613D7E7B"/>
    <w:rsid w:val="6148590B"/>
    <w:rsid w:val="614B007E"/>
    <w:rsid w:val="617162E9"/>
    <w:rsid w:val="618F2C11"/>
    <w:rsid w:val="61957B84"/>
    <w:rsid w:val="61997B1B"/>
    <w:rsid w:val="61A52BAA"/>
    <w:rsid w:val="61B160E0"/>
    <w:rsid w:val="61DA154B"/>
    <w:rsid w:val="61DC19A6"/>
    <w:rsid w:val="61FA0AE4"/>
    <w:rsid w:val="623438BB"/>
    <w:rsid w:val="624B10F0"/>
    <w:rsid w:val="624F3E48"/>
    <w:rsid w:val="62635981"/>
    <w:rsid w:val="62763C3E"/>
    <w:rsid w:val="628B066D"/>
    <w:rsid w:val="629A2553"/>
    <w:rsid w:val="629B3E75"/>
    <w:rsid w:val="629B5D43"/>
    <w:rsid w:val="62A36D1F"/>
    <w:rsid w:val="62A40365"/>
    <w:rsid w:val="62A469A9"/>
    <w:rsid w:val="62A92FF1"/>
    <w:rsid w:val="62B90FFE"/>
    <w:rsid w:val="62C2442B"/>
    <w:rsid w:val="62F6018D"/>
    <w:rsid w:val="63016E3A"/>
    <w:rsid w:val="63034141"/>
    <w:rsid w:val="63045E00"/>
    <w:rsid w:val="630A731B"/>
    <w:rsid w:val="63386B48"/>
    <w:rsid w:val="633A3FE7"/>
    <w:rsid w:val="63562840"/>
    <w:rsid w:val="637141EC"/>
    <w:rsid w:val="63805B1F"/>
    <w:rsid w:val="63834973"/>
    <w:rsid w:val="638F3DC7"/>
    <w:rsid w:val="6397194C"/>
    <w:rsid w:val="63DA4B5E"/>
    <w:rsid w:val="64273E62"/>
    <w:rsid w:val="642E2892"/>
    <w:rsid w:val="64500536"/>
    <w:rsid w:val="64AD7C37"/>
    <w:rsid w:val="64B05758"/>
    <w:rsid w:val="64BE4B0D"/>
    <w:rsid w:val="64BE4F17"/>
    <w:rsid w:val="65075A96"/>
    <w:rsid w:val="650E600B"/>
    <w:rsid w:val="650F0C7B"/>
    <w:rsid w:val="6536533B"/>
    <w:rsid w:val="65652812"/>
    <w:rsid w:val="657925FC"/>
    <w:rsid w:val="65926ED1"/>
    <w:rsid w:val="65B221E6"/>
    <w:rsid w:val="65E9332F"/>
    <w:rsid w:val="66426031"/>
    <w:rsid w:val="665809FD"/>
    <w:rsid w:val="66593B74"/>
    <w:rsid w:val="66651C8A"/>
    <w:rsid w:val="66675176"/>
    <w:rsid w:val="669F2C65"/>
    <w:rsid w:val="66B94751"/>
    <w:rsid w:val="66BE6B53"/>
    <w:rsid w:val="66C55FD8"/>
    <w:rsid w:val="66D333AF"/>
    <w:rsid w:val="67192A34"/>
    <w:rsid w:val="674A4927"/>
    <w:rsid w:val="677243C5"/>
    <w:rsid w:val="678568CD"/>
    <w:rsid w:val="67A24F14"/>
    <w:rsid w:val="67BB4EAD"/>
    <w:rsid w:val="67E453F6"/>
    <w:rsid w:val="67ED1A7F"/>
    <w:rsid w:val="67F130F8"/>
    <w:rsid w:val="67F84AFE"/>
    <w:rsid w:val="680878A3"/>
    <w:rsid w:val="68340476"/>
    <w:rsid w:val="683870E8"/>
    <w:rsid w:val="68457681"/>
    <w:rsid w:val="684977D5"/>
    <w:rsid w:val="68552C50"/>
    <w:rsid w:val="685D34E7"/>
    <w:rsid w:val="687234C5"/>
    <w:rsid w:val="68941380"/>
    <w:rsid w:val="68A8123A"/>
    <w:rsid w:val="68B84F4C"/>
    <w:rsid w:val="69055229"/>
    <w:rsid w:val="6929374C"/>
    <w:rsid w:val="692F20BB"/>
    <w:rsid w:val="69784C3F"/>
    <w:rsid w:val="69C1095D"/>
    <w:rsid w:val="69EE16D0"/>
    <w:rsid w:val="6A0138F7"/>
    <w:rsid w:val="6A143728"/>
    <w:rsid w:val="6A1E155A"/>
    <w:rsid w:val="6A6968C8"/>
    <w:rsid w:val="6A7B5447"/>
    <w:rsid w:val="6ABB48C8"/>
    <w:rsid w:val="6ADB012D"/>
    <w:rsid w:val="6AE3748E"/>
    <w:rsid w:val="6AF53FAE"/>
    <w:rsid w:val="6B1C3EC6"/>
    <w:rsid w:val="6B574638"/>
    <w:rsid w:val="6B615C8D"/>
    <w:rsid w:val="6B67068F"/>
    <w:rsid w:val="6B6E2E8D"/>
    <w:rsid w:val="6BAB6FBB"/>
    <w:rsid w:val="6BB568D4"/>
    <w:rsid w:val="6BDF79C7"/>
    <w:rsid w:val="6BE146ED"/>
    <w:rsid w:val="6C0B074D"/>
    <w:rsid w:val="6C1458EF"/>
    <w:rsid w:val="6C231806"/>
    <w:rsid w:val="6C275F8B"/>
    <w:rsid w:val="6C3B15FF"/>
    <w:rsid w:val="6C3B431E"/>
    <w:rsid w:val="6C3E5116"/>
    <w:rsid w:val="6C725FD7"/>
    <w:rsid w:val="6C852D02"/>
    <w:rsid w:val="6CA76A79"/>
    <w:rsid w:val="6CC0649B"/>
    <w:rsid w:val="6CEA2C90"/>
    <w:rsid w:val="6CFA5C74"/>
    <w:rsid w:val="6D2C0314"/>
    <w:rsid w:val="6D2C4A68"/>
    <w:rsid w:val="6D3B2E78"/>
    <w:rsid w:val="6D3C3AC0"/>
    <w:rsid w:val="6D410335"/>
    <w:rsid w:val="6D4305C3"/>
    <w:rsid w:val="6D48445E"/>
    <w:rsid w:val="6D500B73"/>
    <w:rsid w:val="6D666AA6"/>
    <w:rsid w:val="6D687043"/>
    <w:rsid w:val="6D7D6DC8"/>
    <w:rsid w:val="6D885EAB"/>
    <w:rsid w:val="6D953F0C"/>
    <w:rsid w:val="6D9817F8"/>
    <w:rsid w:val="6DB67EBB"/>
    <w:rsid w:val="6DEF52E3"/>
    <w:rsid w:val="6E0E6A1E"/>
    <w:rsid w:val="6E2D763E"/>
    <w:rsid w:val="6E420FB1"/>
    <w:rsid w:val="6E95768E"/>
    <w:rsid w:val="6EA14900"/>
    <w:rsid w:val="6EB27AA3"/>
    <w:rsid w:val="6EF9461D"/>
    <w:rsid w:val="6F1348E9"/>
    <w:rsid w:val="6F2A01FE"/>
    <w:rsid w:val="6F2A71A4"/>
    <w:rsid w:val="6F37422A"/>
    <w:rsid w:val="6F4158DC"/>
    <w:rsid w:val="6F487F58"/>
    <w:rsid w:val="6F7B18AD"/>
    <w:rsid w:val="6F887FB7"/>
    <w:rsid w:val="6F8B7727"/>
    <w:rsid w:val="6F9415EA"/>
    <w:rsid w:val="6FA13D0F"/>
    <w:rsid w:val="6FB40D1F"/>
    <w:rsid w:val="6FB72F84"/>
    <w:rsid w:val="6FCA5E7C"/>
    <w:rsid w:val="6FE3419F"/>
    <w:rsid w:val="6FF4146C"/>
    <w:rsid w:val="6FF778F1"/>
    <w:rsid w:val="700346D4"/>
    <w:rsid w:val="700706FE"/>
    <w:rsid w:val="700B4E58"/>
    <w:rsid w:val="70287F2C"/>
    <w:rsid w:val="709A492D"/>
    <w:rsid w:val="70AF69EB"/>
    <w:rsid w:val="70C56F1B"/>
    <w:rsid w:val="70F97D93"/>
    <w:rsid w:val="71080DF4"/>
    <w:rsid w:val="71181113"/>
    <w:rsid w:val="711D7CA6"/>
    <w:rsid w:val="71227E63"/>
    <w:rsid w:val="714C6333"/>
    <w:rsid w:val="71614B6B"/>
    <w:rsid w:val="71874C72"/>
    <w:rsid w:val="718D2905"/>
    <w:rsid w:val="719909D2"/>
    <w:rsid w:val="719B61D4"/>
    <w:rsid w:val="71A10922"/>
    <w:rsid w:val="71D214DD"/>
    <w:rsid w:val="72091DAA"/>
    <w:rsid w:val="72267D97"/>
    <w:rsid w:val="724E29D1"/>
    <w:rsid w:val="72737252"/>
    <w:rsid w:val="728564F5"/>
    <w:rsid w:val="728B7ACE"/>
    <w:rsid w:val="728E70EC"/>
    <w:rsid w:val="72914DBF"/>
    <w:rsid w:val="729701CD"/>
    <w:rsid w:val="72AB431D"/>
    <w:rsid w:val="72B20310"/>
    <w:rsid w:val="72DA09BB"/>
    <w:rsid w:val="72DC619D"/>
    <w:rsid w:val="72E745EF"/>
    <w:rsid w:val="72F95434"/>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14FB1"/>
    <w:rsid w:val="73E365CE"/>
    <w:rsid w:val="73E64B1D"/>
    <w:rsid w:val="740735EA"/>
    <w:rsid w:val="7408106C"/>
    <w:rsid w:val="7468110F"/>
    <w:rsid w:val="749E2818"/>
    <w:rsid w:val="74BE4E97"/>
    <w:rsid w:val="74C76B0E"/>
    <w:rsid w:val="74D504C8"/>
    <w:rsid w:val="74F679F1"/>
    <w:rsid w:val="74F841F7"/>
    <w:rsid w:val="75003D28"/>
    <w:rsid w:val="750445F2"/>
    <w:rsid w:val="751D637E"/>
    <w:rsid w:val="751F2555"/>
    <w:rsid w:val="752F1EF2"/>
    <w:rsid w:val="753504B8"/>
    <w:rsid w:val="753C071A"/>
    <w:rsid w:val="75466A74"/>
    <w:rsid w:val="75506896"/>
    <w:rsid w:val="758418D8"/>
    <w:rsid w:val="75A17528"/>
    <w:rsid w:val="75AA6AC3"/>
    <w:rsid w:val="75B749A9"/>
    <w:rsid w:val="75CD3F16"/>
    <w:rsid w:val="75D83B06"/>
    <w:rsid w:val="76781DCD"/>
    <w:rsid w:val="768B3877"/>
    <w:rsid w:val="76C36A2A"/>
    <w:rsid w:val="76D809AE"/>
    <w:rsid w:val="76D84698"/>
    <w:rsid w:val="76DE77C7"/>
    <w:rsid w:val="77527CA0"/>
    <w:rsid w:val="775865D7"/>
    <w:rsid w:val="775B4584"/>
    <w:rsid w:val="776234AF"/>
    <w:rsid w:val="776D12AE"/>
    <w:rsid w:val="77AD0FE0"/>
    <w:rsid w:val="77BE7384"/>
    <w:rsid w:val="77E30F43"/>
    <w:rsid w:val="787E4AA3"/>
    <w:rsid w:val="78821B50"/>
    <w:rsid w:val="788E2A2A"/>
    <w:rsid w:val="78BC088E"/>
    <w:rsid w:val="78C52EE0"/>
    <w:rsid w:val="78CD6BD1"/>
    <w:rsid w:val="78D23C9C"/>
    <w:rsid w:val="7913610A"/>
    <w:rsid w:val="791A167A"/>
    <w:rsid w:val="79473261"/>
    <w:rsid w:val="796B6F7E"/>
    <w:rsid w:val="79935707"/>
    <w:rsid w:val="799A2128"/>
    <w:rsid w:val="79C30D65"/>
    <w:rsid w:val="79CC3295"/>
    <w:rsid w:val="79F17E25"/>
    <w:rsid w:val="7A0B1561"/>
    <w:rsid w:val="7A25258A"/>
    <w:rsid w:val="7A290229"/>
    <w:rsid w:val="7A2C646D"/>
    <w:rsid w:val="7A55546C"/>
    <w:rsid w:val="7A743686"/>
    <w:rsid w:val="7A7A4A93"/>
    <w:rsid w:val="7A824E2E"/>
    <w:rsid w:val="7A93705D"/>
    <w:rsid w:val="7A9E7BE0"/>
    <w:rsid w:val="7AFF6437"/>
    <w:rsid w:val="7B021BF1"/>
    <w:rsid w:val="7B073756"/>
    <w:rsid w:val="7B583BC8"/>
    <w:rsid w:val="7B9F2862"/>
    <w:rsid w:val="7BA85839"/>
    <w:rsid w:val="7BA9751C"/>
    <w:rsid w:val="7BAB44F6"/>
    <w:rsid w:val="7BB856C6"/>
    <w:rsid w:val="7BBB27D3"/>
    <w:rsid w:val="7BC24A45"/>
    <w:rsid w:val="7BC91D43"/>
    <w:rsid w:val="7BD52A90"/>
    <w:rsid w:val="7BF91A77"/>
    <w:rsid w:val="7C076616"/>
    <w:rsid w:val="7C0D60AB"/>
    <w:rsid w:val="7C295DFC"/>
    <w:rsid w:val="7C4B37FA"/>
    <w:rsid w:val="7C58255B"/>
    <w:rsid w:val="7C5B5FF8"/>
    <w:rsid w:val="7C910DB6"/>
    <w:rsid w:val="7CF03F88"/>
    <w:rsid w:val="7CF73786"/>
    <w:rsid w:val="7D5E51C4"/>
    <w:rsid w:val="7D7525FB"/>
    <w:rsid w:val="7DC111D1"/>
    <w:rsid w:val="7DC43A43"/>
    <w:rsid w:val="7DC74225"/>
    <w:rsid w:val="7DDA69EF"/>
    <w:rsid w:val="7DE30977"/>
    <w:rsid w:val="7E542EB1"/>
    <w:rsid w:val="7E6C26A2"/>
    <w:rsid w:val="7E7B2376"/>
    <w:rsid w:val="7EB35583"/>
    <w:rsid w:val="7EB5276C"/>
    <w:rsid w:val="7EBC57D7"/>
    <w:rsid w:val="7ED0794B"/>
    <w:rsid w:val="7ED70A6F"/>
    <w:rsid w:val="7EE20D78"/>
    <w:rsid w:val="7F3206AA"/>
    <w:rsid w:val="7F5E6382"/>
    <w:rsid w:val="7F5F2553"/>
    <w:rsid w:val="7F89742A"/>
    <w:rsid w:val="7F965783"/>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Cambria" w:hAnsi="Cambria"/>
      <w:b/>
      <w:bCs/>
      <w:sz w:val="28"/>
      <w:szCs w:val="28"/>
    </w:rPr>
  </w:style>
  <w:style w:type="paragraph" w:styleId="8">
    <w:name w:val="heading 5"/>
    <w:basedOn w:val="1"/>
    <w:next w:val="1"/>
    <w:qFormat/>
    <w:uiPriority w:val="0"/>
    <w:pPr>
      <w:keepNext/>
      <w:keepLines/>
      <w:spacing w:line="360" w:lineRule="auto"/>
      <w:outlineLvl w:val="4"/>
    </w:pPr>
    <w:rPr>
      <w:rFonts w:ascii="宋体" w:hAnsi="宋体"/>
      <w:b/>
      <w:sz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3"/>
    <w:qFormat/>
    <w:uiPriority w:val="0"/>
    <w:pPr>
      <w:pBdr>
        <w:bottom w:val="single" w:color="auto" w:sz="6" w:space="1"/>
      </w:pBdr>
      <w:tabs>
        <w:tab w:val="center" w:pos="4153"/>
        <w:tab w:val="right" w:pos="8306"/>
      </w:tabs>
      <w:snapToGrid w:val="0"/>
      <w:jc w:val="center"/>
    </w:pPr>
    <w:rPr>
      <w:sz w:val="18"/>
      <w:szCs w:val="18"/>
    </w:rPr>
  </w:style>
  <w:style w:type="paragraph" w:styleId="3">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9">
    <w:name w:val="Normal Indent"/>
    <w:basedOn w:val="1"/>
    <w:qFormat/>
    <w:uiPriority w:val="0"/>
    <w:pPr>
      <w:ind w:firstLine="420"/>
    </w:pPr>
    <w:rPr>
      <w:szCs w:val="20"/>
    </w:rPr>
  </w:style>
  <w:style w:type="paragraph" w:styleId="10">
    <w:name w:val="Document Map"/>
    <w:basedOn w:val="1"/>
    <w:link w:val="39"/>
    <w:qFormat/>
    <w:uiPriority w:val="0"/>
    <w:rPr>
      <w:rFonts w:ascii="宋体" w:hAnsi="Tahoma"/>
      <w:sz w:val="18"/>
      <w:szCs w:val="18"/>
    </w:rPr>
  </w:style>
  <w:style w:type="paragraph" w:styleId="11">
    <w:name w:val="annotation text"/>
    <w:basedOn w:val="1"/>
    <w:link w:val="68"/>
    <w:semiHidden/>
    <w:qFormat/>
    <w:uiPriority w:val="99"/>
    <w:pPr>
      <w:jc w:val="left"/>
    </w:pPr>
    <w:rPr>
      <w:rFonts w:ascii="Tahoma" w:hAnsi="Tahoma"/>
    </w:rPr>
  </w:style>
  <w:style w:type="paragraph" w:styleId="12">
    <w:name w:val="Body Text 3"/>
    <w:basedOn w:val="1"/>
    <w:qFormat/>
    <w:uiPriority w:val="0"/>
    <w:rPr>
      <w:kern w:val="0"/>
      <w:sz w:val="16"/>
      <w:szCs w:val="16"/>
    </w:rPr>
  </w:style>
  <w:style w:type="paragraph" w:styleId="13">
    <w:name w:val="Body Text"/>
    <w:basedOn w:val="1"/>
    <w:next w:val="1"/>
    <w:qFormat/>
    <w:uiPriority w:val="0"/>
    <w:pPr>
      <w:spacing w:after="120"/>
    </w:pPr>
  </w:style>
  <w:style w:type="paragraph" w:styleId="14">
    <w:name w:val="Body Text Indent"/>
    <w:basedOn w:val="1"/>
    <w:qFormat/>
    <w:uiPriority w:val="0"/>
    <w:pPr>
      <w:spacing w:after="120"/>
      <w:ind w:left="420" w:leftChars="200"/>
    </w:pPr>
  </w:style>
  <w:style w:type="paragraph" w:styleId="15">
    <w:name w:val="toc 3"/>
    <w:basedOn w:val="1"/>
    <w:next w:val="1"/>
    <w:unhideWhenUsed/>
    <w:qFormat/>
    <w:uiPriority w:val="39"/>
    <w:pPr>
      <w:ind w:left="840" w:leftChars="400"/>
    </w:pPr>
    <w:rPr>
      <w:sz w:val="28"/>
    </w:rPr>
  </w:style>
  <w:style w:type="paragraph" w:styleId="16">
    <w:name w:val="Plain Text"/>
    <w:basedOn w:val="1"/>
    <w:qFormat/>
    <w:uiPriority w:val="0"/>
    <w:rPr>
      <w:rFonts w:ascii="宋体" w:hAnsi="Courier New" w:eastAsia="楷体_GB2312"/>
      <w:snapToGrid w:val="0"/>
      <w:color w:val="000000"/>
      <w:kern w:val="0"/>
      <w:sz w:val="32"/>
      <w:szCs w:val="21"/>
    </w:rPr>
  </w:style>
  <w:style w:type="paragraph" w:styleId="17">
    <w:name w:val="Date"/>
    <w:basedOn w:val="1"/>
    <w:next w:val="1"/>
    <w:qFormat/>
    <w:uiPriority w:val="0"/>
    <w:rPr>
      <w:rFonts w:ascii="楷体_GB2312" w:eastAsia="楷体_GB2312"/>
      <w:color w:val="000000"/>
      <w:kern w:val="0"/>
      <w:sz w:val="32"/>
      <w:szCs w:val="32"/>
    </w:rPr>
  </w:style>
  <w:style w:type="paragraph" w:styleId="18">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9">
    <w:name w:val="Balloon Text"/>
    <w:basedOn w:val="1"/>
    <w:unhideWhenUsed/>
    <w:qFormat/>
    <w:uiPriority w:val="0"/>
    <w:rPr>
      <w:sz w:val="18"/>
      <w:szCs w:val="18"/>
    </w:rPr>
  </w:style>
  <w:style w:type="paragraph" w:styleId="20">
    <w:name w:val="footer"/>
    <w:basedOn w:val="1"/>
    <w:link w:val="62"/>
    <w:qFormat/>
    <w:uiPriority w:val="99"/>
    <w:pPr>
      <w:tabs>
        <w:tab w:val="center" w:pos="4153"/>
        <w:tab w:val="right" w:pos="8306"/>
      </w:tabs>
      <w:snapToGrid w:val="0"/>
      <w:jc w:val="left"/>
    </w:pPr>
    <w:rPr>
      <w:rFonts w:ascii="Tahoma" w:hAnsi="Tahoma"/>
      <w:sz w:val="18"/>
      <w:szCs w:val="18"/>
    </w:rPr>
  </w:style>
  <w:style w:type="paragraph" w:styleId="21">
    <w:name w:val="toc 1"/>
    <w:basedOn w:val="1"/>
    <w:next w:val="1"/>
    <w:qFormat/>
    <w:uiPriority w:val="39"/>
  </w:style>
  <w:style w:type="paragraph" w:styleId="22">
    <w:name w:val="Body Text Indent 3"/>
    <w:basedOn w:val="1"/>
    <w:qFormat/>
    <w:uiPriority w:val="0"/>
    <w:pPr>
      <w:ind w:left="359" w:leftChars="171" w:firstLine="554" w:firstLineChars="198"/>
    </w:pPr>
    <w:rPr>
      <w:sz w:val="28"/>
      <w:szCs w:val="20"/>
    </w:rPr>
  </w:style>
  <w:style w:type="paragraph" w:styleId="23">
    <w:name w:val="toc 2"/>
    <w:basedOn w:val="1"/>
    <w:next w:val="1"/>
    <w:qFormat/>
    <w:uiPriority w:val="39"/>
    <w:pPr>
      <w:ind w:left="420" w:leftChars="200"/>
    </w:pPr>
  </w:style>
  <w:style w:type="paragraph" w:styleId="24">
    <w:name w:val="Body Text 2"/>
    <w:basedOn w:val="1"/>
    <w:qFormat/>
    <w:uiPriority w:val="0"/>
    <w:pPr>
      <w:spacing w:after="120" w:line="480" w:lineRule="auto"/>
    </w:pPr>
  </w:style>
  <w:style w:type="paragraph" w:styleId="2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6">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7">
    <w:name w:val="Title"/>
    <w:basedOn w:val="1"/>
    <w:next w:val="1"/>
    <w:qFormat/>
    <w:uiPriority w:val="0"/>
    <w:pPr>
      <w:spacing w:before="240" w:after="60"/>
      <w:jc w:val="center"/>
      <w:outlineLvl w:val="0"/>
    </w:pPr>
    <w:rPr>
      <w:rFonts w:ascii="Cambria" w:hAnsi="Cambria"/>
      <w:b/>
      <w:bCs/>
      <w:sz w:val="32"/>
      <w:szCs w:val="32"/>
    </w:rPr>
  </w:style>
  <w:style w:type="paragraph" w:styleId="28">
    <w:name w:val="annotation subject"/>
    <w:basedOn w:val="11"/>
    <w:next w:val="11"/>
    <w:link w:val="66"/>
    <w:qFormat/>
    <w:uiPriority w:val="0"/>
    <w:rPr>
      <w:b/>
      <w:bCs/>
    </w:rPr>
  </w:style>
  <w:style w:type="paragraph" w:styleId="29">
    <w:name w:val="Body Text First Indent"/>
    <w:basedOn w:val="13"/>
    <w:qFormat/>
    <w:uiPriority w:val="0"/>
    <w:pPr>
      <w:tabs>
        <w:tab w:val="left" w:pos="900"/>
      </w:tabs>
      <w:ind w:firstLine="420" w:firstLineChars="100"/>
    </w:p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rFonts w:ascii="Tahoma" w:hAnsi="Tahoma"/>
      <w:b/>
      <w:bCs/>
      <w:sz w:val="24"/>
    </w:rPr>
  </w:style>
  <w:style w:type="character" w:styleId="34">
    <w:name w:val="page number"/>
    <w:basedOn w:val="32"/>
    <w:qFormat/>
    <w:uiPriority w:val="0"/>
  </w:style>
  <w:style w:type="character" w:styleId="35">
    <w:name w:val="FollowedHyperlink"/>
    <w:qFormat/>
    <w:uiPriority w:val="0"/>
    <w:rPr>
      <w:rFonts w:ascii="Tahoma" w:hAnsi="Tahoma"/>
      <w:color w:val="000000"/>
      <w:sz w:val="18"/>
      <w:szCs w:val="18"/>
      <w:u w:val="none"/>
    </w:rPr>
  </w:style>
  <w:style w:type="character" w:styleId="36">
    <w:name w:val="Hyperlink"/>
    <w:basedOn w:val="32"/>
    <w:qFormat/>
    <w:uiPriority w:val="99"/>
    <w:rPr>
      <w:rFonts w:ascii="Tahoma" w:hAnsi="Tahoma"/>
      <w:color w:val="0000FF"/>
      <w:sz w:val="24"/>
      <w:u w:val="single"/>
    </w:rPr>
  </w:style>
  <w:style w:type="character" w:styleId="37">
    <w:name w:val="annotation reference"/>
    <w:unhideWhenUsed/>
    <w:qFormat/>
    <w:uiPriority w:val="99"/>
    <w:rPr>
      <w:rFonts w:ascii="Tahoma" w:hAnsi="Tahoma"/>
      <w:sz w:val="21"/>
      <w:szCs w:val="21"/>
    </w:rPr>
  </w:style>
  <w:style w:type="character" w:customStyle="1" w:styleId="38">
    <w:name w:val="cfdate"/>
    <w:basedOn w:val="32"/>
    <w:qFormat/>
    <w:uiPriority w:val="0"/>
    <w:rPr>
      <w:color w:val="333333"/>
      <w:sz w:val="18"/>
      <w:szCs w:val="18"/>
    </w:rPr>
  </w:style>
  <w:style w:type="character" w:customStyle="1" w:styleId="39">
    <w:name w:val="文档结构图 字符"/>
    <w:link w:val="10"/>
    <w:qFormat/>
    <w:uiPriority w:val="0"/>
    <w:rPr>
      <w:rFonts w:ascii="宋体" w:hAnsi="Tahoma"/>
      <w:kern w:val="2"/>
      <w:sz w:val="18"/>
      <w:szCs w:val="18"/>
    </w:rPr>
  </w:style>
  <w:style w:type="character" w:customStyle="1" w:styleId="40">
    <w:name w:val="copyright"/>
    <w:basedOn w:val="32"/>
    <w:qFormat/>
    <w:uiPriority w:val="0"/>
  </w:style>
  <w:style w:type="character" w:customStyle="1" w:styleId="41">
    <w:name w:val="Char Char6"/>
    <w:qFormat/>
    <w:uiPriority w:val="0"/>
    <w:rPr>
      <w:rFonts w:ascii="Tahoma" w:hAnsi="Tahoma" w:eastAsia="宋体"/>
      <w:b/>
      <w:bCs/>
      <w:kern w:val="2"/>
      <w:sz w:val="32"/>
      <w:szCs w:val="32"/>
      <w:lang w:val="en-US" w:eastAsia="zh-CN" w:bidi="ar-SA"/>
    </w:rPr>
  </w:style>
  <w:style w:type="character" w:customStyle="1" w:styleId="42">
    <w:name w:val="qxdate"/>
    <w:basedOn w:val="32"/>
    <w:qFormat/>
    <w:uiPriority w:val="0"/>
    <w:rPr>
      <w:color w:val="333333"/>
      <w:sz w:val="18"/>
      <w:szCs w:val="18"/>
    </w:rPr>
  </w:style>
  <w:style w:type="character" w:customStyle="1" w:styleId="43">
    <w:name w:val="gjfg"/>
    <w:basedOn w:val="32"/>
    <w:qFormat/>
    <w:uiPriority w:val="0"/>
  </w:style>
  <w:style w:type="character" w:customStyle="1" w:styleId="44">
    <w:name w:val="Char Char3"/>
    <w:semiHidden/>
    <w:qFormat/>
    <w:uiPriority w:val="0"/>
    <w:rPr>
      <w:rFonts w:ascii="Tahoma" w:hAnsi="Tahoma" w:eastAsia="宋体"/>
      <w:kern w:val="2"/>
      <w:sz w:val="18"/>
      <w:szCs w:val="18"/>
      <w:lang w:val="en-US" w:eastAsia="zh-CN" w:bidi="ar-SA"/>
    </w:rPr>
  </w:style>
  <w:style w:type="character" w:customStyle="1" w:styleId="45">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6">
    <w:name w:val="Char Char4"/>
    <w:qFormat/>
    <w:uiPriority w:val="0"/>
    <w:rPr>
      <w:rFonts w:ascii="Tahoma" w:hAnsi="Tahoma" w:eastAsia="宋体"/>
      <w:kern w:val="2"/>
      <w:sz w:val="18"/>
      <w:szCs w:val="18"/>
      <w:lang w:val="en-US" w:eastAsia="zh-CN" w:bidi="ar-SA"/>
    </w:rPr>
  </w:style>
  <w:style w:type="character" w:customStyle="1" w:styleId="47">
    <w:name w:val="font51"/>
    <w:qFormat/>
    <w:uiPriority w:val="0"/>
    <w:rPr>
      <w:rFonts w:hint="eastAsia" w:ascii="宋体" w:hAnsi="宋体" w:eastAsia="宋体" w:cs="宋体"/>
      <w:color w:val="000000"/>
      <w:sz w:val="21"/>
      <w:szCs w:val="21"/>
      <w:u w:val="none"/>
    </w:rPr>
  </w:style>
  <w:style w:type="character" w:customStyle="1" w:styleId="48">
    <w:name w:val="Char Char1"/>
    <w:semiHidden/>
    <w:qFormat/>
    <w:uiPriority w:val="0"/>
    <w:rPr>
      <w:rFonts w:ascii="Tahoma" w:hAnsi="Tahoma" w:eastAsia="宋体"/>
      <w:kern w:val="2"/>
      <w:sz w:val="28"/>
      <w:lang w:val="en-US" w:eastAsia="zh-CN" w:bidi="ar-SA"/>
    </w:rPr>
  </w:style>
  <w:style w:type="character" w:customStyle="1" w:styleId="49">
    <w:name w:val="profont1"/>
    <w:qFormat/>
    <w:uiPriority w:val="0"/>
    <w:rPr>
      <w:rFonts w:hint="default" w:ascii="Verdana" w:hAnsi="Verdana"/>
      <w:b/>
      <w:bCs/>
      <w:color w:val="333333"/>
      <w:sz w:val="24"/>
      <w:szCs w:val="24"/>
      <w:u w:val="none"/>
    </w:rPr>
  </w:style>
  <w:style w:type="character" w:customStyle="1" w:styleId="50">
    <w:name w:val="标题 2 Char"/>
    <w:qFormat/>
    <w:uiPriority w:val="0"/>
    <w:rPr>
      <w:rFonts w:ascii="Arial" w:hAnsi="Arial" w:eastAsia="黑体"/>
      <w:b/>
      <w:bCs/>
      <w:kern w:val="2"/>
      <w:sz w:val="32"/>
      <w:szCs w:val="32"/>
      <w:lang w:val="en-US" w:eastAsia="zh-CN" w:bidi="ar-SA"/>
    </w:rPr>
  </w:style>
  <w:style w:type="character" w:customStyle="1" w:styleId="51">
    <w:name w:val="Char Char5"/>
    <w:qFormat/>
    <w:uiPriority w:val="0"/>
    <w:rPr>
      <w:rFonts w:ascii="Tahoma" w:hAnsi="Tahoma" w:eastAsia="宋体"/>
      <w:kern w:val="2"/>
      <w:sz w:val="18"/>
      <w:szCs w:val="18"/>
      <w:lang w:val="en-US" w:eastAsia="zh-CN" w:bidi="ar-SA"/>
    </w:rPr>
  </w:style>
  <w:style w:type="character" w:customStyle="1" w:styleId="52">
    <w:name w:val="标题 1.1 Char1"/>
    <w:qFormat/>
    <w:uiPriority w:val="0"/>
    <w:rPr>
      <w:rFonts w:ascii="Arial" w:hAnsi="Arial" w:eastAsia="黑体"/>
      <w:b/>
      <w:bCs/>
      <w:kern w:val="2"/>
      <w:sz w:val="32"/>
      <w:szCs w:val="32"/>
      <w:lang w:val="en-US" w:eastAsia="zh-CN" w:bidi="ar-SA"/>
    </w:rPr>
  </w:style>
  <w:style w:type="character" w:customStyle="1" w:styleId="53">
    <w:name w:val="font01"/>
    <w:qFormat/>
    <w:uiPriority w:val="0"/>
    <w:rPr>
      <w:rFonts w:hint="eastAsia" w:ascii="宋体" w:hAnsi="宋体" w:eastAsia="宋体" w:cs="宋体"/>
      <w:color w:val="000000"/>
      <w:sz w:val="24"/>
      <w:szCs w:val="24"/>
      <w:u w:val="none"/>
    </w:rPr>
  </w:style>
  <w:style w:type="character" w:customStyle="1" w:styleId="54">
    <w:name w:val="font11"/>
    <w:qFormat/>
    <w:uiPriority w:val="0"/>
    <w:rPr>
      <w:rFonts w:hint="eastAsia" w:ascii="宋体" w:hAnsi="宋体" w:eastAsia="宋体" w:cs="宋体"/>
      <w:b/>
      <w:color w:val="000000"/>
      <w:sz w:val="24"/>
      <w:szCs w:val="24"/>
      <w:u w:val="none"/>
    </w:rPr>
  </w:style>
  <w:style w:type="character" w:customStyle="1" w:styleId="55">
    <w:name w:val="Char Char"/>
    <w:qFormat/>
    <w:uiPriority w:val="0"/>
    <w:rPr>
      <w:rFonts w:ascii="Tahoma" w:hAnsi="Tahoma"/>
      <w:kern w:val="2"/>
      <w:sz w:val="21"/>
      <w:szCs w:val="24"/>
    </w:rPr>
  </w:style>
  <w:style w:type="character" w:customStyle="1" w:styleId="56">
    <w:name w:val="style111"/>
    <w:qFormat/>
    <w:uiPriority w:val="0"/>
    <w:rPr>
      <w:rFonts w:ascii="Tahoma" w:hAnsi="Tahoma"/>
      <w:sz w:val="22"/>
      <w:szCs w:val="22"/>
    </w:rPr>
  </w:style>
  <w:style w:type="character" w:customStyle="1" w:styleId="57">
    <w:name w:val="displayarti"/>
    <w:basedOn w:val="32"/>
    <w:qFormat/>
    <w:uiPriority w:val="0"/>
    <w:rPr>
      <w:color w:val="FFFFFF"/>
      <w:shd w:val="clear" w:color="auto" w:fill="A00000"/>
    </w:rPr>
  </w:style>
  <w:style w:type="character" w:customStyle="1" w:styleId="58">
    <w:name w:val="Char Char7"/>
    <w:qFormat/>
    <w:uiPriority w:val="0"/>
    <w:rPr>
      <w:rFonts w:ascii="Tahoma" w:hAnsi="Tahoma" w:eastAsia="宋体"/>
      <w:b/>
      <w:bCs/>
      <w:kern w:val="44"/>
      <w:sz w:val="44"/>
      <w:szCs w:val="44"/>
      <w:lang w:val="en-US" w:eastAsia="zh-CN" w:bidi="ar-SA"/>
    </w:rPr>
  </w:style>
  <w:style w:type="character" w:customStyle="1" w:styleId="59">
    <w:name w:val="font31"/>
    <w:qFormat/>
    <w:uiPriority w:val="0"/>
    <w:rPr>
      <w:rFonts w:hint="eastAsia" w:ascii="宋体" w:hAnsi="宋体" w:eastAsia="宋体" w:cs="宋体"/>
      <w:color w:val="000000"/>
      <w:sz w:val="21"/>
      <w:szCs w:val="21"/>
      <w:u w:val="none"/>
    </w:rPr>
  </w:style>
  <w:style w:type="character" w:customStyle="1" w:styleId="60">
    <w:name w:val="Char Char2"/>
    <w:qFormat/>
    <w:uiPriority w:val="0"/>
    <w:rPr>
      <w:rFonts w:ascii="华文仿宋" w:hAnsi="华文仿宋" w:eastAsia="华文仿宋"/>
      <w:color w:val="000000"/>
      <w:sz w:val="32"/>
      <w:szCs w:val="32"/>
      <w:lang w:val="en-US" w:eastAsia="zh-CN" w:bidi="ar-SA"/>
    </w:rPr>
  </w:style>
  <w:style w:type="character" w:customStyle="1" w:styleId="61">
    <w:name w:val="style51"/>
    <w:qFormat/>
    <w:uiPriority w:val="0"/>
    <w:rPr>
      <w:rFonts w:ascii="Tahoma" w:hAnsi="Tahoma"/>
      <w:b/>
      <w:bCs/>
      <w:color w:val="814107"/>
      <w:sz w:val="21"/>
      <w:szCs w:val="21"/>
    </w:rPr>
  </w:style>
  <w:style w:type="character" w:customStyle="1" w:styleId="62">
    <w:name w:val="页脚 字符"/>
    <w:link w:val="20"/>
    <w:qFormat/>
    <w:uiPriority w:val="99"/>
    <w:rPr>
      <w:rFonts w:ascii="Tahoma" w:hAnsi="Tahoma"/>
      <w:kern w:val="2"/>
      <w:sz w:val="18"/>
      <w:szCs w:val="18"/>
    </w:rPr>
  </w:style>
  <w:style w:type="character" w:customStyle="1" w:styleId="63">
    <w:name w:val="标题 1.1 Char"/>
    <w:qFormat/>
    <w:uiPriority w:val="0"/>
    <w:rPr>
      <w:rFonts w:ascii="仿宋_GB2312" w:hAnsi="Arial" w:eastAsia="仿宋_GB2312" w:cs="Arial"/>
      <w:b/>
      <w:bCs/>
      <w:kern w:val="2"/>
      <w:sz w:val="24"/>
      <w:szCs w:val="24"/>
      <w:lang w:val="en-US" w:eastAsia="zh-CN" w:bidi="ar-SA"/>
    </w:rPr>
  </w:style>
  <w:style w:type="character" w:customStyle="1" w:styleId="64">
    <w:name w:val="普通文字 Char1"/>
    <w:qFormat/>
    <w:uiPriority w:val="0"/>
    <w:rPr>
      <w:rFonts w:ascii="宋体" w:hAnsi="Courier New" w:eastAsia="宋体"/>
      <w:kern w:val="2"/>
      <w:sz w:val="21"/>
      <w:szCs w:val="21"/>
      <w:lang w:val="en-US" w:eastAsia="zh-CN" w:bidi="ar-SA"/>
    </w:rPr>
  </w:style>
  <w:style w:type="character" w:customStyle="1" w:styleId="65">
    <w:name w:val="font41"/>
    <w:qFormat/>
    <w:uiPriority w:val="0"/>
    <w:rPr>
      <w:rFonts w:ascii="font-weight : 400" w:hAnsi="font-weight : 400" w:eastAsia="font-weight : 400" w:cs="font-weight : 400"/>
      <w:color w:val="000000"/>
      <w:sz w:val="21"/>
      <w:szCs w:val="21"/>
      <w:u w:val="none"/>
    </w:rPr>
  </w:style>
  <w:style w:type="character" w:customStyle="1" w:styleId="66">
    <w:name w:val="批注主题 字符"/>
    <w:link w:val="28"/>
    <w:qFormat/>
    <w:uiPriority w:val="0"/>
    <w:rPr>
      <w:rFonts w:ascii="Tahoma" w:hAnsi="Tahoma"/>
      <w:b/>
      <w:bCs/>
      <w:kern w:val="2"/>
      <w:sz w:val="21"/>
      <w:szCs w:val="24"/>
    </w:rPr>
  </w:style>
  <w:style w:type="character" w:customStyle="1" w:styleId="67">
    <w:name w:val="redfilefwwh"/>
    <w:basedOn w:val="32"/>
    <w:qFormat/>
    <w:uiPriority w:val="0"/>
    <w:rPr>
      <w:color w:val="BA2636"/>
      <w:sz w:val="18"/>
      <w:szCs w:val="18"/>
    </w:rPr>
  </w:style>
  <w:style w:type="character" w:customStyle="1" w:styleId="68">
    <w:name w:val="批注文字 字符"/>
    <w:link w:val="11"/>
    <w:semiHidden/>
    <w:qFormat/>
    <w:uiPriority w:val="99"/>
    <w:rPr>
      <w:rFonts w:ascii="Tahoma" w:hAnsi="Tahoma"/>
      <w:kern w:val="2"/>
      <w:sz w:val="21"/>
      <w:szCs w:val="24"/>
    </w:rPr>
  </w:style>
  <w:style w:type="character" w:customStyle="1" w:styleId="69">
    <w:name w:val="redfilenumber"/>
    <w:basedOn w:val="32"/>
    <w:qFormat/>
    <w:uiPriority w:val="0"/>
    <w:rPr>
      <w:color w:val="BA2636"/>
      <w:sz w:val="18"/>
      <w:szCs w:val="18"/>
    </w:rPr>
  </w:style>
  <w:style w:type="paragraph" w:customStyle="1" w:styleId="70">
    <w:name w:val="Char1 Char Char Char"/>
    <w:basedOn w:val="1"/>
    <w:qFormat/>
    <w:uiPriority w:val="0"/>
    <w:pPr>
      <w:adjustRightInd w:val="0"/>
      <w:spacing w:line="360" w:lineRule="auto"/>
    </w:pPr>
    <w:rPr>
      <w:kern w:val="0"/>
      <w:sz w:val="24"/>
      <w:szCs w:val="20"/>
    </w:rPr>
  </w:style>
  <w:style w:type="paragraph" w:customStyle="1" w:styleId="71">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2">
    <w:name w:val="_Style 2"/>
    <w:basedOn w:val="1"/>
    <w:qFormat/>
    <w:uiPriority w:val="34"/>
    <w:pPr>
      <w:ind w:firstLine="420" w:firstLineChars="200"/>
    </w:pPr>
  </w:style>
  <w:style w:type="paragraph" w:customStyle="1" w:styleId="73">
    <w:name w:val="Char Char Char Char Char Char"/>
    <w:basedOn w:val="1"/>
    <w:qFormat/>
    <w:uiPriority w:val="0"/>
    <w:rPr>
      <w:rFonts w:ascii="Tahoma" w:hAnsi="Tahoma"/>
      <w:sz w:val="24"/>
    </w:rPr>
  </w:style>
  <w:style w:type="paragraph" w:customStyle="1" w:styleId="74">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5">
    <w:name w:val="Char Char Char"/>
    <w:basedOn w:val="1"/>
    <w:qFormat/>
    <w:uiPriority w:val="0"/>
    <w:rPr>
      <w:rFonts w:ascii="Tahoma" w:hAnsi="Tahoma"/>
      <w:sz w:val="24"/>
      <w:szCs w:val="20"/>
    </w:rPr>
  </w:style>
  <w:style w:type="paragraph" w:customStyle="1" w:styleId="7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7">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8">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9">
    <w:name w:val="二级条标题"/>
    <w:basedOn w:val="80"/>
    <w:next w:val="1"/>
    <w:qFormat/>
    <w:uiPriority w:val="0"/>
    <w:pPr>
      <w:numPr>
        <w:ilvl w:val="3"/>
      </w:numPr>
      <w:outlineLvl w:val="3"/>
    </w:pPr>
  </w:style>
  <w:style w:type="paragraph" w:customStyle="1" w:styleId="80">
    <w:name w:val="一级条标题"/>
    <w:basedOn w:val="74"/>
    <w:next w:val="1"/>
    <w:qFormat/>
    <w:uiPriority w:val="0"/>
    <w:pPr>
      <w:numPr>
        <w:ilvl w:val="2"/>
      </w:numPr>
      <w:spacing w:beforeLines="0" w:afterLines="0"/>
      <w:outlineLvl w:val="2"/>
    </w:pPr>
  </w:style>
  <w:style w:type="paragraph" w:customStyle="1" w:styleId="81">
    <w:name w:val="Char Char Char1"/>
    <w:basedOn w:val="1"/>
    <w:qFormat/>
    <w:uiPriority w:val="0"/>
    <w:rPr>
      <w:rFonts w:ascii="Tahoma" w:hAnsi="Tahoma"/>
      <w:sz w:val="24"/>
      <w:szCs w:val="20"/>
    </w:rPr>
  </w:style>
  <w:style w:type="paragraph" w:customStyle="1" w:styleId="82">
    <w:name w:val="样式5"/>
    <w:basedOn w:val="83"/>
    <w:qFormat/>
    <w:uiPriority w:val="0"/>
    <w:pPr>
      <w:numPr>
        <w:ilvl w:val="3"/>
      </w:numPr>
      <w:tabs>
        <w:tab w:val="left" w:pos="432"/>
      </w:tabs>
      <w:spacing w:before="156"/>
    </w:pPr>
  </w:style>
  <w:style w:type="paragraph" w:customStyle="1" w:styleId="83">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4">
    <w:name w:val="Char"/>
    <w:basedOn w:val="1"/>
    <w:qFormat/>
    <w:uiPriority w:val="0"/>
    <w:pPr>
      <w:adjustRightInd w:val="0"/>
      <w:spacing w:line="360" w:lineRule="auto"/>
    </w:pPr>
    <w:rPr>
      <w:kern w:val="0"/>
      <w:sz w:val="24"/>
      <w:szCs w:val="20"/>
    </w:rPr>
  </w:style>
  <w:style w:type="paragraph" w:customStyle="1" w:styleId="85">
    <w:name w:val="Char1"/>
    <w:basedOn w:val="1"/>
    <w:qFormat/>
    <w:uiPriority w:val="0"/>
    <w:pPr>
      <w:adjustRightInd w:val="0"/>
      <w:spacing w:line="360" w:lineRule="auto"/>
    </w:pPr>
    <w:rPr>
      <w:kern w:val="0"/>
      <w:sz w:val="24"/>
      <w:szCs w:val="20"/>
    </w:rPr>
  </w:style>
  <w:style w:type="paragraph" w:customStyle="1" w:styleId="86">
    <w:name w:val="三级条标题"/>
    <w:basedOn w:val="79"/>
    <w:next w:val="1"/>
    <w:qFormat/>
    <w:uiPriority w:val="0"/>
    <w:pPr>
      <w:numPr>
        <w:ilvl w:val="4"/>
      </w:numPr>
      <w:outlineLvl w:val="4"/>
    </w:pPr>
  </w:style>
  <w:style w:type="paragraph" w:customStyle="1" w:styleId="87">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Char Char Char Char Char Char"/>
    <w:basedOn w:val="1"/>
    <w:qFormat/>
    <w:uiPriority w:val="0"/>
    <w:rPr>
      <w:rFonts w:ascii="Tahoma" w:hAnsi="Tahoma" w:cs="Arial"/>
      <w:szCs w:val="21"/>
    </w:rPr>
  </w:style>
  <w:style w:type="paragraph" w:customStyle="1" w:styleId="89">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90">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1">
    <w:name w:val="五级条标题"/>
    <w:basedOn w:val="92"/>
    <w:next w:val="1"/>
    <w:qFormat/>
    <w:uiPriority w:val="0"/>
    <w:pPr>
      <w:numPr>
        <w:ilvl w:val="6"/>
      </w:numPr>
      <w:outlineLvl w:val="6"/>
    </w:pPr>
  </w:style>
  <w:style w:type="paragraph" w:customStyle="1" w:styleId="92">
    <w:name w:val="四级条标题"/>
    <w:basedOn w:val="86"/>
    <w:next w:val="1"/>
    <w:qFormat/>
    <w:uiPriority w:val="0"/>
    <w:pPr>
      <w:numPr>
        <w:ilvl w:val="5"/>
      </w:numPr>
      <w:outlineLvl w:val="5"/>
    </w:pPr>
  </w:style>
  <w:style w:type="paragraph" w:customStyle="1" w:styleId="93">
    <w:name w:val="Normal Indent1"/>
    <w:basedOn w:val="1"/>
    <w:qFormat/>
    <w:uiPriority w:val="99"/>
    <w:pPr>
      <w:autoSpaceDE w:val="0"/>
      <w:autoSpaceDN w:val="0"/>
      <w:adjustRightInd w:val="0"/>
      <w:ind w:firstLine="420"/>
    </w:pPr>
    <w:rPr>
      <w:kern w:val="0"/>
      <w:szCs w:val="21"/>
    </w:rPr>
  </w:style>
  <w:style w:type="paragraph" w:customStyle="1" w:styleId="94">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5">
    <w:name w:val="样式6"/>
    <w:basedOn w:val="83"/>
    <w:qFormat/>
    <w:uiPriority w:val="0"/>
    <w:pPr>
      <w:numPr>
        <w:ilvl w:val="2"/>
      </w:numPr>
      <w:tabs>
        <w:tab w:val="clear" w:pos="432"/>
      </w:tabs>
      <w:spacing w:before="156"/>
      <w:outlineLvl w:val="4"/>
    </w:pPr>
    <w:rPr>
      <w:rFonts w:ascii="MS Shell Dlg" w:hAnsi="MS Shell Dlg"/>
    </w:rPr>
  </w:style>
  <w:style w:type="paragraph" w:styleId="96">
    <w:name w:val="List Paragraph"/>
    <w:basedOn w:val="1"/>
    <w:qFormat/>
    <w:uiPriority w:val="34"/>
    <w:pPr>
      <w:ind w:firstLine="420" w:firstLineChars="200"/>
    </w:pPr>
    <w:rPr>
      <w:sz w:val="28"/>
    </w:rPr>
  </w:style>
  <w:style w:type="paragraph" w:customStyle="1" w:styleId="97">
    <w:name w:val="列出段落1"/>
    <w:basedOn w:val="1"/>
    <w:qFormat/>
    <w:uiPriority w:val="0"/>
    <w:pPr>
      <w:ind w:firstLine="420" w:firstLineChars="200"/>
    </w:pPr>
    <w:rPr>
      <w:rFonts w:ascii="Calibri" w:hAnsi="Calibri"/>
      <w:kern w:val="0"/>
      <w:sz w:val="20"/>
      <w:szCs w:val="20"/>
    </w:rPr>
  </w:style>
  <w:style w:type="paragraph" w:customStyle="1" w:styleId="98">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99">
    <w:name w:val="Table Paragraph"/>
    <w:basedOn w:val="1"/>
    <w:unhideWhenUsed/>
    <w:qFormat/>
    <w:uiPriority w:val="1"/>
    <w:rPr>
      <w:rFonts w:hint="eastAsia"/>
      <w:sz w:val="24"/>
    </w:rPr>
  </w:style>
  <w:style w:type="paragraph" w:customStyle="1" w:styleId="100">
    <w:name w:val="样式 标题 3 + (中文) 黑体 小四 非加粗 段前: 7.8 磅 段后: 0 磅 行距: 固定值 20 磅"/>
    <w:basedOn w:val="6"/>
    <w:qFormat/>
    <w:uiPriority w:val="0"/>
    <w:pPr>
      <w:spacing w:before="0" w:after="0" w:line="400" w:lineRule="exact"/>
    </w:pPr>
    <w:rPr>
      <w:rFonts w:ascii="Times New Roman" w:hAnsi="Times New Roman" w:eastAsia="黑体" w:cs="宋体"/>
      <w:b w:val="0"/>
      <w:bCs w:val="0"/>
      <w:sz w:val="24"/>
      <w:szCs w:val="20"/>
    </w:rPr>
  </w:style>
  <w:style w:type="paragraph" w:customStyle="1" w:styleId="101">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2">
    <w:name w:val="列出段落2"/>
    <w:basedOn w:val="1"/>
    <w:qFormat/>
    <w:uiPriority w:val="0"/>
    <w:pPr>
      <w:keepNext w:val="0"/>
      <w:keepLines w:val="0"/>
      <w:widowControl w:val="0"/>
      <w:suppressLineNumbers w:val="0"/>
      <w:spacing w:before="0" w:beforeAutospacing="0" w:after="0" w:afterAutospacing="0"/>
      <w:ind w:left="0" w:right="0" w:firstLine="420"/>
      <w:jc w:val="both"/>
    </w:pPr>
    <w:rPr>
      <w:rFonts w:hint="default" w:ascii="Times New Roman" w:hAnsi="Times New Roman"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0</TotalTime>
  <ScaleCrop>false</ScaleCrop>
  <LinksUpToDate>false</LinksUpToDate>
  <CharactersWithSpaces>29889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cp:lastModifiedBy>
  <cp:lastPrinted>2020-07-23T09:32:00Z</cp:lastPrinted>
  <dcterms:modified xsi:type="dcterms:W3CDTF">2022-01-19T05:14:27Z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A808F0E9ACB84F0D8EF2C8D64E515EDD</vt:lpwstr>
  </property>
</Properties>
</file>