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rPr>
          <w:rFonts w:asciiTheme="minorEastAsia" w:hAnsiTheme="minorEastAsia" w:eastAsiaTheme="minorEastAsia" w:cstheme="minorEastAsia"/>
          <w:sz w:val="28"/>
        </w:rPr>
      </w:pPr>
    </w:p>
    <w:p>
      <w:pPr>
        <w:kinsoku w:val="0"/>
        <w:overflowPunct w:val="0"/>
        <w:ind w:right="17"/>
        <w:rPr>
          <w:rFonts w:asciiTheme="minorEastAsia" w:hAnsiTheme="minorEastAsia" w:eastAsiaTheme="minorEastAsia" w:cstheme="minorEastAsia"/>
          <w:sz w:val="28"/>
        </w:rPr>
      </w:pPr>
    </w:p>
    <w:p>
      <w:pPr>
        <w:kinsoku w:val="0"/>
        <w:overflowPunct w:val="0"/>
        <w:ind w:right="17"/>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14:shadow w14:blurRad="50800" w14:dist="38100" w14:dir="2700000" w14:sx="100000" w14:sy="100000" w14:kx="0" w14:ky="0" w14:algn="tl">
            <w14:srgbClr w14:val="000000">
              <w14:alpha w14:val="60000"/>
            </w14:srgbClr>
          </w14:shadow>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ZJZB-ZC-202107-240</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华中师范大学沁园春综合体联合经营服务（2022-2031年度）服务商遴选</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华中师范大学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2021年8月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spacing w:line="360" w:lineRule="auto"/>
        <w:jc w:val="center"/>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目  录</w:t>
      </w:r>
    </w:p>
    <w:p>
      <w:pPr>
        <w:pStyle w:val="20"/>
        <w:tabs>
          <w:tab w:val="right" w:leader="dot" w:pos="9072"/>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TOC \o "1-3" \h \z \u </w:instrText>
      </w:r>
      <w:r>
        <w:rPr>
          <w:rFonts w:hint="eastAsia" w:asciiTheme="minorEastAsia" w:hAnsiTheme="minorEastAsia" w:eastAsiaTheme="minorEastAsia" w:cstheme="minorEastAsia"/>
          <w:szCs w:val="21"/>
        </w:rPr>
        <w:fldChar w:fldCharType="separate"/>
      </w:r>
      <w:r>
        <w:fldChar w:fldCharType="begin"/>
      </w:r>
      <w:r>
        <w:instrText xml:space="preserve"> HYPERLINK \l "_Toc29322" </w:instrText>
      </w:r>
      <w:r>
        <w:fldChar w:fldCharType="separate"/>
      </w:r>
      <w:r>
        <w:rPr>
          <w:rFonts w:hint="eastAsia" w:asciiTheme="minorEastAsia" w:hAnsiTheme="minorEastAsia" w:eastAsiaTheme="minorEastAsia" w:cstheme="minorEastAsia"/>
          <w:bCs/>
          <w:szCs w:val="21"/>
        </w:rPr>
        <w:t xml:space="preserve">第一章 </w:t>
      </w:r>
      <w:r>
        <w:rPr>
          <w:rFonts w:hint="eastAsia" w:asciiTheme="minorEastAsia" w:hAnsiTheme="minorEastAsia" w:eastAsiaTheme="minorEastAsia" w:cstheme="minorEastAsia"/>
          <w:szCs w:val="21"/>
        </w:rPr>
        <w:t>竞争性磋商公告</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_Toc29322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"_Toc4804" </w:instrText>
      </w:r>
      <w:r>
        <w:fldChar w:fldCharType="separate"/>
      </w:r>
      <w:r>
        <w:rPr>
          <w:rFonts w:hint="eastAsia" w:asciiTheme="minorEastAsia" w:hAnsiTheme="minorEastAsia" w:eastAsiaTheme="minorEastAsia" w:cstheme="minorEastAsia"/>
          <w:szCs w:val="21"/>
        </w:rPr>
        <w:t>一、 项目基本情况</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_Toc4804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"_Toc21460" </w:instrText>
      </w:r>
      <w:r>
        <w:fldChar w:fldCharType="separate"/>
      </w:r>
      <w:r>
        <w:rPr>
          <w:rFonts w:hint="eastAsia" w:asciiTheme="minorEastAsia" w:hAnsiTheme="minorEastAsia" w:eastAsiaTheme="minorEastAsia" w:cstheme="minorEastAsia"/>
          <w:szCs w:val="21"/>
        </w:rPr>
        <w:t>二、 申请人的资格要求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_Toc21460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"_Toc25757" </w:instrText>
      </w:r>
      <w:r>
        <w:fldChar w:fldCharType="separate"/>
      </w:r>
      <w:r>
        <w:rPr>
          <w:rFonts w:hint="eastAsia" w:asciiTheme="minorEastAsia" w:hAnsiTheme="minorEastAsia" w:eastAsiaTheme="minorEastAsia" w:cstheme="minorEastAsia"/>
          <w:szCs w:val="21"/>
        </w:rPr>
        <w:t>三、 获取采购文件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_Toc25757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"_Toc19140" </w:instrText>
      </w:r>
      <w:r>
        <w:fldChar w:fldCharType="separate"/>
      </w:r>
      <w:r>
        <w:rPr>
          <w:rFonts w:hint="eastAsia" w:asciiTheme="minorEastAsia" w:hAnsiTheme="minorEastAsia" w:eastAsiaTheme="minorEastAsia" w:cstheme="minorEastAsia"/>
          <w:szCs w:val="21"/>
        </w:rPr>
        <w:t>四、 响应文件提交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_Toc19140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"_Toc20859" </w:instrText>
      </w:r>
      <w:r>
        <w:fldChar w:fldCharType="separate"/>
      </w:r>
      <w:r>
        <w:rPr>
          <w:rFonts w:hint="eastAsia" w:asciiTheme="minorEastAsia" w:hAnsiTheme="minorEastAsia" w:eastAsiaTheme="minorEastAsia" w:cstheme="minorEastAsia"/>
          <w:szCs w:val="21"/>
        </w:rPr>
        <w:t>五、 开启</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_Toc20859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"_Toc18880" </w:instrText>
      </w:r>
      <w:r>
        <w:fldChar w:fldCharType="separate"/>
      </w:r>
      <w:r>
        <w:rPr>
          <w:rFonts w:hint="eastAsia" w:asciiTheme="minorEastAsia" w:hAnsiTheme="minorEastAsia" w:eastAsiaTheme="minorEastAsia" w:cstheme="minorEastAsia"/>
          <w:szCs w:val="21"/>
        </w:rPr>
        <w:t>六、 公告期限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_Toc18880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"_Toc21480" </w:instrText>
      </w:r>
      <w:r>
        <w:fldChar w:fldCharType="separate"/>
      </w:r>
      <w:r>
        <w:rPr>
          <w:rFonts w:hint="eastAsia" w:asciiTheme="minorEastAsia" w:hAnsiTheme="minorEastAsia" w:eastAsiaTheme="minorEastAsia" w:cstheme="minorEastAsia"/>
          <w:szCs w:val="21"/>
        </w:rPr>
        <w:t>七、 其他补充事宜</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_Toc21480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"_Toc21496" </w:instrText>
      </w:r>
      <w:r>
        <w:fldChar w:fldCharType="separate"/>
      </w:r>
      <w:r>
        <w:rPr>
          <w:rFonts w:hint="eastAsia" w:asciiTheme="minorEastAsia" w:hAnsiTheme="minorEastAsia" w:eastAsiaTheme="minorEastAsia" w:cstheme="minorEastAsia"/>
          <w:szCs w:val="21"/>
        </w:rPr>
        <w:t>八、 凡对本次采购提出询问，请按以下方式联系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_Toc21496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"_Toc20953" </w:instrText>
      </w:r>
      <w:r>
        <w:fldChar w:fldCharType="separate"/>
      </w:r>
      <w:r>
        <w:rPr>
          <w:rFonts w:hint="eastAsia" w:asciiTheme="minorEastAsia" w:hAnsiTheme="minorEastAsia" w:eastAsiaTheme="minorEastAsia" w:cstheme="minorEastAsia"/>
          <w:szCs w:val="21"/>
        </w:rPr>
        <w:t>九、 注意事项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_Toc20953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"_Toc4344" </w:instrText>
      </w:r>
      <w:r>
        <w:fldChar w:fldCharType="separate"/>
      </w:r>
      <w:r>
        <w:rPr>
          <w:rFonts w:hint="eastAsia" w:asciiTheme="minorEastAsia" w:hAnsiTheme="minorEastAsia" w:eastAsiaTheme="minorEastAsia" w:cstheme="minorEastAsia"/>
          <w:szCs w:val="21"/>
        </w:rPr>
        <w:t>第二章 供应商须知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_Toc4344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"_Toc20618" </w:instrText>
      </w:r>
      <w:r>
        <w:fldChar w:fldCharType="separate"/>
      </w:r>
      <w:r>
        <w:rPr>
          <w:rFonts w:hint="eastAsia" w:asciiTheme="minorEastAsia" w:hAnsiTheme="minorEastAsia" w:eastAsiaTheme="minorEastAsia" w:cstheme="minorEastAsia"/>
          <w:szCs w:val="21"/>
        </w:rPr>
        <w:t>《供应商须知前附表》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_Toc20618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"_Toc25973" </w:instrText>
      </w:r>
      <w:r>
        <w:fldChar w:fldCharType="separate"/>
      </w:r>
      <w:r>
        <w:rPr>
          <w:rFonts w:hint="eastAsia" w:asciiTheme="minorEastAsia" w:hAnsiTheme="minorEastAsia" w:eastAsiaTheme="minorEastAsia" w:cstheme="minorEastAsia"/>
          <w:szCs w:val="21"/>
        </w:rPr>
        <w:t>供应商须知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_Toc25973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"_Toc3202" </w:instrText>
      </w:r>
      <w:r>
        <w:fldChar w:fldCharType="separate"/>
      </w:r>
      <w:r>
        <w:rPr>
          <w:rFonts w:hint="eastAsia" w:asciiTheme="minorEastAsia" w:hAnsiTheme="minorEastAsia" w:eastAsiaTheme="minorEastAsia" w:cstheme="minorEastAsia"/>
          <w:szCs w:val="21"/>
        </w:rPr>
        <w:t>一、 总则</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_Toc3202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"_Toc991" </w:instrText>
      </w:r>
      <w:r>
        <w:fldChar w:fldCharType="separate"/>
      </w:r>
      <w:r>
        <w:rPr>
          <w:rFonts w:hint="eastAsia" w:asciiTheme="minorEastAsia" w:hAnsiTheme="minorEastAsia" w:eastAsiaTheme="minorEastAsia" w:cstheme="minorEastAsia"/>
          <w:szCs w:val="21"/>
        </w:rPr>
        <w:t>1、 适用法律及范围</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_Toc991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"_Toc15980" </w:instrText>
      </w:r>
      <w:r>
        <w:fldChar w:fldCharType="separate"/>
      </w:r>
      <w:r>
        <w:rPr>
          <w:rFonts w:hint="eastAsia" w:asciiTheme="minorEastAsia" w:hAnsiTheme="minorEastAsia" w:eastAsiaTheme="minorEastAsia" w:cstheme="minorEastAsia"/>
          <w:szCs w:val="21"/>
        </w:rPr>
        <w:t>2、 定义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_Toc15980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"_Toc14920" </w:instrText>
      </w:r>
      <w:r>
        <w:fldChar w:fldCharType="separate"/>
      </w:r>
      <w:r>
        <w:rPr>
          <w:rFonts w:hint="eastAsia"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_Toc14920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"_Toc23518" </w:instrText>
      </w:r>
      <w:r>
        <w:fldChar w:fldCharType="separate"/>
      </w:r>
      <w:r>
        <w:rPr>
          <w:rFonts w:hint="eastAsia" w:asciiTheme="minorEastAsia" w:hAnsiTheme="minorEastAsia" w:eastAsiaTheme="minorEastAsia" w:cstheme="minorEastAsia"/>
          <w:szCs w:val="21"/>
        </w:rPr>
        <w:t>4、 费用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_Toc23518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"_Toc12432" </w:instrText>
      </w:r>
      <w:r>
        <w:fldChar w:fldCharType="separate"/>
      </w:r>
      <w:r>
        <w:rPr>
          <w:rFonts w:hint="eastAsia" w:asciiTheme="minorEastAsia" w:hAnsiTheme="minorEastAsia" w:eastAsiaTheme="minorEastAsia" w:cstheme="minorEastAsia"/>
          <w:szCs w:val="21"/>
        </w:rPr>
        <w:t>二、 竞争性磋商采购文件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_Toc12432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"_Toc23375" </w:instrText>
      </w:r>
      <w:r>
        <w:fldChar w:fldCharType="separate"/>
      </w:r>
      <w:r>
        <w:rPr>
          <w:rFonts w:hint="eastAsia" w:asciiTheme="minorEastAsia" w:hAnsiTheme="minorEastAsia" w:eastAsiaTheme="minorEastAsia" w:cstheme="minorEastAsia"/>
          <w:szCs w:val="21"/>
        </w:rPr>
        <w:t>5、 竞争性磋商采购文件的构成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_Toc23375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"_Toc8450" </w:instrText>
      </w:r>
      <w:r>
        <w:fldChar w:fldCharType="separate"/>
      </w:r>
      <w:r>
        <w:rPr>
          <w:rFonts w:hint="eastAsia" w:asciiTheme="minorEastAsia" w:hAnsiTheme="minorEastAsia" w:eastAsiaTheme="minorEastAsia" w:cstheme="minorEastAsia"/>
          <w:snapToGrid w:val="0"/>
          <w:kern w:val="0"/>
          <w:szCs w:val="21"/>
          <w:lang w:val="zh-CN"/>
        </w:rPr>
        <w:t>6、 竞争性磋商采购文件的澄清</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_Toc8450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"_Toc31945" </w:instrText>
      </w:r>
      <w:r>
        <w:fldChar w:fldCharType="separate"/>
      </w:r>
      <w:r>
        <w:rPr>
          <w:rFonts w:hint="eastAsia" w:asciiTheme="minorEastAsia" w:hAnsiTheme="minorEastAsia" w:eastAsiaTheme="minorEastAsia" w:cstheme="minorEastAsia"/>
          <w:snapToGrid w:val="0"/>
          <w:kern w:val="0"/>
          <w:szCs w:val="21"/>
          <w:lang w:val="zh-CN"/>
        </w:rPr>
        <w:t>7、 竞争性磋商采购文件的修改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_Toc31945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"_Toc9922" </w:instrText>
      </w:r>
      <w:r>
        <w:fldChar w:fldCharType="separate"/>
      </w:r>
      <w:r>
        <w:rPr>
          <w:rFonts w:hint="eastAsia" w:asciiTheme="minorEastAsia" w:hAnsiTheme="minorEastAsia" w:eastAsiaTheme="minorEastAsia" w:cstheme="minorEastAsia"/>
          <w:szCs w:val="21"/>
        </w:rPr>
        <w:t>三、 竞争性磋商响应文件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_Toc9922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"_Toc25882" </w:instrText>
      </w:r>
      <w:r>
        <w:fldChar w:fldCharType="separate"/>
      </w:r>
      <w:r>
        <w:rPr>
          <w:rFonts w:hint="eastAsia" w:asciiTheme="minorEastAsia" w:hAnsiTheme="minorEastAsia" w:eastAsiaTheme="minorEastAsia" w:cstheme="minorEastAsia"/>
          <w:snapToGrid w:val="0"/>
          <w:kern w:val="0"/>
          <w:szCs w:val="21"/>
          <w:lang w:val="zh-CN"/>
        </w:rPr>
        <w:t>8、 语言和计量单位</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_Toc25882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"_Toc22715" </w:instrText>
      </w:r>
      <w:r>
        <w:fldChar w:fldCharType="separate"/>
      </w:r>
      <w:r>
        <w:rPr>
          <w:rFonts w:hint="eastAsia" w:asciiTheme="minorEastAsia" w:hAnsiTheme="minorEastAsia" w:eastAsiaTheme="minorEastAsia" w:cstheme="minorEastAsia"/>
          <w:snapToGrid w:val="0"/>
          <w:kern w:val="0"/>
          <w:szCs w:val="21"/>
          <w:lang w:val="zh-CN"/>
        </w:rPr>
        <w:t>9、 竞争性磋商响应文件的构成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_Toc22715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"_Toc1932" </w:instrText>
      </w:r>
      <w:r>
        <w:fldChar w:fldCharType="separate"/>
      </w:r>
      <w:r>
        <w:rPr>
          <w:rFonts w:hint="eastAsia" w:asciiTheme="minorEastAsia" w:hAnsiTheme="minorEastAsia" w:eastAsiaTheme="minorEastAsia" w:cstheme="minorEastAsia"/>
          <w:snapToGrid w:val="0"/>
          <w:kern w:val="0"/>
          <w:szCs w:val="21"/>
          <w:lang w:val="zh-CN"/>
        </w:rPr>
        <w:t>10、 竞争性磋商响应文件的编制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_Toc1932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"_Toc23791" </w:instrText>
      </w:r>
      <w:r>
        <w:fldChar w:fldCharType="separate"/>
      </w:r>
      <w:r>
        <w:rPr>
          <w:rFonts w:hint="eastAsia" w:asciiTheme="minorEastAsia" w:hAnsiTheme="minorEastAsia" w:eastAsiaTheme="minorEastAsia" w:cstheme="minorEastAsia"/>
          <w:snapToGrid w:val="0"/>
          <w:kern w:val="0"/>
          <w:szCs w:val="21"/>
          <w:lang w:val="zh-CN"/>
        </w:rPr>
        <w:t>11、 磋商报价</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_Toc23791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"_Toc31346" </w:instrText>
      </w:r>
      <w:r>
        <w:fldChar w:fldCharType="separate"/>
      </w:r>
      <w:r>
        <w:rPr>
          <w:rFonts w:hint="eastAsia" w:asciiTheme="minorEastAsia" w:hAnsiTheme="minorEastAsia" w:eastAsiaTheme="minorEastAsia" w:cstheme="minorEastAsia"/>
          <w:snapToGrid w:val="0"/>
          <w:kern w:val="0"/>
          <w:szCs w:val="21"/>
          <w:lang w:val="zh-CN"/>
        </w:rPr>
        <w:t>12、 备选方案</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_Toc31346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"_Toc16214" </w:instrText>
      </w:r>
      <w:r>
        <w:fldChar w:fldCharType="separate"/>
      </w:r>
      <w:r>
        <w:rPr>
          <w:rFonts w:hint="eastAsia" w:asciiTheme="minorEastAsia" w:hAnsiTheme="minorEastAsia" w:eastAsiaTheme="minorEastAsia" w:cstheme="minorEastAsia"/>
          <w:snapToGrid w:val="0"/>
          <w:kern w:val="0"/>
          <w:szCs w:val="21"/>
          <w:lang w:val="zh-CN"/>
        </w:rPr>
        <w:t>13、 联合体</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_Toc16214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"_Toc29964" </w:instrText>
      </w:r>
      <w:r>
        <w:fldChar w:fldCharType="separate"/>
      </w:r>
      <w:r>
        <w:rPr>
          <w:rFonts w:hint="eastAsia" w:asciiTheme="minorEastAsia" w:hAnsiTheme="minorEastAsia" w:eastAsiaTheme="minorEastAsia" w:cstheme="minorEastAsia"/>
          <w:snapToGrid w:val="0"/>
          <w:kern w:val="0"/>
          <w:szCs w:val="21"/>
          <w:lang w:val="zh-CN"/>
        </w:rPr>
        <w:t>14、 供应商资格证明文件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_Toc29964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"_Toc28853" </w:instrText>
      </w:r>
      <w:r>
        <w:fldChar w:fldCharType="separate"/>
      </w:r>
      <w:r>
        <w:rPr>
          <w:rFonts w:hint="eastAsia" w:asciiTheme="minorEastAsia" w:hAnsiTheme="minorEastAsia" w:eastAsiaTheme="minorEastAsia" w:cstheme="minorEastAsia"/>
          <w:snapToGrid w:val="0"/>
          <w:kern w:val="0"/>
          <w:szCs w:val="21"/>
          <w:lang w:val="zh-CN"/>
        </w:rPr>
        <w:t>15、 证明报价内容、服务合格性和符合竞争性磋商采购文件规定的文件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_Toc28853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"_Toc27020" </w:instrText>
      </w:r>
      <w:r>
        <w:fldChar w:fldCharType="separate"/>
      </w:r>
      <w:r>
        <w:rPr>
          <w:rFonts w:hint="eastAsia" w:asciiTheme="minorEastAsia" w:hAnsiTheme="minorEastAsia" w:eastAsiaTheme="minorEastAsia" w:cstheme="minorEastAsia"/>
          <w:snapToGrid w:val="0"/>
          <w:kern w:val="0"/>
          <w:szCs w:val="21"/>
          <w:lang w:val="zh-CN"/>
        </w:rPr>
        <w:t>16、 磋商保证金</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_Toc27020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"_Toc13575" </w:instrText>
      </w:r>
      <w:r>
        <w:fldChar w:fldCharType="separate"/>
      </w:r>
      <w:r>
        <w:rPr>
          <w:rFonts w:hint="eastAsia" w:asciiTheme="minorEastAsia" w:hAnsiTheme="minorEastAsia" w:eastAsiaTheme="minorEastAsia" w:cstheme="minorEastAsia"/>
          <w:snapToGrid w:val="0"/>
          <w:kern w:val="0"/>
          <w:szCs w:val="21"/>
          <w:lang w:val="zh-CN"/>
        </w:rPr>
        <w:t>17、 磋商有效期</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_Toc13575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"_Toc1090" </w:instrText>
      </w:r>
      <w:r>
        <w:fldChar w:fldCharType="separate"/>
      </w:r>
      <w:r>
        <w:rPr>
          <w:rFonts w:hint="eastAsia" w:asciiTheme="minorEastAsia" w:hAnsiTheme="minorEastAsia" w:eastAsiaTheme="minorEastAsia" w:cstheme="minorEastAsia"/>
          <w:snapToGrid w:val="0"/>
          <w:kern w:val="0"/>
          <w:szCs w:val="21"/>
          <w:lang w:val="zh-CN"/>
        </w:rPr>
        <w:t>18、 竞争性磋商响应文件的装订、签署和数量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_Toc1090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"_Toc18044" </w:instrText>
      </w:r>
      <w:r>
        <w:fldChar w:fldCharType="separate"/>
      </w:r>
      <w:r>
        <w:rPr>
          <w:rFonts w:hint="eastAsia" w:asciiTheme="minorEastAsia" w:hAnsiTheme="minorEastAsia" w:eastAsiaTheme="minorEastAsia" w:cstheme="minorEastAsia"/>
          <w:szCs w:val="21"/>
        </w:rPr>
        <w:t>四、 竞争性磋商响应文件的递交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_Toc18044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"_Toc24895" </w:instrText>
      </w:r>
      <w:r>
        <w:fldChar w:fldCharType="separate"/>
      </w:r>
      <w:r>
        <w:rPr>
          <w:rFonts w:hint="eastAsia"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_Toc24895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"_Toc22803" </w:instrText>
      </w:r>
      <w:r>
        <w:fldChar w:fldCharType="separate"/>
      </w:r>
      <w:r>
        <w:rPr>
          <w:rFonts w:hint="eastAsia" w:asciiTheme="minorEastAsia" w:hAnsiTheme="minorEastAsia" w:eastAsiaTheme="minorEastAsia" w:cstheme="minorEastAsia"/>
          <w:snapToGrid w:val="0"/>
          <w:kern w:val="0"/>
          <w:szCs w:val="21"/>
          <w:lang w:val="zh-CN"/>
        </w:rPr>
        <w:t>20、 竞争性磋商响应文件的送达地点及截止时间</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_Toc22803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"_Toc5099" </w:instrText>
      </w:r>
      <w:r>
        <w:fldChar w:fldCharType="separate"/>
      </w:r>
      <w:r>
        <w:rPr>
          <w:rFonts w:hint="eastAsia" w:asciiTheme="minorEastAsia" w:hAnsiTheme="minorEastAsia" w:eastAsiaTheme="minorEastAsia" w:cstheme="minorEastAsia"/>
          <w:snapToGrid w:val="0"/>
          <w:kern w:val="0"/>
          <w:szCs w:val="21"/>
          <w:lang w:val="zh-CN"/>
        </w:rPr>
        <w:t>21、 迟交的竞争性磋商响应文件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_Toc5099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"_Toc19545" </w:instrText>
      </w:r>
      <w:r>
        <w:fldChar w:fldCharType="separate"/>
      </w:r>
      <w:r>
        <w:rPr>
          <w:rFonts w:hint="eastAsia" w:asciiTheme="minorEastAsia" w:hAnsiTheme="minorEastAsia" w:eastAsiaTheme="minorEastAsia" w:cstheme="minorEastAsia"/>
          <w:snapToGrid w:val="0"/>
          <w:kern w:val="0"/>
          <w:szCs w:val="21"/>
          <w:lang w:val="zh-CN"/>
        </w:rPr>
        <w:t>22、 竞争性磋商响应文件的补充、修改或者撤回</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_Toc19545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"_Toc14430" </w:instrText>
      </w:r>
      <w:r>
        <w:fldChar w:fldCharType="separate"/>
      </w:r>
      <w:r>
        <w:rPr>
          <w:rFonts w:hint="eastAsia" w:asciiTheme="minorEastAsia" w:hAnsiTheme="minorEastAsia" w:eastAsiaTheme="minorEastAsia" w:cstheme="minorEastAsia"/>
          <w:szCs w:val="21"/>
        </w:rPr>
        <w:t>五、 磋商程序及步骤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_Toc14430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"_Toc983" </w:instrText>
      </w:r>
      <w:r>
        <w:fldChar w:fldCharType="separate"/>
      </w:r>
      <w:r>
        <w:rPr>
          <w:rFonts w:hint="eastAsia"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szCs w:val="21"/>
        </w:rPr>
        <w:t>竞争性磋商小组</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_Toc983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"_Toc17537" </w:instrText>
      </w:r>
      <w:r>
        <w:fldChar w:fldCharType="separate"/>
      </w:r>
      <w:r>
        <w:rPr>
          <w:rFonts w:hint="eastAsia"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szCs w:val="21"/>
        </w:rPr>
        <w:t>磋商代表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_Toc17537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"_Toc25650" </w:instrText>
      </w:r>
      <w:r>
        <w:fldChar w:fldCharType="separate"/>
      </w:r>
      <w:r>
        <w:rPr>
          <w:rFonts w:hint="eastAsia" w:asciiTheme="minorEastAsia" w:hAnsiTheme="minorEastAsia" w:eastAsiaTheme="minorEastAsia" w:cstheme="minorEastAsia"/>
          <w:szCs w:val="21"/>
        </w:rPr>
        <w:t>25、 资格审查和符合性审查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_Toc25650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"_Toc16196" </w:instrText>
      </w:r>
      <w:r>
        <w:fldChar w:fldCharType="separate"/>
      </w:r>
      <w:r>
        <w:rPr>
          <w:rFonts w:hint="eastAsia" w:asciiTheme="minorEastAsia" w:hAnsiTheme="minorEastAsia" w:eastAsiaTheme="minorEastAsia" w:cstheme="minorEastAsia"/>
          <w:szCs w:val="21"/>
        </w:rPr>
        <w:t>26、 磋商</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_Toc16196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"_Toc8716" </w:instrText>
      </w:r>
      <w:r>
        <w:fldChar w:fldCharType="separate"/>
      </w:r>
      <w:r>
        <w:rPr>
          <w:rFonts w:hint="eastAsia" w:asciiTheme="minorEastAsia" w:hAnsiTheme="minorEastAsia" w:eastAsiaTheme="minorEastAsia" w:cstheme="minorEastAsia"/>
          <w:szCs w:val="21"/>
          <w:lang w:val="zh-CN"/>
        </w:rPr>
        <w:t>27、 保密</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_Toc8716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"_Toc30313" </w:instrText>
      </w:r>
      <w:r>
        <w:fldChar w:fldCharType="separate"/>
      </w:r>
      <w:r>
        <w:rPr>
          <w:rFonts w:hint="eastAsia" w:asciiTheme="minorEastAsia" w:hAnsiTheme="minorEastAsia" w:eastAsiaTheme="minorEastAsia" w:cstheme="minorEastAsia"/>
          <w:szCs w:val="21"/>
        </w:rPr>
        <w:t>六、 成交与签订合同</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_Toc30313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"_Toc14627" </w:instrText>
      </w:r>
      <w:r>
        <w:fldChar w:fldCharType="separate"/>
      </w:r>
      <w:r>
        <w:rPr>
          <w:rFonts w:hint="eastAsia" w:asciiTheme="minorEastAsia" w:hAnsiTheme="minorEastAsia" w:eastAsiaTheme="minorEastAsia" w:cstheme="minorEastAsia"/>
          <w:szCs w:val="21"/>
          <w:lang w:val="zh-CN"/>
        </w:rPr>
        <w:t>28、 合同授予标准</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_Toc14627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"_Toc20400" </w:instrText>
      </w:r>
      <w:r>
        <w:fldChar w:fldCharType="separate"/>
      </w:r>
      <w:r>
        <w:rPr>
          <w:rFonts w:hint="eastAsia" w:asciiTheme="minorEastAsia" w:hAnsiTheme="minorEastAsia" w:eastAsiaTheme="minorEastAsia" w:cstheme="minorEastAsia"/>
          <w:szCs w:val="21"/>
          <w:lang w:val="zh-CN"/>
        </w:rPr>
        <w:t>29、 签订合同</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_Toc20400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"_Toc21833" </w:instrText>
      </w:r>
      <w:r>
        <w:fldChar w:fldCharType="separate"/>
      </w:r>
      <w:r>
        <w:rPr>
          <w:rFonts w:hint="eastAsia" w:asciiTheme="minorEastAsia" w:hAnsiTheme="minorEastAsia" w:eastAsiaTheme="minorEastAsia" w:cstheme="minorEastAsia"/>
          <w:szCs w:val="21"/>
          <w:lang w:val="zh-CN"/>
        </w:rPr>
        <w:t>31、 质疑回复</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_Toc21833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"_Toc30830" </w:instrText>
      </w:r>
      <w:r>
        <w:fldChar w:fldCharType="separate"/>
      </w:r>
      <w:r>
        <w:rPr>
          <w:rFonts w:hint="eastAsia" w:asciiTheme="minorEastAsia" w:hAnsiTheme="minorEastAsia" w:eastAsiaTheme="minorEastAsia" w:cstheme="minorEastAsia"/>
          <w:szCs w:val="21"/>
          <w:lang w:val="zh-CN"/>
        </w:rPr>
        <w:t>32、 投诉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_Toc30830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"_Toc1057" </w:instrText>
      </w:r>
      <w:r>
        <w:fldChar w:fldCharType="separate"/>
      </w:r>
      <w:r>
        <w:rPr>
          <w:rFonts w:hint="eastAsia" w:asciiTheme="minorEastAsia" w:hAnsiTheme="minorEastAsia" w:eastAsiaTheme="minorEastAsia" w:cstheme="minorEastAsia"/>
          <w:szCs w:val="21"/>
          <w:lang w:val="zh-CN"/>
        </w:rPr>
        <w:t>八、 政策（本项目不适用）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_Toc1057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"_Toc3796" </w:instrText>
      </w:r>
      <w:r>
        <w:fldChar w:fldCharType="separate"/>
      </w:r>
      <w:r>
        <w:rPr>
          <w:rFonts w:hint="eastAsia" w:asciiTheme="minorEastAsia" w:hAnsiTheme="minorEastAsia" w:eastAsiaTheme="minorEastAsia" w:cstheme="minorEastAsia"/>
          <w:szCs w:val="21"/>
        </w:rPr>
        <w:t>33、 政府采购政策</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_Toc3796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"_Toc32201" </w:instrText>
      </w:r>
      <w:r>
        <w:fldChar w:fldCharType="separate"/>
      </w:r>
      <w:r>
        <w:rPr>
          <w:rFonts w:hint="eastAsia" w:asciiTheme="minorEastAsia" w:hAnsiTheme="minorEastAsia" w:eastAsiaTheme="minorEastAsia" w:cstheme="minorEastAsia"/>
          <w:szCs w:val="21"/>
          <w:lang w:val="zh-CN"/>
        </w:rPr>
        <w:t>九、 其他要求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_Toc32201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"_Toc31342" </w:instrText>
      </w:r>
      <w:r>
        <w:fldChar w:fldCharType="separate"/>
      </w:r>
      <w:r>
        <w:rPr>
          <w:rFonts w:hint="eastAsia" w:asciiTheme="minorEastAsia" w:hAnsiTheme="minorEastAsia" w:eastAsiaTheme="minorEastAsia" w:cstheme="minorEastAsia"/>
          <w:szCs w:val="21"/>
          <w:lang w:val="zh-CN"/>
        </w:rPr>
        <w:t>十、 适用法律</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_Toc31342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"_Toc989" </w:instrText>
      </w:r>
      <w:r>
        <w:fldChar w:fldCharType="separate"/>
      </w:r>
      <w:r>
        <w:rPr>
          <w:rFonts w:hint="eastAsia" w:asciiTheme="minorEastAsia" w:hAnsiTheme="minorEastAsia" w:eastAsiaTheme="minorEastAsia" w:cstheme="minorEastAsia"/>
          <w:szCs w:val="21"/>
        </w:rPr>
        <w:t xml:space="preserve">第三章 </w:t>
      </w:r>
      <w:r>
        <w:rPr>
          <w:rFonts w:hint="eastAsia" w:asciiTheme="minorEastAsia" w:hAnsiTheme="minorEastAsia" w:eastAsiaTheme="minorEastAsia" w:cstheme="minorEastAsia"/>
          <w:bCs/>
          <w:szCs w:val="21"/>
        </w:rPr>
        <w:t>采购需求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_Toc989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"_Toc5544" </w:instrText>
      </w:r>
      <w:r>
        <w:fldChar w:fldCharType="separate"/>
      </w:r>
      <w:r>
        <w:rPr>
          <w:rFonts w:hint="eastAsia" w:asciiTheme="minorEastAsia" w:hAnsiTheme="minorEastAsia" w:eastAsiaTheme="minorEastAsia" w:cstheme="minorEastAsia"/>
          <w:bCs/>
          <w:szCs w:val="21"/>
        </w:rPr>
        <w:t>第一部分 指导方针</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_Toc5544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"_Toc4463" </w:instrText>
      </w:r>
      <w:r>
        <w:fldChar w:fldCharType="separate"/>
      </w:r>
      <w:r>
        <w:rPr>
          <w:rFonts w:hint="eastAsia" w:asciiTheme="minorEastAsia" w:hAnsiTheme="minorEastAsia" w:eastAsiaTheme="minorEastAsia" w:cstheme="minorEastAsia"/>
          <w:bCs/>
          <w:szCs w:val="21"/>
        </w:rPr>
        <w:t>第二部分 项目概况</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_Toc4463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"_Toc6227" </w:instrText>
      </w:r>
      <w:r>
        <w:fldChar w:fldCharType="separate"/>
      </w:r>
      <w:r>
        <w:rPr>
          <w:rFonts w:hint="eastAsia" w:asciiTheme="minorEastAsia" w:hAnsiTheme="minorEastAsia" w:eastAsiaTheme="minorEastAsia" w:cstheme="minorEastAsia"/>
          <w:bCs/>
          <w:sz w:val="21"/>
          <w:szCs w:val="21"/>
        </w:rPr>
        <w:t>一、项目目标</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_Toc6227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"_Toc11243" </w:instrText>
      </w:r>
      <w:r>
        <w:fldChar w:fldCharType="separate"/>
      </w:r>
      <w:r>
        <w:rPr>
          <w:rFonts w:hint="eastAsia" w:asciiTheme="minorEastAsia" w:hAnsiTheme="minorEastAsia" w:eastAsiaTheme="minorEastAsia" w:cstheme="minorEastAsia"/>
          <w:bCs/>
          <w:sz w:val="21"/>
          <w:szCs w:val="21"/>
        </w:rPr>
        <w:t>二、项目概况</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_Toc11243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"_Toc29572" </w:instrText>
      </w:r>
      <w:r>
        <w:fldChar w:fldCharType="separate"/>
      </w:r>
      <w:r>
        <w:rPr>
          <w:rFonts w:hint="eastAsia" w:asciiTheme="minorEastAsia" w:hAnsiTheme="minorEastAsia" w:eastAsiaTheme="minorEastAsia" w:cstheme="minorEastAsia"/>
          <w:bCs/>
          <w:sz w:val="21"/>
          <w:szCs w:val="21"/>
        </w:rPr>
        <w:t>三、采购需求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_Toc29572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"_Toc25607" </w:instrText>
      </w:r>
      <w:r>
        <w:fldChar w:fldCharType="separate"/>
      </w:r>
      <w:r>
        <w:rPr>
          <w:rFonts w:hint="eastAsia" w:asciiTheme="minorEastAsia" w:hAnsiTheme="minorEastAsia" w:eastAsiaTheme="minorEastAsia" w:cstheme="minorEastAsia"/>
          <w:bCs/>
          <w:sz w:val="21"/>
          <w:szCs w:val="21"/>
        </w:rPr>
        <w:t>四、装修方案要求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_Toc25607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"_Toc4421" </w:instrText>
      </w:r>
      <w:r>
        <w:fldChar w:fldCharType="separate"/>
      </w:r>
      <w:r>
        <w:rPr>
          <w:rFonts w:hint="eastAsia" w:asciiTheme="minorEastAsia" w:hAnsiTheme="minorEastAsia" w:eastAsiaTheme="minorEastAsia" w:cstheme="minorEastAsia"/>
          <w:bCs/>
          <w:sz w:val="21"/>
          <w:szCs w:val="21"/>
        </w:rPr>
        <w:t>五、项目详解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_Toc4421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tabs>
          <w:tab w:val="right" w:leader="dot" w:pos="9072"/>
        </w:tabs>
        <w:spacing w:line="360" w:lineRule="auto"/>
        <w:rPr>
          <w:rFonts w:asciiTheme="minorEastAsia" w:hAnsiTheme="minorEastAsia" w:eastAsiaTheme="minorEastAsia" w:cstheme="minorEastAsia"/>
          <w:sz w:val="21"/>
          <w:szCs w:val="21"/>
        </w:rPr>
      </w:pPr>
      <w:r>
        <w:fldChar w:fldCharType="begin"/>
      </w:r>
      <w:r>
        <w:instrText xml:space="preserve"> HYPERLINK \l "_Toc20260" </w:instrText>
      </w:r>
      <w:r>
        <w:fldChar w:fldCharType="separate"/>
      </w:r>
      <w:r>
        <w:rPr>
          <w:rFonts w:hint="eastAsia" w:asciiTheme="minorEastAsia" w:hAnsiTheme="minorEastAsia" w:eastAsiaTheme="minorEastAsia" w:cstheme="minorEastAsia"/>
          <w:bCs/>
          <w:sz w:val="21"/>
          <w:szCs w:val="21"/>
        </w:rPr>
        <w:t>六、其他要求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_Toc20260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"_Toc16110" </w:instrText>
      </w:r>
      <w:r>
        <w:fldChar w:fldCharType="separate"/>
      </w:r>
      <w:r>
        <w:rPr>
          <w:rFonts w:hint="eastAsia" w:asciiTheme="minorEastAsia" w:hAnsiTheme="minorEastAsia" w:eastAsiaTheme="minorEastAsia" w:cstheme="minorEastAsia"/>
          <w:szCs w:val="21"/>
        </w:rPr>
        <w:t>第四章 竞争性磋商采购评定办法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_Toc16110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"_Toc17615" </w:instrText>
      </w:r>
      <w:r>
        <w:fldChar w:fldCharType="separate"/>
      </w:r>
      <w:r>
        <w:rPr>
          <w:rFonts w:hint="eastAsia" w:asciiTheme="minorEastAsia" w:hAnsiTheme="minorEastAsia" w:eastAsiaTheme="minorEastAsia" w:cstheme="minorEastAsia"/>
          <w:szCs w:val="21"/>
        </w:rPr>
        <w:t>一、评定办法前附表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_Toc17615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"_Toc32543" </w:instrText>
      </w:r>
      <w:r>
        <w:fldChar w:fldCharType="separate"/>
      </w:r>
      <w:r>
        <w:rPr>
          <w:rFonts w:hint="eastAsia" w:asciiTheme="minorEastAsia" w:hAnsiTheme="minorEastAsia" w:eastAsiaTheme="minorEastAsia" w:cstheme="minorEastAsia"/>
          <w:szCs w:val="21"/>
        </w:rPr>
        <w:t xml:space="preserve">  二、计算办法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_Toc32543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"_Toc18761" </w:instrText>
      </w:r>
      <w:r>
        <w:fldChar w:fldCharType="separate"/>
      </w:r>
      <w:r>
        <w:rPr>
          <w:rFonts w:hint="eastAsia" w:asciiTheme="minorEastAsia" w:hAnsiTheme="minorEastAsia" w:eastAsiaTheme="minorEastAsia" w:cstheme="minorEastAsia"/>
          <w:szCs w:val="21"/>
        </w:rPr>
        <w:t>三、评分细则</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_Toc18761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"_Toc10417" </w:instrText>
      </w:r>
      <w:r>
        <w:fldChar w:fldCharType="separate"/>
      </w:r>
      <w:r>
        <w:rPr>
          <w:rFonts w:hint="eastAsia" w:asciiTheme="minorEastAsia" w:hAnsiTheme="minorEastAsia" w:eastAsiaTheme="minorEastAsia" w:cstheme="minorEastAsia"/>
          <w:szCs w:val="21"/>
        </w:rPr>
        <w:t>四、评定办法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_Toc10417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"_Toc5430" </w:instrText>
      </w:r>
      <w:r>
        <w:fldChar w:fldCharType="separate"/>
      </w:r>
      <w:r>
        <w:rPr>
          <w:rFonts w:hint="eastAsia" w:asciiTheme="minorEastAsia" w:hAnsiTheme="minorEastAsia" w:eastAsiaTheme="minorEastAsia" w:cstheme="minorEastAsia"/>
          <w:szCs w:val="21"/>
        </w:rPr>
        <w:t>五、磋商及评审步骤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_Toc5430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"_Toc8735" </w:instrText>
      </w:r>
      <w:r>
        <w:fldChar w:fldCharType="separate"/>
      </w:r>
      <w:r>
        <w:rPr>
          <w:rFonts w:hint="eastAsia" w:asciiTheme="minorEastAsia" w:hAnsiTheme="minorEastAsia" w:eastAsiaTheme="minorEastAsia" w:cstheme="minorEastAsia"/>
          <w:kern w:val="0"/>
          <w:szCs w:val="21"/>
        </w:rPr>
        <w:t xml:space="preserve">第五章 </w:t>
      </w:r>
      <w:r>
        <w:rPr>
          <w:rFonts w:hint="eastAsia" w:asciiTheme="minorEastAsia" w:hAnsiTheme="minorEastAsia" w:eastAsiaTheme="minorEastAsia" w:cstheme="minorEastAsia"/>
          <w:szCs w:val="21"/>
        </w:rPr>
        <w:t>合同书格式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_Toc8735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"_Toc27625" </w:instrText>
      </w:r>
      <w:r>
        <w:fldChar w:fldCharType="separate"/>
      </w:r>
      <w:r>
        <w:rPr>
          <w:rFonts w:hint="eastAsia" w:asciiTheme="minorEastAsia" w:hAnsiTheme="minorEastAsia" w:eastAsiaTheme="minorEastAsia" w:cstheme="minorEastAsia"/>
          <w:szCs w:val="21"/>
        </w:rPr>
        <w:t>第六章 竞争性磋商响应文件格式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_Toc27625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"_Toc17711" </w:instrText>
      </w:r>
      <w:r>
        <w:fldChar w:fldCharType="separate"/>
      </w:r>
      <w:r>
        <w:rPr>
          <w:rFonts w:hint="eastAsia" w:asciiTheme="minorEastAsia" w:hAnsiTheme="minorEastAsia" w:eastAsiaTheme="minorEastAsia" w:cstheme="minorEastAsia"/>
          <w:szCs w:val="21"/>
        </w:rPr>
        <w:t xml:space="preserve"> 一、评分标准索引表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_Toc17711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"_Toc15587" </w:instrText>
      </w:r>
      <w:r>
        <w:fldChar w:fldCharType="separate"/>
      </w:r>
      <w:r>
        <w:rPr>
          <w:rFonts w:hint="eastAsia" w:asciiTheme="minorEastAsia" w:hAnsiTheme="minorEastAsia" w:eastAsiaTheme="minorEastAsia" w:cstheme="minorEastAsia"/>
          <w:szCs w:val="21"/>
        </w:rPr>
        <w:t>二、磋商书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_Toc15587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"_Toc5345" </w:instrText>
      </w:r>
      <w:r>
        <w:fldChar w:fldCharType="separate"/>
      </w:r>
      <w:r>
        <w:rPr>
          <w:rFonts w:hint="eastAsia" w:asciiTheme="minorEastAsia" w:hAnsiTheme="minorEastAsia" w:eastAsiaTheme="minorEastAsia" w:cstheme="minorEastAsia"/>
          <w:szCs w:val="21"/>
        </w:rPr>
        <w:t>三、法定代表人授权书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_Toc5345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"_Toc12932" </w:instrText>
      </w:r>
      <w:r>
        <w:fldChar w:fldCharType="separate"/>
      </w:r>
      <w:r>
        <w:rPr>
          <w:rFonts w:hint="eastAsia" w:asciiTheme="minorEastAsia" w:hAnsiTheme="minorEastAsia" w:eastAsiaTheme="minorEastAsia" w:cstheme="minorEastAsia"/>
          <w:bCs/>
          <w:kern w:val="0"/>
          <w:szCs w:val="21"/>
        </w:rPr>
        <w:t>四、</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_Toc12932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"_Toc32759" </w:instrText>
      </w:r>
      <w:r>
        <w:fldChar w:fldCharType="separate"/>
      </w:r>
      <w:r>
        <w:rPr>
          <w:rFonts w:hint="eastAsia" w:asciiTheme="minorEastAsia" w:hAnsiTheme="minorEastAsia" w:eastAsiaTheme="minorEastAsia" w:cstheme="minorEastAsia"/>
          <w:bCs/>
          <w:szCs w:val="21"/>
        </w:rPr>
        <w:t>五、报价一览表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_Toc32759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"_Toc7929" </w:instrText>
      </w:r>
      <w:r>
        <w:fldChar w:fldCharType="separate"/>
      </w:r>
      <w:r>
        <w:rPr>
          <w:rFonts w:hint="eastAsia" w:asciiTheme="minorEastAsia" w:hAnsiTheme="minorEastAsia" w:eastAsiaTheme="minorEastAsia" w:cstheme="minorEastAsia"/>
          <w:bCs/>
          <w:szCs w:val="21"/>
        </w:rPr>
        <w:t>六、报价费用构成表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_Toc7929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"_Toc31886" </w:instrText>
      </w:r>
      <w:r>
        <w:fldChar w:fldCharType="separate"/>
      </w:r>
      <w:r>
        <w:rPr>
          <w:rFonts w:hint="eastAsia" w:asciiTheme="minorEastAsia" w:hAnsiTheme="minorEastAsia" w:eastAsiaTheme="minorEastAsia" w:cstheme="minorEastAsia"/>
          <w:bCs/>
          <w:szCs w:val="21"/>
        </w:rPr>
        <w:t>七、耗材清单（如有）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_Toc31886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"_Toc496" </w:instrText>
      </w:r>
      <w:r>
        <w:fldChar w:fldCharType="separate"/>
      </w:r>
      <w:r>
        <w:rPr>
          <w:rFonts w:hint="eastAsia" w:asciiTheme="minorEastAsia" w:hAnsiTheme="minorEastAsia" w:eastAsiaTheme="minorEastAsia" w:cstheme="minorEastAsia"/>
          <w:bCs/>
          <w:szCs w:val="21"/>
        </w:rPr>
        <w:t>八、拟投入设备/备件、工具情况（如有）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_Toc496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"_Toc28058" </w:instrText>
      </w:r>
      <w:r>
        <w:fldChar w:fldCharType="separate"/>
      </w:r>
      <w:r>
        <w:rPr>
          <w:rFonts w:hint="eastAsia" w:asciiTheme="minorEastAsia" w:hAnsiTheme="minorEastAsia" w:eastAsiaTheme="minorEastAsia" w:cstheme="minorEastAsia"/>
          <w:bCs/>
          <w:szCs w:val="21"/>
        </w:rPr>
        <w:t>九、缴纳保证金的银行凭证（如有）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_Toc28058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"_Toc29850" </w:instrText>
      </w:r>
      <w:r>
        <w:fldChar w:fldCharType="separate"/>
      </w:r>
      <w:r>
        <w:rPr>
          <w:rFonts w:hint="eastAsia" w:asciiTheme="minorEastAsia" w:hAnsiTheme="minorEastAsia" w:eastAsiaTheme="minorEastAsia" w:cstheme="minorEastAsia"/>
          <w:bCs/>
          <w:szCs w:val="21"/>
        </w:rPr>
        <w:t>十、偏离说明表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_Toc29850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"_Toc2385" </w:instrText>
      </w:r>
      <w:r>
        <w:fldChar w:fldCharType="separate"/>
      </w:r>
      <w:r>
        <w:rPr>
          <w:rFonts w:hint="eastAsia" w:asciiTheme="minorEastAsia" w:hAnsiTheme="minorEastAsia" w:eastAsiaTheme="minorEastAsia" w:cstheme="minorEastAsia"/>
          <w:kern w:val="0"/>
          <w:szCs w:val="21"/>
        </w:rPr>
        <w:t>十一、</w:t>
      </w:r>
      <w:r>
        <w:rPr>
          <w:rFonts w:hint="eastAsia" w:asciiTheme="minorEastAsia" w:hAnsiTheme="minorEastAsia" w:eastAsiaTheme="minorEastAsia" w:cstheme="minorEastAsia"/>
          <w:bCs/>
          <w:szCs w:val="21"/>
        </w:rPr>
        <w:t xml:space="preserve">类似业绩一览表 </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_Toc2385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"_Toc30460" </w:instrText>
      </w:r>
      <w:r>
        <w:fldChar w:fldCharType="separate"/>
      </w:r>
      <w:r>
        <w:rPr>
          <w:rFonts w:hint="eastAsia" w:asciiTheme="minorEastAsia" w:hAnsiTheme="minorEastAsia" w:eastAsiaTheme="minorEastAsia" w:cstheme="minorEastAsia"/>
          <w:bCs/>
          <w:szCs w:val="21"/>
        </w:rPr>
        <w:t>十二、拟投入项目组人员一览表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_Toc30460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"_Toc28603" </w:instrText>
      </w:r>
      <w: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供应商的资格声明</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_Toc28603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"_Toc12458" </w:instrText>
      </w:r>
      <w:r>
        <w:fldChar w:fldCharType="separate"/>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_Toc12458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"_Toc23306" </w:instrText>
      </w:r>
      <w:r>
        <w:fldChar w:fldCharType="separate"/>
      </w:r>
      <w:r>
        <w:rPr>
          <w:rFonts w:hint="eastAsia" w:asciiTheme="minorEastAsia" w:hAnsiTheme="minorEastAsia" w:eastAsiaTheme="minorEastAsia" w:cstheme="minorEastAsia"/>
          <w:bCs/>
          <w:kern w:val="0"/>
          <w:szCs w:val="21"/>
        </w:rPr>
        <w:t>十五、</w:t>
      </w:r>
      <w:r>
        <w:rPr>
          <w:rFonts w:hint="eastAsia" w:asciiTheme="minorEastAsia" w:hAnsiTheme="minorEastAsia" w:eastAsiaTheme="minorEastAsia" w:cstheme="minorEastAsia"/>
          <w:szCs w:val="21"/>
        </w:rPr>
        <w:t>报价技术文件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_Toc23306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80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"_Toc32676" </w:instrText>
      </w:r>
      <w:r>
        <w:fldChar w:fldCharType="separate"/>
      </w:r>
      <w:r>
        <w:rPr>
          <w:rFonts w:hint="eastAsia" w:asciiTheme="minorEastAsia" w:hAnsiTheme="minorEastAsia" w:eastAsiaTheme="minorEastAsia" w:cstheme="minorEastAsia"/>
          <w:bCs/>
          <w:spacing w:val="6"/>
          <w:szCs w:val="21"/>
        </w:rPr>
        <w:t>二十、</w:t>
      </w:r>
      <w:r>
        <w:rPr>
          <w:rFonts w:hint="eastAsia" w:asciiTheme="minorEastAsia" w:hAnsiTheme="minorEastAsia" w:eastAsiaTheme="minorEastAsia" w:cstheme="minorEastAsia"/>
          <w:szCs w:val="21"/>
        </w:rPr>
        <w:t>无重大违法记录声明</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_Toc32676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85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"_Toc12707" </w:instrText>
      </w:r>
      <w:r>
        <w:fldChar w:fldCharType="separate"/>
      </w:r>
      <w:r>
        <w:rPr>
          <w:rFonts w:hint="eastAsia" w:asciiTheme="minorEastAsia" w:hAnsiTheme="minorEastAsia" w:eastAsiaTheme="minorEastAsia" w:cstheme="minorEastAsia"/>
          <w:bCs/>
          <w:spacing w:val="6"/>
          <w:szCs w:val="21"/>
        </w:rPr>
        <w:t xml:space="preserve">二十一、磋商供应商认为应该提交的其它文件（格式自拟）       </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_Toc12707 \h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85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spacing w:line="360" w:lineRule="auto"/>
        <w:rPr>
          <w:rFonts w:asciiTheme="minorEastAsia" w:hAnsiTheme="minorEastAsia" w:eastAsiaTheme="minorEastAsia" w:cstheme="minorEastAsia"/>
          <w:szCs w:val="21"/>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Cs w:val="21"/>
        </w:rPr>
        <w:fldChar w:fldCharType="end"/>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b/>
          <w:bCs/>
          <w:sz w:val="24"/>
        </w:rPr>
      </w:pPr>
      <w:bookmarkStart w:id="0" w:name="_Toc29322"/>
      <w:bookmarkStart w:id="1" w:name="_Toc6866"/>
      <w:r>
        <w:rPr>
          <w:rFonts w:hint="eastAsia" w:ascii="宋体" w:hAnsi="宋体" w:cs="宋体"/>
          <w:b/>
          <w:sz w:val="36"/>
          <w:szCs w:val="36"/>
        </w:rPr>
        <w:t>竞争性磋商公告</w:t>
      </w:r>
      <w:bookmarkEnd w:id="0"/>
      <w:bookmarkEnd w:id="1"/>
      <w:bookmarkStart w:id="2" w:name="_Toc9976"/>
      <w:bookmarkStart w:id="3" w:name="_Toc144974480"/>
      <w:bookmarkStart w:id="4" w:name="_Toc179632528"/>
      <w:bookmarkStart w:id="5" w:name="_Toc152042288"/>
      <w:bookmarkStart w:id="6" w:name="_Toc524908844"/>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rPr>
          <w:rFonts w:ascii="宋体" w:hAnsi="宋体" w:cs="宋体"/>
          <w:szCs w:val="21"/>
        </w:rPr>
      </w:pPr>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华中师范大学沁园春综合体联合经营服务（2022-2031年度）服务商遴选</w:t>
      </w:r>
      <w:r>
        <w:rPr>
          <w:rFonts w:hint="eastAsia" w:ascii="宋体" w:hAnsi="宋体" w:cs="宋体"/>
          <w:szCs w:val="21"/>
        </w:rPr>
        <w:t>的潜在供应商应在</w:t>
      </w:r>
      <w:r>
        <w:rPr>
          <w:rFonts w:hint="eastAsia" w:ascii="宋体" w:hAnsi="宋体" w:cs="宋体"/>
          <w:szCs w:val="21"/>
          <w:u w:val="single"/>
          <w:lang w:eastAsia="zh-CN"/>
        </w:rPr>
        <w:t>线上</w:t>
      </w:r>
      <w:r>
        <w:rPr>
          <w:rFonts w:hint="eastAsia" w:ascii="宋体" w:hAnsi="宋体" w:cs="宋体"/>
          <w:szCs w:val="21"/>
        </w:rPr>
        <w:t>获取采购文件，并于</w:t>
      </w:r>
      <w:r>
        <w:rPr>
          <w:rFonts w:hint="eastAsia" w:ascii="宋体" w:hAnsi="宋体" w:cs="宋体"/>
          <w:szCs w:val="21"/>
          <w:u w:val="single"/>
        </w:rPr>
        <w:t>2021年8月20日9点30分</w:t>
      </w:r>
      <w:r>
        <w:rPr>
          <w:rFonts w:hint="eastAsia" w:ascii="宋体" w:hAnsi="宋体" w:cs="宋体"/>
          <w:szCs w:val="21"/>
        </w:rPr>
        <w:t>（北京时间）前递交响应文件。</w:t>
      </w:r>
    </w:p>
    <w:p>
      <w:pPr>
        <w:pStyle w:val="4"/>
        <w:numPr>
          <w:ilvl w:val="0"/>
          <w:numId w:val="6"/>
        </w:numPr>
        <w:spacing w:line="360" w:lineRule="auto"/>
        <w:rPr>
          <w:rFonts w:ascii="宋体" w:hAnsi="宋体" w:eastAsia="宋体" w:cs="宋体"/>
          <w:sz w:val="21"/>
          <w:szCs w:val="21"/>
        </w:rPr>
      </w:pPr>
      <w:bookmarkStart w:id="8" w:name="_Toc4804"/>
      <w:r>
        <w:rPr>
          <w:rFonts w:hint="eastAsia" w:ascii="宋体" w:hAnsi="宋体" w:eastAsia="宋体" w:cs="宋体"/>
          <w:sz w:val="21"/>
          <w:szCs w:val="21"/>
        </w:rPr>
        <w:t>项目基本情况</w:t>
      </w:r>
      <w:bookmarkEnd w:id="8"/>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1.项目编号：ZJZB-ZC-202107-240</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2.采购计划备案号：/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3.项目名称：华中师范大学沁园春综合体联合经营服务（2022-2031年度）服务商遴选</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4.采购方式：竞争性磋商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5.采购需求：</w:t>
      </w:r>
      <w:r>
        <w:rPr>
          <w:rFonts w:hint="eastAsia" w:ascii="宋体" w:hAnsi="宋体"/>
          <w:szCs w:val="21"/>
          <w:u w:val="single"/>
        </w:rPr>
        <w:t>本项目建设目标为建成校园综合服务广场，引进项目类型包括但不限于学生及教工食堂、含包间及茶室的中式餐厅、中高档中西式品牌餐饮店、咖啡厅等，为学校师生提供包括食堂又区别于食堂的综合服务中心。全校共有师生员工70000多人，沁园春综合楼位于校本部东区，建成于2021年，临近虎泉商业区。</w:t>
      </w:r>
      <w:r>
        <w:rPr>
          <w:rFonts w:hint="eastAsia" w:ascii="宋体" w:hAnsi="宋体"/>
          <w:szCs w:val="21"/>
          <w:u w:val="single"/>
          <w:lang w:eastAsia="zh-CN"/>
        </w:rPr>
        <w:t>总建筑面积约9346.42㎡，其中地上建筑面积7710.98㎡，地下室1635.44㎡。</w:t>
      </w:r>
      <w:r>
        <w:rPr>
          <w:rFonts w:hint="eastAsia" w:ascii="宋体" w:hAnsi="宋体"/>
          <w:szCs w:val="21"/>
          <w:u w:val="single"/>
        </w:rPr>
        <w:t>，该楼总体定位为集餐饮与休闲为一体的智慧化商业综合服务中心。</w:t>
      </w:r>
      <w:r>
        <w:rPr>
          <w:rFonts w:hint="eastAsia" w:asciiTheme="minorEastAsia" w:hAnsiTheme="minorEastAsia" w:eastAsiaTheme="minorEastAsia" w:cstheme="minorEastAsia"/>
          <w:szCs w:val="21"/>
        </w:rPr>
        <w:t>(详见采购文件第三章“项目采购需求”）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（1）类别：服务</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（2）服务期：</w:t>
      </w:r>
      <w:r>
        <w:rPr>
          <w:rFonts w:hint="eastAsia" w:asciiTheme="minorEastAsia" w:hAnsiTheme="minorEastAsia" w:eastAsiaTheme="minorEastAsia" w:cstheme="minorEastAsia"/>
          <w:szCs w:val="21"/>
          <w:u w:val="single"/>
        </w:rPr>
        <w:t>合作服务经营年限十年，合同一年一签。</w:t>
      </w:r>
      <w:r>
        <w:rPr>
          <w:rFonts w:hint="eastAsia" w:asciiTheme="minorEastAsia" w:hAnsiTheme="minorEastAsia" w:eastAsiaTheme="minorEastAsia" w:cstheme="minorEastAsia"/>
          <w:color w:val="000000" w:themeColor="text1"/>
          <w:szCs w:val="21"/>
          <w:u w:val="single"/>
          <w14:textFill>
            <w14:solidFill>
              <w14:schemeClr w14:val="tx1"/>
            </w14:solidFill>
          </w14:textFill>
        </w:rPr>
        <w:t>每年期满必须经招标人综合考评合格后续签下一年。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（3）其他：供应商报价须包含该采购需求的全部内容。</w:t>
      </w:r>
    </w:p>
    <w:p>
      <w:pPr>
        <w:spacing w:line="360" w:lineRule="auto"/>
        <w:rPr>
          <w:rFonts w:asciiTheme="minorEastAsia" w:hAnsiTheme="minorEastAsia" w:eastAsiaTheme="minorEastAsia" w:cstheme="minorEastAsia"/>
          <w:strike/>
          <w:szCs w:val="21"/>
        </w:rPr>
      </w:pPr>
      <w:r>
        <w:rPr>
          <w:rFonts w:hint="eastAsia" w:asciiTheme="minorEastAsia" w:hAnsiTheme="minorEastAsia" w:eastAsiaTheme="minorEastAsia" w:cstheme="minorEastAsia"/>
          <w:szCs w:val="21"/>
        </w:rPr>
        <w:t>6.合同履行期限：</w:t>
      </w:r>
      <w:r>
        <w:rPr>
          <w:rFonts w:hint="eastAsia" w:asciiTheme="minorEastAsia" w:hAnsiTheme="minorEastAsia" w:eastAsiaTheme="minorEastAsia" w:cstheme="minorEastAsia"/>
          <w:szCs w:val="21"/>
          <w:u w:val="single"/>
        </w:rPr>
        <w:t xml:space="preserve">见服务期；                   </w:t>
      </w:r>
    </w:p>
    <w:p>
      <w:pPr>
        <w:spacing w:line="360" w:lineRule="auto"/>
        <w:rPr>
          <w:rFonts w:ascii="宋体" w:hAnsi="宋体" w:cs="宋体"/>
          <w:szCs w:val="21"/>
        </w:rPr>
      </w:pPr>
      <w:r>
        <w:rPr>
          <w:rFonts w:hint="eastAsia" w:ascii="宋体" w:hAnsi="宋体" w:cs="宋体"/>
          <w:szCs w:val="21"/>
        </w:rPr>
        <w:t>7.本项目（是/否）接受联合体投标：否</w:t>
      </w:r>
    </w:p>
    <w:p>
      <w:pPr>
        <w:pStyle w:val="4"/>
        <w:numPr>
          <w:ilvl w:val="0"/>
          <w:numId w:val="6"/>
        </w:numPr>
        <w:spacing w:line="360" w:lineRule="auto"/>
        <w:rPr>
          <w:rFonts w:asciiTheme="minorEastAsia" w:hAnsiTheme="minorEastAsia" w:eastAsiaTheme="minorEastAsia" w:cstheme="minorEastAsia"/>
          <w:sz w:val="21"/>
          <w:szCs w:val="21"/>
        </w:rPr>
      </w:pPr>
      <w:bookmarkStart w:id="9" w:name="_Toc21460"/>
      <w:r>
        <w:rPr>
          <w:rFonts w:hint="eastAsia" w:asciiTheme="minorEastAsia" w:hAnsiTheme="minorEastAsia" w:eastAsiaTheme="minorEastAsia" w:cstheme="minorEastAsia"/>
          <w:sz w:val="21"/>
          <w:szCs w:val="21"/>
        </w:rPr>
        <w:t>申请人的资格要求</w:t>
      </w:r>
      <w:bookmarkEnd w:id="9"/>
    </w:p>
    <w:p>
      <w:pPr>
        <w:numPr>
          <w:ilvl w:val="0"/>
          <w:numId w:val="7"/>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满足《中华人民共和国政府采购法》第二十二条规定；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（1）具有独立承担民事责任的能力；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（2）具有良好的商业信誉和健全的财务会计制度；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（3）具有履行合同所必需的设备和专业技术能力；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（4）有依法缴纳税收和社会保障资金的良好记录；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（5）参加政府采购活动前三年内，在经营活动中没有重大违法记录；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（6）法律、行政法规规定的其他条件；</w:t>
      </w:r>
    </w:p>
    <w:p>
      <w:pPr>
        <w:numPr>
          <w:ilvl w:val="0"/>
          <w:numId w:val="7"/>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单位负责人为同一人或者存在直接控股、管理关系的不同投标人，不得参加本项目同一合同项下的政府采购活动。</w:t>
      </w:r>
    </w:p>
    <w:p>
      <w:pPr>
        <w:numPr>
          <w:ilvl w:val="0"/>
          <w:numId w:val="7"/>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为本采购项目提供整体设计、规范编制或者项目管理、监理、检测等服务的，不得再参加本项目的其他招标采购活动。</w:t>
      </w:r>
    </w:p>
    <w:p>
      <w:pPr>
        <w:numPr>
          <w:ilvl w:val="0"/>
          <w:numId w:val="7"/>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未被列入失信被执行人、重大税收违法案件当事人名单，未被列入政府采购严重违法失信行为记录名单。</w:t>
      </w:r>
    </w:p>
    <w:p>
      <w:pPr>
        <w:numPr>
          <w:ilvl w:val="0"/>
          <w:numId w:val="7"/>
        </w:num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特定资格条件要求：无</w:t>
      </w:r>
      <w:r>
        <w:rPr>
          <w:rFonts w:hint="eastAsia" w:asciiTheme="minorEastAsia" w:hAnsiTheme="minorEastAsia" w:eastAsiaTheme="minorEastAsia" w:cstheme="minorEastAsia"/>
          <w:b/>
          <w:bCs/>
          <w:szCs w:val="21"/>
          <w:u w:val="single"/>
        </w:rPr>
        <w:t xml:space="preserve">  </w:t>
      </w:r>
      <w:r>
        <w:rPr>
          <w:rFonts w:hint="eastAsia" w:asciiTheme="minorEastAsia" w:hAnsiTheme="minorEastAsia" w:eastAsiaTheme="minorEastAsia" w:cstheme="minorEastAsia"/>
          <w:szCs w:val="21"/>
          <w:u w:val="single"/>
        </w:rPr>
        <w:t xml:space="preserve">                     </w:t>
      </w:r>
    </w:p>
    <w:p>
      <w:pPr>
        <w:pStyle w:val="4"/>
        <w:numPr>
          <w:ilvl w:val="0"/>
          <w:numId w:val="6"/>
        </w:numPr>
        <w:spacing w:line="360" w:lineRule="auto"/>
        <w:rPr>
          <w:rFonts w:asciiTheme="minorEastAsia" w:hAnsiTheme="minorEastAsia" w:eastAsiaTheme="minorEastAsia" w:cstheme="minorEastAsia"/>
          <w:sz w:val="21"/>
          <w:szCs w:val="21"/>
        </w:rPr>
      </w:pPr>
      <w:bookmarkStart w:id="10" w:name="_Toc25757"/>
      <w:bookmarkStart w:id="11" w:name="_Toc334539185"/>
      <w:r>
        <w:rPr>
          <w:rFonts w:hint="eastAsia" w:asciiTheme="minorEastAsia" w:hAnsiTheme="minorEastAsia" w:eastAsiaTheme="minorEastAsia" w:cstheme="minorEastAsia"/>
          <w:sz w:val="21"/>
          <w:szCs w:val="21"/>
        </w:rPr>
        <w:t>获取采购文件</w:t>
      </w:r>
      <w:bookmarkEnd w:id="1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u w:val="single"/>
        </w:rPr>
        <w:t>2021年8月9日至2021年8月13日</w:t>
      </w:r>
      <w:r>
        <w:rPr>
          <w:rFonts w:hint="eastAsia" w:asciiTheme="minorEastAsia" w:hAnsiTheme="minorEastAsia" w:eastAsiaTheme="minorEastAsia" w:cstheme="minorEastAsia"/>
          <w:szCs w:val="21"/>
        </w:rPr>
        <w:t>，每天上午09:00至12:00，下午14:30至17:00（北京时间，法定节假日除外）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地点：武昌区中北路岳家嘴立交山河企业大厦48楼4805室；</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现</w:t>
      </w:r>
      <w:r>
        <w:rPr>
          <w:rFonts w:hint="eastAsia" w:asciiTheme="minorEastAsia" w:hAnsiTheme="minorEastAsia" w:eastAsiaTheme="minorEastAsia" w:cstheme="minorEastAsia"/>
          <w:b/>
          <w:bCs/>
          <w:szCs w:val="21"/>
          <w:lang w:eastAsia="zh-CN"/>
        </w:rPr>
        <w:t>上</w:t>
      </w:r>
      <w:r>
        <w:rPr>
          <w:rFonts w:hint="eastAsia" w:asciiTheme="minorEastAsia" w:hAnsiTheme="minorEastAsia" w:eastAsiaTheme="minorEastAsia" w:cstheme="minorEastAsia"/>
          <w:b/>
          <w:bCs/>
          <w:szCs w:val="21"/>
        </w:rPr>
        <w:t>获取：</w:t>
      </w:r>
      <w:bookmarkEnd w:id="11"/>
      <w:r>
        <w:rPr>
          <w:rFonts w:hint="eastAsia" w:asciiTheme="minorEastAsia" w:hAnsiTheme="minorEastAsia" w:eastAsiaTheme="minorEastAsia" w:cstheme="minorEastAsia"/>
          <w:color w:val="auto"/>
          <w:szCs w:val="21"/>
          <w:highlight w:val="none"/>
        </w:rPr>
        <w:t>因疫情原因，采取网上获取文件的方式，请各供应商将以下附件资料加盖公章扫描后传至2102252595@qq.com（邮件主题名称必须备注所投项目名称及公司姓名，否则不予受理），以邮箱显示收到的时间为准，递交资料后请联系代理机构工作人员支付磋商文件费用并确认后获取磋商文件。采购文件售后不退，不办理邮寄；</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szCs w:val="21"/>
        </w:rPr>
        <w:t>售价：400(元)；</w:t>
      </w:r>
    </w:p>
    <w:p>
      <w:pPr>
        <w:pStyle w:val="4"/>
        <w:numPr>
          <w:ilvl w:val="0"/>
          <w:numId w:val="6"/>
        </w:numPr>
        <w:spacing w:line="360" w:lineRule="auto"/>
        <w:rPr>
          <w:rFonts w:asciiTheme="minorEastAsia" w:hAnsiTheme="minorEastAsia" w:eastAsiaTheme="minorEastAsia" w:cstheme="minorEastAsia"/>
          <w:sz w:val="21"/>
          <w:szCs w:val="21"/>
        </w:rPr>
      </w:pPr>
      <w:bookmarkStart w:id="12" w:name="_Toc19140"/>
      <w:r>
        <w:rPr>
          <w:rFonts w:hint="eastAsia" w:asciiTheme="minorEastAsia" w:hAnsiTheme="minorEastAsia" w:eastAsiaTheme="minorEastAsia" w:cstheme="minorEastAsia"/>
          <w:sz w:val="21"/>
          <w:szCs w:val="21"/>
        </w:rPr>
        <w:t>响应文件提交</w:t>
      </w:r>
      <w:bookmarkEnd w:id="12"/>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开始时间：2021年8月20日8点30分（北京时间）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截止时间：2021年8月20日9点30分（北京时间）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地点：武昌区中北路岳家嘴立交山河企业大厦4806室，凡是购买了采购文件且已回复确定参加磋商的潜在供应商，于磋商当日临时放弃竞标的，应及时以电话告知形式通知采购代理机构。</w:t>
      </w:r>
    </w:p>
    <w:p>
      <w:pPr>
        <w:pStyle w:val="4"/>
        <w:numPr>
          <w:ilvl w:val="0"/>
          <w:numId w:val="6"/>
        </w:numPr>
        <w:spacing w:line="360" w:lineRule="auto"/>
        <w:rPr>
          <w:rFonts w:asciiTheme="minorEastAsia" w:hAnsiTheme="minorEastAsia" w:eastAsiaTheme="minorEastAsia" w:cstheme="minorEastAsia"/>
          <w:sz w:val="21"/>
          <w:szCs w:val="21"/>
        </w:rPr>
      </w:pPr>
      <w:bookmarkStart w:id="13" w:name="_Toc20859"/>
      <w:r>
        <w:rPr>
          <w:rFonts w:hint="eastAsia" w:asciiTheme="minorEastAsia" w:hAnsiTheme="minorEastAsia" w:eastAsiaTheme="minorEastAsia" w:cstheme="minorEastAsia"/>
          <w:sz w:val="21"/>
          <w:szCs w:val="21"/>
        </w:rPr>
        <w:t>开启</w:t>
      </w:r>
      <w:bookmarkEnd w:id="1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时间：2021年8月20日9点30分（北京时间）</w:t>
      </w:r>
    </w:p>
    <w:p>
      <w:pPr>
        <w:pStyle w:val="4"/>
        <w:numPr>
          <w:ilvl w:val="0"/>
          <w:numId w:val="6"/>
        </w:numPr>
        <w:spacing w:line="360" w:lineRule="auto"/>
        <w:rPr>
          <w:rFonts w:asciiTheme="minorEastAsia" w:hAnsiTheme="minorEastAsia" w:eastAsiaTheme="minorEastAsia" w:cstheme="minorEastAsia"/>
          <w:sz w:val="21"/>
          <w:szCs w:val="21"/>
        </w:rPr>
      </w:pPr>
      <w:bookmarkStart w:id="14" w:name="_Toc18880"/>
      <w:r>
        <w:rPr>
          <w:rFonts w:hint="eastAsia" w:asciiTheme="minorEastAsia" w:hAnsiTheme="minorEastAsia" w:eastAsiaTheme="minorEastAsia" w:cstheme="minorEastAsia"/>
          <w:sz w:val="21"/>
          <w:szCs w:val="21"/>
        </w:rPr>
        <w:t>公告期限</w:t>
      </w:r>
      <w:bookmarkEnd w:id="14"/>
    </w:p>
    <w:p>
      <w:pPr>
        <w:spacing w:line="360" w:lineRule="auto"/>
        <w:ind w:firstLine="420" w:firstLineChars="200"/>
        <w:rPr>
          <w:rFonts w:asciiTheme="minorEastAsia" w:hAnsiTheme="minorEastAsia" w:eastAsiaTheme="minorEastAsia" w:cstheme="minorEastAsia"/>
          <w:szCs w:val="21"/>
        </w:rPr>
      </w:pPr>
      <w:bookmarkStart w:id="15" w:name="_Toc6021"/>
      <w:bookmarkStart w:id="16" w:name="_Toc276368888"/>
      <w:bookmarkStart w:id="17" w:name="_Toc317262251"/>
      <w:bookmarkStart w:id="18" w:name="_Toc259607751"/>
      <w:bookmarkStart w:id="19" w:name="_Toc334539188"/>
      <w:bookmarkStart w:id="20" w:name="_Toc320898024"/>
      <w:r>
        <w:rPr>
          <w:rFonts w:hint="eastAsia" w:asciiTheme="minorEastAsia" w:hAnsiTheme="minorEastAsia" w:eastAsiaTheme="minorEastAsia" w:cstheme="minorEastAsia"/>
          <w:szCs w:val="21"/>
        </w:rPr>
        <w:t>自本公告发布之日起5个工作日</w:t>
      </w:r>
    </w:p>
    <w:bookmarkEnd w:id="15"/>
    <w:bookmarkEnd w:id="16"/>
    <w:bookmarkEnd w:id="17"/>
    <w:bookmarkEnd w:id="18"/>
    <w:bookmarkEnd w:id="19"/>
    <w:bookmarkEnd w:id="20"/>
    <w:p>
      <w:pPr>
        <w:pStyle w:val="4"/>
        <w:numPr>
          <w:ilvl w:val="0"/>
          <w:numId w:val="6"/>
        </w:numPr>
        <w:spacing w:line="360" w:lineRule="auto"/>
        <w:rPr>
          <w:rFonts w:asciiTheme="minorEastAsia" w:hAnsiTheme="minorEastAsia" w:eastAsiaTheme="minorEastAsia" w:cstheme="minorEastAsia"/>
          <w:sz w:val="21"/>
          <w:szCs w:val="21"/>
        </w:rPr>
      </w:pPr>
      <w:bookmarkStart w:id="21" w:name="_Toc21480"/>
      <w:r>
        <w:rPr>
          <w:rFonts w:hint="eastAsia" w:asciiTheme="minorEastAsia" w:hAnsiTheme="minorEastAsia" w:eastAsiaTheme="minorEastAsia" w:cstheme="minorEastAsia"/>
          <w:sz w:val="21"/>
          <w:szCs w:val="21"/>
        </w:rPr>
        <w:t>其他补充事宜</w:t>
      </w:r>
      <w:bookmarkEnd w:id="21"/>
    </w:p>
    <w:p>
      <w:pPr>
        <w:spacing w:line="360" w:lineRule="auto"/>
        <w:ind w:firstLine="420" w:firstLineChars="200"/>
        <w:rPr>
          <w:rFonts w:asciiTheme="minorEastAsia" w:hAnsiTheme="minorEastAsia" w:eastAsiaTheme="minorEastAsia" w:cstheme="minorEastAsia"/>
          <w:szCs w:val="21"/>
        </w:rPr>
      </w:pPr>
      <w:bookmarkStart w:id="22" w:name="_Toc259028279"/>
      <w:r>
        <w:rPr>
          <w:rFonts w:hint="eastAsia" w:asciiTheme="minorEastAsia" w:hAnsiTheme="minorEastAsia" w:eastAsiaTheme="minorEastAsia" w:cstheme="minorEastAsia"/>
          <w:szCs w:val="21"/>
        </w:rPr>
        <w:t>1.供应商如需查询技术要求可到我处查阅采购文件第三章相关内容。</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    2.本项目将在以下网站发布所有信息，请参加本项目竞标的供应商密切关注。</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    （一）《中国招标投标公共服务平台》（网址：http://www.cebpubservice.com/）</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（三）《华中师范大学招标信息网》（网址：http://zb.ccnu.edu.cn/）</w:t>
      </w:r>
    </w:p>
    <w:bookmarkEnd w:id="22"/>
    <w:p>
      <w:pPr>
        <w:pStyle w:val="4"/>
        <w:numPr>
          <w:ilvl w:val="0"/>
          <w:numId w:val="6"/>
        </w:numPr>
        <w:spacing w:line="360" w:lineRule="auto"/>
        <w:rPr>
          <w:rFonts w:asciiTheme="minorEastAsia" w:hAnsiTheme="minorEastAsia" w:eastAsiaTheme="minorEastAsia" w:cstheme="minorEastAsia"/>
          <w:sz w:val="21"/>
          <w:szCs w:val="21"/>
        </w:rPr>
      </w:pPr>
      <w:bookmarkStart w:id="23" w:name="_Toc21496"/>
      <w:r>
        <w:rPr>
          <w:rFonts w:hint="eastAsia" w:asciiTheme="minorEastAsia" w:hAnsiTheme="minorEastAsia" w:eastAsiaTheme="minorEastAsia" w:cstheme="minorEastAsia"/>
          <w:sz w:val="21"/>
          <w:szCs w:val="21"/>
        </w:rPr>
        <w:t>凡对本次采购提出询问，请按以下方式联系</w:t>
      </w:r>
      <w:bookmarkEnd w:id="2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称：华中师范大学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址：湖北省武汉市珞喻路152号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联系方式：李老师　027-67862906</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称：中经国际招标集团有限公司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址：武昌区中北路岳家嘴立交山河企业大厦48楼4805、4806室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联系方式：027-87820788</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3.项目联系方式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项目联系人：张梦、彭盼明</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话：027-87820788　　</w:t>
      </w:r>
    </w:p>
    <w:p>
      <w:pPr>
        <w:pStyle w:val="4"/>
        <w:numPr>
          <w:ilvl w:val="0"/>
          <w:numId w:val="6"/>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24714"/>
      <w:bookmarkStart w:id="25" w:name="_Toc20953"/>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1.供应商在获取本项目竞争性磋商文件前须仔细阅读资格要求内容，并按磋商文件规定要求在响应文件中递交合格有效的资格证明文件，资格审查资料不合格将导致竞标失败。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rPr>
      </w:pPr>
      <w:r>
        <w:rPr>
          <w:rFonts w:hint="eastAsia" w:asciiTheme="minorEastAsia" w:hAnsiTheme="minorEastAsia" w:eastAsiaTheme="minorEastAsia" w:cstheme="minorEastAsia"/>
          <w:szCs w:val="21"/>
        </w:rPr>
        <w:t xml:space="preserve">                                    2021年8月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日</w:t>
      </w:r>
    </w:p>
    <w:p>
      <w:pPr>
        <w:numPr>
          <w:ilvl w:val="0"/>
          <w:numId w:val="4"/>
        </w:num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6" w:name="_Toc4344"/>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7" w:name="_Toc20618"/>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宋体" w:hAnsi="宋体" w:cs="宋体"/>
                <w:snapToGrid w:val="0"/>
                <w:kern w:val="0"/>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招标代理服务费由中标人在领取成交通知书的同时，向采购代理机构支付。招标代理服务费按肆万捌仟元整收取。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w:t>
            </w:r>
            <w:r>
              <w:rPr>
                <w:rFonts w:hint="eastAsia" w:asciiTheme="minorEastAsia" w:hAnsiTheme="minorEastAsia" w:eastAsiaTheme="minorEastAsia" w:cstheme="minorEastAsia"/>
                <w:snapToGrid w:val="0"/>
                <w:kern w:val="0"/>
                <w:szCs w:val="21"/>
              </w:rPr>
              <w:t>质疑</w:t>
            </w:r>
            <w:r>
              <w:rPr>
                <w:rFonts w:hint="eastAsia" w:asciiTheme="minorEastAsia" w:hAnsiTheme="minorEastAsia" w:eastAsiaTheme="minorEastAsia" w:cstheme="minorEastAsia"/>
                <w:snapToGrid w:val="0"/>
                <w:kern w:val="0"/>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jc w:val="both"/>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供应商认为磋商文件、磋商过程和成交结果使自己的权益受到损害的，可以在知道或者应知其权益受到损害之日起</w:t>
            </w:r>
            <w:r>
              <w:rPr>
                <w:rFonts w:asciiTheme="minorEastAsia" w:hAnsiTheme="minorEastAsia" w:eastAsiaTheme="minorEastAsia" w:cstheme="minorEastAsia"/>
                <w:sz w:val="21"/>
                <w:szCs w:val="21"/>
              </w:rPr>
              <w:t>7</w:t>
            </w:r>
            <w:r>
              <w:rPr>
                <w:rFonts w:asciiTheme="minorEastAsia" w:hAnsiTheme="minorEastAsia" w:eastAsiaTheme="minorEastAsia" w:cstheme="minorEastAsia"/>
                <w:sz w:val="21"/>
                <w:szCs w:val="21"/>
                <w:lang w:val="zh-CN"/>
              </w:rPr>
              <w:t>个工作日内，以书面形式向采购人或采购代理机构提出。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）具有独立承担民事责任的能力；</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）具有良好的商业信誉和健全的财务会计制度；</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szCs w:val="21"/>
              </w:rPr>
              <w:t>可以</w:t>
            </w:r>
            <w:r>
              <w:rPr>
                <w:rFonts w:hint="eastAsia" w:asciiTheme="minorEastAsia" w:hAnsiTheme="minorEastAsia" w:eastAsiaTheme="minorEastAsia" w:cstheme="minorEastAsia"/>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szCs w:val="21"/>
              </w:rPr>
              <w:t>财务会计制度对应的相关内容</w:t>
            </w:r>
            <w:r>
              <w:rPr>
                <w:rFonts w:hint="eastAsia" w:asciiTheme="minorEastAsia" w:hAnsiTheme="minorEastAsia" w:eastAsiaTheme="minorEastAsia" w:cstheme="minorEastAsia"/>
                <w:szCs w:val="21"/>
                <w:lang w:val="zh-CN"/>
              </w:rPr>
              <w:t>。</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）具有履行合同所必需的设备和专业技术能力的证明材料；（自拟）</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szCs w:val="21"/>
              </w:rPr>
              <w:t>六个月</w:t>
            </w:r>
            <w:r>
              <w:rPr>
                <w:rFonts w:hint="eastAsia" w:asciiTheme="minorEastAsia" w:hAnsiTheme="minorEastAsia" w:eastAsiaTheme="minorEastAsia" w:cstheme="minorEastAsia"/>
                <w:szCs w:val="21"/>
                <w:lang w:val="zh-CN"/>
              </w:rPr>
              <w:t>以来</w:t>
            </w:r>
            <w:r>
              <w:rPr>
                <w:rFonts w:hint="eastAsia" w:asciiTheme="minorEastAsia" w:hAnsiTheme="minorEastAsia" w:eastAsiaTheme="minorEastAsia" w:cstheme="minorEastAsia"/>
                <w:szCs w:val="21"/>
              </w:rPr>
              <w:t>至少</w:t>
            </w:r>
            <w:r>
              <w:rPr>
                <w:rFonts w:hint="eastAsia" w:asciiTheme="minorEastAsia" w:hAnsiTheme="minorEastAsia" w:eastAsiaTheme="minorEastAsia" w:cstheme="minorEastAsia"/>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szCs w:val="21"/>
              </w:rPr>
              <w:t>六个月</w:t>
            </w:r>
            <w:r>
              <w:rPr>
                <w:rFonts w:hint="eastAsia" w:asciiTheme="minorEastAsia" w:hAnsiTheme="minorEastAsia" w:eastAsiaTheme="minorEastAsia" w:cstheme="minorEastAsia"/>
                <w:szCs w:val="21"/>
                <w:lang w:val="zh-CN"/>
              </w:rPr>
              <w:t>以来</w:t>
            </w:r>
            <w:r>
              <w:rPr>
                <w:rFonts w:hint="eastAsia" w:asciiTheme="minorEastAsia" w:hAnsiTheme="minorEastAsia" w:eastAsiaTheme="minorEastAsia" w:cstheme="minorEastAsia"/>
                <w:szCs w:val="21"/>
              </w:rPr>
              <w:t>至少</w:t>
            </w:r>
            <w:r>
              <w:rPr>
                <w:rFonts w:hint="eastAsia" w:asciiTheme="minorEastAsia" w:hAnsiTheme="minorEastAsia" w:eastAsiaTheme="minorEastAsia" w:cstheme="minorEastAsia"/>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w:t>
            </w:r>
            <w:r>
              <w:rPr>
                <w:rFonts w:hint="eastAsia" w:asciiTheme="minorEastAsia" w:hAnsiTheme="minorEastAsia" w:eastAsiaTheme="minorEastAsia" w:cstheme="minorEastAsia"/>
                <w:b/>
                <w:bCs/>
                <w:szCs w:val="21"/>
              </w:rPr>
              <w:t>6</w:t>
            </w:r>
            <w:r>
              <w:rPr>
                <w:rFonts w:hint="eastAsia" w:asciiTheme="minorEastAsia" w:hAnsiTheme="minorEastAsia" w:eastAsiaTheme="minorEastAsia" w:cstheme="minorEastAsia"/>
                <w:b/>
                <w:bCs/>
                <w:szCs w:val="21"/>
                <w:lang w:val="zh-CN"/>
              </w:rPr>
              <w:t>）符合本文件第一章第二款资格要求的所有证明资料。</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（1）响应文件纸质版：正本</w:t>
            </w:r>
            <w:r>
              <w:rPr>
                <w:rFonts w:hint="eastAsia" w:asciiTheme="minorEastAsia" w:hAnsiTheme="minorEastAsia" w:eastAsiaTheme="minorEastAsia" w:cstheme="minorEastAsia"/>
                <w:szCs w:val="21"/>
                <w:u w:val="single"/>
              </w:rPr>
              <w:t xml:space="preserve"> 壹 </w:t>
            </w:r>
            <w:r>
              <w:rPr>
                <w:rFonts w:hint="eastAsia" w:asciiTheme="minorEastAsia" w:hAnsiTheme="minorEastAsia" w:eastAsiaTheme="minorEastAsia" w:cstheme="minorEastAsia"/>
                <w:szCs w:val="21"/>
              </w:rPr>
              <w:t>份（需为彩色打印件），副本</w:t>
            </w:r>
            <w:r>
              <w:rPr>
                <w:rFonts w:hint="eastAsia" w:asciiTheme="minorEastAsia" w:hAnsiTheme="minorEastAsia" w:eastAsiaTheme="minorEastAsia" w:cstheme="minorEastAsia"/>
                <w:szCs w:val="21"/>
                <w:u w:val="single"/>
              </w:rPr>
              <w:t xml:space="preserve"> 贰 </w:t>
            </w:r>
            <w:r>
              <w:rPr>
                <w:rFonts w:hint="eastAsia" w:asciiTheme="minorEastAsia" w:hAnsiTheme="minorEastAsia" w:eastAsiaTheme="minorEastAsia" w:cstheme="minorEastAsia"/>
                <w:szCs w:val="21"/>
              </w:rPr>
              <w:t>份；</w:t>
            </w:r>
          </w:p>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（2）响应文件电子版：</w:t>
            </w:r>
          </w:p>
          <w:p>
            <w:pPr>
              <w:autoSpaceDE w:val="0"/>
              <w:autoSpaceDN w:val="0"/>
              <w:snapToGrid w:val="0"/>
              <w:rPr>
                <w:rFonts w:asciiTheme="minorEastAsia" w:hAnsiTheme="minorEastAsia" w:eastAsiaTheme="minorEastAsia" w:cstheme="minorEastAsia"/>
                <w:szCs w:val="21"/>
              </w:rPr>
            </w:pPr>
            <w:r>
              <w:rPr>
                <w:rFonts w:hint="eastAsia" w:ascii="宋体" w:hAnsi="宋体" w:cs="宋体"/>
                <w:szCs w:val="21"/>
              </w:rPr>
              <w:t>□</w:t>
            </w:r>
            <w:r>
              <w:rPr>
                <w:rFonts w:hint="eastAsia" w:asciiTheme="minorEastAsia" w:hAnsiTheme="minorEastAsia" w:eastAsiaTheme="minorEastAsia" w:cstheme="minorEastAsia"/>
                <w:szCs w:val="21"/>
              </w:rPr>
              <w:t>不要求</w:t>
            </w:r>
          </w:p>
          <w:p>
            <w:pPr>
              <w:autoSpaceDE w:val="0"/>
              <w:autoSpaceDN w:val="0"/>
              <w:snapToGrid w:val="0"/>
              <w:rPr>
                <w:rFonts w:asciiTheme="minorEastAsia" w:hAnsiTheme="minorEastAsia" w:eastAsiaTheme="minorEastAsia" w:cstheme="minorEastAsia"/>
                <w:szCs w:val="21"/>
                <w:u w:val="single"/>
              </w:rPr>
            </w:pPr>
            <w:r>
              <w:rPr>
                <w:rFonts w:hint="eastAsia" w:ascii="宋体" w:hAnsi="宋体" w:cs="宋体"/>
                <w:szCs w:val="21"/>
              </w:rPr>
              <w:t>☑</w:t>
            </w:r>
            <w:r>
              <w:rPr>
                <w:rFonts w:hint="eastAsia" w:asciiTheme="minorEastAsia" w:hAnsiTheme="minorEastAsia" w:eastAsiaTheme="minorEastAsia" w:cstheme="minorEastAsia"/>
                <w:szCs w:val="21"/>
              </w:rPr>
              <w:t>要求，响应文件电子版内容：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响应文件电子版格式：</w:t>
            </w:r>
            <w:r>
              <w:rPr>
                <w:rFonts w:hint="eastAsia" w:asciiTheme="minorEastAsia" w:hAnsiTheme="minorEastAsia" w:eastAsiaTheme="minorEastAsia" w:cstheme="minorEastAsia"/>
                <w:szCs w:val="21"/>
                <w:u w:val="single"/>
                <w:shd w:val="clear" w:color="auto" w:fill="FFFFFF"/>
              </w:rPr>
              <w:t>WORD格式和加</w:t>
            </w:r>
            <w:r>
              <w:rPr>
                <w:rFonts w:hint="eastAsia" w:asciiTheme="minorEastAsia" w:hAnsiTheme="minorEastAsia" w:eastAsiaTheme="minorEastAsia" w:cstheme="minorEastAsia"/>
                <w:szCs w:val="21"/>
                <w:u w:val="single"/>
              </w:rPr>
              <w:t>盖公章后的PDF扫描件格式；</w:t>
            </w:r>
          </w:p>
          <w:p>
            <w:pPr>
              <w:autoSpaceDE w:val="0"/>
              <w:autoSpaceDN w:val="0"/>
              <w:adjustRightInd w:val="0"/>
              <w:ind w:firstLine="840" w:firstLineChars="4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响应文件电子版形式：</w:t>
            </w:r>
            <w:r>
              <w:rPr>
                <w:rFonts w:hint="eastAsia" w:asciiTheme="minorEastAsia" w:hAnsiTheme="minorEastAsia" w:eastAsiaTheme="minorEastAsia" w:cstheme="minorEastAsia"/>
                <w:szCs w:val="21"/>
                <w:u w:val="single"/>
              </w:rPr>
              <w:t>U盘1份，需贴标签并注明公司名称；</w:t>
            </w:r>
          </w:p>
          <w:p>
            <w:pPr>
              <w:autoSpaceDE w:val="0"/>
              <w:autoSpaceDN w:val="0"/>
              <w:adjustRightInd w:val="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w:t>
            </w:r>
          </w:p>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纸质响应文件应采用胶粘方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both"/>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为磋商小组详细介绍供应商公司情况及项目了解情况的人员，</w:t>
            </w:r>
            <w:r>
              <w:rPr>
                <w:rFonts w:hint="eastAsia" w:asciiTheme="minorEastAsia" w:hAnsiTheme="minorEastAsia" w:eastAsiaTheme="minorEastAsia" w:cstheme="minorEastAsia"/>
                <w:b/>
                <w:bCs/>
                <w:szCs w:val="21"/>
                <w:lang w:val="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成交通知书的领取</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rPr>
                <w:rFonts w:asciiTheme="minorEastAsia" w:hAnsiTheme="minorEastAsia" w:cstheme="minorEastAsia"/>
                <w:szCs w:val="21"/>
                <w:highlight w:val="yellow"/>
              </w:rPr>
            </w:pPr>
            <w:r>
              <w:rPr>
                <w:rFonts w:ascii="宋体" w:hAnsi="宋体" w:cs="宋体"/>
                <w:b/>
                <w:bCs/>
                <w:szCs w:val="21"/>
                <w:highlight w:val="yellow"/>
              </w:rPr>
              <w:t>本项目</w:t>
            </w:r>
            <w:r>
              <w:rPr>
                <w:rFonts w:hint="eastAsia" w:ascii="宋体" w:hAnsi="宋体" w:cs="宋体"/>
                <w:b/>
                <w:bCs/>
                <w:szCs w:val="21"/>
                <w:highlight w:val="yellow"/>
              </w:rPr>
              <w:t>供应商</w:t>
            </w:r>
            <w:r>
              <w:rPr>
                <w:rFonts w:ascii="宋体" w:hAnsi="宋体" w:cs="宋体"/>
                <w:b/>
                <w:bCs/>
                <w:szCs w:val="21"/>
                <w:highlight w:val="yellow"/>
              </w:rPr>
              <w:t>针对</w:t>
            </w:r>
            <w:r>
              <w:rPr>
                <w:rFonts w:hint="eastAsia" w:ascii="宋体" w:hAnsi="宋体" w:cs="宋体"/>
                <w:b/>
                <w:bCs/>
                <w:szCs w:val="21"/>
                <w:highlight w:val="yellow"/>
              </w:rPr>
              <w:t>基本</w:t>
            </w:r>
            <w:r>
              <w:rPr>
                <w:rFonts w:ascii="宋体" w:hAnsi="宋体" w:cs="宋体"/>
                <w:b/>
                <w:bCs/>
                <w:szCs w:val="21"/>
                <w:highlight w:val="yellow"/>
              </w:rPr>
              <w:t>伙食和教</w:t>
            </w:r>
            <w:r>
              <w:rPr>
                <w:rFonts w:hint="eastAsia" w:ascii="宋体" w:hAnsi="宋体" w:cs="宋体"/>
                <w:b/>
                <w:bCs/>
                <w:szCs w:val="21"/>
                <w:highlight w:val="yellow"/>
              </w:rPr>
              <w:t>职</w:t>
            </w:r>
            <w:r>
              <w:rPr>
                <w:rFonts w:ascii="宋体" w:hAnsi="宋体" w:cs="宋体"/>
                <w:b/>
                <w:bCs/>
                <w:szCs w:val="21"/>
                <w:highlight w:val="yellow"/>
              </w:rPr>
              <w:t>工</w:t>
            </w:r>
            <w:r>
              <w:rPr>
                <w:rFonts w:hint="eastAsia" w:ascii="宋体" w:hAnsi="宋体" w:cs="宋体"/>
                <w:b/>
                <w:bCs/>
                <w:szCs w:val="21"/>
                <w:highlight w:val="yellow"/>
              </w:rPr>
              <w:t>供餐</w:t>
            </w:r>
            <w:r>
              <w:rPr>
                <w:rFonts w:ascii="宋体" w:hAnsi="宋体" w:cs="宋体"/>
                <w:b/>
                <w:bCs/>
                <w:szCs w:val="21"/>
                <w:highlight w:val="yellow"/>
              </w:rPr>
              <w:t>楼层</w:t>
            </w:r>
            <w:r>
              <w:rPr>
                <w:rFonts w:hint="eastAsia" w:ascii="宋体" w:hAnsi="宋体" w:cs="宋体"/>
                <w:b/>
                <w:bCs/>
                <w:szCs w:val="21"/>
                <w:highlight w:val="yellow"/>
              </w:rPr>
              <w:t>每月营业额提点比例、负一楼超市</w:t>
            </w:r>
            <w:r>
              <w:rPr>
                <w:rFonts w:ascii="宋体" w:hAnsi="宋体" w:cs="宋体"/>
                <w:b/>
                <w:bCs/>
                <w:szCs w:val="21"/>
                <w:highlight w:val="yellow"/>
              </w:rPr>
              <w:t>和其他楼层</w:t>
            </w:r>
            <w:r>
              <w:rPr>
                <w:rFonts w:hint="eastAsia" w:ascii="宋体" w:hAnsi="宋体" w:cs="宋体"/>
                <w:b/>
                <w:bCs/>
                <w:szCs w:val="21"/>
                <w:highlight w:val="yellow"/>
              </w:rPr>
              <w:t>合作经营收</w:t>
            </w:r>
            <w:r>
              <w:rPr>
                <w:rFonts w:hint="eastAsia" w:ascii="宋体" w:hAnsi="宋体" w:cs="宋体"/>
                <w:b/>
                <w:bCs/>
                <w:color w:val="000000" w:themeColor="text1"/>
                <w:szCs w:val="21"/>
                <w:highlight w:val="yellow"/>
                <w14:textFill>
                  <w14:solidFill>
                    <w14:schemeClr w14:val="tx1"/>
                  </w14:solidFill>
                </w14:textFill>
              </w:rPr>
              <w:t>益、改</w:t>
            </w:r>
            <w:r>
              <w:rPr>
                <w:rFonts w:hint="eastAsia" w:ascii="宋体" w:hAnsi="宋体" w:cs="宋体"/>
                <w:b/>
                <w:bCs/>
                <w:szCs w:val="21"/>
                <w:highlight w:val="yellow"/>
              </w:rPr>
              <w:t>造经费三部分</w:t>
            </w:r>
            <w:r>
              <w:rPr>
                <w:rFonts w:ascii="宋体" w:hAnsi="宋体" w:cs="宋体"/>
                <w:b/>
                <w:bCs/>
                <w:szCs w:val="21"/>
                <w:highlight w:val="yellow"/>
              </w:rPr>
              <w:t>进行报价</w:t>
            </w:r>
            <w:r>
              <w:rPr>
                <w:rFonts w:hint="eastAsia" w:ascii="宋体" w:hAnsi="宋体" w:cs="宋体"/>
                <w:b/>
                <w:bCs/>
                <w:szCs w:val="21"/>
                <w:highlight w:val="yellow"/>
              </w:rPr>
              <w:t>。基本伙食</w:t>
            </w:r>
            <w:r>
              <w:rPr>
                <w:rFonts w:ascii="宋体" w:hAnsi="宋体" w:cs="宋体"/>
                <w:b/>
                <w:bCs/>
                <w:szCs w:val="21"/>
                <w:highlight w:val="yellow"/>
              </w:rPr>
              <w:t>和教职工供餐楼层</w:t>
            </w:r>
            <w:r>
              <w:rPr>
                <w:rFonts w:hint="eastAsia" w:ascii="宋体" w:hAnsi="宋体" w:cs="宋体"/>
                <w:b/>
                <w:bCs/>
                <w:szCs w:val="21"/>
                <w:highlight w:val="yellow"/>
              </w:rPr>
              <w:t>每月营业额提点比例报价区间为营业额的8%-</w:t>
            </w:r>
            <w:r>
              <w:rPr>
                <w:rFonts w:ascii="宋体" w:hAnsi="宋体" w:cs="宋体"/>
                <w:b/>
                <w:bCs/>
                <w:szCs w:val="21"/>
                <w:highlight w:val="yellow"/>
              </w:rPr>
              <w:t>10</w:t>
            </w:r>
            <w:r>
              <w:rPr>
                <w:rFonts w:hint="eastAsia" w:ascii="宋体" w:hAnsi="宋体" w:cs="宋体"/>
                <w:b/>
                <w:bCs/>
                <w:szCs w:val="21"/>
                <w:highlight w:val="yellow"/>
              </w:rPr>
              <w:t>%</w:t>
            </w:r>
            <w:r>
              <w:rPr>
                <w:rFonts w:ascii="宋体" w:hAnsi="宋体" w:cs="宋体"/>
                <w:b/>
                <w:bCs/>
                <w:szCs w:val="21"/>
                <w:highlight w:val="yellow"/>
              </w:rPr>
              <w:t>/</w:t>
            </w:r>
            <w:r>
              <w:rPr>
                <w:rFonts w:hint="eastAsia" w:ascii="宋体" w:hAnsi="宋体" w:cs="宋体"/>
                <w:b/>
                <w:bCs/>
                <w:szCs w:val="21"/>
                <w:highlight w:val="yellow"/>
              </w:rPr>
              <w:t>每月，负一楼超市</w:t>
            </w:r>
            <w:r>
              <w:rPr>
                <w:rFonts w:ascii="宋体" w:hAnsi="宋体" w:cs="宋体"/>
                <w:b/>
                <w:bCs/>
                <w:szCs w:val="21"/>
                <w:highlight w:val="yellow"/>
              </w:rPr>
              <w:t>和其他楼层</w:t>
            </w:r>
            <w:r>
              <w:rPr>
                <w:rFonts w:hint="eastAsia" w:ascii="宋体" w:hAnsi="宋体" w:cs="宋体"/>
                <w:b/>
                <w:bCs/>
                <w:szCs w:val="21"/>
                <w:highlight w:val="yellow"/>
              </w:rPr>
              <w:t>合作经营收益报价不低于180万元/年，请供应商综合分析进行严谨的成本测算后合理报价。</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本项目</w:t>
            </w:r>
            <w:r>
              <w:rPr>
                <w:rFonts w:hint="eastAsia" w:asciiTheme="minorEastAsia" w:hAnsiTheme="minorEastAsia" w:eastAsiaTheme="minorEastAsia" w:cstheme="minorEastAsia"/>
                <w:szCs w:val="21"/>
              </w:rPr>
              <w:t>竞标</w:t>
            </w:r>
            <w:r>
              <w:rPr>
                <w:rFonts w:hint="eastAsia" w:asciiTheme="minorEastAsia" w:hAnsiTheme="minorEastAsia" w:eastAsiaTheme="minorEastAsia" w:cstheme="minorEastAsia"/>
                <w:szCs w:val="21"/>
                <w:lang w:val="zh-CN"/>
              </w:rPr>
              <w:t>报价为“交钥匙”价。竞标报价应包括完成该</w:t>
            </w:r>
            <w:r>
              <w:rPr>
                <w:rFonts w:hint="eastAsia" w:asciiTheme="minorEastAsia" w:hAnsiTheme="minorEastAsia" w:eastAsiaTheme="minorEastAsia" w:cstheme="minorEastAsia"/>
                <w:szCs w:val="21"/>
              </w:rPr>
              <w:t>项目采购范围内的所有费用</w:t>
            </w:r>
            <w:r>
              <w:rPr>
                <w:rFonts w:hint="eastAsia" w:asciiTheme="minorEastAsia" w:hAnsiTheme="minorEastAsia" w:eastAsiaTheme="minorEastAsia" w:cstheme="minorEastAsia"/>
                <w:szCs w:val="21"/>
                <w:lang w:val="zh-CN"/>
              </w:rPr>
              <w:t>及</w:t>
            </w:r>
            <w:r>
              <w:rPr>
                <w:rFonts w:hint="eastAsia" w:asciiTheme="minorEastAsia" w:hAnsiTheme="minorEastAsia" w:eastAsiaTheme="minorEastAsia" w:cstheme="minorEastAsia"/>
                <w:szCs w:val="21"/>
              </w:rPr>
              <w:t>后期</w:t>
            </w:r>
            <w:r>
              <w:rPr>
                <w:rFonts w:hint="eastAsia" w:asciiTheme="minorEastAsia" w:hAnsiTheme="minorEastAsia" w:eastAsiaTheme="minorEastAsia" w:cstheme="minorEastAsia"/>
                <w:szCs w:val="21"/>
                <w:lang w:val="zh-CN"/>
              </w:rPr>
              <w:t>质保期间等一切服务费用及其他售后服务等全部相关工作</w:t>
            </w:r>
            <w:r>
              <w:rPr>
                <w:rFonts w:hint="eastAsia" w:asciiTheme="minorEastAsia" w:hAnsiTheme="minorEastAsia" w:eastAsiaTheme="minorEastAsia" w:cstheme="minorEastAsia"/>
                <w:szCs w:val="21"/>
              </w:rPr>
              <w:t>的全费用</w:t>
            </w:r>
            <w:r>
              <w:rPr>
                <w:rFonts w:hint="eastAsia" w:asciiTheme="minorEastAsia" w:hAnsiTheme="minorEastAsia" w:eastAsiaTheme="minorEastAsia" w:cstheme="minorEastAsia"/>
                <w:szCs w:val="21"/>
                <w:lang w:val="zh-CN"/>
              </w:rPr>
              <w:t>。合同签订后采购人未提出增加工作内容的情况下，合同价不得调整。</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各供应商按此要求进行报价，同时在合同实施过程中还将发生的其它费用</w:t>
            </w:r>
            <w:r>
              <w:rPr>
                <w:rFonts w:hint="eastAsia" w:asciiTheme="minorEastAsia" w:hAnsiTheme="minorEastAsia" w:eastAsiaTheme="minorEastAsia" w:cstheme="minorEastAsia"/>
                <w:szCs w:val="21"/>
              </w:rPr>
              <w:t>也</w:t>
            </w:r>
            <w:r>
              <w:rPr>
                <w:rFonts w:hint="eastAsia" w:asciiTheme="minorEastAsia" w:hAnsiTheme="minorEastAsia" w:eastAsiaTheme="minorEastAsia" w:cstheme="minorEastAsia"/>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概不负责。</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对于</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文件未列明，而</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供应商认为</w:t>
            </w:r>
            <w:r>
              <w:rPr>
                <w:rFonts w:hint="eastAsia" w:asciiTheme="minorEastAsia" w:hAnsiTheme="minorEastAsia" w:eastAsiaTheme="minorEastAsia" w:cstheme="minorEastAsia"/>
                <w:szCs w:val="21"/>
              </w:rPr>
              <w:t>必须</w:t>
            </w:r>
            <w:r>
              <w:rPr>
                <w:rFonts w:hint="eastAsia" w:asciiTheme="minorEastAsia" w:hAnsiTheme="minorEastAsia" w:eastAsiaTheme="minorEastAsia" w:cstheme="minorEastAsia"/>
                <w:szCs w:val="21"/>
                <w:lang w:val="zh-CN"/>
              </w:rPr>
              <w:t>的费用也需列入总报价。在合同实施时，采购人将不予支付</w:t>
            </w:r>
            <w:r>
              <w:rPr>
                <w:rFonts w:hint="eastAsia" w:asciiTheme="minorEastAsia" w:hAnsiTheme="minorEastAsia" w:eastAsiaTheme="minorEastAsia" w:cstheme="minorEastAsia"/>
                <w:szCs w:val="21"/>
              </w:rPr>
              <w:t>成交</w:t>
            </w:r>
            <w:r>
              <w:rPr>
                <w:rFonts w:hint="eastAsia" w:asciiTheme="minorEastAsia" w:hAnsiTheme="minorEastAsia" w:eastAsiaTheme="minorEastAsia" w:cstheme="minorEastAsia"/>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31" w:beforeLines="10" w:after="31" w:afterLines="10"/>
              <w:ind w:right="21" w:rightChars="10"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31" w:beforeLines="10" w:after="31" w:afterLines="10"/>
              <w:ind w:right="21" w:rightChars="10"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6130"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中标人中标后须提交的</w:t>
            </w:r>
            <w:r>
              <w:rPr>
                <w:rFonts w:asciiTheme="minorEastAsia" w:hAnsiTheme="minorEastAsia" w:eastAsiaTheme="minorEastAsia" w:cstheme="minorEastAsia"/>
                <w:szCs w:val="21"/>
              </w:rPr>
              <w:t>纸质投标文件</w:t>
            </w:r>
            <w:r>
              <w:rPr>
                <w:rFonts w:hint="eastAsia" w:asciiTheme="minorEastAsia" w:hAnsiTheme="minorEastAsia" w:eastAsiaTheme="minorEastAsia" w:cstheme="minorEastAsia"/>
                <w:szCs w:val="21"/>
              </w:rPr>
              <w:t>：2份（应当与投标当天的投标文件内容一致，内容不一致导致的后果，由中标人自行负责。）</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28" w:name="_Toc25973"/>
      <w:r>
        <w:rPr>
          <w:rFonts w:hint="eastAsia" w:asciiTheme="minorEastAsia" w:hAnsiTheme="minorEastAsia" w:eastAsiaTheme="minorEastAsia" w:cstheme="minorEastAsia"/>
          <w:b/>
          <w:szCs w:val="21"/>
        </w:rPr>
        <w:t>供应商须知</w:t>
      </w:r>
      <w:bookmarkEnd w:id="28"/>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9" w:name="_Toc3202"/>
      <w:r>
        <w:rPr>
          <w:rFonts w:hint="eastAsia" w:asciiTheme="minorEastAsia" w:hAnsiTheme="minorEastAsia" w:eastAsiaTheme="minorEastAsia" w:cstheme="minorEastAsia"/>
          <w:b/>
          <w:szCs w:val="21"/>
        </w:rPr>
        <w:t>总则</w:t>
      </w:r>
      <w:bookmarkEnd w:id="29"/>
    </w:p>
    <w:p>
      <w:pPr>
        <w:numPr>
          <w:ilvl w:val="0"/>
          <w:numId w:val="9"/>
        </w:numPr>
        <w:spacing w:line="360" w:lineRule="auto"/>
        <w:ind w:hanging="540"/>
        <w:outlineLvl w:val="1"/>
        <w:rPr>
          <w:rFonts w:asciiTheme="minorEastAsia" w:hAnsiTheme="minorEastAsia" w:eastAsiaTheme="minorEastAsia" w:cstheme="minorEastAsia"/>
          <w:b/>
          <w:szCs w:val="21"/>
        </w:rPr>
      </w:pPr>
      <w:bookmarkStart w:id="30" w:name="_Toc27243"/>
      <w:bookmarkStart w:id="31" w:name="_Toc991"/>
      <w:r>
        <w:rPr>
          <w:rFonts w:hint="eastAsia" w:asciiTheme="minorEastAsia" w:hAnsiTheme="minorEastAsia" w:eastAsiaTheme="minorEastAsia" w:cstheme="minorEastAsia"/>
          <w:b/>
          <w:szCs w:val="21"/>
        </w:rPr>
        <w:t>适用法律及范围</w:t>
      </w:r>
      <w:bookmarkEnd w:id="30"/>
      <w:bookmarkEnd w:id="31"/>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32" w:name="_Toc30547"/>
      <w:bookmarkStart w:id="33" w:name="_Toc15980"/>
      <w:r>
        <w:rPr>
          <w:rFonts w:hint="eastAsia" w:asciiTheme="minorEastAsia" w:hAnsiTheme="minorEastAsia" w:eastAsiaTheme="minorEastAsia" w:cstheme="minorEastAsia"/>
          <w:b/>
          <w:szCs w:val="21"/>
        </w:rPr>
        <w:t>定义</w:t>
      </w:r>
      <w:bookmarkEnd w:id="32"/>
      <w:bookmarkEnd w:id="33"/>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34" w:name="_Toc14920"/>
      <w:bookmarkStart w:id="35" w:name="_Toc30503"/>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asciiTheme="minorEastAsia" w:hAnsiTheme="minorEastAsia" w:eastAsiaTheme="minorEastAsia" w:cstheme="minorEastAsia"/>
          <w:b/>
          <w:szCs w:val="21"/>
        </w:rPr>
      </w:pPr>
      <w:bookmarkStart w:id="36" w:name="_Toc9974"/>
      <w:bookmarkStart w:id="37" w:name="_Toc23518"/>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100---500：400×0.800％=32000.000元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500---1000：500×0.450％=22500.000元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1000---5000：4000×0.250％=100000.000元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5000---6000：1000×0.100％=10000.000元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合计收费=179500.000元</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8" w:name="_Toc12432"/>
      <w:r>
        <w:rPr>
          <w:rFonts w:hint="eastAsia" w:asciiTheme="minorEastAsia" w:hAnsiTheme="minorEastAsia" w:eastAsiaTheme="minorEastAsia" w:cstheme="minorEastAsia"/>
          <w:b/>
          <w:szCs w:val="21"/>
        </w:rPr>
        <w:t>竞争性磋商采购文件</w:t>
      </w:r>
      <w:bookmarkEnd w:id="38"/>
    </w:p>
    <w:p>
      <w:pPr>
        <w:numPr>
          <w:ilvl w:val="0"/>
          <w:numId w:val="9"/>
        </w:numPr>
        <w:spacing w:line="360" w:lineRule="auto"/>
        <w:ind w:hanging="540"/>
        <w:outlineLvl w:val="1"/>
        <w:rPr>
          <w:rFonts w:asciiTheme="minorEastAsia" w:hAnsiTheme="minorEastAsia" w:eastAsiaTheme="minorEastAsia" w:cstheme="minorEastAsia"/>
          <w:b/>
          <w:szCs w:val="21"/>
        </w:rPr>
      </w:pPr>
      <w:bookmarkStart w:id="39" w:name="_Toc23375"/>
      <w:bookmarkStart w:id="40" w:name="_Toc4547"/>
      <w:r>
        <w:rPr>
          <w:rFonts w:hint="eastAsia" w:asciiTheme="minorEastAsia" w:hAnsiTheme="minorEastAsia" w:eastAsiaTheme="minorEastAsia" w:cstheme="minorEastAsia"/>
          <w:b/>
          <w:szCs w:val="21"/>
        </w:rPr>
        <w:t>竞争性磋商采购文件的构成</w:t>
      </w:r>
      <w:bookmarkEnd w:id="39"/>
      <w:bookmarkEnd w:id="40"/>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41" w:name="_Toc8450"/>
      <w:bookmarkStart w:id="42" w:name="_Toc29700"/>
      <w:r>
        <w:rPr>
          <w:rFonts w:hint="eastAsia" w:asciiTheme="minorEastAsia" w:hAnsiTheme="minorEastAsia" w:eastAsiaTheme="minorEastAsia" w:cstheme="minorEastAsia"/>
          <w:b/>
          <w:snapToGrid w:val="0"/>
          <w:kern w:val="0"/>
          <w:szCs w:val="21"/>
          <w:lang w:val="zh-CN"/>
        </w:rPr>
        <w:t>竞争性磋商采购文件的澄清</w:t>
      </w:r>
      <w:bookmarkEnd w:id="41"/>
      <w:bookmarkEnd w:id="42"/>
    </w:p>
    <w:p>
      <w:pPr>
        <w:numPr>
          <w:ilvl w:val="1"/>
          <w:numId w:val="15"/>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43" w:name="_Toc31761"/>
      <w:bookmarkStart w:id="44" w:name="_Toc31945"/>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6"/>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5" w:name="_Toc9922"/>
      <w:r>
        <w:rPr>
          <w:rFonts w:hint="eastAsia" w:asciiTheme="minorEastAsia" w:hAnsiTheme="minorEastAsia" w:eastAsiaTheme="minorEastAsia" w:cstheme="minorEastAsia"/>
          <w:b/>
          <w:szCs w:val="21"/>
        </w:rPr>
        <w:t>竞争性磋商响应文件</w:t>
      </w:r>
      <w:bookmarkEnd w:id="45"/>
    </w:p>
    <w:p>
      <w:pPr>
        <w:numPr>
          <w:ilvl w:val="0"/>
          <w:numId w:val="9"/>
        </w:numPr>
        <w:spacing w:line="360" w:lineRule="auto"/>
        <w:ind w:hanging="540"/>
        <w:outlineLvl w:val="1"/>
        <w:rPr>
          <w:rFonts w:asciiTheme="minorEastAsia" w:hAnsiTheme="minorEastAsia" w:eastAsiaTheme="minorEastAsia" w:cstheme="minorEastAsia"/>
          <w:snapToGrid w:val="0"/>
          <w:kern w:val="0"/>
          <w:szCs w:val="21"/>
          <w:lang w:val="zh-CN"/>
        </w:rPr>
      </w:pPr>
      <w:bookmarkStart w:id="46" w:name="_Toc30987"/>
      <w:bookmarkStart w:id="47" w:name="_Toc25882"/>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48" w:name="_Toc22715"/>
      <w:bookmarkStart w:id="49" w:name="_Toc32272"/>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18"/>
        </w:numPr>
        <w:tabs>
          <w:tab w:val="left" w:pos="525"/>
          <w:tab w:val="clear" w:pos="360"/>
        </w:tabs>
        <w:autoSpaceDE w:val="0"/>
        <w:autoSpaceDN w:val="0"/>
        <w:adjustRightInd w:val="0"/>
        <w:spacing w:line="360" w:lineRule="auto"/>
        <w:ind w:left="0" w:firstLine="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50" w:name="_Toc25217"/>
      <w:bookmarkStart w:id="51" w:name="_Toc1932"/>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19"/>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asciiTheme="minorEastAsia" w:hAnsiTheme="minorEastAsia" w:eastAsiaTheme="minorEastAsia" w:cstheme="minorEastAsia"/>
          <w:b/>
          <w:snapToGrid w:val="0"/>
          <w:kern w:val="0"/>
          <w:szCs w:val="21"/>
          <w:lang w:val="zh-CN"/>
        </w:rPr>
      </w:pPr>
      <w:bookmarkStart w:id="52" w:name="_Toc24544"/>
      <w:bookmarkStart w:id="53" w:name="_Toc23791"/>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4" w:name="_Toc31346"/>
      <w:bookmarkStart w:id="55" w:name="_Toc6176"/>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1"/>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6" w:name="_Toc16214"/>
      <w:bookmarkStart w:id="57" w:name="_Toc3324"/>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2"/>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8" w:name="_Toc29964"/>
      <w:bookmarkStart w:id="59" w:name="_Toc243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3"/>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0" w:name="_Toc28853"/>
      <w:bookmarkStart w:id="61"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5"/>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2" w:name="_Toc27068"/>
      <w:bookmarkStart w:id="63" w:name="_Toc27020"/>
      <w:r>
        <w:rPr>
          <w:rFonts w:hint="eastAsia" w:asciiTheme="minorEastAsia" w:hAnsiTheme="minorEastAsia" w:eastAsiaTheme="minorEastAsia" w:cstheme="minorEastAsia"/>
          <w:b/>
          <w:snapToGrid w:val="0"/>
          <w:kern w:val="0"/>
          <w:szCs w:val="21"/>
          <w:lang w:val="zh-CN"/>
        </w:rPr>
        <w:t>磋商保证金</w:t>
      </w:r>
      <w:bookmarkEnd w:id="62"/>
      <w:bookmarkEnd w:id="63"/>
    </w:p>
    <w:p>
      <w:pPr>
        <w:numPr>
          <w:ilvl w:val="1"/>
          <w:numId w:val="26"/>
        </w:numPr>
        <w:tabs>
          <w:tab w:val="left" w:pos="54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4" w:name="_Toc13575"/>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28"/>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6" w:name="_Toc1090"/>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。本次磋商供应商提交响应文件正、副本和电子文档的数量见《供应商须知前附表》。</w:t>
      </w:r>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8" w:name="_Toc18044"/>
      <w:r>
        <w:rPr>
          <w:rFonts w:hint="eastAsia" w:asciiTheme="minorEastAsia" w:hAnsiTheme="minorEastAsia" w:eastAsiaTheme="minorEastAsia" w:cstheme="minorEastAsia"/>
          <w:b/>
          <w:szCs w:val="21"/>
        </w:rPr>
        <w:t>竞争性磋商响应文件的递交</w:t>
      </w:r>
      <w:bookmarkEnd w:id="68"/>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9" w:name="_Toc24895"/>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0"/>
        </w:numPr>
        <w:tabs>
          <w:tab w:val="left" w:pos="540"/>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w:t>
      </w:r>
      <w:r>
        <w:rPr>
          <w:rFonts w:hint="eastAsia" w:asciiTheme="minorEastAsia" w:hAnsiTheme="minorEastAsia" w:eastAsiaTheme="minorEastAsia" w:cstheme="minorEastAsia"/>
          <w:snapToGrid w:val="0"/>
          <w:kern w:val="0"/>
          <w:szCs w:val="21"/>
        </w:rPr>
        <w:t>是否</w:t>
      </w:r>
      <w:r>
        <w:rPr>
          <w:rFonts w:hint="eastAsia" w:asciiTheme="minorEastAsia" w:hAnsiTheme="minorEastAsia" w:eastAsiaTheme="minorEastAsia" w:cstheme="minorEastAsia"/>
          <w:snapToGrid w:val="0"/>
          <w:kern w:val="0"/>
          <w:szCs w:val="21"/>
          <w:lang w:val="zh-CN"/>
        </w:rPr>
        <w:t>在样品上标明磋商供应商名称，有关提交及退还样品的相关规定。见《供应商须知前附表》。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1" w:name="_Toc22803"/>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tabs>
          <w:tab w:val="left" w:pos="540"/>
        </w:tabs>
        <w:autoSpaceDE w:val="0"/>
        <w:autoSpaceDN w:val="0"/>
        <w:adjustRightInd w:val="0"/>
        <w:spacing w:line="360" w:lineRule="auto"/>
        <w:ind w:left="617" w:hanging="617" w:hangingChars="294"/>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3" w:name="_Toc5099"/>
      <w:bookmarkStart w:id="74" w:name="_Toc31376"/>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numPr>
          <w:ilvl w:val="1"/>
          <w:numId w:val="31"/>
        </w:numPr>
        <w:tabs>
          <w:tab w:val="left" w:pos="540"/>
          <w:tab w:val="clear" w:pos="480"/>
        </w:tabs>
        <w:autoSpaceDE w:val="0"/>
        <w:autoSpaceDN w:val="0"/>
        <w:adjustRightInd w:val="0"/>
        <w:spacing w:line="360" w:lineRule="auto"/>
        <w:ind w:left="539" w:hanging="539"/>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5" w:name="_Toc31760"/>
      <w:bookmarkStart w:id="76" w:name="_Toc19545"/>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2"/>
        </w:numPr>
        <w:tabs>
          <w:tab w:val="left" w:pos="54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2"/>
        </w:numPr>
        <w:tabs>
          <w:tab w:val="left" w:pos="540"/>
        </w:tabs>
        <w:autoSpaceDE w:val="0"/>
        <w:autoSpaceDN w:val="0"/>
        <w:adjustRightInd w:val="0"/>
        <w:spacing w:line="360" w:lineRule="auto"/>
        <w:ind w:left="539" w:hanging="539"/>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7" w:name="_Toc14430"/>
      <w:r>
        <w:rPr>
          <w:rFonts w:hint="eastAsia" w:asciiTheme="minorEastAsia" w:hAnsiTheme="minorEastAsia" w:eastAsiaTheme="minorEastAsia" w:cstheme="minorEastAsia"/>
          <w:b/>
          <w:szCs w:val="21"/>
        </w:rPr>
        <w:t>磋商程序及步骤</w:t>
      </w:r>
      <w:bookmarkEnd w:id="77"/>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8" w:name="_Toc983"/>
      <w:bookmarkStart w:id="79" w:name="_Toc22624"/>
      <w:r>
        <w:rPr>
          <w:rFonts w:hint="eastAsia" w:asciiTheme="minorEastAsia" w:hAnsiTheme="minorEastAsia" w:eastAsiaTheme="minorEastAsia" w:cstheme="minorEastAsia"/>
          <w:b/>
        </w:rPr>
        <w:t>竞争性磋商小组</w:t>
      </w:r>
      <w:bookmarkEnd w:id="78"/>
      <w:bookmarkEnd w:id="79"/>
    </w:p>
    <w:p>
      <w:pPr>
        <w:tabs>
          <w:tab w:val="left" w:pos="540"/>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rPr>
        <w:t>3</w:t>
      </w:r>
      <w:r>
        <w:rPr>
          <w:rFonts w:hint="eastAsia" w:asciiTheme="minorEastAsia" w:hAnsiTheme="minorEastAsia" w:eastAsiaTheme="minorEastAsia" w:cstheme="minorEastAsia"/>
          <w:snapToGrid w:val="0"/>
          <w:kern w:val="0"/>
          <w:szCs w:val="21"/>
          <w:lang w:val="zh-CN"/>
        </w:rPr>
        <w:t>人以上单数组成。磋商小组人数详见《供应商须知前附表》。</w:t>
      </w:r>
    </w:p>
    <w:p>
      <w:pPr>
        <w:tabs>
          <w:tab w:val="left" w:pos="540"/>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23.2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 xml:space="preserve">磋商小组中的评审专家人数不少于磋商小组成员总数的2/3。除本采购文件另有规定，评审专家将从政府采购评审专家库中随机抽取。 </w:t>
      </w:r>
    </w:p>
    <w:p>
      <w:pPr>
        <w:tabs>
          <w:tab w:val="left" w:pos="540"/>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23.3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磋商小组所有成员按事先抽取的磋商顺序，集中与单一供应商分别进行磋商，并给予所有参</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加磋商的供应商平等的磋商机会。</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0" w:name="_Toc17537"/>
      <w:bookmarkStart w:id="81" w:name="_Toc21483"/>
      <w:r>
        <w:rPr>
          <w:rFonts w:hint="eastAsia" w:asciiTheme="minorEastAsia" w:hAnsiTheme="minorEastAsia" w:eastAsiaTheme="minorEastAsia" w:cstheme="minorEastAsia"/>
          <w:b/>
        </w:rPr>
        <w:t>磋商代表</w:t>
      </w:r>
      <w:bookmarkEnd w:id="80"/>
      <w:bookmarkEnd w:id="81"/>
    </w:p>
    <w:p>
      <w:pPr>
        <w:tabs>
          <w:tab w:val="left" w:pos="864"/>
          <w:tab w:val="left" w:pos="1080"/>
        </w:tabs>
        <w:spacing w:line="360" w:lineRule="auto"/>
        <w:ind w:left="632" w:hanging="632" w:hangingChars="300"/>
        <w:rPr>
          <w:rFonts w:asciiTheme="minorEastAsia" w:hAnsiTheme="minorEastAsia" w:eastAsiaTheme="minorEastAsia" w:cstheme="minorEastAsia"/>
          <w:szCs w:val="21"/>
        </w:rPr>
      </w:pPr>
      <w:bookmarkStart w:id="82" w:name="_Toc9967"/>
      <w:bookmarkStart w:id="83"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rPr>
        <w:t>磋商代表的其他要求见《供应商须知前附表》。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25650"/>
      <w:r>
        <w:rPr>
          <w:rFonts w:hint="eastAsia" w:asciiTheme="minorEastAsia" w:hAnsiTheme="minorEastAsia" w:eastAsiaTheme="minorEastAsia" w:cstheme="minorEastAsia"/>
          <w:b/>
        </w:rPr>
        <w:t>资格审查和符合性审查</w:t>
      </w:r>
      <w:bookmarkEnd w:id="84"/>
    </w:p>
    <w:p>
      <w:pPr>
        <w:spacing w:line="360" w:lineRule="auto"/>
        <w:ind w:left="63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  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85" w:name="_Toc16196"/>
      <w:r>
        <w:rPr>
          <w:rFonts w:hint="eastAsia" w:asciiTheme="minorEastAsia" w:hAnsiTheme="minorEastAsia" w:eastAsiaTheme="minorEastAsia" w:cstheme="minorEastAsia"/>
          <w:b/>
        </w:rPr>
        <w:t>磋商</w:t>
      </w:r>
      <w:bookmarkEnd w:id="85"/>
    </w:p>
    <w:p>
      <w:pPr>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szCs w:val="21"/>
        </w:rPr>
        <w:t>26.1  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26.2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26.3  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w:t>
      </w:r>
      <w:r>
        <w:rPr>
          <w:rFonts w:hint="eastAsia" w:asciiTheme="minorEastAsia" w:hAnsiTheme="minorEastAsia" w:eastAsiaTheme="minorEastAsia" w:cstheme="minorEastAsia"/>
        </w:rPr>
        <w:t>的，以重新提交的响应文件为准。不按要求签署或逾时不提交响应文件的，视同放弃磋商，放弃磋商的供应商的磋商保证金将在成交通知书发放后的五个工作日内退还。</w:t>
      </w:r>
    </w:p>
    <w:p>
      <w:pPr>
        <w:spacing w:line="360" w:lineRule="auto"/>
        <w:ind w:left="63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  竞标报价有算术错误的，磋商小组按照以下原则对竞标报价进行修正，修正的价格经供应商书面确认后具有约束力。供应商不接受修正价格的，磋商小组应当否决其竞标。</w:t>
      </w:r>
    </w:p>
    <w:p>
      <w:pPr>
        <w:spacing w:line="360" w:lineRule="auto"/>
        <w:ind w:left="63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（1）响应文件中的大写金额与小写金额不一致的，以大写金额为准；</w:t>
      </w:r>
    </w:p>
    <w:p>
      <w:pPr>
        <w:spacing w:line="360" w:lineRule="auto"/>
        <w:ind w:left="63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（2）总价金额与根据单价计算出的结果不一致的，以单价金额为准修正总价，但单价金额小数点有明显错误的除外。</w:t>
      </w:r>
    </w:p>
    <w:p>
      <w:pPr>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26.5  最后报价</w:t>
      </w:r>
    </w:p>
    <w:p>
      <w:pPr>
        <w:spacing w:line="360" w:lineRule="auto"/>
        <w:ind w:left="630" w:leftChars="300" w:firstLine="210" w:firstLineChars="100"/>
        <w:rPr>
          <w:rFonts w:asciiTheme="minorEastAsia" w:hAnsiTheme="minorEastAsia" w:eastAsiaTheme="minorEastAsia" w:cstheme="minorEastAsia"/>
        </w:rPr>
      </w:pPr>
      <w:r>
        <w:rPr>
          <w:rFonts w:hint="eastAsia" w:asciiTheme="minorEastAsia" w:hAnsiTheme="minorEastAsia" w:eastAsiaTheme="minorEastAsia" w:cstheme="minorEastAsia"/>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spacing w:line="360" w:lineRule="auto"/>
        <w:ind w:left="630" w:leftChars="300"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磋商文件能够详细列明采购标的技术、服务要求的，磋商结束后，磋商小组应当要求所有继续参加磋商的供应商在规定时间内提交最后报价，提交最后报价的供应商不得少于3家。</w:t>
      </w:r>
    </w:p>
    <w:p>
      <w:pPr>
        <w:spacing w:line="360" w:lineRule="auto"/>
        <w:ind w:left="630" w:leftChars="300"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left="630" w:leftChars="300"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26.6  </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ind w:left="630" w:hanging="630" w:hangingChars="300"/>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26.7</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26.8  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6" w:name="_Toc8716"/>
      <w:r>
        <w:rPr>
          <w:rFonts w:hint="eastAsia" w:asciiTheme="minorEastAsia" w:hAnsiTheme="minorEastAsia" w:eastAsiaTheme="minorEastAsia" w:cstheme="minorEastAsia"/>
          <w:b/>
          <w:lang w:val="zh-CN"/>
        </w:rPr>
        <w:t>保密</w:t>
      </w:r>
      <w:bookmarkEnd w:id="86"/>
    </w:p>
    <w:p>
      <w:pPr>
        <w:numPr>
          <w:ilvl w:val="1"/>
          <w:numId w:val="33"/>
        </w:numPr>
        <w:autoSpaceDE w:val="0"/>
        <w:autoSpaceDN w:val="0"/>
        <w:adjustRightInd w:val="0"/>
        <w:spacing w:line="360" w:lineRule="auto"/>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3"/>
        </w:numPr>
        <w:autoSpaceDE w:val="0"/>
        <w:autoSpaceDN w:val="0"/>
        <w:adjustRightInd w:val="0"/>
        <w:spacing w:line="360" w:lineRule="auto"/>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3"/>
        </w:numPr>
        <w:autoSpaceDE w:val="0"/>
        <w:autoSpaceDN w:val="0"/>
        <w:adjustRightInd w:val="0"/>
        <w:spacing w:line="360" w:lineRule="auto"/>
        <w:rPr>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7" w:name="_Toc30313"/>
      <w:r>
        <w:rPr>
          <w:rFonts w:hint="eastAsia" w:asciiTheme="minorEastAsia" w:hAnsiTheme="minorEastAsia" w:eastAsiaTheme="minorEastAsia" w:cstheme="minorEastAsia"/>
          <w:b/>
          <w:szCs w:val="21"/>
        </w:rPr>
        <w:t>成交与签订合同</w:t>
      </w:r>
      <w:bookmarkEnd w:id="87"/>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14627"/>
      <w:r>
        <w:rPr>
          <w:rFonts w:hint="eastAsia" w:asciiTheme="minorEastAsia" w:hAnsiTheme="minorEastAsia" w:eastAsiaTheme="minorEastAsia" w:cstheme="minorEastAsia"/>
          <w:b/>
          <w:lang w:val="zh-CN"/>
        </w:rPr>
        <w:t>合同授予标准</w:t>
      </w:r>
      <w:bookmarkEnd w:id="88"/>
    </w:p>
    <w:p>
      <w:pPr>
        <w:autoSpaceDE w:val="0"/>
        <w:autoSpaceDN w:val="0"/>
        <w:adjustRightInd w:val="0"/>
        <w:spacing w:line="360" w:lineRule="auto"/>
        <w:ind w:left="630" w:hanging="630" w:hangingChars="300"/>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rPr>
        <w:t xml:space="preserve">  </w:t>
      </w:r>
      <w:r>
        <w:rPr>
          <w:rFonts w:hint="eastAsia" w:asciiTheme="minorEastAsia" w:hAnsiTheme="minorEastAsia" w:eastAsiaTheme="minorEastAsia" w:cstheme="minorEastAsia"/>
          <w:iCs/>
          <w:snapToGrid w:val="0"/>
          <w:kern w:val="0"/>
          <w:szCs w:val="21"/>
          <w:lang w:val="zh-CN"/>
        </w:rPr>
        <w:t>采购人将把合同授予排名</w:t>
      </w:r>
      <w:r>
        <w:rPr>
          <w:rFonts w:hint="eastAsia" w:asciiTheme="minorEastAsia" w:hAnsiTheme="minorEastAsia" w:eastAsiaTheme="minorEastAsia" w:cstheme="minorEastAsia"/>
          <w:iCs/>
          <w:snapToGrid w:val="0"/>
          <w:kern w:val="0"/>
          <w:szCs w:val="21"/>
        </w:rPr>
        <w:t>推荐数量</w:t>
      </w:r>
      <w:r>
        <w:rPr>
          <w:rFonts w:hint="eastAsia" w:asciiTheme="minorEastAsia" w:hAnsiTheme="minorEastAsia" w:eastAsiaTheme="minorEastAsia" w:cstheme="minorEastAsia"/>
          <w:iCs/>
          <w:snapToGrid w:val="0"/>
          <w:kern w:val="0"/>
          <w:szCs w:val="21"/>
          <w:lang w:val="zh-CN"/>
        </w:rPr>
        <w:t>的供应商，特殊情况按本须知29.3的规定执行。</w:t>
      </w:r>
    </w:p>
    <w:p>
      <w:pPr>
        <w:spacing w:line="360" w:lineRule="auto"/>
        <w:ind w:left="630" w:hanging="630" w:hangingChars="300"/>
        <w:rPr>
          <w:rFonts w:ascii="宋体" w:hAnsi="宋体" w:cs="宋体"/>
          <w:szCs w:val="21"/>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Cs w:val="21"/>
        </w:rPr>
        <w:t xml:space="preserve"> </w:t>
      </w:r>
    </w:p>
    <w:p>
      <w:pPr>
        <w:autoSpaceDE w:val="0"/>
        <w:autoSpaceDN w:val="0"/>
        <w:adjustRightInd w:val="0"/>
        <w:spacing w:line="360" w:lineRule="auto"/>
        <w:ind w:left="630" w:hanging="630" w:hangingChars="300"/>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ind w:left="630" w:hanging="630" w:hangingChars="300"/>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4  </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ind w:left="630" w:hanging="630" w:hangingChars="300"/>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9" w:name="_Toc20400"/>
      <w:r>
        <w:rPr>
          <w:rFonts w:hint="eastAsia" w:asciiTheme="minorEastAsia" w:hAnsiTheme="minorEastAsia" w:eastAsiaTheme="minorEastAsia" w:cstheme="minorEastAsia"/>
          <w:b/>
          <w:lang w:val="zh-CN"/>
        </w:rPr>
        <w:t>签订合同</w:t>
      </w:r>
      <w:bookmarkEnd w:id="89"/>
    </w:p>
    <w:p>
      <w:pPr>
        <w:tabs>
          <w:tab w:val="left" w:pos="426"/>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tabs>
          <w:tab w:val="left" w:pos="426"/>
        </w:tabs>
        <w:autoSpaceDE w:val="0"/>
        <w:autoSpaceDN w:val="0"/>
        <w:adjustRightInd w:val="0"/>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630" w:hanging="630" w:hangingChars="3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8"/>
        </w:numPr>
        <w:tabs>
          <w:tab w:val="left" w:pos="540"/>
          <w:tab w:val="clear" w:pos="840"/>
        </w:tabs>
        <w:spacing w:line="360" w:lineRule="auto"/>
        <w:ind w:left="632" w:hanging="632" w:hangingChars="300"/>
        <w:rPr>
          <w:rFonts w:asciiTheme="minorEastAsia" w:hAnsiTheme="minorEastAsia" w:eastAsiaTheme="minorEastAsia" w:cstheme="minorEastAsia"/>
          <w:b/>
          <w:szCs w:val="21"/>
          <w:lang w:val="zh-CN"/>
        </w:rPr>
      </w:pPr>
      <w:bookmarkStart w:id="90" w:name="_Toc4883"/>
      <w:bookmarkStart w:id="91" w:name="_Toc13988"/>
      <w:bookmarkStart w:id="92" w:name="_Toc14510"/>
      <w:r>
        <w:rPr>
          <w:rFonts w:hint="eastAsia" w:asciiTheme="minorEastAsia" w:hAnsiTheme="minorEastAsia" w:eastAsiaTheme="minorEastAsia" w:cstheme="minorEastAsia"/>
          <w:b/>
          <w:szCs w:val="21"/>
          <w:lang w:val="zh-CN"/>
        </w:rPr>
        <w:t>质疑和投诉</w:t>
      </w:r>
      <w:bookmarkEnd w:id="90"/>
      <w:bookmarkEnd w:id="91"/>
      <w:bookmarkEnd w:id="92"/>
    </w:p>
    <w:p>
      <w:pPr>
        <w:numPr>
          <w:ilvl w:val="0"/>
          <w:numId w:val="9"/>
        </w:numPr>
        <w:tabs>
          <w:tab w:val="left" w:pos="864"/>
          <w:tab w:val="left" w:pos="1080"/>
        </w:tabs>
        <w:spacing w:line="360" w:lineRule="auto"/>
        <w:ind w:left="632" w:hanging="632" w:hangingChars="300"/>
        <w:rPr>
          <w:rFonts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质疑人的名称、地址、联系人及联系电话等；</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被质疑人的名称、地址、联系人及联系电话等；</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质疑项目名称及编号、质疑事项和明确的请求；</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rPr>
        <w:t xml:space="preserve"> </w:t>
      </w:r>
      <w:r>
        <w:rPr>
          <w:rFonts w:hint="eastAsia" w:ascii="宋体" w:hAnsi="宋体" w:cs="宋体"/>
          <w:snapToGrid w:val="0"/>
          <w:kern w:val="0"/>
          <w:szCs w:val="21"/>
          <w:lang w:val="zh-CN"/>
        </w:rPr>
        <w:t>提出质疑的日期；</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21833"/>
      <w:r>
        <w:rPr>
          <w:rFonts w:hint="eastAsia" w:asciiTheme="minorEastAsia" w:hAnsiTheme="minorEastAsia" w:eastAsiaTheme="minorEastAsia" w:cstheme="minorEastAsia"/>
          <w:b/>
          <w:lang w:val="zh-CN"/>
        </w:rPr>
        <w:t>质疑回复</w:t>
      </w:r>
      <w:bookmarkEnd w:id="93"/>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30830"/>
      <w:r>
        <w:rPr>
          <w:rFonts w:hint="eastAsia" w:asciiTheme="minorEastAsia" w:hAnsiTheme="minorEastAsia" w:eastAsiaTheme="minorEastAsia" w:cstheme="minorEastAsia"/>
          <w:b/>
          <w:lang w:val="zh-CN"/>
        </w:rPr>
        <w:t>投诉</w:t>
      </w:r>
      <w:bookmarkEnd w:id="94"/>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5" w:name="_Toc14767"/>
      <w:bookmarkStart w:id="96" w:name="_Toc28705"/>
      <w:bookmarkStart w:id="97" w:name="_Toc5571"/>
      <w:bookmarkStart w:id="98" w:name="_Toc1057"/>
      <w:r>
        <w:rPr>
          <w:rFonts w:hint="eastAsia" w:asciiTheme="minorEastAsia" w:hAnsiTheme="minorEastAsia" w:eastAsiaTheme="minorEastAsia" w:cstheme="minorEastAsia"/>
          <w:b/>
          <w:szCs w:val="21"/>
          <w:lang w:val="zh-CN"/>
        </w:rPr>
        <w:t>政策</w:t>
      </w:r>
      <w:bookmarkEnd w:id="95"/>
      <w:bookmarkEnd w:id="96"/>
      <w:bookmarkEnd w:id="97"/>
      <w:r>
        <w:rPr>
          <w:rFonts w:hint="eastAsia" w:asciiTheme="minorEastAsia" w:hAnsiTheme="minorEastAsia" w:eastAsiaTheme="minorEastAsia" w:cstheme="minorEastAsia"/>
          <w:b/>
          <w:szCs w:val="21"/>
          <w:lang w:val="zh-CN"/>
        </w:rPr>
        <w:t>（本项目不适用）</w:t>
      </w:r>
      <w:bookmarkEnd w:id="98"/>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rPr>
      </w:pPr>
      <w:bookmarkStart w:id="99" w:name="_Toc3796"/>
      <w:r>
        <w:rPr>
          <w:rFonts w:hint="eastAsia" w:asciiTheme="minorEastAsia" w:hAnsiTheme="minorEastAsia" w:eastAsiaTheme="minorEastAsia" w:cstheme="minorEastAsia"/>
          <w:b/>
        </w:rPr>
        <w:t>政府采购政策</w:t>
      </w:r>
      <w:bookmarkEnd w:id="99"/>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spacing w:val="-2"/>
          <w:kern w:val="0"/>
          <w:szCs w:val="21"/>
          <w:lang w:val="zh-CN"/>
        </w:rPr>
        <w:t>除非“供应商须知前附表”中有特殊规定，本项目所采购的货物</w:t>
      </w:r>
      <w:r>
        <w:rPr>
          <w:rFonts w:hint="eastAsia" w:ascii="宋体" w:hAnsi="宋体" w:cs="宋体"/>
          <w:snapToGrid w:val="0"/>
          <w:spacing w:val="-2"/>
          <w:kern w:val="0"/>
          <w:szCs w:val="21"/>
        </w:rPr>
        <w:t>或服务或工程</w:t>
      </w:r>
      <w:r>
        <w:rPr>
          <w:rFonts w:hint="eastAsia" w:ascii="宋体" w:hAnsi="宋体" w:cs="宋体"/>
          <w:snapToGrid w:val="0"/>
          <w:spacing w:val="-2"/>
          <w:kern w:val="0"/>
          <w:szCs w:val="21"/>
          <w:lang w:val="zh-CN"/>
        </w:rPr>
        <w:t>应当为中华人民共和国境内提供。</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630" w:hanging="630" w:hangingChars="300"/>
        <w:rPr>
          <w:rFonts w:ascii="宋体" w:hAnsi="宋体" w:cs="宋体"/>
          <w:snapToGrid w:val="0"/>
          <w:kern w:val="0"/>
          <w:szCs w:val="21"/>
        </w:rPr>
      </w:pPr>
      <w:r>
        <w:rPr>
          <w:rFonts w:hint="eastAsia" w:ascii="宋体" w:hAnsi="宋体" w:cs="宋体"/>
          <w:snapToGrid w:val="0"/>
          <w:kern w:val="0"/>
          <w:szCs w:val="21"/>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630" w:hanging="630" w:hangingChars="300"/>
        <w:rPr>
          <w:rFonts w:ascii="宋体" w:hAnsi="宋体" w:cs="宋体"/>
          <w:snapToGrid w:val="0"/>
          <w:kern w:val="0"/>
          <w:szCs w:val="21"/>
        </w:rPr>
      </w:pPr>
      <w:r>
        <w:rPr>
          <w:rFonts w:hint="eastAsia" w:ascii="宋体" w:hAnsi="宋体" w:cs="宋体"/>
          <w:snapToGrid w:val="0"/>
          <w:kern w:val="0"/>
          <w:szCs w:val="21"/>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630" w:hanging="630" w:hangingChars="300"/>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630" w:hanging="630" w:hangingChars="300"/>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left="630" w:leftChars="300"/>
        <w:rPr>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0" w:name="_Toc32201"/>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31342"/>
      <w:r>
        <w:rPr>
          <w:rFonts w:hint="eastAsia" w:asciiTheme="minorEastAsia" w:hAnsiTheme="minorEastAsia" w:eastAsiaTheme="minorEastAsia" w:cstheme="minorEastAsia"/>
          <w:b/>
          <w:szCs w:val="21"/>
          <w:lang w:val="zh-CN"/>
        </w:rPr>
        <w:t>适用法律</w:t>
      </w:r>
      <w:bookmarkEnd w:id="101"/>
    </w:p>
    <w:p>
      <w:pPr>
        <w:autoSpaceDE w:val="0"/>
        <w:autoSpaceDN w:val="0"/>
        <w:adjustRightInd w:val="0"/>
        <w:spacing w:line="360" w:lineRule="auto"/>
        <w:ind w:left="630" w:left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numPr>
          <w:ilvl w:val="0"/>
          <w:numId w:val="34"/>
        </w:numPr>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numPr>
          <w:ilvl w:val="0"/>
          <w:numId w:val="34"/>
        </w:numPr>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numPr>
          <w:ilvl w:val="0"/>
          <w:numId w:val="34"/>
        </w:numPr>
        <w:autoSpaceDE w:val="0"/>
        <w:autoSpaceDN w:val="0"/>
        <w:adjustRightInd w:val="0"/>
        <w:spacing w:line="360" w:lineRule="auto"/>
        <w:ind w:left="630" w:hanging="630" w:hangingChars="30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2" w:name="_Toc989"/>
      <w:r>
        <w:rPr>
          <w:rFonts w:hint="eastAsia" w:asciiTheme="minorEastAsia" w:hAnsiTheme="minorEastAsia" w:eastAsiaTheme="minorEastAsia" w:cstheme="minorEastAsia"/>
          <w:b/>
          <w:bCs/>
          <w:sz w:val="36"/>
          <w:szCs w:val="36"/>
        </w:rPr>
        <w:t>采购需求</w:t>
      </w:r>
      <w:bookmarkEnd w:id="102"/>
    </w:p>
    <w:p>
      <w:pPr>
        <w:spacing w:line="360" w:lineRule="auto"/>
        <w:outlineLvl w:val="1"/>
        <w:rPr>
          <w:rFonts w:asciiTheme="minorEastAsia" w:hAnsiTheme="minorEastAsia" w:eastAsiaTheme="minorEastAsia" w:cstheme="minorEastAsia"/>
          <w:szCs w:val="21"/>
        </w:rPr>
      </w:pPr>
      <w:bookmarkStart w:id="103" w:name="_Toc5544"/>
      <w:r>
        <w:rPr>
          <w:rFonts w:hint="eastAsia" w:asciiTheme="minorEastAsia" w:hAnsiTheme="minorEastAsia" w:eastAsiaTheme="minorEastAsia" w:cstheme="minorEastAsia"/>
          <w:b/>
          <w:bCs/>
          <w:szCs w:val="21"/>
        </w:rPr>
        <w:t>第一部分 指导方针</w:t>
      </w:r>
      <w:bookmarkEnd w:id="10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一、为了促进学校教育事业发展的需要和满足师生对美好生活的需要，</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二、为积极推进《中国教育现代化2035》的实施，以“科技校园，智慧校园，构筑新时代美好校园”为主题，通过沁园春</w:t>
      </w:r>
      <w:r>
        <w:rPr>
          <w:rFonts w:hint="eastAsia" w:asciiTheme="minorEastAsia" w:hAnsiTheme="minorEastAsia" w:eastAsiaTheme="minorEastAsia" w:cstheme="minorEastAsia"/>
          <w:szCs w:val="21"/>
          <w:lang w:eastAsia="zh-Hans"/>
        </w:rPr>
        <w:t>多</w:t>
      </w:r>
      <w:r>
        <w:rPr>
          <w:rFonts w:hint="eastAsia" w:asciiTheme="minorEastAsia" w:hAnsiTheme="minorEastAsia" w:eastAsiaTheme="minorEastAsia" w:cstheme="minorEastAsia"/>
          <w:szCs w:val="21"/>
        </w:rPr>
        <w:t>功</w:t>
      </w:r>
      <w:r>
        <w:rPr>
          <w:rFonts w:hint="eastAsia" w:asciiTheme="minorEastAsia" w:hAnsiTheme="minorEastAsia" w:eastAsiaTheme="minorEastAsia" w:cstheme="minorEastAsia"/>
          <w:szCs w:val="21"/>
          <w:lang w:eastAsia="zh-Hans"/>
        </w:rPr>
        <w:t>能、多空间智慧食堂、品牌餐饮的综合打造，</w:t>
      </w:r>
      <w:r>
        <w:rPr>
          <w:rFonts w:hint="eastAsia" w:asciiTheme="minorEastAsia" w:hAnsiTheme="minorEastAsia" w:eastAsiaTheme="minorEastAsia" w:cstheme="minorEastAsia"/>
          <w:szCs w:val="21"/>
        </w:rPr>
        <w:t>满足师生</w:t>
      </w:r>
      <w:r>
        <w:rPr>
          <w:rFonts w:hint="eastAsia" w:asciiTheme="minorEastAsia" w:hAnsiTheme="minorEastAsia" w:eastAsiaTheme="minorEastAsia" w:cstheme="minorEastAsia"/>
          <w:szCs w:val="21"/>
          <w:lang w:eastAsia="zh-Hans"/>
        </w:rPr>
        <w:t>对高、中、低不同消费层次的</w:t>
      </w:r>
      <w:r>
        <w:rPr>
          <w:rFonts w:hint="eastAsia" w:asciiTheme="minorEastAsia" w:hAnsiTheme="minorEastAsia" w:eastAsiaTheme="minorEastAsia" w:cstheme="minorEastAsia"/>
          <w:szCs w:val="21"/>
        </w:rPr>
        <w:t>多元需求，从根本上解决师生就餐面积不足的问题。在全面提升后勤综合保障能力和后勤服务品质的同时，增强广大师生的幸福感、获得感和归属感。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三、建成一流的、现代化的、面向120周年校庆的生活服务综合体。</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四、为全校师生打造公共型、安全型、主动型、社会稳定型“四型”生活服务体，与智慧化、人性化、综合化的数字华师无缝互联。</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五、沁园春综合体方案配合后勤服务整体统一规划， 融购物、进餐、休闲于一体，通过智能化，专业化的管理，提升服务品质，改善师生生活质量，让师生在不出校门的情况下就能享受品牌多样、质量上乘、服务周全的生活服务。</w:t>
      </w:r>
    </w:p>
    <w:p/>
    <w:p>
      <w:pPr>
        <w:spacing w:line="360" w:lineRule="auto"/>
        <w:outlineLvl w:val="1"/>
        <w:rPr>
          <w:rFonts w:asciiTheme="minorEastAsia" w:hAnsiTheme="minorEastAsia" w:eastAsiaTheme="minorEastAsia" w:cstheme="minorEastAsia"/>
          <w:b/>
          <w:bCs/>
          <w:szCs w:val="21"/>
        </w:rPr>
      </w:pPr>
      <w:bookmarkStart w:id="104" w:name="_Toc4463"/>
      <w:r>
        <w:rPr>
          <w:rFonts w:hint="eastAsia" w:asciiTheme="minorEastAsia" w:hAnsiTheme="minorEastAsia" w:eastAsiaTheme="minorEastAsia" w:cstheme="minorEastAsia"/>
          <w:b/>
          <w:bCs/>
          <w:szCs w:val="21"/>
        </w:rPr>
        <w:t>第二部分 项目概况</w:t>
      </w:r>
      <w:bookmarkEnd w:id="104"/>
    </w:p>
    <w:p>
      <w:pPr>
        <w:spacing w:line="360" w:lineRule="auto"/>
        <w:ind w:firstLine="422" w:firstLineChars="200"/>
        <w:outlineLvl w:val="2"/>
        <w:rPr>
          <w:rFonts w:asciiTheme="minorEastAsia" w:hAnsiTheme="minorEastAsia" w:eastAsiaTheme="minorEastAsia" w:cstheme="minorEastAsia"/>
          <w:b/>
          <w:bCs/>
          <w:szCs w:val="21"/>
        </w:rPr>
      </w:pPr>
      <w:bookmarkStart w:id="105" w:name="_Toc6227"/>
      <w:r>
        <w:rPr>
          <w:rFonts w:hint="eastAsia" w:asciiTheme="minorEastAsia" w:hAnsiTheme="minorEastAsia" w:eastAsiaTheme="minorEastAsia" w:cstheme="minorEastAsia"/>
          <w:b/>
          <w:bCs/>
          <w:szCs w:val="21"/>
        </w:rPr>
        <w:t>一、项目目标</w:t>
      </w:r>
      <w:bookmarkEnd w:id="10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该项目建设目标为建成校园综合服务广场，引进项目类型包括但不限于学生及教工食堂、含包间及茶室的中式餐厅、中高档中西式品牌餐饮店、咖啡厅等，为学校师生提供包括食堂又区别于食堂的综合服务中心。</w:t>
      </w:r>
    </w:p>
    <w:p>
      <w:pPr>
        <w:spacing w:line="360" w:lineRule="auto"/>
        <w:ind w:firstLine="422" w:firstLineChars="200"/>
        <w:outlineLvl w:val="2"/>
        <w:rPr>
          <w:rFonts w:asciiTheme="minorEastAsia" w:hAnsiTheme="minorEastAsia" w:eastAsiaTheme="minorEastAsia" w:cstheme="minorEastAsia"/>
          <w:b/>
          <w:bCs/>
          <w:szCs w:val="21"/>
        </w:rPr>
      </w:pPr>
      <w:bookmarkStart w:id="106" w:name="_Toc11243"/>
      <w:r>
        <w:rPr>
          <w:rFonts w:hint="eastAsia" w:asciiTheme="minorEastAsia" w:hAnsiTheme="minorEastAsia" w:eastAsiaTheme="minorEastAsia" w:cstheme="minorEastAsia"/>
          <w:b/>
          <w:bCs/>
          <w:szCs w:val="21"/>
        </w:rPr>
        <w:t>二、项目概况</w:t>
      </w:r>
      <w:bookmarkEnd w:id="10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华中师范大学坐落于风景秀丽的桂子山，是一所教育部直属的师范大学，拥有120年历史的名校，有丰富的文化底蕴和创新精神。全校共有师生员工70000多人，沁园春综合楼位于校本部东区，建成于2021年，临近虎泉商</w:t>
      </w:r>
      <w:r>
        <w:rPr>
          <w:rFonts w:hint="eastAsia" w:asciiTheme="minorEastAsia" w:hAnsiTheme="minorEastAsia" w:eastAsiaTheme="minorEastAsia" w:cstheme="minorEastAsia"/>
          <w:szCs w:val="21"/>
          <w:u w:val="none"/>
        </w:rPr>
        <w:t>业区。</w:t>
      </w:r>
      <w:r>
        <w:rPr>
          <w:rFonts w:hint="eastAsia" w:ascii="宋体" w:hAnsi="宋体"/>
          <w:szCs w:val="21"/>
          <w:u w:val="none"/>
          <w:lang w:eastAsia="zh-CN"/>
        </w:rPr>
        <w:t>总建筑面积约9346.42㎡，其中地上建筑面积7710.98㎡，地下室1635.44㎡；</w:t>
      </w:r>
      <w:r>
        <w:rPr>
          <w:rFonts w:hint="eastAsia" w:asciiTheme="minorEastAsia" w:hAnsiTheme="minorEastAsia" w:eastAsiaTheme="minorEastAsia" w:cstheme="minorEastAsia"/>
          <w:szCs w:val="21"/>
          <w:u w:val="none"/>
        </w:rPr>
        <w:t>该楼总体定位为</w:t>
      </w:r>
      <w:r>
        <w:rPr>
          <w:rFonts w:hint="eastAsia" w:asciiTheme="minorEastAsia" w:hAnsiTheme="minorEastAsia" w:eastAsiaTheme="minorEastAsia" w:cstheme="minorEastAsia"/>
          <w:szCs w:val="21"/>
        </w:rPr>
        <w:t>集餐饮与休闲为一体的智慧化商业综合服务中心。</w:t>
      </w:r>
    </w:p>
    <w:p>
      <w:pPr>
        <w:spacing w:line="360" w:lineRule="auto"/>
        <w:ind w:firstLine="422" w:firstLineChars="200"/>
        <w:outlineLvl w:val="2"/>
        <w:rPr>
          <w:rFonts w:asciiTheme="minorEastAsia" w:hAnsiTheme="minorEastAsia" w:eastAsiaTheme="minorEastAsia" w:cstheme="minorEastAsia"/>
          <w:b/>
          <w:bCs/>
          <w:szCs w:val="21"/>
        </w:rPr>
      </w:pPr>
      <w:bookmarkStart w:id="107" w:name="_Toc29572"/>
      <w:r>
        <w:rPr>
          <w:rFonts w:hint="eastAsia" w:asciiTheme="minorEastAsia" w:hAnsiTheme="minorEastAsia" w:eastAsiaTheme="minorEastAsia" w:cstheme="minorEastAsia"/>
          <w:b/>
          <w:bCs/>
          <w:szCs w:val="21"/>
        </w:rPr>
        <w:t>三、采购需求</w:t>
      </w:r>
      <w:bookmarkEnd w:id="107"/>
      <w:bookmarkStart w:id="242" w:name="_GoBack"/>
      <w:bookmarkEnd w:id="242"/>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综合体各层规划与定位如下：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综合体各楼层功能定位（共六层，含负一楼）</w:t>
      </w:r>
    </w:p>
    <w:p>
      <w:pPr>
        <w:pStyle w:val="92"/>
        <w:spacing w:line="360" w:lineRule="auto"/>
        <w:rPr>
          <w:rFonts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rPr>
        <w:t>1、负一楼定位:生活超市，引进大型连锁品牌超市，同时充分利用空间，</w:t>
      </w:r>
      <w:r>
        <w:rPr>
          <w:rFonts w:hint="eastAsia" w:asciiTheme="minorEastAsia" w:hAnsiTheme="minorEastAsia" w:eastAsiaTheme="minorEastAsia" w:cstheme="minorEastAsia"/>
          <w:sz w:val="21"/>
          <w:szCs w:val="21"/>
          <w:lang w:eastAsia="zh-Hans"/>
        </w:rPr>
        <w:t>为教职工及学生提供</w:t>
      </w:r>
      <w:r>
        <w:rPr>
          <w:rFonts w:hint="eastAsia" w:asciiTheme="minorEastAsia" w:hAnsiTheme="minorEastAsia" w:eastAsiaTheme="minorEastAsia" w:cstheme="minorEastAsia"/>
          <w:sz w:val="21"/>
          <w:szCs w:val="21"/>
        </w:rPr>
        <w:t>基本生活服务</w:t>
      </w:r>
      <w:r>
        <w:rPr>
          <w:rFonts w:hint="eastAsia" w:asciiTheme="minorEastAsia" w:hAnsiTheme="minorEastAsia" w:eastAsiaTheme="minorEastAsia" w:cstheme="minorEastAsia"/>
          <w:sz w:val="21"/>
          <w:szCs w:val="21"/>
          <w:lang w:eastAsia="zh-Hans"/>
        </w:rPr>
        <w:t>。</w:t>
      </w:r>
    </w:p>
    <w:p>
      <w:pPr>
        <w:pStyle w:val="92"/>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2、一楼至五楼定位综合餐饮服务。（1）智慧化基本</w:t>
      </w:r>
      <w:r>
        <w:rPr>
          <w:rFonts w:asciiTheme="minorEastAsia" w:hAnsiTheme="minorEastAsia" w:eastAsiaTheme="minorEastAsia" w:cstheme="minorEastAsia"/>
          <w:sz w:val="21"/>
          <w:szCs w:val="21"/>
        </w:rPr>
        <w:t>伙食</w:t>
      </w:r>
      <w:r>
        <w:rPr>
          <w:rFonts w:hint="eastAsia" w:asciiTheme="minorEastAsia" w:hAnsiTheme="minorEastAsia" w:eastAsiaTheme="minorEastAsia" w:cstheme="minorEastAsia"/>
          <w:sz w:val="21"/>
          <w:szCs w:val="21"/>
        </w:rPr>
        <w:t>（大众综合餐饮服务：精美早点、特色面食和智能套餐等，</w:t>
      </w:r>
      <w:r>
        <w:rPr>
          <w:rFonts w:hint="eastAsia" w:asciiTheme="minorEastAsia" w:hAnsiTheme="minorEastAsia" w:eastAsiaTheme="minorEastAsia" w:cstheme="minorEastAsia"/>
          <w:sz w:val="21"/>
          <w:szCs w:val="21"/>
          <w:lang w:eastAsia="zh-Hans"/>
        </w:rPr>
        <w:t>名厨亮灶、智能结算、智能监管</w:t>
      </w:r>
      <w:r>
        <w:rPr>
          <w:rFonts w:hint="eastAsia" w:asciiTheme="minorEastAsia" w:hAnsiTheme="minorEastAsia" w:eastAsiaTheme="minorEastAsia" w:cstheme="minorEastAsia"/>
          <w:sz w:val="21"/>
          <w:szCs w:val="21"/>
        </w:rPr>
        <w:t>），同时引进包括汉派小吃在内的品牌小吃；（2）智慧化教工餐厅，</w:t>
      </w:r>
      <w:r>
        <w:rPr>
          <w:rFonts w:hint="eastAsia" w:asciiTheme="minorEastAsia" w:hAnsiTheme="minorEastAsia" w:eastAsiaTheme="minorEastAsia" w:cstheme="minorEastAsia"/>
          <w:sz w:val="21"/>
          <w:szCs w:val="21"/>
          <w:lang w:eastAsia="zh-Hans"/>
        </w:rPr>
        <w:t>全自选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Hans"/>
        </w:rPr>
        <w:t>智能结算</w:t>
      </w:r>
      <w:r>
        <w:rPr>
          <w:rFonts w:hint="eastAsia" w:asciiTheme="minorEastAsia" w:hAnsiTheme="minorEastAsia" w:eastAsiaTheme="minorEastAsia" w:cstheme="minorEastAsia"/>
          <w:sz w:val="21"/>
          <w:szCs w:val="21"/>
        </w:rPr>
        <w:t>，同时提供教工点菜服务，同时引进包括汉派小吃在内的品牌小吃；（3）商务接待餐厅，全包间布局。引进代表性的品牌汉派小吃；（4）国内外中西餐连锁品牌。提供不同需求的就餐方式和内容，打造成环境优雅、文化氛围浓郁、安静祥和的人文环境，是师生理想的交流和休闲场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Hans"/>
        </w:rPr>
        <w:t>4、合作模式采取</w:t>
      </w:r>
      <w:r>
        <w:rPr>
          <w:rFonts w:hint="eastAsia" w:asciiTheme="minorEastAsia" w:hAnsiTheme="minorEastAsia" w:eastAsiaTheme="minorEastAsia" w:cstheme="minorEastAsia"/>
          <w:szCs w:val="21"/>
        </w:rPr>
        <w:t>“合作服务经营”</w:t>
      </w:r>
      <w:r>
        <w:rPr>
          <w:rFonts w:hint="eastAsia" w:asciiTheme="minorEastAsia" w:hAnsiTheme="minorEastAsia" w:eastAsiaTheme="minorEastAsia" w:cstheme="minorEastAsia"/>
          <w:szCs w:val="21"/>
          <w:lang w:eastAsia="zh-Hans"/>
        </w:rPr>
        <w:t>模式</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lang w:eastAsia="zh-Hans"/>
        </w:rPr>
      </w:pPr>
      <w:r>
        <w:rPr>
          <w:rFonts w:hint="eastAsia" w:asciiTheme="minorEastAsia" w:hAnsiTheme="minorEastAsia" w:eastAsiaTheme="minorEastAsia" w:cstheme="minorEastAsia"/>
          <w:szCs w:val="21"/>
        </w:rPr>
        <w:t>5、学校提供建筑及公共配套设施，中标人根据学校总体要求及实际需要进行自主装修，自主经营，但所有装修方案及经营品类必须报招标人审批后方可实施。</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lang w:eastAsia="zh-Hans"/>
        </w:rPr>
        <w:t>合作</w:t>
      </w:r>
      <w:r>
        <w:rPr>
          <w:rFonts w:hint="eastAsia" w:asciiTheme="minorEastAsia" w:hAnsiTheme="minorEastAsia" w:eastAsiaTheme="minorEastAsia" w:cstheme="minorEastAsia"/>
          <w:szCs w:val="21"/>
        </w:rPr>
        <w:t>服务</w:t>
      </w:r>
      <w:r>
        <w:rPr>
          <w:rFonts w:hint="eastAsia" w:asciiTheme="minorEastAsia" w:hAnsiTheme="minorEastAsia" w:eastAsiaTheme="minorEastAsia" w:cstheme="minorEastAsia"/>
          <w:szCs w:val="21"/>
          <w:lang w:eastAsia="zh-Hans"/>
        </w:rPr>
        <w:t>经营年限</w:t>
      </w:r>
      <w:r>
        <w:rPr>
          <w:rFonts w:hint="eastAsia" w:asciiTheme="minorEastAsia" w:hAnsiTheme="minorEastAsia" w:eastAsiaTheme="minorEastAsia" w:cstheme="minorEastAsia"/>
          <w:szCs w:val="21"/>
        </w:rPr>
        <w:t>十年（二次改造装修期为</w:t>
      </w:r>
      <w:r>
        <w:rPr>
          <w:rFonts w:hint="eastAsia" w:asciiTheme="minorEastAsia" w:hAnsiTheme="minorEastAsia" w:eastAsiaTheme="minorEastAsia" w:cstheme="minorEastAsia"/>
          <w:szCs w:val="21"/>
          <w:u w:val="single"/>
        </w:rPr>
        <w:t>2</w:t>
      </w:r>
      <w:r>
        <w:rPr>
          <w:rFonts w:hint="eastAsia" w:asciiTheme="minorEastAsia" w:hAnsiTheme="minorEastAsia" w:eastAsiaTheme="minorEastAsia" w:cstheme="minorEastAsia"/>
          <w:szCs w:val="21"/>
        </w:rPr>
        <w:t>个月），合同一年一签。5年为一个考核期，对服务项目公共成本分摊费提点和经营收益报招标办进行评估磋商调整，再确定签订下一个5年合同。每年期满必须经招标人综合考评合格并报招标办公室审批后续签下一年</w:t>
      </w:r>
      <w:r>
        <w:rPr>
          <w:rFonts w:hint="eastAsia" w:asciiTheme="minorEastAsia" w:hAnsiTheme="minorEastAsia" w:eastAsiaTheme="minorEastAsia" w:cstheme="minorEastAsia"/>
          <w:szCs w:val="21"/>
          <w:lang w:eastAsia="zh-Hans"/>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7、严格执行国家相关法律法规及投标人制定的管理制度以外，还必须严格执行招标人制定的各项规章制度，招标人派1到2名管理人员参与运营管理，对乙方的食品安全、生产安全、消防安全等进行监督、检查。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8、基本</w:t>
      </w:r>
      <w:r>
        <w:rPr>
          <w:rFonts w:asciiTheme="minorEastAsia" w:hAnsiTheme="minorEastAsia" w:eastAsiaTheme="minorEastAsia" w:cstheme="minorEastAsia"/>
          <w:szCs w:val="21"/>
        </w:rPr>
        <w:t>伙食和教职工楼层</w:t>
      </w:r>
      <w:r>
        <w:rPr>
          <w:rFonts w:hint="eastAsia" w:asciiTheme="minorEastAsia" w:hAnsiTheme="minorEastAsia" w:eastAsiaTheme="minorEastAsia" w:cstheme="minorEastAsia"/>
          <w:szCs w:val="21"/>
        </w:rPr>
        <w:t>的大宗物资（包括但不限于大米、面粉、食用油、蔬菜、荤食、干调等）由招标人统一采购，同时鉴于引进品牌的特殊要求，特殊物资可由中标人自采（具体要求在合同条款中列出）。但合同中明确规定必须严格执行国家法律法规及招标人规章制度，无条件接受招标人全程监管，保障食品安全。</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全楼要求：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一、节能、环保、绿色、健康、智慧化、宣导校园文化与饮食文化、培养节约文化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1、全面使用节能产品（环保装修、节能减排设施设备）。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2、能耗监控系统：室内水、电、燃气能耗预警系统、智能化分时段定时管理（人员低峰期减少电器使用率）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3、智能备餐：采购与库存监控，生产、销售数字化、精准联通，减少浪费；通过智能备餐系统，实现出品的精细化联通。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4、培养节约及环保文化，垃圾分类宣传知识、节能环保宣传活动的组织与开展。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5、通过标准化流程录入系统比对后厨作业规范，与实际不符即能发出预警，360°全景无死角安全监管，减少用工量，实现餐厅安全智慧化监管：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6、后厨环境监控、能耗监控、设施设备运行监控、后厨人员操作不规范预警系统；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7、前厅明厨亮灶显示屏实现可视化全覆盖。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8、智能结算，AI人脸识别结算系统（人脸识别、餐盘芯片、或直接识别菜品）、提前预约点餐、线上线下双轨结算，节约排队时间。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8、智慧化营养管理系统：各档口分屏显示当日菜品营养成分、结算台或手机APP显示每餐摄入热量及营养成分并提供科学膳食指导；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9、智能化厨余垃圾处理系统：一台小型处理机可处理1000人份厨余垃圾、10吨食物残渣可粉碎成2吨小颗粒，节能环保。</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智能化全方位安全保障体系：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1、食品安全监管：产品溯源（通过就餐记录，追溯每个菜品，并向上进行食品安全信息追溯）、明厨亮灶（后厨操作过程全程可视化监控）。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消防安全监管：设施设备、电器异常预警及自动断电系统、防排烟消防联动报警系统、油类火警专用灭火系统与普通喷淋系统相互补充协同、消防安全巡查制度及台账管理、分级与第三方合作方签订安全年度责任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3、疫情常态化防控：电子屏监控全餐厅人员体温、异常自动预警、一米线、免洗洗手液、消毒酒精、提供无接触自取餐柜。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4、公共安全监控：全景无死角监控、24小时巡查机制。</w:t>
      </w:r>
    </w:p>
    <w:p>
      <w:pPr>
        <w:spacing w:line="360" w:lineRule="auto"/>
        <w:ind w:firstLine="422" w:firstLineChars="200"/>
        <w:outlineLvl w:val="2"/>
        <w:rPr>
          <w:rFonts w:asciiTheme="minorEastAsia" w:hAnsiTheme="minorEastAsia" w:eastAsiaTheme="minorEastAsia" w:cstheme="minorEastAsia"/>
          <w:b/>
          <w:bCs/>
          <w:szCs w:val="21"/>
        </w:rPr>
      </w:pPr>
      <w:bookmarkStart w:id="108" w:name="_Toc25607"/>
      <w:r>
        <w:rPr>
          <w:rFonts w:hint="eastAsia" w:asciiTheme="minorEastAsia" w:hAnsiTheme="minorEastAsia" w:eastAsiaTheme="minorEastAsia" w:cstheme="minorEastAsia"/>
          <w:b/>
          <w:bCs/>
          <w:szCs w:val="21"/>
        </w:rPr>
        <w:t>四、装修方案要求</w:t>
      </w:r>
      <w:bookmarkEnd w:id="10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1、投标人必须根据招标人对该综合体的总体要求制定装修方案。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2、装修方案围绕毛主席《沁园春·雪》主题进行设计。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3、装修材料必须使用绿色环保材料，不得使用国家禁止的易燃易爆及对人体有害的材料。</w:t>
      </w:r>
    </w:p>
    <w:p>
      <w:pPr>
        <w:spacing w:line="360" w:lineRule="auto"/>
        <w:ind w:firstLine="420" w:firstLineChars="200"/>
      </w:pP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br w:type="textWrapping"/>
      </w:r>
    </w:p>
    <w:p>
      <w:pPr>
        <w:spacing w:line="360" w:lineRule="auto"/>
        <w:ind w:firstLine="422" w:firstLineChars="200"/>
        <w:outlineLvl w:val="2"/>
        <w:rPr>
          <w:rFonts w:asciiTheme="minorEastAsia" w:hAnsiTheme="minorEastAsia" w:eastAsiaTheme="minorEastAsia" w:cstheme="minorEastAsia"/>
          <w:b/>
          <w:bCs/>
          <w:szCs w:val="21"/>
        </w:rPr>
      </w:pPr>
      <w:bookmarkStart w:id="109" w:name="_Toc4421"/>
      <w:r>
        <w:rPr>
          <w:rFonts w:hint="eastAsia" w:asciiTheme="minorEastAsia" w:hAnsiTheme="minorEastAsia" w:eastAsiaTheme="minorEastAsia" w:cstheme="minorEastAsia"/>
          <w:b/>
          <w:bCs/>
          <w:szCs w:val="21"/>
        </w:rPr>
        <w:t>五、项目详解</w:t>
      </w:r>
      <w:bookmarkEnd w:id="10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1、负一楼平面示意图（示意图仅供参考，下同）：</w:t>
      </w:r>
    </w:p>
    <w:p>
      <w:r>
        <w:drawing>
          <wp:inline distT="0" distB="0" distL="0" distR="0">
            <wp:extent cx="5631815" cy="6579870"/>
            <wp:effectExtent l="0" t="0" r="6985" b="3810"/>
            <wp:docPr id="4" name="图片 3" descr="C:\Users\Administrator\Desktop\彩平\沁园春\沁园春-1.jpg沁园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Desktop\彩平\沁园春\沁园春-1.jpg沁园春-1"/>
                    <pic:cNvPicPr>
                      <a:picLocks noChangeAspect="1"/>
                    </pic:cNvPicPr>
                  </pic:nvPicPr>
                  <pic:blipFill>
                    <a:blip r:embed="rId10"/>
                    <a:srcRect l="12829" t="18741" r="13475" b="25602"/>
                    <a:stretch>
                      <a:fillRect/>
                    </a:stretch>
                  </pic:blipFill>
                  <pic:spPr>
                    <a:xfrm>
                      <a:off x="0" y="0"/>
                      <a:ext cx="5631815" cy="6579870"/>
                    </a:xfrm>
                    <a:prstGeom prst="rect">
                      <a:avLst/>
                    </a:prstGeom>
                    <a:ln>
                      <a:noFill/>
                    </a:ln>
                  </pic:spPr>
                </pic:pic>
              </a:graphicData>
            </a:graphic>
          </wp:inline>
        </w:drawing>
      </w:r>
    </w:p>
    <w:p/>
    <w:p/>
    <w:p/>
    <w:p>
      <w:r>
        <w:br w:type="textWrapping"/>
      </w:r>
      <w:r>
        <w:br w:type="textWrapping"/>
      </w: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pPr>
      <w:r>
        <w:rPr>
          <w:rFonts w:hint="eastAsia" w:asciiTheme="minorEastAsia" w:hAnsiTheme="minorEastAsia" w:eastAsiaTheme="minorEastAsia" w:cstheme="minorEastAsia"/>
        </w:rPr>
        <w:t>2、一楼至三</w:t>
      </w:r>
      <w:r>
        <w:rPr>
          <w:rFonts w:asciiTheme="minorEastAsia" w:hAnsiTheme="minorEastAsia" w:eastAsiaTheme="minorEastAsia" w:cstheme="minorEastAsia"/>
        </w:rPr>
        <w:t>楼平面图</w:t>
      </w:r>
      <w:r>
        <w:rPr>
          <w:rFonts w:hint="eastAsia" w:asciiTheme="minorEastAsia" w:hAnsiTheme="minorEastAsia" w:eastAsiaTheme="minorEastAsia" w:cstheme="minorEastAsia"/>
          <w:szCs w:val="21"/>
        </w:rPr>
        <w:t>（示意图仅供参考，下同）：</w:t>
      </w:r>
    </w:p>
    <w:p/>
    <w:p>
      <w:pPr>
        <w:spacing w:line="360" w:lineRule="auto"/>
        <w:ind w:firstLine="420" w:firstLineChars="200"/>
        <w:rPr>
          <w:rFonts w:asciiTheme="minorEastAsia" w:hAnsiTheme="minorEastAsia" w:eastAsiaTheme="minorEastAsia" w:cstheme="minorEastAsia"/>
        </w:rPr>
      </w:pPr>
      <w:r>
        <w:drawing>
          <wp:inline distT="0" distB="0" distL="0" distR="0">
            <wp:extent cx="5760720" cy="62464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246495"/>
                    </a:xfrm>
                    <a:prstGeom prst="rect">
                      <a:avLst/>
                    </a:prstGeom>
                  </pic:spPr>
                </pic:pic>
              </a:graphicData>
            </a:graphic>
          </wp:inline>
        </w:drawing>
      </w: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jc w:val="left"/>
      </w:pPr>
      <w:r>
        <w:rPr>
          <w:rFonts w:asciiTheme="minorEastAsia" w:hAnsiTheme="minorEastAsia" w:eastAsiaTheme="minorEastAsia" w:cstheme="minorEastAsia"/>
        </w:rPr>
        <w:t>3</w:t>
      </w:r>
      <w:r>
        <w:rPr>
          <w:rFonts w:hint="eastAsia" w:asciiTheme="minorEastAsia" w:hAnsiTheme="minorEastAsia" w:eastAsiaTheme="minorEastAsia" w:cstheme="minorEastAsia"/>
        </w:rPr>
        <w:t>、四楼至五</w:t>
      </w:r>
      <w:r>
        <w:rPr>
          <w:rFonts w:asciiTheme="minorEastAsia" w:hAnsiTheme="minorEastAsia" w:eastAsiaTheme="minorEastAsia" w:cstheme="minorEastAsia"/>
        </w:rPr>
        <w:t>楼平面图</w:t>
      </w:r>
      <w:r>
        <w:rPr>
          <w:rFonts w:hint="eastAsia" w:asciiTheme="minorEastAsia" w:hAnsiTheme="minorEastAsia" w:eastAsiaTheme="minorEastAsia" w:cstheme="minorEastAsia"/>
          <w:szCs w:val="21"/>
        </w:rPr>
        <w:t>（示意图仅供参考，下同）：</w:t>
      </w:r>
      <w:r>
        <w:drawing>
          <wp:inline distT="0" distB="0" distL="0" distR="0">
            <wp:extent cx="5760720" cy="81470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8147050"/>
                    </a:xfrm>
                    <a:prstGeom prst="rect">
                      <a:avLst/>
                    </a:prstGeom>
                  </pic:spPr>
                </pic:pic>
              </a:graphicData>
            </a:graphic>
          </wp:inline>
        </w:drawing>
      </w:r>
    </w:p>
    <w:p>
      <w:pPr>
        <w:spacing w:line="360" w:lineRule="auto"/>
        <w:rPr>
          <w:rFonts w:asciiTheme="minorEastAsia" w:hAnsiTheme="minorEastAsia" w:eastAsiaTheme="minorEastAsia" w:cstheme="minorEastAsia"/>
          <w:b/>
          <w:bCs/>
          <w:szCs w:val="21"/>
        </w:rPr>
      </w:pPr>
      <w:bookmarkStart w:id="110" w:name="_Toc20260"/>
    </w:p>
    <w:p>
      <w:pPr>
        <w:spacing w:line="360" w:lineRule="auto"/>
        <w:outlineLvl w:val="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六、其他要求</w:t>
      </w:r>
      <w:bookmarkEnd w:id="110"/>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1.中标人严禁将项目转包、转借他人经营及使用；不得私自将项目改作其他用途，用于学校严禁经营的项目。涉及专项服务项目需分包给其它资质单位的，必须事先征得学校书面同意。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中标人应充分考虑市场变化以及学校特殊环境引起的经营风险，进行成本核算后投标。中标人必须承诺对大楼进行了充分的调查了解，同意按照其现状改造装修后进行联合经营，对本次合作可能存在的风险（包括但不限于消防手续、相关营业执照等办理）有充分的理解并愿意承担一切风险，不因中标后可能产生的任何经济或民事纠纷而对学校进行追责和索赔。学校有权拒绝中标单位在合同履行期间，以各种理由提出的减免合作经营收益要求。</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3.服务期间中标人必须无条件服从学校统一管理，对于学校后期制定的相关管理制度及奖惩条例需无条件执行。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中标人必须在项目所在地设置投诉受理点，及时处理及回复投诉或举报。有专人负责接待广大师生投诉，受理师生投诉的渠道包括但不限于电话、意见簿、信件、现场接待等；一般性投诉应在2个自然天内答复，特殊投诉在4个自然天内答复，重大投诉在7个自然天内答复；所有投诉、答复及最终解决方案均须记录。必须在运营服务点悬挂服务监督电话、损失赔偿办法和投诉受理办法。</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5.中标人在提供管理服务时必须做好各项安全防范措施，中标人所有工作人员在合约期间如发生任何人身意外、事故或触犯法律法规、损坏学校的设施和物品，由中标人负完全责任。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6.经营管理区域范围内发生的人身伤害、物品被盗或丢失、人为损坏设备设施，属中标人及其工作人员管理不善原因造成的，由中标人负责全部赔偿。</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7.中标人必须按劳动法规定，实行规范用工制，如有违反行为，由中标人负责。</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中标人及其工作人员在学校交由中标人管理和服务的工作区域内，经法定机构认定违法犯罪属实，中标人应赔偿并承担相应的法律责任，并不得再使用有关人员。中标人因工作失误造成学校物品损坏，中标人照价赔偿。</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合同到期后，中标人应在合同到期一周内，移交全部用房，并拆除与中标人知识产权有关的标志及文字，经营场地的不可移动设施设备应保持完好状态，并无偿移交学校。妥善处理合同服务期间及其期限届满后的债务以及劳资纠纷问题，做好员工队伍的思想稳定工作，否则，由中标人承担一切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中标人违约要承担违约责任。若非学校原因，中标人未按照合同规定的日期交付符合要求的服务。每逾期一日，中标人应当支付合作经营收益总额的5%作为违约金，且按天累计违约金。迟延超过10日的，学校有权解除合同，并要求中标人支付合同金额20%的违约金，该违约金学校有权直接从履约保证金中扣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因不可抗力原因（指任何一方无法预见、不可避免并不能克服的客观情况）造成合同必须提前解除时，学校在突发事件发生后15日内，以书面形式通知中标人解除协议。由此造成的损失，学校不负责承担任何经济赔偿责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12.其他未尽事宜由成交供应商和采购人按合同进行约定。</w:t>
      </w:r>
    </w:p>
    <w:p>
      <w:pPr>
        <w:spacing w:line="360" w:lineRule="auto"/>
        <w:ind w:left="630" w:leftChars="200" w:hanging="210" w:hangingChars="100"/>
      </w:pPr>
      <w:r>
        <w:rPr>
          <w:rFonts w:hint="eastAsia" w:asciiTheme="minorEastAsia" w:hAnsiTheme="minorEastAsia" w:eastAsiaTheme="minorEastAsia" w:cstheme="minorEastAsia"/>
        </w:rPr>
        <w:t>13.如遇政策文件变化，以最新政策文件为准，采购人与中标人双方协商修订合同。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14.履约保证金及返还方式：签订协议时，乙方应一次性向甲方支付履约保证金20万元（贰拾万元），作为乙方承担其在经营过程中发生的相关风险责任的经济保障，若出现一方违约情形，甲方有权从履约金中扣除相应金额，履约金不足50%时，乙方必须及时补足，否则，甲方有权从乙方营业款中扣除。履约保证金在协议期满且未出现必须扣除履约金之情形，办理移交手续后，10日内凭原始收据无息退还。</w:t>
      </w:r>
    </w:p>
    <w:p>
      <w:pPr>
        <w:spacing w:line="360" w:lineRule="auto"/>
        <w:ind w:left="630" w:leftChars="200" w:hanging="210" w:hangingChars="100"/>
      </w:pPr>
      <w:r>
        <w:rPr>
          <w:rFonts w:hint="eastAsia"/>
        </w:rPr>
        <w:t>15.经营收益收取方式与程序：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①一、二楼经营收益采购人按月营业额提点的办法核算收取成本分担费。每月的营业额提点=上月营业额×中标提点比例，提点须按月结支付给采购人。</w:t>
      </w:r>
    </w:p>
    <w:p>
      <w:pPr>
        <w:spacing w:line="360" w:lineRule="auto"/>
        <w:ind w:firstLine="420" w:firstLineChars="200"/>
      </w:pPr>
      <w:r>
        <w:rPr>
          <w:rFonts w:asciiTheme="minorEastAsia" w:hAnsiTheme="minorEastAsia" w:eastAsiaTheme="minorEastAsia" w:cstheme="minorEastAsia"/>
        </w:rPr>
        <w:t>②负一楼、三楼、四楼、五楼合作经营收益按年收取。按照“先交费后使用”的原则，合作经营收益每年缴纳一次。第一年度合作经营收益在签订合同后五个工作日内，中标人一次性支付给学校。下一年度的合作经营收益，中标人于当年的8月25日前一次性向学校交纳，以此类推。每逾期一日，学校有权按十年总合作经营收益的1‱收取违约金。</w:t>
      </w:r>
      <w:r>
        <w:rPr>
          <w:rFonts w:hint="eastAsia"/>
        </w:rPr>
        <w:br w:type="textWrapping"/>
      </w:r>
      <w:r>
        <w:rPr>
          <w:rFonts w:hint="eastAsia"/>
        </w:rPr>
        <w:t xml:space="preserve">   16.其它：其他未尽事宜由成交供应商和采购人按合同进行约定。</w:t>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pStyle w:val="3"/>
        <w:numPr>
          <w:ilvl w:val="0"/>
          <w:numId w:val="4"/>
        </w:numPr>
        <w:jc w:val="center"/>
        <w:rPr>
          <w:rFonts w:asciiTheme="minorEastAsia" w:hAnsiTheme="minorEastAsia" w:eastAsiaTheme="minorEastAsia" w:cstheme="minorEastAsia"/>
          <w:szCs w:val="21"/>
        </w:rPr>
      </w:pPr>
      <w:bookmarkStart w:id="111" w:name="_Toc16110"/>
      <w:r>
        <w:rPr>
          <w:rFonts w:hint="eastAsia" w:asciiTheme="minorEastAsia" w:hAnsiTheme="minorEastAsia" w:eastAsiaTheme="minorEastAsia" w:cstheme="minorEastAsia"/>
          <w:sz w:val="36"/>
          <w:szCs w:val="36"/>
        </w:rPr>
        <w:t>竞争性磋商采购评定办法</w:t>
      </w:r>
      <w:bookmarkEnd w:id="111"/>
    </w:p>
    <w:p>
      <w:pPr>
        <w:spacing w:line="360" w:lineRule="auto"/>
        <w:outlineLvl w:val="1"/>
        <w:rPr>
          <w:rFonts w:asciiTheme="minorEastAsia" w:hAnsiTheme="minorEastAsia" w:eastAsiaTheme="minorEastAsia" w:cstheme="minorEastAsia"/>
          <w:b/>
          <w:szCs w:val="21"/>
        </w:rPr>
      </w:pPr>
      <w:bookmarkStart w:id="112" w:name="_Toc17615"/>
      <w:r>
        <w:rPr>
          <w:rFonts w:hint="eastAsia" w:asciiTheme="minorEastAsia" w:hAnsiTheme="minorEastAsia" w:eastAsiaTheme="minorEastAsia" w:cstheme="minorEastAsia"/>
          <w:b/>
          <w:szCs w:val="21"/>
        </w:rPr>
        <w:t>一、评定办法前附表</w:t>
      </w:r>
      <w:bookmarkEnd w:id="112"/>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6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spacing w:line="360" w:lineRule="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2160" w:type="dxa"/>
            <w:vAlign w:val="center"/>
          </w:tcPr>
          <w:p>
            <w:pPr>
              <w:widowControl/>
              <w:spacing w:line="360" w:lineRule="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5671" w:type="dxa"/>
            <w:vAlign w:val="center"/>
          </w:tcPr>
          <w:p>
            <w:pPr>
              <w:widowControl/>
              <w:spacing w:line="360" w:lineRule="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满足《中华人民共和国政府采购法》第二十二条规定</w:t>
            </w:r>
          </w:p>
        </w:tc>
        <w:tc>
          <w:tcPr>
            <w:tcW w:w="5671"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（1）具有独立承担民事责任的能力；</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（2）具有良好的商业信誉和健全的财务会计制度；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（3）具有履行合同所必需的设备和专业技术能力；</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（4）有依法缴纳税收和社会保障资金的良好记录；</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（5）参加政府采购活动前三年内，在经营活动中没有重大违法记录；</w:t>
            </w:r>
          </w:p>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szCs w:val="21"/>
              </w:rPr>
            </w:pPr>
          </w:p>
        </w:tc>
        <w:tc>
          <w:tcPr>
            <w:tcW w:w="2160" w:type="dxa"/>
            <w:vMerge w:val="restart"/>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不得存在的情形</w:t>
            </w:r>
          </w:p>
        </w:tc>
        <w:tc>
          <w:tcPr>
            <w:tcW w:w="5671" w:type="dxa"/>
            <w:vAlign w:val="center"/>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单位负责人为同一人或者存在直接控股、管理关系的不同磋商代表，不得参加本项目同一合同项下的政府采购活动。（按在采购代理机构获取文件的顺次序选择供应商参加本项目）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szCs w:val="21"/>
              </w:rPr>
            </w:pPr>
          </w:p>
        </w:tc>
        <w:tc>
          <w:tcPr>
            <w:tcW w:w="2160" w:type="dxa"/>
            <w:vMerge w:val="continue"/>
            <w:vAlign w:val="center"/>
          </w:tcPr>
          <w:p>
            <w:pPr>
              <w:widowControl/>
              <w:spacing w:line="360" w:lineRule="auto"/>
              <w:rPr>
                <w:rFonts w:asciiTheme="minorEastAsia" w:hAnsiTheme="minorEastAsia" w:eastAsiaTheme="minorEastAsia" w:cstheme="minorEastAsia"/>
                <w:szCs w:val="21"/>
                <w:lang w:val="zh-CN"/>
              </w:rPr>
            </w:pPr>
          </w:p>
        </w:tc>
        <w:tc>
          <w:tcPr>
            <w:tcW w:w="5671" w:type="dxa"/>
            <w:vAlign w:val="center"/>
          </w:tcPr>
          <w:p>
            <w:pPr>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szCs w:val="21"/>
              </w:rPr>
            </w:pPr>
          </w:p>
        </w:tc>
        <w:tc>
          <w:tcPr>
            <w:tcW w:w="2160" w:type="dxa"/>
            <w:vMerge w:val="continue"/>
            <w:vAlign w:val="center"/>
          </w:tcPr>
          <w:p>
            <w:pPr>
              <w:widowControl/>
              <w:spacing w:line="360" w:lineRule="auto"/>
              <w:rPr>
                <w:rFonts w:asciiTheme="minorEastAsia" w:hAnsiTheme="minorEastAsia" w:eastAsiaTheme="minorEastAsia" w:cstheme="minorEastAsia"/>
                <w:szCs w:val="21"/>
                <w:lang w:val="zh-CN"/>
              </w:rPr>
            </w:pPr>
          </w:p>
        </w:tc>
        <w:tc>
          <w:tcPr>
            <w:tcW w:w="5671" w:type="dxa"/>
            <w:vAlign w:val="center"/>
          </w:tcPr>
          <w:p>
            <w:pPr>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未被列入失信被执行人、重大税收违法案件当事人名单（链接：https://www.creditchina.gov.cn/），未被列入政府采购严重违法失信行为记录名单（链接：http://www.ccgp.gov.cn/search/cr/）。</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以递交响应文件截止之日，采购代理机构现场网络查询并打印存档。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rPr>
              <w:t>落实政府采购政策需满足的资格要求</w:t>
            </w:r>
          </w:p>
        </w:tc>
        <w:tc>
          <w:tcPr>
            <w:tcW w:w="5671" w:type="dxa"/>
            <w:vAlign w:val="center"/>
          </w:tcPr>
          <w:p>
            <w:pPr>
              <w:widowControl/>
              <w:spacing w:line="360" w:lineRule="auto"/>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rPr>
              <w:t>特定资格要求</w:t>
            </w:r>
          </w:p>
        </w:tc>
        <w:tc>
          <w:tcPr>
            <w:tcW w:w="5671" w:type="dxa"/>
            <w:vAlign w:val="center"/>
          </w:tcPr>
          <w:p>
            <w:pPr>
              <w:widowControl/>
              <w:spacing w:line="360" w:lineRule="auto"/>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符合本采购文件第一章第二款第六条要求，并提供合格有效的证明材料</w:t>
            </w:r>
            <w:r>
              <w:rPr>
                <w:rFonts w:hint="eastAsia" w:asciiTheme="minorEastAsia" w:hAnsiTheme="minorEastAsia" w:eastAsiaTheme="minorEastAsia" w:cs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spacing w:line="360" w:lineRule="auto"/>
              <w:rPr>
                <w:rFonts w:asciiTheme="minorEastAsia" w:hAnsiTheme="minorEastAsia" w:eastAsiaTheme="minorEastAsia" w:cstheme="minorEastAsia"/>
                <w:szCs w:val="21"/>
              </w:rPr>
            </w:pPr>
          </w:p>
        </w:tc>
        <w:tc>
          <w:tcPr>
            <w:tcW w:w="2160"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5671"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Merge w:val="restart"/>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宋体" w:hAnsi="宋体" w:cs="宋体"/>
                <w:kern w:val="0"/>
                <w:szCs w:val="21"/>
                <w:shd w:val="clear" w:color="auto" w:fill="FFFFFF"/>
              </w:rPr>
              <w:t>带“★”号条款（如有）是否实质性响应磋商文件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Merge w:val="continue"/>
            <w:vAlign w:val="center"/>
          </w:tcPr>
          <w:p>
            <w:pPr>
              <w:widowControl/>
              <w:spacing w:line="360" w:lineRule="auto"/>
              <w:rPr>
                <w:rFonts w:asciiTheme="minorEastAsia" w:hAnsiTheme="minorEastAsia" w:eastAsiaTheme="minorEastAsia" w:cstheme="minorEastAsia"/>
                <w:kern w:val="0"/>
                <w:szCs w:val="21"/>
              </w:rPr>
            </w:pP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4"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其他要求（一）</w:t>
            </w:r>
          </w:p>
        </w:tc>
        <w:tc>
          <w:tcPr>
            <w:tcW w:w="5671" w:type="dxa"/>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供应商未有下列任一情形：</w:t>
            </w:r>
          </w:p>
          <w:p>
            <w:pPr>
              <w:autoSpaceDE w:val="0"/>
              <w:autoSpaceDN w:val="0"/>
              <w:adjustRightInd w:val="0"/>
              <w:snapToGrid w:val="0"/>
              <w:spacing w:line="360" w:lineRule="auto"/>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spacing w:line="360" w:lineRule="auto"/>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spacing w:line="360" w:lineRule="auto"/>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spacing w:line="360" w:lineRule="auto"/>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spacing w:line="360" w:lineRule="auto"/>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bCs/>
                <w:kern w:val="0"/>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9" w:hRule="atLeast"/>
          <w:jc w:val="center"/>
        </w:trPr>
        <w:tc>
          <w:tcPr>
            <w:tcW w:w="680" w:type="dxa"/>
            <w:vMerge w:val="restart"/>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851" w:type="dxa"/>
            <w:vMerge w:val="restart"/>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8" w:hRule="atLeast"/>
          <w:jc w:val="center"/>
        </w:trPr>
        <w:tc>
          <w:tcPr>
            <w:tcW w:w="680" w:type="dxa"/>
            <w:vMerge w:val="continue"/>
            <w:vAlign w:val="center"/>
          </w:tcPr>
          <w:p>
            <w:pPr>
              <w:widowControl/>
              <w:spacing w:line="360" w:lineRule="auto"/>
              <w:rPr>
                <w:rFonts w:asciiTheme="minorEastAsia" w:hAnsiTheme="minorEastAsia" w:eastAsiaTheme="minorEastAsia" w:cstheme="minorEastAsia"/>
                <w:kern w:val="0"/>
                <w:szCs w:val="21"/>
              </w:rPr>
            </w:pPr>
          </w:p>
        </w:tc>
        <w:tc>
          <w:tcPr>
            <w:tcW w:w="851" w:type="dxa"/>
            <w:vMerge w:val="continue"/>
            <w:vAlign w:val="center"/>
          </w:tcPr>
          <w:p>
            <w:pPr>
              <w:widowControl/>
              <w:spacing w:line="360" w:lineRule="auto"/>
              <w:rPr>
                <w:rFonts w:asciiTheme="minorEastAsia" w:hAnsiTheme="minorEastAsia" w:eastAsiaTheme="minorEastAsia" w:cstheme="minorEastAsia"/>
                <w:kern w:val="0"/>
                <w:szCs w:val="21"/>
              </w:rPr>
            </w:pPr>
          </w:p>
        </w:tc>
        <w:tc>
          <w:tcPr>
            <w:tcW w:w="216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567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p>
        </w:tc>
        <w:tc>
          <w:tcPr>
            <w:tcW w:w="851"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2160" w:type="dxa"/>
            <w:vAlign w:val="center"/>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5671"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bl>
    <w:p>
      <w:pPr>
        <w:spacing w:line="360" w:lineRule="auto"/>
        <w:outlineLvl w:val="1"/>
        <w:rPr>
          <w:rFonts w:asciiTheme="minorEastAsia" w:hAnsiTheme="minorEastAsia" w:eastAsiaTheme="minorEastAsia" w:cstheme="minorEastAsia"/>
          <w:b/>
          <w:szCs w:val="21"/>
        </w:rPr>
      </w:pPr>
      <w:bookmarkStart w:id="113" w:name="_Toc32543"/>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二、计算办法</w:t>
      </w:r>
      <w:bookmarkEnd w:id="113"/>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满足采购文件要求且报价最高的竞标报价为评标基准价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得分相同的供应商，按竞标报价由高到低顺序排列。得分且报价相同的，按技术指标优劣顺序排列。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14" w:name="_Toc18761"/>
      <w:r>
        <w:rPr>
          <w:rFonts w:hint="eastAsia" w:asciiTheme="minorEastAsia" w:hAnsiTheme="minorEastAsia" w:eastAsiaTheme="minorEastAsia" w:cstheme="minorEastAsia"/>
          <w:b/>
          <w:szCs w:val="21"/>
        </w:rPr>
        <w:t>三、评分细则</w:t>
      </w:r>
      <w:bookmarkEnd w:id="114"/>
    </w:p>
    <w:tbl>
      <w:tblPr>
        <w:tblStyle w:val="26"/>
        <w:tblW w:w="91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1132"/>
        <w:gridCol w:w="6612"/>
        <w:gridCol w:w="7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 w:hRule="atLeast"/>
          <w:tblHeader/>
        </w:trPr>
        <w:tc>
          <w:tcPr>
            <w:tcW w:w="727" w:type="dxa"/>
            <w:tcBorders>
              <w:top w:val="single" w:color="auto" w:sz="12" w:space="0"/>
            </w:tcBorders>
            <w:shd w:val="clear" w:color="auto" w:fill="D7D7D7" w:themeFill="background1" w:themeFillShade="D8"/>
            <w:vAlign w:val="center"/>
          </w:tcPr>
          <w:p>
            <w:pPr>
              <w:rPr>
                <w:rFonts w:ascii="宋体" w:hAnsi="宋体" w:cs="宋体"/>
                <w:b/>
                <w:bCs/>
                <w:spacing w:val="-6"/>
                <w:szCs w:val="21"/>
              </w:rPr>
            </w:pPr>
            <w:bookmarkStart w:id="115" w:name="_Toc17963"/>
            <w:r>
              <w:rPr>
                <w:rFonts w:hint="eastAsia" w:ascii="宋体" w:hAnsi="宋体" w:cs="宋体"/>
                <w:b/>
                <w:bCs/>
                <w:szCs w:val="21"/>
              </w:rPr>
              <w:t>类别</w:t>
            </w:r>
          </w:p>
        </w:tc>
        <w:tc>
          <w:tcPr>
            <w:tcW w:w="1132" w:type="dxa"/>
            <w:tcBorders>
              <w:top w:val="single" w:color="auto" w:sz="12" w:space="0"/>
            </w:tcBorders>
            <w:shd w:val="clear" w:color="auto" w:fill="D7D7D7" w:themeFill="background1" w:themeFillShade="D8"/>
            <w:vAlign w:val="center"/>
          </w:tcPr>
          <w:p>
            <w:pPr>
              <w:rPr>
                <w:rFonts w:ascii="宋体" w:hAnsi="宋体" w:cs="宋体"/>
                <w:b/>
                <w:bCs/>
                <w:spacing w:val="-6"/>
                <w:szCs w:val="21"/>
              </w:rPr>
            </w:pPr>
            <w:r>
              <w:rPr>
                <w:rFonts w:hint="eastAsia" w:ascii="宋体" w:hAnsi="宋体" w:cs="宋体"/>
                <w:b/>
                <w:bCs/>
                <w:szCs w:val="21"/>
              </w:rPr>
              <w:t>评标因素</w:t>
            </w:r>
          </w:p>
        </w:tc>
        <w:tc>
          <w:tcPr>
            <w:tcW w:w="6612" w:type="dxa"/>
            <w:tcBorders>
              <w:top w:val="single" w:color="auto" w:sz="12" w:space="0"/>
            </w:tcBorders>
            <w:shd w:val="clear" w:color="auto" w:fill="D7D7D7" w:themeFill="background1" w:themeFillShade="D8"/>
            <w:vAlign w:val="center"/>
          </w:tcPr>
          <w:p>
            <w:pPr>
              <w:rPr>
                <w:rFonts w:ascii="宋体" w:hAnsi="宋体" w:cs="宋体"/>
                <w:b/>
                <w:bCs/>
                <w:spacing w:val="-6"/>
                <w:szCs w:val="21"/>
              </w:rPr>
            </w:pPr>
            <w:r>
              <w:rPr>
                <w:rFonts w:hint="eastAsia" w:ascii="宋体" w:hAnsi="宋体" w:cs="宋体"/>
                <w:b/>
                <w:bCs/>
                <w:szCs w:val="21"/>
              </w:rPr>
              <w:t>评审标准</w:t>
            </w:r>
          </w:p>
        </w:tc>
        <w:tc>
          <w:tcPr>
            <w:tcW w:w="707" w:type="dxa"/>
            <w:tcBorders>
              <w:top w:val="single" w:color="auto" w:sz="12"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restart"/>
            <w:vAlign w:val="center"/>
          </w:tcPr>
          <w:p>
            <w:pPr>
              <w:widowControl/>
              <w:textAlignment w:val="center"/>
              <w:rPr>
                <w:rFonts w:ascii="宋体" w:hAnsi="宋体" w:cs="宋体"/>
                <w:spacing w:val="-6"/>
                <w:szCs w:val="21"/>
              </w:rPr>
            </w:pPr>
            <w:r>
              <w:rPr>
                <w:rFonts w:hint="eastAsia" w:ascii="宋体" w:hAnsi="宋体" w:cs="宋体"/>
                <w:kern w:val="0"/>
                <w:szCs w:val="21"/>
                <w:lang w:bidi="ar"/>
              </w:rPr>
              <w:t>投标报价</w:t>
            </w:r>
            <w:r>
              <w:rPr>
                <w:rFonts w:hint="eastAsia" w:ascii="宋体" w:hAnsi="宋体" w:cs="宋体"/>
                <w:kern w:val="0"/>
                <w:szCs w:val="21"/>
                <w:lang w:bidi="ar"/>
              </w:rPr>
              <w:br w:type="textWrapping"/>
            </w:r>
            <w:r>
              <w:rPr>
                <w:rFonts w:hint="eastAsia" w:ascii="宋体" w:hAnsi="宋体" w:cs="宋体"/>
                <w:kern w:val="0"/>
                <w:szCs w:val="21"/>
                <w:lang w:bidi="ar"/>
              </w:rPr>
              <w:t>20分</w:t>
            </w:r>
          </w:p>
        </w:tc>
        <w:tc>
          <w:tcPr>
            <w:tcW w:w="1132" w:type="dxa"/>
            <w:tcBorders>
              <w:bottom w:val="single" w:color="auto" w:sz="4" w:space="0"/>
            </w:tcBorders>
            <w:vAlign w:val="center"/>
          </w:tcPr>
          <w:p>
            <w:pPr>
              <w:widowControl/>
              <w:textAlignment w:val="center"/>
              <w:rPr>
                <w:rFonts w:ascii="宋体" w:hAnsi="宋体" w:cs="宋体"/>
                <w:spacing w:val="-6"/>
                <w:szCs w:val="21"/>
              </w:rPr>
            </w:pPr>
            <w:r>
              <w:rPr>
                <w:rFonts w:hint="eastAsia" w:ascii="宋体" w:hAnsi="宋体" w:cs="宋体"/>
                <w:spacing w:val="-6"/>
                <w:szCs w:val="21"/>
              </w:rPr>
              <w:t>改造经费</w:t>
            </w:r>
          </w:p>
        </w:tc>
        <w:tc>
          <w:tcPr>
            <w:tcW w:w="6612" w:type="dxa"/>
            <w:vAlign w:val="center"/>
          </w:tcPr>
          <w:p>
            <w:pPr>
              <w:widowControl/>
              <w:textAlignment w:val="center"/>
              <w:rPr>
                <w:rFonts w:ascii="宋体" w:hAnsi="宋体" w:cs="宋体"/>
                <w:szCs w:val="21"/>
              </w:rPr>
            </w:pPr>
            <w:r>
              <w:rPr>
                <w:rFonts w:hint="eastAsia" w:ascii="宋体" w:hAnsi="宋体" w:cs="宋体"/>
                <w:szCs w:val="21"/>
              </w:rPr>
              <w:t>1、报价采用高价优先的原则计算，即满足磋商文件要求且报价最高的报价为评标基准价，其报价分为满分10分；</w:t>
            </w:r>
            <w:r>
              <w:rPr>
                <w:rFonts w:hint="eastAsia" w:ascii="宋体" w:hAnsi="宋体" w:cs="宋体"/>
                <w:szCs w:val="21"/>
              </w:rPr>
              <w:br w:type="textWrapping"/>
            </w:r>
            <w:r>
              <w:rPr>
                <w:rFonts w:hint="eastAsia" w:ascii="宋体" w:hAnsi="宋体" w:cs="宋体"/>
                <w:szCs w:val="21"/>
              </w:rPr>
              <w:t>2、其他供应商的报价分按照下列公式计算：报价分=（投标报价／评标基准价）×10</w:t>
            </w:r>
          </w:p>
          <w:p>
            <w:pPr>
              <w:widowControl/>
              <w:textAlignment w:val="center"/>
              <w:rPr>
                <w:szCs w:val="21"/>
              </w:rPr>
            </w:pPr>
            <w:r>
              <w:rPr>
                <w:rFonts w:hint="eastAsia" w:ascii="宋体" w:hAnsi="宋体" w:cs="宋体"/>
                <w:szCs w:val="21"/>
              </w:rPr>
              <w:t>注：报价最高投入金额不限，但必须接受后期第三方审计。审计单位由采购人选定，请供应商根据实际情况合理报价。</w:t>
            </w:r>
          </w:p>
        </w:tc>
        <w:tc>
          <w:tcPr>
            <w:tcW w:w="707" w:type="dxa"/>
            <w:vAlign w:val="center"/>
          </w:tcPr>
          <w:p>
            <w:pPr>
              <w:widowControl/>
              <w:textAlignment w:val="center"/>
              <w:rPr>
                <w:rFonts w:ascii="宋体" w:hAnsi="宋体" w:cs="宋体"/>
                <w:szCs w:val="21"/>
              </w:rPr>
            </w:pPr>
            <w:r>
              <w:rPr>
                <w:rFonts w:hint="eastAsia" w:ascii="宋体" w:hAnsi="宋体" w:cs="宋体"/>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widowControl/>
              <w:textAlignment w:val="center"/>
              <w:rPr>
                <w:rFonts w:ascii="宋体" w:hAnsi="宋体" w:cs="宋体"/>
                <w:kern w:val="0"/>
                <w:szCs w:val="21"/>
                <w:lang w:bidi="ar"/>
              </w:rPr>
            </w:pPr>
          </w:p>
        </w:tc>
        <w:tc>
          <w:tcPr>
            <w:tcW w:w="1132" w:type="dxa"/>
            <w:tcBorders>
              <w:bottom w:val="single" w:color="auto" w:sz="4" w:space="0"/>
            </w:tcBorders>
            <w:vAlign w:val="center"/>
          </w:tcPr>
          <w:p>
            <w:pPr>
              <w:widowControl/>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基本伙食</w:t>
            </w:r>
            <w:r>
              <w:rPr>
                <w:rFonts w:asciiTheme="minorEastAsia" w:hAnsiTheme="minorEastAsia" w:eastAsiaTheme="minorEastAsia" w:cstheme="minorEastAsia"/>
                <w:kern w:val="0"/>
                <w:szCs w:val="21"/>
                <w:lang w:bidi="ar"/>
              </w:rPr>
              <w:t>和教职工供餐楼层</w:t>
            </w:r>
            <w:r>
              <w:rPr>
                <w:rFonts w:hint="eastAsia" w:asciiTheme="minorEastAsia" w:hAnsiTheme="minorEastAsia" w:eastAsiaTheme="minorEastAsia" w:cstheme="minorEastAsia"/>
                <w:kern w:val="0"/>
                <w:szCs w:val="21"/>
                <w:lang w:bidi="ar"/>
              </w:rPr>
              <w:t>每月营业额提点比例</w:t>
            </w:r>
          </w:p>
        </w:tc>
        <w:tc>
          <w:tcPr>
            <w:tcW w:w="6612" w:type="dxa"/>
            <w:vAlign w:val="center"/>
          </w:tcPr>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1、报价采用高价优先的原则计算，即满足磋商文件要求且报价最高的报价为评标基准价，其报价分为满分5分；</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2、其他供应商的报价分按照下列公式计算：</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报价分=（投标报价/评标基准价）×5</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注：报价区间为营业额的8%-</w:t>
            </w:r>
            <w:r>
              <w:rPr>
                <w:rFonts w:asciiTheme="minorEastAsia" w:hAnsiTheme="minorEastAsia" w:eastAsiaTheme="minorEastAsia" w:cstheme="minorEastAsia"/>
                <w:szCs w:val="21"/>
              </w:rPr>
              <w:t>10</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每月，高于或低于此标准均无效。请供应商综合分析进行严谨的成本测算后合理报价。</w:t>
            </w:r>
          </w:p>
        </w:tc>
        <w:tc>
          <w:tcPr>
            <w:tcW w:w="707" w:type="dxa"/>
            <w:vAlign w:val="center"/>
          </w:tcPr>
          <w:p>
            <w:pPr>
              <w:widowControl/>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widowControl/>
              <w:textAlignment w:val="center"/>
              <w:rPr>
                <w:rFonts w:ascii="宋体" w:hAnsi="宋体" w:cs="宋体"/>
                <w:kern w:val="0"/>
                <w:szCs w:val="21"/>
                <w:lang w:bidi="ar"/>
              </w:rPr>
            </w:pPr>
          </w:p>
        </w:tc>
        <w:tc>
          <w:tcPr>
            <w:tcW w:w="1132" w:type="dxa"/>
            <w:tcBorders>
              <w:top w:val="single" w:color="auto" w:sz="4" w:space="0"/>
              <w:bottom w:val="single" w:color="auto" w:sz="4" w:space="0"/>
            </w:tcBorders>
            <w:vAlign w:val="center"/>
          </w:tcPr>
          <w:p>
            <w:pPr>
              <w:widowControl/>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负一楼超市</w:t>
            </w:r>
            <w:r>
              <w:rPr>
                <w:rFonts w:asciiTheme="minorEastAsia" w:hAnsiTheme="minorEastAsia" w:eastAsiaTheme="minorEastAsia" w:cstheme="minorEastAsia"/>
                <w:kern w:val="0"/>
                <w:szCs w:val="21"/>
                <w:lang w:bidi="ar"/>
              </w:rPr>
              <w:t>和其他楼层</w:t>
            </w:r>
            <w:r>
              <w:rPr>
                <w:rFonts w:hint="eastAsia" w:asciiTheme="minorEastAsia" w:hAnsiTheme="minorEastAsia" w:eastAsiaTheme="minorEastAsia" w:cstheme="minorEastAsia"/>
                <w:kern w:val="0"/>
                <w:szCs w:val="21"/>
                <w:lang w:bidi="ar"/>
              </w:rPr>
              <w:t>合作经营收益</w:t>
            </w:r>
          </w:p>
        </w:tc>
        <w:tc>
          <w:tcPr>
            <w:tcW w:w="6612" w:type="dxa"/>
            <w:vAlign w:val="center"/>
          </w:tcPr>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1、报价采用高价优先的原则计算，即满足磋商文件要求且报价最高的报价为评标基准价，其报价分为满分5分；</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2、其他供应商的报价分按照下列公式计算：</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报价分=（投标报价/评标基准价）×5</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注：报价不低于180万元/年，请供应商综合分析进行严谨的成本测算后合理报价。</w:t>
            </w:r>
          </w:p>
        </w:tc>
        <w:tc>
          <w:tcPr>
            <w:tcW w:w="707" w:type="dxa"/>
            <w:vAlign w:val="center"/>
          </w:tcPr>
          <w:p>
            <w:pPr>
              <w:widowControl/>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restart"/>
            <w:vAlign w:val="center"/>
          </w:tcPr>
          <w:p>
            <w:pPr>
              <w:rPr>
                <w:rFonts w:ascii="宋体" w:hAnsi="宋体" w:cs="宋体"/>
                <w:spacing w:val="-6"/>
                <w:szCs w:val="21"/>
              </w:rPr>
            </w:pPr>
            <w:r>
              <w:rPr>
                <w:rFonts w:hint="eastAsia" w:ascii="宋体" w:hAnsi="宋体" w:cs="宋体"/>
                <w:spacing w:val="-6"/>
                <w:szCs w:val="21"/>
              </w:rPr>
              <w:t>商务</w:t>
            </w:r>
          </w:p>
          <w:p>
            <w:pPr>
              <w:rPr>
                <w:rFonts w:ascii="宋体" w:hAnsi="宋体" w:cs="宋体"/>
                <w:spacing w:val="-6"/>
                <w:szCs w:val="21"/>
              </w:rPr>
            </w:pPr>
            <w:r>
              <w:rPr>
                <w:rFonts w:hint="eastAsia" w:ascii="宋体" w:hAnsi="宋体" w:cs="宋体"/>
                <w:spacing w:val="-6"/>
                <w:szCs w:val="21"/>
              </w:rPr>
              <w:t>40分</w:t>
            </w:r>
          </w:p>
        </w:tc>
        <w:tc>
          <w:tcPr>
            <w:tcW w:w="1132" w:type="dxa"/>
            <w:vMerge w:val="restart"/>
            <w:tcBorders>
              <w:top w:val="single" w:color="auto" w:sz="4" w:space="0"/>
            </w:tcBorders>
            <w:vAlign w:val="center"/>
          </w:tcPr>
          <w:p>
            <w:pPr>
              <w:rPr>
                <w:rFonts w:ascii="宋体" w:hAnsi="宋体" w:cs="宋体"/>
                <w:spacing w:val="-6"/>
                <w:kern w:val="0"/>
                <w:szCs w:val="21"/>
              </w:rPr>
            </w:pPr>
            <w:r>
              <w:rPr>
                <w:rFonts w:hint="eastAsia" w:ascii="宋体" w:hAnsi="宋体" w:cs="宋体"/>
                <w:spacing w:val="-6"/>
                <w:kern w:val="0"/>
                <w:szCs w:val="21"/>
              </w:rPr>
              <w:t>体系认证</w:t>
            </w:r>
          </w:p>
        </w:tc>
        <w:tc>
          <w:tcPr>
            <w:tcW w:w="6612" w:type="dxa"/>
            <w:vAlign w:val="center"/>
          </w:tcPr>
          <w:p>
            <w:pPr>
              <w:rPr>
                <w:rFonts w:ascii="宋体" w:hAnsi="宋体" w:cs="宋体"/>
                <w:spacing w:val="-6"/>
                <w:szCs w:val="21"/>
              </w:rPr>
            </w:pPr>
            <w:r>
              <w:rPr>
                <w:rFonts w:hint="eastAsia" w:ascii="宋体" w:hAnsi="宋体" w:cs="宋体"/>
                <w:szCs w:val="21"/>
              </w:rPr>
              <w:t>供应商提供有效的职业健康安全管理体系认证证书的得1分；</w:t>
            </w:r>
          </w:p>
        </w:tc>
        <w:tc>
          <w:tcPr>
            <w:tcW w:w="707" w:type="dxa"/>
            <w:vAlign w:val="center"/>
          </w:tcPr>
          <w:p>
            <w:pPr>
              <w:rPr>
                <w:rFonts w:ascii="宋体" w:hAnsi="宋体" w:cs="宋体"/>
                <w:spacing w:val="-6"/>
                <w:szCs w:val="21"/>
              </w:rPr>
            </w:pPr>
            <w:r>
              <w:rPr>
                <w:rFonts w:hint="eastAsia" w:ascii="宋体" w:hAnsi="宋体" w:cs="宋体"/>
                <w:spacing w:val="-6"/>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tc>
        <w:tc>
          <w:tcPr>
            <w:tcW w:w="1132" w:type="dxa"/>
            <w:vMerge w:val="continue"/>
            <w:vAlign w:val="center"/>
          </w:tcPr>
          <w:p/>
        </w:tc>
        <w:tc>
          <w:tcPr>
            <w:tcW w:w="6612" w:type="dxa"/>
            <w:vAlign w:val="center"/>
          </w:tcPr>
          <w:p>
            <w:pPr>
              <w:rPr>
                <w:rFonts w:ascii="宋体" w:hAnsi="宋体" w:cs="宋体"/>
                <w:szCs w:val="21"/>
              </w:rPr>
            </w:pPr>
            <w:r>
              <w:rPr>
                <w:rFonts w:hint="eastAsia" w:ascii="宋体" w:hAnsi="宋体" w:cs="宋体"/>
                <w:szCs w:val="21"/>
              </w:rPr>
              <w:t>供应商提供有效的质量管理体系认证证书的得1分；</w:t>
            </w:r>
          </w:p>
        </w:tc>
        <w:tc>
          <w:tcPr>
            <w:tcW w:w="707" w:type="dxa"/>
            <w:vAlign w:val="center"/>
          </w:tcPr>
          <w:p>
            <w:pPr>
              <w:rPr>
                <w:rFonts w:ascii="宋体" w:hAnsi="宋体" w:cs="宋体"/>
                <w:szCs w:val="21"/>
              </w:rPr>
            </w:pPr>
            <w:r>
              <w:rPr>
                <w:rFonts w:hint="eastAsia" w:ascii="宋体" w:hAnsi="宋体" w:cs="宋体"/>
                <w:spacing w:val="-6"/>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pPr>
              <w:rPr>
                <w:rFonts w:ascii="宋体" w:hAnsi="宋体" w:cs="宋体"/>
                <w:szCs w:val="21"/>
              </w:rPr>
            </w:pPr>
          </w:p>
        </w:tc>
        <w:tc>
          <w:tcPr>
            <w:tcW w:w="1132" w:type="dxa"/>
            <w:vMerge w:val="continue"/>
            <w:vAlign w:val="center"/>
          </w:tcPr>
          <w:p>
            <w:pPr>
              <w:rPr>
                <w:rFonts w:ascii="宋体" w:hAnsi="宋体" w:cs="宋体"/>
                <w:szCs w:val="21"/>
              </w:rPr>
            </w:pPr>
          </w:p>
        </w:tc>
        <w:tc>
          <w:tcPr>
            <w:tcW w:w="6612" w:type="dxa"/>
            <w:vAlign w:val="center"/>
          </w:tcPr>
          <w:p>
            <w:pPr>
              <w:rPr>
                <w:rFonts w:ascii="宋体" w:hAnsi="宋体" w:cs="宋体"/>
                <w:szCs w:val="21"/>
              </w:rPr>
            </w:pPr>
            <w:r>
              <w:rPr>
                <w:rFonts w:hint="eastAsia" w:ascii="宋体" w:hAnsi="宋体" w:cs="宋体"/>
                <w:szCs w:val="21"/>
              </w:rPr>
              <w:t>供应商提供有效的环境管理体系认证的得1分；</w:t>
            </w:r>
          </w:p>
        </w:tc>
        <w:tc>
          <w:tcPr>
            <w:tcW w:w="707" w:type="dxa"/>
            <w:vAlign w:val="center"/>
          </w:tcPr>
          <w:p>
            <w:pPr>
              <w:rPr>
                <w:rFonts w:ascii="宋体" w:hAnsi="宋体" w:cs="宋体"/>
                <w:szCs w:val="21"/>
              </w:rPr>
            </w:pPr>
            <w:r>
              <w:rPr>
                <w:rFonts w:hint="eastAsia" w:ascii="宋体" w:hAnsi="宋体" w:cs="宋体"/>
                <w:spacing w:val="-6"/>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pPr>
              <w:rPr>
                <w:rFonts w:ascii="宋体" w:hAnsi="宋体" w:cs="宋体"/>
                <w:szCs w:val="21"/>
              </w:rPr>
            </w:pPr>
          </w:p>
        </w:tc>
        <w:tc>
          <w:tcPr>
            <w:tcW w:w="1132" w:type="dxa"/>
            <w:vMerge w:val="continue"/>
            <w:tcBorders>
              <w:bottom w:val="single" w:color="auto" w:sz="4" w:space="0"/>
            </w:tcBorders>
            <w:vAlign w:val="center"/>
          </w:tcPr>
          <w:p>
            <w:pPr>
              <w:rPr>
                <w:rFonts w:ascii="宋体" w:hAnsi="宋体" w:cs="宋体"/>
                <w:szCs w:val="21"/>
              </w:rPr>
            </w:pPr>
          </w:p>
        </w:tc>
        <w:tc>
          <w:tcPr>
            <w:tcW w:w="6612" w:type="dxa"/>
            <w:vAlign w:val="center"/>
          </w:tcPr>
          <w:p>
            <w:pPr>
              <w:rPr>
                <w:rFonts w:ascii="宋体" w:hAnsi="宋体" w:cs="宋体"/>
                <w:szCs w:val="21"/>
              </w:rPr>
            </w:pPr>
            <w:r>
              <w:rPr>
                <w:rFonts w:hint="eastAsia" w:ascii="宋体" w:hAnsi="宋体" w:cs="宋体"/>
                <w:szCs w:val="21"/>
              </w:rPr>
              <w:t>供应商提供有效的食品安全管理体系认证的得1分；</w:t>
            </w:r>
          </w:p>
        </w:tc>
        <w:tc>
          <w:tcPr>
            <w:tcW w:w="707" w:type="dxa"/>
            <w:vAlign w:val="center"/>
          </w:tcPr>
          <w:p>
            <w:pPr>
              <w:rPr>
                <w:rFonts w:ascii="宋体" w:hAnsi="宋体" w:cs="宋体"/>
                <w:spacing w:val="-6"/>
                <w:szCs w:val="21"/>
              </w:rPr>
            </w:pPr>
            <w:r>
              <w:rPr>
                <w:rFonts w:hint="eastAsia" w:ascii="宋体" w:hAnsi="宋体" w:cs="宋体"/>
                <w:spacing w:val="-6"/>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pPr>
              <w:rPr>
                <w:rFonts w:ascii="宋体" w:hAnsi="宋体" w:cs="宋体"/>
                <w:szCs w:val="21"/>
              </w:rPr>
            </w:pPr>
          </w:p>
        </w:tc>
        <w:tc>
          <w:tcPr>
            <w:tcW w:w="1132" w:type="dxa"/>
            <w:tcBorders>
              <w:bottom w:val="single" w:color="auto" w:sz="4" w:space="0"/>
            </w:tcBorders>
            <w:vAlign w:val="center"/>
          </w:tcPr>
          <w:p>
            <w:pPr>
              <w:rPr>
                <w:rFonts w:ascii="宋体" w:hAnsi="宋体" w:cs="宋体"/>
                <w:szCs w:val="21"/>
              </w:rPr>
            </w:pPr>
            <w:r>
              <w:rPr>
                <w:rFonts w:hint="eastAsia" w:ascii="宋体" w:hAnsi="宋体" w:cs="宋体"/>
                <w:szCs w:val="21"/>
              </w:rPr>
              <w:t>企业荣誉</w:t>
            </w:r>
          </w:p>
        </w:tc>
        <w:tc>
          <w:tcPr>
            <w:tcW w:w="6612" w:type="dxa"/>
            <w:vAlign w:val="center"/>
          </w:tcPr>
          <w:p>
            <w:pPr>
              <w:rPr>
                <w:rFonts w:ascii="宋体" w:hAnsi="宋体" w:cs="宋体"/>
                <w:szCs w:val="21"/>
              </w:rPr>
            </w:pPr>
            <w:r>
              <w:rPr>
                <w:rFonts w:hint="eastAsia" w:ascii="宋体" w:hAnsi="宋体" w:cs="宋体"/>
                <w:szCs w:val="21"/>
              </w:rPr>
              <w:t>供应商获得国家级政府部门或国家级行业协会专项荣誉的每个得1分；获得省级政府部门或省级行业协会专项荣誉，每个0.5分；此项最多得4分,未提供不得分。（提供真彩扫描件或高清复印件加盖公章）。</w:t>
            </w:r>
          </w:p>
        </w:tc>
        <w:tc>
          <w:tcPr>
            <w:tcW w:w="707" w:type="dxa"/>
            <w:vAlign w:val="center"/>
          </w:tcPr>
          <w:p>
            <w:pPr>
              <w:rPr>
                <w:rFonts w:ascii="宋体" w:hAnsi="宋体" w:cs="宋体"/>
                <w:spacing w:val="-6"/>
                <w:szCs w:val="21"/>
              </w:rPr>
            </w:pPr>
            <w:r>
              <w:rPr>
                <w:rFonts w:hint="eastAsia" w:ascii="宋体" w:hAnsi="宋体" w:cs="宋体"/>
                <w:spacing w:val="-6"/>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27" w:type="dxa"/>
            <w:vMerge w:val="continue"/>
            <w:vAlign w:val="center"/>
          </w:tcPr>
          <w:p>
            <w:pPr>
              <w:rPr>
                <w:rFonts w:ascii="宋体" w:hAnsi="宋体" w:cs="宋体"/>
                <w:szCs w:val="21"/>
              </w:rPr>
            </w:pPr>
          </w:p>
        </w:tc>
        <w:tc>
          <w:tcPr>
            <w:tcW w:w="1132" w:type="dxa"/>
            <w:tcBorders>
              <w:top w:val="single" w:color="auto" w:sz="4" w:space="0"/>
            </w:tcBorders>
            <w:vAlign w:val="center"/>
          </w:tcPr>
          <w:p>
            <w:pPr>
              <w:rPr>
                <w:rFonts w:ascii="宋体" w:hAnsi="宋体" w:cs="宋体"/>
                <w:szCs w:val="21"/>
              </w:rPr>
            </w:pPr>
            <w:r>
              <w:rPr>
                <w:rFonts w:hint="eastAsia" w:ascii="宋体" w:hAnsi="宋体" w:cs="宋体"/>
                <w:szCs w:val="21"/>
              </w:rPr>
              <w:t>财务状况</w:t>
            </w:r>
          </w:p>
        </w:tc>
        <w:tc>
          <w:tcPr>
            <w:tcW w:w="6612" w:type="dxa"/>
            <w:vAlign w:val="center"/>
          </w:tcPr>
          <w:p>
            <w:pPr>
              <w:rPr>
                <w:rFonts w:ascii="宋体" w:hAnsi="宋体" w:cs="宋体"/>
                <w:szCs w:val="21"/>
              </w:rPr>
            </w:pPr>
            <w:r>
              <w:rPr>
                <w:rFonts w:hint="eastAsia" w:ascii="宋体" w:hAnsi="宋体" w:cs="宋体"/>
                <w:szCs w:val="21"/>
              </w:rPr>
              <w:t>根据供应商提供的近五年（2015、2016、2017、2018、2019）年经审计盖章的财务报告，对其经营状况、财务状况相互比较（成立不足三年的按公司成立时的间起算）：</w:t>
            </w:r>
          </w:p>
          <w:p>
            <w:pPr>
              <w:rPr>
                <w:rFonts w:ascii="宋体" w:hAnsi="宋体" w:cs="宋体"/>
                <w:szCs w:val="21"/>
              </w:rPr>
            </w:pPr>
            <w:r>
              <w:rPr>
                <w:rFonts w:hint="eastAsia" w:ascii="宋体" w:hAnsi="宋体" w:cs="宋体"/>
                <w:szCs w:val="21"/>
              </w:rPr>
              <w:t>偿债能力、盈利能力和抗风险能力强的，得5分；</w:t>
            </w:r>
          </w:p>
          <w:p>
            <w:pPr>
              <w:rPr>
                <w:rFonts w:ascii="宋体" w:hAnsi="宋体" w:cs="宋体"/>
                <w:szCs w:val="21"/>
              </w:rPr>
            </w:pPr>
            <w:r>
              <w:rPr>
                <w:rFonts w:hint="eastAsia" w:ascii="宋体" w:hAnsi="宋体" w:cs="宋体"/>
                <w:szCs w:val="21"/>
              </w:rPr>
              <w:t>盈利情况一般，偿债能力和抗风险能力一般的，得3分；</w:t>
            </w:r>
          </w:p>
          <w:p>
            <w:pPr>
              <w:rPr>
                <w:rFonts w:ascii="宋体" w:hAnsi="宋体" w:cs="宋体"/>
                <w:szCs w:val="21"/>
              </w:rPr>
            </w:pPr>
            <w:r>
              <w:rPr>
                <w:rFonts w:hint="eastAsia" w:ascii="宋体" w:hAnsi="宋体" w:cs="宋体"/>
                <w:szCs w:val="21"/>
              </w:rPr>
              <w:t>无盈利，偿债能力和抗风险能力差的，得2分；</w:t>
            </w:r>
          </w:p>
        </w:tc>
        <w:tc>
          <w:tcPr>
            <w:tcW w:w="707" w:type="dxa"/>
            <w:vAlign w:val="center"/>
          </w:tcPr>
          <w:p>
            <w:pP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rPr>
                <w:rFonts w:ascii="宋体" w:hAnsi="宋体" w:cs="宋体"/>
                <w:szCs w:val="21"/>
              </w:rPr>
            </w:pPr>
          </w:p>
        </w:tc>
        <w:tc>
          <w:tcPr>
            <w:tcW w:w="1132" w:type="dxa"/>
            <w:tcBorders>
              <w:top w:val="single" w:color="auto" w:sz="4" w:space="0"/>
            </w:tcBorders>
            <w:vAlign w:val="center"/>
          </w:tcPr>
          <w:p>
            <w:pPr>
              <w:rPr>
                <w:rFonts w:ascii="宋体" w:hAnsi="宋体" w:cs="宋体"/>
                <w:szCs w:val="21"/>
              </w:rPr>
            </w:pPr>
            <w:r>
              <w:rPr>
                <w:rFonts w:hint="eastAsia" w:ascii="宋体" w:hAnsi="宋体" w:cs="宋体"/>
                <w:spacing w:val="-6"/>
                <w:kern w:val="0"/>
                <w:szCs w:val="21"/>
              </w:rPr>
              <w:t>类似业绩</w:t>
            </w:r>
          </w:p>
        </w:tc>
        <w:tc>
          <w:tcPr>
            <w:tcW w:w="6612" w:type="dxa"/>
            <w:vAlign w:val="center"/>
          </w:tcPr>
          <w:p>
            <w:pPr>
              <w:rPr>
                <w:rFonts w:ascii="宋体" w:hAnsi="宋体" w:cs="宋体"/>
                <w:szCs w:val="21"/>
              </w:rPr>
            </w:pPr>
            <w:r>
              <w:rPr>
                <w:rFonts w:hint="eastAsia" w:ascii="宋体" w:hAnsi="宋体" w:cs="宋体"/>
                <w:szCs w:val="21"/>
              </w:rPr>
              <w:t>供应商近五年内（2016年7月至今）以来有正在运营管理集商超、餐饮一体的以特色精品和品质消费为主的大型商业综合体，5000㎡及以上（含5000㎡），每一个2分；5000㎡以下，每一个1分，最多5分 。（提供成交通知书、合同协议书、彩色实景照片至少十张）</w:t>
            </w:r>
          </w:p>
        </w:tc>
        <w:tc>
          <w:tcPr>
            <w:tcW w:w="707" w:type="dxa"/>
            <w:vAlign w:val="center"/>
          </w:tcPr>
          <w:p>
            <w:pPr>
              <w:rPr>
                <w:rFonts w:ascii="宋体" w:hAnsi="宋体" w:cs="宋体"/>
                <w:szCs w:val="21"/>
              </w:rPr>
            </w:pPr>
            <w:r>
              <w:rPr>
                <w:rFonts w:hint="eastAsia" w:ascii="宋体" w:hAnsi="宋体" w:cs="宋体"/>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727" w:type="dxa"/>
            <w:vMerge w:val="continue"/>
            <w:vAlign w:val="center"/>
          </w:tcPr>
          <w:p>
            <w:pPr>
              <w:rPr>
                <w:rFonts w:ascii="宋体" w:hAnsi="宋体" w:cs="宋体"/>
                <w:szCs w:val="21"/>
              </w:rPr>
            </w:pPr>
          </w:p>
        </w:tc>
        <w:tc>
          <w:tcPr>
            <w:tcW w:w="1132" w:type="dxa"/>
            <w:vAlign w:val="center"/>
          </w:tcPr>
          <w:p>
            <w:pPr>
              <w:rPr>
                <w:rFonts w:ascii="宋体" w:hAnsi="宋体" w:cs="宋体"/>
                <w:szCs w:val="21"/>
              </w:rPr>
            </w:pPr>
            <w:r>
              <w:rPr>
                <w:rFonts w:hint="eastAsia" w:ascii="宋体" w:hAnsi="宋体" w:cs="宋体"/>
                <w:szCs w:val="21"/>
              </w:rPr>
              <w:t>招商能力</w:t>
            </w:r>
          </w:p>
        </w:tc>
        <w:tc>
          <w:tcPr>
            <w:tcW w:w="6612" w:type="dxa"/>
            <w:vAlign w:val="center"/>
          </w:tcPr>
          <w:p>
            <w:pPr>
              <w:rPr>
                <w:rFonts w:ascii="宋体" w:hAnsi="宋体" w:cs="宋体"/>
                <w:szCs w:val="21"/>
              </w:rPr>
            </w:pPr>
            <w:r>
              <w:rPr>
                <w:rFonts w:hint="eastAsia" w:ascii="宋体" w:hAnsi="宋体" w:cs="宋体"/>
                <w:szCs w:val="21"/>
              </w:rPr>
              <w:t>提供实际经营项目中（合同剩余有效期在一年以上的）有国际知名连锁品牌合作合同的每份1分，最高8分；有国内知名连锁品牌合作合同的每份0.5分，最高4分。</w:t>
            </w:r>
          </w:p>
          <w:p>
            <w:pPr>
              <w:rPr>
                <w:rFonts w:ascii="宋体" w:hAnsi="宋体" w:cs="宋体"/>
                <w:szCs w:val="21"/>
              </w:rPr>
            </w:pPr>
            <w:r>
              <w:rPr>
                <w:rFonts w:hint="eastAsia" w:ascii="宋体" w:hAnsi="宋体" w:cs="宋体"/>
                <w:szCs w:val="21"/>
              </w:rPr>
              <w:t>证明材料：提供清晰完整的证明材料加盖章公章，否则不得分。</w:t>
            </w:r>
          </w:p>
          <w:p>
            <w:pPr>
              <w:rPr>
                <w:rFonts w:ascii="宋体" w:hAnsi="宋体" w:cs="宋体"/>
                <w:szCs w:val="21"/>
              </w:rPr>
            </w:pPr>
            <w:r>
              <w:rPr>
                <w:rFonts w:hint="eastAsia" w:ascii="宋体" w:hAnsi="宋体" w:cs="宋体"/>
                <w:szCs w:val="21"/>
              </w:rPr>
              <w:t>国际知名连锁品牌定义：在官网或百度百科能查询到连锁门店数量在3万家及以上的品牌。</w:t>
            </w:r>
          </w:p>
          <w:p>
            <w:pPr>
              <w:rPr>
                <w:rFonts w:ascii="宋体" w:hAnsi="宋体" w:cs="宋体"/>
                <w:szCs w:val="21"/>
              </w:rPr>
            </w:pPr>
            <w:r>
              <w:rPr>
                <w:rFonts w:hint="eastAsia" w:ascii="宋体" w:hAnsi="宋体" w:cs="宋体"/>
                <w:szCs w:val="21"/>
              </w:rPr>
              <w:t>国内知名连锁品牌定义：在官网或百度百科能查询到连锁门店数量在500家及以上的品牌。</w:t>
            </w:r>
          </w:p>
        </w:tc>
        <w:tc>
          <w:tcPr>
            <w:tcW w:w="707" w:type="dxa"/>
            <w:vAlign w:val="center"/>
          </w:tcPr>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rPr>
                <w:rFonts w:ascii="宋体" w:hAnsi="宋体" w:cs="宋体"/>
                <w:szCs w:val="21"/>
              </w:rPr>
            </w:pPr>
          </w:p>
        </w:tc>
        <w:tc>
          <w:tcPr>
            <w:tcW w:w="1132" w:type="dxa"/>
            <w:vAlign w:val="center"/>
          </w:tcPr>
          <w:p>
            <w:pPr>
              <w:rPr>
                <w:rFonts w:ascii="宋体" w:hAnsi="宋体" w:cs="宋体"/>
                <w:szCs w:val="21"/>
              </w:rPr>
            </w:pPr>
            <w:r>
              <w:rPr>
                <w:rFonts w:ascii="宋体" w:hAnsi="宋体" w:cs="宋体"/>
                <w:szCs w:val="21"/>
              </w:rPr>
              <w:t>风险控制</w:t>
            </w:r>
          </w:p>
        </w:tc>
        <w:tc>
          <w:tcPr>
            <w:tcW w:w="6612" w:type="dxa"/>
            <w:vAlign w:val="center"/>
          </w:tcPr>
          <w:p>
            <w:pPr>
              <w:rPr>
                <w:rFonts w:ascii="宋体" w:hAnsi="宋体" w:cs="宋体"/>
                <w:szCs w:val="21"/>
              </w:rPr>
            </w:pPr>
            <w:r>
              <w:rPr>
                <w:rFonts w:hint="eastAsia" w:ascii="宋体" w:hAnsi="宋体" w:cs="宋体"/>
                <w:szCs w:val="21"/>
              </w:rPr>
              <w:t>供应商通过向商业保险公司购买第三方责任险（包括但不限于雇主责任险和食品安全责任险等）方式来达到企业风险控制能力的，需且提交保单证明资料，保额（投入的所有保险保额总合）在500万元（含）以上得6分，保额在200万元（含）-500万元的得3分，保额在200万元以下的得2分（提供保单资料，购买日期在公告后无效）</w:t>
            </w:r>
          </w:p>
        </w:tc>
        <w:tc>
          <w:tcPr>
            <w:tcW w:w="707" w:type="dxa"/>
            <w:vAlign w:val="center"/>
          </w:tcPr>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727" w:type="dxa"/>
            <w:vMerge w:val="continue"/>
            <w:vAlign w:val="center"/>
          </w:tcPr>
          <w:p>
            <w:pPr>
              <w:rPr>
                <w:rFonts w:ascii="宋体" w:hAnsi="宋体" w:cs="宋体"/>
                <w:szCs w:val="21"/>
              </w:rPr>
            </w:pPr>
          </w:p>
        </w:tc>
        <w:tc>
          <w:tcPr>
            <w:tcW w:w="1132" w:type="dxa"/>
            <w:vAlign w:val="center"/>
          </w:tcPr>
          <w:p>
            <w:pPr>
              <w:rPr>
                <w:rFonts w:ascii="宋体" w:hAnsi="宋体" w:cs="宋体"/>
                <w:szCs w:val="21"/>
              </w:rPr>
            </w:pPr>
            <w:r>
              <w:rPr>
                <w:rFonts w:hint="eastAsia" w:ascii="宋体" w:hAnsi="宋体" w:cs="宋体"/>
                <w:szCs w:val="21"/>
              </w:rPr>
              <w:t>常驻管理人员</w:t>
            </w:r>
          </w:p>
        </w:tc>
        <w:tc>
          <w:tcPr>
            <w:tcW w:w="6612" w:type="dxa"/>
            <w:vAlign w:val="center"/>
          </w:tcPr>
          <w:p>
            <w:pPr>
              <w:rPr>
                <w:rFonts w:ascii="宋体" w:hAnsi="宋体" w:cs="宋体"/>
                <w:szCs w:val="21"/>
              </w:rPr>
            </w:pPr>
            <w:r>
              <w:rPr>
                <w:rFonts w:hint="eastAsia" w:ascii="宋体" w:hAnsi="宋体" w:cs="宋体"/>
                <w:szCs w:val="21"/>
              </w:rPr>
              <w:t>供应商</w:t>
            </w:r>
            <w:r>
              <w:rPr>
                <w:rFonts w:hint="eastAsia" w:ascii="宋体" w:hAnsi="宋体" w:cs="宋体"/>
                <w:szCs w:val="21"/>
                <w:lang w:val="zh-CN"/>
              </w:rPr>
              <w:t>拟投入本项目的</w:t>
            </w:r>
            <w:r>
              <w:rPr>
                <w:rFonts w:hint="eastAsia" w:ascii="宋体" w:hAnsi="宋体" w:cs="宋体"/>
                <w:szCs w:val="21"/>
              </w:rPr>
              <w:t>常驻管理人员（行政管理、人事宣传管理、财务管理、运营管理）具备本科及以上学历的，满足1人得1分，最高得4分；</w:t>
            </w:r>
            <w:r>
              <w:rPr>
                <w:rFonts w:hint="eastAsia" w:ascii="宋体" w:hAnsi="宋体" w:cs="宋体"/>
                <w:szCs w:val="21"/>
                <w:lang w:val="zh-CN"/>
              </w:rPr>
              <w:t>（须提供清晰证书</w:t>
            </w:r>
            <w:r>
              <w:rPr>
                <w:rFonts w:hint="eastAsia" w:ascii="宋体" w:hAnsi="宋体" w:cs="宋体"/>
                <w:szCs w:val="21"/>
              </w:rPr>
              <w:t>证明材料</w:t>
            </w:r>
            <w:r>
              <w:rPr>
                <w:rFonts w:hint="eastAsia" w:ascii="宋体" w:hAnsi="宋体" w:cs="宋体"/>
                <w:szCs w:val="21"/>
                <w:lang w:val="zh-CN"/>
              </w:rPr>
              <w:t>及</w:t>
            </w:r>
            <w:r>
              <w:rPr>
                <w:rFonts w:hint="eastAsia" w:ascii="宋体" w:hAnsi="宋体" w:cs="宋体"/>
                <w:szCs w:val="21"/>
              </w:rPr>
              <w:t>供应商</w:t>
            </w:r>
            <w:r>
              <w:rPr>
                <w:rFonts w:hint="eastAsia" w:ascii="宋体" w:hAnsi="宋体" w:cs="宋体"/>
                <w:szCs w:val="21"/>
                <w:lang w:val="zh-CN"/>
              </w:rPr>
              <w:t>单位为该员工缴纳</w:t>
            </w:r>
            <w:r>
              <w:rPr>
                <w:rFonts w:hint="eastAsia" w:ascii="宋体" w:hAnsi="宋体" w:cs="宋体"/>
                <w:szCs w:val="21"/>
              </w:rPr>
              <w:t>近六个月</w:t>
            </w:r>
            <w:r>
              <w:rPr>
                <w:rFonts w:hint="eastAsia" w:ascii="宋体" w:hAnsi="宋体" w:cs="宋体"/>
                <w:szCs w:val="21"/>
                <w:lang w:val="zh-CN"/>
              </w:rPr>
              <w:t>社保的证明材料）</w:t>
            </w:r>
          </w:p>
        </w:tc>
        <w:tc>
          <w:tcPr>
            <w:tcW w:w="707" w:type="dxa"/>
            <w:vAlign w:val="center"/>
          </w:tcPr>
          <w:p>
            <w:pPr>
              <w:autoSpaceDE w:val="0"/>
              <w:autoSpaceDN w:val="0"/>
              <w:adjustRightInd w:val="0"/>
              <w:ind w:right="71" w:rightChars="34"/>
              <w:rPr>
                <w:rFonts w:ascii="宋体" w:hAnsi="宋体" w:cs="宋体"/>
                <w:spacing w:val="-6"/>
                <w:szCs w:val="21"/>
              </w:rPr>
            </w:pPr>
            <w:r>
              <w:rPr>
                <w:rFonts w:hint="eastAsia" w:ascii="宋体" w:hAnsi="宋体" w:cs="宋体"/>
                <w:spacing w:val="-6"/>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restart"/>
            <w:vAlign w:val="center"/>
          </w:tcPr>
          <w:p>
            <w:pPr>
              <w:rPr>
                <w:rFonts w:ascii="宋体" w:hAnsi="宋体" w:cs="宋体"/>
                <w:spacing w:val="-6"/>
                <w:szCs w:val="21"/>
              </w:rPr>
            </w:pPr>
            <w:r>
              <w:rPr>
                <w:rFonts w:hint="eastAsia" w:ascii="宋体" w:hAnsi="宋体" w:cs="宋体"/>
                <w:spacing w:val="-6"/>
                <w:szCs w:val="21"/>
              </w:rPr>
              <w:t>技术服务</w:t>
            </w:r>
          </w:p>
          <w:p>
            <w:pPr>
              <w:rPr>
                <w:rFonts w:ascii="宋体" w:hAnsi="宋体" w:cs="宋体"/>
                <w:spacing w:val="-6"/>
                <w:szCs w:val="21"/>
              </w:rPr>
            </w:pPr>
            <w:r>
              <w:rPr>
                <w:rFonts w:hint="eastAsia" w:ascii="宋体" w:hAnsi="宋体" w:cs="宋体"/>
                <w:spacing w:val="-6"/>
                <w:szCs w:val="21"/>
              </w:rPr>
              <w:t>40分</w:t>
            </w:r>
          </w:p>
        </w:tc>
        <w:tc>
          <w:tcPr>
            <w:tcW w:w="1132" w:type="dxa"/>
            <w:vMerge w:val="restart"/>
            <w:vAlign w:val="center"/>
          </w:tcPr>
          <w:p>
            <w:pPr>
              <w:rPr>
                <w:rFonts w:ascii="宋体" w:hAnsi="宋体" w:cs="宋体"/>
                <w:spacing w:val="-6"/>
                <w:szCs w:val="21"/>
              </w:rPr>
            </w:pPr>
            <w:r>
              <w:rPr>
                <w:rFonts w:hint="eastAsia" w:ascii="宋体" w:hAnsi="宋体" w:cs="宋体"/>
                <w:szCs w:val="21"/>
              </w:rPr>
              <w:t>整体装修改造方案</w:t>
            </w:r>
          </w:p>
        </w:tc>
        <w:tc>
          <w:tcPr>
            <w:tcW w:w="6612" w:type="dxa"/>
            <w:vAlign w:val="center"/>
          </w:tcPr>
          <w:p>
            <w:pPr>
              <w:rPr>
                <w:rFonts w:ascii="宋体" w:hAnsi="宋体" w:cs="宋体"/>
                <w:szCs w:val="21"/>
              </w:rPr>
            </w:pPr>
            <w:r>
              <w:rPr>
                <w:rFonts w:hint="eastAsia" w:ascii="宋体" w:hAnsi="宋体" w:cs="宋体"/>
                <w:szCs w:val="21"/>
              </w:rPr>
              <w:t>根据供应商装修方案的整体布局是否符合行业规范标准，功能布局合理性，全楼智慧化建设完善性，满足兼顾师生学习交流、课外活动和休闲需要进行综合评议：</w:t>
            </w:r>
            <w:r>
              <w:rPr>
                <w:rFonts w:hint="eastAsia" w:ascii="宋体" w:hAnsi="宋体" w:cs="宋体"/>
                <w:szCs w:val="21"/>
              </w:rPr>
              <w:br w:type="textWrapping"/>
            </w:r>
            <w:r>
              <w:rPr>
                <w:rFonts w:hint="eastAsia" w:ascii="宋体" w:hAnsi="宋体" w:cs="宋体"/>
                <w:szCs w:val="21"/>
              </w:rPr>
              <w:t>方案描述清晰、详尽，措施具有可行性、可操作性的，得6分；</w:t>
            </w:r>
          </w:p>
          <w:p>
            <w:pPr>
              <w:rPr>
                <w:rFonts w:ascii="宋体" w:hAnsi="宋体" w:cs="宋体"/>
                <w:szCs w:val="21"/>
              </w:rPr>
            </w:pPr>
            <w:r>
              <w:rPr>
                <w:rFonts w:hint="eastAsia" w:ascii="宋体" w:hAnsi="宋体" w:cs="宋体"/>
                <w:szCs w:val="21"/>
              </w:rPr>
              <w:t>方案描述基本清晰，有措施的，得3分；</w:t>
            </w:r>
          </w:p>
          <w:p>
            <w:pPr>
              <w:rPr>
                <w:rFonts w:ascii="宋体" w:hAnsi="宋体" w:cs="宋体"/>
                <w:szCs w:val="21"/>
              </w:rPr>
            </w:pPr>
            <w:r>
              <w:rPr>
                <w:rFonts w:hint="eastAsia" w:ascii="宋体" w:hAnsi="宋体" w:cs="宋体"/>
                <w:szCs w:val="21"/>
              </w:rPr>
              <w:t>有方案、有措施，但描述不清晰，有明显缺陷的，得2分；</w:t>
            </w:r>
          </w:p>
          <w:p>
            <w:pPr>
              <w:rPr>
                <w:rFonts w:ascii="宋体" w:hAnsi="宋体" w:cs="宋体"/>
                <w:szCs w:val="21"/>
              </w:rPr>
            </w:pPr>
            <w:r>
              <w:rPr>
                <w:rFonts w:hint="eastAsia" w:ascii="宋体" w:hAnsi="宋体" w:cs="宋体"/>
                <w:szCs w:val="21"/>
              </w:rPr>
              <w:t>未提供不得分。</w:t>
            </w:r>
          </w:p>
        </w:tc>
        <w:tc>
          <w:tcPr>
            <w:tcW w:w="707" w:type="dxa"/>
            <w:vAlign w:val="center"/>
          </w:tcPr>
          <w:p>
            <w:pPr>
              <w:ind w:left="-4" w:leftChars="-2" w:firstLine="2" w:firstLineChars="1"/>
              <w:rPr>
                <w:rFonts w:ascii="宋体" w:hAnsi="宋体" w:cs="宋体"/>
                <w:kern w:val="0"/>
                <w:szCs w:val="21"/>
              </w:rPr>
            </w:pPr>
            <w:r>
              <w:rPr>
                <w:rFonts w:hint="eastAsia" w:ascii="宋体" w:hAnsi="宋体" w:cs="宋体"/>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727" w:type="dxa"/>
            <w:vMerge w:val="continue"/>
            <w:vAlign w:val="center"/>
          </w:tcPr>
          <w:p>
            <w:pPr>
              <w:ind w:left="-4" w:leftChars="-2" w:firstLine="2" w:firstLineChars="1"/>
            </w:pPr>
          </w:p>
        </w:tc>
        <w:tc>
          <w:tcPr>
            <w:tcW w:w="1132" w:type="dxa"/>
            <w:vMerge w:val="continue"/>
            <w:vAlign w:val="center"/>
          </w:tcPr>
          <w:p>
            <w:pPr>
              <w:ind w:left="-4" w:leftChars="-2" w:firstLine="2" w:firstLineChars="1"/>
            </w:pPr>
          </w:p>
        </w:tc>
        <w:tc>
          <w:tcPr>
            <w:tcW w:w="6612" w:type="dxa"/>
            <w:vAlign w:val="center"/>
          </w:tcPr>
          <w:p>
            <w:pPr>
              <w:rPr>
                <w:rFonts w:ascii="宋体" w:hAnsi="宋体" w:cs="宋体"/>
                <w:szCs w:val="21"/>
              </w:rPr>
            </w:pPr>
            <w:r>
              <w:rPr>
                <w:rFonts w:hint="eastAsia" w:ascii="宋体" w:hAnsi="宋体" w:cs="宋体"/>
                <w:szCs w:val="21"/>
              </w:rPr>
              <w:t>根据供应商提供的效果图纸表达能力进行综合评议；</w:t>
            </w:r>
          </w:p>
          <w:p>
            <w:pPr>
              <w:rPr>
                <w:rFonts w:ascii="宋体" w:hAnsi="宋体" w:cs="宋体"/>
                <w:szCs w:val="21"/>
              </w:rPr>
            </w:pPr>
            <w:r>
              <w:rPr>
                <w:rFonts w:hint="eastAsia" w:ascii="宋体" w:hAnsi="宋体" w:cs="宋体"/>
                <w:szCs w:val="21"/>
              </w:rPr>
              <w:t>科学、合理，针对性强，3分；</w:t>
            </w:r>
          </w:p>
          <w:p>
            <w:pPr>
              <w:rPr>
                <w:rFonts w:ascii="宋体" w:hAnsi="宋体" w:cs="宋体"/>
                <w:szCs w:val="21"/>
              </w:rPr>
            </w:pPr>
            <w:r>
              <w:rPr>
                <w:rFonts w:hint="eastAsia" w:ascii="宋体" w:hAnsi="宋体" w:cs="宋体"/>
                <w:szCs w:val="21"/>
              </w:rPr>
              <w:t>合理，可行，2分；</w:t>
            </w:r>
          </w:p>
          <w:p>
            <w:pPr>
              <w:rPr>
                <w:rFonts w:ascii="宋体" w:hAnsi="宋体" w:cs="宋体"/>
                <w:szCs w:val="21"/>
              </w:rPr>
            </w:pPr>
            <w:r>
              <w:rPr>
                <w:rFonts w:hint="eastAsia" w:ascii="宋体" w:hAnsi="宋体" w:cs="宋体"/>
                <w:szCs w:val="21"/>
              </w:rPr>
              <w:t>欠合理，基本可行，1分；</w:t>
            </w:r>
          </w:p>
          <w:p>
            <w:pPr>
              <w:rPr>
                <w:rFonts w:ascii="宋体" w:hAnsi="宋体" w:cs="宋体"/>
                <w:szCs w:val="21"/>
              </w:rPr>
            </w:pPr>
            <w:r>
              <w:rPr>
                <w:rFonts w:hint="eastAsia" w:ascii="宋体" w:hAnsi="宋体" w:cs="宋体"/>
                <w:szCs w:val="21"/>
              </w:rPr>
              <w:t>不可行，0 分。</w:t>
            </w:r>
          </w:p>
        </w:tc>
        <w:tc>
          <w:tcPr>
            <w:tcW w:w="707" w:type="dxa"/>
            <w:vAlign w:val="center"/>
          </w:tcPr>
          <w:p>
            <w:pPr>
              <w:rPr>
                <w:rFonts w:ascii="宋体" w:hAnsi="宋体" w:cs="宋体"/>
                <w:kern w:val="0"/>
                <w:szCs w:val="21"/>
              </w:rPr>
            </w:pPr>
            <w:r>
              <w:rPr>
                <w:rFonts w:hint="eastAsia" w:ascii="宋体" w:hAnsi="宋体" w:cs="宋体"/>
                <w:kern w:val="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ind w:left="-4" w:leftChars="-2" w:firstLine="2" w:firstLineChars="1"/>
              <w:rPr>
                <w:rFonts w:ascii="宋体" w:hAnsi="宋体" w:cs="宋体"/>
                <w:kern w:val="0"/>
                <w:szCs w:val="21"/>
              </w:rPr>
            </w:pPr>
          </w:p>
        </w:tc>
        <w:tc>
          <w:tcPr>
            <w:tcW w:w="1132" w:type="dxa"/>
            <w:vMerge w:val="continue"/>
            <w:vAlign w:val="center"/>
          </w:tcPr>
          <w:p>
            <w:pPr>
              <w:ind w:left="-4" w:leftChars="-2" w:firstLine="2" w:firstLineChars="1"/>
              <w:rPr>
                <w:rFonts w:ascii="宋体" w:hAnsi="宋体" w:cs="宋体"/>
                <w:kern w:val="0"/>
                <w:szCs w:val="21"/>
              </w:rPr>
            </w:pPr>
          </w:p>
        </w:tc>
        <w:tc>
          <w:tcPr>
            <w:tcW w:w="6612" w:type="dxa"/>
            <w:vAlign w:val="center"/>
          </w:tcPr>
          <w:p>
            <w:pPr>
              <w:rPr>
                <w:rFonts w:ascii="宋体" w:hAnsi="宋体" w:cs="宋体"/>
                <w:szCs w:val="21"/>
              </w:rPr>
            </w:pPr>
            <w:r>
              <w:rPr>
                <w:rFonts w:hint="eastAsia" w:ascii="宋体" w:hAnsi="宋体" w:cs="宋体"/>
                <w:szCs w:val="21"/>
              </w:rPr>
              <w:t>根据供应商提供的装修投入预算明细进行综合评议；</w:t>
            </w:r>
          </w:p>
          <w:p>
            <w:pPr>
              <w:rPr>
                <w:rFonts w:ascii="宋体" w:hAnsi="宋体" w:cs="宋体"/>
                <w:szCs w:val="21"/>
              </w:rPr>
            </w:pPr>
            <w:r>
              <w:rPr>
                <w:rFonts w:hint="eastAsia" w:ascii="宋体" w:hAnsi="宋体" w:cs="宋体"/>
                <w:szCs w:val="21"/>
              </w:rPr>
              <w:t>科学、合理，针对性强，3分；</w:t>
            </w:r>
          </w:p>
          <w:p>
            <w:pPr>
              <w:rPr>
                <w:rFonts w:ascii="宋体" w:hAnsi="宋体" w:cs="宋体"/>
                <w:szCs w:val="21"/>
              </w:rPr>
            </w:pPr>
            <w:r>
              <w:rPr>
                <w:rFonts w:hint="eastAsia" w:ascii="宋体" w:hAnsi="宋体" w:cs="宋体"/>
                <w:szCs w:val="21"/>
              </w:rPr>
              <w:t>合理，可行，2分；</w:t>
            </w:r>
          </w:p>
          <w:p>
            <w:pPr>
              <w:rPr>
                <w:rFonts w:ascii="宋体" w:hAnsi="宋体" w:cs="宋体"/>
                <w:szCs w:val="21"/>
              </w:rPr>
            </w:pPr>
            <w:r>
              <w:rPr>
                <w:rFonts w:hint="eastAsia" w:ascii="宋体" w:hAnsi="宋体" w:cs="宋体"/>
                <w:szCs w:val="21"/>
              </w:rPr>
              <w:t>欠合理，基本可行，1分；</w:t>
            </w:r>
          </w:p>
          <w:p>
            <w:pPr>
              <w:rPr>
                <w:rFonts w:ascii="宋体" w:hAnsi="宋体" w:cs="宋体"/>
                <w:szCs w:val="21"/>
              </w:rPr>
            </w:pPr>
            <w:r>
              <w:rPr>
                <w:rFonts w:hint="eastAsia" w:ascii="宋体" w:hAnsi="宋体" w:cs="宋体"/>
                <w:szCs w:val="21"/>
              </w:rPr>
              <w:t>不可行，0 分。</w:t>
            </w:r>
          </w:p>
        </w:tc>
        <w:tc>
          <w:tcPr>
            <w:tcW w:w="707" w:type="dxa"/>
            <w:vAlign w:val="center"/>
          </w:tcPr>
          <w:p>
            <w:pPr>
              <w:rPr>
                <w:rFonts w:ascii="宋体" w:hAnsi="宋体" w:cs="宋体"/>
                <w:kern w:val="0"/>
                <w:szCs w:val="21"/>
              </w:rPr>
            </w:pPr>
            <w:r>
              <w:rPr>
                <w:rFonts w:hint="eastAsia" w:ascii="宋体" w:hAnsi="宋体" w:cs="宋体"/>
                <w:kern w:val="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kern w:val="0"/>
                <w:szCs w:val="21"/>
              </w:rPr>
            </w:pPr>
          </w:p>
        </w:tc>
        <w:tc>
          <w:tcPr>
            <w:tcW w:w="1132" w:type="dxa"/>
            <w:vMerge w:val="restart"/>
            <w:vAlign w:val="center"/>
          </w:tcPr>
          <w:p>
            <w:pPr>
              <w:ind w:left="-4" w:leftChars="-2" w:firstLine="2" w:firstLineChars="1"/>
              <w:rPr>
                <w:rFonts w:ascii="宋体" w:hAnsi="宋体" w:cs="宋体"/>
                <w:kern w:val="0"/>
                <w:szCs w:val="21"/>
              </w:rPr>
            </w:pPr>
            <w:r>
              <w:rPr>
                <w:rFonts w:hint="eastAsia" w:ascii="宋体" w:hAnsi="宋体" w:cs="宋体"/>
                <w:kern w:val="0"/>
                <w:szCs w:val="21"/>
              </w:rPr>
              <w:t>运营及招商管理方案</w:t>
            </w:r>
          </w:p>
        </w:tc>
        <w:tc>
          <w:tcPr>
            <w:tcW w:w="6612" w:type="dxa"/>
            <w:vAlign w:val="center"/>
          </w:tcPr>
          <w:p>
            <w:pPr>
              <w:tabs>
                <w:tab w:val="left" w:pos="747"/>
              </w:tabs>
              <w:ind w:left="-4" w:leftChars="-2" w:firstLine="2" w:firstLineChars="1"/>
              <w:rPr>
                <w:rFonts w:ascii="宋体" w:hAnsi="宋体" w:cs="宋体"/>
                <w:szCs w:val="21"/>
              </w:rPr>
            </w:pPr>
            <w:r>
              <w:rPr>
                <w:rFonts w:hint="eastAsia" w:ascii="宋体" w:hAnsi="宋体" w:cs="宋体"/>
                <w:szCs w:val="21"/>
              </w:rPr>
              <w:t>根据供应商提供的针对本项目进行市场调研（包含但不限于学校和周边客源环境调研分析、本项目的受益预估、运营前景分析）进行综合评议：</w:t>
            </w:r>
            <w:r>
              <w:rPr>
                <w:rFonts w:hint="eastAsia" w:ascii="宋体" w:hAnsi="宋体" w:cs="宋体"/>
                <w:szCs w:val="21"/>
              </w:rPr>
              <w:br w:type="textWrapping"/>
            </w:r>
            <w:r>
              <w:rPr>
                <w:rFonts w:hint="eastAsia" w:ascii="宋体" w:hAnsi="宋体" w:cs="宋体"/>
                <w:szCs w:val="21"/>
              </w:rPr>
              <w:t>方案描述清晰、详尽，措施具有可行性、可操作性的，得4分；</w:t>
            </w:r>
          </w:p>
          <w:p>
            <w:pPr>
              <w:tabs>
                <w:tab w:val="left" w:pos="747"/>
              </w:tabs>
              <w:ind w:left="-4" w:leftChars="-2" w:firstLine="2" w:firstLineChars="1"/>
              <w:rPr>
                <w:rFonts w:ascii="宋体" w:hAnsi="宋体" w:cs="宋体"/>
                <w:szCs w:val="21"/>
              </w:rPr>
            </w:pPr>
            <w:r>
              <w:rPr>
                <w:rFonts w:hint="eastAsia" w:ascii="宋体" w:hAnsi="宋体" w:cs="宋体"/>
                <w:szCs w:val="21"/>
              </w:rPr>
              <w:t>方案描述基本清晰，有措施的，得2分；</w:t>
            </w:r>
          </w:p>
          <w:p>
            <w:pPr>
              <w:tabs>
                <w:tab w:val="left" w:pos="747"/>
              </w:tabs>
              <w:ind w:left="-4" w:leftChars="-2" w:firstLine="2" w:firstLineChars="1"/>
              <w:rPr>
                <w:rFonts w:ascii="宋体" w:hAnsi="宋体" w:cs="宋体"/>
                <w:kern w:val="0"/>
                <w:szCs w:val="21"/>
              </w:rPr>
            </w:pPr>
            <w:r>
              <w:rPr>
                <w:rFonts w:hint="eastAsia" w:ascii="宋体" w:hAnsi="宋体" w:cs="宋体"/>
                <w:szCs w:val="21"/>
              </w:rPr>
              <w:t>有方案、有措施，但描述不清晰，有明显缺陷的，得1</w:t>
            </w:r>
            <w:r>
              <w:rPr>
                <w:rFonts w:hint="eastAsia" w:ascii="宋体" w:hAnsi="宋体" w:cs="宋体"/>
                <w:kern w:val="0"/>
                <w:szCs w:val="21"/>
              </w:rPr>
              <w:t>分；</w:t>
            </w:r>
          </w:p>
          <w:p>
            <w:pPr>
              <w:tabs>
                <w:tab w:val="left" w:pos="456"/>
              </w:tabs>
              <w:rPr>
                <w:rFonts w:ascii="宋体" w:hAnsi="宋体" w:cs="宋体"/>
                <w:szCs w:val="21"/>
              </w:rPr>
            </w:pPr>
            <w:r>
              <w:rPr>
                <w:rFonts w:hint="eastAsia" w:ascii="宋体" w:hAnsi="宋体" w:cs="宋体"/>
                <w:kern w:val="0"/>
                <w:szCs w:val="21"/>
              </w:rPr>
              <w:t>未提供不得分。</w:t>
            </w:r>
          </w:p>
        </w:tc>
        <w:tc>
          <w:tcPr>
            <w:tcW w:w="707" w:type="dxa"/>
            <w:vAlign w:val="center"/>
          </w:tcPr>
          <w:p>
            <w:pPr>
              <w:rPr>
                <w:rFonts w:ascii="宋体" w:hAnsi="宋体" w:cs="宋体"/>
                <w:szCs w:val="21"/>
              </w:rPr>
            </w:pPr>
            <w:r>
              <w:rPr>
                <w:rFonts w:hint="eastAsia" w:ascii="宋体" w:hAnsi="宋体" w:cs="宋体"/>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kern w:val="0"/>
                <w:szCs w:val="21"/>
              </w:rPr>
            </w:pPr>
          </w:p>
        </w:tc>
        <w:tc>
          <w:tcPr>
            <w:tcW w:w="1132" w:type="dxa"/>
            <w:vMerge w:val="continue"/>
            <w:vAlign w:val="center"/>
          </w:tcPr>
          <w:p>
            <w:pPr>
              <w:ind w:left="-4" w:leftChars="-2" w:firstLine="2" w:firstLineChars="1"/>
              <w:rPr>
                <w:rFonts w:ascii="宋体" w:hAnsi="宋体" w:cs="宋体"/>
                <w:kern w:val="0"/>
                <w:szCs w:val="21"/>
              </w:rPr>
            </w:pPr>
          </w:p>
        </w:tc>
        <w:tc>
          <w:tcPr>
            <w:tcW w:w="6612" w:type="dxa"/>
            <w:vAlign w:val="center"/>
          </w:tcPr>
          <w:p>
            <w:pPr>
              <w:tabs>
                <w:tab w:val="left" w:pos="747"/>
              </w:tabs>
              <w:ind w:left="-4" w:leftChars="-2" w:firstLine="2" w:firstLineChars="1"/>
              <w:rPr>
                <w:rFonts w:ascii="宋体" w:hAnsi="宋体" w:cs="宋体"/>
                <w:szCs w:val="21"/>
              </w:rPr>
            </w:pPr>
            <w:r>
              <w:rPr>
                <w:rFonts w:hint="eastAsia" w:ascii="宋体" w:hAnsi="宋体" w:cs="宋体"/>
                <w:szCs w:val="21"/>
              </w:rPr>
              <w:t>根据供应商提供的国际知名连锁、国内知名连锁、及其他品牌招商方案进行综合评分：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方案描述清晰、详尽，措施具有可行性、可操作性的，得3分；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方案描述基本清晰，有措施的，得2分；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有方案、有措施，但描述不清晰，有明显缺陷的，得1分；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未提供不得分。</w:t>
            </w:r>
          </w:p>
        </w:tc>
        <w:tc>
          <w:tcPr>
            <w:tcW w:w="707" w:type="dxa"/>
            <w:vAlign w:val="center"/>
          </w:tcPr>
          <w:p>
            <w:pPr>
              <w:ind w:left="-4" w:leftChars="-2" w:firstLine="2" w:firstLineChars="1"/>
              <w:rPr>
                <w:rFonts w:ascii="宋体" w:hAnsi="宋体" w:cs="宋体"/>
                <w:kern w:val="0"/>
                <w:szCs w:val="21"/>
              </w:rPr>
            </w:pPr>
            <w:r>
              <w:rPr>
                <w:rFonts w:hint="eastAsia" w:ascii="宋体" w:hAnsi="宋体" w:cs="宋体"/>
                <w:kern w:val="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rPr>
                <w:rFonts w:ascii="宋体" w:hAnsi="宋体" w:cs="宋体"/>
                <w:szCs w:val="21"/>
              </w:rPr>
            </w:pPr>
          </w:p>
        </w:tc>
        <w:tc>
          <w:tcPr>
            <w:tcW w:w="1132" w:type="dxa"/>
            <w:vMerge w:val="continue"/>
            <w:vAlign w:val="center"/>
          </w:tcPr>
          <w:p>
            <w:pPr>
              <w:rPr>
                <w:rFonts w:ascii="宋体" w:hAnsi="宋体" w:cs="宋体"/>
                <w:szCs w:val="21"/>
              </w:rPr>
            </w:pPr>
          </w:p>
        </w:tc>
        <w:tc>
          <w:tcPr>
            <w:tcW w:w="6612" w:type="dxa"/>
            <w:vAlign w:val="center"/>
          </w:tcPr>
          <w:p>
            <w:pPr>
              <w:tabs>
                <w:tab w:val="left" w:pos="747"/>
              </w:tabs>
              <w:ind w:left="-4" w:leftChars="-2" w:firstLine="2" w:firstLineChars="1"/>
              <w:rPr>
                <w:rFonts w:ascii="宋体" w:hAnsi="宋体" w:cs="宋体"/>
                <w:kern w:val="0"/>
                <w:szCs w:val="21"/>
              </w:rPr>
            </w:pPr>
            <w:r>
              <w:rPr>
                <w:rFonts w:hint="eastAsia" w:ascii="宋体" w:hAnsi="宋体" w:cs="宋体"/>
                <w:szCs w:val="21"/>
              </w:rPr>
              <w:t>根据供应商提供的针对本项目日常运营管理方案（包含但不限于食品安全、生产安全、消防安全、物资采购管理、产品品控管理、定价体系管理、物流管理、人事管理、防疫管理、应急预案等）进行综合评议：</w:t>
            </w:r>
            <w:r>
              <w:rPr>
                <w:rFonts w:hint="eastAsia" w:ascii="宋体" w:hAnsi="宋体" w:cs="宋体"/>
                <w:szCs w:val="21"/>
              </w:rPr>
              <w:br w:type="textWrapping"/>
            </w:r>
            <w:r>
              <w:rPr>
                <w:rFonts w:hint="eastAsia" w:ascii="宋体" w:hAnsi="宋体" w:cs="宋体"/>
                <w:kern w:val="0"/>
                <w:szCs w:val="21"/>
              </w:rPr>
              <w:t>方案描述清晰、详尽，措施具有可行性、可操作性的，得4分；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方案描述基本清晰，有措施的，得3分；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有方案、有措施，但描述不清晰，有明显缺陷的，得1分；</w:t>
            </w:r>
          </w:p>
          <w:p>
            <w:pPr>
              <w:tabs>
                <w:tab w:val="left" w:pos="456"/>
              </w:tabs>
              <w:rPr>
                <w:rFonts w:ascii="宋体" w:hAnsi="宋体" w:cs="宋体"/>
                <w:sz w:val="18"/>
                <w:szCs w:val="18"/>
              </w:rPr>
            </w:pPr>
            <w:r>
              <w:rPr>
                <w:rFonts w:hint="eastAsia" w:ascii="宋体" w:hAnsi="宋体" w:cs="宋体"/>
                <w:kern w:val="0"/>
                <w:szCs w:val="21"/>
              </w:rPr>
              <w:t>未提供不得分。</w:t>
            </w:r>
          </w:p>
        </w:tc>
        <w:tc>
          <w:tcPr>
            <w:tcW w:w="707" w:type="dxa"/>
            <w:vAlign w:val="center"/>
          </w:tcPr>
          <w:p>
            <w:pPr>
              <w:rPr>
                <w:rFonts w:ascii="宋体" w:hAnsi="宋体" w:cs="宋体"/>
                <w:szCs w:val="21"/>
              </w:rPr>
            </w:pPr>
            <w:r>
              <w:rPr>
                <w:rFonts w:hint="eastAsia" w:ascii="宋体" w:hAnsi="宋体" w:cs="宋体"/>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tabs>
                <w:tab w:val="left" w:pos="1467"/>
              </w:tabs>
              <w:ind w:left="-4" w:leftChars="-2" w:firstLine="2" w:firstLineChars="1"/>
              <w:rPr>
                <w:rFonts w:ascii="宋体" w:hAnsi="宋体" w:cs="宋体"/>
                <w:kern w:val="0"/>
                <w:szCs w:val="21"/>
              </w:rPr>
            </w:pPr>
          </w:p>
        </w:tc>
        <w:tc>
          <w:tcPr>
            <w:tcW w:w="1132" w:type="dxa"/>
            <w:vAlign w:val="center"/>
          </w:tcPr>
          <w:p>
            <w:pPr>
              <w:widowControl/>
              <w:rPr>
                <w:rFonts w:ascii="宋体" w:hAnsi="宋体" w:cs="宋体"/>
                <w:szCs w:val="21"/>
              </w:rPr>
            </w:pPr>
            <w:r>
              <w:rPr>
                <w:rFonts w:hint="eastAsia" w:ascii="宋体" w:hAnsi="宋体" w:cs="宋体"/>
                <w:szCs w:val="21"/>
              </w:rPr>
              <w:t>安全保障措施方案</w:t>
            </w:r>
          </w:p>
        </w:tc>
        <w:tc>
          <w:tcPr>
            <w:tcW w:w="6612" w:type="dxa"/>
            <w:vAlign w:val="center"/>
          </w:tcPr>
          <w:p>
            <w:pPr>
              <w:tabs>
                <w:tab w:val="left" w:pos="747"/>
              </w:tabs>
              <w:ind w:left="-4" w:leftChars="-2" w:firstLine="2" w:firstLineChars="1"/>
            </w:pPr>
            <w:r>
              <w:rPr>
                <w:rFonts w:hint="eastAsia"/>
              </w:rPr>
              <w:t>根据供应商提供的安全保障措施（包含但不限于食品安全、水电煤气使用安全、疫情防控、消防安全、人身财产安全等校园安全措施）的合理性进行综合评议；</w:t>
            </w:r>
          </w:p>
          <w:p>
            <w:pPr>
              <w:tabs>
                <w:tab w:val="left" w:pos="747"/>
              </w:tabs>
              <w:ind w:left="-4" w:leftChars="-2" w:firstLine="2" w:firstLineChars="1"/>
            </w:pPr>
            <w:r>
              <w:rPr>
                <w:rFonts w:hint="eastAsia"/>
              </w:rPr>
              <w:t>方案描述清晰、详尽，措施具有可行性、可操作性的，得5分；</w:t>
            </w:r>
          </w:p>
          <w:p>
            <w:pPr>
              <w:tabs>
                <w:tab w:val="left" w:pos="747"/>
              </w:tabs>
              <w:ind w:left="-4" w:leftChars="-2" w:firstLine="2" w:firstLineChars="1"/>
            </w:pPr>
            <w:r>
              <w:rPr>
                <w:rFonts w:hint="eastAsia"/>
              </w:rPr>
              <w:t>方案描述基本清晰，有措施的，得3分；</w:t>
            </w:r>
          </w:p>
          <w:p>
            <w:pPr>
              <w:tabs>
                <w:tab w:val="left" w:pos="747"/>
              </w:tabs>
              <w:ind w:left="-4" w:leftChars="-2" w:firstLine="2" w:firstLineChars="1"/>
            </w:pPr>
            <w:r>
              <w:rPr>
                <w:rFonts w:hint="eastAsia"/>
              </w:rPr>
              <w:t>有方案、有措施，但描述不清晰，有明显缺陷的，得1分；</w:t>
            </w:r>
          </w:p>
          <w:p>
            <w:pPr>
              <w:tabs>
                <w:tab w:val="left" w:pos="747"/>
              </w:tabs>
              <w:ind w:left="-4" w:leftChars="-2" w:firstLine="2" w:firstLineChars="1"/>
            </w:pPr>
            <w:r>
              <w:rPr>
                <w:rFonts w:hint="eastAsia"/>
              </w:rPr>
              <w:t>未提供不得分。</w:t>
            </w:r>
          </w:p>
        </w:tc>
        <w:tc>
          <w:tcPr>
            <w:tcW w:w="707" w:type="dxa"/>
            <w:vAlign w:val="center"/>
          </w:tcPr>
          <w:p>
            <w:pPr>
              <w:widowControl/>
              <w:rPr>
                <w:rFonts w:ascii="宋体" w:hAnsi="宋体" w:cs="宋体"/>
                <w:kern w:val="0"/>
                <w:szCs w:val="21"/>
              </w:rPr>
            </w:pPr>
            <w:r>
              <w:rPr>
                <w:rFonts w:hint="eastAsia" w:ascii="宋体" w:hAnsi="宋体" w:cs="宋体"/>
                <w:kern w:val="0"/>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tabs>
                <w:tab w:val="left" w:pos="1467"/>
              </w:tabs>
              <w:ind w:left="-4" w:leftChars="-2" w:firstLine="2" w:firstLineChars="1"/>
              <w:rPr>
                <w:rFonts w:ascii="宋体" w:hAnsi="宋体" w:cs="宋体"/>
                <w:kern w:val="0"/>
                <w:szCs w:val="21"/>
              </w:rPr>
            </w:pPr>
          </w:p>
        </w:tc>
        <w:tc>
          <w:tcPr>
            <w:tcW w:w="1132" w:type="dxa"/>
            <w:vMerge w:val="restart"/>
            <w:vAlign w:val="center"/>
          </w:tcPr>
          <w:p>
            <w:pPr>
              <w:ind w:left="-4" w:leftChars="-2" w:firstLine="2" w:firstLineChars="1"/>
              <w:rPr>
                <w:rFonts w:ascii="宋体" w:hAnsi="宋体" w:cs="宋体"/>
                <w:kern w:val="0"/>
                <w:szCs w:val="21"/>
              </w:rPr>
            </w:pPr>
            <w:r>
              <w:rPr>
                <w:rFonts w:hint="eastAsia" w:ascii="宋体" w:hAnsi="宋体" w:cs="宋体"/>
                <w:kern w:val="0"/>
                <w:szCs w:val="21"/>
              </w:rPr>
              <w:t>项目管理机构</w:t>
            </w:r>
          </w:p>
          <w:p>
            <w:pPr>
              <w:widowControl/>
              <w:rPr>
                <w:rFonts w:ascii="宋体" w:hAnsi="宋体" w:cs="宋体"/>
                <w:szCs w:val="21"/>
              </w:rPr>
            </w:pPr>
          </w:p>
        </w:tc>
        <w:tc>
          <w:tcPr>
            <w:tcW w:w="6612" w:type="dxa"/>
            <w:vAlign w:val="center"/>
          </w:tcPr>
          <w:p>
            <w:pPr>
              <w:rPr>
                <w:rFonts w:ascii="宋体" w:hAnsi="宋体" w:cs="宋体"/>
                <w:szCs w:val="21"/>
              </w:rPr>
            </w:pPr>
            <w:r>
              <w:rPr>
                <w:rFonts w:hint="eastAsia" w:ascii="宋体" w:hAnsi="宋体" w:cs="宋体"/>
                <w:szCs w:val="21"/>
              </w:rPr>
              <w:t>根据供应商提供的负责</w:t>
            </w:r>
            <w:r>
              <w:rPr>
                <w:rFonts w:ascii="宋体" w:hAnsi="宋体" w:cs="宋体"/>
                <w:szCs w:val="21"/>
              </w:rPr>
              <w:t>综合体</w:t>
            </w:r>
            <w:r>
              <w:rPr>
                <w:rFonts w:hint="eastAsia" w:ascii="宋体" w:hAnsi="宋体" w:cs="宋体"/>
                <w:szCs w:val="21"/>
              </w:rPr>
              <w:t>日常</w:t>
            </w:r>
            <w:r>
              <w:rPr>
                <w:rFonts w:ascii="宋体" w:hAnsi="宋体" w:cs="宋体"/>
                <w:szCs w:val="21"/>
              </w:rPr>
              <w:t>运营</w:t>
            </w:r>
            <w:r>
              <w:rPr>
                <w:rFonts w:hint="eastAsia" w:ascii="宋体" w:hAnsi="宋体" w:cs="宋体"/>
                <w:szCs w:val="21"/>
              </w:rPr>
              <w:t>及</w:t>
            </w:r>
            <w:r>
              <w:rPr>
                <w:rFonts w:ascii="宋体" w:hAnsi="宋体" w:cs="宋体"/>
                <w:szCs w:val="21"/>
              </w:rPr>
              <w:t>管理</w:t>
            </w:r>
            <w:r>
              <w:rPr>
                <w:rFonts w:hint="eastAsia" w:ascii="宋体" w:hAnsi="宋体" w:cs="宋体"/>
                <w:szCs w:val="21"/>
              </w:rPr>
              <w:t>的管理机构（包含但不限于管理机构设立、岗位职责与规范、员工培训及管理方案（包括职业道德、岗位技能、食品安全、消防安全等）的合理性进行综合评议；</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方案描述清晰、详尽，措施具有可行性、可操作性的，得4分；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方案描述基本清晰，有措施的，得2分；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有方案、有措施，但描述不清晰，有明显缺陷的，得1分；</w:t>
            </w:r>
          </w:p>
          <w:p>
            <w:pPr>
              <w:rPr>
                <w:rFonts w:ascii="宋体" w:hAnsi="宋体" w:cs="宋体"/>
                <w:szCs w:val="21"/>
              </w:rPr>
            </w:pPr>
            <w:r>
              <w:rPr>
                <w:rFonts w:hint="eastAsia" w:ascii="宋体" w:hAnsi="宋体" w:cs="宋体"/>
                <w:kern w:val="0"/>
                <w:szCs w:val="21"/>
              </w:rPr>
              <w:t>提供管理人员名单、组织结构、从业年限、学历证明、专业证书或相关培训、认证、职业资格证书等证明材料，未提供本项不得分。</w:t>
            </w:r>
          </w:p>
        </w:tc>
        <w:tc>
          <w:tcPr>
            <w:tcW w:w="707" w:type="dxa"/>
            <w:vAlign w:val="center"/>
          </w:tcPr>
          <w:p>
            <w:pPr>
              <w:rPr>
                <w:rFonts w:ascii="宋体" w:hAnsi="宋体" w:cs="宋体"/>
                <w:kern w:val="0"/>
                <w:szCs w:val="21"/>
              </w:rPr>
            </w:pPr>
            <w:r>
              <w:rPr>
                <w:rFonts w:hint="eastAsia" w:ascii="宋体" w:hAnsi="宋体" w:cs="宋体"/>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tabs>
                <w:tab w:val="left" w:pos="1467"/>
              </w:tabs>
              <w:ind w:left="-4" w:leftChars="-2" w:firstLine="2" w:firstLineChars="1"/>
              <w:rPr>
                <w:rFonts w:ascii="宋体" w:hAnsi="宋体" w:cs="宋体"/>
                <w:kern w:val="0"/>
                <w:szCs w:val="21"/>
              </w:rPr>
            </w:pPr>
          </w:p>
        </w:tc>
        <w:tc>
          <w:tcPr>
            <w:tcW w:w="1132" w:type="dxa"/>
            <w:vMerge w:val="continue"/>
            <w:vAlign w:val="center"/>
          </w:tcPr>
          <w:p>
            <w:pPr>
              <w:widowControl/>
              <w:rPr>
                <w:rFonts w:ascii="宋体" w:hAnsi="宋体" w:cs="宋体"/>
                <w:szCs w:val="21"/>
              </w:rPr>
            </w:pPr>
          </w:p>
        </w:tc>
        <w:tc>
          <w:tcPr>
            <w:tcW w:w="6612" w:type="dxa"/>
            <w:vAlign w:val="center"/>
          </w:tcPr>
          <w:p>
            <w:pPr>
              <w:rPr>
                <w:rFonts w:ascii="宋体" w:hAnsi="宋体" w:cs="宋体"/>
                <w:szCs w:val="21"/>
              </w:rPr>
            </w:pPr>
            <w:r>
              <w:rPr>
                <w:rFonts w:hint="eastAsia" w:ascii="宋体" w:hAnsi="宋体" w:cs="宋体"/>
                <w:szCs w:val="21"/>
              </w:rPr>
              <w:t>根据供应商提供的负责</w:t>
            </w:r>
            <w:r>
              <w:rPr>
                <w:rFonts w:ascii="宋体" w:hAnsi="宋体" w:cs="宋体"/>
                <w:szCs w:val="21"/>
              </w:rPr>
              <w:t>综合体</w:t>
            </w:r>
            <w:r>
              <w:rPr>
                <w:rFonts w:hint="eastAsia" w:ascii="宋体" w:hAnsi="宋体" w:cs="宋体"/>
                <w:szCs w:val="21"/>
              </w:rPr>
              <w:t>日常</w:t>
            </w:r>
            <w:r>
              <w:rPr>
                <w:rFonts w:ascii="宋体" w:hAnsi="宋体" w:cs="宋体"/>
                <w:szCs w:val="21"/>
              </w:rPr>
              <w:t>运营</w:t>
            </w:r>
            <w:r>
              <w:rPr>
                <w:rFonts w:hint="eastAsia" w:ascii="宋体" w:hAnsi="宋体" w:cs="宋体"/>
                <w:szCs w:val="21"/>
              </w:rPr>
              <w:t>及</w:t>
            </w:r>
            <w:r>
              <w:rPr>
                <w:rFonts w:ascii="宋体" w:hAnsi="宋体" w:cs="宋体"/>
                <w:szCs w:val="21"/>
              </w:rPr>
              <w:t>管理</w:t>
            </w:r>
            <w:r>
              <w:rPr>
                <w:rFonts w:hint="eastAsia" w:ascii="宋体" w:hAnsi="宋体" w:cs="宋体"/>
                <w:szCs w:val="21"/>
              </w:rPr>
              <w:t>的管理机构各项制度（包含但不限于运营管理制度、商户管理制度、服务质量考评制度、从业人员培训制度、责任追究制度等）合理性进行综合评议；</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方案描述清晰、详尽，措施具有可行性、可操作性的，得4分；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方案描述基本清晰，有措施的，得2分；</w:t>
            </w:r>
          </w:p>
          <w:p>
            <w:pPr>
              <w:tabs>
                <w:tab w:val="left" w:pos="747"/>
              </w:tabs>
              <w:ind w:left="-4" w:leftChars="-2" w:firstLine="2" w:firstLineChars="1"/>
              <w:rPr>
                <w:rFonts w:ascii="宋体" w:hAnsi="宋体" w:cs="宋体"/>
                <w:kern w:val="0"/>
                <w:szCs w:val="21"/>
              </w:rPr>
            </w:pPr>
            <w:r>
              <w:rPr>
                <w:rFonts w:hint="eastAsia" w:ascii="宋体" w:hAnsi="宋体" w:cs="宋体"/>
                <w:kern w:val="0"/>
                <w:szCs w:val="21"/>
              </w:rPr>
              <w:t>有方案、有措施，但描述不清晰，有明显缺陷的，得1分；</w:t>
            </w:r>
          </w:p>
          <w:p>
            <w:pPr>
              <w:rPr>
                <w:rFonts w:ascii="宋体" w:hAnsi="宋体" w:cs="宋体"/>
                <w:szCs w:val="21"/>
              </w:rPr>
            </w:pPr>
            <w:r>
              <w:rPr>
                <w:rFonts w:hint="eastAsia" w:ascii="宋体" w:hAnsi="宋体" w:cs="宋体"/>
                <w:kern w:val="0"/>
                <w:szCs w:val="21"/>
              </w:rPr>
              <w:t>未提供不得分。</w:t>
            </w:r>
          </w:p>
        </w:tc>
        <w:tc>
          <w:tcPr>
            <w:tcW w:w="707" w:type="dxa"/>
            <w:vAlign w:val="center"/>
          </w:tcPr>
          <w:p>
            <w:pPr>
              <w:rPr>
                <w:rFonts w:ascii="宋体" w:hAnsi="宋体" w:cs="宋体"/>
                <w:kern w:val="0"/>
                <w:szCs w:val="21"/>
              </w:rPr>
            </w:pPr>
            <w:r>
              <w:rPr>
                <w:rFonts w:hint="eastAsia" w:ascii="宋体" w:hAnsi="宋体" w:cs="宋体"/>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tabs>
                <w:tab w:val="left" w:pos="1467"/>
              </w:tabs>
              <w:ind w:left="-4" w:leftChars="-2" w:firstLine="2" w:firstLineChars="1"/>
              <w:rPr>
                <w:rFonts w:ascii="宋体" w:hAnsi="宋体" w:cs="宋体"/>
                <w:kern w:val="0"/>
                <w:szCs w:val="21"/>
              </w:rPr>
            </w:pPr>
          </w:p>
        </w:tc>
        <w:tc>
          <w:tcPr>
            <w:tcW w:w="1132" w:type="dxa"/>
            <w:vAlign w:val="center"/>
          </w:tcPr>
          <w:p>
            <w:pPr>
              <w:widowControl/>
              <w:rPr>
                <w:rFonts w:ascii="宋体" w:hAnsi="宋体" w:cs="宋体"/>
                <w:szCs w:val="21"/>
              </w:rPr>
            </w:pPr>
            <w:r>
              <w:rPr>
                <w:rFonts w:hint="eastAsia" w:ascii="宋体" w:hAnsi="宋体" w:cs="宋体"/>
                <w:szCs w:val="21"/>
              </w:rPr>
              <w:t>相关承诺</w:t>
            </w:r>
          </w:p>
        </w:tc>
        <w:tc>
          <w:tcPr>
            <w:tcW w:w="6612" w:type="dxa"/>
            <w:vAlign w:val="center"/>
          </w:tcPr>
          <w:p>
            <w:pPr>
              <w:rPr>
                <w:rFonts w:ascii="宋体" w:hAnsi="宋体" w:cs="宋体"/>
                <w:kern w:val="0"/>
                <w:szCs w:val="21"/>
              </w:rPr>
            </w:pPr>
            <w:r>
              <w:rPr>
                <w:rFonts w:hint="eastAsia" w:ascii="宋体" w:hAnsi="宋体" w:cs="宋体"/>
                <w:kern w:val="0"/>
                <w:szCs w:val="21"/>
              </w:rPr>
              <w:t>根据供应商提供的按时缴纳合作经营收益承诺书以及违约罚款承诺及罚款具体金额和条款进行综合评议；</w:t>
            </w:r>
            <w:r>
              <w:rPr>
                <w:rFonts w:hint="eastAsia" w:ascii="宋体" w:hAnsi="宋体" w:cs="宋体"/>
                <w:kern w:val="0"/>
                <w:szCs w:val="21"/>
              </w:rPr>
              <w:br w:type="textWrapping"/>
            </w:r>
            <w:r>
              <w:rPr>
                <w:rFonts w:hint="eastAsia" w:ascii="宋体" w:hAnsi="宋体" w:cs="宋体"/>
                <w:kern w:val="0"/>
                <w:szCs w:val="21"/>
              </w:rPr>
              <w:t>科学、合理，针对性强，2分；</w:t>
            </w:r>
          </w:p>
          <w:p>
            <w:pPr>
              <w:rPr>
                <w:rFonts w:ascii="宋体" w:hAnsi="宋体" w:cs="宋体"/>
                <w:kern w:val="0"/>
                <w:szCs w:val="21"/>
              </w:rPr>
            </w:pPr>
            <w:r>
              <w:rPr>
                <w:rFonts w:hint="eastAsia" w:ascii="宋体" w:hAnsi="宋体" w:cs="宋体"/>
                <w:kern w:val="0"/>
                <w:szCs w:val="21"/>
              </w:rPr>
              <w:t>合理，可行，1分；</w:t>
            </w:r>
          </w:p>
          <w:p>
            <w:pPr>
              <w:rPr>
                <w:rFonts w:ascii="宋体" w:hAnsi="宋体" w:cs="宋体"/>
                <w:kern w:val="0"/>
                <w:szCs w:val="21"/>
              </w:rPr>
            </w:pPr>
            <w:r>
              <w:rPr>
                <w:rFonts w:hint="eastAsia" w:ascii="宋体" w:hAnsi="宋体" w:cs="宋体"/>
                <w:kern w:val="0"/>
                <w:szCs w:val="21"/>
              </w:rPr>
              <w:t>欠合理，基本可行，0.5分；</w:t>
            </w:r>
          </w:p>
          <w:p>
            <w:pPr>
              <w:rPr>
                <w:rFonts w:ascii="宋体" w:hAnsi="宋体" w:cs="宋体"/>
                <w:kern w:val="0"/>
                <w:szCs w:val="21"/>
              </w:rPr>
            </w:pPr>
            <w:r>
              <w:rPr>
                <w:rFonts w:hint="eastAsia" w:ascii="宋体" w:hAnsi="宋体" w:cs="宋体"/>
                <w:kern w:val="0"/>
                <w:szCs w:val="21"/>
              </w:rPr>
              <w:t>未提供承诺书的本项不得分。</w:t>
            </w:r>
          </w:p>
        </w:tc>
        <w:tc>
          <w:tcPr>
            <w:tcW w:w="707" w:type="dxa"/>
            <w:vAlign w:val="center"/>
          </w:tcPr>
          <w:p>
            <w:pPr>
              <w:rPr>
                <w:rFonts w:ascii="宋体" w:hAnsi="宋体" w:cs="宋体"/>
                <w:kern w:val="0"/>
                <w:szCs w:val="21"/>
              </w:rPr>
            </w:pPr>
            <w:r>
              <w:rPr>
                <w:rFonts w:hint="eastAsia" w:ascii="宋体" w:hAnsi="宋体" w:cs="宋体"/>
                <w:kern w:val="0"/>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727" w:type="dxa"/>
            <w:vMerge w:val="continue"/>
            <w:vAlign w:val="center"/>
          </w:tcPr>
          <w:p>
            <w:pPr>
              <w:tabs>
                <w:tab w:val="left" w:pos="1467"/>
              </w:tabs>
              <w:ind w:left="-4" w:leftChars="-2" w:firstLine="2" w:firstLineChars="1"/>
              <w:rPr>
                <w:rFonts w:ascii="宋体" w:hAnsi="宋体" w:cs="宋体"/>
                <w:kern w:val="0"/>
                <w:szCs w:val="21"/>
              </w:rPr>
            </w:pPr>
          </w:p>
        </w:tc>
        <w:tc>
          <w:tcPr>
            <w:tcW w:w="1132" w:type="dxa"/>
            <w:vAlign w:val="center"/>
          </w:tcPr>
          <w:p>
            <w:pPr>
              <w:widowControl/>
              <w:rPr>
                <w:rFonts w:ascii="宋体" w:hAnsi="宋体" w:cs="宋体"/>
                <w:szCs w:val="21"/>
              </w:rPr>
            </w:pPr>
            <w:r>
              <w:rPr>
                <w:rFonts w:hint="eastAsia" w:ascii="宋体" w:hAnsi="宋体" w:cs="宋体"/>
                <w:szCs w:val="21"/>
              </w:rPr>
              <w:t>投诉处理机制</w:t>
            </w:r>
          </w:p>
        </w:tc>
        <w:tc>
          <w:tcPr>
            <w:tcW w:w="6612" w:type="dxa"/>
            <w:vAlign w:val="center"/>
          </w:tcPr>
          <w:p>
            <w:pPr>
              <w:rPr>
                <w:rFonts w:ascii="宋体" w:hAnsi="宋体" w:cs="宋体"/>
                <w:kern w:val="0"/>
                <w:szCs w:val="21"/>
              </w:rPr>
            </w:pPr>
            <w:r>
              <w:rPr>
                <w:rFonts w:hint="eastAsia" w:ascii="宋体" w:hAnsi="宋体" w:cs="宋体"/>
                <w:kern w:val="0"/>
                <w:szCs w:val="21"/>
              </w:rPr>
              <w:t>根据供应商设立的服务中心或投诉受理点的具体管理方案进行综合评议：</w:t>
            </w:r>
            <w:r>
              <w:rPr>
                <w:rFonts w:hint="eastAsia" w:ascii="宋体" w:hAnsi="宋体" w:cs="宋体"/>
                <w:kern w:val="0"/>
                <w:szCs w:val="21"/>
              </w:rPr>
              <w:br w:type="textWrapping"/>
            </w:r>
            <w:r>
              <w:rPr>
                <w:rFonts w:hint="eastAsia" w:ascii="宋体" w:hAnsi="宋体" w:cs="宋体"/>
                <w:kern w:val="0"/>
                <w:szCs w:val="21"/>
              </w:rPr>
              <w:t>科学、合理，针对性强，2分；</w:t>
            </w:r>
          </w:p>
          <w:p>
            <w:pPr>
              <w:rPr>
                <w:rFonts w:ascii="宋体" w:hAnsi="宋体" w:cs="宋体"/>
                <w:kern w:val="0"/>
                <w:szCs w:val="21"/>
              </w:rPr>
            </w:pPr>
            <w:r>
              <w:rPr>
                <w:rFonts w:hint="eastAsia" w:ascii="宋体" w:hAnsi="宋体" w:cs="宋体"/>
                <w:kern w:val="0"/>
                <w:szCs w:val="21"/>
              </w:rPr>
              <w:t>合理，可行，1分；</w:t>
            </w:r>
          </w:p>
          <w:p>
            <w:pPr>
              <w:rPr>
                <w:rFonts w:ascii="宋体" w:hAnsi="宋体" w:cs="宋体"/>
                <w:kern w:val="0"/>
                <w:szCs w:val="21"/>
              </w:rPr>
            </w:pPr>
            <w:r>
              <w:rPr>
                <w:rFonts w:hint="eastAsia" w:ascii="宋体" w:hAnsi="宋体" w:cs="宋体"/>
                <w:kern w:val="0"/>
                <w:szCs w:val="21"/>
              </w:rPr>
              <w:t>欠合理，基本可行，0.5分；</w:t>
            </w:r>
          </w:p>
        </w:tc>
        <w:tc>
          <w:tcPr>
            <w:tcW w:w="707" w:type="dxa"/>
            <w:vAlign w:val="center"/>
          </w:tcPr>
          <w:p>
            <w:pPr>
              <w:rPr>
                <w:rFonts w:ascii="宋体" w:hAnsi="宋体" w:cs="宋体"/>
                <w:kern w:val="0"/>
                <w:szCs w:val="21"/>
              </w:rPr>
            </w:pPr>
            <w:r>
              <w:rPr>
                <w:rFonts w:hint="eastAsia" w:ascii="宋体" w:hAnsi="宋体" w:cs="宋体"/>
                <w:kern w:val="0"/>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727" w:type="dxa"/>
            <w:vAlign w:val="center"/>
          </w:tcPr>
          <w:p>
            <w:pPr>
              <w:rPr>
                <w:rFonts w:ascii="宋体" w:hAnsi="宋体" w:cs="宋体"/>
                <w:szCs w:val="21"/>
              </w:rPr>
            </w:pPr>
            <w:r>
              <w:rPr>
                <w:rFonts w:hint="eastAsia" w:ascii="宋体" w:hAnsi="宋体" w:cs="宋体"/>
                <w:szCs w:val="21"/>
              </w:rPr>
              <w:t>总分</w:t>
            </w:r>
          </w:p>
        </w:tc>
        <w:tc>
          <w:tcPr>
            <w:tcW w:w="8451" w:type="dxa"/>
            <w:gridSpan w:val="3"/>
            <w:vAlign w:val="center"/>
          </w:tcPr>
          <w:p>
            <w:pPr>
              <w:rPr>
                <w:rFonts w:ascii="宋体" w:hAnsi="宋体" w:cs="宋体"/>
                <w:spacing w:val="-6"/>
                <w:szCs w:val="21"/>
              </w:rPr>
            </w:pPr>
            <w:r>
              <w:rPr>
                <w:rFonts w:hint="eastAsia" w:ascii="宋体" w:hAnsi="宋体" w:cs="宋体"/>
                <w:spacing w:val="-6"/>
                <w:szCs w:val="21"/>
              </w:rPr>
              <w:t>100分</w:t>
            </w:r>
          </w:p>
        </w:tc>
      </w:tr>
      <w:bookmarkEnd w:id="115"/>
    </w:tbl>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注：上述类似业绩证明材料是否具有类似性以及其符合性均由磋商小组判定，如果资料不全或经磋商小组认定不具有类似性的，该项业绩不计分，并由磋商小组在评审报告中记录详细原因。</w:t>
      </w:r>
    </w:p>
    <w:p>
      <w:pPr>
        <w:spacing w:line="360" w:lineRule="auto"/>
        <w:outlineLvl w:val="1"/>
        <w:rPr>
          <w:rFonts w:asciiTheme="minorEastAsia" w:hAnsiTheme="minorEastAsia" w:eastAsiaTheme="minorEastAsia" w:cstheme="minorEastAsia"/>
          <w:b/>
          <w:szCs w:val="21"/>
        </w:rPr>
      </w:pPr>
      <w:bookmarkStart w:id="116" w:name="_Toc10417"/>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四、评定办法</w:t>
      </w:r>
      <w:bookmarkEnd w:id="116"/>
    </w:p>
    <w:p>
      <w:pPr>
        <w:numPr>
          <w:ilvl w:val="3"/>
          <w:numId w:val="35"/>
        </w:numPr>
        <w:tabs>
          <w:tab w:val="left" w:pos="5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5"/>
        </w:numPr>
        <w:tabs>
          <w:tab w:val="left" w:pos="5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5"/>
        </w:numPr>
        <w:tabs>
          <w:tab w:val="left" w:pos="5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 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5"/>
        </w:numPr>
        <w:tabs>
          <w:tab w:val="left" w:pos="5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7" w:name="_Toc5430"/>
      <w:r>
        <w:rPr>
          <w:rFonts w:hint="eastAsia" w:asciiTheme="minorEastAsia" w:hAnsiTheme="minorEastAsia" w:eastAsiaTheme="minorEastAsia" w:cstheme="minorEastAsia"/>
          <w:b/>
          <w:szCs w:val="21"/>
        </w:rPr>
        <w:t>五、磋商及评审步骤</w:t>
      </w:r>
      <w:bookmarkEnd w:id="117"/>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 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kern w:val="0"/>
          <w:szCs w:val="21"/>
        </w:rPr>
      </w:pPr>
      <w:bookmarkStart w:id="118" w:name="_Toc211783328"/>
      <w:bookmarkStart w:id="119" w:name="_Toc318643471"/>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20" w:name="_Toc8735"/>
      <w:r>
        <w:rPr>
          <w:rFonts w:hint="eastAsia" w:asciiTheme="minorEastAsia" w:hAnsiTheme="minorEastAsia" w:eastAsiaTheme="minorEastAsia" w:cstheme="minorEastAsia"/>
          <w:sz w:val="36"/>
          <w:szCs w:val="36"/>
        </w:rPr>
        <w:t>合同书</w:t>
      </w:r>
      <w:bookmarkEnd w:id="118"/>
      <w:bookmarkEnd w:id="119"/>
      <w:r>
        <w:rPr>
          <w:rFonts w:hint="eastAsia" w:asciiTheme="minorEastAsia" w:hAnsiTheme="minorEastAsia" w:eastAsiaTheme="minorEastAsia" w:cstheme="minorEastAsia"/>
          <w:sz w:val="36"/>
          <w:szCs w:val="36"/>
        </w:rPr>
        <w:t>格式</w:t>
      </w:r>
      <w:bookmarkEnd w:id="120"/>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jc w:val="center"/>
        <w:rPr>
          <w:rFonts w:ascii="宋体" w:hAnsi="宋体"/>
          <w:bCs/>
          <w:szCs w:val="21"/>
        </w:rPr>
      </w:pPr>
      <w:r>
        <w:rPr>
          <w:rFonts w:hint="eastAsia" w:ascii="宋体" w:hAnsi="宋体"/>
          <w:b/>
          <w:sz w:val="28"/>
          <w:szCs w:val="28"/>
        </w:rPr>
        <w:t>华中师范大学后勤保障部沁园春综合体联合经营服务目标管理协议书</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甲方：华中师范大学 </w:t>
      </w:r>
      <w:r>
        <w:rPr>
          <w:rFonts w:ascii="宋体" w:hAnsi="宋体"/>
          <w:szCs w:val="21"/>
        </w:rPr>
        <w:t xml:space="preserve">     </w:t>
      </w:r>
      <w:r>
        <w:rPr>
          <w:rFonts w:hint="eastAsia" w:ascii="宋体" w:hAnsi="宋体"/>
          <w:szCs w:val="21"/>
        </w:rPr>
        <w:t>（以下称甲方）</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乙方：企业全称 </w:t>
      </w:r>
      <w:r>
        <w:rPr>
          <w:rFonts w:ascii="宋体" w:hAnsi="宋体"/>
          <w:szCs w:val="21"/>
        </w:rPr>
        <w:t xml:space="preserve">         </w:t>
      </w:r>
      <w:r>
        <w:rPr>
          <w:rFonts w:hint="eastAsia" w:ascii="宋体" w:hAnsi="宋体"/>
          <w:szCs w:val="21"/>
        </w:rPr>
        <w:t>（以下称乙方）</w:t>
      </w:r>
    </w:p>
    <w:p>
      <w:pPr>
        <w:adjustRightInd w:val="0"/>
        <w:snapToGrid w:val="0"/>
        <w:spacing w:line="360" w:lineRule="auto"/>
        <w:ind w:firstLine="420" w:firstLineChars="200"/>
        <w:rPr>
          <w:rFonts w:ascii="宋体" w:hAnsi="宋体"/>
          <w:szCs w:val="21"/>
        </w:rPr>
      </w:pPr>
      <w:r>
        <w:rPr>
          <w:rFonts w:hint="eastAsia" w:ascii="宋体" w:hAnsi="宋体"/>
          <w:szCs w:val="21"/>
        </w:rPr>
        <w:t>依照《中华人民共和国民法典》、《中华人民共和国食品安全法》、《餐饮服务安全监督管理办法》、《学校食堂与学生集体用餐卫生管理规定》、《中国高校餐饮行业准入管理办法》、《餐饮服务食品安全操作规范》、《食品卫生监督量化分级管理制度》、《湖北省学校食堂食品安全管理规范》、《消防安全法》等法律法规，以及华中师范大学关于餐饮服务管理的相关规章制度，遵循平等、诚实、自愿、守信的原则，双方就合作经营事项协商一致，订立本协议。</w:t>
      </w:r>
    </w:p>
    <w:p>
      <w:pPr>
        <w:adjustRightInd w:val="0"/>
        <w:snapToGrid w:val="0"/>
        <w:spacing w:line="360" w:lineRule="auto"/>
        <w:ind w:firstLine="420" w:firstLineChars="200"/>
        <w:rPr>
          <w:rFonts w:ascii="宋体" w:hAnsi="宋体"/>
          <w:szCs w:val="21"/>
        </w:rPr>
      </w:pPr>
      <w:r>
        <w:rPr>
          <w:rFonts w:hint="eastAsia" w:ascii="宋体" w:hAnsi="宋体"/>
          <w:szCs w:val="21"/>
        </w:rPr>
        <w:t>第一条 经营场所、经营内容和经营期限</w:t>
      </w:r>
    </w:p>
    <w:p>
      <w:pPr>
        <w:adjustRightInd w:val="0"/>
        <w:snapToGrid w:val="0"/>
        <w:spacing w:line="360" w:lineRule="auto"/>
        <w:ind w:firstLine="420" w:firstLineChars="200"/>
        <w:rPr>
          <w:rFonts w:ascii="宋体" w:hAnsi="宋体"/>
          <w:szCs w:val="21"/>
        </w:rPr>
      </w:pPr>
      <w:r>
        <w:rPr>
          <w:rFonts w:hint="eastAsia" w:ascii="宋体" w:hAnsi="宋体"/>
          <w:szCs w:val="21"/>
        </w:rPr>
        <w:t>经营场所：华中师范大学沁园春综合体。</w:t>
      </w:r>
    </w:p>
    <w:p>
      <w:pPr>
        <w:adjustRightInd w:val="0"/>
        <w:snapToGrid w:val="0"/>
        <w:spacing w:line="360" w:lineRule="auto"/>
        <w:ind w:firstLine="420" w:firstLineChars="200"/>
        <w:rPr>
          <w:rFonts w:ascii="宋体" w:hAnsi="宋体"/>
          <w:szCs w:val="21"/>
        </w:rPr>
      </w:pPr>
      <w:r>
        <w:rPr>
          <w:rFonts w:hint="eastAsia" w:ascii="宋体" w:hAnsi="宋体"/>
          <w:szCs w:val="21"/>
        </w:rPr>
        <w:t>经营内容：智慧化综合服务。负一楼为连锁品牌超市、一楼为综合餐厅、二楼为教工餐厅、三楼为全包间式接待餐厅、四楼与五楼为品牌中西餐饮（“品牌”之定义为：在国际、国内具备一定影响力的著名餐饮品牌与著名小吃品牌），品牌小吃品种可分散布局于一楼、二楼、四楼、五楼）。</w:t>
      </w:r>
    </w:p>
    <w:p>
      <w:pPr>
        <w:adjustRightInd w:val="0"/>
        <w:snapToGrid w:val="0"/>
        <w:spacing w:line="360" w:lineRule="auto"/>
        <w:ind w:firstLine="420" w:firstLineChars="200"/>
        <w:rPr>
          <w:rFonts w:ascii="宋体" w:hAnsi="宋体"/>
          <w:szCs w:val="21"/>
        </w:rPr>
      </w:pPr>
      <w:r>
        <w:rPr>
          <w:rFonts w:hint="eastAsia" w:ascii="宋体" w:hAnsi="宋体"/>
          <w:szCs w:val="21"/>
        </w:rPr>
        <w:t>经营要求：全楼高度智慧化，提供丰富的品质服务。</w:t>
      </w:r>
    </w:p>
    <w:p>
      <w:pPr>
        <w:adjustRightInd w:val="0"/>
        <w:snapToGrid w:val="0"/>
        <w:spacing w:line="360" w:lineRule="auto"/>
        <w:ind w:firstLine="420" w:firstLineChars="200"/>
        <w:rPr>
          <w:rFonts w:ascii="宋体" w:hAnsi="宋体"/>
          <w:szCs w:val="21"/>
        </w:rPr>
      </w:pPr>
      <w:r>
        <w:rPr>
          <w:rFonts w:hint="eastAsia" w:ascii="宋体" w:hAnsi="宋体"/>
          <w:szCs w:val="21"/>
        </w:rPr>
        <w:t>甲方提供场地及公共配套设施，乙方根据甲方整体要求及实际需求，负责投入资金进行</w:t>
      </w:r>
      <w:r>
        <w:rPr>
          <w:rFonts w:ascii="宋体" w:hAnsi="宋体"/>
          <w:szCs w:val="21"/>
        </w:rPr>
        <w:t>二次</w:t>
      </w:r>
      <w:r>
        <w:rPr>
          <w:rFonts w:hint="eastAsia" w:ascii="宋体" w:hAnsi="宋体"/>
          <w:szCs w:val="21"/>
        </w:rPr>
        <w:t>装修，在甲方的监管下，有相对自主经营权，但所有经营内容需报经甲方核准后方可实施。</w:t>
      </w:r>
    </w:p>
    <w:p>
      <w:pPr>
        <w:adjustRightInd w:val="0"/>
        <w:snapToGrid w:val="0"/>
        <w:spacing w:line="360" w:lineRule="auto"/>
        <w:ind w:firstLine="420" w:firstLineChars="200"/>
        <w:rPr>
          <w:rFonts w:ascii="宋体" w:hAnsi="宋体"/>
          <w:szCs w:val="21"/>
        </w:rPr>
      </w:pPr>
      <w:r>
        <w:rPr>
          <w:rFonts w:hint="eastAsia" w:ascii="宋体" w:hAnsi="宋体"/>
          <w:szCs w:val="21"/>
        </w:rPr>
        <w:t>经营期限：拾年，合同一年一签，5年为一个考核期，对服务项目公共成本分摊费提点和经营收益报招标办进行再评估磋商调整，再确定签订下一个5年合同。在合同期内经甲方考核业绩优良，经学校招标办审核</w:t>
      </w:r>
      <w:r>
        <w:rPr>
          <w:rFonts w:ascii="宋体" w:hAnsi="宋体"/>
          <w:szCs w:val="21"/>
        </w:rPr>
        <w:t>方可继续签订</w:t>
      </w:r>
      <w:r>
        <w:rPr>
          <w:rFonts w:hint="eastAsia" w:ascii="宋体" w:hAnsi="宋体"/>
          <w:szCs w:val="21"/>
        </w:rPr>
        <w:t>下一年</w:t>
      </w:r>
      <w:r>
        <w:rPr>
          <w:rFonts w:ascii="宋体" w:hAnsi="宋体"/>
          <w:szCs w:val="21"/>
        </w:rPr>
        <w:t>合作经营合同。</w:t>
      </w:r>
      <w:r>
        <w:rPr>
          <w:rFonts w:hint="eastAsia" w:ascii="宋体" w:hAnsi="宋体"/>
          <w:szCs w:val="21"/>
        </w:rPr>
        <w:t>拾年期满后本协议终止，乙方无条件退出，进入下一轮招标程序。</w:t>
      </w:r>
    </w:p>
    <w:p>
      <w:pPr>
        <w:adjustRightInd w:val="0"/>
        <w:snapToGrid w:val="0"/>
        <w:spacing w:line="420" w:lineRule="exact"/>
        <w:ind w:firstLine="420" w:firstLineChars="200"/>
        <w:rPr>
          <w:rFonts w:ascii="宋体" w:hAnsi="宋体"/>
          <w:szCs w:val="21"/>
        </w:rPr>
      </w:pPr>
    </w:p>
    <w:p>
      <w:pPr>
        <w:adjustRightInd w:val="0"/>
        <w:snapToGrid w:val="0"/>
        <w:spacing w:line="360" w:lineRule="auto"/>
        <w:rPr>
          <w:rFonts w:ascii="宋体" w:hAnsi="宋体"/>
          <w:b/>
          <w:bCs/>
          <w:sz w:val="24"/>
        </w:rPr>
      </w:pPr>
      <w:r>
        <w:rPr>
          <w:rFonts w:hint="eastAsia" w:ascii="宋体" w:hAnsi="宋体"/>
          <w:b/>
          <w:bCs/>
          <w:sz w:val="24"/>
        </w:rPr>
        <w:t>第二条 双方的权利与义务</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一、甲方的权利</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甲方对移交给</w:t>
      </w:r>
      <w:r>
        <w:rPr>
          <w:rFonts w:hint="eastAsia" w:ascii="宋体" w:hAnsi="宋体"/>
          <w:szCs w:val="21"/>
        </w:rPr>
        <w:t>乙方</w:t>
      </w:r>
      <w:r>
        <w:rPr>
          <w:rFonts w:ascii="宋体" w:hAnsi="宋体"/>
          <w:szCs w:val="21"/>
        </w:rPr>
        <w:t>合作经营管理的房屋、场地、设施、设备等资产享有法定所有权，享有为防止国有资产流失而进行的保护和监督的权力。</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.为保障食品安全和维护教学科研秩序，</w:t>
      </w:r>
      <w:r>
        <w:rPr>
          <w:rFonts w:ascii="宋体" w:hAnsi="宋体"/>
          <w:szCs w:val="21"/>
        </w:rPr>
        <w:t>甲方有权建立监管小组，并</w:t>
      </w:r>
      <w:r>
        <w:rPr>
          <w:rFonts w:hint="eastAsia" w:ascii="宋体" w:hAnsi="宋体"/>
          <w:szCs w:val="21"/>
        </w:rPr>
        <w:t>派驻1</w:t>
      </w:r>
      <w:r>
        <w:rPr>
          <w:rFonts w:ascii="宋体" w:hAnsi="宋体"/>
          <w:szCs w:val="21"/>
        </w:rPr>
        <w:t>-2</w:t>
      </w:r>
      <w:r>
        <w:rPr>
          <w:rFonts w:hint="eastAsia" w:ascii="宋体" w:hAnsi="宋体"/>
          <w:szCs w:val="21"/>
        </w:rPr>
        <w:t>名人员参与食堂管理，</w:t>
      </w:r>
      <w:r>
        <w:rPr>
          <w:rFonts w:ascii="宋体" w:hAnsi="宋体"/>
          <w:szCs w:val="21"/>
        </w:rPr>
        <w:t>依据</w:t>
      </w:r>
      <w:r>
        <w:rPr>
          <w:rFonts w:hint="eastAsia" w:ascii="宋体" w:hAnsi="宋体"/>
          <w:szCs w:val="21"/>
        </w:rPr>
        <w:t>国家法律法规</w:t>
      </w:r>
      <w:r>
        <w:rPr>
          <w:rFonts w:ascii="宋体" w:hAnsi="宋体"/>
          <w:szCs w:val="21"/>
        </w:rPr>
        <w:t>对乙方的</w:t>
      </w:r>
      <w:r>
        <w:rPr>
          <w:rFonts w:hint="eastAsia" w:ascii="宋体" w:hAnsi="宋体"/>
          <w:szCs w:val="21"/>
        </w:rPr>
        <w:t>产品</w:t>
      </w:r>
      <w:r>
        <w:rPr>
          <w:rFonts w:ascii="宋体" w:hAnsi="宋体"/>
          <w:szCs w:val="21"/>
        </w:rPr>
        <w:t>质量、品种</w:t>
      </w:r>
      <w:r>
        <w:rPr>
          <w:rFonts w:hint="eastAsia" w:ascii="宋体" w:hAnsi="宋体"/>
          <w:szCs w:val="21"/>
        </w:rPr>
        <w:t>结构、</w:t>
      </w:r>
      <w:r>
        <w:rPr>
          <w:rFonts w:ascii="宋体" w:hAnsi="宋体"/>
          <w:szCs w:val="21"/>
        </w:rPr>
        <w:t>价格、食品安全要求、成本</w:t>
      </w:r>
      <w:r>
        <w:rPr>
          <w:rFonts w:hint="eastAsia" w:ascii="宋体" w:hAnsi="宋体"/>
          <w:szCs w:val="21"/>
        </w:rPr>
        <w:t>核算</w:t>
      </w:r>
      <w:r>
        <w:rPr>
          <w:rFonts w:ascii="宋体" w:hAnsi="宋体"/>
          <w:szCs w:val="21"/>
        </w:rPr>
        <w:t>、</w:t>
      </w:r>
      <w:r>
        <w:rPr>
          <w:rFonts w:hint="eastAsia" w:ascii="宋体" w:hAnsi="宋体"/>
          <w:szCs w:val="21"/>
        </w:rPr>
        <w:t>营业收入、</w:t>
      </w:r>
      <w:r>
        <w:rPr>
          <w:rFonts w:ascii="宋体" w:hAnsi="宋体"/>
          <w:szCs w:val="21"/>
        </w:rPr>
        <w:t>原材料采购等工作实施全过程检查、监督和管理指导。</w:t>
      </w:r>
      <w:r>
        <w:rPr>
          <w:rFonts w:hint="eastAsia" w:ascii="宋体" w:hAnsi="宋体"/>
          <w:szCs w:val="21"/>
        </w:rPr>
        <w:t>甲方负责其基本工资，乙方负责其岗位津贴（岗位津贴按照校方统一岗贴标准）。</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甲方有权对乙方及其员工进行资格审核，主要包括其身份证、居住证、健康证等有效证件的审查。</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甲方有权对乙方项目经理进行考勤与工作考核，对无故缺勤或工作管理协调不力者，有权要求乙方及时调换。</w:t>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甲方有权对乙方履行合同情况及贯彻执行法律法规、学校有关管理制度情况进行监督检查。对发生食物中毒等重大事故的，甲方除</w:t>
      </w:r>
      <w:r>
        <w:rPr>
          <w:rFonts w:hint="eastAsia" w:ascii="宋体" w:hAnsi="宋体"/>
          <w:szCs w:val="21"/>
        </w:rPr>
        <w:t>有权</w:t>
      </w:r>
      <w:r>
        <w:rPr>
          <w:rFonts w:ascii="宋体" w:hAnsi="宋体"/>
          <w:szCs w:val="21"/>
        </w:rPr>
        <w:t>终止合作经营合同外，还将依照国家、地方政府有关法律、法规、合作经营合同有关条款追究乙方的违约责任和赔偿责任。</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乙方与顾客在服务过程中发生纠纷，甲方有权根据相关规定对乙方进行处罚；乙方员工在校发生任何违法违纪事件，除</w:t>
      </w:r>
      <w:r>
        <w:rPr>
          <w:rFonts w:hint="eastAsia" w:ascii="宋体" w:hAnsi="宋体"/>
          <w:szCs w:val="21"/>
        </w:rPr>
        <w:t>校</w:t>
      </w:r>
      <w:r>
        <w:rPr>
          <w:rFonts w:ascii="宋体" w:hAnsi="宋体"/>
          <w:szCs w:val="21"/>
        </w:rPr>
        <w:t>保卫、</w:t>
      </w:r>
      <w:r>
        <w:rPr>
          <w:rFonts w:hint="eastAsia" w:ascii="宋体" w:hAnsi="宋体"/>
          <w:szCs w:val="21"/>
        </w:rPr>
        <w:t>公安执法部门</w:t>
      </w:r>
      <w:r>
        <w:rPr>
          <w:rFonts w:ascii="宋体" w:hAnsi="宋体"/>
          <w:szCs w:val="21"/>
        </w:rPr>
        <w:t>等相关部门做出的处理外，甲方有权另行对乙方进行处罚。</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甲方有权对乙方涉及安全性、全局性</w:t>
      </w:r>
      <w:r>
        <w:rPr>
          <w:rFonts w:hint="eastAsia" w:ascii="宋体" w:hAnsi="宋体"/>
          <w:szCs w:val="21"/>
        </w:rPr>
        <w:t>工作以及</w:t>
      </w:r>
      <w:r>
        <w:rPr>
          <w:rFonts w:ascii="宋体" w:hAnsi="宋体"/>
          <w:szCs w:val="21"/>
        </w:rPr>
        <w:t>季节性和临时性工作进行统一安排，其费用由甲方安排乙方分摊。</w:t>
      </w:r>
    </w:p>
    <w:p>
      <w:pPr>
        <w:adjustRightInd w:val="0"/>
        <w:snapToGrid w:val="0"/>
        <w:spacing w:line="360" w:lineRule="auto"/>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甲方</w:t>
      </w:r>
      <w:r>
        <w:rPr>
          <w:rFonts w:hint="eastAsia" w:ascii="宋体" w:hAnsi="宋体"/>
          <w:szCs w:val="21"/>
        </w:rPr>
        <w:t>拥有所有产品的</w:t>
      </w:r>
      <w:r>
        <w:rPr>
          <w:rFonts w:ascii="宋体" w:hAnsi="宋体"/>
          <w:szCs w:val="21"/>
        </w:rPr>
        <w:t>售价核定权。</w:t>
      </w:r>
    </w:p>
    <w:p>
      <w:pPr>
        <w:adjustRightInd w:val="0"/>
        <w:snapToGrid w:val="0"/>
        <w:spacing w:line="360" w:lineRule="auto"/>
        <w:ind w:firstLine="420" w:firstLineChars="200"/>
        <w:rPr>
          <w:rFonts w:ascii="宋体" w:hAnsi="宋体"/>
          <w:szCs w:val="21"/>
        </w:rPr>
      </w:pPr>
      <w:r>
        <w:rPr>
          <w:rFonts w:ascii="宋体" w:hAnsi="宋体"/>
          <w:szCs w:val="21"/>
        </w:rPr>
        <w:t>9</w:t>
      </w:r>
      <w:r>
        <w:rPr>
          <w:rFonts w:hint="eastAsia" w:ascii="宋体" w:hAnsi="宋体"/>
          <w:szCs w:val="21"/>
        </w:rPr>
        <w:t>.</w:t>
      </w:r>
      <w:r>
        <w:rPr>
          <w:rFonts w:ascii="宋体" w:hAnsi="宋体"/>
          <w:szCs w:val="21"/>
        </w:rPr>
        <w:t>甲方有权</w:t>
      </w:r>
      <w:r>
        <w:rPr>
          <w:rFonts w:hint="eastAsia" w:ascii="宋体" w:hAnsi="宋体"/>
          <w:szCs w:val="21"/>
        </w:rPr>
        <w:t>按照政府相关规定</w:t>
      </w:r>
      <w:r>
        <w:rPr>
          <w:rFonts w:ascii="宋体" w:hAnsi="宋体"/>
          <w:szCs w:val="21"/>
        </w:rPr>
        <w:t>集中统一处理乙方在经营过程中产生的泔水等</w:t>
      </w:r>
      <w:r>
        <w:rPr>
          <w:rFonts w:hint="eastAsia" w:ascii="宋体" w:hAnsi="宋体"/>
          <w:szCs w:val="21"/>
        </w:rPr>
        <w:t>厨余</w:t>
      </w:r>
      <w:r>
        <w:rPr>
          <w:rFonts w:ascii="宋体" w:hAnsi="宋体"/>
          <w:szCs w:val="21"/>
        </w:rPr>
        <w:t>废弃物。</w:t>
      </w:r>
    </w:p>
    <w:p>
      <w:pPr>
        <w:adjustRightInd w:val="0"/>
        <w:snapToGrid w:val="0"/>
        <w:spacing w:line="360" w:lineRule="auto"/>
        <w:ind w:firstLine="420" w:firstLineChars="200"/>
        <w:rPr>
          <w:rFonts w:ascii="宋体" w:hAnsi="宋体"/>
          <w:szCs w:val="21"/>
        </w:rPr>
      </w:pPr>
      <w:r>
        <w:rPr>
          <w:rFonts w:ascii="宋体" w:hAnsi="宋体"/>
          <w:szCs w:val="21"/>
        </w:rPr>
        <w:t>10</w:t>
      </w:r>
      <w:r>
        <w:rPr>
          <w:rFonts w:hint="eastAsia" w:ascii="宋体" w:hAnsi="宋体"/>
          <w:szCs w:val="21"/>
        </w:rPr>
        <w:t>.</w:t>
      </w:r>
      <w:bookmarkStart w:id="121" w:name="_Hlk71545219"/>
      <w:r>
        <w:rPr>
          <w:rFonts w:ascii="宋体" w:hAnsi="宋体"/>
          <w:szCs w:val="21"/>
        </w:rPr>
        <w:t>甲方的校园卡结算系统，由甲方</w:t>
      </w:r>
      <w:r>
        <w:rPr>
          <w:rFonts w:hint="eastAsia" w:ascii="宋体" w:hAnsi="宋体"/>
          <w:szCs w:val="21"/>
        </w:rPr>
        <w:t>统一</w:t>
      </w:r>
      <w:r>
        <w:rPr>
          <w:rFonts w:ascii="宋体" w:hAnsi="宋体"/>
          <w:szCs w:val="21"/>
        </w:rPr>
        <w:t>管理。</w:t>
      </w:r>
      <w:bookmarkEnd w:id="121"/>
      <w:r>
        <w:rPr>
          <w:rFonts w:hint="eastAsia" w:ascii="宋体" w:hAnsi="宋体"/>
          <w:szCs w:val="21"/>
        </w:rPr>
        <w:t>并负责提供校园卡终端机及统一公用电子支付账号，并有权全程监督管理收银制度的执行。</w:t>
      </w:r>
    </w:p>
    <w:p>
      <w:pPr>
        <w:adjustRightInd w:val="0"/>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为保障食品安全，基本</w:t>
      </w:r>
      <w:r>
        <w:rPr>
          <w:rFonts w:ascii="宋体" w:hAnsi="宋体"/>
          <w:szCs w:val="21"/>
        </w:rPr>
        <w:t>伙食和教职工餐厅楼层</w:t>
      </w:r>
      <w:r>
        <w:rPr>
          <w:rFonts w:hint="eastAsia" w:ascii="宋体" w:hAnsi="宋体"/>
          <w:szCs w:val="21"/>
        </w:rPr>
        <w:t>的大宗物资（包括但不限于大米、食用油、面粉、荤食、蔬菜、干调等）有甲方统一采购，仅向乙方收取3%的采买费。</w:t>
      </w:r>
    </w:p>
    <w:p>
      <w:pPr>
        <w:adjustRightInd w:val="0"/>
        <w:snapToGrid w:val="0"/>
        <w:spacing w:line="360" w:lineRule="auto"/>
        <w:ind w:firstLine="420" w:firstLineChars="200"/>
        <w:rPr>
          <w:rFonts w:eastAsiaTheme="minorHAnsi"/>
          <w:b/>
          <w:bCs/>
          <w:szCs w:val="21"/>
        </w:rPr>
      </w:pPr>
      <w:r>
        <w:rPr>
          <w:rFonts w:hint="eastAsia" w:ascii="宋体" w:hAnsi="宋体"/>
          <w:szCs w:val="21"/>
        </w:rPr>
        <w:t>乙方引进品牌的特殊物资（包括独家配方的酱料、原料等）及其他楼层品牌配料的特殊性，确需自采的，必须向甲方提交书面申请，并附需自采物资的生产商、品名、配料表及生产方的相关资质及检测报告，经甲方审核批准后方可自采，</w:t>
      </w:r>
      <w:r>
        <w:rPr>
          <w:rFonts w:hint="eastAsia" w:eastAsiaTheme="minorHAnsi"/>
          <w:szCs w:val="21"/>
        </w:rPr>
        <w:t>必须严格执行采购管理的法律法规、行业规范及甲方制定的相关管理制度，严格执行索证制度，所有物资必须定期将相关检疫检验报告交甲方审核、存档。</w:t>
      </w:r>
      <w:r>
        <w:rPr>
          <w:rFonts w:eastAsiaTheme="minorHAnsi"/>
          <w:szCs w:val="21"/>
        </w:rPr>
        <w:t>甲方</w:t>
      </w:r>
      <w:r>
        <w:rPr>
          <w:rFonts w:hint="eastAsia" w:eastAsiaTheme="minorHAnsi"/>
          <w:szCs w:val="21"/>
        </w:rPr>
        <w:t>有权</w:t>
      </w:r>
      <w:r>
        <w:rPr>
          <w:rFonts w:eastAsiaTheme="minorHAnsi"/>
          <w:szCs w:val="21"/>
        </w:rPr>
        <w:t>对食品生产、销售等工作进行</w:t>
      </w:r>
      <w:r>
        <w:rPr>
          <w:rFonts w:hint="eastAsia" w:eastAsiaTheme="minorHAnsi"/>
          <w:szCs w:val="21"/>
        </w:rPr>
        <w:t>全程</w:t>
      </w:r>
      <w:r>
        <w:rPr>
          <w:rFonts w:eastAsiaTheme="minorHAnsi"/>
          <w:szCs w:val="21"/>
        </w:rPr>
        <w:t>检查、监督、指导和管理。</w:t>
      </w:r>
      <w:r>
        <w:rPr>
          <w:rFonts w:hint="eastAsia" w:ascii="宋体" w:hAnsi="宋体"/>
          <w:szCs w:val="21"/>
        </w:rPr>
        <w:t>由此产生的食品安全责任，由乙方负全。若出现食品安全事故，甲方有权追究经济与法律责任。</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二、甲方的义务</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向乙方提供现有的食堂生产、加工场地及</w:t>
      </w:r>
      <w:r>
        <w:rPr>
          <w:rFonts w:hint="eastAsia" w:ascii="宋体" w:hAnsi="宋体"/>
          <w:szCs w:val="21"/>
        </w:rPr>
        <w:t>配套设施</w:t>
      </w:r>
      <w:r>
        <w:rPr>
          <w:rFonts w:ascii="宋体" w:hAnsi="宋体"/>
          <w:szCs w:val="21"/>
        </w:rPr>
        <w:t>（以移交清单为准）。</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为乙方提供</w:t>
      </w:r>
      <w:r>
        <w:rPr>
          <w:rFonts w:hint="eastAsia" w:ascii="宋体" w:hAnsi="宋体"/>
          <w:szCs w:val="21"/>
        </w:rPr>
        <w:t>校园卡结算</w:t>
      </w:r>
      <w:r>
        <w:rPr>
          <w:rFonts w:ascii="宋体" w:hAnsi="宋体"/>
          <w:szCs w:val="21"/>
        </w:rPr>
        <w:t>系统及其日常维护，确保正常运行。</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.必要时</w:t>
      </w:r>
      <w:r>
        <w:rPr>
          <w:rFonts w:ascii="宋体" w:hAnsi="宋体"/>
          <w:szCs w:val="21"/>
        </w:rPr>
        <w:t>负责协调部分设施设备维修工作，费用由乙方自理。</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乙方的经营收入，按月结算，扣除乙方应上交的</w:t>
      </w:r>
      <w:r>
        <w:rPr>
          <w:rFonts w:hint="eastAsia" w:ascii="宋体" w:hAnsi="宋体"/>
          <w:szCs w:val="21"/>
        </w:rPr>
        <w:t>公共成本分摊费、公共维修基金、水电气费用</w:t>
      </w:r>
      <w:r>
        <w:rPr>
          <w:rFonts w:ascii="宋体" w:hAnsi="宋体"/>
          <w:szCs w:val="21"/>
        </w:rPr>
        <w:t>后，按月转付乙方。</w:t>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甲方提供乙方管理人员基本办公场所，在可能的情况下，有偿提供乙方员工的住宿（按照有关规定执行）。</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甲方有保障食堂正常用水、电、气的义务。</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甲方有按照合同约定及时结算营业款的义务。</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三、乙方的权利</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乙方整体自主经营并对外承担全部责任。</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乙方在不违反国家有关禁止性规定及甲方相关规定的前提下可对经营场所进行二次改造装修，但改造装修方案必须报经甲方书面同意后方可实施。实施过程中的相关费用及安全责任由乙方自行负责，装修工程必须使用符合国家标准的绿色环保材料，不得使用国家禁止使用的易燃易爆及有毒有害材料。装修工程不得损坏、危及建筑结构。装修工程全程接受甲方监理。</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乙方在合同期内对甲方提供的设施、设备享有使用和经营管理权。</w:t>
      </w:r>
      <w:r>
        <w:rPr>
          <w:rFonts w:hint="eastAsia" w:ascii="宋体" w:hAnsi="宋体"/>
          <w:szCs w:val="21"/>
        </w:rPr>
        <w:t>乙方有权根据实际经营需要进行装修升级，但不得改变整体建筑格局，且装修升级方案必须报经甲方审核同意后方可实施（参照第2款）。</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乙方在合同规定的范围内，</w:t>
      </w:r>
      <w:r>
        <w:rPr>
          <w:rFonts w:hint="eastAsia" w:ascii="宋体" w:hAnsi="宋体"/>
          <w:szCs w:val="21"/>
        </w:rPr>
        <w:t>有权</w:t>
      </w:r>
      <w:r>
        <w:rPr>
          <w:rFonts w:ascii="宋体" w:hAnsi="宋体"/>
          <w:szCs w:val="21"/>
        </w:rPr>
        <w:t>按照管理目标</w:t>
      </w:r>
      <w:r>
        <w:rPr>
          <w:rFonts w:hint="eastAsia" w:ascii="宋体" w:hAnsi="宋体"/>
          <w:szCs w:val="21"/>
        </w:rPr>
        <w:t>和工作需要</w:t>
      </w:r>
      <w:r>
        <w:rPr>
          <w:rFonts w:ascii="宋体" w:hAnsi="宋体"/>
          <w:szCs w:val="21"/>
        </w:rPr>
        <w:t>制定工作规范和规章制度，</w:t>
      </w:r>
      <w:r>
        <w:rPr>
          <w:rFonts w:hint="eastAsia" w:ascii="宋体" w:hAnsi="宋体"/>
          <w:szCs w:val="21"/>
        </w:rPr>
        <w:t>但必须符合相关法律法规及甲方的管理要求</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乙方有要求按</w:t>
      </w:r>
      <w:r>
        <w:rPr>
          <w:rFonts w:hint="eastAsia" w:ascii="宋体" w:hAnsi="宋体"/>
          <w:szCs w:val="21"/>
        </w:rPr>
        <w:t>合同</w:t>
      </w:r>
      <w:r>
        <w:rPr>
          <w:rFonts w:ascii="宋体" w:hAnsi="宋体"/>
          <w:szCs w:val="21"/>
        </w:rPr>
        <w:t>约定的相关条款按期结算经营款项</w:t>
      </w:r>
      <w:r>
        <w:rPr>
          <w:rFonts w:hint="eastAsia" w:ascii="宋体" w:hAnsi="宋体"/>
          <w:szCs w:val="21"/>
        </w:rPr>
        <w:t>的权利</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乙方有权自主聘用和辞退员工、自主制定员工薪酬和奖惩员工的权利。</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乙方有权根据实际需要更换产品品种，但必须报经甲方同意方可实施。</w:t>
      </w:r>
    </w:p>
    <w:p>
      <w:pPr>
        <w:adjustRightInd w:val="0"/>
        <w:snapToGrid w:val="0"/>
        <w:spacing w:line="360" w:lineRule="auto"/>
        <w:ind w:firstLine="420" w:firstLineChars="200"/>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乙方在协议期间可自主招商（包括但不限于物资供应商、各楼层及档口承包服务商等，但招商方案与结果需递交甲方审核存档备查），与第三方的经济与法律责任由乙方自行负责，与甲方无关。</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四、乙方的义务</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必须遵守国家法律法规及行业规范，</w:t>
      </w:r>
      <w:r>
        <w:rPr>
          <w:rFonts w:hint="eastAsia" w:ascii="宋体" w:hAnsi="宋体"/>
          <w:szCs w:val="21"/>
        </w:rPr>
        <w:t>同时必须服从甲方统一管理，除严格执行乙方自行制定的管理制度的管理以外，还必须严格执行甲方制定的各项规章制度</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必须提供营业执照、法人代表证明</w:t>
      </w:r>
      <w:r>
        <w:rPr>
          <w:rFonts w:hint="eastAsia" w:ascii="宋体" w:hAnsi="宋体"/>
          <w:szCs w:val="21"/>
        </w:rPr>
        <w:t>、食品经营许可证</w:t>
      </w:r>
      <w:r>
        <w:rPr>
          <w:rFonts w:ascii="宋体" w:hAnsi="宋体"/>
          <w:szCs w:val="21"/>
        </w:rPr>
        <w:t>及企业服务承诺书等相关证明文件</w:t>
      </w:r>
      <w:r>
        <w:rPr>
          <w:rFonts w:hint="eastAsia" w:ascii="宋体" w:hAnsi="宋体"/>
          <w:szCs w:val="21"/>
        </w:rPr>
        <w:t>交甲方存档备查，并依法定期更新</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乙方不得以任何形式将本项目转包给第三方，一经发现，将视情节予以处罚，直至解除协议，并纳入招标失信人黑名单。</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.必须严格依法</w:t>
      </w:r>
      <w:r>
        <w:rPr>
          <w:rFonts w:ascii="宋体" w:hAnsi="宋体"/>
          <w:szCs w:val="21"/>
        </w:rPr>
        <w:t>用工，</w:t>
      </w:r>
      <w:bookmarkStart w:id="122" w:name="_Hlk71712627"/>
      <w:r>
        <w:rPr>
          <w:rFonts w:hint="eastAsia" w:ascii="宋体" w:hAnsi="宋体"/>
          <w:szCs w:val="21"/>
        </w:rPr>
        <w:t>必须严格执行国家社保制度，依法为员工参保；</w:t>
      </w:r>
      <w:bookmarkEnd w:id="122"/>
    </w:p>
    <w:p>
      <w:pPr>
        <w:adjustRightInd w:val="0"/>
        <w:snapToGrid w:val="0"/>
        <w:spacing w:line="360" w:lineRule="auto"/>
        <w:ind w:firstLine="420" w:firstLineChars="200"/>
        <w:rPr>
          <w:rFonts w:ascii="宋体" w:hAnsi="宋体"/>
          <w:szCs w:val="21"/>
        </w:rPr>
      </w:pPr>
      <w:r>
        <w:rPr>
          <w:rFonts w:hint="eastAsia" w:ascii="宋体" w:hAnsi="宋体"/>
          <w:szCs w:val="21"/>
        </w:rPr>
        <w:t>不得非法雇用未成年人；</w:t>
      </w:r>
    </w:p>
    <w:p>
      <w:pPr>
        <w:adjustRightInd w:val="0"/>
        <w:snapToGrid w:val="0"/>
        <w:spacing w:line="360" w:lineRule="auto"/>
        <w:ind w:firstLine="420" w:firstLineChars="200"/>
        <w:rPr>
          <w:rFonts w:ascii="宋体" w:hAnsi="宋体"/>
          <w:szCs w:val="21"/>
        </w:rPr>
      </w:pPr>
      <w:r>
        <w:rPr>
          <w:rFonts w:hint="eastAsia" w:ascii="宋体" w:hAnsi="宋体"/>
          <w:szCs w:val="21"/>
        </w:rPr>
        <w:t>所有人员必须持有效健康证上岗，并定期体检更换；</w:t>
      </w:r>
    </w:p>
    <w:p>
      <w:pPr>
        <w:adjustRightInd w:val="0"/>
        <w:snapToGrid w:val="0"/>
        <w:spacing w:line="360" w:lineRule="auto"/>
        <w:ind w:firstLine="420" w:firstLineChars="200"/>
        <w:rPr>
          <w:rFonts w:ascii="宋体" w:hAnsi="宋体"/>
          <w:szCs w:val="21"/>
        </w:rPr>
      </w:pPr>
      <w:r>
        <w:rPr>
          <w:rFonts w:hint="eastAsia" w:ascii="宋体" w:hAnsi="宋体"/>
          <w:szCs w:val="21"/>
        </w:rPr>
        <w:t>必须建立员工档案（包括个人真实身份信息、健康证等）并递交甲方存档备查，遇员工更替须及时更新；</w:t>
      </w:r>
    </w:p>
    <w:p>
      <w:pPr>
        <w:adjustRightInd w:val="0"/>
        <w:snapToGrid w:val="0"/>
        <w:spacing w:line="360" w:lineRule="auto"/>
        <w:ind w:firstLine="420" w:firstLineChars="200"/>
        <w:rPr>
          <w:rFonts w:ascii="宋体" w:hAnsi="宋体"/>
          <w:szCs w:val="21"/>
        </w:rPr>
      </w:pPr>
      <w:r>
        <w:rPr>
          <w:rFonts w:hint="eastAsia" w:ascii="宋体" w:hAnsi="宋体"/>
          <w:szCs w:val="21"/>
        </w:rPr>
        <w:t>在聘用期间发生的安全及人身伤亡事故，乙方承担其全部经济和法律责任；乙方与所聘员工发生的劳务纠纷以及民事、刑事责任均由乙方承担。</w:t>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.必须</w:t>
      </w:r>
      <w:r>
        <w:rPr>
          <w:rFonts w:ascii="宋体" w:hAnsi="宋体"/>
          <w:szCs w:val="21"/>
        </w:rPr>
        <w:t>接受甲方、学生会和政府相关部门的指导、检查、监督。</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.必须组织</w:t>
      </w:r>
      <w:r>
        <w:rPr>
          <w:rFonts w:ascii="宋体" w:hAnsi="宋体"/>
          <w:szCs w:val="21"/>
        </w:rPr>
        <w:t>对从业人员进行</w:t>
      </w:r>
      <w:r>
        <w:rPr>
          <w:rFonts w:hint="eastAsia" w:ascii="宋体" w:hAnsi="宋体"/>
          <w:szCs w:val="21"/>
        </w:rPr>
        <w:t>食品安全、生产及消防</w:t>
      </w:r>
      <w:r>
        <w:rPr>
          <w:rFonts w:ascii="宋体" w:hAnsi="宋体"/>
          <w:szCs w:val="21"/>
        </w:rPr>
        <w:t>安全、职业道德、守法教育、服务技能等教育培训；</w:t>
      </w:r>
      <w:r>
        <w:rPr>
          <w:rFonts w:hint="eastAsia" w:ascii="宋体" w:hAnsi="宋体"/>
          <w:szCs w:val="21"/>
        </w:rPr>
        <w:t>同时必须全员无条件参加甲方统一组织的各类食品安全、生产安全及业务水平培训，并建立培训记录台账。</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服从</w:t>
      </w:r>
      <w:r>
        <w:rPr>
          <w:rFonts w:hint="eastAsia" w:ascii="宋体" w:hAnsi="宋体"/>
          <w:szCs w:val="21"/>
        </w:rPr>
        <w:t>甲方</w:t>
      </w:r>
      <w:r>
        <w:rPr>
          <w:rFonts w:ascii="宋体" w:hAnsi="宋体"/>
          <w:szCs w:val="21"/>
        </w:rPr>
        <w:t>统一</w:t>
      </w:r>
      <w:r>
        <w:rPr>
          <w:rFonts w:hint="eastAsia" w:ascii="宋体" w:hAnsi="宋体"/>
          <w:szCs w:val="21"/>
        </w:rPr>
        <w:t>治安</w:t>
      </w:r>
      <w:r>
        <w:rPr>
          <w:rFonts w:ascii="宋体" w:hAnsi="宋体"/>
          <w:szCs w:val="21"/>
        </w:rPr>
        <w:t>管理，如员工在校发生破坏公物、偷窃、打架斗殴、</w:t>
      </w:r>
      <w:r>
        <w:rPr>
          <w:rFonts w:hint="eastAsia" w:ascii="宋体" w:hAnsi="宋体"/>
          <w:szCs w:val="21"/>
        </w:rPr>
        <w:t>参与非法群体事件或</w:t>
      </w:r>
      <w:r>
        <w:rPr>
          <w:rFonts w:ascii="宋体" w:hAnsi="宋体"/>
          <w:szCs w:val="21"/>
        </w:rPr>
        <w:t>涉黄等事件，乙方须积极配合学校保卫部门或警方对员工进行调查处理，同时甲方有权对乙方因对员工教育管理不到位而进行处罚。</w:t>
      </w:r>
    </w:p>
    <w:p>
      <w:pPr>
        <w:adjustRightInd w:val="0"/>
        <w:snapToGrid w:val="0"/>
        <w:spacing w:line="360" w:lineRule="auto"/>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必须向甲方</w:t>
      </w:r>
      <w:r>
        <w:rPr>
          <w:rFonts w:hint="eastAsia" w:ascii="宋体" w:hAnsi="宋体"/>
          <w:szCs w:val="21"/>
        </w:rPr>
        <w:t>递交餐饮服务所有产品</w:t>
      </w:r>
      <w:r>
        <w:rPr>
          <w:rFonts w:ascii="宋体" w:hAnsi="宋体"/>
          <w:szCs w:val="21"/>
        </w:rPr>
        <w:t>的质量标准</w:t>
      </w:r>
      <w:r>
        <w:rPr>
          <w:rFonts w:hint="eastAsia" w:ascii="宋体" w:hAnsi="宋体"/>
          <w:szCs w:val="21"/>
        </w:rPr>
        <w:t>、</w:t>
      </w:r>
      <w:r>
        <w:rPr>
          <w:rFonts w:ascii="宋体" w:hAnsi="宋体"/>
          <w:szCs w:val="21"/>
        </w:rPr>
        <w:t>成本核算</w:t>
      </w:r>
      <w:r>
        <w:rPr>
          <w:rFonts w:hint="eastAsia" w:ascii="宋体" w:hAnsi="宋体"/>
          <w:szCs w:val="21"/>
        </w:rPr>
        <w:t>及定价标准</w:t>
      </w:r>
      <w:r>
        <w:rPr>
          <w:rFonts w:ascii="宋体" w:hAnsi="宋体"/>
          <w:szCs w:val="21"/>
        </w:rPr>
        <w:t>，</w:t>
      </w:r>
      <w:r>
        <w:rPr>
          <w:rFonts w:hint="eastAsia" w:ascii="宋体" w:hAnsi="宋体"/>
          <w:szCs w:val="21"/>
        </w:rPr>
        <w:t>经过</w:t>
      </w:r>
      <w:r>
        <w:rPr>
          <w:rFonts w:ascii="宋体" w:hAnsi="宋体"/>
          <w:szCs w:val="21"/>
        </w:rPr>
        <w:t>甲方审批</w:t>
      </w:r>
      <w:r>
        <w:rPr>
          <w:rFonts w:hint="eastAsia" w:ascii="宋体" w:hAnsi="宋体"/>
          <w:szCs w:val="21"/>
        </w:rPr>
        <w:t>后方可实施</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必须向甲方递交超市服务所有产品的定价标准、资质与检测报告并定期更新；</w:t>
      </w:r>
    </w:p>
    <w:p>
      <w:pPr>
        <w:adjustRightInd w:val="0"/>
        <w:snapToGrid w:val="0"/>
        <w:spacing w:line="360" w:lineRule="auto"/>
        <w:ind w:firstLine="420" w:firstLineChars="200"/>
        <w:rPr>
          <w:rFonts w:ascii="宋体" w:hAnsi="宋体"/>
          <w:szCs w:val="21"/>
        </w:rPr>
      </w:pPr>
      <w:r>
        <w:rPr>
          <w:rFonts w:hint="eastAsia" w:ascii="宋体" w:hAnsi="宋体"/>
          <w:szCs w:val="21"/>
        </w:rPr>
        <w:t>所有制作、销售的产品</w:t>
      </w:r>
      <w:r>
        <w:rPr>
          <w:rFonts w:ascii="宋体" w:hAnsi="宋体"/>
          <w:szCs w:val="21"/>
        </w:rPr>
        <w:t>必须做到</w:t>
      </w:r>
      <w:r>
        <w:rPr>
          <w:rFonts w:hint="eastAsia" w:ascii="宋体" w:hAnsi="宋体"/>
          <w:szCs w:val="21"/>
        </w:rPr>
        <w:t>明码实价、</w:t>
      </w:r>
      <w:r>
        <w:rPr>
          <w:rFonts w:ascii="宋体" w:hAnsi="宋体"/>
          <w:szCs w:val="21"/>
        </w:rPr>
        <w:t>质价相符</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9</w:t>
      </w:r>
      <w:r>
        <w:rPr>
          <w:rFonts w:hint="eastAsia" w:ascii="宋体" w:hAnsi="宋体"/>
          <w:szCs w:val="21"/>
        </w:rPr>
        <w:t>.必须合法使用</w:t>
      </w:r>
      <w:r>
        <w:rPr>
          <w:rFonts w:ascii="宋体" w:hAnsi="宋体"/>
          <w:szCs w:val="21"/>
        </w:rPr>
        <w:t>食品添加剂</w:t>
      </w:r>
      <w:r>
        <w:rPr>
          <w:rFonts w:hint="eastAsia" w:ascii="宋体" w:hAnsi="宋体"/>
          <w:szCs w:val="21"/>
        </w:rPr>
        <w:t>，</w:t>
      </w:r>
      <w:r>
        <w:rPr>
          <w:rFonts w:ascii="宋体" w:hAnsi="宋体"/>
          <w:szCs w:val="21"/>
        </w:rPr>
        <w:t>按“五专”要求管理，建立台帐，自觉接受甲方的指导、检查和监督。</w:t>
      </w:r>
    </w:p>
    <w:p>
      <w:pPr>
        <w:adjustRightInd w:val="0"/>
        <w:snapToGrid w:val="0"/>
        <w:spacing w:line="360" w:lineRule="auto"/>
        <w:ind w:firstLine="420" w:firstLineChars="200"/>
        <w:rPr>
          <w:rFonts w:ascii="宋体" w:hAnsi="宋体"/>
          <w:szCs w:val="21"/>
        </w:rPr>
      </w:pPr>
      <w:r>
        <w:rPr>
          <w:rFonts w:ascii="宋体" w:hAnsi="宋体"/>
          <w:szCs w:val="21"/>
        </w:rPr>
        <w:t>10</w:t>
      </w:r>
      <w:r>
        <w:rPr>
          <w:rFonts w:hint="eastAsia" w:ascii="宋体" w:hAnsi="宋体"/>
          <w:szCs w:val="21"/>
        </w:rPr>
        <w:t>.</w:t>
      </w:r>
      <w:r>
        <w:rPr>
          <w:rFonts w:ascii="宋体" w:hAnsi="宋体"/>
          <w:szCs w:val="21"/>
        </w:rPr>
        <w:t>乙方在协议期内自负盈亏，独立承担协议期内所有债权债务，遵纪守法，照章运行，规范竞争。合作经营期间所发生的所有债权、债务及劳务纠纷，完全由乙方负责并依法承担责任。</w:t>
      </w:r>
    </w:p>
    <w:p>
      <w:pPr>
        <w:adjustRightInd w:val="0"/>
        <w:snapToGrid w:val="0"/>
        <w:spacing w:line="360" w:lineRule="auto"/>
        <w:ind w:firstLine="420" w:firstLineChars="200"/>
        <w:rPr>
          <w:rFonts w:ascii="宋体" w:hAnsi="宋体"/>
          <w:szCs w:val="21"/>
        </w:rPr>
      </w:pPr>
      <w:r>
        <w:rPr>
          <w:rFonts w:ascii="宋体" w:hAnsi="宋体"/>
          <w:szCs w:val="21"/>
        </w:rPr>
        <w:t>11</w:t>
      </w:r>
      <w:r>
        <w:rPr>
          <w:rFonts w:hint="eastAsia" w:ascii="宋体" w:hAnsi="宋体"/>
          <w:szCs w:val="21"/>
        </w:rPr>
        <w:t>.</w:t>
      </w:r>
      <w:r>
        <w:rPr>
          <w:rFonts w:ascii="宋体" w:hAnsi="宋体"/>
          <w:szCs w:val="21"/>
        </w:rPr>
        <w:t>在协议期内，设备由乙方自行负责配备，</w:t>
      </w:r>
      <w:r>
        <w:rPr>
          <w:rFonts w:hint="eastAsia" w:ascii="宋体" w:hAnsi="宋体"/>
          <w:szCs w:val="21"/>
        </w:rPr>
        <w:t>采购、维修</w:t>
      </w:r>
      <w:r>
        <w:rPr>
          <w:rFonts w:ascii="宋体" w:hAnsi="宋体"/>
          <w:szCs w:val="21"/>
        </w:rPr>
        <w:t>费用自理，协议终止时，设备自行处理，乙方不得提出费用补偿要求。</w:t>
      </w:r>
    </w:p>
    <w:p>
      <w:pPr>
        <w:adjustRightInd w:val="0"/>
        <w:snapToGrid w:val="0"/>
        <w:spacing w:line="360" w:lineRule="auto"/>
        <w:ind w:firstLine="420" w:firstLineChars="200"/>
        <w:rPr>
          <w:rFonts w:ascii="宋体" w:hAnsi="宋体"/>
          <w:szCs w:val="21"/>
        </w:rPr>
      </w:pPr>
      <w:r>
        <w:rPr>
          <w:rFonts w:ascii="宋体" w:hAnsi="宋体"/>
          <w:szCs w:val="21"/>
        </w:rPr>
        <w:t>12</w:t>
      </w:r>
      <w:r>
        <w:rPr>
          <w:rFonts w:hint="eastAsia" w:ascii="宋体" w:hAnsi="宋体"/>
          <w:szCs w:val="21"/>
        </w:rPr>
        <w:t>.</w:t>
      </w:r>
      <w:r>
        <w:rPr>
          <w:rFonts w:ascii="宋体" w:hAnsi="宋体"/>
          <w:szCs w:val="21"/>
        </w:rPr>
        <w:t>必须保证甲方提供的设备设施完好（双方组织人员对甲方提供的设备进行验收、交接，制订设备清单），协议期内如发生故障和损坏，由乙方负责维修或更新，如有遗失的，照价赔偿；设备设施损坏乙方拒不维修的，甲方将强制安排维修，费用直接从乙方经营款中扣除。</w:t>
      </w:r>
    </w:p>
    <w:p>
      <w:pPr>
        <w:adjustRightInd w:val="0"/>
        <w:snapToGrid w:val="0"/>
        <w:spacing w:line="360" w:lineRule="auto"/>
        <w:ind w:firstLine="420" w:firstLineChars="200"/>
        <w:rPr>
          <w:rFonts w:ascii="宋体" w:hAnsi="宋体"/>
          <w:szCs w:val="21"/>
        </w:rPr>
      </w:pPr>
      <w:r>
        <w:rPr>
          <w:rFonts w:ascii="宋体" w:hAnsi="宋体"/>
          <w:szCs w:val="21"/>
        </w:rPr>
        <w:t>13</w:t>
      </w:r>
      <w:r>
        <w:rPr>
          <w:rFonts w:hint="eastAsia" w:ascii="宋体" w:hAnsi="宋体"/>
          <w:szCs w:val="21"/>
        </w:rPr>
        <w:t>.</w:t>
      </w:r>
      <w:r>
        <w:rPr>
          <w:rFonts w:ascii="宋体" w:hAnsi="宋体"/>
          <w:szCs w:val="21"/>
        </w:rPr>
        <w:t>严格执行</w:t>
      </w:r>
      <w:r>
        <w:rPr>
          <w:rFonts w:hint="eastAsia" w:ascii="宋体" w:hAnsi="宋体"/>
          <w:szCs w:val="21"/>
        </w:rPr>
        <w:t>甲方</w:t>
      </w:r>
      <w:r>
        <w:rPr>
          <w:rFonts w:ascii="宋体" w:hAnsi="宋体"/>
          <w:szCs w:val="21"/>
        </w:rPr>
        <w:t>各项规定，积极参与</w:t>
      </w:r>
      <w:r>
        <w:rPr>
          <w:rFonts w:hint="eastAsia" w:ascii="宋体" w:hAnsi="宋体"/>
          <w:szCs w:val="21"/>
        </w:rPr>
        <w:t>甲方</w:t>
      </w:r>
      <w:r>
        <w:rPr>
          <w:rFonts w:ascii="宋体" w:hAnsi="宋体"/>
          <w:szCs w:val="21"/>
        </w:rPr>
        <w:t>组织的各项活动，为贫困生提供勤工助学岗位。</w:t>
      </w:r>
    </w:p>
    <w:p>
      <w:pPr>
        <w:adjustRightInd w:val="0"/>
        <w:snapToGrid w:val="0"/>
        <w:spacing w:line="360" w:lineRule="auto"/>
        <w:ind w:firstLine="420" w:firstLineChars="200"/>
        <w:rPr>
          <w:rFonts w:ascii="宋体" w:hAnsi="宋体"/>
          <w:szCs w:val="21"/>
        </w:rPr>
      </w:pPr>
      <w:r>
        <w:rPr>
          <w:rFonts w:ascii="宋体" w:hAnsi="宋体"/>
          <w:szCs w:val="21"/>
        </w:rPr>
        <w:t>14</w:t>
      </w:r>
      <w:r>
        <w:rPr>
          <w:rFonts w:hint="eastAsia" w:ascii="宋体" w:hAnsi="宋体"/>
          <w:szCs w:val="21"/>
        </w:rPr>
        <w:t>.</w:t>
      </w:r>
      <w:r>
        <w:rPr>
          <w:rFonts w:ascii="宋体" w:hAnsi="宋体"/>
          <w:szCs w:val="21"/>
        </w:rPr>
        <w:t>未经甲方同意，乙方不得擅自将经营内容变更。</w:t>
      </w:r>
    </w:p>
    <w:p>
      <w:pPr>
        <w:adjustRightInd w:val="0"/>
        <w:snapToGrid w:val="0"/>
        <w:spacing w:line="360" w:lineRule="auto"/>
        <w:ind w:firstLine="420" w:firstLineChars="200"/>
        <w:rPr>
          <w:rFonts w:ascii="宋体" w:hAnsi="宋体"/>
          <w:szCs w:val="21"/>
        </w:rPr>
      </w:pPr>
      <w:r>
        <w:rPr>
          <w:rFonts w:ascii="宋体" w:hAnsi="宋体"/>
          <w:szCs w:val="21"/>
        </w:rPr>
        <w:t>15</w:t>
      </w:r>
      <w:r>
        <w:rPr>
          <w:rFonts w:hint="eastAsia" w:ascii="宋体" w:hAnsi="宋体"/>
          <w:szCs w:val="21"/>
        </w:rPr>
        <w:t>.</w:t>
      </w:r>
      <w:r>
        <w:rPr>
          <w:rFonts w:ascii="宋体" w:hAnsi="宋体"/>
          <w:szCs w:val="21"/>
        </w:rPr>
        <w:t>未经甲方同意，乙方不得擅自以任何形式利用甲方名义进行</w:t>
      </w:r>
      <w:r>
        <w:rPr>
          <w:rFonts w:hint="eastAsia" w:ascii="宋体" w:hAnsi="宋体"/>
          <w:szCs w:val="21"/>
        </w:rPr>
        <w:t>对外</w:t>
      </w:r>
      <w:r>
        <w:rPr>
          <w:rFonts w:ascii="宋体" w:hAnsi="宋体"/>
          <w:szCs w:val="21"/>
        </w:rPr>
        <w:t>宣传</w:t>
      </w:r>
      <w:r>
        <w:rPr>
          <w:rFonts w:hint="eastAsia" w:ascii="宋体" w:hAnsi="宋体"/>
          <w:szCs w:val="21"/>
        </w:rPr>
        <w:t>或承揽广告</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16</w:t>
      </w:r>
      <w:r>
        <w:rPr>
          <w:rFonts w:hint="eastAsia" w:ascii="宋体" w:hAnsi="宋体"/>
          <w:szCs w:val="21"/>
        </w:rPr>
        <w:t>.</w:t>
      </w:r>
      <w:r>
        <w:rPr>
          <w:rFonts w:ascii="宋体" w:hAnsi="宋体"/>
          <w:szCs w:val="21"/>
        </w:rPr>
        <w:t>未经甲方同意，乙方不得在</w:t>
      </w:r>
      <w:r>
        <w:rPr>
          <w:rFonts w:hint="eastAsia" w:ascii="宋体" w:hAnsi="宋体"/>
          <w:szCs w:val="21"/>
        </w:rPr>
        <w:t>本协议经营场所</w:t>
      </w:r>
      <w:r>
        <w:rPr>
          <w:rFonts w:ascii="宋体" w:hAnsi="宋体"/>
          <w:szCs w:val="21"/>
        </w:rPr>
        <w:t>举办</w:t>
      </w:r>
      <w:r>
        <w:rPr>
          <w:rFonts w:hint="eastAsia" w:ascii="宋体" w:hAnsi="宋体"/>
          <w:szCs w:val="21"/>
        </w:rPr>
        <w:t>任何</w:t>
      </w:r>
      <w:r>
        <w:rPr>
          <w:rFonts w:ascii="宋体" w:hAnsi="宋体"/>
          <w:szCs w:val="21"/>
        </w:rPr>
        <w:t>促销活动、团体超过10人的各类集会和娱乐活</w:t>
      </w:r>
      <w:r>
        <w:rPr>
          <w:rFonts w:hint="eastAsia" w:ascii="宋体" w:hAnsi="宋体"/>
          <w:szCs w:val="21"/>
        </w:rPr>
        <w:t>动。</w:t>
      </w:r>
    </w:p>
    <w:p>
      <w:pPr>
        <w:adjustRightInd w:val="0"/>
        <w:snapToGrid w:val="0"/>
        <w:spacing w:line="360" w:lineRule="auto"/>
        <w:ind w:firstLine="420" w:firstLineChars="200"/>
        <w:rPr>
          <w:rFonts w:ascii="宋体" w:hAnsi="宋体"/>
          <w:szCs w:val="21"/>
        </w:rPr>
      </w:pPr>
      <w:r>
        <w:rPr>
          <w:rFonts w:ascii="宋体" w:hAnsi="宋体"/>
          <w:szCs w:val="21"/>
        </w:rPr>
        <w:t>17</w:t>
      </w:r>
      <w:r>
        <w:rPr>
          <w:rFonts w:hint="eastAsia" w:ascii="宋体" w:hAnsi="宋体"/>
          <w:szCs w:val="21"/>
        </w:rPr>
        <w:t>.</w:t>
      </w:r>
      <w:r>
        <w:rPr>
          <w:rFonts w:ascii="宋体" w:hAnsi="宋体"/>
          <w:szCs w:val="21"/>
        </w:rPr>
        <w:t>负责门前卫生三包，垃圾及时运送至垃圾中转站，泔水由甲</w:t>
      </w:r>
      <w:r>
        <w:rPr>
          <w:rFonts w:hint="eastAsia" w:ascii="宋体" w:hAnsi="宋体"/>
          <w:szCs w:val="21"/>
        </w:rPr>
        <w:t>方按照国家相关规定统一处理。</w:t>
      </w:r>
    </w:p>
    <w:p>
      <w:pPr>
        <w:adjustRightInd w:val="0"/>
        <w:snapToGrid w:val="0"/>
        <w:spacing w:line="360" w:lineRule="auto"/>
        <w:ind w:firstLine="420" w:firstLineChars="200"/>
        <w:rPr>
          <w:rFonts w:ascii="宋体" w:hAnsi="宋体"/>
          <w:szCs w:val="21"/>
        </w:rPr>
      </w:pPr>
      <w:r>
        <w:rPr>
          <w:rFonts w:hint="eastAsia" w:ascii="宋体" w:hAnsi="宋体"/>
          <w:szCs w:val="21"/>
        </w:rPr>
        <w:t>18.不得制作、销售国家法律法规禁止制售的产品。</w:t>
      </w:r>
    </w:p>
    <w:p>
      <w:pPr>
        <w:adjustRightInd w:val="0"/>
        <w:snapToGrid w:val="0"/>
        <w:spacing w:line="360" w:lineRule="auto"/>
        <w:ind w:firstLine="420" w:firstLineChars="200"/>
        <w:rPr>
          <w:rFonts w:ascii="宋体" w:hAnsi="宋体"/>
          <w:szCs w:val="21"/>
        </w:rPr>
      </w:pPr>
      <w:r>
        <w:rPr>
          <w:rFonts w:hint="eastAsia" w:ascii="宋体" w:hAnsi="宋体"/>
          <w:szCs w:val="21"/>
        </w:rPr>
        <w:t>19.乙方在经营期间不得与员工、顾客或其他人员发生任何形式的矛盾冲突，若发生矛盾冲突及经济纠纷等情况，乙方应积极主动解决。</w:t>
      </w:r>
    </w:p>
    <w:p>
      <w:pPr>
        <w:adjustRightInd w:val="0"/>
        <w:snapToGrid w:val="0"/>
        <w:spacing w:line="360" w:lineRule="auto"/>
        <w:ind w:firstLine="420" w:firstLineChars="200"/>
        <w:rPr>
          <w:rFonts w:ascii="宋体" w:hAnsi="宋体"/>
          <w:szCs w:val="21"/>
        </w:rPr>
      </w:pPr>
      <w:r>
        <w:rPr>
          <w:rFonts w:hint="eastAsia" w:ascii="宋体" w:hAnsi="宋体"/>
          <w:szCs w:val="21"/>
        </w:rPr>
        <w:t>20.必须执行甲方制定的个人行为规范，穿着甲方统一工作装、员工必须爱惜工装，保持工装整洁；规范服务礼貌用语和行为准则。工装由甲方负责定制，以采购价平价收取工装费用。</w:t>
      </w:r>
    </w:p>
    <w:p>
      <w:pPr>
        <w:adjustRightInd w:val="0"/>
        <w:snapToGrid w:val="0"/>
        <w:spacing w:line="360" w:lineRule="auto"/>
        <w:ind w:firstLine="420" w:firstLineChars="200"/>
        <w:rPr>
          <w:rFonts w:ascii="宋体" w:hAnsi="宋体"/>
          <w:szCs w:val="21"/>
        </w:rPr>
      </w:pPr>
      <w:r>
        <w:rPr>
          <w:rFonts w:hint="eastAsia" w:ascii="宋体" w:hAnsi="宋体"/>
          <w:szCs w:val="21"/>
        </w:rPr>
        <w:t>21.必须使用全校统一定制餐饮具（甲方统一标准色并印制校徽图案），由甲方负责定制，乙方入场前从甲方定制厂统一购买，且必须于验收后15日内支付采购费用。</w:t>
      </w:r>
    </w:p>
    <w:p>
      <w:pPr>
        <w:adjustRightInd w:val="0"/>
        <w:snapToGrid w:val="0"/>
        <w:spacing w:line="360" w:lineRule="auto"/>
        <w:ind w:firstLine="420" w:firstLineChars="200"/>
        <w:rPr>
          <w:rFonts w:ascii="宋体" w:hAnsi="宋体"/>
          <w:szCs w:val="21"/>
        </w:rPr>
      </w:pPr>
      <w:r>
        <w:rPr>
          <w:rFonts w:hint="eastAsia" w:ascii="宋体" w:hAnsi="宋体"/>
          <w:szCs w:val="21"/>
        </w:rPr>
        <w:t>22.根据甲方制定的管理制度，本项目一楼、二楼食堂严禁进行现金交易（见附件四），甲方有权对此进行检查、监督与处罚。</w:t>
      </w:r>
    </w:p>
    <w:p>
      <w:pPr>
        <w:adjustRightInd w:val="0"/>
        <w:snapToGrid w:val="0"/>
        <w:spacing w:line="360" w:lineRule="auto"/>
        <w:ind w:firstLine="420" w:firstLineChars="200"/>
        <w:rPr>
          <w:rFonts w:eastAsiaTheme="minorHAnsi"/>
          <w:szCs w:val="21"/>
        </w:rPr>
      </w:pPr>
      <w:r>
        <w:rPr>
          <w:rFonts w:eastAsiaTheme="minorHAnsi"/>
          <w:szCs w:val="21"/>
        </w:rPr>
        <w:t>23</w:t>
      </w:r>
      <w:r>
        <w:rPr>
          <w:rFonts w:hint="eastAsia" w:eastAsiaTheme="minorHAnsi"/>
          <w:szCs w:val="21"/>
        </w:rPr>
        <w:t>.</w:t>
      </w:r>
      <w:r>
        <w:rPr>
          <w:rFonts w:eastAsiaTheme="minorHAnsi"/>
          <w:szCs w:val="21"/>
        </w:rPr>
        <w:t>签订协议时，乙方应一次性向甲方支付履约保证金</w:t>
      </w:r>
      <w:r>
        <w:rPr>
          <w:rFonts w:hint="eastAsia" w:eastAsiaTheme="minorHAnsi"/>
          <w:szCs w:val="21"/>
          <w:u w:val="single"/>
        </w:rPr>
        <w:t xml:space="preserve"> </w:t>
      </w:r>
      <w:r>
        <w:rPr>
          <w:rFonts w:eastAsiaTheme="minorHAnsi"/>
          <w:szCs w:val="21"/>
          <w:u w:val="single"/>
        </w:rPr>
        <w:t xml:space="preserve"> 20  </w:t>
      </w:r>
      <w:r>
        <w:rPr>
          <w:rFonts w:eastAsiaTheme="minorHAnsi"/>
          <w:szCs w:val="21"/>
        </w:rPr>
        <w:t>万元（贰拾万元），作为乙方承担其在经营过程中发生的相关风险责任的经济保障，</w:t>
      </w:r>
      <w:r>
        <w:rPr>
          <w:rFonts w:hint="eastAsia" w:eastAsiaTheme="minorHAnsi"/>
          <w:szCs w:val="21"/>
        </w:rPr>
        <w:t>若出现一方违约情形，甲方有权从履约金中扣除相应金额</w:t>
      </w:r>
      <w:r>
        <w:rPr>
          <w:rFonts w:eastAsiaTheme="minorHAnsi"/>
          <w:szCs w:val="21"/>
        </w:rPr>
        <w:t>，</w:t>
      </w:r>
      <w:r>
        <w:rPr>
          <w:rFonts w:hint="eastAsia" w:eastAsiaTheme="minorHAnsi"/>
          <w:szCs w:val="21"/>
        </w:rPr>
        <w:t>履约金</w:t>
      </w:r>
      <w:r>
        <w:rPr>
          <w:rFonts w:eastAsiaTheme="minorHAnsi"/>
          <w:szCs w:val="21"/>
        </w:rPr>
        <w:t>不足</w:t>
      </w:r>
      <w:r>
        <w:rPr>
          <w:rFonts w:hint="eastAsia" w:eastAsiaTheme="minorHAnsi"/>
          <w:szCs w:val="21"/>
        </w:rPr>
        <w:t>5</w:t>
      </w:r>
      <w:r>
        <w:rPr>
          <w:rFonts w:eastAsiaTheme="minorHAnsi"/>
          <w:szCs w:val="21"/>
        </w:rPr>
        <w:t>0</w:t>
      </w:r>
      <w:r>
        <w:rPr>
          <w:rFonts w:hint="eastAsia" w:eastAsiaTheme="minorHAnsi"/>
          <w:szCs w:val="21"/>
        </w:rPr>
        <w:t>%</w:t>
      </w:r>
      <w:r>
        <w:rPr>
          <w:rFonts w:eastAsiaTheme="minorHAnsi"/>
          <w:szCs w:val="21"/>
        </w:rPr>
        <w:t>时，乙方必须及时补足，否则，甲方有权从乙方营业款中扣除。履约保证金在协议期满</w:t>
      </w:r>
      <w:r>
        <w:rPr>
          <w:rFonts w:hint="eastAsia" w:eastAsiaTheme="minorHAnsi"/>
          <w:szCs w:val="21"/>
        </w:rPr>
        <w:t>且未出现必须扣除履约金之情形，</w:t>
      </w:r>
      <w:r>
        <w:rPr>
          <w:rFonts w:eastAsiaTheme="minorHAnsi"/>
          <w:szCs w:val="21"/>
        </w:rPr>
        <w:t>办理移交手续后，10日内</w:t>
      </w:r>
      <w:r>
        <w:rPr>
          <w:rFonts w:hint="eastAsia" w:eastAsiaTheme="minorHAnsi"/>
          <w:szCs w:val="21"/>
        </w:rPr>
        <w:t>凭原始收据</w:t>
      </w:r>
      <w:r>
        <w:rPr>
          <w:rFonts w:eastAsiaTheme="minorHAnsi"/>
          <w:szCs w:val="21"/>
        </w:rPr>
        <w:t>无息退还。</w:t>
      </w:r>
    </w:p>
    <w:p>
      <w:pPr>
        <w:adjustRightInd w:val="0"/>
        <w:snapToGrid w:val="0"/>
        <w:spacing w:line="420" w:lineRule="exact"/>
        <w:rPr>
          <w:rFonts w:ascii="宋体" w:hAnsi="宋体"/>
          <w:b/>
          <w:bCs/>
          <w:sz w:val="24"/>
        </w:rPr>
      </w:pPr>
      <w:r>
        <w:rPr>
          <w:rFonts w:hint="eastAsia" w:ascii="宋体" w:hAnsi="宋体"/>
          <w:b/>
          <w:bCs/>
          <w:sz w:val="24"/>
        </w:rPr>
        <w:t xml:space="preserve">第三条 </w:t>
      </w:r>
      <w:r>
        <w:rPr>
          <w:rFonts w:ascii="宋体" w:hAnsi="宋体"/>
          <w:b/>
          <w:bCs/>
          <w:sz w:val="24"/>
        </w:rPr>
        <w:t>结算项目及方式</w:t>
      </w:r>
    </w:p>
    <w:p>
      <w:pPr>
        <w:adjustRightInd w:val="0"/>
        <w:snapToGrid w:val="0"/>
        <w:spacing w:line="420" w:lineRule="exact"/>
        <w:ind w:firstLine="420" w:firstLineChars="200"/>
        <w:rPr>
          <w:rFonts w:eastAsiaTheme="minorHAnsi"/>
          <w:szCs w:val="21"/>
        </w:rPr>
      </w:pPr>
      <w:r>
        <w:rPr>
          <w:rFonts w:hint="eastAsia" w:eastAsiaTheme="minorHAnsi"/>
          <w:szCs w:val="21"/>
        </w:rPr>
        <w:t>一、基本</w:t>
      </w:r>
      <w:r>
        <w:rPr>
          <w:rFonts w:eastAsiaTheme="minorHAnsi"/>
          <w:szCs w:val="21"/>
        </w:rPr>
        <w:t>伙食和教职工餐厅</w:t>
      </w:r>
      <w:r>
        <w:rPr>
          <w:rFonts w:hint="eastAsia" w:eastAsiaTheme="minorHAnsi"/>
          <w:szCs w:val="21"/>
        </w:rPr>
        <w:t>公共成本分摊费用</w:t>
      </w:r>
    </w:p>
    <w:p>
      <w:pPr>
        <w:adjustRightInd w:val="0"/>
        <w:snapToGrid w:val="0"/>
        <w:spacing w:line="420" w:lineRule="exact"/>
        <w:ind w:firstLine="420" w:firstLineChars="200"/>
        <w:rPr>
          <w:rFonts w:eastAsiaTheme="minorHAnsi"/>
          <w:szCs w:val="21"/>
        </w:rPr>
      </w:pPr>
      <w:r>
        <w:rPr>
          <w:rFonts w:hint="eastAsia" w:eastAsiaTheme="minorHAnsi"/>
          <w:szCs w:val="21"/>
        </w:rPr>
        <w:t>公共成本分摊费用为销售额的</w:t>
      </w:r>
      <w:r>
        <w:rPr>
          <w:rFonts w:eastAsiaTheme="minorHAnsi"/>
          <w:szCs w:val="21"/>
          <w:u w:val="single"/>
        </w:rPr>
        <w:t xml:space="preserve">       </w:t>
      </w:r>
      <w:r>
        <w:rPr>
          <w:rFonts w:hint="eastAsia" w:eastAsiaTheme="minorHAnsi"/>
          <w:szCs w:val="21"/>
        </w:rPr>
        <w:t>%。由甲方每月从营业款中扣除。</w:t>
      </w:r>
    </w:p>
    <w:p>
      <w:pPr>
        <w:adjustRightInd w:val="0"/>
        <w:snapToGrid w:val="0"/>
        <w:spacing w:line="420" w:lineRule="exact"/>
        <w:ind w:firstLine="420" w:firstLineChars="200"/>
        <w:rPr>
          <w:rFonts w:eastAsiaTheme="minorHAnsi"/>
          <w:szCs w:val="21"/>
        </w:rPr>
      </w:pPr>
      <w:r>
        <w:rPr>
          <w:rFonts w:hint="eastAsia" w:eastAsiaTheme="minorHAnsi"/>
          <w:szCs w:val="21"/>
        </w:rPr>
        <w:t>负一楼、</w:t>
      </w:r>
      <w:r>
        <w:rPr>
          <w:rFonts w:hint="eastAsia" w:eastAsiaTheme="minorEastAsia"/>
          <w:szCs w:val="21"/>
        </w:rPr>
        <w:t>其他楼层</w:t>
      </w:r>
      <w:r>
        <w:rPr>
          <w:rFonts w:hint="eastAsia" w:eastAsiaTheme="minorHAnsi"/>
          <w:szCs w:val="21"/>
        </w:rPr>
        <w:t>公共成本分摊与维修基金每月</w:t>
      </w:r>
      <w:r>
        <w:rPr>
          <w:rFonts w:hint="eastAsia" w:eastAsiaTheme="minorHAnsi"/>
          <w:szCs w:val="21"/>
          <w:u w:val="single"/>
        </w:rPr>
        <w:t xml:space="preserve"> </w:t>
      </w:r>
      <w:r>
        <w:rPr>
          <w:rFonts w:eastAsiaTheme="minorHAnsi"/>
          <w:szCs w:val="21"/>
          <w:u w:val="single"/>
        </w:rPr>
        <w:t xml:space="preserve">     </w:t>
      </w:r>
      <w:r>
        <w:rPr>
          <w:rFonts w:hint="eastAsia" w:eastAsiaTheme="minorHAnsi"/>
          <w:szCs w:val="21"/>
        </w:rPr>
        <w:t>万元。由甲方每月从营业款中扣除。</w:t>
      </w:r>
    </w:p>
    <w:p>
      <w:pPr>
        <w:adjustRightInd w:val="0"/>
        <w:snapToGrid w:val="0"/>
        <w:spacing w:line="420" w:lineRule="exact"/>
        <w:ind w:firstLine="420" w:firstLineChars="200"/>
        <w:rPr>
          <w:rFonts w:ascii="宋体" w:hAnsi="宋体"/>
          <w:szCs w:val="21"/>
        </w:rPr>
      </w:pPr>
      <w:r>
        <w:rPr>
          <w:rFonts w:hint="eastAsia" w:ascii="宋体" w:hAnsi="宋体"/>
          <w:szCs w:val="21"/>
        </w:rPr>
        <w:t>二、</w:t>
      </w:r>
      <w:r>
        <w:rPr>
          <w:rFonts w:ascii="宋体" w:hAnsi="宋体"/>
          <w:szCs w:val="21"/>
        </w:rPr>
        <w:t>水电气费用</w:t>
      </w:r>
    </w:p>
    <w:p>
      <w:pPr>
        <w:adjustRightInd w:val="0"/>
        <w:snapToGrid w:val="0"/>
        <w:spacing w:line="420" w:lineRule="exact"/>
        <w:ind w:firstLine="420" w:firstLineChars="200"/>
        <w:rPr>
          <w:rFonts w:ascii="宋体" w:hAnsi="宋体"/>
          <w:szCs w:val="21"/>
        </w:rPr>
      </w:pPr>
      <w:r>
        <w:rPr>
          <w:rFonts w:hint="eastAsia" w:ascii="宋体" w:hAnsi="宋体"/>
          <w:szCs w:val="21"/>
        </w:rPr>
        <w:t>乙方使用的水、电、天然气，装表计量，按月结算，每月从营业款中扣除。水电气收费标准执行甲方统一制定的收费政策（在初次进场前完成计量表起码确认）。如遇相关部门调整收费标准，则重新确定并按新标准收费水电气表。</w:t>
      </w:r>
    </w:p>
    <w:p>
      <w:pPr>
        <w:adjustRightInd w:val="0"/>
        <w:snapToGrid w:val="0"/>
        <w:spacing w:line="420" w:lineRule="exact"/>
        <w:ind w:firstLine="420" w:firstLineChars="200"/>
        <w:rPr>
          <w:rFonts w:ascii="宋体" w:hAnsi="宋体"/>
          <w:szCs w:val="21"/>
        </w:rPr>
      </w:pPr>
      <w:r>
        <w:rPr>
          <w:rFonts w:hint="eastAsia" w:ascii="宋体" w:hAnsi="宋体"/>
          <w:szCs w:val="21"/>
        </w:rPr>
        <w:t>三、</w:t>
      </w:r>
      <w:r>
        <w:rPr>
          <w:rFonts w:ascii="宋体" w:hAnsi="宋体"/>
          <w:szCs w:val="21"/>
        </w:rPr>
        <w:t>结算方式和结算</w:t>
      </w:r>
      <w:r>
        <w:rPr>
          <w:rFonts w:hint="eastAsia" w:ascii="宋体" w:hAnsi="宋体"/>
          <w:szCs w:val="21"/>
        </w:rPr>
        <w:t>时间</w:t>
      </w:r>
      <w:r>
        <w:rPr>
          <w:rFonts w:ascii="宋体" w:hAnsi="宋体"/>
          <w:szCs w:val="21"/>
        </w:rPr>
        <w:t>：</w:t>
      </w:r>
      <w:r>
        <w:rPr>
          <w:rFonts w:hint="eastAsia" w:ascii="宋体" w:hAnsi="宋体"/>
          <w:szCs w:val="21"/>
        </w:rPr>
        <w:t>根据甲方统一制度，账期为每月2</w:t>
      </w:r>
      <w:r>
        <w:rPr>
          <w:rFonts w:ascii="宋体" w:hAnsi="宋体"/>
          <w:szCs w:val="21"/>
        </w:rPr>
        <w:t>6</w:t>
      </w:r>
      <w:r>
        <w:rPr>
          <w:rFonts w:hint="eastAsia" w:ascii="宋体" w:hAnsi="宋体"/>
          <w:szCs w:val="21"/>
        </w:rPr>
        <w:t>日至次月2</w:t>
      </w:r>
      <w:r>
        <w:rPr>
          <w:rFonts w:ascii="宋体" w:hAnsi="宋体"/>
          <w:szCs w:val="21"/>
        </w:rPr>
        <w:t>5</w:t>
      </w:r>
      <w:r>
        <w:rPr>
          <w:rFonts w:hint="eastAsia" w:ascii="宋体" w:hAnsi="宋体"/>
          <w:szCs w:val="21"/>
        </w:rPr>
        <w:t>日。</w:t>
      </w:r>
      <w:r>
        <w:rPr>
          <w:rFonts w:ascii="宋体" w:hAnsi="宋体"/>
          <w:szCs w:val="21"/>
        </w:rPr>
        <w:t>乙方每月与甲方财务核对账目后进行结算。每月26日</w:t>
      </w:r>
      <w:r>
        <w:rPr>
          <w:rFonts w:hint="eastAsia" w:ascii="宋体" w:hAnsi="宋体"/>
          <w:szCs w:val="21"/>
        </w:rPr>
        <w:t>出账，乙方开具发票，次月15日前结算，遇寒暑假、法定节假等日特殊情况顺延，一般不超过两个月</w:t>
      </w:r>
      <w:r>
        <w:rPr>
          <w:rFonts w:ascii="宋体" w:hAnsi="宋体"/>
          <w:szCs w:val="21"/>
        </w:rPr>
        <w:t>。</w:t>
      </w:r>
    </w:p>
    <w:p>
      <w:pPr>
        <w:adjustRightInd w:val="0"/>
        <w:snapToGrid w:val="0"/>
        <w:spacing w:line="420" w:lineRule="exact"/>
        <w:ind w:firstLine="420" w:firstLineChars="200"/>
        <w:rPr>
          <w:rFonts w:ascii="宋体" w:hAnsi="宋体"/>
          <w:szCs w:val="21"/>
        </w:rPr>
      </w:pPr>
      <w:r>
        <w:rPr>
          <w:rFonts w:hint="eastAsia" w:ascii="宋体" w:hAnsi="宋体"/>
          <w:szCs w:val="21"/>
        </w:rPr>
        <w:t>四、</w:t>
      </w:r>
      <w:r>
        <w:rPr>
          <w:rFonts w:ascii="宋体" w:hAnsi="宋体"/>
          <w:szCs w:val="21"/>
        </w:rPr>
        <w:t>乙方经营所需缴纳的相关税费由乙方</w:t>
      </w:r>
      <w:r>
        <w:rPr>
          <w:rFonts w:hint="eastAsia" w:ascii="宋体" w:hAnsi="宋体"/>
          <w:szCs w:val="21"/>
        </w:rPr>
        <w:t>自行</w:t>
      </w:r>
      <w:r>
        <w:rPr>
          <w:rFonts w:ascii="宋体" w:hAnsi="宋体"/>
          <w:szCs w:val="21"/>
        </w:rPr>
        <w:t>承担。</w:t>
      </w:r>
    </w:p>
    <w:p>
      <w:pPr>
        <w:adjustRightInd w:val="0"/>
        <w:snapToGrid w:val="0"/>
        <w:spacing w:line="420" w:lineRule="exact"/>
        <w:ind w:firstLine="420" w:firstLineChars="200"/>
        <w:rPr>
          <w:rFonts w:ascii="宋体" w:hAnsi="宋体"/>
          <w:szCs w:val="21"/>
        </w:rPr>
      </w:pPr>
      <w:r>
        <w:rPr>
          <w:rFonts w:hint="eastAsia" w:ascii="宋体" w:hAnsi="宋体"/>
          <w:szCs w:val="21"/>
        </w:rPr>
        <w:t>五、</w:t>
      </w:r>
      <w:r>
        <w:rPr>
          <w:rFonts w:ascii="宋体" w:hAnsi="宋体"/>
          <w:szCs w:val="21"/>
        </w:rPr>
        <w:t>甲方的校园卡结算系统，由甲方管理。乙方按照</w:t>
      </w:r>
      <w:r>
        <w:rPr>
          <w:rFonts w:hint="eastAsia" w:ascii="宋体" w:hAnsi="宋体"/>
          <w:szCs w:val="21"/>
        </w:rPr>
        <w:t>甲方</w:t>
      </w:r>
      <w:r>
        <w:rPr>
          <w:rFonts w:ascii="宋体" w:hAnsi="宋体"/>
          <w:szCs w:val="21"/>
        </w:rPr>
        <w:t>相关规定缴纳“校园卡”</w:t>
      </w:r>
      <w:r>
        <w:rPr>
          <w:rFonts w:hint="eastAsia" w:ascii="宋体" w:hAnsi="宋体"/>
          <w:szCs w:val="21"/>
        </w:rPr>
        <w:t>系统</w:t>
      </w:r>
      <w:r>
        <w:rPr>
          <w:rFonts w:ascii="宋体" w:hAnsi="宋体"/>
          <w:szCs w:val="21"/>
        </w:rPr>
        <w:t>的维护费。</w:t>
      </w:r>
    </w:p>
    <w:p>
      <w:pPr>
        <w:adjustRightInd w:val="0"/>
        <w:snapToGrid w:val="0"/>
        <w:spacing w:line="420" w:lineRule="exact"/>
        <w:ind w:firstLine="420" w:firstLineChars="200"/>
        <w:rPr>
          <w:rFonts w:ascii="宋体" w:hAnsi="宋体"/>
          <w:szCs w:val="21"/>
        </w:rPr>
      </w:pPr>
      <w:r>
        <w:rPr>
          <w:rFonts w:hint="eastAsia" w:ascii="宋体" w:hAnsi="宋体"/>
          <w:szCs w:val="21"/>
        </w:rPr>
        <w:t>六、乙方在经营期间产生的维修等费用有乙方自行承担。</w:t>
      </w:r>
    </w:p>
    <w:p>
      <w:pPr>
        <w:adjustRightInd w:val="0"/>
        <w:snapToGrid w:val="0"/>
        <w:spacing w:line="420" w:lineRule="exact"/>
        <w:ind w:firstLine="420" w:firstLineChars="200"/>
        <w:rPr>
          <w:rFonts w:ascii="宋体" w:hAnsi="宋体"/>
          <w:szCs w:val="21"/>
        </w:rPr>
      </w:pPr>
      <w:r>
        <w:rPr>
          <w:rFonts w:hint="eastAsia" w:ascii="宋体" w:hAnsi="宋体"/>
          <w:szCs w:val="21"/>
        </w:rPr>
        <w:t>七、若产生其他成本分摊费用，由双方协商议定。</w:t>
      </w:r>
    </w:p>
    <w:p>
      <w:pPr>
        <w:adjustRightInd w:val="0"/>
        <w:snapToGrid w:val="0"/>
        <w:spacing w:line="420" w:lineRule="exact"/>
        <w:ind w:firstLine="420" w:firstLineChars="200"/>
        <w:rPr>
          <w:rFonts w:ascii="宋体" w:hAnsi="宋体"/>
          <w:szCs w:val="21"/>
        </w:rPr>
      </w:pPr>
    </w:p>
    <w:p>
      <w:pPr>
        <w:adjustRightInd w:val="0"/>
        <w:snapToGrid w:val="0"/>
        <w:spacing w:line="420" w:lineRule="exact"/>
        <w:rPr>
          <w:rFonts w:ascii="宋体" w:hAnsi="宋体"/>
          <w:b/>
          <w:bCs/>
          <w:sz w:val="24"/>
        </w:rPr>
      </w:pPr>
      <w:r>
        <w:rPr>
          <w:rFonts w:hint="eastAsia" w:ascii="宋体" w:hAnsi="宋体"/>
          <w:b/>
          <w:bCs/>
          <w:sz w:val="24"/>
        </w:rPr>
        <w:t xml:space="preserve">第四条 </w:t>
      </w:r>
      <w:r>
        <w:rPr>
          <w:rFonts w:ascii="宋体" w:hAnsi="宋体"/>
          <w:b/>
          <w:bCs/>
          <w:sz w:val="24"/>
        </w:rPr>
        <w:t>违约责任</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一、乙方因违反《食品安全法》及相关食品卫生管理规定而导致食物中毒的，每次向甲方支付5万元违约金，并视情节程度及影响追究相关责任直至解除协议。</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乙方经营期间，若其员工与顾客发生口角、吵架甚至斗殴现象的，视情节每次向甲方支付0.1至0.3万元违约金，并承担由此导致的相关责任。若一学年内发生上述情形3次以上或情节特别严重，造成恶劣影响的，甲方有视情节解除本协议的权力。</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三、乙方不遵守《中华人民共和国劳动法》及《中华人民共和国民法典》等，违法用工，被举报并被查办（实）的，应向甲方支付每人每次0.2万元违约金，并承担由此产生的全部经济与法律。</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乙方在经营过程中违反食品安全法律法规，制作、出售变质产品及国家法律法规禁止制售的产品，被甲方质监人员查实的，每出现一次或一项，应向甲方支付违约金0.1万元；因此原因被相关执法机构查实并处罚的，除接受相关部门处罚外，每次追加处罚与执法机构等额违约金。对甲方造成损害的，甲方有权追究乙方经济与法律责任。</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五、乙方违反食品安全管理制度，对餐饮具及容器不消毒的，每次向甲方支付0.1万元违约金。</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六、乙方未按照相关法律、法规以及本协议约定，制定并公布规章制度的，每缺失一项，向甲方支付0.05万元违约金。</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七、乙方在禁止进行现金交易的一楼、二楼食堂经营中违规收取现金，每被发现一次，应向甲方支付违约金0.1万元，再次翻倍，以此类推。</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八、因乙方人为原因（擅自拆改甲方设施设备及整体建筑、因违章操作导致火灾、爆炸等）造成损失的，由乙方负全责，甲方有权追究乙方经济与法律责任。</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若因乙方与其第三方因结账、劳务纠纷等或因管理不善而导致发生斗殴、停业、罢工等严重状况甚至刑事案件，造成恶劣影响、影响到甲方学校的正常教学、科研和生活秩序的，属严重违约，甲方有权立即终止本协议，并追究乙方经济与法律责任。</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十、在协议期内，如发生下列情况之一的，甲方有权终止协议，没收乙方交纳的全部履约保证金，乙方投入食堂装修和购置的设施设备归甲方所有，乙方承担所有费用，由此造成的一切经济与法律责任乙方承担：</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乙方因经营管理不善和学校年度考核不合格无法履行协议而要求中途终止协议；</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乙方发生重大安全事故；</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乙方发生严重食物中毒事件；</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因乙方原因，引发抗议、罢餐、重大舆情等状况，给正常教学、生活秩序带来重大损害，造成恶劣社会影响；</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乙方所进行的活动超越本协议约定；</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乙方发生违法乱纪事件；</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甲方或政府有关部门监督检查发现乙方存在重大不合格项目；</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乙方公司破产重组或因重大问题被国家相关部门责令停业或冻结资产；</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乙方不服从甲方管理，拒绝改正；</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乙方私自转包第三方；</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乙方擅自停业；</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因乙方其他原因导致不能正常营业的。</w:t>
      </w:r>
    </w:p>
    <w:p>
      <w:pPr>
        <w:adjustRightInd w:val="0"/>
        <w:snapToGrid w:val="0"/>
        <w:spacing w:line="420" w:lineRule="exact"/>
        <w:ind w:firstLine="420" w:firstLineChars="200"/>
        <w:rPr>
          <w:rFonts w:ascii="宋体" w:hAnsi="宋体"/>
          <w:szCs w:val="21"/>
        </w:rPr>
      </w:pPr>
    </w:p>
    <w:p>
      <w:pPr>
        <w:adjustRightInd w:val="0"/>
        <w:snapToGrid w:val="0"/>
        <w:spacing w:line="420" w:lineRule="exact"/>
        <w:rPr>
          <w:rFonts w:ascii="宋体" w:hAnsi="宋体"/>
          <w:b/>
          <w:bCs/>
          <w:sz w:val="24"/>
        </w:rPr>
      </w:pPr>
      <w:r>
        <w:rPr>
          <w:rFonts w:hint="eastAsia" w:ascii="宋体" w:hAnsi="宋体"/>
          <w:b/>
          <w:bCs/>
          <w:sz w:val="24"/>
        </w:rPr>
        <w:t>第五条 协议生效、变更、解除及其它约定</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一、本协议经双方签章后生效，协议期满解除。</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二、协议生效后，除法定或双方协商一致的事由外，不得随意变更或解除。</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三、双方因改名、改制、机构重组或其他原因确需对本协议内容进行变更的，要求变更的一方应提前15日以变更申请函等书面形式通知对方，双方协商后报经校招标办公室审批后可以对本协议进行变更。</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若因特殊情况（特殊情况包括但不限于下列情形：国家和政府部门或学校政策规定需收回经营场地、学校整体功能布局调整等）确需解除协议时，要求解除的一方应提前30日以书面的形式通知对方，对方在接到书面通知之日起15日内予以答复，逾期未答复则视为同意。协议正常解除，双方互不承担责任。</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协议期满，乙方应在协议期满之日起十日内将属于乙方的全部物资撤出；属于甲方的设施设备，整理清洁后再按甲方提供的设备设施清单如数完好交还，结清相应费用，退还履约保证金。若乙方未能按原设施设备清单完好交还，甲方有权在乙方经营额中照价扣除。若未经甲方允许，乙方逾期撤场，甲方将按每延期一天，扣除乙方履约保证金1%，直至扣完，同时有权将乙方遗留物品作为废弃物处理。</w:t>
      </w:r>
    </w:p>
    <w:p>
      <w:pPr>
        <w:adjustRightInd w:val="0"/>
        <w:snapToGrid w:val="0"/>
        <w:spacing w:line="400" w:lineRule="exact"/>
        <w:ind w:firstLine="420" w:firstLineChars="200"/>
        <w:rPr>
          <w:rFonts w:eastAsiaTheme="minorHAnsi"/>
          <w:szCs w:val="21"/>
        </w:rPr>
      </w:pPr>
      <w:r>
        <w:rPr>
          <w:rFonts w:hint="eastAsia" w:eastAsiaTheme="minorHAnsi"/>
          <w:szCs w:val="21"/>
        </w:rPr>
        <w:t>六、本协议期满，乙方应将该综合体以现状无偿交还给甲方（现状是指含</w:t>
      </w:r>
      <w:r>
        <w:rPr>
          <w:rFonts w:hint="eastAsia" w:eastAsiaTheme="minorEastAsia"/>
          <w:szCs w:val="21"/>
        </w:rPr>
        <w:t>乙方投入</w:t>
      </w:r>
      <w:r>
        <w:rPr>
          <w:rFonts w:hint="eastAsia" w:eastAsiaTheme="minorHAnsi"/>
          <w:szCs w:val="21"/>
        </w:rPr>
        <w:t>装修在内的整体建筑现状</w:t>
      </w:r>
      <w:r>
        <w:rPr>
          <w:rFonts w:hint="eastAsia" w:eastAsiaTheme="minorEastAsia"/>
          <w:szCs w:val="21"/>
        </w:rPr>
        <w:t>和设施设备</w:t>
      </w:r>
      <w:r>
        <w:rPr>
          <w:rFonts w:hint="eastAsia" w:eastAsiaTheme="minorHAnsi"/>
          <w:szCs w:val="21"/>
        </w:rPr>
        <w:t>），</w:t>
      </w:r>
      <w:r>
        <w:rPr>
          <w:rFonts w:eastAsiaTheme="minorHAnsi"/>
          <w:szCs w:val="21"/>
        </w:rPr>
        <w:t>乙方不得提出费用补偿要求</w:t>
      </w:r>
      <w:r>
        <w:rPr>
          <w:rFonts w:hint="eastAsia" w:eastAsiaTheme="minorHAnsi"/>
          <w:szCs w:val="21"/>
        </w:rPr>
        <w:t>，不得对装修部分进行人为毁坏，否则视作严重违约，甲方有权扣除全部履约金并追究相关经济与法律责任。</w:t>
      </w:r>
    </w:p>
    <w:p>
      <w:pPr>
        <w:adjustRightInd w:val="0"/>
        <w:snapToGrid w:val="0"/>
        <w:spacing w:line="400" w:lineRule="exact"/>
        <w:ind w:firstLine="420" w:firstLineChars="200"/>
        <w:rPr>
          <w:rFonts w:ascii="宋体" w:hAnsi="宋体"/>
          <w:szCs w:val="21"/>
        </w:rPr>
      </w:pPr>
      <w:r>
        <w:rPr>
          <w:rFonts w:hint="eastAsia" w:ascii="宋体" w:hAnsi="宋体"/>
          <w:szCs w:val="21"/>
        </w:rPr>
        <w:t>七、如因自然灾害、战争等不可抗力导致经营场地损毁无法履行本协议或造成损失的，双方互不承担责任，协议正常解除。</w:t>
      </w:r>
    </w:p>
    <w:p>
      <w:pPr>
        <w:adjustRightInd w:val="0"/>
        <w:snapToGrid w:val="0"/>
        <w:spacing w:line="400" w:lineRule="exact"/>
        <w:ind w:firstLine="420" w:firstLineChars="200"/>
        <w:rPr>
          <w:rFonts w:ascii="宋体" w:hAnsi="宋体"/>
          <w:szCs w:val="21"/>
        </w:rPr>
      </w:pPr>
      <w:r>
        <w:rPr>
          <w:rFonts w:hint="eastAsia" w:ascii="宋体" w:hAnsi="宋体"/>
          <w:szCs w:val="21"/>
        </w:rPr>
        <w:t>八、本协议一年一签，每年期满后，若甲方经综合考核结果确定不续签协议的，本协议正常解除，按本条第五款执行协议解除程序，双方互不承担责任。</w:t>
      </w:r>
    </w:p>
    <w:p>
      <w:pPr>
        <w:adjustRightInd w:val="0"/>
        <w:snapToGrid w:val="0"/>
        <w:spacing w:line="400" w:lineRule="exact"/>
        <w:ind w:firstLine="420" w:firstLineChars="200"/>
        <w:rPr>
          <w:rFonts w:ascii="宋体" w:hAnsi="宋体"/>
          <w:szCs w:val="21"/>
        </w:rPr>
      </w:pPr>
      <w:r>
        <w:rPr>
          <w:rFonts w:hint="eastAsia" w:ascii="宋体" w:hAnsi="宋体"/>
          <w:szCs w:val="21"/>
        </w:rPr>
        <w:t>九、</w:t>
      </w:r>
      <w:r>
        <w:rPr>
          <w:rFonts w:ascii="宋体" w:hAnsi="宋体"/>
          <w:szCs w:val="21"/>
        </w:rPr>
        <w:t>协议生效后，双方都应严格履行协议，如在履行协议过程中产生争议时，双方协商解决。协商不成，</w:t>
      </w:r>
      <w:r>
        <w:rPr>
          <w:rFonts w:hint="eastAsia" w:ascii="宋体" w:hAnsi="宋体"/>
          <w:szCs w:val="21"/>
        </w:rPr>
        <w:t>双方均有权</w:t>
      </w:r>
      <w:r>
        <w:rPr>
          <w:rFonts w:ascii="宋体" w:hAnsi="宋体"/>
          <w:szCs w:val="21"/>
        </w:rPr>
        <w:t>向</w:t>
      </w:r>
      <w:r>
        <w:rPr>
          <w:rFonts w:hint="eastAsia" w:ascii="宋体" w:hAnsi="宋体"/>
          <w:szCs w:val="21"/>
        </w:rPr>
        <w:t>甲方所在地人民法院</w:t>
      </w:r>
      <w:r>
        <w:rPr>
          <w:rFonts w:ascii="宋体" w:hAnsi="宋体"/>
          <w:szCs w:val="21"/>
        </w:rPr>
        <w:t>提起诉讼。</w:t>
      </w:r>
    </w:p>
    <w:p>
      <w:pPr>
        <w:adjustRightInd w:val="0"/>
        <w:snapToGrid w:val="0"/>
        <w:spacing w:line="400" w:lineRule="exact"/>
        <w:ind w:firstLine="420" w:firstLineChars="200"/>
        <w:rPr>
          <w:rFonts w:ascii="宋体" w:hAnsi="宋体"/>
          <w:szCs w:val="21"/>
        </w:rPr>
      </w:pPr>
      <w:r>
        <w:rPr>
          <w:rFonts w:hint="eastAsia" w:ascii="宋体" w:hAnsi="宋体"/>
          <w:szCs w:val="21"/>
        </w:rPr>
        <w:t>十、</w:t>
      </w:r>
      <w:r>
        <w:rPr>
          <w:rFonts w:ascii="宋体" w:hAnsi="宋体"/>
          <w:szCs w:val="21"/>
        </w:rPr>
        <w:t>协议在执行过程中出现的未尽事宜，双方协商解决。协商结果以“补充协议”方式作为本协议的附件，与本协议具有同等效力。</w:t>
      </w:r>
    </w:p>
    <w:p>
      <w:pPr>
        <w:adjustRightInd w:val="0"/>
        <w:snapToGrid w:val="0"/>
        <w:spacing w:line="400" w:lineRule="exact"/>
        <w:ind w:firstLine="420" w:firstLineChars="200"/>
        <w:rPr>
          <w:rFonts w:ascii="宋体" w:hAnsi="宋体"/>
          <w:szCs w:val="21"/>
        </w:rPr>
      </w:pPr>
      <w:r>
        <w:rPr>
          <w:rFonts w:hint="eastAsia" w:ascii="宋体" w:hAnsi="宋体"/>
          <w:szCs w:val="21"/>
        </w:rPr>
        <w:t>十一、</w:t>
      </w:r>
      <w:r>
        <w:rPr>
          <w:rFonts w:ascii="宋体" w:hAnsi="宋体"/>
          <w:szCs w:val="21"/>
        </w:rPr>
        <w:t>招标文件、投标文件及其</w:t>
      </w:r>
      <w:r>
        <w:rPr>
          <w:rFonts w:hint="eastAsia" w:ascii="宋体" w:hAnsi="宋体"/>
          <w:szCs w:val="21"/>
        </w:rPr>
        <w:t>本协议</w:t>
      </w:r>
      <w:r>
        <w:rPr>
          <w:rFonts w:ascii="宋体" w:hAnsi="宋体"/>
          <w:szCs w:val="21"/>
        </w:rPr>
        <w:t>的附件、补充协议均为</w:t>
      </w:r>
      <w:r>
        <w:rPr>
          <w:rFonts w:hint="eastAsia" w:ascii="宋体" w:hAnsi="宋体"/>
          <w:szCs w:val="21"/>
        </w:rPr>
        <w:t>本</w:t>
      </w:r>
      <w:r>
        <w:rPr>
          <w:rFonts w:ascii="宋体" w:hAnsi="宋体"/>
          <w:szCs w:val="21"/>
        </w:rPr>
        <w:t>协议组成部分。</w:t>
      </w:r>
    </w:p>
    <w:p>
      <w:pPr>
        <w:adjustRightInd w:val="0"/>
        <w:snapToGrid w:val="0"/>
        <w:spacing w:line="400" w:lineRule="exact"/>
        <w:ind w:firstLine="420" w:firstLineChars="200"/>
        <w:rPr>
          <w:rFonts w:ascii="宋体" w:hAnsi="宋体"/>
          <w:szCs w:val="21"/>
        </w:rPr>
      </w:pPr>
      <w:r>
        <w:rPr>
          <w:rFonts w:hint="eastAsia" w:ascii="宋体" w:hAnsi="宋体"/>
          <w:szCs w:val="21"/>
        </w:rPr>
        <w:t>十二、</w:t>
      </w:r>
      <w:r>
        <w:rPr>
          <w:rFonts w:ascii="宋体" w:hAnsi="宋体"/>
          <w:szCs w:val="21"/>
        </w:rPr>
        <w:t>本协议一式</w:t>
      </w:r>
      <w:r>
        <w:rPr>
          <w:rFonts w:hint="eastAsia" w:ascii="宋体" w:hAnsi="宋体"/>
          <w:szCs w:val="21"/>
        </w:rPr>
        <w:t>肆</w:t>
      </w:r>
      <w:r>
        <w:rPr>
          <w:rFonts w:ascii="宋体" w:hAnsi="宋体"/>
          <w:szCs w:val="21"/>
        </w:rPr>
        <w:t>份，甲方执</w:t>
      </w:r>
      <w:r>
        <w:rPr>
          <w:rFonts w:hint="eastAsia" w:ascii="宋体" w:hAnsi="宋体"/>
          <w:szCs w:val="21"/>
        </w:rPr>
        <w:t>叁</w:t>
      </w:r>
      <w:r>
        <w:rPr>
          <w:rFonts w:ascii="宋体" w:hAnsi="宋体"/>
          <w:szCs w:val="21"/>
        </w:rPr>
        <w:t>份，乙方执</w:t>
      </w:r>
      <w:r>
        <w:rPr>
          <w:rFonts w:hint="eastAsia" w:ascii="宋体" w:hAnsi="宋体"/>
          <w:szCs w:val="21"/>
        </w:rPr>
        <w:t>壹</w:t>
      </w:r>
      <w:r>
        <w:rPr>
          <w:rFonts w:ascii="宋体" w:hAnsi="宋体"/>
          <w:szCs w:val="21"/>
        </w:rPr>
        <w:t>份。</w:t>
      </w:r>
    </w:p>
    <w:p>
      <w:pPr>
        <w:adjustRightInd w:val="0"/>
        <w:snapToGrid w:val="0"/>
        <w:spacing w:line="420" w:lineRule="exact"/>
        <w:rPr>
          <w:rFonts w:ascii="宋体" w:hAnsi="宋体"/>
          <w:szCs w:val="21"/>
        </w:rPr>
      </w:pPr>
    </w:p>
    <w:p>
      <w:pPr>
        <w:adjustRightInd w:val="0"/>
        <w:snapToGrid w:val="0"/>
        <w:spacing w:line="420" w:lineRule="exact"/>
        <w:ind w:firstLine="422" w:firstLineChars="200"/>
        <w:rPr>
          <w:rFonts w:ascii="宋体" w:hAnsi="宋体"/>
          <w:b/>
          <w:szCs w:val="21"/>
        </w:rPr>
      </w:pPr>
      <w:bookmarkStart w:id="123" w:name="_Hlk71799943"/>
      <w:r>
        <w:rPr>
          <w:rFonts w:hint="eastAsia" w:ascii="宋体" w:hAnsi="宋体"/>
          <w:b/>
          <w:szCs w:val="21"/>
        </w:rPr>
        <w:t>附件一：饮食服务中心食堂综合考核办法</w:t>
      </w:r>
      <w:r>
        <w:rPr>
          <w:rFonts w:ascii="宋体" w:hAnsi="宋体"/>
          <w:b/>
          <w:szCs w:val="21"/>
        </w:rPr>
        <w:t xml:space="preserve"> </w:t>
      </w:r>
    </w:p>
    <w:p>
      <w:pPr>
        <w:adjustRightInd w:val="0"/>
        <w:snapToGrid w:val="0"/>
        <w:spacing w:line="420" w:lineRule="exact"/>
        <w:ind w:firstLine="422" w:firstLineChars="200"/>
        <w:rPr>
          <w:rFonts w:ascii="宋体" w:hAnsi="宋体"/>
          <w:b/>
          <w:szCs w:val="21"/>
        </w:rPr>
      </w:pPr>
      <w:r>
        <w:rPr>
          <w:rFonts w:hint="eastAsia" w:ascii="宋体" w:hAnsi="宋体"/>
          <w:b/>
          <w:szCs w:val="21"/>
        </w:rPr>
        <w:t>附件二：饮食服务中心业务往来车辆进出校园的安全规定</w:t>
      </w:r>
    </w:p>
    <w:p>
      <w:pPr>
        <w:adjustRightInd w:val="0"/>
        <w:snapToGrid w:val="0"/>
        <w:spacing w:line="420" w:lineRule="exact"/>
        <w:ind w:firstLine="411" w:firstLineChars="195"/>
        <w:rPr>
          <w:rFonts w:ascii="宋体" w:hAnsi="宋体"/>
          <w:szCs w:val="21"/>
        </w:rPr>
      </w:pPr>
      <w:r>
        <w:rPr>
          <w:rFonts w:ascii="宋体" w:hAnsi="宋体"/>
          <w:b/>
          <w:szCs w:val="21"/>
        </w:rPr>
        <w:t>附件</w:t>
      </w:r>
      <w:r>
        <w:rPr>
          <w:rFonts w:hint="eastAsia" w:ascii="宋体" w:hAnsi="宋体"/>
          <w:b/>
          <w:szCs w:val="21"/>
        </w:rPr>
        <w:t>三：饮食服务中心食堂档口合作服务单位物资采供管理规定</w:t>
      </w:r>
    </w:p>
    <w:p>
      <w:pPr>
        <w:adjustRightInd w:val="0"/>
        <w:snapToGrid w:val="0"/>
        <w:spacing w:line="420" w:lineRule="exact"/>
        <w:ind w:firstLine="411" w:firstLineChars="195"/>
        <w:rPr>
          <w:rFonts w:ascii="宋体" w:hAnsi="宋体"/>
          <w:b/>
          <w:szCs w:val="21"/>
        </w:rPr>
      </w:pPr>
      <w:r>
        <w:rPr>
          <w:rFonts w:ascii="宋体" w:hAnsi="宋体"/>
          <w:b/>
          <w:szCs w:val="21"/>
        </w:rPr>
        <w:t>附件</w:t>
      </w:r>
      <w:r>
        <w:rPr>
          <w:rFonts w:hint="eastAsia" w:ascii="宋体" w:hAnsi="宋体"/>
          <w:b/>
          <w:szCs w:val="21"/>
        </w:rPr>
        <w:t>四：饮食服务中心关于食堂现金管理的补充规定</w:t>
      </w:r>
    </w:p>
    <w:p>
      <w:pPr>
        <w:adjustRightInd w:val="0"/>
        <w:snapToGrid w:val="0"/>
        <w:spacing w:line="420" w:lineRule="exact"/>
        <w:ind w:firstLine="411" w:firstLineChars="195"/>
        <w:rPr>
          <w:rFonts w:ascii="宋体" w:hAnsi="宋体"/>
          <w:b/>
          <w:szCs w:val="21"/>
        </w:rPr>
      </w:pPr>
      <w:r>
        <w:rPr>
          <w:rFonts w:hint="eastAsia" w:ascii="宋体" w:hAnsi="宋体"/>
          <w:b/>
          <w:szCs w:val="21"/>
        </w:rPr>
        <w:t>附件五：安全承诺书</w:t>
      </w:r>
    </w:p>
    <w:p>
      <w:pPr>
        <w:spacing w:line="400" w:lineRule="exact"/>
        <w:ind w:firstLine="409" w:firstLineChars="195"/>
        <w:rPr>
          <w:rFonts w:ascii="宋体" w:hAnsi="宋体"/>
          <w:szCs w:val="21"/>
        </w:rPr>
      </w:pPr>
    </w:p>
    <w:p>
      <w:pPr>
        <w:spacing w:line="400" w:lineRule="exact"/>
        <w:ind w:firstLine="200"/>
        <w:rPr>
          <w:rFonts w:ascii="宋体" w:hAnsi="宋体"/>
          <w:szCs w:val="21"/>
        </w:rPr>
      </w:pPr>
    </w:p>
    <w:p>
      <w:pPr>
        <w:spacing w:line="400" w:lineRule="exact"/>
        <w:ind w:firstLine="200"/>
        <w:rPr>
          <w:rFonts w:ascii="宋体" w:hAnsi="宋体"/>
          <w:szCs w:val="21"/>
        </w:rPr>
      </w:pPr>
    </w:p>
    <w:p>
      <w:pPr>
        <w:spacing w:line="400" w:lineRule="exact"/>
        <w:ind w:firstLine="200"/>
        <w:rPr>
          <w:rFonts w:ascii="宋体" w:hAnsi="宋体"/>
          <w:szCs w:val="21"/>
        </w:rPr>
      </w:pPr>
    </w:p>
    <w:p>
      <w:pPr>
        <w:spacing w:line="400" w:lineRule="exact"/>
        <w:rPr>
          <w:rFonts w:ascii="宋体" w:hAnsi="宋体"/>
          <w:szCs w:val="21"/>
        </w:rPr>
      </w:pPr>
      <w:r>
        <w:rPr>
          <w:rFonts w:hint="eastAsia" w:ascii="宋体" w:hAnsi="宋体"/>
          <w:szCs w:val="21"/>
        </w:rPr>
        <w:t>甲</w:t>
      </w:r>
      <w:r>
        <w:rPr>
          <w:rFonts w:ascii="宋体" w:hAnsi="宋体"/>
          <w:szCs w:val="21"/>
        </w:rPr>
        <w:t>方</w:t>
      </w:r>
      <w:r>
        <w:rPr>
          <w:rFonts w:hint="eastAsia" w:ascii="宋体" w:hAnsi="宋体"/>
          <w:szCs w:val="21"/>
        </w:rPr>
        <w:t xml:space="preserve">：华中师范大学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乙方</w:t>
      </w:r>
      <w:r>
        <w:rPr>
          <w:rFonts w:hint="eastAsia" w:ascii="宋体" w:hAnsi="宋体"/>
          <w:szCs w:val="21"/>
        </w:rPr>
        <w:t>：</w:t>
      </w:r>
    </w:p>
    <w:p>
      <w:pPr>
        <w:spacing w:line="400" w:lineRule="exact"/>
        <w:rPr>
          <w:rFonts w:ascii="宋体" w:hAnsi="宋体"/>
          <w:szCs w:val="21"/>
        </w:rPr>
      </w:pPr>
      <w:r>
        <w:rPr>
          <w:rFonts w:hint="eastAsia" w:ascii="宋体" w:hAnsi="宋体"/>
          <w:szCs w:val="21"/>
        </w:rPr>
        <w:t xml:space="preserve">单位名称（章）：                        </w:t>
      </w:r>
      <w:r>
        <w:rPr>
          <w:rFonts w:ascii="宋体" w:hAnsi="宋体"/>
          <w:szCs w:val="21"/>
        </w:rPr>
        <w:t xml:space="preserve">  </w:t>
      </w:r>
      <w:r>
        <w:rPr>
          <w:rFonts w:hint="eastAsia" w:ascii="宋体" w:hAnsi="宋体"/>
          <w:szCs w:val="21"/>
        </w:rPr>
        <w:t xml:space="preserve"> </w:t>
      </w:r>
      <w:r>
        <w:rPr>
          <w:rFonts w:ascii="宋体" w:hAnsi="宋体"/>
          <w:szCs w:val="21"/>
        </w:rPr>
        <w:t xml:space="preserve"> 单位名称（章）：</w:t>
      </w:r>
    </w:p>
    <w:p>
      <w:pPr>
        <w:spacing w:line="400" w:lineRule="exact"/>
        <w:rPr>
          <w:rFonts w:ascii="宋体" w:hAnsi="宋体"/>
          <w:szCs w:val="21"/>
        </w:rPr>
      </w:pPr>
      <w:r>
        <w:rPr>
          <w:rFonts w:hint="eastAsia" w:ascii="宋体" w:hAnsi="宋体"/>
          <w:szCs w:val="21"/>
        </w:rPr>
        <w:t xml:space="preserve">法定代表人（或授权代表）：                  </w:t>
      </w:r>
      <w:r>
        <w:rPr>
          <w:rFonts w:ascii="宋体" w:hAnsi="宋体"/>
          <w:szCs w:val="21"/>
        </w:rPr>
        <w:t>法定代表人</w:t>
      </w:r>
      <w:r>
        <w:rPr>
          <w:rFonts w:hint="eastAsia" w:ascii="宋体" w:hAnsi="宋体"/>
          <w:szCs w:val="21"/>
        </w:rPr>
        <w:t>（或授权代表）</w:t>
      </w:r>
      <w:r>
        <w:rPr>
          <w:rFonts w:ascii="宋体" w:hAnsi="宋体"/>
          <w:szCs w:val="21"/>
        </w:rPr>
        <w:t>：</w:t>
      </w:r>
    </w:p>
    <w:p>
      <w:pPr>
        <w:spacing w:line="400" w:lineRule="exact"/>
        <w:ind w:firstLine="420" w:firstLineChars="200"/>
        <w:rPr>
          <w:rFonts w:ascii="宋体" w:hAnsi="宋体"/>
          <w:szCs w:val="21"/>
        </w:rPr>
      </w:pPr>
    </w:p>
    <w:p>
      <w:pPr>
        <w:spacing w:line="400" w:lineRule="exact"/>
        <w:ind w:firstLine="1680" w:firstLineChars="800"/>
        <w:rPr>
          <w:rFonts w:ascii="宋体" w:hAnsi="宋体"/>
          <w:szCs w:val="21"/>
        </w:rPr>
      </w:pPr>
      <w:r>
        <w:rPr>
          <w:rFonts w:hint="eastAsia" w:ascii="宋体" w:hAnsi="宋体"/>
          <w:szCs w:val="21"/>
        </w:rPr>
        <w:t xml:space="preserve">年   </w:t>
      </w:r>
      <w:r>
        <w:rPr>
          <w:rFonts w:ascii="宋体" w:hAnsi="宋体"/>
          <w:szCs w:val="21"/>
        </w:rPr>
        <w:t>月</w:t>
      </w:r>
      <w:r>
        <w:rPr>
          <w:rFonts w:hint="eastAsia" w:ascii="宋体" w:hAnsi="宋体"/>
          <w:szCs w:val="21"/>
        </w:rPr>
        <w:t xml:space="preserve">  </w:t>
      </w:r>
      <w:r>
        <w:rPr>
          <w:rFonts w:ascii="宋体" w:hAnsi="宋体"/>
          <w:szCs w:val="21"/>
        </w:rPr>
        <w:t>日</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p>
    <w:p>
      <w:pPr>
        <w:spacing w:line="400" w:lineRule="exact"/>
        <w:ind w:firstLine="200"/>
        <w:rPr>
          <w:rFonts w:ascii="宋体" w:hAnsi="宋体"/>
          <w:szCs w:val="21"/>
        </w:rPr>
      </w:pPr>
      <w:r>
        <w:rPr>
          <w:rFonts w:ascii="宋体" w:hAnsi="宋体"/>
          <w:szCs w:val="21"/>
        </w:rPr>
        <w:br w:type="page"/>
      </w:r>
    </w:p>
    <w:p>
      <w:pPr>
        <w:spacing w:line="400" w:lineRule="exact"/>
        <w:ind w:firstLine="200"/>
        <w:rPr>
          <w:rFonts w:ascii="宋体" w:hAnsi="宋体" w:cs="宋体"/>
          <w:b/>
          <w:sz w:val="28"/>
          <w:szCs w:val="28"/>
        </w:rPr>
      </w:pPr>
      <w:r>
        <w:t>附件</w:t>
      </w:r>
      <w:r>
        <w:rPr>
          <w:rFonts w:hint="eastAsia"/>
        </w:rPr>
        <w:t>一</w:t>
      </w:r>
    </w:p>
    <w:p>
      <w:pPr>
        <w:rPr>
          <w:rFonts w:ascii="宋体" w:hAnsi="宋体" w:cs="宋体"/>
        </w:rPr>
      </w:pPr>
      <w:r>
        <w:rPr>
          <w:rFonts w:ascii="宋体" w:hAnsi="宋体" w:cs="宋体"/>
          <w:b/>
          <w:sz w:val="28"/>
          <w:szCs w:val="28"/>
        </w:rPr>
        <w:t>饮食服务中心</w:t>
      </w:r>
      <w:r>
        <w:rPr>
          <w:rFonts w:hint="eastAsia" w:ascii="宋体" w:hAnsi="宋体" w:cs="宋体"/>
          <w:b/>
          <w:sz w:val="28"/>
          <w:szCs w:val="28"/>
        </w:rPr>
        <w:t>食堂</w:t>
      </w:r>
      <w:r>
        <w:rPr>
          <w:rFonts w:ascii="宋体" w:hAnsi="宋体" w:cs="宋体"/>
          <w:b/>
          <w:sz w:val="28"/>
          <w:szCs w:val="28"/>
        </w:rPr>
        <w:t>考核办法</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为进一步加强我校食堂的规范管理，建立诚信经营、良性竞争的运行机制，全面提升食堂经营管理水平和餐饮服务质量，依照《中华人民共和国食品安全法》，特制定本考核办法。</w:t>
      </w:r>
    </w:p>
    <w:p>
      <w:pPr>
        <w:adjustRightInd w:val="0"/>
        <w:snapToGrid w:val="0"/>
        <w:spacing w:line="360" w:lineRule="auto"/>
        <w:ind w:firstLine="48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一、考核项目</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饮食服务中心对所有食堂实行百分制考核，考核项目如下：</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㈠ 自营食堂</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1、食品安全与6T实务管理</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考核标准化建设与6T实务管理规范，食品安全管理的执行状况。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2、生产安全与消防安全</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考核各类设施设备的操作规范、生产过程的安全控制、消防安全相关的执行情况。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3、服务质量与规范经营</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考核服务过程中的服务质量与经营过程中的遵章守纪情况。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4、劳动纪律与行为规范</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考核所有员工的个人行为规范的执行与管理情况。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5、经营状况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考核各单位实际经营的经济效益与社会效益情况。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6、顾客投诉</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该项为针对顾客投诉的扣分项，依次计算。</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㈡ 引进合作经营食堂</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1、食品安全与6T实务管理</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考核标准化建设与6T实务管理规范，食品安全管理的执行状况。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2、生产安全与消防安全</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考核各类设施设备的操作规范、生产过程的安全控制、消防安全相关的执行情况。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3、服务质量与规范经营</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考核服务过程中的服务质量与经营过程中的遵章守纪情况。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4、劳动纪律与行为规范</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考核所有员工的个人行为规范的执行与管理情况。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5、履约能力</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考核各单位协议执行情况。</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6、顾客投诉</w:t>
      </w:r>
    </w:p>
    <w:p>
      <w:pPr>
        <w:adjustRightInd w:val="0"/>
        <w:snapToGrid w:val="0"/>
        <w:spacing w:line="360" w:lineRule="auto"/>
        <w:ind w:firstLine="7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该项为针对顾客投诉的扣分项，依次计算。</w:t>
      </w:r>
    </w:p>
    <w:p>
      <w:pPr>
        <w:adjustRightInd w:val="0"/>
        <w:snapToGrid w:val="0"/>
        <w:spacing w:line="360" w:lineRule="auto"/>
        <w:ind w:firstLine="48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二、考核人员</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由中心班子及办公室人员、食堂正副经理及中心质量监察部组成考核小组。</w:t>
      </w:r>
    </w:p>
    <w:p>
      <w:pPr>
        <w:adjustRightInd w:val="0"/>
        <w:snapToGrid w:val="0"/>
        <w:spacing w:line="360" w:lineRule="auto"/>
        <w:ind w:firstLine="480"/>
        <w:rPr>
          <w:rFonts w:asciiTheme="minorEastAsia" w:hAnsiTheme="minorEastAsia" w:eastAsiaTheme="minorEastAsia" w:cstheme="minorEastAsia"/>
          <w:szCs w:val="21"/>
        </w:rPr>
      </w:pPr>
    </w:p>
    <w:p>
      <w:pPr>
        <w:adjustRightInd w:val="0"/>
        <w:snapToGrid w:val="0"/>
        <w:spacing w:line="360" w:lineRule="auto"/>
        <w:ind w:firstLine="48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三、考核办法</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1.中心考核人员对档口进行监督检查，根据考核项目中的内容采取百分制扣分的方式，实行月考核与平时考核以及年终评估相结合的办法，具体由质监部负责实施。</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2.考核结果分为优秀、良好、合格和不合格四个级别。</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得分90分以上的为优秀单位，80至89分的为良好单位，65至79分为合格单位，65分以下为不合格单位。不合格单位将由质监部给予告诫和约谈，限期一个月整改后复查，若有明显改观，则记为合格，若复查仍不合格，将解除协议。</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4.考核被一次性扣全分的，即判为不合格，情节严重、造成恶劣影响的，将解除协议。</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5.连续三次考核不合格或发生严重事件的，将解除协议。</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6.上级主管部门检查不合格的，责令一周内整改，同时该月考评判为不合格。</w:t>
      </w: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ind w:firstLine="48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四、奖励办法</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积极配合工作，热心参与中心或学校组织的活动并表现突出的档口给予加分奖励，计入考核中。</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1.积极配合管理，加5分</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2.积极参与各项活动并有突出贡献的，加10分</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3.及时发现事故苗头，避免发生重大安全事故的，加10分</w:t>
      </w:r>
    </w:p>
    <w:p>
      <w:pPr>
        <w:adjustRightInd w:val="0"/>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4.按照学校政策对优秀单位予以相应鼓励。</w:t>
      </w: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ind w:firstLine="480"/>
        <w:rPr>
          <w:rFonts w:ascii="宋体" w:hAnsi="宋体"/>
          <w:szCs w:val="21"/>
        </w:rPr>
      </w:pPr>
    </w:p>
    <w:p>
      <w:pPr>
        <w:adjustRightInd w:val="0"/>
        <w:snapToGrid w:val="0"/>
        <w:spacing w:line="400" w:lineRule="exact"/>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附综合考评表</w:t>
      </w:r>
    </w:p>
    <w:p>
      <w:pPr>
        <w:rPr>
          <w:rFonts w:ascii="Calibri" w:hAnsi="Calibri"/>
          <w:b/>
          <w:bCs/>
          <w:sz w:val="28"/>
          <w:szCs w:val="28"/>
        </w:rPr>
      </w:pPr>
      <w:r>
        <w:rPr>
          <w:rFonts w:hint="eastAsia" w:ascii="Calibri" w:hAnsi="Calibri"/>
          <w:b/>
          <w:bCs/>
          <w:sz w:val="28"/>
          <w:szCs w:val="28"/>
        </w:rPr>
        <w:t>后勤保障部饮食服务中心食堂联合经营单位</w:t>
      </w:r>
      <w:r>
        <w:rPr>
          <w:rFonts w:ascii="Calibri" w:hAnsi="Calibri"/>
          <w:b/>
          <w:bCs/>
          <w:sz w:val="28"/>
          <w:szCs w:val="28"/>
        </w:rPr>
        <w:t>综合考评表</w:t>
      </w:r>
    </w:p>
    <w:p>
      <w:pPr>
        <w:spacing w:line="360" w:lineRule="auto"/>
        <w:ind w:right="-567" w:rightChars="-27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被考评单位：                                                  年   月   日</w:t>
      </w:r>
    </w:p>
    <w:tbl>
      <w:tblPr>
        <w:tblStyle w:val="26"/>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428"/>
        <w:gridCol w:w="5446"/>
        <w:gridCol w:w="480"/>
        <w:gridCol w:w="60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5"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w:t>
            </w:r>
          </w:p>
        </w:tc>
        <w:tc>
          <w:tcPr>
            <w:tcW w:w="370"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c>
          <w:tcPr>
            <w:tcW w:w="5489"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考核内容</w:t>
            </w:r>
          </w:p>
        </w:tc>
        <w:tc>
          <w:tcPr>
            <w:tcW w:w="480"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标准</w:t>
            </w:r>
          </w:p>
        </w:tc>
        <w:tc>
          <w:tcPr>
            <w:tcW w:w="610"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评分</w:t>
            </w:r>
          </w:p>
        </w:tc>
        <w:tc>
          <w:tcPr>
            <w:tcW w:w="1707" w:type="dxa"/>
            <w:tcBorders>
              <w:bottom w:val="single" w:color="auto" w:sz="4" w:space="0"/>
            </w:tcBorders>
            <w:shd w:val="clear"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485" w:type="dxa"/>
            <w:shd w:val="pct10"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T</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现</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场</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管</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理</w:t>
            </w:r>
          </w:p>
        </w:tc>
        <w:tc>
          <w:tcPr>
            <w:tcW w:w="370" w:type="dxa"/>
            <w:shd w:val="pct10"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10</w:t>
            </w:r>
          </w:p>
        </w:tc>
        <w:tc>
          <w:tcPr>
            <w:tcW w:w="5489" w:type="dxa"/>
            <w:shd w:val="pct10"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六T现场实务管理在专项检查详细分解，本表考核总体执行情况：</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1.全流程标准化管理制度执行有力，所有操作规范到位；</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2.各项台账记录详实；经理日志详实；</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3.生产工具管理规范，使用、存放、清洗、归类符合标准；</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4.物资管理规范、手续完备；储存符合标准；</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5.处理、整合、规范、清扫、检查、改进工作有效率，符合标准。</w:t>
            </w:r>
          </w:p>
        </w:tc>
        <w:tc>
          <w:tcPr>
            <w:tcW w:w="480" w:type="dxa"/>
            <w:shd w:val="pct10"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每</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条</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w:t>
            </w:r>
          </w:p>
        </w:tc>
        <w:tc>
          <w:tcPr>
            <w:tcW w:w="610" w:type="dxa"/>
            <w:shd w:val="pct10" w:color="auto" w:fill="auto"/>
            <w:vAlign w:val="center"/>
          </w:tcPr>
          <w:p>
            <w:pPr>
              <w:spacing w:line="360" w:lineRule="auto"/>
              <w:contextualSpacing/>
              <w:rPr>
                <w:rFonts w:asciiTheme="minorEastAsia" w:hAnsiTheme="minorEastAsia" w:eastAsiaTheme="minorEastAsia" w:cstheme="minorEastAsia"/>
                <w:szCs w:val="21"/>
              </w:rPr>
            </w:pPr>
          </w:p>
        </w:tc>
        <w:tc>
          <w:tcPr>
            <w:tcW w:w="1707" w:type="dxa"/>
            <w:shd w:val="pct10" w:color="auto" w:fill="auto"/>
            <w:vAlign w:val="center"/>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485"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hint="eastAsia" w:ascii="宋体" w:hAnsi="宋体"/>
                <w:b/>
                <w:bCs/>
                <w:szCs w:val="21"/>
              </w:rPr>
              <w:t>食</w:t>
            </w:r>
          </w:p>
          <w:p>
            <w:pPr>
              <w:spacing w:line="360" w:lineRule="auto"/>
              <w:contextualSpacing/>
              <w:rPr>
                <w:rFonts w:ascii="宋体" w:hAnsi="宋体"/>
                <w:b/>
                <w:bCs/>
                <w:szCs w:val="21"/>
              </w:rPr>
            </w:pPr>
            <w:r>
              <w:rPr>
                <w:rFonts w:hint="eastAsia" w:ascii="宋体" w:hAnsi="宋体"/>
                <w:b/>
                <w:bCs/>
                <w:szCs w:val="21"/>
              </w:rPr>
              <w:t>品</w:t>
            </w:r>
          </w:p>
          <w:p>
            <w:pPr>
              <w:spacing w:line="360" w:lineRule="auto"/>
              <w:contextualSpacing/>
              <w:rPr>
                <w:rFonts w:ascii="宋体" w:hAnsi="宋体"/>
                <w:b/>
                <w:bCs/>
                <w:szCs w:val="21"/>
              </w:rPr>
            </w:pPr>
            <w:r>
              <w:rPr>
                <w:rFonts w:hint="eastAsia" w:ascii="宋体" w:hAnsi="宋体"/>
                <w:b/>
                <w:bCs/>
                <w:szCs w:val="21"/>
              </w:rPr>
              <w:t>安</w:t>
            </w:r>
          </w:p>
          <w:p>
            <w:pPr>
              <w:spacing w:line="360" w:lineRule="auto"/>
              <w:contextualSpacing/>
              <w:rPr>
                <w:rFonts w:ascii="宋体" w:hAnsi="宋体"/>
                <w:b/>
                <w:bCs/>
                <w:szCs w:val="21"/>
              </w:rPr>
            </w:pPr>
            <w:r>
              <w:rPr>
                <w:rFonts w:hint="eastAsia" w:ascii="宋体" w:hAnsi="宋体"/>
                <w:b/>
                <w:bCs/>
                <w:szCs w:val="21"/>
              </w:rPr>
              <w:t>全</w:t>
            </w:r>
          </w:p>
        </w:tc>
        <w:tc>
          <w:tcPr>
            <w:tcW w:w="370"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ascii="宋体" w:hAnsi="宋体"/>
                <w:b/>
                <w:bCs/>
                <w:szCs w:val="21"/>
              </w:rPr>
              <w:t>22</w:t>
            </w:r>
          </w:p>
        </w:tc>
        <w:tc>
          <w:tcPr>
            <w:tcW w:w="5489" w:type="dxa"/>
            <w:tcBorders>
              <w:bottom w:val="single" w:color="auto" w:sz="4" w:space="0"/>
            </w:tcBorders>
            <w:shd w:val="clear" w:color="auto" w:fill="auto"/>
            <w:vAlign w:val="center"/>
          </w:tcPr>
          <w:p>
            <w:pPr>
              <w:spacing w:line="360" w:lineRule="auto"/>
              <w:contextualSpacing/>
              <w:rPr>
                <w:rFonts w:ascii="宋体" w:hAnsi="宋体"/>
                <w:szCs w:val="21"/>
              </w:rPr>
            </w:pPr>
            <w:r>
              <w:rPr>
                <w:rFonts w:ascii="宋体" w:hAnsi="宋体"/>
                <w:szCs w:val="21"/>
              </w:rPr>
              <w:t>1</w:t>
            </w:r>
            <w:r>
              <w:rPr>
                <w:rFonts w:hint="eastAsia" w:ascii="宋体" w:hAnsi="宋体"/>
                <w:szCs w:val="21"/>
              </w:rPr>
              <w:t>餐饮具洗消流程规范、保洁措施到位；有</w:t>
            </w:r>
            <w:r>
              <w:rPr>
                <w:rFonts w:ascii="宋体" w:hAnsi="宋体"/>
                <w:szCs w:val="21"/>
              </w:rPr>
              <w:t>自查措施，且</w:t>
            </w:r>
            <w:r>
              <w:rPr>
                <w:rFonts w:hint="eastAsia" w:ascii="宋体" w:hAnsi="宋体"/>
                <w:szCs w:val="21"/>
              </w:rPr>
              <w:t>记录</w:t>
            </w:r>
            <w:r>
              <w:rPr>
                <w:rFonts w:ascii="宋体" w:hAnsi="宋体"/>
                <w:szCs w:val="21"/>
              </w:rPr>
              <w:t>齐全</w:t>
            </w:r>
            <w:r>
              <w:rPr>
                <w:rFonts w:hint="eastAsia" w:ascii="宋体" w:hAnsi="宋体"/>
                <w:szCs w:val="21"/>
              </w:rPr>
              <w:t>；</w:t>
            </w:r>
          </w:p>
          <w:p>
            <w:pPr>
              <w:spacing w:line="360" w:lineRule="auto"/>
              <w:contextualSpacing/>
              <w:rPr>
                <w:rFonts w:ascii="宋体" w:hAnsi="宋体"/>
                <w:szCs w:val="21"/>
              </w:rPr>
            </w:pPr>
            <w:r>
              <w:rPr>
                <w:rFonts w:ascii="宋体" w:hAnsi="宋体"/>
                <w:szCs w:val="21"/>
              </w:rPr>
              <w:t>2.冰箱内生熟分开、</w:t>
            </w:r>
            <w:r>
              <w:rPr>
                <w:rFonts w:hint="eastAsia" w:ascii="宋体" w:hAnsi="宋体"/>
                <w:szCs w:val="21"/>
              </w:rPr>
              <w:t>荤素分开</w:t>
            </w:r>
            <w:r>
              <w:rPr>
                <w:rFonts w:ascii="宋体" w:hAnsi="宋体"/>
                <w:szCs w:val="21"/>
              </w:rPr>
              <w:t>；</w:t>
            </w:r>
            <w:r>
              <w:rPr>
                <w:rFonts w:hint="eastAsia" w:ascii="宋体" w:hAnsi="宋体"/>
                <w:szCs w:val="21"/>
              </w:rPr>
              <w:t>原料</w:t>
            </w:r>
            <w:r>
              <w:rPr>
                <w:rFonts w:ascii="宋体" w:hAnsi="宋体"/>
                <w:szCs w:val="21"/>
              </w:rPr>
              <w:t>、半成品</w:t>
            </w:r>
            <w:r>
              <w:rPr>
                <w:rFonts w:hint="eastAsia" w:ascii="宋体" w:hAnsi="宋体"/>
                <w:szCs w:val="21"/>
              </w:rPr>
              <w:t>、</w:t>
            </w:r>
            <w:r>
              <w:rPr>
                <w:rFonts w:ascii="宋体" w:hAnsi="宋体"/>
                <w:szCs w:val="21"/>
              </w:rPr>
              <w:t>成品分开</w:t>
            </w:r>
            <w:r>
              <w:rPr>
                <w:rFonts w:hint="eastAsia" w:ascii="宋体" w:hAnsi="宋体"/>
                <w:szCs w:val="21"/>
              </w:rPr>
              <w:t>；</w:t>
            </w:r>
            <w:r>
              <w:rPr>
                <w:rFonts w:ascii="宋体" w:hAnsi="宋体"/>
                <w:szCs w:val="21"/>
              </w:rPr>
              <w:t xml:space="preserve"> </w:t>
            </w:r>
          </w:p>
          <w:p>
            <w:pPr>
              <w:spacing w:line="360" w:lineRule="auto"/>
              <w:contextualSpacing/>
              <w:rPr>
                <w:rFonts w:ascii="宋体" w:hAnsi="宋体"/>
                <w:szCs w:val="21"/>
              </w:rPr>
            </w:pPr>
            <w:r>
              <w:rPr>
                <w:rFonts w:ascii="宋体" w:hAnsi="宋体"/>
                <w:szCs w:val="21"/>
              </w:rPr>
              <w:t>3.</w:t>
            </w:r>
            <w:r>
              <w:rPr>
                <w:rFonts w:hint="eastAsia" w:ascii="宋体" w:hAnsi="宋体"/>
                <w:szCs w:val="21"/>
              </w:rPr>
              <w:t>物资采购、验收</w:t>
            </w:r>
            <w:r>
              <w:rPr>
                <w:rFonts w:ascii="宋体" w:hAnsi="宋体"/>
                <w:szCs w:val="21"/>
              </w:rPr>
              <w:t>手续齐全</w:t>
            </w:r>
            <w:r>
              <w:rPr>
                <w:rFonts w:hint="eastAsia" w:ascii="宋体" w:hAnsi="宋体"/>
                <w:szCs w:val="21"/>
              </w:rPr>
              <w:t>；</w:t>
            </w:r>
          </w:p>
          <w:p>
            <w:pPr>
              <w:spacing w:line="360" w:lineRule="auto"/>
              <w:contextualSpacing/>
              <w:rPr>
                <w:rFonts w:ascii="宋体" w:hAnsi="宋体"/>
                <w:szCs w:val="21"/>
              </w:rPr>
            </w:pPr>
            <w:r>
              <w:rPr>
                <w:rFonts w:ascii="宋体" w:hAnsi="宋体"/>
                <w:szCs w:val="21"/>
              </w:rPr>
              <w:t>4.</w:t>
            </w:r>
            <w:r>
              <w:rPr>
                <w:rFonts w:hint="eastAsia" w:ascii="宋体" w:hAnsi="宋体"/>
                <w:szCs w:val="21"/>
              </w:rPr>
              <w:t>库房管理规范；</w:t>
            </w:r>
            <w:r>
              <w:rPr>
                <w:rFonts w:ascii="宋体" w:hAnsi="宋体"/>
                <w:szCs w:val="21"/>
              </w:rPr>
              <w:t>无“</w:t>
            </w:r>
            <w:r>
              <w:rPr>
                <w:rFonts w:hint="eastAsia" w:ascii="宋体" w:hAnsi="宋体"/>
                <w:szCs w:val="21"/>
              </w:rPr>
              <w:t>三无</w:t>
            </w:r>
            <w:r>
              <w:rPr>
                <w:rFonts w:ascii="宋体" w:hAnsi="宋体"/>
                <w:szCs w:val="21"/>
              </w:rPr>
              <w:t>”</w:t>
            </w:r>
            <w:r>
              <w:rPr>
                <w:rFonts w:hint="eastAsia" w:ascii="宋体" w:hAnsi="宋体"/>
                <w:szCs w:val="21"/>
              </w:rPr>
              <w:t>、</w:t>
            </w:r>
            <w:r>
              <w:rPr>
                <w:rFonts w:ascii="宋体" w:hAnsi="宋体"/>
                <w:szCs w:val="21"/>
              </w:rPr>
              <w:t>伪劣、过期</w:t>
            </w:r>
            <w:r>
              <w:rPr>
                <w:rFonts w:hint="eastAsia" w:ascii="宋体" w:hAnsi="宋体"/>
                <w:szCs w:val="21"/>
              </w:rPr>
              <w:t>、</w:t>
            </w:r>
            <w:r>
              <w:rPr>
                <w:rFonts w:ascii="宋体" w:hAnsi="宋体"/>
                <w:szCs w:val="21"/>
              </w:rPr>
              <w:t>变质</w:t>
            </w:r>
            <w:r>
              <w:rPr>
                <w:rFonts w:hint="eastAsia" w:ascii="宋体" w:hAnsi="宋体"/>
                <w:szCs w:val="21"/>
              </w:rPr>
              <w:t>物资；食品与药品分开</w:t>
            </w:r>
            <w:r>
              <w:rPr>
                <w:rFonts w:ascii="宋体" w:hAnsi="宋体"/>
                <w:szCs w:val="21"/>
              </w:rPr>
              <w:t>；</w:t>
            </w:r>
            <w:r>
              <w:rPr>
                <w:rFonts w:hint="eastAsia" w:ascii="宋体" w:hAnsi="宋体"/>
                <w:szCs w:val="21"/>
              </w:rPr>
              <w:t>食品与</w:t>
            </w:r>
            <w:r>
              <w:rPr>
                <w:rFonts w:ascii="宋体" w:hAnsi="宋体"/>
                <w:szCs w:val="21"/>
              </w:rPr>
              <w:t>工具</w:t>
            </w:r>
            <w:r>
              <w:rPr>
                <w:rFonts w:hint="eastAsia" w:ascii="宋体" w:hAnsi="宋体"/>
                <w:szCs w:val="21"/>
              </w:rPr>
              <w:t>分开、餐具</w:t>
            </w:r>
            <w:r>
              <w:rPr>
                <w:rFonts w:ascii="宋体" w:hAnsi="宋体"/>
                <w:szCs w:val="21"/>
              </w:rPr>
              <w:t>与</w:t>
            </w:r>
            <w:r>
              <w:rPr>
                <w:rFonts w:hint="eastAsia" w:ascii="宋体" w:hAnsi="宋体"/>
                <w:szCs w:val="21"/>
              </w:rPr>
              <w:t>用具</w:t>
            </w:r>
            <w:r>
              <w:rPr>
                <w:rFonts w:ascii="宋体" w:hAnsi="宋体"/>
                <w:szCs w:val="21"/>
              </w:rPr>
              <w:t>分开；</w:t>
            </w:r>
          </w:p>
          <w:p>
            <w:pPr>
              <w:spacing w:line="360" w:lineRule="auto"/>
              <w:contextualSpacing/>
              <w:rPr>
                <w:rFonts w:ascii="宋体" w:hAnsi="宋体"/>
                <w:szCs w:val="21"/>
              </w:rPr>
            </w:pPr>
            <w:r>
              <w:rPr>
                <w:rFonts w:ascii="宋体" w:hAnsi="宋体"/>
                <w:szCs w:val="21"/>
              </w:rPr>
              <w:t>5</w:t>
            </w:r>
            <w:r>
              <w:rPr>
                <w:rFonts w:hint="eastAsia" w:ascii="宋体" w:hAnsi="宋体"/>
                <w:szCs w:val="21"/>
              </w:rPr>
              <w:t>.食品留样符合要求</w:t>
            </w:r>
            <w:r>
              <w:rPr>
                <w:rFonts w:ascii="宋体" w:hAnsi="宋体"/>
                <w:szCs w:val="21"/>
              </w:rPr>
              <w:t>，</w:t>
            </w:r>
            <w:r>
              <w:rPr>
                <w:rFonts w:hint="eastAsia" w:ascii="宋体" w:hAnsi="宋体"/>
                <w:szCs w:val="21"/>
              </w:rPr>
              <w:t>并</w:t>
            </w:r>
            <w:r>
              <w:rPr>
                <w:rFonts w:ascii="宋体" w:hAnsi="宋体"/>
                <w:szCs w:val="21"/>
              </w:rPr>
              <w:t>标明日期，</w:t>
            </w:r>
            <w:r>
              <w:rPr>
                <w:rFonts w:hint="eastAsia" w:ascii="宋体" w:hAnsi="宋体"/>
                <w:szCs w:val="21"/>
              </w:rPr>
              <w:t>留样48小时；</w:t>
            </w:r>
          </w:p>
          <w:p>
            <w:pPr>
              <w:spacing w:line="360" w:lineRule="auto"/>
              <w:contextualSpacing/>
              <w:rPr>
                <w:rFonts w:ascii="宋体" w:hAnsi="宋体"/>
                <w:szCs w:val="21"/>
              </w:rPr>
            </w:pPr>
            <w:r>
              <w:rPr>
                <w:rFonts w:ascii="宋体" w:hAnsi="宋体"/>
                <w:szCs w:val="21"/>
              </w:rPr>
              <w:t>6.荤素菜清洗池应分设，并有明显标志；</w:t>
            </w:r>
            <w:r>
              <w:rPr>
                <w:rFonts w:hint="eastAsia" w:ascii="宋体" w:hAnsi="宋体"/>
                <w:szCs w:val="21"/>
              </w:rPr>
              <w:t>蔬菜浸泡清洗符合规范；净菜及切配</w:t>
            </w:r>
            <w:r>
              <w:rPr>
                <w:rFonts w:ascii="宋体" w:hAnsi="宋体"/>
                <w:szCs w:val="21"/>
              </w:rPr>
              <w:t>好的</w:t>
            </w:r>
            <w:r>
              <w:rPr>
                <w:rFonts w:hint="eastAsia" w:ascii="宋体" w:hAnsi="宋体"/>
                <w:szCs w:val="21"/>
              </w:rPr>
              <w:t>原料和</w:t>
            </w:r>
            <w:r>
              <w:rPr>
                <w:rFonts w:ascii="宋体" w:hAnsi="宋体"/>
                <w:szCs w:val="21"/>
              </w:rPr>
              <w:t>半成品以及容器等不得直接落地</w:t>
            </w:r>
            <w:r>
              <w:rPr>
                <w:rFonts w:hint="eastAsia" w:ascii="宋体" w:hAnsi="宋体"/>
                <w:szCs w:val="21"/>
              </w:rPr>
              <w:t>；</w:t>
            </w:r>
          </w:p>
          <w:p>
            <w:pPr>
              <w:spacing w:line="360" w:lineRule="auto"/>
              <w:contextualSpacing/>
              <w:rPr>
                <w:rFonts w:ascii="宋体" w:hAnsi="宋体"/>
                <w:szCs w:val="21"/>
              </w:rPr>
            </w:pPr>
            <w:r>
              <w:rPr>
                <w:rFonts w:ascii="宋体" w:hAnsi="宋体"/>
                <w:szCs w:val="21"/>
              </w:rPr>
              <w:t>7.</w:t>
            </w:r>
            <w:r>
              <w:rPr>
                <w:rFonts w:hint="eastAsia" w:ascii="宋体" w:hAnsi="宋体"/>
                <w:szCs w:val="21"/>
              </w:rPr>
              <w:t>食品添加剂使用规范，无禁用添加剂；</w:t>
            </w:r>
          </w:p>
          <w:p>
            <w:pPr>
              <w:spacing w:line="360" w:lineRule="auto"/>
              <w:contextualSpacing/>
              <w:rPr>
                <w:rFonts w:ascii="宋体" w:hAnsi="宋体"/>
                <w:szCs w:val="21"/>
              </w:rPr>
            </w:pPr>
            <w:r>
              <w:rPr>
                <w:rFonts w:ascii="宋体" w:hAnsi="宋体"/>
                <w:szCs w:val="21"/>
              </w:rPr>
              <w:t>8</w:t>
            </w:r>
            <w:r>
              <w:rPr>
                <w:rFonts w:hint="eastAsia" w:ascii="宋体" w:hAnsi="宋体"/>
                <w:szCs w:val="21"/>
              </w:rPr>
              <w:t>.中餐剩菜</w:t>
            </w:r>
            <w:r>
              <w:rPr>
                <w:rFonts w:ascii="宋体" w:hAnsi="宋体"/>
                <w:szCs w:val="21"/>
              </w:rPr>
              <w:t>及时进冰箱，</w:t>
            </w:r>
            <w:r>
              <w:rPr>
                <w:rFonts w:hint="eastAsia" w:ascii="宋体" w:hAnsi="宋体"/>
                <w:szCs w:val="21"/>
              </w:rPr>
              <w:t>晚餐</w:t>
            </w:r>
            <w:r>
              <w:rPr>
                <w:rFonts w:ascii="宋体" w:hAnsi="宋体"/>
                <w:szCs w:val="21"/>
              </w:rPr>
              <w:t>烧熟煮透</w:t>
            </w:r>
            <w:r>
              <w:rPr>
                <w:rFonts w:hint="eastAsia" w:ascii="宋体" w:hAnsi="宋体"/>
                <w:szCs w:val="21"/>
              </w:rPr>
              <w:t>出售；叶菜必须当餐出售，剩饭菜不得隔夜出售；</w:t>
            </w:r>
          </w:p>
          <w:p>
            <w:pPr>
              <w:spacing w:line="360" w:lineRule="auto"/>
              <w:contextualSpacing/>
              <w:rPr>
                <w:rFonts w:ascii="宋体" w:hAnsi="宋体"/>
                <w:szCs w:val="21"/>
              </w:rPr>
            </w:pPr>
            <w:r>
              <w:rPr>
                <w:rFonts w:ascii="宋体" w:hAnsi="宋体"/>
                <w:szCs w:val="21"/>
              </w:rPr>
              <w:t>9</w:t>
            </w:r>
            <w:r>
              <w:rPr>
                <w:rFonts w:hint="eastAsia" w:ascii="宋体" w:hAnsi="宋体"/>
                <w:szCs w:val="21"/>
              </w:rPr>
              <w:t>.咸菜必须每餐炒制；禽蛋必须逐个清洗后加工且必须当天销售；</w:t>
            </w:r>
          </w:p>
          <w:p>
            <w:pPr>
              <w:spacing w:line="360" w:lineRule="auto"/>
              <w:contextualSpacing/>
              <w:rPr>
                <w:rFonts w:ascii="宋体" w:hAnsi="宋体"/>
                <w:szCs w:val="21"/>
              </w:rPr>
            </w:pPr>
            <w:r>
              <w:rPr>
                <w:rFonts w:ascii="宋体" w:hAnsi="宋体"/>
                <w:szCs w:val="21"/>
              </w:rPr>
              <w:t>10.</w:t>
            </w:r>
            <w:r>
              <w:rPr>
                <w:rFonts w:hint="eastAsia" w:ascii="宋体" w:hAnsi="宋体"/>
                <w:szCs w:val="21"/>
              </w:rPr>
              <w:t>备餐</w:t>
            </w:r>
            <w:r>
              <w:rPr>
                <w:rFonts w:ascii="宋体" w:hAnsi="宋体"/>
                <w:szCs w:val="21"/>
              </w:rPr>
              <w:t>及短时放置的食品必须加盖防蝇</w:t>
            </w:r>
            <w:r>
              <w:rPr>
                <w:rFonts w:hint="eastAsia" w:ascii="宋体" w:hAnsi="宋体"/>
                <w:szCs w:val="21"/>
              </w:rPr>
              <w:t>设施；</w:t>
            </w:r>
            <w:r>
              <w:rPr>
                <w:rFonts w:ascii="宋体" w:hAnsi="宋体"/>
                <w:szCs w:val="21"/>
              </w:rPr>
              <w:t>成品</w:t>
            </w:r>
            <w:r>
              <w:rPr>
                <w:rFonts w:hint="eastAsia" w:ascii="宋体" w:hAnsi="宋体"/>
                <w:szCs w:val="21"/>
              </w:rPr>
              <w:t>及</w:t>
            </w:r>
            <w:r>
              <w:rPr>
                <w:rFonts w:ascii="宋体" w:hAnsi="宋体"/>
                <w:szCs w:val="21"/>
              </w:rPr>
              <w:t>容器无</w:t>
            </w:r>
            <w:r>
              <w:rPr>
                <w:rFonts w:hint="eastAsia" w:ascii="宋体" w:hAnsi="宋体"/>
                <w:szCs w:val="21"/>
              </w:rPr>
              <w:t>堆叠</w:t>
            </w:r>
            <w:r>
              <w:rPr>
                <w:rFonts w:ascii="宋体" w:hAnsi="宋体"/>
                <w:szCs w:val="21"/>
              </w:rPr>
              <w:t>现象</w:t>
            </w:r>
            <w:r>
              <w:rPr>
                <w:rFonts w:hint="eastAsia" w:ascii="宋体" w:hAnsi="宋体"/>
                <w:szCs w:val="21"/>
              </w:rPr>
              <w:t>；</w:t>
            </w:r>
          </w:p>
          <w:p>
            <w:pPr>
              <w:spacing w:line="360" w:lineRule="auto"/>
              <w:contextualSpacing/>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不符条件不得制售凉菜及凉粉凉面等；未经批准不得制售水果沙拉等生食品种。</w:t>
            </w:r>
          </w:p>
        </w:tc>
        <w:tc>
          <w:tcPr>
            <w:tcW w:w="480"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hint="eastAsia" w:ascii="宋体" w:hAnsi="宋体"/>
                <w:b/>
                <w:bCs/>
                <w:szCs w:val="21"/>
              </w:rPr>
              <w:t>每</w:t>
            </w:r>
          </w:p>
          <w:p>
            <w:pPr>
              <w:spacing w:line="360" w:lineRule="auto"/>
              <w:contextualSpacing/>
              <w:rPr>
                <w:rFonts w:ascii="宋体" w:hAnsi="宋体"/>
                <w:b/>
                <w:bCs/>
                <w:szCs w:val="21"/>
              </w:rPr>
            </w:pPr>
            <w:r>
              <w:rPr>
                <w:rFonts w:hint="eastAsia" w:ascii="宋体" w:hAnsi="宋体"/>
                <w:b/>
                <w:bCs/>
                <w:szCs w:val="21"/>
              </w:rPr>
              <w:t>条</w:t>
            </w:r>
          </w:p>
          <w:p>
            <w:pPr>
              <w:spacing w:line="360" w:lineRule="auto"/>
              <w:contextualSpacing/>
              <w:rPr>
                <w:rFonts w:ascii="宋体" w:hAnsi="宋体"/>
                <w:b/>
                <w:bCs/>
                <w:szCs w:val="21"/>
              </w:rPr>
            </w:pPr>
            <w:r>
              <w:rPr>
                <w:rFonts w:hint="eastAsia" w:ascii="宋体" w:hAnsi="宋体"/>
                <w:b/>
                <w:bCs/>
                <w:szCs w:val="21"/>
              </w:rPr>
              <w:t>2</w:t>
            </w:r>
          </w:p>
          <w:p>
            <w:pPr>
              <w:spacing w:line="360" w:lineRule="auto"/>
              <w:contextualSpacing/>
              <w:rPr>
                <w:rFonts w:ascii="宋体" w:hAnsi="宋体"/>
                <w:b/>
                <w:bCs/>
                <w:szCs w:val="21"/>
              </w:rPr>
            </w:pPr>
            <w:r>
              <w:rPr>
                <w:rFonts w:hint="eastAsia" w:ascii="宋体" w:hAnsi="宋体"/>
                <w:b/>
                <w:bCs/>
                <w:szCs w:val="21"/>
              </w:rPr>
              <w:t>分</w:t>
            </w:r>
          </w:p>
        </w:tc>
        <w:tc>
          <w:tcPr>
            <w:tcW w:w="610" w:type="dxa"/>
            <w:tcBorders>
              <w:bottom w:val="single" w:color="auto" w:sz="4" w:space="0"/>
            </w:tcBorders>
            <w:shd w:val="clear" w:color="auto" w:fill="auto"/>
            <w:vAlign w:val="center"/>
          </w:tcPr>
          <w:p>
            <w:pPr>
              <w:spacing w:line="360" w:lineRule="auto"/>
              <w:contextualSpacing/>
              <w:rPr>
                <w:rFonts w:ascii="宋体" w:hAnsi="宋体"/>
                <w:szCs w:val="21"/>
              </w:rPr>
            </w:pPr>
          </w:p>
        </w:tc>
        <w:tc>
          <w:tcPr>
            <w:tcW w:w="1707" w:type="dxa"/>
            <w:tcBorders>
              <w:bottom w:val="single" w:color="auto" w:sz="4" w:space="0"/>
            </w:tcBorders>
            <w:shd w:val="clear" w:color="auto" w:fill="auto"/>
            <w:vAlign w:val="center"/>
          </w:tcPr>
          <w:p>
            <w:pPr>
              <w:spacing w:line="360" w:lineRule="auto"/>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485" w:type="dxa"/>
            <w:shd w:val="pct10" w:color="auto" w:fill="auto"/>
            <w:vAlign w:val="center"/>
          </w:tcPr>
          <w:p>
            <w:pPr>
              <w:spacing w:line="360" w:lineRule="auto"/>
              <w:contextualSpacing/>
              <w:rPr>
                <w:rFonts w:ascii="宋体" w:hAnsi="宋体"/>
                <w:b/>
                <w:bCs/>
                <w:szCs w:val="21"/>
              </w:rPr>
            </w:pPr>
            <w:r>
              <w:rPr>
                <w:rFonts w:hint="eastAsia" w:ascii="宋体" w:hAnsi="宋体"/>
                <w:b/>
                <w:bCs/>
                <w:szCs w:val="21"/>
              </w:rPr>
              <w:t>履约能力</w:t>
            </w:r>
          </w:p>
        </w:tc>
        <w:tc>
          <w:tcPr>
            <w:tcW w:w="370" w:type="dxa"/>
            <w:shd w:val="pct10" w:color="auto" w:fill="auto"/>
            <w:vAlign w:val="center"/>
          </w:tcPr>
          <w:p>
            <w:pPr>
              <w:spacing w:line="360" w:lineRule="auto"/>
              <w:contextualSpacing/>
              <w:rPr>
                <w:rFonts w:ascii="宋体" w:hAnsi="宋体"/>
                <w:b/>
                <w:bCs/>
                <w:szCs w:val="21"/>
              </w:rPr>
            </w:pPr>
            <w:r>
              <w:rPr>
                <w:rFonts w:ascii="宋体" w:hAnsi="宋体"/>
                <w:b/>
                <w:bCs/>
                <w:szCs w:val="21"/>
              </w:rPr>
              <w:t>10</w:t>
            </w:r>
          </w:p>
        </w:tc>
        <w:tc>
          <w:tcPr>
            <w:tcW w:w="5489" w:type="dxa"/>
            <w:shd w:val="pct10" w:color="auto" w:fill="auto"/>
            <w:vAlign w:val="center"/>
          </w:tcPr>
          <w:p>
            <w:pPr>
              <w:spacing w:line="360" w:lineRule="auto"/>
              <w:contextualSpacing/>
              <w:rPr>
                <w:rFonts w:ascii="宋体" w:hAnsi="宋体"/>
                <w:szCs w:val="21"/>
              </w:rPr>
            </w:pPr>
            <w:r>
              <w:rPr>
                <w:rFonts w:hint="eastAsia" w:ascii="宋体" w:hAnsi="宋体"/>
                <w:szCs w:val="21"/>
              </w:rPr>
              <w:t>1.制度建设健全，企业文化特色鲜明</w:t>
            </w:r>
            <w:r>
              <w:rPr>
                <w:rFonts w:ascii="宋体" w:hAnsi="宋体"/>
                <w:szCs w:val="21"/>
              </w:rPr>
              <w:t>；</w:t>
            </w:r>
          </w:p>
          <w:p>
            <w:pPr>
              <w:spacing w:line="360" w:lineRule="auto"/>
              <w:contextualSpacing/>
              <w:rPr>
                <w:rFonts w:ascii="宋体" w:hAnsi="宋体"/>
                <w:szCs w:val="21"/>
              </w:rPr>
            </w:pPr>
            <w:r>
              <w:rPr>
                <w:rFonts w:ascii="宋体" w:hAnsi="宋体"/>
                <w:szCs w:val="21"/>
              </w:rPr>
              <w:t>2</w:t>
            </w:r>
            <w:r>
              <w:rPr>
                <w:rFonts w:hint="eastAsia" w:ascii="宋体" w:hAnsi="宋体"/>
                <w:szCs w:val="21"/>
              </w:rPr>
              <w:t>.遵守法律、法规及甲方制定的各类规章制度</w:t>
            </w:r>
            <w:r>
              <w:rPr>
                <w:rFonts w:ascii="宋体" w:hAnsi="宋体"/>
                <w:szCs w:val="21"/>
              </w:rPr>
              <w:t>；</w:t>
            </w:r>
          </w:p>
          <w:p>
            <w:pPr>
              <w:spacing w:line="360" w:lineRule="auto"/>
              <w:contextualSpacing/>
              <w:rPr>
                <w:rFonts w:ascii="宋体" w:hAnsi="宋体"/>
                <w:szCs w:val="21"/>
              </w:rPr>
            </w:pPr>
            <w:r>
              <w:rPr>
                <w:rFonts w:ascii="宋体" w:hAnsi="宋体"/>
                <w:szCs w:val="21"/>
              </w:rPr>
              <w:t>3.</w:t>
            </w:r>
            <w:r>
              <w:rPr>
                <w:rFonts w:hint="eastAsia" w:ascii="宋体" w:hAnsi="宋体"/>
                <w:szCs w:val="21"/>
              </w:rPr>
              <w:t>执行力强，管理科学规范</w:t>
            </w:r>
            <w:r>
              <w:rPr>
                <w:rFonts w:ascii="宋体" w:hAnsi="宋体"/>
                <w:szCs w:val="21"/>
              </w:rPr>
              <w:t>；</w:t>
            </w:r>
          </w:p>
          <w:p>
            <w:pPr>
              <w:spacing w:line="360" w:lineRule="auto"/>
              <w:contextualSpacing/>
              <w:rPr>
                <w:rFonts w:ascii="宋体" w:hAnsi="宋体"/>
                <w:szCs w:val="21"/>
              </w:rPr>
            </w:pPr>
            <w:r>
              <w:rPr>
                <w:rFonts w:ascii="宋体" w:hAnsi="宋体"/>
                <w:szCs w:val="21"/>
              </w:rPr>
              <w:t>4.</w:t>
            </w:r>
            <w:r>
              <w:rPr>
                <w:rFonts w:hint="eastAsia" w:ascii="宋体" w:hAnsi="宋体"/>
                <w:szCs w:val="21"/>
              </w:rPr>
              <w:t>生产流程符合规范，全程可控；</w:t>
            </w:r>
          </w:p>
          <w:p>
            <w:pPr>
              <w:spacing w:line="360" w:lineRule="auto"/>
              <w:contextualSpacing/>
              <w:rPr>
                <w:rFonts w:ascii="宋体" w:hAnsi="宋体"/>
                <w:szCs w:val="21"/>
              </w:rPr>
            </w:pPr>
            <w:r>
              <w:rPr>
                <w:rFonts w:hint="eastAsia" w:ascii="宋体" w:hAnsi="宋体"/>
                <w:szCs w:val="21"/>
              </w:rPr>
              <w:t>5.人事管理规范，依法用工，职工队伍稳定、高效</w:t>
            </w:r>
            <w:r>
              <w:rPr>
                <w:rFonts w:ascii="宋体" w:hAnsi="宋体"/>
                <w:szCs w:val="21"/>
              </w:rPr>
              <w:t>。</w:t>
            </w:r>
          </w:p>
        </w:tc>
        <w:tc>
          <w:tcPr>
            <w:tcW w:w="480" w:type="dxa"/>
            <w:shd w:val="pct10" w:color="auto" w:fill="auto"/>
            <w:vAlign w:val="center"/>
          </w:tcPr>
          <w:p>
            <w:pPr>
              <w:spacing w:line="360" w:lineRule="auto"/>
              <w:contextualSpacing/>
              <w:rPr>
                <w:rFonts w:ascii="宋体" w:hAnsi="宋体"/>
                <w:b/>
                <w:bCs/>
                <w:szCs w:val="21"/>
              </w:rPr>
            </w:pPr>
            <w:r>
              <w:rPr>
                <w:rFonts w:hint="eastAsia" w:ascii="宋体" w:hAnsi="宋体"/>
                <w:b/>
                <w:bCs/>
                <w:szCs w:val="21"/>
              </w:rPr>
              <w:t>每</w:t>
            </w:r>
          </w:p>
          <w:p>
            <w:pPr>
              <w:spacing w:line="360" w:lineRule="auto"/>
              <w:contextualSpacing/>
              <w:rPr>
                <w:rFonts w:ascii="宋体" w:hAnsi="宋体"/>
                <w:b/>
                <w:bCs/>
                <w:szCs w:val="21"/>
              </w:rPr>
            </w:pPr>
            <w:r>
              <w:rPr>
                <w:rFonts w:hint="eastAsia" w:ascii="宋体" w:hAnsi="宋体"/>
                <w:b/>
                <w:bCs/>
                <w:szCs w:val="21"/>
              </w:rPr>
              <w:t>条</w:t>
            </w:r>
          </w:p>
          <w:p>
            <w:pPr>
              <w:spacing w:line="360" w:lineRule="auto"/>
              <w:contextualSpacing/>
              <w:rPr>
                <w:rFonts w:ascii="宋体" w:hAnsi="宋体"/>
                <w:b/>
                <w:bCs/>
                <w:szCs w:val="21"/>
              </w:rPr>
            </w:pPr>
            <w:r>
              <w:rPr>
                <w:rFonts w:ascii="宋体" w:hAnsi="宋体"/>
                <w:b/>
                <w:bCs/>
                <w:szCs w:val="21"/>
              </w:rPr>
              <w:t>2</w:t>
            </w:r>
          </w:p>
          <w:p>
            <w:pPr>
              <w:spacing w:line="360" w:lineRule="auto"/>
              <w:contextualSpacing/>
              <w:rPr>
                <w:rFonts w:ascii="宋体" w:hAnsi="宋体"/>
                <w:b/>
                <w:bCs/>
                <w:szCs w:val="21"/>
              </w:rPr>
            </w:pPr>
            <w:r>
              <w:rPr>
                <w:rFonts w:hint="eastAsia" w:ascii="宋体" w:hAnsi="宋体"/>
                <w:b/>
                <w:bCs/>
                <w:szCs w:val="21"/>
              </w:rPr>
              <w:t>分</w:t>
            </w:r>
          </w:p>
        </w:tc>
        <w:tc>
          <w:tcPr>
            <w:tcW w:w="610" w:type="dxa"/>
            <w:shd w:val="pct10" w:color="auto" w:fill="auto"/>
            <w:vAlign w:val="center"/>
          </w:tcPr>
          <w:p>
            <w:pPr>
              <w:spacing w:line="360" w:lineRule="auto"/>
              <w:contextualSpacing/>
              <w:rPr>
                <w:rFonts w:ascii="宋体" w:hAnsi="宋体"/>
                <w:szCs w:val="21"/>
              </w:rPr>
            </w:pPr>
          </w:p>
        </w:tc>
        <w:tc>
          <w:tcPr>
            <w:tcW w:w="1707" w:type="dxa"/>
            <w:shd w:val="pct10" w:color="auto" w:fill="auto"/>
            <w:vAlign w:val="center"/>
          </w:tcPr>
          <w:p>
            <w:pPr>
              <w:spacing w:line="360" w:lineRule="auto"/>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85"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hint="eastAsia" w:ascii="宋体" w:hAnsi="宋体"/>
                <w:b/>
                <w:bCs/>
                <w:szCs w:val="21"/>
              </w:rPr>
              <w:t>环</w:t>
            </w:r>
          </w:p>
          <w:p>
            <w:pPr>
              <w:spacing w:line="360" w:lineRule="auto"/>
              <w:contextualSpacing/>
              <w:rPr>
                <w:rFonts w:ascii="宋体" w:hAnsi="宋体"/>
                <w:b/>
                <w:bCs/>
                <w:szCs w:val="21"/>
              </w:rPr>
            </w:pPr>
            <w:r>
              <w:rPr>
                <w:rFonts w:hint="eastAsia" w:ascii="宋体" w:hAnsi="宋体"/>
                <w:b/>
                <w:bCs/>
                <w:szCs w:val="21"/>
              </w:rPr>
              <w:t>境</w:t>
            </w:r>
          </w:p>
          <w:p>
            <w:pPr>
              <w:spacing w:line="360" w:lineRule="auto"/>
              <w:contextualSpacing/>
              <w:rPr>
                <w:rFonts w:ascii="宋体" w:hAnsi="宋体"/>
                <w:b/>
                <w:bCs/>
                <w:szCs w:val="21"/>
              </w:rPr>
            </w:pPr>
            <w:r>
              <w:rPr>
                <w:rFonts w:hint="eastAsia" w:ascii="宋体" w:hAnsi="宋体"/>
                <w:b/>
                <w:bCs/>
                <w:szCs w:val="21"/>
              </w:rPr>
              <w:t>卫</w:t>
            </w:r>
          </w:p>
          <w:p>
            <w:pPr>
              <w:spacing w:line="360" w:lineRule="auto"/>
              <w:contextualSpacing/>
              <w:rPr>
                <w:rFonts w:ascii="宋体" w:hAnsi="宋体"/>
                <w:b/>
                <w:bCs/>
                <w:szCs w:val="21"/>
              </w:rPr>
            </w:pPr>
            <w:r>
              <w:rPr>
                <w:rFonts w:hint="eastAsia" w:ascii="宋体" w:hAnsi="宋体"/>
                <w:b/>
                <w:bCs/>
                <w:szCs w:val="21"/>
              </w:rPr>
              <w:t>生</w:t>
            </w:r>
          </w:p>
        </w:tc>
        <w:tc>
          <w:tcPr>
            <w:tcW w:w="370"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ascii="宋体" w:hAnsi="宋体"/>
                <w:b/>
                <w:bCs/>
                <w:szCs w:val="21"/>
              </w:rPr>
              <w:t>10</w:t>
            </w:r>
          </w:p>
        </w:tc>
        <w:tc>
          <w:tcPr>
            <w:tcW w:w="5489" w:type="dxa"/>
            <w:tcBorders>
              <w:bottom w:val="single" w:color="auto" w:sz="4" w:space="0"/>
            </w:tcBorders>
            <w:shd w:val="clear" w:color="auto" w:fill="auto"/>
            <w:vAlign w:val="center"/>
          </w:tcPr>
          <w:p>
            <w:pPr>
              <w:spacing w:line="360" w:lineRule="auto"/>
              <w:ind w:right="-94" w:rightChars="-45"/>
              <w:contextualSpacing/>
              <w:rPr>
                <w:rFonts w:ascii="宋体" w:hAnsi="宋体"/>
                <w:szCs w:val="21"/>
              </w:rPr>
            </w:pPr>
            <w:r>
              <w:rPr>
                <w:rFonts w:hint="eastAsia" w:ascii="宋体" w:hAnsi="宋体"/>
                <w:szCs w:val="21"/>
              </w:rPr>
              <w:t>1.全面实行无水化操作，不得用水冲地，所有部位不得有积水；</w:t>
            </w:r>
          </w:p>
          <w:p>
            <w:pPr>
              <w:spacing w:line="360" w:lineRule="auto"/>
              <w:ind w:right="-94" w:rightChars="-45"/>
              <w:contextualSpacing/>
              <w:rPr>
                <w:rFonts w:ascii="宋体" w:hAnsi="宋体"/>
                <w:szCs w:val="21"/>
              </w:rPr>
            </w:pPr>
            <w:r>
              <w:rPr>
                <w:rFonts w:ascii="宋体" w:hAnsi="宋体"/>
                <w:szCs w:val="21"/>
              </w:rPr>
              <w:t>2.</w:t>
            </w:r>
            <w:r>
              <w:rPr>
                <w:rFonts w:hint="eastAsia" w:ascii="宋体" w:hAnsi="宋体"/>
                <w:szCs w:val="21"/>
              </w:rPr>
              <w:t>前厅</w:t>
            </w:r>
            <w:r>
              <w:rPr>
                <w:rFonts w:ascii="宋体" w:hAnsi="宋体"/>
                <w:szCs w:val="21"/>
              </w:rPr>
              <w:t>设备、桌椅</w:t>
            </w:r>
            <w:r>
              <w:rPr>
                <w:rFonts w:hint="eastAsia" w:ascii="宋体" w:hAnsi="宋体"/>
                <w:szCs w:val="21"/>
              </w:rPr>
              <w:t>、渣盘、桌布整洁</w:t>
            </w:r>
            <w:r>
              <w:rPr>
                <w:rFonts w:ascii="宋体" w:hAnsi="宋体"/>
                <w:szCs w:val="21"/>
              </w:rPr>
              <w:t>；</w:t>
            </w:r>
            <w:r>
              <w:rPr>
                <w:rFonts w:hint="eastAsia" w:ascii="宋体" w:hAnsi="宋体"/>
                <w:szCs w:val="21"/>
              </w:rPr>
              <w:t>厨房设备</w:t>
            </w:r>
            <w:r>
              <w:rPr>
                <w:rFonts w:ascii="宋体" w:hAnsi="宋体"/>
                <w:szCs w:val="21"/>
              </w:rPr>
              <w:t>、炊具清洁</w:t>
            </w:r>
            <w:r>
              <w:rPr>
                <w:rFonts w:hint="eastAsia" w:ascii="宋体" w:hAnsi="宋体"/>
                <w:szCs w:val="21"/>
              </w:rPr>
              <w:t>卫生，</w:t>
            </w:r>
            <w:r>
              <w:rPr>
                <w:rFonts w:ascii="宋体" w:hAnsi="宋体"/>
                <w:szCs w:val="21"/>
              </w:rPr>
              <w:t>无油烟</w:t>
            </w:r>
            <w:r>
              <w:rPr>
                <w:rFonts w:hint="eastAsia" w:ascii="宋体" w:hAnsi="宋体"/>
                <w:szCs w:val="21"/>
              </w:rPr>
              <w:t>、无水渍</w:t>
            </w:r>
            <w:r>
              <w:rPr>
                <w:rFonts w:ascii="宋体" w:hAnsi="宋体"/>
                <w:szCs w:val="21"/>
              </w:rPr>
              <w:t>、无污渍</w:t>
            </w:r>
            <w:r>
              <w:rPr>
                <w:rFonts w:hint="eastAsia" w:ascii="宋体" w:hAnsi="宋体"/>
                <w:szCs w:val="21"/>
              </w:rPr>
              <w:t>，</w:t>
            </w:r>
            <w:r>
              <w:rPr>
                <w:rFonts w:ascii="宋体" w:hAnsi="宋体"/>
                <w:szCs w:val="21"/>
              </w:rPr>
              <w:t>垃圾桶每餐清洗并加盖；</w:t>
            </w:r>
          </w:p>
          <w:p>
            <w:pPr>
              <w:spacing w:line="360" w:lineRule="auto"/>
              <w:ind w:right="-94" w:rightChars="-45"/>
              <w:contextualSpacing/>
              <w:rPr>
                <w:rFonts w:ascii="宋体" w:hAnsi="宋体"/>
                <w:szCs w:val="21"/>
              </w:rPr>
            </w:pPr>
            <w:r>
              <w:rPr>
                <w:rFonts w:ascii="宋体" w:hAnsi="宋体"/>
                <w:szCs w:val="21"/>
              </w:rPr>
              <w:t>3.</w:t>
            </w:r>
            <w:r>
              <w:rPr>
                <w:rFonts w:hint="eastAsia" w:ascii="宋体" w:hAnsi="宋体"/>
                <w:szCs w:val="21"/>
              </w:rPr>
              <w:t>各类用品及</w:t>
            </w:r>
            <w:r>
              <w:rPr>
                <w:rFonts w:ascii="宋体" w:hAnsi="宋体"/>
                <w:szCs w:val="21"/>
              </w:rPr>
              <w:t>工具</w:t>
            </w:r>
            <w:r>
              <w:rPr>
                <w:rFonts w:hint="eastAsia" w:ascii="宋体" w:hAnsi="宋体"/>
                <w:szCs w:val="21"/>
              </w:rPr>
              <w:t>洁净</w:t>
            </w:r>
            <w:r>
              <w:rPr>
                <w:rFonts w:ascii="宋体" w:hAnsi="宋体"/>
                <w:szCs w:val="21"/>
              </w:rPr>
              <w:t>，</w:t>
            </w:r>
            <w:r>
              <w:rPr>
                <w:rFonts w:hint="eastAsia" w:ascii="宋体" w:hAnsi="宋体"/>
                <w:szCs w:val="21"/>
              </w:rPr>
              <w:t>归类</w:t>
            </w:r>
            <w:r>
              <w:rPr>
                <w:rFonts w:ascii="宋体" w:hAnsi="宋体"/>
                <w:szCs w:val="21"/>
              </w:rPr>
              <w:t>存放整齐</w:t>
            </w:r>
            <w:r>
              <w:rPr>
                <w:rFonts w:hint="eastAsia" w:ascii="宋体" w:hAnsi="宋体"/>
                <w:szCs w:val="21"/>
              </w:rPr>
              <w:t>，</w:t>
            </w:r>
            <w:r>
              <w:rPr>
                <w:rFonts w:ascii="宋体" w:hAnsi="宋体"/>
                <w:szCs w:val="21"/>
              </w:rPr>
              <w:t>无乱堆乱放现象</w:t>
            </w:r>
            <w:r>
              <w:rPr>
                <w:rFonts w:hint="eastAsia" w:ascii="宋体" w:hAnsi="宋体"/>
                <w:szCs w:val="21"/>
              </w:rPr>
              <w:t>；</w:t>
            </w:r>
          </w:p>
          <w:p>
            <w:pPr>
              <w:spacing w:line="360" w:lineRule="auto"/>
              <w:ind w:right="-94" w:rightChars="-45"/>
              <w:contextualSpacing/>
              <w:rPr>
                <w:rFonts w:ascii="宋体" w:hAnsi="宋体"/>
                <w:szCs w:val="21"/>
              </w:rPr>
            </w:pPr>
            <w:r>
              <w:rPr>
                <w:rFonts w:ascii="宋体" w:hAnsi="宋体"/>
                <w:szCs w:val="21"/>
              </w:rPr>
              <w:t>4.</w:t>
            </w:r>
            <w:r>
              <w:rPr>
                <w:rFonts w:hint="eastAsia" w:ascii="宋体" w:hAnsi="宋体"/>
                <w:szCs w:val="21"/>
              </w:rPr>
              <w:t>所有部位（</w:t>
            </w:r>
            <w:r>
              <w:rPr>
                <w:rFonts w:ascii="宋体" w:hAnsi="宋体"/>
                <w:szCs w:val="21"/>
              </w:rPr>
              <w:t>包括</w:t>
            </w:r>
            <w:r>
              <w:rPr>
                <w:rFonts w:hint="eastAsia" w:ascii="宋体" w:hAnsi="宋体"/>
                <w:szCs w:val="21"/>
              </w:rPr>
              <w:t>大厅</w:t>
            </w:r>
            <w:r>
              <w:rPr>
                <w:rFonts w:ascii="宋体" w:hAnsi="宋体"/>
                <w:szCs w:val="21"/>
              </w:rPr>
              <w:t>、备餐间</w:t>
            </w:r>
            <w:r>
              <w:rPr>
                <w:rFonts w:hint="eastAsia" w:ascii="宋体" w:hAnsi="宋体"/>
                <w:szCs w:val="21"/>
              </w:rPr>
              <w:t>、</w:t>
            </w:r>
            <w:r>
              <w:rPr>
                <w:rFonts w:ascii="宋体" w:hAnsi="宋体"/>
                <w:szCs w:val="21"/>
              </w:rPr>
              <w:t>厨房、更衣室等）整洁，地面干净，无卫生死角</w:t>
            </w:r>
            <w:r>
              <w:rPr>
                <w:rFonts w:hint="eastAsia" w:ascii="宋体" w:hAnsi="宋体"/>
                <w:szCs w:val="21"/>
              </w:rPr>
              <w:t>，无小广告，墙面无蛛网、</w:t>
            </w:r>
            <w:r>
              <w:rPr>
                <w:rFonts w:ascii="宋体" w:hAnsi="宋体"/>
                <w:szCs w:val="21"/>
              </w:rPr>
              <w:t>无扬尘</w:t>
            </w:r>
            <w:r>
              <w:rPr>
                <w:rFonts w:hint="eastAsia" w:ascii="宋体" w:hAnsi="宋体"/>
                <w:szCs w:val="21"/>
              </w:rPr>
              <w:t>；</w:t>
            </w:r>
            <w:r>
              <w:rPr>
                <w:rFonts w:ascii="宋体" w:hAnsi="宋体"/>
                <w:szCs w:val="21"/>
              </w:rPr>
              <w:t>每餐前扫除，排水沟通畅见底</w:t>
            </w:r>
            <w:r>
              <w:rPr>
                <w:rFonts w:hint="eastAsia" w:ascii="宋体" w:hAnsi="宋体"/>
                <w:szCs w:val="21"/>
              </w:rPr>
              <w:t>；三防措施完好有效</w:t>
            </w:r>
            <w:r>
              <w:rPr>
                <w:rFonts w:ascii="宋体" w:hAnsi="宋体"/>
                <w:szCs w:val="21"/>
              </w:rPr>
              <w:t>；</w:t>
            </w:r>
          </w:p>
          <w:p>
            <w:pPr>
              <w:spacing w:line="360" w:lineRule="auto"/>
              <w:ind w:right="-94" w:rightChars="-45"/>
              <w:contextualSpacing/>
              <w:rPr>
                <w:rFonts w:ascii="宋体" w:hAnsi="宋体"/>
                <w:szCs w:val="21"/>
              </w:rPr>
            </w:pPr>
            <w:r>
              <w:rPr>
                <w:rFonts w:ascii="宋体" w:hAnsi="宋体"/>
                <w:szCs w:val="21"/>
              </w:rPr>
              <w:t>5.</w:t>
            </w:r>
            <w:r>
              <w:rPr>
                <w:rFonts w:hint="eastAsia" w:ascii="宋体" w:hAnsi="宋体"/>
                <w:szCs w:val="21"/>
              </w:rPr>
              <w:t>卫生间（包括职工卫生间</w:t>
            </w:r>
            <w:r>
              <w:rPr>
                <w:rFonts w:ascii="宋体" w:hAnsi="宋体"/>
                <w:szCs w:val="21"/>
              </w:rPr>
              <w:t>和客</w:t>
            </w:r>
            <w:r>
              <w:rPr>
                <w:rFonts w:hint="eastAsia" w:ascii="宋体" w:hAnsi="宋体"/>
                <w:szCs w:val="21"/>
              </w:rPr>
              <w:t>用卫生间</w:t>
            </w:r>
            <w:r>
              <w:rPr>
                <w:rFonts w:ascii="宋体" w:hAnsi="宋体"/>
                <w:szCs w:val="21"/>
              </w:rPr>
              <w:t>）</w:t>
            </w:r>
            <w:r>
              <w:rPr>
                <w:rFonts w:hint="eastAsia" w:ascii="宋体" w:hAnsi="宋体"/>
                <w:szCs w:val="21"/>
              </w:rPr>
              <w:t>有</w:t>
            </w:r>
            <w:r>
              <w:rPr>
                <w:rFonts w:ascii="宋体" w:hAnsi="宋体"/>
                <w:szCs w:val="21"/>
              </w:rPr>
              <w:t>专人</w:t>
            </w:r>
            <w:r>
              <w:rPr>
                <w:rFonts w:hint="eastAsia" w:ascii="宋体" w:hAnsi="宋体"/>
                <w:szCs w:val="21"/>
              </w:rPr>
              <w:t>管理</w:t>
            </w:r>
            <w:r>
              <w:rPr>
                <w:rFonts w:ascii="宋体" w:hAnsi="宋体"/>
                <w:szCs w:val="21"/>
              </w:rPr>
              <w:t>，无异味。</w:t>
            </w:r>
          </w:p>
        </w:tc>
        <w:tc>
          <w:tcPr>
            <w:tcW w:w="480" w:type="dxa"/>
            <w:tcBorders>
              <w:bottom w:val="single" w:color="auto" w:sz="4" w:space="0"/>
            </w:tcBorders>
            <w:shd w:val="clear" w:color="auto" w:fill="auto"/>
            <w:vAlign w:val="center"/>
          </w:tcPr>
          <w:p>
            <w:pPr>
              <w:spacing w:line="360" w:lineRule="auto"/>
              <w:contextualSpacing/>
              <w:rPr>
                <w:rFonts w:ascii="宋体" w:hAnsi="宋体"/>
                <w:b/>
                <w:bCs/>
                <w:szCs w:val="21"/>
              </w:rPr>
            </w:pPr>
            <w:r>
              <w:rPr>
                <w:rFonts w:hint="eastAsia" w:ascii="宋体" w:hAnsi="宋体"/>
                <w:b/>
                <w:bCs/>
                <w:szCs w:val="21"/>
              </w:rPr>
              <w:t>每</w:t>
            </w:r>
          </w:p>
          <w:p>
            <w:pPr>
              <w:spacing w:line="360" w:lineRule="auto"/>
              <w:contextualSpacing/>
              <w:rPr>
                <w:rFonts w:ascii="宋体" w:hAnsi="宋体"/>
                <w:b/>
                <w:bCs/>
                <w:szCs w:val="21"/>
              </w:rPr>
            </w:pPr>
            <w:r>
              <w:rPr>
                <w:rFonts w:hint="eastAsia" w:ascii="宋体" w:hAnsi="宋体"/>
                <w:b/>
                <w:bCs/>
                <w:szCs w:val="21"/>
              </w:rPr>
              <w:t>条</w:t>
            </w:r>
          </w:p>
          <w:p>
            <w:pPr>
              <w:spacing w:line="360" w:lineRule="auto"/>
              <w:contextualSpacing/>
              <w:rPr>
                <w:rFonts w:ascii="宋体" w:hAnsi="宋体"/>
                <w:b/>
                <w:bCs/>
                <w:szCs w:val="21"/>
              </w:rPr>
            </w:pPr>
            <w:r>
              <w:rPr>
                <w:rFonts w:ascii="宋体" w:hAnsi="宋体"/>
                <w:b/>
                <w:bCs/>
                <w:szCs w:val="21"/>
              </w:rPr>
              <w:t>2</w:t>
            </w:r>
          </w:p>
          <w:p>
            <w:pPr>
              <w:spacing w:line="360" w:lineRule="auto"/>
              <w:contextualSpacing/>
              <w:rPr>
                <w:rFonts w:ascii="宋体" w:hAnsi="宋体"/>
                <w:b/>
                <w:bCs/>
                <w:szCs w:val="21"/>
              </w:rPr>
            </w:pPr>
            <w:r>
              <w:rPr>
                <w:rFonts w:hint="eastAsia" w:ascii="宋体" w:hAnsi="宋体"/>
                <w:b/>
                <w:bCs/>
                <w:szCs w:val="21"/>
              </w:rPr>
              <w:t>分</w:t>
            </w:r>
          </w:p>
        </w:tc>
        <w:tc>
          <w:tcPr>
            <w:tcW w:w="610" w:type="dxa"/>
            <w:tcBorders>
              <w:bottom w:val="single" w:color="auto" w:sz="4" w:space="0"/>
            </w:tcBorders>
            <w:shd w:val="clear" w:color="auto" w:fill="auto"/>
            <w:vAlign w:val="center"/>
          </w:tcPr>
          <w:p>
            <w:pPr>
              <w:spacing w:line="360" w:lineRule="auto"/>
              <w:contextualSpacing/>
              <w:rPr>
                <w:rFonts w:ascii="宋体" w:hAnsi="宋体"/>
                <w:szCs w:val="21"/>
              </w:rPr>
            </w:pPr>
          </w:p>
        </w:tc>
        <w:tc>
          <w:tcPr>
            <w:tcW w:w="1707" w:type="dxa"/>
            <w:tcBorders>
              <w:bottom w:val="single" w:color="auto" w:sz="4" w:space="0"/>
            </w:tcBorders>
            <w:shd w:val="clear" w:color="auto" w:fill="auto"/>
            <w:vAlign w:val="center"/>
          </w:tcPr>
          <w:p>
            <w:pPr>
              <w:spacing w:line="360" w:lineRule="auto"/>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485" w:type="dxa"/>
            <w:shd w:val="pct10" w:color="auto" w:fill="auto"/>
            <w:vAlign w:val="center"/>
          </w:tcPr>
          <w:p>
            <w:pPr>
              <w:spacing w:line="360" w:lineRule="auto"/>
              <w:contextualSpacing/>
              <w:rPr>
                <w:rFonts w:ascii="宋体" w:hAnsi="宋体"/>
                <w:b/>
                <w:bCs/>
                <w:szCs w:val="21"/>
              </w:rPr>
            </w:pPr>
            <w:r>
              <w:rPr>
                <w:rFonts w:hint="eastAsia" w:ascii="宋体" w:hAnsi="宋体"/>
                <w:b/>
                <w:bCs/>
                <w:szCs w:val="21"/>
              </w:rPr>
              <w:t>个</w:t>
            </w:r>
          </w:p>
          <w:p>
            <w:pPr>
              <w:spacing w:line="360" w:lineRule="auto"/>
              <w:contextualSpacing/>
              <w:rPr>
                <w:rFonts w:ascii="宋体" w:hAnsi="宋体"/>
                <w:b/>
                <w:bCs/>
                <w:szCs w:val="21"/>
              </w:rPr>
            </w:pPr>
            <w:r>
              <w:rPr>
                <w:rFonts w:hint="eastAsia" w:ascii="宋体" w:hAnsi="宋体"/>
                <w:b/>
                <w:bCs/>
                <w:szCs w:val="21"/>
              </w:rPr>
              <w:t>人</w:t>
            </w:r>
          </w:p>
          <w:p>
            <w:pPr>
              <w:spacing w:line="360" w:lineRule="auto"/>
              <w:contextualSpacing/>
              <w:rPr>
                <w:rFonts w:ascii="宋体" w:hAnsi="宋体"/>
                <w:b/>
                <w:bCs/>
                <w:szCs w:val="21"/>
              </w:rPr>
            </w:pPr>
            <w:r>
              <w:rPr>
                <w:rFonts w:hint="eastAsia" w:ascii="宋体" w:hAnsi="宋体"/>
                <w:b/>
                <w:bCs/>
                <w:szCs w:val="21"/>
              </w:rPr>
              <w:t>规</w:t>
            </w:r>
          </w:p>
          <w:p>
            <w:pPr>
              <w:spacing w:line="360" w:lineRule="auto"/>
              <w:contextualSpacing/>
              <w:rPr>
                <w:rFonts w:ascii="宋体" w:hAnsi="宋体"/>
                <w:b/>
                <w:bCs/>
                <w:szCs w:val="21"/>
              </w:rPr>
            </w:pPr>
            <w:r>
              <w:rPr>
                <w:rFonts w:hint="eastAsia" w:ascii="宋体" w:hAnsi="宋体"/>
                <w:b/>
                <w:bCs/>
                <w:szCs w:val="21"/>
              </w:rPr>
              <w:t>范</w:t>
            </w:r>
          </w:p>
        </w:tc>
        <w:tc>
          <w:tcPr>
            <w:tcW w:w="370" w:type="dxa"/>
            <w:shd w:val="pct10" w:color="auto" w:fill="auto"/>
            <w:vAlign w:val="center"/>
          </w:tcPr>
          <w:p>
            <w:pPr>
              <w:spacing w:line="360" w:lineRule="auto"/>
              <w:contextualSpacing/>
              <w:rPr>
                <w:rFonts w:ascii="宋体" w:hAnsi="宋体"/>
                <w:b/>
                <w:bCs/>
                <w:szCs w:val="21"/>
              </w:rPr>
            </w:pPr>
            <w:r>
              <w:rPr>
                <w:rFonts w:ascii="宋体" w:hAnsi="宋体"/>
                <w:b/>
                <w:bCs/>
                <w:szCs w:val="21"/>
              </w:rPr>
              <w:t>10</w:t>
            </w:r>
          </w:p>
        </w:tc>
        <w:tc>
          <w:tcPr>
            <w:tcW w:w="5489" w:type="dxa"/>
            <w:shd w:val="pct10" w:color="auto" w:fill="auto"/>
            <w:vAlign w:val="center"/>
          </w:tcPr>
          <w:p>
            <w:pPr>
              <w:spacing w:line="360" w:lineRule="auto"/>
              <w:contextualSpacing/>
              <w:rPr>
                <w:rFonts w:ascii="宋体" w:hAnsi="宋体"/>
                <w:szCs w:val="21"/>
              </w:rPr>
            </w:pPr>
            <w:r>
              <w:rPr>
                <w:rFonts w:hint="eastAsia" w:ascii="宋体" w:hAnsi="宋体"/>
                <w:szCs w:val="21"/>
              </w:rPr>
              <w:t>1.所有</w:t>
            </w:r>
            <w:r>
              <w:rPr>
                <w:rFonts w:ascii="宋体" w:hAnsi="宋体"/>
                <w:szCs w:val="21"/>
              </w:rPr>
              <w:t>员工必须持健康证上岗；</w:t>
            </w:r>
          </w:p>
          <w:p>
            <w:pPr>
              <w:spacing w:line="360" w:lineRule="auto"/>
              <w:contextualSpacing/>
              <w:rPr>
                <w:rFonts w:ascii="宋体" w:hAnsi="宋体"/>
                <w:szCs w:val="21"/>
              </w:rPr>
            </w:pPr>
            <w:r>
              <w:rPr>
                <w:rFonts w:ascii="宋体" w:hAnsi="宋体"/>
                <w:szCs w:val="21"/>
              </w:rPr>
              <w:t>2</w:t>
            </w:r>
            <w:r>
              <w:rPr>
                <w:rFonts w:hint="eastAsia" w:ascii="宋体" w:hAnsi="宋体"/>
                <w:szCs w:val="21"/>
              </w:rPr>
              <w:t>.遵守</w:t>
            </w:r>
            <w:r>
              <w:rPr>
                <w:rFonts w:ascii="宋体" w:hAnsi="宋体"/>
                <w:szCs w:val="21"/>
              </w:rPr>
              <w:t>个人</w:t>
            </w:r>
            <w:r>
              <w:rPr>
                <w:rFonts w:hint="eastAsia" w:ascii="宋体" w:hAnsi="宋体"/>
                <w:szCs w:val="21"/>
              </w:rPr>
              <w:t>行为</w:t>
            </w:r>
            <w:r>
              <w:rPr>
                <w:rFonts w:ascii="宋体" w:hAnsi="宋体"/>
                <w:szCs w:val="21"/>
              </w:rPr>
              <w:t>规范，规范着装，工作时间</w:t>
            </w:r>
            <w:r>
              <w:rPr>
                <w:rFonts w:hint="eastAsia" w:ascii="宋体" w:hAnsi="宋体"/>
                <w:szCs w:val="21"/>
              </w:rPr>
              <w:t>按要求</w:t>
            </w:r>
            <w:r>
              <w:rPr>
                <w:rFonts w:ascii="宋体" w:hAnsi="宋体"/>
                <w:szCs w:val="21"/>
              </w:rPr>
              <w:t>穿戴工作服、</w:t>
            </w:r>
            <w:r>
              <w:rPr>
                <w:rFonts w:hint="eastAsia" w:ascii="宋体" w:hAnsi="宋体"/>
                <w:szCs w:val="21"/>
              </w:rPr>
              <w:t>工牌、</w:t>
            </w:r>
            <w:r>
              <w:rPr>
                <w:rFonts w:ascii="宋体" w:hAnsi="宋体"/>
                <w:szCs w:val="21"/>
              </w:rPr>
              <w:t>围腰、工作帽、袖套，</w:t>
            </w:r>
            <w:r>
              <w:rPr>
                <w:rFonts w:hint="eastAsia" w:ascii="宋体" w:hAnsi="宋体"/>
                <w:szCs w:val="21"/>
              </w:rPr>
              <w:t>窗口服务</w:t>
            </w:r>
            <w:r>
              <w:rPr>
                <w:rFonts w:ascii="宋体" w:hAnsi="宋体"/>
                <w:szCs w:val="21"/>
              </w:rPr>
              <w:t>佩戴口罩</w:t>
            </w:r>
            <w:r>
              <w:rPr>
                <w:rFonts w:hint="eastAsia" w:ascii="宋体" w:hAnsi="宋体"/>
                <w:szCs w:val="21"/>
              </w:rPr>
              <w:t>，不得</w:t>
            </w:r>
            <w:r>
              <w:rPr>
                <w:rFonts w:ascii="宋体" w:hAnsi="宋体"/>
                <w:szCs w:val="21"/>
              </w:rPr>
              <w:t>穿拖鞋上班；</w:t>
            </w:r>
          </w:p>
          <w:p>
            <w:pPr>
              <w:spacing w:line="360" w:lineRule="auto"/>
              <w:contextualSpacing/>
              <w:rPr>
                <w:rFonts w:ascii="宋体" w:hAnsi="宋体"/>
                <w:szCs w:val="21"/>
              </w:rPr>
            </w:pPr>
            <w:r>
              <w:rPr>
                <w:rFonts w:ascii="宋体" w:hAnsi="宋体"/>
                <w:szCs w:val="21"/>
              </w:rPr>
              <w:t>3.</w:t>
            </w:r>
            <w:r>
              <w:rPr>
                <w:rFonts w:hint="eastAsia" w:ascii="宋体" w:hAnsi="宋体"/>
                <w:szCs w:val="21"/>
              </w:rPr>
              <w:t>不留</w:t>
            </w:r>
            <w:r>
              <w:rPr>
                <w:rFonts w:ascii="宋体" w:hAnsi="宋体"/>
                <w:szCs w:val="21"/>
              </w:rPr>
              <w:t>长指甲，不戴首</w:t>
            </w:r>
            <w:r>
              <w:rPr>
                <w:rFonts w:hint="eastAsia" w:ascii="宋体" w:hAnsi="宋体"/>
                <w:szCs w:val="21"/>
              </w:rPr>
              <w:t>（手</w:t>
            </w:r>
            <w:r>
              <w:rPr>
                <w:rFonts w:ascii="宋体" w:hAnsi="宋体"/>
                <w:szCs w:val="21"/>
              </w:rPr>
              <w:t>）饰</w:t>
            </w:r>
            <w:r>
              <w:rPr>
                <w:rFonts w:hint="eastAsia" w:ascii="宋体" w:hAnsi="宋体"/>
                <w:szCs w:val="21"/>
              </w:rPr>
              <w:t>（手镯</w:t>
            </w:r>
            <w:r>
              <w:rPr>
                <w:rFonts w:ascii="宋体" w:hAnsi="宋体"/>
                <w:szCs w:val="21"/>
              </w:rPr>
              <w:t>、戒指、手表、手链）</w:t>
            </w:r>
            <w:r>
              <w:rPr>
                <w:rFonts w:hint="eastAsia" w:ascii="宋体" w:hAnsi="宋体"/>
                <w:szCs w:val="21"/>
              </w:rPr>
              <w:t>，男</w:t>
            </w:r>
            <w:r>
              <w:rPr>
                <w:rFonts w:ascii="宋体" w:hAnsi="宋体"/>
                <w:szCs w:val="21"/>
              </w:rPr>
              <w:t>工不留长发、胡须，女工头发</w:t>
            </w:r>
            <w:r>
              <w:rPr>
                <w:rFonts w:hint="eastAsia" w:ascii="宋体" w:hAnsi="宋体"/>
                <w:szCs w:val="21"/>
              </w:rPr>
              <w:t>必须</w:t>
            </w:r>
            <w:r>
              <w:rPr>
                <w:rFonts w:ascii="宋体" w:hAnsi="宋体"/>
                <w:szCs w:val="21"/>
              </w:rPr>
              <w:t>盘入工作帽</w:t>
            </w:r>
            <w:r>
              <w:rPr>
                <w:rFonts w:hint="eastAsia" w:ascii="宋体" w:hAnsi="宋体"/>
                <w:szCs w:val="21"/>
              </w:rPr>
              <w:t>，</w:t>
            </w:r>
            <w:r>
              <w:rPr>
                <w:rFonts w:ascii="宋体" w:hAnsi="宋体"/>
                <w:szCs w:val="21"/>
              </w:rPr>
              <w:t>不得涂指甲油；</w:t>
            </w:r>
          </w:p>
          <w:p>
            <w:pPr>
              <w:spacing w:line="360" w:lineRule="auto"/>
              <w:contextualSpacing/>
              <w:rPr>
                <w:rFonts w:ascii="宋体" w:hAnsi="宋体"/>
                <w:szCs w:val="21"/>
              </w:rPr>
            </w:pPr>
            <w:r>
              <w:rPr>
                <w:rFonts w:ascii="宋体" w:hAnsi="宋体"/>
                <w:szCs w:val="21"/>
              </w:rPr>
              <w:t>4.</w:t>
            </w:r>
            <w:r>
              <w:rPr>
                <w:rFonts w:hint="eastAsia" w:ascii="宋体" w:hAnsi="宋体"/>
                <w:szCs w:val="21"/>
              </w:rPr>
              <w:t>私人物品规定位置存放，不得将私人物品带入加工间、备餐间；</w:t>
            </w:r>
          </w:p>
          <w:p>
            <w:pPr>
              <w:spacing w:line="360" w:lineRule="auto"/>
              <w:contextualSpacing/>
              <w:rPr>
                <w:rFonts w:ascii="宋体" w:hAnsi="宋体"/>
                <w:szCs w:val="21"/>
              </w:rPr>
            </w:pPr>
            <w:r>
              <w:rPr>
                <w:rFonts w:hint="eastAsia" w:ascii="宋体" w:hAnsi="宋体"/>
                <w:szCs w:val="21"/>
              </w:rPr>
              <w:t>5.从事</w:t>
            </w:r>
            <w:r>
              <w:rPr>
                <w:rFonts w:ascii="宋体" w:hAnsi="宋体"/>
                <w:szCs w:val="21"/>
              </w:rPr>
              <w:t>直接入口</w:t>
            </w:r>
            <w:r>
              <w:rPr>
                <w:rFonts w:hint="eastAsia" w:ascii="宋体" w:hAnsi="宋体"/>
                <w:szCs w:val="21"/>
              </w:rPr>
              <w:t>食品操作</w:t>
            </w:r>
            <w:r>
              <w:rPr>
                <w:rFonts w:ascii="宋体" w:hAnsi="宋体"/>
                <w:szCs w:val="21"/>
              </w:rPr>
              <w:t>必须戴手套。</w:t>
            </w:r>
          </w:p>
        </w:tc>
        <w:tc>
          <w:tcPr>
            <w:tcW w:w="480" w:type="dxa"/>
            <w:shd w:val="pct10" w:color="auto" w:fill="auto"/>
            <w:vAlign w:val="center"/>
          </w:tcPr>
          <w:p>
            <w:pPr>
              <w:spacing w:line="360" w:lineRule="auto"/>
              <w:contextualSpacing/>
              <w:rPr>
                <w:rFonts w:ascii="宋体" w:hAnsi="宋体"/>
                <w:b/>
                <w:bCs/>
                <w:szCs w:val="21"/>
              </w:rPr>
            </w:pPr>
            <w:r>
              <w:rPr>
                <w:rFonts w:hint="eastAsia" w:ascii="宋体" w:hAnsi="宋体"/>
                <w:b/>
                <w:bCs/>
                <w:szCs w:val="21"/>
              </w:rPr>
              <w:t>每</w:t>
            </w:r>
          </w:p>
          <w:p>
            <w:pPr>
              <w:spacing w:line="360" w:lineRule="auto"/>
              <w:contextualSpacing/>
              <w:rPr>
                <w:rFonts w:ascii="宋体" w:hAnsi="宋体"/>
                <w:b/>
                <w:bCs/>
                <w:szCs w:val="21"/>
              </w:rPr>
            </w:pPr>
            <w:r>
              <w:rPr>
                <w:rFonts w:hint="eastAsia" w:ascii="宋体" w:hAnsi="宋体"/>
                <w:b/>
                <w:bCs/>
                <w:szCs w:val="21"/>
              </w:rPr>
              <w:t>条</w:t>
            </w:r>
          </w:p>
          <w:p>
            <w:pPr>
              <w:spacing w:line="360" w:lineRule="auto"/>
              <w:contextualSpacing/>
              <w:rPr>
                <w:rFonts w:ascii="宋体" w:hAnsi="宋体"/>
                <w:b/>
                <w:bCs/>
                <w:szCs w:val="21"/>
              </w:rPr>
            </w:pPr>
            <w:r>
              <w:rPr>
                <w:rFonts w:ascii="宋体" w:hAnsi="宋体"/>
                <w:b/>
                <w:bCs/>
                <w:szCs w:val="21"/>
              </w:rPr>
              <w:t>2</w:t>
            </w:r>
          </w:p>
          <w:p>
            <w:pPr>
              <w:spacing w:line="360" w:lineRule="auto"/>
              <w:contextualSpacing/>
              <w:rPr>
                <w:rFonts w:ascii="宋体" w:hAnsi="宋体"/>
                <w:b/>
                <w:bCs/>
                <w:szCs w:val="21"/>
              </w:rPr>
            </w:pPr>
            <w:r>
              <w:rPr>
                <w:rFonts w:hint="eastAsia" w:ascii="宋体" w:hAnsi="宋体"/>
                <w:b/>
                <w:bCs/>
                <w:szCs w:val="21"/>
              </w:rPr>
              <w:t>分</w:t>
            </w:r>
          </w:p>
        </w:tc>
        <w:tc>
          <w:tcPr>
            <w:tcW w:w="610" w:type="dxa"/>
            <w:shd w:val="pct10" w:color="auto" w:fill="auto"/>
            <w:vAlign w:val="center"/>
          </w:tcPr>
          <w:p>
            <w:pPr>
              <w:spacing w:line="360" w:lineRule="auto"/>
              <w:contextualSpacing/>
              <w:rPr>
                <w:rFonts w:ascii="宋体" w:hAnsi="宋体"/>
                <w:szCs w:val="21"/>
              </w:rPr>
            </w:pPr>
          </w:p>
        </w:tc>
        <w:tc>
          <w:tcPr>
            <w:tcW w:w="1707" w:type="dxa"/>
            <w:shd w:val="pct10" w:color="auto" w:fill="auto"/>
            <w:vAlign w:val="center"/>
          </w:tcPr>
          <w:p>
            <w:pPr>
              <w:spacing w:line="360" w:lineRule="auto"/>
              <w:contextualSpacing/>
              <w:rPr>
                <w:rFonts w:ascii="宋体" w:hAnsi="宋体"/>
                <w:szCs w:val="21"/>
              </w:rPr>
            </w:pPr>
          </w:p>
        </w:tc>
      </w:tr>
    </w:tbl>
    <w:p>
      <w:pPr>
        <w:spacing w:line="320" w:lineRule="exact"/>
        <w:contextualSpacing/>
        <w:rPr>
          <w:rFonts w:ascii="宋体" w:hAnsi="宋体"/>
          <w:szCs w:val="21"/>
        </w:rPr>
      </w:pPr>
    </w:p>
    <w:tbl>
      <w:tblPr>
        <w:tblStyle w:val="26"/>
        <w:tblW w:w="91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28"/>
        <w:gridCol w:w="5549"/>
        <w:gridCol w:w="489"/>
        <w:gridCol w:w="46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508"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hint="eastAsia" w:ascii="宋体" w:hAnsi="宋体"/>
                <w:b/>
                <w:bCs/>
                <w:szCs w:val="21"/>
              </w:rPr>
              <w:t>伙</w:t>
            </w:r>
          </w:p>
          <w:p>
            <w:pPr>
              <w:spacing w:line="320" w:lineRule="exact"/>
              <w:contextualSpacing/>
              <w:rPr>
                <w:rFonts w:ascii="宋体" w:hAnsi="宋体"/>
                <w:b/>
                <w:bCs/>
                <w:szCs w:val="21"/>
              </w:rPr>
            </w:pPr>
            <w:r>
              <w:rPr>
                <w:rFonts w:hint="eastAsia" w:ascii="宋体" w:hAnsi="宋体"/>
                <w:b/>
                <w:bCs/>
                <w:szCs w:val="21"/>
              </w:rPr>
              <w:t>食</w:t>
            </w:r>
          </w:p>
          <w:p>
            <w:pPr>
              <w:spacing w:line="320" w:lineRule="exact"/>
              <w:contextualSpacing/>
              <w:rPr>
                <w:rFonts w:ascii="宋体" w:hAnsi="宋体"/>
                <w:b/>
                <w:bCs/>
                <w:szCs w:val="21"/>
              </w:rPr>
            </w:pPr>
            <w:r>
              <w:rPr>
                <w:rFonts w:hint="eastAsia" w:ascii="宋体" w:hAnsi="宋体"/>
                <w:b/>
                <w:bCs/>
                <w:szCs w:val="21"/>
              </w:rPr>
              <w:t>质</w:t>
            </w:r>
          </w:p>
          <w:p>
            <w:pPr>
              <w:spacing w:line="320" w:lineRule="exact"/>
              <w:contextualSpacing/>
              <w:rPr>
                <w:rFonts w:ascii="宋体" w:hAnsi="宋体"/>
                <w:b/>
                <w:bCs/>
                <w:szCs w:val="21"/>
              </w:rPr>
            </w:pPr>
            <w:r>
              <w:rPr>
                <w:rFonts w:hint="eastAsia" w:ascii="宋体" w:hAnsi="宋体"/>
                <w:b/>
                <w:bCs/>
                <w:szCs w:val="21"/>
              </w:rPr>
              <w:t>量</w:t>
            </w:r>
          </w:p>
        </w:tc>
        <w:tc>
          <w:tcPr>
            <w:tcW w:w="399"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ascii="宋体" w:hAnsi="宋体"/>
                <w:b/>
                <w:bCs/>
                <w:szCs w:val="21"/>
              </w:rPr>
              <w:t>8</w:t>
            </w:r>
          </w:p>
        </w:tc>
        <w:tc>
          <w:tcPr>
            <w:tcW w:w="5570" w:type="dxa"/>
            <w:tcBorders>
              <w:bottom w:val="single" w:color="auto" w:sz="4" w:space="0"/>
            </w:tcBorders>
            <w:shd w:val="clear" w:color="auto" w:fill="auto"/>
            <w:vAlign w:val="center"/>
          </w:tcPr>
          <w:p>
            <w:pPr>
              <w:spacing w:line="320" w:lineRule="exact"/>
              <w:contextualSpacing/>
              <w:rPr>
                <w:rFonts w:ascii="宋体" w:hAnsi="宋体"/>
                <w:szCs w:val="21"/>
              </w:rPr>
            </w:pPr>
            <w:r>
              <w:rPr>
                <w:rFonts w:hint="eastAsia" w:ascii="宋体" w:hAnsi="宋体"/>
                <w:szCs w:val="21"/>
              </w:rPr>
              <w:t>1.各类副食加工规范</w:t>
            </w:r>
            <w:r>
              <w:rPr>
                <w:rFonts w:ascii="宋体" w:hAnsi="宋体"/>
                <w:szCs w:val="21"/>
              </w:rPr>
              <w:t>、精细、美观、符合烹调要求；</w:t>
            </w:r>
          </w:p>
          <w:p>
            <w:pPr>
              <w:spacing w:line="320" w:lineRule="exact"/>
              <w:contextualSpacing/>
              <w:rPr>
                <w:rFonts w:ascii="宋体" w:hAnsi="宋体"/>
                <w:szCs w:val="21"/>
              </w:rPr>
            </w:pPr>
            <w:r>
              <w:rPr>
                <w:rFonts w:hint="eastAsia" w:ascii="宋体" w:hAnsi="宋体"/>
                <w:szCs w:val="21"/>
              </w:rPr>
              <w:t>2.主副食成品无杂物</w:t>
            </w:r>
            <w:r>
              <w:rPr>
                <w:rFonts w:ascii="宋体" w:hAnsi="宋体"/>
                <w:szCs w:val="21"/>
              </w:rPr>
              <w:t>、异物等非食用物品；</w:t>
            </w:r>
            <w:r>
              <w:rPr>
                <w:rFonts w:hint="eastAsia" w:ascii="宋体" w:hAnsi="宋体"/>
                <w:szCs w:val="21"/>
              </w:rPr>
              <w:t>主食品种</w:t>
            </w:r>
            <w:r>
              <w:rPr>
                <w:rFonts w:ascii="宋体" w:hAnsi="宋体"/>
                <w:szCs w:val="21"/>
              </w:rPr>
              <w:t>量足、</w:t>
            </w:r>
            <w:r>
              <w:rPr>
                <w:rFonts w:hint="eastAsia" w:ascii="宋体" w:hAnsi="宋体"/>
                <w:szCs w:val="21"/>
              </w:rPr>
              <w:t>匀称</w:t>
            </w:r>
            <w:r>
              <w:rPr>
                <w:rFonts w:ascii="宋体" w:hAnsi="宋体"/>
                <w:szCs w:val="21"/>
              </w:rPr>
              <w:t>、质好</w:t>
            </w:r>
            <w:r>
              <w:rPr>
                <w:rFonts w:hint="eastAsia" w:ascii="宋体" w:hAnsi="宋体"/>
                <w:szCs w:val="21"/>
              </w:rPr>
              <w:t>、</w:t>
            </w:r>
            <w:r>
              <w:rPr>
                <w:rFonts w:ascii="宋体" w:hAnsi="宋体"/>
                <w:szCs w:val="21"/>
              </w:rPr>
              <w:t>味佳</w:t>
            </w:r>
            <w:r>
              <w:rPr>
                <w:rFonts w:hint="eastAsia" w:ascii="宋体" w:hAnsi="宋体"/>
                <w:szCs w:val="21"/>
              </w:rPr>
              <w:t>；</w:t>
            </w:r>
            <w:r>
              <w:rPr>
                <w:rFonts w:ascii="宋体" w:hAnsi="宋体"/>
                <w:szCs w:val="21"/>
              </w:rPr>
              <w:t>米饭软硬适度，无夹生；</w:t>
            </w:r>
          </w:p>
          <w:p>
            <w:pPr>
              <w:spacing w:line="320" w:lineRule="exact"/>
              <w:contextualSpacing/>
              <w:rPr>
                <w:rFonts w:ascii="宋体" w:hAnsi="宋体"/>
                <w:szCs w:val="21"/>
              </w:rPr>
            </w:pPr>
            <w:r>
              <w:rPr>
                <w:rFonts w:ascii="宋体" w:hAnsi="宋体"/>
                <w:szCs w:val="21"/>
              </w:rPr>
              <w:t>3.</w:t>
            </w:r>
            <w:r>
              <w:rPr>
                <w:rFonts w:hint="eastAsia" w:ascii="宋体" w:hAnsi="宋体"/>
                <w:szCs w:val="21"/>
              </w:rPr>
              <w:t>菜肴烹调得当</w:t>
            </w:r>
            <w:r>
              <w:rPr>
                <w:rFonts w:ascii="宋体" w:hAnsi="宋体"/>
                <w:szCs w:val="21"/>
              </w:rPr>
              <w:t>、调味准确、色形美观、装盘整洁</w:t>
            </w:r>
            <w:r>
              <w:rPr>
                <w:rFonts w:hint="eastAsia" w:ascii="宋体" w:hAnsi="宋体"/>
                <w:szCs w:val="21"/>
              </w:rPr>
              <w:t>；</w:t>
            </w:r>
            <w:r>
              <w:rPr>
                <w:rFonts w:ascii="宋体" w:hAnsi="宋体"/>
                <w:szCs w:val="21"/>
              </w:rPr>
              <w:t>做到粗菜细作、细菜精做</w:t>
            </w:r>
            <w:r>
              <w:rPr>
                <w:rFonts w:hint="eastAsia" w:ascii="宋体" w:hAnsi="宋体"/>
                <w:szCs w:val="21"/>
              </w:rPr>
              <w:t>、</w:t>
            </w:r>
            <w:r>
              <w:rPr>
                <w:rFonts w:ascii="宋体" w:hAnsi="宋体"/>
                <w:szCs w:val="21"/>
              </w:rPr>
              <w:t>随卖随炒；</w:t>
            </w:r>
          </w:p>
          <w:p>
            <w:pPr>
              <w:spacing w:line="320" w:lineRule="exact"/>
              <w:contextualSpacing/>
              <w:rPr>
                <w:rFonts w:ascii="宋体" w:hAnsi="宋体"/>
                <w:szCs w:val="21"/>
              </w:rPr>
            </w:pPr>
            <w:r>
              <w:rPr>
                <w:rFonts w:hint="eastAsia" w:ascii="宋体" w:hAnsi="宋体"/>
                <w:szCs w:val="21"/>
              </w:rPr>
              <w:t>4.花色品种丰富，符合规定要求。</w:t>
            </w:r>
          </w:p>
        </w:tc>
        <w:tc>
          <w:tcPr>
            <w:tcW w:w="489"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hint="eastAsia" w:ascii="宋体" w:hAnsi="宋体"/>
                <w:b/>
                <w:bCs/>
                <w:szCs w:val="21"/>
              </w:rPr>
              <w:t>每</w:t>
            </w:r>
          </w:p>
          <w:p>
            <w:pPr>
              <w:spacing w:line="320" w:lineRule="exact"/>
              <w:contextualSpacing/>
              <w:rPr>
                <w:rFonts w:ascii="宋体" w:hAnsi="宋体"/>
                <w:b/>
                <w:bCs/>
                <w:szCs w:val="21"/>
              </w:rPr>
            </w:pPr>
            <w:r>
              <w:rPr>
                <w:rFonts w:hint="eastAsia" w:ascii="宋体" w:hAnsi="宋体"/>
                <w:b/>
                <w:bCs/>
                <w:szCs w:val="21"/>
              </w:rPr>
              <w:t>条</w:t>
            </w:r>
          </w:p>
          <w:p>
            <w:pPr>
              <w:spacing w:line="320" w:lineRule="exact"/>
              <w:contextualSpacing/>
              <w:rPr>
                <w:rFonts w:ascii="宋体" w:hAnsi="宋体"/>
                <w:b/>
                <w:bCs/>
                <w:szCs w:val="21"/>
              </w:rPr>
            </w:pPr>
            <w:r>
              <w:rPr>
                <w:rFonts w:ascii="宋体" w:hAnsi="宋体"/>
                <w:b/>
                <w:bCs/>
                <w:szCs w:val="21"/>
              </w:rPr>
              <w:t>2</w:t>
            </w:r>
          </w:p>
          <w:p>
            <w:pPr>
              <w:spacing w:line="320" w:lineRule="exact"/>
              <w:contextualSpacing/>
              <w:rPr>
                <w:rFonts w:ascii="宋体" w:hAnsi="宋体"/>
                <w:szCs w:val="21"/>
              </w:rPr>
            </w:pPr>
            <w:r>
              <w:rPr>
                <w:rFonts w:hint="eastAsia" w:ascii="宋体" w:hAnsi="宋体"/>
                <w:b/>
                <w:bCs/>
                <w:szCs w:val="21"/>
              </w:rPr>
              <w:t>分</w:t>
            </w:r>
          </w:p>
        </w:tc>
        <w:tc>
          <w:tcPr>
            <w:tcW w:w="464" w:type="dxa"/>
            <w:tcBorders>
              <w:bottom w:val="single" w:color="auto" w:sz="4" w:space="0"/>
            </w:tcBorders>
            <w:shd w:val="clear" w:color="auto" w:fill="auto"/>
            <w:vAlign w:val="center"/>
          </w:tcPr>
          <w:p>
            <w:pPr>
              <w:spacing w:line="320" w:lineRule="exact"/>
              <w:contextualSpacing/>
              <w:rPr>
                <w:rFonts w:ascii="宋体" w:hAnsi="宋体"/>
                <w:szCs w:val="21"/>
              </w:rPr>
            </w:pPr>
          </w:p>
        </w:tc>
        <w:tc>
          <w:tcPr>
            <w:tcW w:w="1738" w:type="dxa"/>
            <w:tcBorders>
              <w:bottom w:val="single" w:color="auto" w:sz="4" w:space="0"/>
            </w:tcBorders>
            <w:shd w:val="clear" w:color="auto" w:fill="auto"/>
            <w:vAlign w:val="center"/>
          </w:tcPr>
          <w:p>
            <w:pPr>
              <w:spacing w:line="32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508" w:type="dxa"/>
            <w:shd w:val="pct10" w:color="auto" w:fill="auto"/>
            <w:vAlign w:val="center"/>
          </w:tcPr>
          <w:p>
            <w:pPr>
              <w:spacing w:line="320" w:lineRule="exact"/>
              <w:contextualSpacing/>
              <w:rPr>
                <w:rFonts w:ascii="宋体" w:hAnsi="宋体"/>
                <w:b/>
                <w:bCs/>
                <w:szCs w:val="21"/>
              </w:rPr>
            </w:pPr>
            <w:r>
              <w:rPr>
                <w:rFonts w:hint="eastAsia" w:ascii="宋体" w:hAnsi="宋体"/>
                <w:b/>
                <w:bCs/>
                <w:szCs w:val="21"/>
              </w:rPr>
              <w:t>服</w:t>
            </w:r>
          </w:p>
          <w:p>
            <w:pPr>
              <w:spacing w:line="320" w:lineRule="exact"/>
              <w:contextualSpacing/>
              <w:rPr>
                <w:rFonts w:ascii="宋体" w:hAnsi="宋体"/>
                <w:b/>
                <w:bCs/>
                <w:szCs w:val="21"/>
              </w:rPr>
            </w:pPr>
            <w:r>
              <w:rPr>
                <w:rFonts w:hint="eastAsia" w:ascii="宋体" w:hAnsi="宋体"/>
                <w:b/>
                <w:bCs/>
                <w:szCs w:val="21"/>
              </w:rPr>
              <w:t>务</w:t>
            </w:r>
          </w:p>
          <w:p>
            <w:pPr>
              <w:spacing w:line="320" w:lineRule="exact"/>
              <w:contextualSpacing/>
              <w:rPr>
                <w:rFonts w:ascii="宋体" w:hAnsi="宋体"/>
                <w:b/>
                <w:bCs/>
                <w:szCs w:val="21"/>
              </w:rPr>
            </w:pPr>
            <w:r>
              <w:rPr>
                <w:rFonts w:hint="eastAsia" w:ascii="宋体" w:hAnsi="宋体"/>
                <w:b/>
                <w:bCs/>
                <w:szCs w:val="21"/>
              </w:rPr>
              <w:t>质</w:t>
            </w:r>
          </w:p>
          <w:p>
            <w:pPr>
              <w:spacing w:line="320" w:lineRule="exact"/>
              <w:contextualSpacing/>
              <w:rPr>
                <w:rFonts w:ascii="宋体" w:hAnsi="宋体"/>
                <w:b/>
                <w:bCs/>
                <w:szCs w:val="21"/>
              </w:rPr>
            </w:pPr>
            <w:r>
              <w:rPr>
                <w:rFonts w:hint="eastAsia" w:ascii="宋体" w:hAnsi="宋体"/>
                <w:b/>
                <w:bCs/>
                <w:szCs w:val="21"/>
              </w:rPr>
              <w:t>量</w:t>
            </w:r>
          </w:p>
        </w:tc>
        <w:tc>
          <w:tcPr>
            <w:tcW w:w="399" w:type="dxa"/>
            <w:shd w:val="pct10" w:color="auto" w:fill="auto"/>
            <w:vAlign w:val="center"/>
          </w:tcPr>
          <w:p>
            <w:pPr>
              <w:spacing w:line="320" w:lineRule="exact"/>
              <w:contextualSpacing/>
              <w:rPr>
                <w:rFonts w:ascii="宋体" w:hAnsi="宋体"/>
                <w:b/>
                <w:bCs/>
                <w:szCs w:val="21"/>
              </w:rPr>
            </w:pPr>
            <w:r>
              <w:rPr>
                <w:rFonts w:ascii="宋体" w:hAnsi="宋体"/>
                <w:b/>
                <w:bCs/>
                <w:szCs w:val="21"/>
              </w:rPr>
              <w:t>10</w:t>
            </w:r>
          </w:p>
        </w:tc>
        <w:tc>
          <w:tcPr>
            <w:tcW w:w="5570" w:type="dxa"/>
            <w:shd w:val="pct10" w:color="auto" w:fill="auto"/>
            <w:vAlign w:val="center"/>
          </w:tcPr>
          <w:p>
            <w:pPr>
              <w:spacing w:line="320" w:lineRule="exact"/>
              <w:contextualSpacing/>
              <w:rPr>
                <w:rFonts w:ascii="宋体" w:hAnsi="宋体"/>
                <w:szCs w:val="21"/>
              </w:rPr>
            </w:pPr>
            <w:r>
              <w:rPr>
                <w:rFonts w:hint="eastAsia" w:ascii="宋体" w:hAnsi="宋体"/>
                <w:szCs w:val="21"/>
              </w:rPr>
              <w:t>1.服务人员</w:t>
            </w:r>
            <w:r>
              <w:rPr>
                <w:rFonts w:ascii="宋体" w:hAnsi="宋体"/>
                <w:szCs w:val="21"/>
              </w:rPr>
              <w:t>个人仪表</w:t>
            </w:r>
            <w:r>
              <w:rPr>
                <w:rFonts w:hint="eastAsia" w:ascii="宋体" w:hAnsi="宋体"/>
                <w:szCs w:val="21"/>
              </w:rPr>
              <w:t>端正、</w:t>
            </w:r>
            <w:r>
              <w:rPr>
                <w:rFonts w:ascii="宋体" w:hAnsi="宋体"/>
                <w:szCs w:val="21"/>
              </w:rPr>
              <w:t>行为规范</w:t>
            </w:r>
            <w:r>
              <w:rPr>
                <w:rFonts w:hint="eastAsia" w:ascii="宋体" w:hAnsi="宋体"/>
                <w:szCs w:val="21"/>
              </w:rPr>
              <w:t>，服务热情，</w:t>
            </w:r>
            <w:r>
              <w:rPr>
                <w:rFonts w:ascii="宋体" w:hAnsi="宋体"/>
                <w:szCs w:val="21"/>
              </w:rPr>
              <w:t>语言</w:t>
            </w:r>
            <w:r>
              <w:rPr>
                <w:rFonts w:hint="eastAsia" w:ascii="宋体" w:hAnsi="宋体"/>
                <w:szCs w:val="21"/>
              </w:rPr>
              <w:t>规范文明；</w:t>
            </w:r>
          </w:p>
          <w:p>
            <w:pPr>
              <w:spacing w:line="320" w:lineRule="exact"/>
              <w:contextualSpacing/>
              <w:rPr>
                <w:rFonts w:ascii="宋体" w:hAnsi="宋体"/>
                <w:szCs w:val="21"/>
              </w:rPr>
            </w:pPr>
            <w:r>
              <w:rPr>
                <w:rFonts w:ascii="宋体" w:hAnsi="宋体"/>
                <w:szCs w:val="21"/>
              </w:rPr>
              <w:t>2</w:t>
            </w:r>
            <w:r>
              <w:rPr>
                <w:rFonts w:hint="eastAsia" w:ascii="宋体" w:hAnsi="宋体"/>
                <w:szCs w:val="21"/>
              </w:rPr>
              <w:t>.售饭有专人值班，确保</w:t>
            </w:r>
            <w:r>
              <w:rPr>
                <w:rFonts w:ascii="宋体" w:hAnsi="宋体"/>
                <w:szCs w:val="21"/>
              </w:rPr>
              <w:t>早来和晚到的进餐者</w:t>
            </w:r>
            <w:r>
              <w:rPr>
                <w:rFonts w:hint="eastAsia" w:ascii="宋体" w:hAnsi="宋体"/>
                <w:szCs w:val="21"/>
              </w:rPr>
              <w:t>有热饭热菜</w:t>
            </w:r>
            <w:r>
              <w:rPr>
                <w:rFonts w:ascii="宋体" w:hAnsi="宋体"/>
                <w:szCs w:val="21"/>
              </w:rPr>
              <w:t>供应</w:t>
            </w:r>
            <w:r>
              <w:rPr>
                <w:rFonts w:hint="eastAsia" w:ascii="宋体" w:hAnsi="宋体"/>
                <w:szCs w:val="21"/>
              </w:rPr>
              <w:t>；按</w:t>
            </w:r>
            <w:r>
              <w:rPr>
                <w:rFonts w:ascii="宋体" w:hAnsi="宋体"/>
                <w:szCs w:val="21"/>
              </w:rPr>
              <w:t>规定时间</w:t>
            </w:r>
            <w:r>
              <w:rPr>
                <w:rFonts w:hint="eastAsia" w:ascii="宋体" w:hAnsi="宋体"/>
                <w:szCs w:val="21"/>
              </w:rPr>
              <w:t>保证</w:t>
            </w:r>
            <w:r>
              <w:rPr>
                <w:rFonts w:ascii="宋体" w:hAnsi="宋体"/>
                <w:szCs w:val="21"/>
              </w:rPr>
              <w:t>供应</w:t>
            </w:r>
            <w:r>
              <w:rPr>
                <w:rFonts w:hint="eastAsia" w:ascii="宋体" w:hAnsi="宋体"/>
                <w:szCs w:val="21"/>
              </w:rPr>
              <w:t>（包括</w:t>
            </w:r>
            <w:r>
              <w:rPr>
                <w:rFonts w:ascii="宋体" w:hAnsi="宋体"/>
                <w:szCs w:val="21"/>
              </w:rPr>
              <w:t>延时和夜宵）</w:t>
            </w:r>
            <w:r>
              <w:rPr>
                <w:rFonts w:hint="eastAsia" w:ascii="宋体" w:hAnsi="宋体"/>
                <w:szCs w:val="21"/>
              </w:rPr>
              <w:t>；</w:t>
            </w:r>
          </w:p>
          <w:p>
            <w:pPr>
              <w:spacing w:line="320" w:lineRule="exact"/>
              <w:contextualSpacing/>
              <w:rPr>
                <w:rFonts w:ascii="宋体" w:hAnsi="宋体"/>
                <w:szCs w:val="21"/>
              </w:rPr>
            </w:pPr>
            <w:r>
              <w:rPr>
                <w:rFonts w:ascii="宋体" w:hAnsi="宋体"/>
                <w:szCs w:val="21"/>
              </w:rPr>
              <w:t>3.</w:t>
            </w:r>
            <w:r>
              <w:rPr>
                <w:rFonts w:hint="eastAsia" w:ascii="宋体" w:hAnsi="宋体"/>
                <w:szCs w:val="21"/>
              </w:rPr>
              <w:t>前厅送</w:t>
            </w:r>
            <w:r>
              <w:rPr>
                <w:rFonts w:ascii="宋体" w:hAnsi="宋体"/>
                <w:szCs w:val="21"/>
              </w:rPr>
              <w:t>餐、</w:t>
            </w:r>
            <w:r>
              <w:rPr>
                <w:rFonts w:hint="eastAsia" w:ascii="宋体" w:hAnsi="宋体"/>
                <w:szCs w:val="21"/>
              </w:rPr>
              <w:t>收餐快捷；清洁</w:t>
            </w:r>
            <w:r>
              <w:rPr>
                <w:rFonts w:ascii="宋体" w:hAnsi="宋体"/>
                <w:szCs w:val="21"/>
              </w:rPr>
              <w:t>及时</w:t>
            </w:r>
            <w:r>
              <w:rPr>
                <w:rFonts w:hint="eastAsia" w:ascii="宋体" w:hAnsi="宋体"/>
                <w:szCs w:val="21"/>
              </w:rPr>
              <w:t>，确保就餐环境</w:t>
            </w:r>
            <w:r>
              <w:rPr>
                <w:rFonts w:ascii="宋体" w:hAnsi="宋体"/>
                <w:szCs w:val="21"/>
              </w:rPr>
              <w:t>整洁</w:t>
            </w:r>
            <w:r>
              <w:rPr>
                <w:rFonts w:hint="eastAsia" w:ascii="宋体" w:hAnsi="宋体"/>
                <w:szCs w:val="21"/>
              </w:rPr>
              <w:t>；</w:t>
            </w:r>
          </w:p>
          <w:p>
            <w:pPr>
              <w:spacing w:line="320" w:lineRule="exact"/>
              <w:contextualSpacing/>
              <w:rPr>
                <w:rFonts w:ascii="宋体" w:hAnsi="宋体"/>
                <w:szCs w:val="21"/>
              </w:rPr>
            </w:pPr>
            <w:r>
              <w:rPr>
                <w:rFonts w:ascii="宋体" w:hAnsi="宋体"/>
                <w:szCs w:val="21"/>
              </w:rPr>
              <w:t>4</w:t>
            </w:r>
            <w:r>
              <w:rPr>
                <w:rFonts w:hint="eastAsia" w:ascii="宋体" w:hAnsi="宋体"/>
                <w:szCs w:val="21"/>
              </w:rPr>
              <w:t>.捡到</w:t>
            </w:r>
            <w:r>
              <w:rPr>
                <w:rFonts w:ascii="宋体" w:hAnsi="宋体"/>
                <w:szCs w:val="21"/>
              </w:rPr>
              <w:t>顾客遗失财物及时交还失主或上交</w:t>
            </w:r>
            <w:r>
              <w:rPr>
                <w:rFonts w:hint="eastAsia" w:ascii="宋体" w:hAnsi="宋体"/>
                <w:szCs w:val="21"/>
              </w:rPr>
              <w:t>，严禁盗刷</w:t>
            </w:r>
            <w:r>
              <w:rPr>
                <w:rFonts w:ascii="宋体" w:hAnsi="宋体"/>
                <w:szCs w:val="21"/>
              </w:rPr>
              <w:t>顾客失卡</w:t>
            </w:r>
            <w:r>
              <w:rPr>
                <w:rFonts w:hint="eastAsia" w:ascii="宋体" w:hAnsi="宋体"/>
                <w:szCs w:val="21"/>
              </w:rPr>
              <w:t>；</w:t>
            </w:r>
          </w:p>
          <w:p>
            <w:pPr>
              <w:spacing w:line="320" w:lineRule="exact"/>
              <w:contextualSpacing/>
              <w:rPr>
                <w:rFonts w:ascii="宋体" w:hAnsi="宋体"/>
                <w:szCs w:val="21"/>
              </w:rPr>
            </w:pPr>
            <w:r>
              <w:rPr>
                <w:rFonts w:ascii="宋体" w:hAnsi="宋体"/>
                <w:szCs w:val="21"/>
              </w:rPr>
              <w:t>5</w:t>
            </w:r>
            <w:r>
              <w:rPr>
                <w:rFonts w:hint="eastAsia" w:ascii="宋体" w:hAnsi="宋体"/>
                <w:szCs w:val="21"/>
              </w:rPr>
              <w:t>.投诉</w:t>
            </w:r>
            <w:r>
              <w:rPr>
                <w:rFonts w:ascii="宋体" w:hAnsi="宋体"/>
                <w:szCs w:val="21"/>
              </w:rPr>
              <w:t>渠道畅通，投诉</w:t>
            </w:r>
            <w:r>
              <w:rPr>
                <w:rFonts w:hint="eastAsia" w:ascii="宋体" w:hAnsi="宋体"/>
                <w:szCs w:val="21"/>
              </w:rPr>
              <w:t>处理</w:t>
            </w:r>
            <w:r>
              <w:rPr>
                <w:rFonts w:ascii="宋体" w:hAnsi="宋体"/>
                <w:szCs w:val="21"/>
              </w:rPr>
              <w:t>及时，整改落实到位</w:t>
            </w:r>
            <w:r>
              <w:rPr>
                <w:rFonts w:hint="eastAsia" w:ascii="宋体" w:hAnsi="宋体"/>
                <w:szCs w:val="21"/>
              </w:rPr>
              <w:t>，</w:t>
            </w:r>
            <w:r>
              <w:rPr>
                <w:rFonts w:ascii="宋体" w:hAnsi="宋体"/>
                <w:szCs w:val="21"/>
              </w:rPr>
              <w:t>反馈</w:t>
            </w:r>
            <w:r>
              <w:rPr>
                <w:rFonts w:hint="eastAsia" w:ascii="宋体" w:hAnsi="宋体"/>
                <w:szCs w:val="21"/>
              </w:rPr>
              <w:t>及时。</w:t>
            </w:r>
          </w:p>
        </w:tc>
        <w:tc>
          <w:tcPr>
            <w:tcW w:w="489" w:type="dxa"/>
            <w:shd w:val="pct10" w:color="auto" w:fill="auto"/>
            <w:vAlign w:val="center"/>
          </w:tcPr>
          <w:p>
            <w:pPr>
              <w:spacing w:line="320" w:lineRule="exact"/>
              <w:contextualSpacing/>
              <w:rPr>
                <w:rFonts w:ascii="宋体" w:hAnsi="宋体"/>
                <w:b/>
                <w:bCs/>
                <w:szCs w:val="21"/>
              </w:rPr>
            </w:pPr>
            <w:r>
              <w:rPr>
                <w:rFonts w:hint="eastAsia" w:ascii="宋体" w:hAnsi="宋体"/>
                <w:b/>
                <w:bCs/>
                <w:szCs w:val="21"/>
              </w:rPr>
              <w:t>每</w:t>
            </w:r>
          </w:p>
          <w:p>
            <w:pPr>
              <w:spacing w:line="320" w:lineRule="exact"/>
              <w:contextualSpacing/>
              <w:rPr>
                <w:rFonts w:ascii="宋体" w:hAnsi="宋体"/>
                <w:b/>
                <w:bCs/>
                <w:szCs w:val="21"/>
              </w:rPr>
            </w:pPr>
            <w:r>
              <w:rPr>
                <w:rFonts w:hint="eastAsia" w:ascii="宋体" w:hAnsi="宋体"/>
                <w:b/>
                <w:bCs/>
                <w:szCs w:val="21"/>
              </w:rPr>
              <w:t>条</w:t>
            </w:r>
          </w:p>
          <w:p>
            <w:pPr>
              <w:spacing w:line="320" w:lineRule="exact"/>
              <w:contextualSpacing/>
              <w:rPr>
                <w:rFonts w:ascii="宋体" w:hAnsi="宋体"/>
                <w:b/>
                <w:bCs/>
                <w:szCs w:val="21"/>
              </w:rPr>
            </w:pPr>
            <w:r>
              <w:rPr>
                <w:rFonts w:ascii="宋体" w:hAnsi="宋体"/>
                <w:b/>
                <w:bCs/>
                <w:szCs w:val="21"/>
              </w:rPr>
              <w:t>2</w:t>
            </w:r>
          </w:p>
          <w:p>
            <w:pPr>
              <w:spacing w:line="320" w:lineRule="exact"/>
              <w:contextualSpacing/>
              <w:rPr>
                <w:rFonts w:ascii="宋体" w:hAnsi="宋体"/>
                <w:b/>
                <w:bCs/>
                <w:szCs w:val="21"/>
              </w:rPr>
            </w:pPr>
            <w:r>
              <w:rPr>
                <w:rFonts w:hint="eastAsia" w:ascii="宋体" w:hAnsi="宋体"/>
                <w:b/>
                <w:bCs/>
                <w:szCs w:val="21"/>
              </w:rPr>
              <w:t>分</w:t>
            </w:r>
          </w:p>
        </w:tc>
        <w:tc>
          <w:tcPr>
            <w:tcW w:w="464" w:type="dxa"/>
            <w:shd w:val="pct10" w:color="auto" w:fill="auto"/>
            <w:vAlign w:val="center"/>
          </w:tcPr>
          <w:p>
            <w:pPr>
              <w:spacing w:line="320" w:lineRule="exact"/>
              <w:contextualSpacing/>
              <w:rPr>
                <w:rFonts w:ascii="宋体" w:hAnsi="宋体"/>
                <w:szCs w:val="21"/>
              </w:rPr>
            </w:pPr>
          </w:p>
        </w:tc>
        <w:tc>
          <w:tcPr>
            <w:tcW w:w="1738" w:type="dxa"/>
            <w:shd w:val="pct10" w:color="auto" w:fill="auto"/>
            <w:vAlign w:val="center"/>
          </w:tcPr>
          <w:p>
            <w:pPr>
              <w:spacing w:line="32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4" w:hRule="atLeast"/>
        </w:trPr>
        <w:tc>
          <w:tcPr>
            <w:tcW w:w="508"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hint="eastAsia" w:ascii="宋体" w:hAnsi="宋体"/>
                <w:b/>
                <w:bCs/>
                <w:szCs w:val="21"/>
              </w:rPr>
              <w:t>价</w:t>
            </w:r>
          </w:p>
          <w:p>
            <w:pPr>
              <w:spacing w:line="320" w:lineRule="exact"/>
              <w:contextualSpacing/>
              <w:rPr>
                <w:rFonts w:ascii="宋体" w:hAnsi="宋体"/>
                <w:b/>
                <w:bCs/>
                <w:szCs w:val="21"/>
              </w:rPr>
            </w:pPr>
            <w:r>
              <w:rPr>
                <w:rFonts w:hint="eastAsia" w:ascii="宋体" w:hAnsi="宋体"/>
                <w:b/>
                <w:bCs/>
                <w:szCs w:val="21"/>
              </w:rPr>
              <w:t>格</w:t>
            </w:r>
          </w:p>
          <w:p>
            <w:pPr>
              <w:spacing w:line="320" w:lineRule="exact"/>
              <w:contextualSpacing/>
              <w:rPr>
                <w:rFonts w:ascii="宋体" w:hAnsi="宋体"/>
                <w:b/>
                <w:bCs/>
                <w:szCs w:val="21"/>
              </w:rPr>
            </w:pPr>
            <w:r>
              <w:rPr>
                <w:rFonts w:hint="eastAsia" w:ascii="宋体" w:hAnsi="宋体"/>
                <w:b/>
                <w:bCs/>
                <w:szCs w:val="21"/>
              </w:rPr>
              <w:t>规</w:t>
            </w:r>
          </w:p>
          <w:p>
            <w:pPr>
              <w:spacing w:line="320" w:lineRule="exact"/>
              <w:contextualSpacing/>
              <w:rPr>
                <w:rFonts w:ascii="宋体" w:hAnsi="宋体"/>
                <w:b/>
                <w:bCs/>
                <w:szCs w:val="21"/>
              </w:rPr>
            </w:pPr>
            <w:r>
              <w:rPr>
                <w:rFonts w:hint="eastAsia" w:ascii="宋体" w:hAnsi="宋体"/>
                <w:b/>
                <w:bCs/>
                <w:szCs w:val="21"/>
              </w:rPr>
              <w:t>范</w:t>
            </w:r>
          </w:p>
        </w:tc>
        <w:tc>
          <w:tcPr>
            <w:tcW w:w="399"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ascii="宋体" w:hAnsi="宋体"/>
                <w:b/>
                <w:bCs/>
                <w:szCs w:val="21"/>
              </w:rPr>
              <w:t>5</w:t>
            </w:r>
          </w:p>
        </w:tc>
        <w:tc>
          <w:tcPr>
            <w:tcW w:w="5570" w:type="dxa"/>
            <w:tcBorders>
              <w:bottom w:val="single" w:color="auto" w:sz="4" w:space="0"/>
            </w:tcBorders>
            <w:shd w:val="clear" w:color="auto" w:fill="auto"/>
            <w:vAlign w:val="center"/>
          </w:tcPr>
          <w:p>
            <w:pPr>
              <w:spacing w:line="320" w:lineRule="exact"/>
              <w:contextualSpacing/>
              <w:rPr>
                <w:rFonts w:ascii="宋体" w:hAnsi="宋体"/>
                <w:szCs w:val="21"/>
              </w:rPr>
            </w:pPr>
            <w:r>
              <w:rPr>
                <w:rFonts w:hint="eastAsia" w:ascii="宋体" w:hAnsi="宋体"/>
                <w:szCs w:val="21"/>
              </w:rPr>
              <w:t>1.严格</w:t>
            </w:r>
            <w:r>
              <w:rPr>
                <w:rFonts w:ascii="宋体" w:hAnsi="宋体"/>
                <w:szCs w:val="21"/>
              </w:rPr>
              <w:t>成本核算，</w:t>
            </w:r>
            <w:r>
              <w:rPr>
                <w:rFonts w:hint="eastAsia" w:ascii="宋体" w:hAnsi="宋体"/>
                <w:szCs w:val="21"/>
              </w:rPr>
              <w:t>质价相符</w:t>
            </w:r>
            <w:r>
              <w:rPr>
                <w:rFonts w:ascii="宋体" w:hAnsi="宋体"/>
                <w:szCs w:val="21"/>
              </w:rPr>
              <w:t>；</w:t>
            </w:r>
            <w:r>
              <w:rPr>
                <w:rFonts w:hint="eastAsia" w:ascii="宋体" w:hAnsi="宋体"/>
                <w:szCs w:val="21"/>
              </w:rPr>
              <w:t>相同单一</w:t>
            </w:r>
            <w:r>
              <w:rPr>
                <w:rFonts w:ascii="宋体" w:hAnsi="宋体"/>
                <w:szCs w:val="21"/>
              </w:rPr>
              <w:t>品种</w:t>
            </w:r>
            <w:r>
              <w:rPr>
                <w:rFonts w:hint="eastAsia" w:ascii="宋体" w:hAnsi="宋体"/>
                <w:szCs w:val="21"/>
              </w:rPr>
              <w:t>统一规格</w:t>
            </w:r>
            <w:r>
              <w:rPr>
                <w:rFonts w:ascii="宋体" w:hAnsi="宋体"/>
                <w:szCs w:val="21"/>
              </w:rPr>
              <w:t>、统一定价</w:t>
            </w:r>
            <w:r>
              <w:rPr>
                <w:rFonts w:hint="eastAsia" w:ascii="宋体" w:hAnsi="宋体"/>
                <w:szCs w:val="21"/>
              </w:rPr>
              <w:t>，</w:t>
            </w:r>
            <w:r>
              <w:rPr>
                <w:rFonts w:ascii="宋体" w:hAnsi="宋体"/>
                <w:szCs w:val="21"/>
              </w:rPr>
              <w:t xml:space="preserve"> </w:t>
            </w:r>
          </w:p>
          <w:p>
            <w:pPr>
              <w:spacing w:line="320" w:lineRule="exact"/>
              <w:contextualSpacing/>
              <w:rPr>
                <w:rFonts w:ascii="宋体" w:hAnsi="宋体"/>
                <w:szCs w:val="21"/>
              </w:rPr>
            </w:pPr>
            <w:r>
              <w:rPr>
                <w:rFonts w:ascii="宋体" w:hAnsi="宋体"/>
                <w:szCs w:val="21"/>
              </w:rPr>
              <w:t>2.</w:t>
            </w:r>
            <w:r>
              <w:rPr>
                <w:rFonts w:hint="eastAsia" w:ascii="宋体" w:hAnsi="宋体"/>
                <w:szCs w:val="21"/>
              </w:rPr>
              <w:t>新增品种必须</w:t>
            </w:r>
            <w:r>
              <w:rPr>
                <w:rFonts w:ascii="宋体" w:hAnsi="宋体"/>
                <w:szCs w:val="21"/>
              </w:rPr>
              <w:t>报中心</w:t>
            </w:r>
            <w:r>
              <w:rPr>
                <w:rFonts w:hint="eastAsia" w:ascii="宋体" w:hAnsi="宋体"/>
                <w:szCs w:val="21"/>
              </w:rPr>
              <w:t>审批并</w:t>
            </w:r>
            <w:r>
              <w:rPr>
                <w:rFonts w:ascii="宋体" w:hAnsi="宋体"/>
                <w:szCs w:val="21"/>
              </w:rPr>
              <w:t>统一定价</w:t>
            </w:r>
            <w:r>
              <w:rPr>
                <w:rFonts w:hint="eastAsia" w:ascii="宋体" w:hAnsi="宋体"/>
                <w:szCs w:val="21"/>
              </w:rPr>
              <w:t>后方可上柜</w:t>
            </w:r>
            <w:r>
              <w:rPr>
                <w:rFonts w:ascii="宋体" w:hAnsi="宋体"/>
                <w:szCs w:val="21"/>
              </w:rPr>
              <w:t xml:space="preserve">； </w:t>
            </w:r>
          </w:p>
          <w:p>
            <w:pPr>
              <w:spacing w:line="320" w:lineRule="exact"/>
              <w:contextualSpacing/>
              <w:rPr>
                <w:rFonts w:ascii="宋体" w:hAnsi="宋体"/>
                <w:szCs w:val="21"/>
              </w:rPr>
            </w:pPr>
            <w:r>
              <w:rPr>
                <w:rFonts w:ascii="宋体" w:hAnsi="宋体"/>
                <w:szCs w:val="21"/>
              </w:rPr>
              <w:t>3.</w:t>
            </w:r>
            <w:r>
              <w:rPr>
                <w:rFonts w:hint="eastAsia" w:ascii="宋体" w:hAnsi="宋体"/>
                <w:szCs w:val="21"/>
              </w:rPr>
              <w:t>所有</w:t>
            </w:r>
            <w:r>
              <w:rPr>
                <w:rFonts w:ascii="宋体" w:hAnsi="宋体"/>
                <w:szCs w:val="21"/>
              </w:rPr>
              <w:t>品种价格必须在窗口</w:t>
            </w:r>
            <w:r>
              <w:rPr>
                <w:rFonts w:hint="eastAsia" w:ascii="宋体" w:hAnsi="宋体"/>
                <w:szCs w:val="21"/>
              </w:rPr>
              <w:t>明码标价，公示牌不得擅自涂改、遮盖</w:t>
            </w:r>
            <w:r>
              <w:rPr>
                <w:rFonts w:ascii="宋体" w:hAnsi="宋体"/>
                <w:szCs w:val="21"/>
              </w:rPr>
              <w:t>；</w:t>
            </w:r>
            <w:r>
              <w:rPr>
                <w:rFonts w:hint="eastAsia" w:ascii="宋体" w:hAnsi="宋体"/>
                <w:szCs w:val="21"/>
              </w:rPr>
              <w:t>不得出现临时性价格牌；不得擅自</w:t>
            </w:r>
            <w:r>
              <w:rPr>
                <w:rFonts w:ascii="宋体" w:hAnsi="宋体"/>
                <w:szCs w:val="21"/>
              </w:rPr>
              <w:t>调价</w:t>
            </w:r>
            <w:r>
              <w:rPr>
                <w:rFonts w:hint="eastAsia" w:ascii="宋体" w:hAnsi="宋体"/>
                <w:szCs w:val="21"/>
              </w:rPr>
              <w:t>；</w:t>
            </w:r>
          </w:p>
          <w:p>
            <w:pPr>
              <w:spacing w:line="320" w:lineRule="exact"/>
              <w:contextualSpacing/>
              <w:rPr>
                <w:rFonts w:ascii="宋体" w:hAnsi="宋体"/>
                <w:szCs w:val="21"/>
              </w:rPr>
            </w:pPr>
            <w:r>
              <w:rPr>
                <w:rFonts w:hint="eastAsia" w:ascii="宋体" w:hAnsi="宋体"/>
                <w:szCs w:val="21"/>
              </w:rPr>
              <w:t>4.售卖人员必须唱收唱付，让顾客清楚价格、明白消费；</w:t>
            </w:r>
          </w:p>
          <w:p>
            <w:pPr>
              <w:spacing w:line="320" w:lineRule="exact"/>
              <w:contextualSpacing/>
              <w:rPr>
                <w:rFonts w:ascii="宋体" w:hAnsi="宋体"/>
                <w:szCs w:val="21"/>
              </w:rPr>
            </w:pPr>
            <w:r>
              <w:rPr>
                <w:rFonts w:ascii="宋体" w:hAnsi="宋体"/>
                <w:szCs w:val="21"/>
              </w:rPr>
              <w:t>5.</w:t>
            </w:r>
            <w:r>
              <w:rPr>
                <w:rFonts w:hint="eastAsia" w:ascii="宋体" w:hAnsi="宋体"/>
                <w:szCs w:val="21"/>
              </w:rPr>
              <w:t>两种以上拼盘必须以折中价格出售，不得取最高价。</w:t>
            </w:r>
          </w:p>
        </w:tc>
        <w:tc>
          <w:tcPr>
            <w:tcW w:w="489" w:type="dxa"/>
            <w:tcBorders>
              <w:bottom w:val="single" w:color="auto" w:sz="4" w:space="0"/>
            </w:tcBorders>
            <w:shd w:val="clear" w:color="auto" w:fill="auto"/>
            <w:vAlign w:val="center"/>
          </w:tcPr>
          <w:p>
            <w:pPr>
              <w:spacing w:line="320" w:lineRule="exact"/>
              <w:contextualSpacing/>
              <w:rPr>
                <w:rFonts w:ascii="宋体" w:hAnsi="宋体"/>
                <w:b/>
                <w:bCs/>
                <w:szCs w:val="21"/>
              </w:rPr>
            </w:pPr>
            <w:r>
              <w:rPr>
                <w:rFonts w:hint="eastAsia" w:ascii="宋体" w:hAnsi="宋体"/>
                <w:b/>
                <w:bCs/>
                <w:szCs w:val="21"/>
              </w:rPr>
              <w:t>每</w:t>
            </w:r>
          </w:p>
          <w:p>
            <w:pPr>
              <w:spacing w:line="320" w:lineRule="exact"/>
              <w:contextualSpacing/>
              <w:rPr>
                <w:rFonts w:ascii="宋体" w:hAnsi="宋体"/>
                <w:b/>
                <w:bCs/>
                <w:szCs w:val="21"/>
              </w:rPr>
            </w:pPr>
            <w:r>
              <w:rPr>
                <w:rFonts w:hint="eastAsia" w:ascii="宋体" w:hAnsi="宋体"/>
                <w:b/>
                <w:bCs/>
                <w:szCs w:val="21"/>
              </w:rPr>
              <w:t>条</w:t>
            </w:r>
          </w:p>
          <w:p>
            <w:pPr>
              <w:spacing w:line="320" w:lineRule="exact"/>
              <w:contextualSpacing/>
              <w:rPr>
                <w:rFonts w:ascii="宋体" w:hAnsi="宋体"/>
                <w:b/>
                <w:bCs/>
                <w:szCs w:val="21"/>
              </w:rPr>
            </w:pPr>
            <w:r>
              <w:rPr>
                <w:rFonts w:ascii="宋体" w:hAnsi="宋体"/>
                <w:b/>
                <w:bCs/>
                <w:szCs w:val="21"/>
              </w:rPr>
              <w:t>1</w:t>
            </w:r>
          </w:p>
          <w:p>
            <w:pPr>
              <w:spacing w:line="320" w:lineRule="exact"/>
              <w:contextualSpacing/>
              <w:rPr>
                <w:rFonts w:ascii="宋体" w:hAnsi="宋体"/>
                <w:b/>
                <w:bCs/>
                <w:szCs w:val="21"/>
              </w:rPr>
            </w:pPr>
            <w:r>
              <w:rPr>
                <w:rFonts w:hint="eastAsia" w:ascii="宋体" w:hAnsi="宋体"/>
                <w:b/>
                <w:bCs/>
                <w:szCs w:val="21"/>
              </w:rPr>
              <w:t>分</w:t>
            </w:r>
          </w:p>
        </w:tc>
        <w:tc>
          <w:tcPr>
            <w:tcW w:w="464" w:type="dxa"/>
            <w:tcBorders>
              <w:bottom w:val="single" w:color="auto" w:sz="4" w:space="0"/>
            </w:tcBorders>
            <w:shd w:val="clear" w:color="auto" w:fill="auto"/>
            <w:vAlign w:val="center"/>
          </w:tcPr>
          <w:p>
            <w:pPr>
              <w:spacing w:line="320" w:lineRule="exact"/>
              <w:contextualSpacing/>
              <w:rPr>
                <w:rFonts w:ascii="宋体" w:hAnsi="宋体"/>
                <w:szCs w:val="21"/>
              </w:rPr>
            </w:pPr>
          </w:p>
        </w:tc>
        <w:tc>
          <w:tcPr>
            <w:tcW w:w="1738" w:type="dxa"/>
            <w:tcBorders>
              <w:bottom w:val="single" w:color="auto" w:sz="4" w:space="0"/>
            </w:tcBorders>
            <w:shd w:val="clear" w:color="auto" w:fill="auto"/>
            <w:vAlign w:val="center"/>
          </w:tcPr>
          <w:p>
            <w:pPr>
              <w:spacing w:line="32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508" w:type="dxa"/>
            <w:shd w:val="pct10" w:color="auto" w:fill="auto"/>
            <w:vAlign w:val="center"/>
          </w:tcPr>
          <w:p>
            <w:pPr>
              <w:spacing w:line="320" w:lineRule="exact"/>
              <w:contextualSpacing/>
              <w:rPr>
                <w:rFonts w:ascii="宋体" w:hAnsi="宋体"/>
                <w:b/>
                <w:bCs/>
                <w:szCs w:val="21"/>
              </w:rPr>
            </w:pPr>
            <w:r>
              <w:rPr>
                <w:rFonts w:hint="eastAsia" w:ascii="宋体" w:hAnsi="宋体"/>
                <w:b/>
                <w:bCs/>
                <w:szCs w:val="21"/>
              </w:rPr>
              <w:t>生</w:t>
            </w:r>
          </w:p>
          <w:p>
            <w:pPr>
              <w:spacing w:line="320" w:lineRule="exact"/>
              <w:contextualSpacing/>
              <w:rPr>
                <w:rFonts w:ascii="宋体" w:hAnsi="宋体"/>
                <w:b/>
                <w:bCs/>
                <w:szCs w:val="21"/>
              </w:rPr>
            </w:pPr>
            <w:r>
              <w:rPr>
                <w:rFonts w:hint="eastAsia" w:ascii="宋体" w:hAnsi="宋体"/>
                <w:b/>
                <w:bCs/>
                <w:szCs w:val="21"/>
              </w:rPr>
              <w:t>产</w:t>
            </w:r>
          </w:p>
          <w:p>
            <w:pPr>
              <w:spacing w:line="320" w:lineRule="exact"/>
              <w:contextualSpacing/>
              <w:rPr>
                <w:rFonts w:ascii="宋体" w:hAnsi="宋体"/>
                <w:b/>
                <w:bCs/>
                <w:szCs w:val="21"/>
              </w:rPr>
            </w:pPr>
            <w:r>
              <w:rPr>
                <w:rFonts w:hint="eastAsia" w:ascii="宋体" w:hAnsi="宋体"/>
                <w:b/>
                <w:bCs/>
                <w:szCs w:val="21"/>
              </w:rPr>
              <w:t>安</w:t>
            </w:r>
          </w:p>
          <w:p>
            <w:pPr>
              <w:spacing w:line="320" w:lineRule="exact"/>
              <w:contextualSpacing/>
              <w:rPr>
                <w:rFonts w:ascii="宋体" w:hAnsi="宋体"/>
                <w:b/>
                <w:bCs/>
                <w:szCs w:val="21"/>
              </w:rPr>
            </w:pPr>
            <w:r>
              <w:rPr>
                <w:rFonts w:hint="eastAsia" w:ascii="宋体" w:hAnsi="宋体"/>
                <w:b/>
                <w:bCs/>
                <w:szCs w:val="21"/>
              </w:rPr>
              <w:t>全</w:t>
            </w:r>
          </w:p>
        </w:tc>
        <w:tc>
          <w:tcPr>
            <w:tcW w:w="399" w:type="dxa"/>
            <w:shd w:val="pct10" w:color="auto" w:fill="auto"/>
            <w:vAlign w:val="center"/>
          </w:tcPr>
          <w:p>
            <w:pPr>
              <w:spacing w:line="320" w:lineRule="exact"/>
              <w:contextualSpacing/>
              <w:rPr>
                <w:rFonts w:ascii="宋体" w:hAnsi="宋体"/>
                <w:b/>
                <w:bCs/>
                <w:szCs w:val="21"/>
              </w:rPr>
            </w:pPr>
            <w:r>
              <w:rPr>
                <w:rFonts w:ascii="宋体" w:hAnsi="宋体"/>
                <w:b/>
                <w:bCs/>
                <w:szCs w:val="21"/>
              </w:rPr>
              <w:t>10</w:t>
            </w:r>
          </w:p>
        </w:tc>
        <w:tc>
          <w:tcPr>
            <w:tcW w:w="5570" w:type="dxa"/>
            <w:shd w:val="pct10" w:color="auto" w:fill="auto"/>
            <w:vAlign w:val="center"/>
          </w:tcPr>
          <w:p>
            <w:pPr>
              <w:spacing w:line="320" w:lineRule="exact"/>
              <w:contextualSpacing/>
              <w:rPr>
                <w:rFonts w:ascii="宋体" w:hAnsi="宋体"/>
                <w:szCs w:val="21"/>
              </w:rPr>
            </w:pPr>
            <w:r>
              <w:rPr>
                <w:rFonts w:ascii="宋体" w:hAnsi="宋体"/>
                <w:szCs w:val="21"/>
              </w:rPr>
              <w:t>1</w:t>
            </w:r>
            <w:r>
              <w:rPr>
                <w:rFonts w:hint="eastAsia" w:ascii="宋体" w:hAnsi="宋体"/>
                <w:szCs w:val="21"/>
              </w:rPr>
              <w:t>.各类机械严格按照</w:t>
            </w:r>
            <w:r>
              <w:rPr>
                <w:rFonts w:ascii="宋体" w:hAnsi="宋体"/>
                <w:szCs w:val="21"/>
              </w:rPr>
              <w:t>操作规程</w:t>
            </w:r>
            <w:r>
              <w:rPr>
                <w:rFonts w:hint="eastAsia" w:ascii="宋体" w:hAnsi="宋体"/>
                <w:szCs w:val="21"/>
              </w:rPr>
              <w:t>进行操作，</w:t>
            </w:r>
            <w:r>
              <w:rPr>
                <w:rFonts w:ascii="宋体" w:hAnsi="宋体"/>
                <w:szCs w:val="21"/>
              </w:rPr>
              <w:t>且有专人值守；</w:t>
            </w:r>
          </w:p>
          <w:p>
            <w:pPr>
              <w:spacing w:line="320" w:lineRule="exact"/>
              <w:contextualSpacing/>
              <w:rPr>
                <w:rFonts w:ascii="宋体" w:hAnsi="宋体"/>
                <w:szCs w:val="21"/>
              </w:rPr>
            </w:pPr>
            <w:r>
              <w:rPr>
                <w:rFonts w:ascii="宋体" w:hAnsi="宋体"/>
                <w:szCs w:val="21"/>
              </w:rPr>
              <w:t>2</w:t>
            </w:r>
            <w:r>
              <w:rPr>
                <w:rFonts w:hint="eastAsia" w:ascii="宋体" w:hAnsi="宋体"/>
                <w:szCs w:val="21"/>
              </w:rPr>
              <w:t>.</w:t>
            </w:r>
            <w:r>
              <w:rPr>
                <w:rFonts w:ascii="宋体" w:hAnsi="宋体"/>
                <w:szCs w:val="21"/>
              </w:rPr>
              <w:t>食堂</w:t>
            </w:r>
            <w:r>
              <w:rPr>
                <w:rFonts w:hint="eastAsia" w:ascii="宋体" w:hAnsi="宋体"/>
                <w:szCs w:val="21"/>
              </w:rPr>
              <w:t>所有电</w:t>
            </w:r>
            <w:r>
              <w:rPr>
                <w:rFonts w:ascii="宋体" w:hAnsi="宋体"/>
                <w:szCs w:val="21"/>
              </w:rPr>
              <w:t>、气、</w:t>
            </w:r>
            <w:r>
              <w:rPr>
                <w:rFonts w:hint="eastAsia" w:ascii="宋体" w:hAnsi="宋体"/>
                <w:szCs w:val="21"/>
              </w:rPr>
              <w:t>机械</w:t>
            </w:r>
            <w:r>
              <w:rPr>
                <w:rFonts w:ascii="宋体" w:hAnsi="宋体"/>
                <w:szCs w:val="21"/>
              </w:rPr>
              <w:t>设备</w:t>
            </w:r>
            <w:r>
              <w:rPr>
                <w:rFonts w:hint="eastAsia" w:ascii="宋体" w:hAnsi="宋体"/>
                <w:szCs w:val="21"/>
              </w:rPr>
              <w:t>必须定期保养</w:t>
            </w:r>
            <w:r>
              <w:rPr>
                <w:rFonts w:ascii="宋体" w:hAnsi="宋体"/>
                <w:szCs w:val="21"/>
              </w:rPr>
              <w:t>，且有专人负责；</w:t>
            </w:r>
          </w:p>
          <w:p>
            <w:pPr>
              <w:spacing w:line="320" w:lineRule="exact"/>
              <w:contextualSpacing/>
              <w:rPr>
                <w:rFonts w:ascii="宋体" w:hAnsi="宋体"/>
                <w:szCs w:val="21"/>
              </w:rPr>
            </w:pPr>
            <w:r>
              <w:rPr>
                <w:rFonts w:ascii="宋体" w:hAnsi="宋体"/>
                <w:szCs w:val="21"/>
              </w:rPr>
              <w:t>3.</w:t>
            </w:r>
            <w:r>
              <w:rPr>
                <w:rFonts w:hint="eastAsia" w:ascii="宋体" w:hAnsi="宋体"/>
                <w:szCs w:val="21"/>
              </w:rPr>
              <w:t>必须设置</w:t>
            </w:r>
            <w:r>
              <w:rPr>
                <w:rFonts w:ascii="宋体" w:hAnsi="宋体"/>
                <w:szCs w:val="21"/>
              </w:rPr>
              <w:t>专兼职安全员岗位</w:t>
            </w:r>
            <w:r>
              <w:rPr>
                <w:rFonts w:hint="eastAsia" w:ascii="宋体" w:hAnsi="宋体"/>
                <w:szCs w:val="21"/>
              </w:rPr>
              <w:t>；</w:t>
            </w:r>
          </w:p>
          <w:p>
            <w:pPr>
              <w:spacing w:line="320" w:lineRule="exact"/>
              <w:contextualSpacing/>
              <w:rPr>
                <w:rFonts w:ascii="宋体" w:hAnsi="宋体"/>
                <w:szCs w:val="21"/>
              </w:rPr>
            </w:pPr>
            <w:r>
              <w:rPr>
                <w:rFonts w:ascii="宋体" w:hAnsi="宋体"/>
                <w:szCs w:val="21"/>
              </w:rPr>
              <w:t>4.</w:t>
            </w:r>
            <w:r>
              <w:rPr>
                <w:rFonts w:hint="eastAsia" w:ascii="宋体" w:hAnsi="宋体"/>
                <w:szCs w:val="21"/>
              </w:rPr>
              <w:t>安全员每餐后</w:t>
            </w:r>
            <w:r>
              <w:rPr>
                <w:rFonts w:ascii="宋体" w:hAnsi="宋体"/>
                <w:szCs w:val="21"/>
              </w:rPr>
              <w:t>要对所有部位进行安全检查，</w:t>
            </w:r>
            <w:r>
              <w:rPr>
                <w:rFonts w:hint="eastAsia" w:ascii="宋体" w:hAnsi="宋体"/>
                <w:szCs w:val="21"/>
              </w:rPr>
              <w:t>发现问题</w:t>
            </w:r>
            <w:r>
              <w:rPr>
                <w:rFonts w:ascii="宋体" w:hAnsi="宋体"/>
                <w:szCs w:val="21"/>
              </w:rPr>
              <w:t>及时处理；</w:t>
            </w:r>
          </w:p>
          <w:p>
            <w:pPr>
              <w:spacing w:line="320" w:lineRule="exact"/>
              <w:contextualSpacing/>
              <w:rPr>
                <w:rFonts w:ascii="宋体" w:hAnsi="宋体"/>
                <w:szCs w:val="21"/>
              </w:rPr>
            </w:pPr>
            <w:r>
              <w:rPr>
                <w:rFonts w:ascii="宋体" w:hAnsi="宋体"/>
                <w:szCs w:val="21"/>
              </w:rPr>
              <w:t>5</w:t>
            </w:r>
            <w:r>
              <w:rPr>
                <w:rFonts w:hint="eastAsia" w:ascii="宋体" w:hAnsi="宋体"/>
                <w:szCs w:val="21"/>
              </w:rPr>
              <w:t>.未经允许</w:t>
            </w:r>
            <w:r>
              <w:rPr>
                <w:rFonts w:ascii="宋体" w:hAnsi="宋体"/>
                <w:szCs w:val="21"/>
              </w:rPr>
              <w:t>，</w:t>
            </w:r>
            <w:r>
              <w:rPr>
                <w:rFonts w:hint="eastAsia" w:ascii="宋体" w:hAnsi="宋体"/>
                <w:szCs w:val="21"/>
              </w:rPr>
              <w:t>禁止外来人员（包括</w:t>
            </w:r>
            <w:r>
              <w:rPr>
                <w:rFonts w:ascii="宋体" w:hAnsi="宋体"/>
                <w:szCs w:val="21"/>
              </w:rPr>
              <w:t>亲友）进入</w:t>
            </w:r>
            <w:r>
              <w:rPr>
                <w:rFonts w:hint="eastAsia" w:ascii="宋体" w:hAnsi="宋体"/>
                <w:szCs w:val="21"/>
              </w:rPr>
              <w:t>后厨</w:t>
            </w:r>
            <w:r>
              <w:rPr>
                <w:rFonts w:ascii="宋体" w:hAnsi="宋体"/>
                <w:szCs w:val="21"/>
              </w:rPr>
              <w:t>区域；</w:t>
            </w:r>
          </w:p>
          <w:p>
            <w:pPr>
              <w:spacing w:line="320" w:lineRule="exact"/>
              <w:contextualSpacing/>
              <w:rPr>
                <w:rFonts w:ascii="宋体" w:hAnsi="宋体"/>
                <w:szCs w:val="21"/>
              </w:rPr>
            </w:pPr>
            <w:r>
              <w:rPr>
                <w:rFonts w:ascii="宋体" w:hAnsi="宋体"/>
                <w:szCs w:val="21"/>
              </w:rPr>
              <w:t>6.</w:t>
            </w:r>
            <w:r>
              <w:rPr>
                <w:rFonts w:hint="eastAsia" w:ascii="宋体" w:hAnsi="宋体"/>
                <w:szCs w:val="21"/>
              </w:rPr>
              <w:t>和面机</w:t>
            </w:r>
            <w:r>
              <w:rPr>
                <w:rFonts w:ascii="宋体" w:hAnsi="宋体"/>
                <w:szCs w:val="21"/>
              </w:rPr>
              <w:t>、压面机必须加装安全护栏；</w:t>
            </w:r>
          </w:p>
          <w:p>
            <w:pPr>
              <w:spacing w:line="320" w:lineRule="exact"/>
              <w:contextualSpacing/>
              <w:rPr>
                <w:rFonts w:ascii="宋体" w:hAnsi="宋体"/>
                <w:szCs w:val="21"/>
              </w:rPr>
            </w:pPr>
            <w:r>
              <w:rPr>
                <w:rFonts w:ascii="宋体" w:hAnsi="宋体"/>
                <w:szCs w:val="21"/>
              </w:rPr>
              <w:t>7.</w:t>
            </w:r>
            <w:r>
              <w:rPr>
                <w:rFonts w:hint="eastAsia" w:ascii="宋体" w:hAnsi="宋体"/>
                <w:szCs w:val="21"/>
              </w:rPr>
              <w:t>绞肉机</w:t>
            </w:r>
            <w:r>
              <w:rPr>
                <w:rFonts w:ascii="宋体" w:hAnsi="宋体"/>
                <w:szCs w:val="21"/>
              </w:rPr>
              <w:t>、切菜机等</w:t>
            </w:r>
            <w:r>
              <w:rPr>
                <w:rFonts w:hint="eastAsia" w:ascii="宋体" w:hAnsi="宋体"/>
                <w:szCs w:val="21"/>
              </w:rPr>
              <w:t>加工设备</w:t>
            </w:r>
            <w:r>
              <w:rPr>
                <w:rFonts w:ascii="宋体" w:hAnsi="宋体"/>
                <w:szCs w:val="21"/>
              </w:rPr>
              <w:t>不得用手</w:t>
            </w:r>
            <w:r>
              <w:rPr>
                <w:rFonts w:hint="eastAsia" w:ascii="宋体" w:hAnsi="宋体"/>
                <w:szCs w:val="21"/>
              </w:rPr>
              <w:t>按压</w:t>
            </w:r>
            <w:r>
              <w:rPr>
                <w:rFonts w:ascii="宋体" w:hAnsi="宋体"/>
                <w:szCs w:val="21"/>
              </w:rPr>
              <w:t>食材</w:t>
            </w:r>
            <w:r>
              <w:rPr>
                <w:rFonts w:hint="eastAsia" w:ascii="宋体" w:hAnsi="宋体"/>
                <w:szCs w:val="21"/>
              </w:rPr>
              <w:t>；</w:t>
            </w:r>
          </w:p>
          <w:p>
            <w:pPr>
              <w:spacing w:line="320" w:lineRule="exact"/>
              <w:contextualSpacing/>
              <w:rPr>
                <w:rFonts w:ascii="宋体" w:hAnsi="宋体"/>
                <w:szCs w:val="21"/>
              </w:rPr>
            </w:pPr>
            <w:r>
              <w:rPr>
                <w:rFonts w:ascii="宋体" w:hAnsi="宋体"/>
                <w:szCs w:val="21"/>
              </w:rPr>
              <w:t>8</w:t>
            </w:r>
            <w:r>
              <w:rPr>
                <w:rFonts w:hint="eastAsia" w:ascii="宋体" w:hAnsi="宋体"/>
                <w:szCs w:val="21"/>
              </w:rPr>
              <w:t>.自查机制</w:t>
            </w:r>
            <w:r>
              <w:rPr>
                <w:rFonts w:ascii="宋体" w:hAnsi="宋体"/>
                <w:szCs w:val="21"/>
              </w:rPr>
              <w:t>健全，确保</w:t>
            </w:r>
            <w:r>
              <w:rPr>
                <w:rFonts w:hint="eastAsia" w:ascii="宋体" w:hAnsi="宋体"/>
                <w:szCs w:val="21"/>
              </w:rPr>
              <w:t>所有</w:t>
            </w:r>
            <w:r>
              <w:rPr>
                <w:rFonts w:ascii="宋体" w:hAnsi="宋体"/>
                <w:szCs w:val="21"/>
              </w:rPr>
              <w:t>设备</w:t>
            </w:r>
            <w:r>
              <w:rPr>
                <w:rFonts w:hint="eastAsia" w:ascii="宋体" w:hAnsi="宋体"/>
                <w:szCs w:val="21"/>
              </w:rPr>
              <w:t>完好</w:t>
            </w:r>
            <w:r>
              <w:rPr>
                <w:rFonts w:ascii="宋体" w:hAnsi="宋体"/>
                <w:szCs w:val="21"/>
              </w:rPr>
              <w:t>、</w:t>
            </w:r>
            <w:r>
              <w:rPr>
                <w:rFonts w:hint="eastAsia" w:ascii="宋体" w:hAnsi="宋体"/>
                <w:szCs w:val="21"/>
              </w:rPr>
              <w:t>无</w:t>
            </w:r>
            <w:r>
              <w:rPr>
                <w:rFonts w:ascii="宋体" w:hAnsi="宋体"/>
                <w:szCs w:val="21"/>
              </w:rPr>
              <w:t>安全隐患</w:t>
            </w:r>
            <w:r>
              <w:rPr>
                <w:rFonts w:hint="eastAsia" w:ascii="宋体" w:hAnsi="宋体"/>
                <w:szCs w:val="21"/>
              </w:rPr>
              <w:t>；</w:t>
            </w:r>
          </w:p>
          <w:p>
            <w:pPr>
              <w:spacing w:line="320" w:lineRule="exact"/>
              <w:contextualSpacing/>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全员参加安全知识培训，会使用、会查隐患、会保养；</w:t>
            </w:r>
          </w:p>
          <w:p>
            <w:pPr>
              <w:spacing w:line="320" w:lineRule="exact"/>
              <w:contextualSpacing/>
              <w:rPr>
                <w:rFonts w:ascii="宋体" w:hAnsi="宋体"/>
                <w:szCs w:val="21"/>
              </w:rPr>
            </w:pPr>
            <w:r>
              <w:rPr>
                <w:rFonts w:ascii="宋体" w:hAnsi="宋体"/>
                <w:szCs w:val="21"/>
              </w:rPr>
              <w:t>10</w:t>
            </w:r>
            <w:r>
              <w:rPr>
                <w:rFonts w:hint="eastAsia" w:ascii="宋体" w:hAnsi="宋体"/>
                <w:szCs w:val="21"/>
              </w:rPr>
              <w:t>.打烊后</w:t>
            </w:r>
            <w:r>
              <w:rPr>
                <w:rFonts w:ascii="宋体" w:hAnsi="宋体"/>
                <w:szCs w:val="21"/>
              </w:rPr>
              <w:t>及夜间必须有专人值班</w:t>
            </w:r>
            <w:r>
              <w:rPr>
                <w:rFonts w:hint="eastAsia" w:ascii="宋体" w:hAnsi="宋体"/>
                <w:szCs w:val="21"/>
              </w:rPr>
              <w:t>。</w:t>
            </w:r>
          </w:p>
        </w:tc>
        <w:tc>
          <w:tcPr>
            <w:tcW w:w="489" w:type="dxa"/>
            <w:shd w:val="pct10" w:color="auto" w:fill="auto"/>
            <w:vAlign w:val="center"/>
          </w:tcPr>
          <w:p>
            <w:pPr>
              <w:spacing w:line="320" w:lineRule="exact"/>
              <w:contextualSpacing/>
              <w:rPr>
                <w:rFonts w:ascii="宋体" w:hAnsi="宋体"/>
                <w:b/>
                <w:bCs/>
                <w:szCs w:val="21"/>
              </w:rPr>
            </w:pPr>
            <w:r>
              <w:rPr>
                <w:rFonts w:hint="eastAsia" w:ascii="宋体" w:hAnsi="宋体"/>
                <w:b/>
                <w:bCs/>
                <w:szCs w:val="21"/>
              </w:rPr>
              <w:t>每</w:t>
            </w:r>
          </w:p>
          <w:p>
            <w:pPr>
              <w:spacing w:line="320" w:lineRule="exact"/>
              <w:contextualSpacing/>
              <w:rPr>
                <w:rFonts w:ascii="宋体" w:hAnsi="宋体"/>
                <w:b/>
                <w:bCs/>
                <w:szCs w:val="21"/>
              </w:rPr>
            </w:pPr>
            <w:r>
              <w:rPr>
                <w:rFonts w:hint="eastAsia" w:ascii="宋体" w:hAnsi="宋体"/>
                <w:b/>
                <w:bCs/>
                <w:szCs w:val="21"/>
              </w:rPr>
              <w:t>条</w:t>
            </w:r>
          </w:p>
          <w:p>
            <w:pPr>
              <w:spacing w:line="320" w:lineRule="exact"/>
              <w:contextualSpacing/>
              <w:rPr>
                <w:rFonts w:ascii="宋体" w:hAnsi="宋体"/>
                <w:b/>
                <w:bCs/>
                <w:szCs w:val="21"/>
              </w:rPr>
            </w:pPr>
            <w:r>
              <w:rPr>
                <w:rFonts w:ascii="宋体" w:hAnsi="宋体"/>
                <w:b/>
                <w:bCs/>
                <w:szCs w:val="21"/>
              </w:rPr>
              <w:t>1</w:t>
            </w:r>
          </w:p>
          <w:p>
            <w:pPr>
              <w:spacing w:line="320" w:lineRule="exact"/>
              <w:contextualSpacing/>
              <w:rPr>
                <w:rFonts w:ascii="宋体" w:hAnsi="宋体"/>
                <w:b/>
                <w:bCs/>
                <w:szCs w:val="21"/>
              </w:rPr>
            </w:pPr>
            <w:r>
              <w:rPr>
                <w:rFonts w:hint="eastAsia" w:ascii="宋体" w:hAnsi="宋体"/>
                <w:b/>
                <w:bCs/>
                <w:szCs w:val="21"/>
              </w:rPr>
              <w:t>分</w:t>
            </w:r>
          </w:p>
        </w:tc>
        <w:tc>
          <w:tcPr>
            <w:tcW w:w="464" w:type="dxa"/>
            <w:shd w:val="pct10" w:color="auto" w:fill="auto"/>
            <w:vAlign w:val="center"/>
          </w:tcPr>
          <w:p>
            <w:pPr>
              <w:spacing w:line="320" w:lineRule="exact"/>
              <w:contextualSpacing/>
              <w:rPr>
                <w:rFonts w:ascii="宋体" w:hAnsi="宋体"/>
                <w:szCs w:val="21"/>
              </w:rPr>
            </w:pPr>
          </w:p>
        </w:tc>
        <w:tc>
          <w:tcPr>
            <w:tcW w:w="1738" w:type="dxa"/>
            <w:shd w:val="pct10" w:color="auto" w:fill="auto"/>
            <w:vAlign w:val="center"/>
          </w:tcPr>
          <w:p>
            <w:pPr>
              <w:spacing w:line="32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0" w:hRule="atLeast"/>
        </w:trPr>
        <w:tc>
          <w:tcPr>
            <w:tcW w:w="508"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消</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防</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安</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全</w:t>
            </w:r>
          </w:p>
        </w:tc>
        <w:tc>
          <w:tcPr>
            <w:tcW w:w="399"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10</w:t>
            </w:r>
          </w:p>
        </w:tc>
        <w:tc>
          <w:tcPr>
            <w:tcW w:w="5570"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1.安全制度与应急预案健全，安全责任到人，且有专人负责消防安全，有应急小组并正常运转；</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2.定期对员工进行消防知识培训，员工懂得消防安全知识；做到人人会用灭火器；</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3.配备足够消防器材及消防监控设施并保证正常使用；</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4.不得在生产、销售及前厅等禁烟区域吸烟；</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5.废纸箱、泡沫等易燃物品及杂物必须存放在规定区域；严禁使用钢瓶液化气；</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6.定期清洗烟罩、烟道等抽排设备，并作好记录；</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7.严禁私自搭接燃气管道和电气线路；严禁使用违规及超标设备；</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8.安全警示标识完好醒目，消防通道畅通，电动车不得进入食堂，不得以任何理由堵塞消防通道；</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9.烹饪严格执行安全操作要求，确保电热、燃气设备有人值守；</w:t>
            </w:r>
          </w:p>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10.经理及安全员必须每餐巡查食堂所有部位，定期检测燃气管道，杜绝隐患。</w:t>
            </w:r>
          </w:p>
        </w:tc>
        <w:tc>
          <w:tcPr>
            <w:tcW w:w="489"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每</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条</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w:t>
            </w:r>
          </w:p>
          <w:p>
            <w:pPr>
              <w:spacing w:line="360" w:lineRule="auto"/>
              <w:contextualSpacing/>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w:t>
            </w:r>
          </w:p>
        </w:tc>
        <w:tc>
          <w:tcPr>
            <w:tcW w:w="464"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szCs w:val="21"/>
              </w:rPr>
            </w:pPr>
          </w:p>
        </w:tc>
        <w:tc>
          <w:tcPr>
            <w:tcW w:w="1738" w:type="dxa"/>
            <w:tcBorders>
              <w:bottom w:val="single" w:color="auto" w:sz="4" w:space="0"/>
            </w:tcBorders>
            <w:shd w:val="clear" w:color="auto" w:fill="auto"/>
            <w:vAlign w:val="center"/>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508" w:type="dxa"/>
            <w:shd w:val="pct10" w:color="auto" w:fill="auto"/>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总分</w:t>
            </w:r>
          </w:p>
        </w:tc>
        <w:tc>
          <w:tcPr>
            <w:tcW w:w="399" w:type="dxa"/>
            <w:shd w:val="pct10" w:color="auto" w:fill="auto"/>
            <w:vAlign w:val="center"/>
          </w:tcPr>
          <w:p>
            <w:pPr>
              <w:spacing w:line="360" w:lineRule="auto"/>
              <w:rPr>
                <w:rFonts w:asciiTheme="minorEastAsia" w:hAnsiTheme="minorEastAsia" w:eastAsiaTheme="minorEastAsia" w:cstheme="minorEastAsia"/>
                <w:b/>
                <w:bCs/>
                <w:szCs w:val="21"/>
              </w:rPr>
            </w:pPr>
          </w:p>
        </w:tc>
        <w:tc>
          <w:tcPr>
            <w:tcW w:w="5570" w:type="dxa"/>
            <w:shd w:val="pct10" w:color="auto" w:fill="auto"/>
            <w:vAlign w:val="center"/>
          </w:tcPr>
          <w:p>
            <w:pPr>
              <w:spacing w:line="360" w:lineRule="auto"/>
              <w:rPr>
                <w:rFonts w:asciiTheme="minorEastAsia" w:hAnsiTheme="minorEastAsia" w:eastAsiaTheme="minorEastAsia" w:cstheme="minorEastAsia"/>
                <w:szCs w:val="21"/>
              </w:rPr>
            </w:pPr>
          </w:p>
        </w:tc>
        <w:tc>
          <w:tcPr>
            <w:tcW w:w="489" w:type="dxa"/>
            <w:shd w:val="pct10" w:color="auto" w:fill="auto"/>
            <w:vAlign w:val="center"/>
          </w:tcPr>
          <w:p>
            <w:pPr>
              <w:spacing w:line="360" w:lineRule="auto"/>
              <w:rPr>
                <w:rFonts w:asciiTheme="minorEastAsia" w:hAnsiTheme="minorEastAsia" w:eastAsiaTheme="minorEastAsia" w:cstheme="minorEastAsia"/>
                <w:szCs w:val="21"/>
              </w:rPr>
            </w:pPr>
          </w:p>
        </w:tc>
        <w:tc>
          <w:tcPr>
            <w:tcW w:w="464" w:type="dxa"/>
            <w:shd w:val="pct10" w:color="auto" w:fill="auto"/>
            <w:vAlign w:val="center"/>
          </w:tcPr>
          <w:p>
            <w:pPr>
              <w:spacing w:line="360" w:lineRule="auto"/>
              <w:rPr>
                <w:rFonts w:asciiTheme="minorEastAsia" w:hAnsiTheme="minorEastAsia" w:eastAsiaTheme="minorEastAsia" w:cstheme="minorEastAsia"/>
                <w:szCs w:val="21"/>
              </w:rPr>
            </w:pPr>
          </w:p>
        </w:tc>
        <w:tc>
          <w:tcPr>
            <w:tcW w:w="1738" w:type="dxa"/>
            <w:shd w:val="pct10" w:color="auto" w:fill="auto"/>
            <w:vAlign w:val="center"/>
          </w:tcPr>
          <w:p>
            <w:pPr>
              <w:spacing w:line="360" w:lineRule="auto"/>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考评人：                    食堂负责人：                  中心负责人：</w:t>
      </w: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ind w:firstLine="200"/>
      </w:pPr>
    </w:p>
    <w:p>
      <w:pPr>
        <w:spacing w:line="400" w:lineRule="exact"/>
      </w:pPr>
    </w:p>
    <w:p>
      <w:pPr>
        <w:spacing w:line="400" w:lineRule="exact"/>
      </w:pPr>
    </w:p>
    <w:p>
      <w:pPr>
        <w:spacing w:line="400" w:lineRule="exact"/>
        <w:rPr>
          <w:rFonts w:ascii="宋体" w:hAnsi="宋体"/>
        </w:rPr>
      </w:pPr>
      <w:r>
        <w:rPr>
          <w:rFonts w:ascii="宋体" w:hAnsi="宋体"/>
        </w:rPr>
        <w:t>附件</w:t>
      </w:r>
      <w:r>
        <w:rPr>
          <w:rFonts w:hint="eastAsia" w:ascii="宋体" w:hAnsi="宋体"/>
        </w:rPr>
        <w:t>二</w:t>
      </w:r>
    </w:p>
    <w:p>
      <w:pPr>
        <w:spacing w:line="480" w:lineRule="exact"/>
      </w:pPr>
      <w:r>
        <w:rPr>
          <w:rFonts w:hint="eastAsia" w:ascii="宋体" w:hAnsi="宋体"/>
          <w:b/>
          <w:sz w:val="28"/>
          <w:szCs w:val="28"/>
        </w:rPr>
        <w:t>饮食服务中心业务往来车辆进出校园的安全规定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维护校园秩序，保障校园交通安全，饮食服务中心（以下称甲方）特制定本规定。本规定所指车辆包括供货商送货车辆、引进联合经营单位车辆、档口自有车辆、加盟店配送车辆、设施设备售后服务单位车辆及其他业务往来车辆。</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一、所有业务往来单位（以下统称乙方）必须制定车辆管理制度和应急预案。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二、所有车辆必须是通过年检的处于正常使用期的车辆，不得使用超限车辆。</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三、所有车辆必须动力、制动系统使用正常，无故障、无隐患、无异常。</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四、所有车辆必须按照交通法规要求粘贴年检合格、交强险等合法标识。</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五、送货车辆驾驶员必须具备五年以上驾龄，能熟练应对各种车辆状况和道路状况。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六、所有车辆进校园后必须减速行驶，任何情况下速度不得高于30公里小时，教学楼、宿舍区等人流密集路段不得高于20公里小时。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七、遇人流集中时，必须停车礼让师生通过后方可继续慢速行进。</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八、除必须遵守交通法规以外，还必须遵守学校制定的校内安全规定。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九、遇学校有迎新、校庆、毕业庆典及其他重大活动时，必须遵守学校制定的相关专项规定另选时间进出校园，特殊情况经报批允许后方可进出校园，应在前述限速标准下，更进一步减速慢行。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十、送货车辆进校时间必须遵守饮食中心规定的送货时间，不得随意进出校园。同时必须遵守饮食中心规定的送货路线，不得随意更改路线。</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十一、所有车辆在校园内必须按规定地点停车，按操作规程停车。</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十二、送货车辆下货完毕后，必须立即离开校园，不得在校园内逗留。</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十三、车辆在校园内发生交通事故，必须依法处置，第一时间救人，不得逃逸；必须依法定责，由驾驶员承担的法律及经济赔偿责任，不得推诿；必须依法及时进行事故后续处理，不得搪塞。</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十四、所有车辆在校园内发生交通事故及其他事故，由乙方承担全部法律及经济责任，甲方不承担任何责任。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十五、乙方如有违反本规定及推卸责任的行为，甲方有权终止协议，并保留追究乙方法律及经济责任的权利。</w:t>
      </w:r>
    </w:p>
    <w:p>
      <w:pPr>
        <w:topLinePunct/>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十六、本规定作为供货协议、联合经营协议及其他业务往来协议与合同的附加条款执行。</w:t>
      </w:r>
    </w:p>
    <w:p>
      <w:pPr>
        <w:rPr>
          <w:rFonts w:ascii="宋体" w:hAnsi="宋体"/>
        </w:rPr>
      </w:pPr>
      <w:r>
        <w:rPr>
          <w:rFonts w:ascii="宋体" w:hAnsi="宋体"/>
        </w:rPr>
        <w:br w:type="page"/>
      </w:r>
      <w:r>
        <w:rPr>
          <w:rFonts w:ascii="宋体" w:hAnsi="宋体"/>
        </w:rPr>
        <w:t>附件</w:t>
      </w:r>
      <w:r>
        <w:rPr>
          <w:rFonts w:hint="eastAsia" w:ascii="宋体" w:hAnsi="宋体"/>
        </w:rPr>
        <w:t>三</w:t>
      </w:r>
    </w:p>
    <w:p>
      <w:pPr>
        <w:spacing w:line="480" w:lineRule="exact"/>
        <w:rPr>
          <w:rFonts w:ascii="宋体" w:hAnsi="宋体"/>
        </w:rPr>
      </w:pPr>
      <w:r>
        <w:rPr>
          <w:rFonts w:hint="eastAsia" w:ascii="宋体" w:hAnsi="宋体"/>
          <w:b/>
          <w:sz w:val="28"/>
          <w:szCs w:val="28"/>
        </w:rPr>
        <w:t>饮食服务中心食堂档口合作服务单位物资采供管理规定</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为了进一步推进标准化建设，规范饮食物资供应管理，保障饮食安全和广大师生的身体健康及生命安全，不断提高伙食质量，根据《食品安全法》和《湖北省学校食堂食品安全管理规范》等相关文件精神，结合我校实际，特制订本规定。本规定同时作为《饮食服务中心引进品种联合经营管理协议》的补充附件。</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本规定与2015年颁布的管理办法（见制度汇编一158页）有不同之处，以本规定为准。具体规定如下：</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一、食堂大宗物资（包括但不限于米、面、油、蔬菜、荤食、干调等）必须由中心统一采购、并严格执行索证、验收、登记制度。</w:t>
      </w:r>
    </w:p>
    <w:p>
      <w:pPr>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二、各独立核算单位及引进合作经营单位所需物资须先上报食堂保管员，汇总后向物供组申购。</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三、各引进单位必须按照自己的实际用量据实上报物资计划，由中心统一采购，不得私自采购。</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四、引进单位的特殊物资（特殊物资是指独家秘制的酱料、调味料、半成品等）须由总部统一配送或自采的，必须向甲方提供其总部及供货商的营业执照、经营许可证和产品检疫检验合格证明等必备资质原件及配料明细表，交由所在甲方审核。审核通过后方可自采，但必须提供复印件加盖所属公司原公章的资质证明备案。且必须定期更新所需物资有效检测报告等相关资质证明，接受甲方监督。</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如自购物资出现食品安全事故，由该引进单位及所在加盟公司自行承担所有经济及法律责任。</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五、由于特殊情况，需临时补充物资的，原则上由物供组统一补货。确需自采的，由食堂经理批准后方可自采，但必须登记品种和数量，以备中心检查。自采物资须经食堂保管验收合格后方可进入食堂。若发现弄虚作假，则按照私自进货处理。</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六、所进物资必须按照饮食中心相关制度之规定，按需进货，不得长期囤积，不得使用过期物资及性状异常的物资。</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七、引进单位物资必须按照标准化制度规范使用与管理，保持物资储存及操作场所整洁。</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八、未按规定统购而私自采购者，视情节处以500至1000元扣罚，经理、副经理负管理责任，分别按照扣罚金额的15%和10%扣罚个人绩效。对拒不执行本规定、情节严重者，视为违约，中心有权终止联合经营协议，令其在规定时间内退出引进单位，并处3000元违约金。</w:t>
      </w:r>
    </w:p>
    <w:p>
      <w:pPr>
        <w:topLinePunct/>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九、中心对引进单位结账财务报表进行审核，凡发现营业额与实际耗物成本出现明显比例不符的，视为存在私自采购行为，将按照第九条之规定处罚。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十、本规定同时作为联合经营协议的附加条款执行。</w:t>
      </w:r>
    </w:p>
    <w:p>
      <w:pPr>
        <w:spacing w:line="400" w:lineRule="exact"/>
        <w:ind w:firstLine="200"/>
        <w:rPr>
          <w:rFonts w:ascii="宋体" w:hAnsi="宋体"/>
        </w:rPr>
      </w:pPr>
      <w:r>
        <w:rPr>
          <w:rFonts w:ascii="宋体" w:hAnsi="宋体"/>
        </w:rPr>
        <w:br w:type="page"/>
      </w:r>
      <w:bookmarkStart w:id="124" w:name="_Hlk71191342"/>
      <w:r>
        <w:rPr>
          <w:rFonts w:ascii="宋体" w:hAnsi="宋体"/>
        </w:rPr>
        <w:t>附件</w:t>
      </w:r>
      <w:r>
        <w:rPr>
          <w:rFonts w:hint="eastAsia" w:ascii="宋体" w:hAnsi="宋体"/>
        </w:rPr>
        <w:t>四</w:t>
      </w:r>
    </w:p>
    <w:p>
      <w:pPr>
        <w:topLinePunct/>
        <w:spacing w:line="400" w:lineRule="exact"/>
        <w:ind w:firstLine="632" w:firstLineChars="300"/>
        <w:rPr>
          <w:rFonts w:ascii="宋体" w:hAnsi="宋体"/>
          <w:b/>
        </w:rPr>
      </w:pPr>
    </w:p>
    <w:p>
      <w:pPr>
        <w:topLinePunct/>
        <w:spacing w:line="400" w:lineRule="exact"/>
        <w:rPr>
          <w:rFonts w:ascii="宋体" w:hAnsi="宋体"/>
        </w:rPr>
      </w:pPr>
      <w:r>
        <w:rPr>
          <w:rFonts w:hint="eastAsia" w:ascii="宋体" w:hAnsi="宋体"/>
          <w:b/>
          <w:sz w:val="28"/>
          <w:szCs w:val="28"/>
        </w:rPr>
        <w:t>饮食服务中心关于食堂现金管理的补充规定</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为了保证严格执行财务制度，特制订本规定。</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本规定同时作为《引进品种联合经营单位综合管理规定》和《食堂引进特色品种联合经营管理协议》的补充附件。</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一、除设置专职售票和允许现金结算的食堂（餐厅）可以采用现金交易以外，其他任何单位严禁收取现金。</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二、现金交易的定义：除人民币现钞外，包括但不限于支付宝、微信支付、银联云闪付、Apple Pay、PayPal、银联卡、财付通、翼支付、京东支付、网易支付、网银支付、易趣网安付通、双乾支付等第三方电子支付方式。</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三、凡有违规收取现金者，视为严重违约，视情节轻重处以1000元以上扣罚，上不封顶。</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四、三次以上者，解除合同，同时参照协议相关内容予以相应处罚。</w:t>
      </w:r>
    </w:p>
    <w:p>
      <w:pPr>
        <w:topLinePunct/>
        <w:spacing w:line="360" w:lineRule="auto"/>
        <w:ind w:firstLine="371" w:firstLineChars="177"/>
        <w:rPr>
          <w:rFonts w:asciiTheme="minorEastAsia" w:hAnsiTheme="minorEastAsia" w:eastAsiaTheme="minorEastAsia" w:cstheme="minorEastAsia"/>
        </w:rPr>
      </w:pPr>
      <w:r>
        <w:rPr>
          <w:rFonts w:hint="eastAsia" w:asciiTheme="minorEastAsia" w:hAnsiTheme="minorEastAsia" w:eastAsiaTheme="minorEastAsia" w:cstheme="minorEastAsia"/>
        </w:rPr>
        <w:t>五、中心将采取明察、暗访和顾客举报相结合的方式巡查处理食堂现金秩序。对举报查实的单位进行相应处罚以外，按照扣罚额的10%对举报者予以奖励。</w:t>
      </w:r>
    </w:p>
    <w:p>
      <w:pPr>
        <w:spacing w:line="400" w:lineRule="exact"/>
        <w:ind w:firstLine="200"/>
        <w:rPr>
          <w:rFonts w:ascii="宋体" w:hAnsi="宋体"/>
        </w:rPr>
      </w:pPr>
    </w:p>
    <w:p>
      <w:pPr>
        <w:spacing w:line="400" w:lineRule="exact"/>
        <w:ind w:firstLine="200"/>
        <w:rPr>
          <w:rFonts w:ascii="宋体" w:hAnsi="宋体"/>
        </w:rPr>
      </w:pPr>
    </w:p>
    <w:bookmarkEnd w:id="124"/>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wordWrap w:val="0"/>
        <w:spacing w:before="312" w:beforeLines="100" w:after="312" w:afterLines="100"/>
        <w:rPr>
          <w:rFonts w:ascii="宋体" w:hAnsi="宋体"/>
        </w:rPr>
      </w:pPr>
    </w:p>
    <w:p>
      <w:pPr>
        <w:spacing w:line="400" w:lineRule="exact"/>
        <w:rPr>
          <w:rFonts w:ascii="宋体" w:hAnsi="宋体"/>
        </w:rPr>
      </w:pPr>
      <w:bookmarkStart w:id="125" w:name="_Hlk71546782"/>
      <w:r>
        <w:rPr>
          <w:rFonts w:hint="eastAsia" w:ascii="宋体" w:hAnsi="宋体"/>
        </w:rPr>
        <w:t>附件五</w:t>
      </w:r>
    </w:p>
    <w:p>
      <w:pPr>
        <w:spacing w:line="320" w:lineRule="exact"/>
        <w:ind w:right="6"/>
        <w:rPr>
          <w:rFonts w:ascii="宋体" w:hAnsi="宋体" w:cs="宋体"/>
          <w:b/>
          <w:bCs/>
          <w:sz w:val="28"/>
          <w:szCs w:val="28"/>
        </w:rPr>
      </w:pPr>
    </w:p>
    <w:bookmarkEnd w:id="125"/>
    <w:p>
      <w:pPr>
        <w:spacing w:line="320" w:lineRule="exact"/>
        <w:ind w:right="6"/>
        <w:rPr>
          <w:rFonts w:ascii="宋体" w:hAnsi="宋体" w:cs="宋体"/>
          <w:b/>
          <w:bCs/>
          <w:sz w:val="28"/>
          <w:szCs w:val="28"/>
        </w:rPr>
      </w:pPr>
    </w:p>
    <w:p>
      <w:pPr>
        <w:spacing w:line="320" w:lineRule="exact"/>
        <w:ind w:right="6"/>
        <w:rPr>
          <w:sz w:val="20"/>
          <w:szCs w:val="20"/>
        </w:rPr>
      </w:pPr>
      <w:r>
        <w:rPr>
          <w:rFonts w:ascii="宋体" w:hAnsi="宋体" w:cs="宋体"/>
          <w:b/>
          <w:bCs/>
          <w:sz w:val="28"/>
          <w:szCs w:val="28"/>
        </w:rPr>
        <w:t>安全承诺书</w:t>
      </w:r>
    </w:p>
    <w:p>
      <w:pPr>
        <w:tabs>
          <w:tab w:val="left" w:pos="2127"/>
        </w:tabs>
        <w:spacing w:line="219" w:lineRule="exact"/>
        <w:rPr>
          <w:rFonts w:ascii="宋体" w:hAnsi="宋体" w:cs="宋体"/>
        </w:rPr>
      </w:pPr>
      <w:r>
        <w:rPr>
          <w:sz w:val="20"/>
          <w:szCs w:val="20"/>
        </w:rPr>
        <w:tab/>
      </w:r>
    </w:p>
    <w:p>
      <w:pPr>
        <w:adjustRightInd w:val="0"/>
        <w:snapToGrid w:val="0"/>
        <w:spacing w:line="380" w:lineRule="exact"/>
        <w:ind w:left="36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华中师范大学：</w:t>
      </w:r>
    </w:p>
    <w:p>
      <w:pPr>
        <w:adjustRightInd w:val="0"/>
        <w:snapToGrid w:val="0"/>
        <w:spacing w:line="380" w:lineRule="exact"/>
        <w:rPr>
          <w:rFonts w:asciiTheme="minorEastAsia" w:hAnsiTheme="minorEastAsia" w:eastAsiaTheme="minorEastAsia" w:cstheme="minorEastAsia"/>
          <w:szCs w:val="21"/>
        </w:rPr>
      </w:pP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本单位遵照国家、甲方有关管理规定，对安全郑重承诺如下：</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1.本单位是该合作经营安全工作的直接责任人，严格遵守甲方制定的各项管理制度，对档口食品安全、生产安全、消防、治安等安全工作负全部责任，并承担相应的法律与经济责任。</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2.按要求每餐检查水电气安全，不私接电线或超负荷用电，不私接燃气管线，因违章用电用气造成的伤亡及经济损失由本单位承担后果。</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单位大宗物资经由甲方统一采购。若有特殊品种甲方无法采购的，提出书面申请经批准后可自行采购。所有物资的采购和使用接受甲方的监督、检查。我方承诺严格遵守国家相关法律法规及相关行业标准，严格遵守甲方制定的物资采供管理制度。</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4.持有营业执照、食品经营许可证、健康证等，并保证定期更新。</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5.无条件全员参加甲方举办的各类食品安全知识培训和业务知识培训。</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6.严格按消防管理要求自费配备消防设备设施，达到消防安全要求，并熟练使用。无条件全员参加甲方组织的消防安全知识培训和实操演练。</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7.不利用合作经营的场所从事合同以外的项目。</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8.本单位保证不乱搭乱盖和随意张贴广告，不以华中师范大学或华中师范大学后勤保障部名义从事商业行为。</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9.严格遵守甲方学校的校园管理规定，不占道经营和影响校园环境。</w:t>
      </w:r>
    </w:p>
    <w:p>
      <w:pPr>
        <w:adjustRightInd w:val="0"/>
        <w:snapToGrid w:val="0"/>
        <w:spacing w:line="420" w:lineRule="exact"/>
        <w:ind w:firstLine="495" w:firstLineChars="2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10.本单位承诺遵守上述条款，否则，本单位愿承担全部法律和经济责任，自愿接受甲方的处理，赔偿甲方的一切损失，若造成较大影响，除赔偿招商方损失外，本单位无条件自动退出。</w:t>
      </w:r>
    </w:p>
    <w:p>
      <w:pPr>
        <w:adjustRightInd w:val="0"/>
        <w:snapToGrid w:val="0"/>
        <w:spacing w:line="380" w:lineRule="exact"/>
        <w:rPr>
          <w:rFonts w:asciiTheme="minorEastAsia" w:hAnsiTheme="minorEastAsia" w:eastAsiaTheme="minorEastAsia" w:cstheme="minorEastAsia"/>
          <w:szCs w:val="21"/>
        </w:rPr>
      </w:pPr>
    </w:p>
    <w:p>
      <w:pPr>
        <w:adjustRightInd w:val="0"/>
        <w:snapToGrid w:val="0"/>
        <w:spacing w:line="380" w:lineRule="exact"/>
        <w:ind w:left="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特此承诺</w:t>
      </w:r>
    </w:p>
    <w:p>
      <w:pPr>
        <w:adjustRightInd w:val="0"/>
        <w:snapToGrid w:val="0"/>
        <w:spacing w:line="380" w:lineRule="exact"/>
        <w:ind w:firstLine="5460" w:firstLineChars="2600"/>
        <w:rPr>
          <w:rFonts w:asciiTheme="minorEastAsia" w:hAnsiTheme="minorEastAsia" w:eastAsiaTheme="minorEastAsia" w:cstheme="minorEastAsia"/>
          <w:szCs w:val="21"/>
        </w:rPr>
      </w:pPr>
    </w:p>
    <w:p>
      <w:pPr>
        <w:adjustRightInd w:val="0"/>
        <w:snapToGrid w:val="0"/>
        <w:spacing w:line="380" w:lineRule="exact"/>
        <w:ind w:firstLine="4515" w:firstLineChars="2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服务商(盖章):                             </w:t>
      </w:r>
    </w:p>
    <w:p>
      <w:pPr>
        <w:adjustRightInd w:val="0"/>
        <w:snapToGrid w:val="0"/>
        <w:spacing w:line="380" w:lineRule="exact"/>
        <w:ind w:firstLine="4515" w:firstLineChars="2150"/>
        <w:rPr>
          <w:rFonts w:asciiTheme="minorEastAsia" w:hAnsiTheme="minorEastAsia" w:eastAsiaTheme="minorEastAsia" w:cstheme="minorEastAsia"/>
          <w:szCs w:val="21"/>
        </w:rPr>
      </w:pPr>
    </w:p>
    <w:p>
      <w:pPr>
        <w:spacing w:line="300" w:lineRule="auto"/>
        <w:ind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法定代表人或授权代理人 :                  </w:t>
      </w:r>
    </w:p>
    <w:p>
      <w:pPr>
        <w:spacing w:line="300" w:lineRule="auto"/>
        <w:ind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tabs>
          <w:tab w:val="left" w:pos="5880"/>
          <w:tab w:val="left" w:pos="6570"/>
        </w:tabs>
        <w:spacing w:line="30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日期:    年  月  日   </w:t>
      </w:r>
      <w:bookmarkEnd w:id="123"/>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4"/>
        </w:numPr>
        <w:jc w:val="center"/>
        <w:rPr>
          <w:rFonts w:asciiTheme="minorEastAsia" w:hAnsiTheme="minorEastAsia" w:eastAsiaTheme="minorEastAsia" w:cstheme="minorEastAsia"/>
          <w:sz w:val="36"/>
          <w:szCs w:val="36"/>
        </w:rPr>
      </w:pPr>
      <w:bookmarkStart w:id="126" w:name="_Toc27625"/>
      <w:r>
        <w:rPr>
          <w:rFonts w:hint="eastAsia" w:asciiTheme="minorEastAsia" w:hAnsiTheme="minorEastAsia" w:eastAsiaTheme="minorEastAsia" w:cstheme="minorEastAsia"/>
          <w:sz w:val="36"/>
          <w:szCs w:val="36"/>
        </w:rPr>
        <w:t>竞争性磋商响应文件格式</w:t>
      </w:r>
      <w:bookmarkEnd w:id="126"/>
    </w:p>
    <w:p>
      <w:pPr>
        <w:autoSpaceDE w:val="0"/>
        <w:autoSpaceDN w:val="0"/>
        <w:adjustRightIn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jc w:val="center"/>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jc w:val="center"/>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7" w:name="_Toc23858"/>
      <w:bookmarkStart w:id="128"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7"/>
    <w:bookmarkEnd w:id="128"/>
    <w:p>
      <w:pPr>
        <w:autoSpaceDE w:val="0"/>
        <w:autoSpaceDN w:val="0"/>
        <w:adjustRightInd w:val="0"/>
        <w:spacing w:line="360" w:lineRule="auto"/>
        <w:rPr>
          <w:rFonts w:asciiTheme="minorEastAsia" w:hAnsiTheme="minorEastAsia" w:eastAsiaTheme="minorEastAsia" w:cstheme="minorEastAsia"/>
          <w:b/>
          <w:bCs/>
          <w:sz w:val="24"/>
        </w:rPr>
      </w:pPr>
      <w:bookmarkStart w:id="129" w:name="_Toc264644272"/>
      <w:bookmarkStart w:id="130" w:name="_Toc360174584"/>
      <w:bookmarkStart w:id="131" w:name="_Toc533330957"/>
      <w:bookmarkStart w:id="132" w:name="_Toc211783342"/>
      <w:bookmarkStart w:id="133" w:name="_Toc533331084"/>
      <w:bookmarkStart w:id="134" w:name="_Toc11320441"/>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9"/>
      <w:bookmarkEnd w:id="130"/>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注：响应文件目录及内容每页须顺序编写页码。</w:t>
      </w:r>
    </w:p>
    <w:p>
      <w:pPr>
        <w:autoSpaceDE w:val="0"/>
        <w:autoSpaceDN w:val="0"/>
        <w:adjustRightInd w:val="0"/>
        <w:spacing w:line="360" w:lineRule="auto"/>
        <w:outlineLvl w:val="1"/>
        <w:rPr>
          <w:rFonts w:ascii="宋体" w:hAnsi="宋体" w:cs="宋体"/>
          <w:b/>
          <w:szCs w:val="21"/>
        </w:rPr>
      </w:pPr>
      <w:bookmarkStart w:id="135" w:name="_Toc17711"/>
      <w:r>
        <w:rPr>
          <w:rFonts w:hint="eastAsia" w:ascii="宋体" w:hAnsi="宋体" w:cs="宋体"/>
          <w:b/>
          <w:szCs w:val="21"/>
        </w:rPr>
        <w:br w:type="textWrapping"/>
      </w:r>
      <w:r>
        <w:rPr>
          <w:rFonts w:hint="eastAsia" w:ascii="宋体" w:hAnsi="宋体" w:cs="宋体"/>
          <w:b/>
          <w:szCs w:val="21"/>
        </w:rPr>
        <w:t>一、评分标准索引表</w:t>
      </w:r>
      <w:bookmarkEnd w:id="135"/>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textAlignment w:val="center"/>
              <w:rPr>
                <w:rFonts w:ascii="宋体" w:hAnsi="宋体" w:cs="宋体"/>
                <w:spacing w:val="-6"/>
                <w:szCs w:val="21"/>
              </w:rPr>
            </w:pPr>
          </w:p>
        </w:tc>
        <w:tc>
          <w:tcPr>
            <w:tcW w:w="1285" w:type="dxa"/>
            <w:vAlign w:val="center"/>
          </w:tcPr>
          <w:p>
            <w:pPr>
              <w:widowControl/>
              <w:spacing w:line="360" w:lineRule="auto"/>
              <w:textAlignment w:val="center"/>
              <w:rPr>
                <w:rFonts w:ascii="宋体" w:hAnsi="宋体" w:cs="宋体"/>
                <w:spacing w:val="-6"/>
                <w:szCs w:val="21"/>
              </w:rPr>
            </w:pPr>
          </w:p>
        </w:tc>
        <w:tc>
          <w:tcPr>
            <w:tcW w:w="5358" w:type="dxa"/>
            <w:vAlign w:val="center"/>
          </w:tcPr>
          <w:p>
            <w:pPr>
              <w:widowControl/>
              <w:spacing w:line="360" w:lineRule="auto"/>
              <w:textAlignment w:val="center"/>
              <w:rPr>
                <w:rFonts w:ascii="宋体" w:hAnsi="宋体" w:cs="宋体"/>
                <w:szCs w:val="21"/>
              </w:rPr>
            </w:pPr>
          </w:p>
        </w:tc>
        <w:tc>
          <w:tcPr>
            <w:tcW w:w="825" w:type="dxa"/>
            <w:vAlign w:val="center"/>
          </w:tcPr>
          <w:p>
            <w:pPr>
              <w:widowControl/>
              <w:spacing w:line="360" w:lineRule="auto"/>
              <w:textAlignment w:val="center"/>
              <w:rPr>
                <w:rFonts w:ascii="宋体" w:hAnsi="宋体" w:cs="宋体"/>
                <w:szCs w:val="21"/>
              </w:rPr>
            </w:pPr>
          </w:p>
        </w:tc>
        <w:tc>
          <w:tcPr>
            <w:tcW w:w="1133" w:type="dxa"/>
            <w:vAlign w:val="center"/>
          </w:tcPr>
          <w:p>
            <w:pPr>
              <w:widowControl/>
              <w:spacing w:line="360" w:lineRule="auto"/>
              <w:textAlignment w:val="center"/>
              <w:rPr>
                <w:rFonts w:ascii="宋体" w:hAnsi="宋体" w:cs="宋体"/>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szCs w:val="21"/>
              </w:rPr>
            </w:pPr>
          </w:p>
        </w:tc>
        <w:tc>
          <w:tcPr>
            <w:tcW w:w="825" w:type="dxa"/>
            <w:vAlign w:val="center"/>
          </w:tcPr>
          <w:p>
            <w:pPr>
              <w:autoSpaceDE w:val="0"/>
              <w:autoSpaceDN w:val="0"/>
              <w:adjustRightInd w:val="0"/>
              <w:spacing w:line="360" w:lineRule="auto"/>
              <w:ind w:right="71" w:rightChars="34"/>
              <w:rPr>
                <w:rFonts w:ascii="宋体" w:hAnsi="宋体" w:cs="宋体"/>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outlineLvl w:val="1"/>
        <w:rPr>
          <w:rFonts w:asciiTheme="minorEastAsia" w:hAnsiTheme="minorEastAsia" w:eastAsiaTheme="minorEastAsia" w:cstheme="minorEastAsia"/>
          <w:b/>
        </w:rPr>
      </w:pPr>
      <w:bookmarkStart w:id="136" w:name="_Toc30144"/>
      <w:bookmarkStart w:id="137" w:name="_Toc15587"/>
      <w:bookmarkStart w:id="138" w:name="_Toc15789"/>
      <w:bookmarkStart w:id="139" w:name="_Toc479184125"/>
      <w:r>
        <w:rPr>
          <w:rFonts w:hint="eastAsia" w:asciiTheme="minorEastAsia" w:hAnsiTheme="minorEastAsia" w:eastAsiaTheme="minorEastAsia" w:cstheme="minorEastAsia"/>
          <w:b/>
        </w:rPr>
        <w:t>二、磋商书</w:t>
      </w:r>
      <w:bookmarkEnd w:id="136"/>
      <w:bookmarkEnd w:id="137"/>
      <w:bookmarkEnd w:id="138"/>
      <w:bookmarkEnd w:id="139"/>
    </w:p>
    <w:p>
      <w:pPr>
        <w:pStyle w:val="20"/>
        <w:rPr>
          <w:rFonts w:asciiTheme="minorEastAsia" w:hAnsiTheme="minorEastAsia" w:eastAsiaTheme="minorEastAsia" w:cstheme="minorEastAsia"/>
          <w:b/>
          <w:szCs w:val="21"/>
        </w:rPr>
      </w:pP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包服务的磋商邀请，我方代表（姓名、职务）经正式授权并代表供应商（供应商的名称、地址）提交下述文件正本一份，副本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7"/>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7"/>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7"/>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8"/>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8"/>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8"/>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8"/>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9"/>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rPr>
          <w:rFonts w:asciiTheme="minorEastAsia" w:hAnsiTheme="minorEastAsia" w:eastAsiaTheme="minorEastAsia" w:cstheme="minorEastAsia"/>
          <w:kern w:val="0"/>
          <w:szCs w:val="21"/>
        </w:rPr>
      </w:pP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outlineLvl w:val="1"/>
        <w:rPr>
          <w:rFonts w:asciiTheme="minorEastAsia" w:hAnsiTheme="minorEastAsia" w:eastAsiaTheme="minorEastAsia" w:cstheme="minorEastAsia"/>
          <w:b/>
        </w:rPr>
      </w:pPr>
      <w:bookmarkStart w:id="140" w:name="_Toc5345"/>
      <w:bookmarkStart w:id="141" w:name="_Toc479184126"/>
      <w:bookmarkStart w:id="142" w:name="_Toc24205"/>
      <w:bookmarkStart w:id="143" w:name="_Toc139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40"/>
      <w:bookmarkEnd w:id="141"/>
      <w:bookmarkEnd w:id="142"/>
      <w:bookmarkEnd w:id="143"/>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rPr>
          <w:rFonts w:asciiTheme="minorEastAsia" w:hAnsiTheme="minorEastAsia" w:eastAsiaTheme="minorEastAsia" w:cstheme="minorEastAsia"/>
          <w:kern w:val="0"/>
          <w:szCs w:val="21"/>
        </w:rPr>
      </w:pP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rPr>
          <w:rFonts w:asciiTheme="minorEastAsia" w:hAnsiTheme="minorEastAsia" w:eastAsiaTheme="minorEastAsia" w:cstheme="minorEastAsia"/>
          <w:kern w:val="0"/>
          <w:szCs w:val="21"/>
        </w:rPr>
      </w:pP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pPr>
            <w:r>
              <w:rPr>
                <w:rFonts w:hint="eastAsia"/>
              </w:rPr>
              <w:t>授权代表身份证正反面（真彩扫描件）：</w:t>
            </w:r>
          </w:p>
          <w:p>
            <w:pPr>
              <w:autoSpaceDE w:val="0"/>
              <w:autoSpaceDN w:val="0"/>
              <w:adjustRightInd w:val="0"/>
              <w:spacing w:line="360" w:lineRule="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bookmarkStart w:id="144" w:name="_Toc432149008"/>
      <w:bookmarkStart w:id="145" w:name="_Toc360120184"/>
      <w:bookmarkStart w:id="146" w:name="_Toc12123"/>
      <w:bookmarkStart w:id="147" w:name="_Toc479184127"/>
      <w:bookmarkStart w:id="148" w:name="_Toc29904"/>
      <w:bookmarkStart w:id="149" w:name="_Toc424832832"/>
      <w:bookmarkStart w:id="150" w:name="_Toc30245"/>
      <w:bookmarkStart w:id="151" w:name="_Toc12932"/>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四、</w:t>
      </w:r>
      <w:r>
        <w:rPr>
          <w:rFonts w:hint="eastAsia" w:asciiTheme="minorEastAsia" w:hAnsiTheme="minorEastAsia" w:eastAsiaTheme="minorEastAsia" w:cstheme="minorEastAsia"/>
          <w:b/>
          <w:bCs/>
          <w:szCs w:val="21"/>
        </w:rPr>
        <w:t>法定代表人身份证明书</w:t>
      </w:r>
      <w:bookmarkEnd w:id="144"/>
      <w:bookmarkEnd w:id="145"/>
      <w:bookmarkEnd w:id="146"/>
      <w:bookmarkEnd w:id="147"/>
      <w:bookmarkEnd w:id="148"/>
      <w:bookmarkEnd w:id="149"/>
      <w:bookmarkEnd w:id="150"/>
      <w:bookmarkEnd w:id="151"/>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bookmarkStart w:id="152" w:name="_Toc432149006"/>
      <w:bookmarkStart w:id="153" w:name="_Toc422466732"/>
      <w:r>
        <w:rPr>
          <w:rFonts w:hint="eastAsia" w:asciiTheme="minorEastAsia" w:hAnsiTheme="minorEastAsia" w:eastAsiaTheme="minorEastAsia" w:cstheme="minorEastAsia"/>
          <w:b/>
          <w:bCs/>
          <w:sz w:val="24"/>
        </w:rPr>
        <w:br w:type="page"/>
      </w:r>
      <w:bookmarkStart w:id="154" w:name="_Toc479184128"/>
      <w:bookmarkStart w:id="155" w:name="_Toc4741"/>
      <w:bookmarkStart w:id="156" w:name="_Toc4301"/>
      <w:bookmarkStart w:id="157" w:name="_Toc32759"/>
      <w:r>
        <w:rPr>
          <w:rFonts w:hint="eastAsia" w:asciiTheme="minorEastAsia" w:hAnsiTheme="minorEastAsia" w:eastAsiaTheme="minorEastAsia" w:cstheme="minorEastAsia"/>
          <w:b/>
          <w:bCs/>
          <w:szCs w:val="21"/>
        </w:rPr>
        <w:t>五、报价一览表</w:t>
      </w:r>
      <w:bookmarkEnd w:id="152"/>
      <w:bookmarkEnd w:id="153"/>
      <w:bookmarkEnd w:id="154"/>
      <w:bookmarkEnd w:id="155"/>
      <w:bookmarkEnd w:id="156"/>
      <w:bookmarkEnd w:id="157"/>
    </w:p>
    <w:p>
      <w:pPr>
        <w:adjustRightInd w:val="0"/>
        <w:snapToGrid w:val="0"/>
        <w:ind w:left="-88" w:leftChars="-42"/>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改造经费总报价</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r>
              <w:rPr>
                <w:rFonts w:hint="eastAsia"/>
              </w:rPr>
              <w:t xml:space="preserve">大写：      </w:t>
            </w:r>
            <w:r>
              <w:rPr>
                <w:rFonts w:hint="eastAsia"/>
              </w:rPr>
              <w:br w:type="textWrapping"/>
            </w:r>
            <w:r>
              <w:rPr>
                <w:rFonts w:hint="eastAsia"/>
              </w:rPr>
              <w:t>小写：</w:t>
            </w:r>
            <w:r>
              <w:rPr>
                <w:rFonts w:hint="eastAsia"/>
                <w:u w:val="single"/>
              </w:rPr>
              <w:t xml:space="preserve">      </w:t>
            </w:r>
            <w:r>
              <w:rPr>
                <w:rFonts w:hint="eastAsia"/>
              </w:rPr>
              <w:t>万</w:t>
            </w:r>
            <w:r>
              <w:rPr>
                <w:rFonts w:hint="eastAsia" w:asciiTheme="minorEastAsia" w:hAnsiTheme="minorEastAsia" w:eastAsiaTheme="minorEastAsia" w:cstheme="minorEastAsia"/>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有；      </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如有优惠声明，</w:t>
            </w:r>
            <w:r>
              <w:rPr>
                <w:rFonts w:asciiTheme="minorEastAsia" w:hAnsiTheme="minorEastAsia" w:eastAsiaTheme="minorEastAsia" w:cstheme="minorEastAsia"/>
                <w:szCs w:val="21"/>
              </w:rPr>
              <w:t>优惠声明</w:t>
            </w:r>
            <w:r>
              <w:rPr>
                <w:rFonts w:hint="eastAsia" w:asciiTheme="minorEastAsia" w:hAnsiTheme="minorEastAsia" w:eastAsiaTheme="minorEastAsia" w:cstheme="minorEastAsia"/>
                <w:szCs w:val="21"/>
              </w:rPr>
              <w:t>后的价格必须与竞标报价一致。</w:t>
            </w:r>
          </w:p>
        </w:tc>
      </w:tr>
    </w:tbl>
    <w:p>
      <w:pPr>
        <w:adjustRightInd w:val="0"/>
        <w:snapToGrid w:val="0"/>
        <w:ind w:left="-88" w:leftChars="-42"/>
        <w:rPr>
          <w:rFonts w:asciiTheme="minorEastAsia" w:hAnsiTheme="minorEastAsia" w:eastAsiaTheme="minorEastAsia" w:cstheme="minorEastAsia"/>
          <w:b/>
          <w:bCs/>
          <w:sz w:val="32"/>
          <w:szCs w:val="32"/>
        </w:rPr>
      </w:pPr>
    </w:p>
    <w:p>
      <w:pPr>
        <w:adjustRightInd w:val="0"/>
        <w:snapToGrid w:val="0"/>
        <w:ind w:left="-88" w:leftChars="-42"/>
        <w:rPr>
          <w:rFonts w:asciiTheme="minorEastAsia" w:hAnsiTheme="minorEastAsia" w:eastAsiaTheme="minorEastAsia" w:cstheme="minorEastAsia"/>
          <w:b/>
          <w:bCs/>
          <w:sz w:val="32"/>
          <w:szCs w:val="32"/>
        </w:rPr>
      </w:pPr>
    </w:p>
    <w:p>
      <w:pPr>
        <w:adjustRightInd w:val="0"/>
        <w:snapToGrid w:val="0"/>
        <w:ind w:left="-88" w:leftChars="-42"/>
        <w:rPr>
          <w:rFonts w:asciiTheme="minorEastAsia" w:hAnsiTheme="minorEastAsia" w:eastAsiaTheme="minorEastAsia" w:cstheme="minorEastAsia"/>
          <w:b/>
          <w:bCs/>
          <w:sz w:val="32"/>
          <w:szCs w:val="32"/>
        </w:rPr>
      </w:pPr>
    </w:p>
    <w:p>
      <w:pPr>
        <w:adjustRightInd w:val="0"/>
        <w:snapToGrid w:val="0"/>
        <w:ind w:left="-88" w:leftChars="-42"/>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基本伙食和教职工供餐楼层报价</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r>
              <w:rPr>
                <w:rFonts w:hint="eastAsia"/>
              </w:rPr>
              <w:t>营业额的</w:t>
            </w:r>
            <w:r>
              <w:rPr>
                <w:rFonts w:hint="eastAsia"/>
                <w:u w:val="single"/>
              </w:rPr>
              <w:t xml:space="preserve"> </w:t>
            </w:r>
            <w:r>
              <w:rPr>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有；      </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如有优惠声明，</w:t>
            </w:r>
            <w:r>
              <w:rPr>
                <w:rFonts w:asciiTheme="minorEastAsia" w:hAnsiTheme="minorEastAsia" w:eastAsiaTheme="minorEastAsia" w:cstheme="minorEastAsia"/>
                <w:szCs w:val="21"/>
              </w:rPr>
              <w:t>优惠声明</w:t>
            </w:r>
            <w:r>
              <w:rPr>
                <w:rFonts w:hint="eastAsia" w:asciiTheme="minorEastAsia" w:hAnsiTheme="minorEastAsia" w:eastAsiaTheme="minorEastAsia" w:cstheme="minorEastAsia"/>
                <w:szCs w:val="21"/>
              </w:rPr>
              <w:t>后的价格必须与竞标报价一致。</w:t>
            </w:r>
          </w:p>
        </w:tc>
      </w:tr>
    </w:tbl>
    <w:p>
      <w:pPr>
        <w:spacing w:line="360" w:lineRule="auto"/>
        <w:rPr>
          <w:rFonts w:asciiTheme="minorEastAsia" w:hAnsiTheme="minorEastAsia" w:eastAsiaTheme="minorEastAsia" w:cstheme="minorEastAsia"/>
          <w:szCs w:val="21"/>
        </w:rPr>
      </w:pPr>
    </w:p>
    <w:p>
      <w:pP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br w:type="page"/>
      </w:r>
    </w:p>
    <w:p>
      <w:pPr>
        <w:adjustRightInd w:val="0"/>
        <w:snapToGrid w:val="0"/>
        <w:ind w:left="-88" w:leftChars="-42"/>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负一楼超市和其他楼层总报价</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r>
              <w:rPr>
                <w:rFonts w:hint="eastAsia"/>
              </w:rPr>
              <w:t xml:space="preserve">大写：      </w:t>
            </w:r>
            <w:r>
              <w:rPr>
                <w:rFonts w:hint="eastAsia"/>
              </w:rPr>
              <w:br w:type="textWrapping"/>
            </w:r>
            <w:r>
              <w:rPr>
                <w:rFonts w:hint="eastAsia"/>
              </w:rPr>
              <w:t>小写：</w:t>
            </w:r>
            <w:r>
              <w:rPr>
                <w:rFonts w:hint="eastAsia"/>
                <w:u w:val="single"/>
              </w:rPr>
              <w:t xml:space="preserve">      </w:t>
            </w:r>
            <w:r>
              <w:rPr>
                <w:rFonts w:hint="eastAsia"/>
              </w:rPr>
              <w:t>万</w:t>
            </w:r>
            <w:r>
              <w:rPr>
                <w:rFonts w:hint="eastAsia" w:asciiTheme="minorEastAsia" w:hAnsiTheme="minorEastAsia" w:eastAsiaTheme="minorEastAsia" w:cstheme="minorEastAsia"/>
              </w:rPr>
              <w:t>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有；      </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如有优惠声明，</w:t>
            </w:r>
            <w:r>
              <w:rPr>
                <w:rFonts w:asciiTheme="minorEastAsia" w:hAnsiTheme="minorEastAsia" w:eastAsiaTheme="minorEastAsia" w:cstheme="minorEastAsia"/>
                <w:szCs w:val="21"/>
              </w:rPr>
              <w:t>优惠声明</w:t>
            </w:r>
            <w:r>
              <w:rPr>
                <w:rFonts w:hint="eastAsia" w:asciiTheme="minorEastAsia" w:hAnsiTheme="minorEastAsia" w:eastAsiaTheme="minorEastAsia" w:cstheme="minorEastAsia"/>
                <w:szCs w:val="21"/>
              </w:rPr>
              <w:t>后的价格必须与竞标报价一致。</w:t>
            </w:r>
          </w:p>
        </w:tc>
      </w:tr>
    </w:tbl>
    <w:p>
      <w:pPr>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bookmarkStart w:id="158" w:name="_Toc460258117"/>
      <w:bookmarkStart w:id="159" w:name="_Toc259028723"/>
      <w:bookmarkStart w:id="160" w:name="_Toc424832831"/>
      <w:bookmarkStart w:id="161" w:name="_Toc432149007"/>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人民币报价,且须精确到小数点后两位。</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
      <w:pPr>
        <w:rPr>
          <w:rFonts w:asciiTheme="minorEastAsia" w:hAnsiTheme="minorEastAsia" w:eastAsiaTheme="minorEastAsia" w:cstheme="minorEastAsia"/>
          <w:szCs w:val="21"/>
        </w:rPr>
      </w:pPr>
      <w:bookmarkStart w:id="162" w:name="_Toc479184129"/>
      <w:bookmarkStart w:id="163" w:name="_Toc1079"/>
      <w:bookmarkStart w:id="164" w:name="_Toc18559"/>
      <w:bookmarkStart w:id="165" w:name="_Toc7929"/>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b/>
          <w:bCs/>
          <w:sz w:val="24"/>
        </w:rPr>
        <w:br w:type="page"/>
      </w:r>
    </w:p>
    <w:p>
      <w:pPr>
        <w:tabs>
          <w:tab w:val="left" w:pos="540"/>
        </w:tabs>
        <w:autoSpaceDE w:val="0"/>
        <w:autoSpaceDN w:val="0"/>
        <w:adjustRightInd w:val="0"/>
        <w:spacing w:line="360" w:lineRule="auto"/>
        <w:outlineLvl w:val="1"/>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b/>
          <w:bCs/>
          <w:szCs w:val="21"/>
        </w:rPr>
        <w:t>六、</w:t>
      </w:r>
      <w:bookmarkEnd w:id="158"/>
      <w:bookmarkEnd w:id="159"/>
      <w:bookmarkEnd w:id="162"/>
      <w:bookmarkEnd w:id="163"/>
      <w:bookmarkEnd w:id="164"/>
      <w:r>
        <w:rPr>
          <w:rFonts w:hint="eastAsia" w:asciiTheme="minorEastAsia" w:hAnsiTheme="minorEastAsia" w:eastAsiaTheme="minorEastAsia" w:cstheme="minorEastAsia"/>
          <w:b/>
          <w:bCs/>
          <w:szCs w:val="21"/>
        </w:rPr>
        <w:t>报价费用构成表</w:t>
      </w:r>
      <w:bookmarkEnd w:id="165"/>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936"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118"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248"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110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rPr>
                <w:rFonts w:asciiTheme="minorEastAsia" w:hAnsiTheme="minorEastAsia" w:eastAsiaTheme="minorEastAsia" w:cstheme="minorEastAsia"/>
                <w:szCs w:val="21"/>
              </w:rPr>
            </w:pP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rPr>
                <w:rFonts w:asciiTheme="minorEastAsia" w:hAnsiTheme="minorEastAsia" w:eastAsiaTheme="minorEastAsia" w:cstheme="minorEastAsia"/>
                <w:szCs w:val="21"/>
              </w:rPr>
            </w:pPr>
          </w:p>
        </w:tc>
        <w:tc>
          <w:tcPr>
            <w:tcW w:w="1118" w:type="dxa"/>
            <w:vAlign w:val="center"/>
          </w:tcPr>
          <w:p>
            <w:pPr>
              <w:adjustRightInd w:val="0"/>
              <w:snapToGrid w:val="0"/>
              <w:rPr>
                <w:rFonts w:asciiTheme="minorEastAsia" w:hAnsiTheme="minorEastAsia" w:eastAsiaTheme="minorEastAsia" w:cstheme="minorEastAsia"/>
                <w:szCs w:val="21"/>
              </w:rPr>
            </w:pP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rPr>
                <w:rFonts w:asciiTheme="minorEastAsia" w:hAnsiTheme="minorEastAsia" w:eastAsiaTheme="minorEastAsia" w:cstheme="minorEastAsia"/>
                <w:szCs w:val="21"/>
              </w:rPr>
            </w:pPr>
          </w:p>
        </w:tc>
        <w:tc>
          <w:tcPr>
            <w:tcW w:w="1109" w:type="dxa"/>
            <w:vAlign w:val="center"/>
          </w:tcPr>
          <w:p>
            <w:pPr>
              <w:adjustRightInd w:val="0"/>
              <w:snapToGrid w:val="0"/>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0"/>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cstheme="minorEastAsia"/>
          <w:szCs w:val="21"/>
        </w:rPr>
        <w:t>且需</w:t>
      </w:r>
      <w:r>
        <w:rPr>
          <w:rFonts w:hint="eastAsia" w:asciiTheme="minorEastAsia" w:hAnsiTheme="minorEastAsia" w:eastAsiaTheme="minorEastAsia" w:cstheme="minorEastAsia"/>
          <w:szCs w:val="21"/>
        </w:rPr>
        <w:t>精确到小数点后两位。</w:t>
      </w:r>
    </w:p>
    <w:p>
      <w:pPr>
        <w:numPr>
          <w:ilvl w:val="0"/>
          <w:numId w:val="40"/>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0"/>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6" w:name="_Toc26825"/>
      <w:bookmarkStart w:id="167" w:name="_Toc28656"/>
      <w:bookmarkStart w:id="168" w:name="_Toc479184130"/>
      <w:bookmarkStart w:id="169" w:name="_Toc31886"/>
      <w:r>
        <w:rPr>
          <w:rFonts w:hint="eastAsia" w:asciiTheme="minorEastAsia" w:hAnsiTheme="minorEastAsia" w:eastAsiaTheme="minorEastAsia" w:cstheme="minorEastAsia"/>
          <w:b/>
          <w:bCs/>
          <w:szCs w:val="21"/>
        </w:rPr>
        <w:t>七、耗材清单</w:t>
      </w:r>
      <w:bookmarkEnd w:id="166"/>
      <w:bookmarkEnd w:id="167"/>
      <w:bookmarkEnd w:id="168"/>
      <w:r>
        <w:rPr>
          <w:rFonts w:hint="eastAsia" w:asciiTheme="minorEastAsia" w:hAnsiTheme="minorEastAsia" w:eastAsiaTheme="minorEastAsia" w:cstheme="minorEastAsia"/>
          <w:b/>
          <w:bCs/>
          <w:szCs w:val="21"/>
        </w:rPr>
        <w:t>（如有）</w:t>
      </w:r>
      <w:bookmarkEnd w:id="169"/>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kern w:val="0"/>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rPr>
          <w:rFonts w:asciiTheme="minorEastAsia" w:hAnsiTheme="minorEastAsia" w:eastAsiaTheme="minorEastAsia" w:cstheme="minorEastAsia"/>
          <w:szCs w:val="21"/>
        </w:rPr>
      </w:pPr>
    </w:p>
    <w:p/>
    <w:p>
      <w:pPr>
        <w:tabs>
          <w:tab w:val="left" w:pos="540"/>
        </w:tabs>
        <w:autoSpaceDE w:val="0"/>
        <w:autoSpaceDN w:val="0"/>
        <w:adjustRightInd w:val="0"/>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0" w:name="_Toc7535"/>
      <w:bookmarkStart w:id="171" w:name="_Toc479184131"/>
      <w:bookmarkStart w:id="172" w:name="_Toc32726"/>
      <w:bookmarkStart w:id="173" w:name="_Toc496"/>
      <w:r>
        <w:rPr>
          <w:rFonts w:hint="eastAsia" w:asciiTheme="minorEastAsia" w:hAnsiTheme="minorEastAsia" w:eastAsiaTheme="minorEastAsia" w:cstheme="minorEastAsia"/>
          <w:b/>
          <w:bCs/>
          <w:szCs w:val="21"/>
        </w:rPr>
        <w:t>八、拟投入设备/备件、工具情况</w:t>
      </w:r>
      <w:bookmarkEnd w:id="170"/>
      <w:bookmarkEnd w:id="171"/>
      <w:bookmarkEnd w:id="172"/>
      <w:r>
        <w:rPr>
          <w:rFonts w:hint="eastAsia" w:asciiTheme="minorEastAsia" w:hAnsiTheme="minorEastAsia" w:eastAsiaTheme="minorEastAsia" w:cstheme="minorEastAsia"/>
          <w:b/>
          <w:bCs/>
          <w:szCs w:val="21"/>
        </w:rPr>
        <w:t>（如有）</w:t>
      </w:r>
      <w:bookmarkEnd w:id="173"/>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kern w:val="0"/>
                <w:szCs w:val="21"/>
              </w:rPr>
            </w:pPr>
          </w:p>
        </w:tc>
        <w:tc>
          <w:tcPr>
            <w:tcW w:w="1512" w:type="dxa"/>
          </w:tcPr>
          <w:p>
            <w:pPr>
              <w:widowControl/>
              <w:rPr>
                <w:rFonts w:asciiTheme="minorEastAsia" w:hAnsiTheme="minorEastAsia" w:eastAsiaTheme="minorEastAsia" w:cstheme="minorEastAsia"/>
                <w:szCs w:val="21"/>
              </w:rPr>
            </w:pPr>
          </w:p>
        </w:tc>
        <w:tc>
          <w:tcPr>
            <w:tcW w:w="1513" w:type="dxa"/>
          </w:tcPr>
          <w:p>
            <w:pPr>
              <w:widowControl/>
              <w:rPr>
                <w:rFonts w:asciiTheme="minorEastAsia" w:hAnsiTheme="minorEastAsia" w:eastAsiaTheme="minorEastAsia" w:cstheme="minorEastAsia"/>
                <w:szCs w:val="21"/>
              </w:rPr>
            </w:pPr>
          </w:p>
        </w:tc>
        <w:tc>
          <w:tcPr>
            <w:tcW w:w="709" w:type="dxa"/>
            <w:vAlign w:val="center"/>
          </w:tcPr>
          <w:p>
            <w:pPr>
              <w:widowControl/>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rPr>
                <w:rFonts w:asciiTheme="minorEastAsia" w:hAnsiTheme="minorEastAsia" w:eastAsiaTheme="minorEastAsia" w:cstheme="minorEastAsia"/>
                <w:szCs w:val="21"/>
              </w:rPr>
            </w:pPr>
          </w:p>
        </w:tc>
        <w:tc>
          <w:tcPr>
            <w:tcW w:w="1512" w:type="dxa"/>
            <w:vAlign w:val="center"/>
          </w:tcPr>
          <w:p>
            <w:pPr>
              <w:widowControl/>
              <w:rPr>
                <w:rFonts w:asciiTheme="minorEastAsia" w:hAnsiTheme="minorEastAsia" w:eastAsiaTheme="minorEastAsia" w:cstheme="minorEastAsia"/>
                <w:szCs w:val="21"/>
              </w:rPr>
            </w:pPr>
          </w:p>
        </w:tc>
        <w:tc>
          <w:tcPr>
            <w:tcW w:w="1512" w:type="dxa"/>
          </w:tcPr>
          <w:p>
            <w:pPr>
              <w:rPr>
                <w:rFonts w:asciiTheme="minorEastAsia" w:hAnsiTheme="minorEastAsia" w:eastAsiaTheme="minorEastAsia" w:cstheme="minorEastAsia"/>
                <w:szCs w:val="21"/>
              </w:rPr>
            </w:pPr>
          </w:p>
        </w:tc>
        <w:tc>
          <w:tcPr>
            <w:tcW w:w="1513" w:type="dxa"/>
          </w:tcPr>
          <w:p>
            <w:pPr>
              <w:rPr>
                <w:rFonts w:asciiTheme="minorEastAsia" w:hAnsiTheme="minorEastAsia" w:eastAsiaTheme="minorEastAsia" w:cstheme="minorEastAsia"/>
                <w:szCs w:val="21"/>
              </w:rPr>
            </w:pPr>
          </w:p>
        </w:tc>
        <w:tc>
          <w:tcPr>
            <w:tcW w:w="709" w:type="dxa"/>
            <w:vAlign w:val="center"/>
          </w:tcPr>
          <w:p>
            <w:pPr>
              <w:rPr>
                <w:rFonts w:asciiTheme="minorEastAsia" w:hAnsiTheme="minorEastAsia" w:eastAsiaTheme="minorEastAsia" w:cstheme="minorEastAsia"/>
                <w:szCs w:val="21"/>
              </w:rPr>
            </w:pPr>
          </w:p>
        </w:tc>
        <w:tc>
          <w:tcPr>
            <w:tcW w:w="958" w:type="dxa"/>
            <w:vAlign w:val="center"/>
          </w:tcPr>
          <w:p>
            <w:pPr>
              <w:widowControl/>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4" w:name="_Toc27053"/>
      <w:bookmarkStart w:id="175" w:name="_Toc479184132"/>
      <w:bookmarkStart w:id="176" w:name="_Toc10449"/>
      <w:bookmarkStart w:id="177" w:name="_Toc450827818"/>
      <w:bookmarkStart w:id="178" w:name="_Toc28058"/>
      <w:r>
        <w:rPr>
          <w:rFonts w:hint="eastAsia" w:asciiTheme="minorEastAsia" w:hAnsiTheme="minorEastAsia" w:eastAsiaTheme="minorEastAsia" w:cstheme="minorEastAsia"/>
          <w:b/>
          <w:bCs/>
          <w:szCs w:val="21"/>
        </w:rPr>
        <w:t>九、缴纳保证金的银行凭证</w:t>
      </w:r>
      <w:bookmarkEnd w:id="174"/>
      <w:bookmarkEnd w:id="175"/>
      <w:bookmarkEnd w:id="176"/>
      <w:bookmarkEnd w:id="177"/>
      <w:r>
        <w:rPr>
          <w:rFonts w:hint="eastAsia" w:asciiTheme="minorEastAsia" w:hAnsiTheme="minorEastAsia" w:eastAsiaTheme="minorEastAsia" w:cstheme="minorEastAsia"/>
          <w:b/>
          <w:bCs/>
          <w:szCs w:val="21"/>
        </w:rPr>
        <w:t>（如有）</w:t>
      </w:r>
      <w:bookmarkEnd w:id="178"/>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0"/>
    <w:bookmarkEnd w:id="161"/>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9" w:name="_Toc1591"/>
      <w:bookmarkStart w:id="180" w:name="_Toc28200"/>
      <w:bookmarkStart w:id="181" w:name="_Toc479184133"/>
      <w:bookmarkStart w:id="182" w:name="_Toc432149012"/>
      <w:bookmarkStart w:id="183" w:name="_Toc422466736"/>
      <w:bookmarkStart w:id="184" w:name="_Toc29850"/>
      <w:r>
        <w:rPr>
          <w:rFonts w:hint="eastAsia" w:asciiTheme="minorEastAsia" w:hAnsiTheme="minorEastAsia" w:eastAsiaTheme="minorEastAsia" w:cstheme="minorEastAsia"/>
          <w:b/>
          <w:bCs/>
          <w:szCs w:val="21"/>
        </w:rPr>
        <w:t>十、偏离说明表</w:t>
      </w:r>
      <w:bookmarkEnd w:id="179"/>
      <w:bookmarkEnd w:id="180"/>
      <w:bookmarkEnd w:id="181"/>
      <w:bookmarkEnd w:id="182"/>
      <w:bookmarkEnd w:id="183"/>
      <w:bookmarkEnd w:id="184"/>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1"/>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5" w:name="_Toc432149013"/>
      <w:bookmarkStart w:id="186" w:name="_Toc362935521"/>
      <w:bookmarkStart w:id="187" w:name="_Toc479184134"/>
      <w:bookmarkStart w:id="188" w:name="_Toc28283"/>
      <w:bookmarkStart w:id="189" w:name="_Toc32060"/>
      <w:bookmarkStart w:id="190" w:name="_Toc2385"/>
      <w:r>
        <w:rPr>
          <w:rFonts w:hint="eastAsia" w:asciiTheme="minorEastAsia" w:hAnsiTheme="minorEastAsia" w:eastAsiaTheme="minorEastAsia" w:cstheme="minorEastAsia"/>
          <w:b/>
          <w:kern w:val="0"/>
          <w:szCs w:val="21"/>
        </w:rPr>
        <w:t>十一、</w:t>
      </w:r>
      <w:r>
        <w:rPr>
          <w:rFonts w:hint="eastAsia" w:asciiTheme="minorEastAsia" w:hAnsiTheme="minorEastAsia" w:eastAsiaTheme="minorEastAsia" w:cstheme="minorEastAsia"/>
          <w:b/>
          <w:bCs/>
          <w:szCs w:val="21"/>
        </w:rPr>
        <w:t>类似业绩一览表</w:t>
      </w:r>
      <w:bookmarkEnd w:id="185"/>
      <w:bookmarkEnd w:id="186"/>
      <w:bookmarkEnd w:id="187"/>
      <w:bookmarkEnd w:id="188"/>
      <w:bookmarkEnd w:id="189"/>
      <w:r>
        <w:rPr>
          <w:rFonts w:hint="eastAsia" w:asciiTheme="minorEastAsia" w:hAnsiTheme="minorEastAsia" w:eastAsiaTheme="minorEastAsia" w:cstheme="minorEastAsia"/>
          <w:b/>
          <w:bCs/>
          <w:szCs w:val="21"/>
        </w:rPr>
        <w:br w:type="textWrapping"/>
      </w:r>
      <w:bookmarkEnd w:id="19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422"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824"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345"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646"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42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91" w:name="_Toc454806053"/>
      <w:bookmarkStart w:id="192"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3" w:name="_Toc4834"/>
      <w:bookmarkStart w:id="194" w:name="_Toc30455"/>
      <w:bookmarkStart w:id="195" w:name="_Toc479184135"/>
      <w:bookmarkStart w:id="196" w:name="_Toc30460"/>
      <w:r>
        <w:rPr>
          <w:rFonts w:hint="eastAsia" w:asciiTheme="minorEastAsia" w:hAnsiTheme="minorEastAsia" w:eastAsiaTheme="minorEastAsia" w:cstheme="minorEastAsia"/>
          <w:b/>
          <w:bCs/>
          <w:szCs w:val="21"/>
        </w:rPr>
        <w:t>十二、拟投入项目组人员一览表</w:t>
      </w:r>
      <w:bookmarkEnd w:id="191"/>
      <w:bookmarkEnd w:id="192"/>
      <w:bookmarkEnd w:id="193"/>
      <w:bookmarkEnd w:id="194"/>
      <w:bookmarkEnd w:id="195"/>
      <w:bookmarkEnd w:id="19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7" w:name="_Toc10429"/>
      <w:bookmarkStart w:id="198" w:name="_Toc26838"/>
      <w:bookmarkStart w:id="199" w:name="_Toc28603"/>
      <w:bookmarkStart w:id="200" w:name="_Toc422466737"/>
      <w:bookmarkStart w:id="201" w:name="_Toc479184136"/>
      <w:bookmarkStart w:id="202" w:name="_Toc432149014"/>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供应商的资格声明</w:t>
      </w:r>
      <w:bookmarkEnd w:id="197"/>
      <w:bookmarkEnd w:id="198"/>
      <w:bookmarkEnd w:id="199"/>
      <w:bookmarkEnd w:id="200"/>
      <w:bookmarkEnd w:id="201"/>
      <w:bookmarkEnd w:id="20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rPr>
                <w:rFonts w:asciiTheme="minorEastAsia" w:hAnsiTheme="minorEastAsia" w:eastAsiaTheme="minorEastAsia" w:cstheme="minorEastAsia"/>
                <w:szCs w:val="21"/>
              </w:rPr>
            </w:pPr>
          </w:p>
        </w:tc>
        <w:tc>
          <w:tcPr>
            <w:tcW w:w="1737" w:type="dxa"/>
            <w:vAlign w:val="center"/>
          </w:tcPr>
          <w:p>
            <w:pPr>
              <w:spacing w:line="360" w:lineRule="auto"/>
              <w:rPr>
                <w:rFonts w:asciiTheme="minorEastAsia" w:hAnsiTheme="minorEastAsia" w:eastAsiaTheme="minorEastAsia" w:cstheme="minorEastAsia"/>
                <w:szCs w:val="21"/>
              </w:rPr>
            </w:pPr>
          </w:p>
        </w:tc>
        <w:tc>
          <w:tcPr>
            <w:tcW w:w="2269" w:type="dxa"/>
            <w:vAlign w:val="center"/>
          </w:tcPr>
          <w:p>
            <w:pPr>
              <w:spacing w:line="360" w:lineRule="auto"/>
              <w:rPr>
                <w:rFonts w:asciiTheme="minorEastAsia" w:hAnsiTheme="minorEastAsia" w:eastAsiaTheme="minorEastAsia" w:cstheme="minorEastAsia"/>
                <w:szCs w:val="21"/>
              </w:rPr>
            </w:pPr>
          </w:p>
        </w:tc>
        <w:tc>
          <w:tcPr>
            <w:tcW w:w="2268" w:type="dxa"/>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rPr>
                <w:rFonts w:asciiTheme="minorEastAsia" w:hAnsiTheme="minorEastAsia" w:eastAsiaTheme="minorEastAsia" w:cstheme="minorEastAsia"/>
                <w:szCs w:val="21"/>
              </w:rPr>
            </w:pPr>
          </w:p>
        </w:tc>
        <w:tc>
          <w:tcPr>
            <w:tcW w:w="1737" w:type="dxa"/>
            <w:vAlign w:val="center"/>
          </w:tcPr>
          <w:p>
            <w:pPr>
              <w:spacing w:line="360" w:lineRule="auto"/>
              <w:rPr>
                <w:rFonts w:asciiTheme="minorEastAsia" w:hAnsiTheme="minorEastAsia" w:eastAsiaTheme="minorEastAsia" w:cstheme="minorEastAsia"/>
                <w:szCs w:val="21"/>
              </w:rPr>
            </w:pPr>
          </w:p>
        </w:tc>
        <w:tc>
          <w:tcPr>
            <w:tcW w:w="2269" w:type="dxa"/>
            <w:vAlign w:val="center"/>
          </w:tcPr>
          <w:p>
            <w:pPr>
              <w:spacing w:line="360" w:lineRule="auto"/>
              <w:rPr>
                <w:rFonts w:asciiTheme="minorEastAsia" w:hAnsiTheme="minorEastAsia" w:eastAsiaTheme="minorEastAsia" w:cstheme="minorEastAsia"/>
                <w:szCs w:val="21"/>
              </w:rPr>
            </w:pPr>
          </w:p>
        </w:tc>
        <w:tc>
          <w:tcPr>
            <w:tcW w:w="2268" w:type="dxa"/>
            <w:vAlign w:val="center"/>
          </w:tcPr>
          <w:p>
            <w:pPr>
              <w:spacing w:line="360" w:lineRule="auto"/>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3" w:name="_Toc17331"/>
      <w:bookmarkStart w:id="204" w:name="_Toc450827823"/>
      <w:bookmarkStart w:id="205" w:name="_Toc259028731"/>
      <w:bookmarkStart w:id="206" w:name="_Toc17527"/>
      <w:bookmarkStart w:id="207" w:name="_Toc479184137"/>
      <w:bookmarkStart w:id="208" w:name="_Toc12458"/>
      <w:r>
        <w:rPr>
          <w:rFonts w:hint="eastAsia" w:asciiTheme="minorEastAsia" w:hAnsiTheme="minorEastAsia" w:eastAsiaTheme="minorEastAsia" w:cstheme="minorEastAsia"/>
          <w:b/>
          <w:bCs/>
          <w:kern w:val="0"/>
          <w:szCs w:val="21"/>
        </w:rPr>
        <w:t>十四、</w:t>
      </w:r>
      <w:r>
        <w:rPr>
          <w:rFonts w:hint="eastAsia" w:asciiTheme="minorEastAsia" w:hAnsiTheme="minorEastAsia" w:eastAsiaTheme="minorEastAsia" w:cstheme="minorEastAsia"/>
          <w:b/>
          <w:bCs/>
          <w:szCs w:val="21"/>
        </w:rPr>
        <w:t>资格证明文件</w:t>
      </w:r>
      <w:bookmarkEnd w:id="203"/>
      <w:bookmarkEnd w:id="204"/>
      <w:bookmarkEnd w:id="205"/>
      <w:bookmarkEnd w:id="206"/>
      <w:bookmarkEnd w:id="207"/>
      <w:bookmarkEnd w:id="20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rPr>
          <w:rFonts w:asciiTheme="minorEastAsia" w:hAnsiTheme="minorEastAsia" w:eastAsiaTheme="minorEastAsia" w:cstheme="minorEastAsia"/>
          <w:szCs w:val="21"/>
        </w:rPr>
      </w:pPr>
    </w:p>
    <w:p>
      <w:pPr>
        <w:spacing w:line="360" w:lineRule="auto"/>
        <w:ind w:left="168" w:leftChars="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outlineLvl w:val="1"/>
        <w:rPr>
          <w:rFonts w:asciiTheme="minorEastAsia" w:hAnsiTheme="minorEastAsia" w:eastAsiaTheme="minorEastAsia" w:cstheme="minorEastAsia"/>
          <w:b/>
          <w:bCs/>
          <w:szCs w:val="21"/>
        </w:rPr>
      </w:pPr>
      <w:bookmarkStart w:id="209" w:name="_Toc23306"/>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0" w:name="_Toc32187"/>
      <w:bookmarkStart w:id="211" w:name="_Toc358447587"/>
      <w:bookmarkStart w:id="212" w:name="_Toc18555"/>
      <w:bookmarkStart w:id="213" w:name="_Toc5793"/>
      <w:bookmarkStart w:id="214" w:name="_Toc364868916"/>
      <w:bookmarkStart w:id="215" w:name="_Toc427239751"/>
      <w:bookmarkStart w:id="216" w:name="_Toc290207179"/>
      <w:r>
        <w:rPr>
          <w:rFonts w:hint="eastAsia" w:asciiTheme="minorEastAsia" w:hAnsiTheme="minorEastAsia" w:eastAsiaTheme="minorEastAsia" w:cstheme="minorEastAsia"/>
          <w:b/>
          <w:bCs/>
          <w:kern w:val="0"/>
          <w:szCs w:val="21"/>
        </w:rPr>
        <w:t>十五、</w:t>
      </w:r>
      <w:bookmarkEnd w:id="210"/>
      <w:bookmarkEnd w:id="211"/>
      <w:bookmarkEnd w:id="212"/>
      <w:bookmarkEnd w:id="213"/>
      <w:bookmarkEnd w:id="214"/>
      <w:bookmarkEnd w:id="215"/>
      <w:bookmarkEnd w:id="216"/>
      <w:bookmarkStart w:id="217" w:name="_Toc27229"/>
      <w:bookmarkStart w:id="218" w:name="_Toc29785"/>
      <w:bookmarkStart w:id="219" w:name="_Toc479184138"/>
      <w:bookmarkStart w:id="220" w:name="_Toc460258123"/>
      <w:r>
        <w:rPr>
          <w:rFonts w:hint="eastAsia" w:asciiTheme="minorEastAsia" w:hAnsiTheme="minorEastAsia" w:eastAsiaTheme="minorEastAsia" w:cstheme="minorEastAsia"/>
          <w:b/>
        </w:rPr>
        <w:t>报价技术文件</w:t>
      </w:r>
      <w:bookmarkEnd w:id="209"/>
      <w:bookmarkEnd w:id="217"/>
      <w:bookmarkEnd w:id="218"/>
      <w:bookmarkEnd w:id="219"/>
      <w:bookmarkEnd w:id="220"/>
    </w:p>
    <w:p>
      <w:pPr>
        <w:rPr>
          <w:rFonts w:asciiTheme="minorEastAsia" w:hAnsiTheme="minorEastAsia" w:eastAsiaTheme="minorEastAsia" w:cstheme="minorEastAsia"/>
          <w:szCs w:val="21"/>
        </w:rPr>
      </w:pPr>
    </w:p>
    <w:p>
      <w:pPr>
        <w:pStyle w:val="97"/>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2"/>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1" w:name="_Toc479184140"/>
      <w:bookmarkStart w:id="222" w:name="_Toc8098"/>
      <w:bookmarkStart w:id="223" w:name="_Toc2101"/>
      <w:bookmarkStart w:id="224" w:name="_Toc356836516"/>
      <w:bookmarkStart w:id="225" w:name="_Toc432149016"/>
      <w:bookmarkStart w:id="226" w:name="_Toc22465"/>
      <w:bookmarkStart w:id="227" w:name="_Toc12119"/>
      <w:bookmarkStart w:id="228" w:name="_Toc355802499"/>
      <w:bookmarkStart w:id="229" w:name="_Toc422466739"/>
      <w:bookmarkStart w:id="230" w:name="_Toc2132"/>
      <w:r>
        <w:rPr>
          <w:rFonts w:hint="eastAsia" w:asciiTheme="minorEastAsia" w:hAnsiTheme="minorEastAsia" w:eastAsiaTheme="minorEastAsia" w:cstheme="minorEastAsia"/>
          <w:b/>
        </w:rPr>
        <w:t>十六、</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lang w:val="zh-CN"/>
        </w:rPr>
        <w:t>中小企业声明函（工程、服务）（若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0"/>
    </w:p>
    <w:p>
      <w:pPr>
        <w:spacing w:line="360" w:lineRule="auto"/>
        <w:rPr>
          <w:rFonts w:ascii="宋体" w:hAnsi="宋体" w:cs="宋体"/>
          <w:szCs w:val="21"/>
        </w:rPr>
      </w:pPr>
      <w:r>
        <w:rPr>
          <w:rFonts w:hint="eastAsia" w:asciiTheme="minorEastAsia" w:hAnsiTheme="minorEastAsia" w:eastAsiaTheme="minorEastAsia" w:cstheme="minorEastAsia"/>
          <w:spacing w:val="6"/>
          <w:szCs w:val="21"/>
        </w:rPr>
        <w:t xml:space="preserve"> </w:t>
      </w:r>
      <w:r>
        <w:rPr>
          <w:rFonts w:ascii="宋体" w:hAnsi="宋体" w:cs="宋体"/>
          <w:szCs w:val="21"/>
        </w:rPr>
        <w:t>中小企业声明函（</w:t>
      </w:r>
      <w:r>
        <w:rPr>
          <w:rFonts w:hint="eastAsia" w:ascii="宋体" w:hAnsi="宋体" w:cs="宋体"/>
          <w:szCs w:val="21"/>
        </w:rPr>
        <w:t>工程、服务</w:t>
      </w:r>
      <w:r>
        <w:rPr>
          <w:rFonts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 xml:space="preserve">          </w:t>
      </w:r>
      <w:r>
        <w:rPr>
          <w:rFonts w:ascii="宋体" w:hAnsi="宋体" w:cs="宋体"/>
          <w:szCs w:val="21"/>
          <w:u w:val="single"/>
        </w:rPr>
        <w:t>（单位名称）</w:t>
      </w:r>
      <w:r>
        <w:rPr>
          <w:rFonts w:ascii="宋体" w:hAnsi="宋体" w:cs="宋体"/>
          <w:szCs w:val="21"/>
        </w:rPr>
        <w:t>的</w:t>
      </w:r>
      <w:r>
        <w:rPr>
          <w:rFonts w:hint="eastAsia" w:ascii="宋体" w:hAnsi="宋体" w:cs="宋体"/>
          <w:szCs w:val="21"/>
          <w:u w:val="single"/>
        </w:rPr>
        <w:t xml:space="preserve">          </w:t>
      </w:r>
      <w:r>
        <w:rPr>
          <w:rFonts w:ascii="宋体" w:hAnsi="宋体" w:cs="宋体"/>
          <w:szCs w:val="21"/>
          <w:u w:val="single"/>
        </w:rPr>
        <w:t>（项目名称）</w:t>
      </w:r>
      <w:r>
        <w:rPr>
          <w:rFonts w:ascii="宋体" w:hAnsi="宋体" w:cs="宋体"/>
          <w:szCs w:val="21"/>
        </w:rPr>
        <w:t>采购活动，</w:t>
      </w:r>
      <w:r>
        <w:rPr>
          <w:rFonts w:hint="eastAsia" w:ascii="宋体" w:hAnsi="宋体" w:cs="宋体"/>
          <w:szCs w:val="21"/>
        </w:rPr>
        <w:t>工程的施工单位全部为符合政策要求的中小企业（或者：服务全部由符合政策要求的中小企业承接）。相关企业（含联合体中的中小企业、签订分包意向协议的中小企业）的具体情况如下：</w:t>
      </w:r>
      <w:r>
        <w:rPr>
          <w:rFonts w:ascii="宋体" w:hAnsi="宋体" w:cs="宋体"/>
          <w:szCs w:val="21"/>
        </w:rPr>
        <w:br w:type="textWrapping"/>
      </w:r>
      <w:r>
        <w:rPr>
          <w:rFonts w:hint="eastAsia" w:ascii="宋体" w:hAnsi="宋体" w:cs="宋体"/>
          <w:szCs w:val="21"/>
        </w:rPr>
        <w:t xml:space="preserve">    </w:t>
      </w:r>
      <w:r>
        <w:rPr>
          <w:rFonts w:ascii="宋体" w:hAnsi="宋体" w:cs="宋体"/>
          <w:szCs w:val="21"/>
        </w:rPr>
        <w:t xml:space="preserve">1. </w:t>
      </w:r>
      <w:r>
        <w:rPr>
          <w:rFonts w:hint="eastAsia" w:ascii="宋体" w:hAnsi="宋体" w:cs="宋体"/>
          <w:szCs w:val="21"/>
          <w:u w:val="single"/>
        </w:rPr>
        <w:t xml:space="preserve">        </w:t>
      </w:r>
      <w:r>
        <w:rPr>
          <w:rFonts w:ascii="宋体" w:hAnsi="宋体" w:cs="宋体"/>
          <w:szCs w:val="21"/>
          <w:u w:val="single"/>
        </w:rPr>
        <w:t>（标的名称）</w:t>
      </w:r>
      <w:r>
        <w:rPr>
          <w:rFonts w:ascii="宋体" w:hAnsi="宋体" w:cs="宋体"/>
          <w:szCs w:val="21"/>
        </w:rPr>
        <w:t xml:space="preserve"> ，属于</w:t>
      </w:r>
      <w:r>
        <w:rPr>
          <w:rFonts w:hint="eastAsia" w:ascii="宋体" w:hAnsi="宋体" w:cs="宋体"/>
          <w:szCs w:val="21"/>
          <w:u w:val="single"/>
        </w:rPr>
        <w:t xml:space="preserve">               </w:t>
      </w:r>
      <w:r>
        <w:rPr>
          <w:rFonts w:ascii="宋体" w:hAnsi="宋体" w:cs="宋体"/>
          <w:szCs w:val="21"/>
          <w:u w:val="single"/>
        </w:rPr>
        <w:t>（采购文件中明确的所属行业）</w:t>
      </w:r>
      <w:r>
        <w:rPr>
          <w:rFonts w:ascii="宋体" w:hAnsi="宋体" w:cs="宋体"/>
          <w:szCs w:val="21"/>
        </w:rPr>
        <w:t xml:space="preserve"> 行业；</w:t>
      </w:r>
      <w:r>
        <w:rPr>
          <w:rFonts w:hint="eastAsia" w:ascii="宋体" w:hAnsi="宋体" w:cs="宋体"/>
          <w:szCs w:val="21"/>
        </w:rPr>
        <w:t>承建（承接）企业为</w:t>
      </w:r>
      <w:r>
        <w:rPr>
          <w:rFonts w:hint="eastAsia" w:ascii="宋体" w:hAnsi="宋体" w:cs="宋体"/>
          <w:szCs w:val="21"/>
          <w:u w:val="single"/>
        </w:rPr>
        <w:t xml:space="preserve">     </w:t>
      </w:r>
      <w:r>
        <w:rPr>
          <w:rFonts w:ascii="宋体" w:hAnsi="宋体" w:cs="宋体"/>
          <w:szCs w:val="21"/>
          <w:u w:val="single"/>
        </w:rPr>
        <w:t>（企业名称）</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万元，属于</w:t>
      </w:r>
      <w:r>
        <w:rPr>
          <w:rFonts w:ascii="宋体" w:hAnsi="宋体" w:cs="宋体"/>
          <w:szCs w:val="21"/>
          <w:u w:val="single"/>
        </w:rPr>
        <w:t>（中型企业、小型企业、微型企业）；</w:t>
      </w:r>
      <w:r>
        <w:rPr>
          <w:rFonts w:ascii="宋体" w:hAnsi="宋体" w:cs="宋体"/>
          <w:szCs w:val="21"/>
        </w:rPr>
        <w:t xml:space="preserve"> </w:t>
      </w:r>
      <w:r>
        <w:rPr>
          <w:rFonts w:ascii="宋体" w:hAnsi="宋体" w:cs="宋体"/>
          <w:szCs w:val="21"/>
        </w:rPr>
        <w:br w:type="textWrapping"/>
      </w:r>
      <w:r>
        <w:rPr>
          <w:rFonts w:hint="eastAsia" w:ascii="宋体" w:hAnsi="宋体" w:cs="宋体"/>
          <w:szCs w:val="21"/>
        </w:rPr>
        <w:t xml:space="preserve">    </w:t>
      </w:r>
      <w:r>
        <w:rPr>
          <w:rFonts w:ascii="宋体" w:hAnsi="宋体" w:cs="宋体"/>
          <w:szCs w:val="21"/>
        </w:rPr>
        <w:t xml:space="preserve">2. </w:t>
      </w:r>
      <w:r>
        <w:rPr>
          <w:rFonts w:hint="eastAsia" w:ascii="宋体" w:hAnsi="宋体" w:cs="宋体"/>
          <w:szCs w:val="21"/>
          <w:u w:val="single"/>
        </w:rPr>
        <w:t xml:space="preserve">        </w:t>
      </w:r>
      <w:r>
        <w:rPr>
          <w:rFonts w:ascii="宋体" w:hAnsi="宋体" w:cs="宋体"/>
          <w:szCs w:val="21"/>
          <w:u w:val="single"/>
        </w:rPr>
        <w:t>（标的名称）</w:t>
      </w:r>
      <w:r>
        <w:rPr>
          <w:rFonts w:ascii="宋体" w:hAnsi="宋体" w:cs="宋体"/>
          <w:szCs w:val="21"/>
        </w:rPr>
        <w:t xml:space="preserve"> ，属于</w:t>
      </w:r>
      <w:r>
        <w:rPr>
          <w:rFonts w:hint="eastAsia" w:ascii="宋体" w:hAnsi="宋体" w:cs="宋体"/>
          <w:szCs w:val="21"/>
          <w:u w:val="single"/>
        </w:rPr>
        <w:t xml:space="preserve">               </w:t>
      </w:r>
      <w:r>
        <w:rPr>
          <w:rFonts w:ascii="宋体" w:hAnsi="宋体" w:cs="宋体"/>
          <w:szCs w:val="21"/>
          <w:u w:val="single"/>
        </w:rPr>
        <w:t>（采购文件中明确的所属行业）</w:t>
      </w:r>
      <w:r>
        <w:rPr>
          <w:rFonts w:ascii="宋体" w:hAnsi="宋体" w:cs="宋体"/>
          <w:szCs w:val="21"/>
        </w:rPr>
        <w:t>行业；</w:t>
      </w:r>
      <w:r>
        <w:rPr>
          <w:rFonts w:hint="eastAsia" w:ascii="宋体" w:hAnsi="宋体" w:cs="宋体"/>
          <w:szCs w:val="21"/>
        </w:rPr>
        <w:t>承建（承接）企业为</w:t>
      </w:r>
      <w:r>
        <w:rPr>
          <w:rFonts w:hint="eastAsia" w:ascii="宋体" w:hAnsi="宋体" w:cs="宋体"/>
          <w:szCs w:val="21"/>
          <w:u w:val="single"/>
        </w:rPr>
        <w:t xml:space="preserve">     </w:t>
      </w:r>
      <w:r>
        <w:rPr>
          <w:rFonts w:ascii="宋体" w:hAnsi="宋体" w:cs="宋体"/>
          <w:szCs w:val="21"/>
          <w:u w:val="single"/>
        </w:rPr>
        <w:t>（企业名称）</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万元，属于</w:t>
      </w:r>
      <w:r>
        <w:rPr>
          <w:rFonts w:ascii="宋体" w:hAnsi="宋体" w:cs="宋体"/>
          <w:szCs w:val="21"/>
          <w:u w:val="single"/>
        </w:rPr>
        <w:t>（中型企业、小型企业、微型企业）</w:t>
      </w:r>
      <w:r>
        <w:rPr>
          <w:rFonts w:ascii="宋体" w:hAnsi="宋体" w:cs="宋体"/>
          <w:szCs w:val="21"/>
        </w:rPr>
        <w:t xml:space="preserve">； </w:t>
      </w:r>
      <w:r>
        <w:rPr>
          <w:rFonts w:ascii="宋体" w:hAnsi="宋体" w:cs="宋体"/>
          <w:szCs w:val="21"/>
        </w:rPr>
        <w:br w:type="textWrapping"/>
      </w:r>
      <w:r>
        <w:rPr>
          <w:rFonts w:hint="eastAsia" w:ascii="宋体" w:hAnsi="宋体" w:cs="宋体"/>
          <w:szCs w:val="21"/>
        </w:rPr>
        <w:t xml:space="preserve">    </w:t>
      </w:r>
      <w:r>
        <w:rPr>
          <w:rFonts w:ascii="宋体" w:hAnsi="宋体" w:cs="宋体"/>
          <w:szCs w:val="21"/>
        </w:rPr>
        <w:t xml:space="preserve">…… </w:t>
      </w:r>
      <w:r>
        <w:rPr>
          <w:rFonts w:ascii="宋体" w:hAnsi="宋体" w:cs="宋体"/>
          <w:szCs w:val="21"/>
        </w:rPr>
        <w:br w:type="textWrapping"/>
      </w:r>
      <w:r>
        <w:rPr>
          <w:rFonts w:hint="eastAsia" w:ascii="宋体" w:hAnsi="宋体" w:cs="宋体"/>
          <w:szCs w:val="21"/>
        </w:rPr>
        <w:t xml:space="preserve">    </w:t>
      </w:r>
      <w:r>
        <w:rPr>
          <w:rFonts w:ascii="宋体" w:hAnsi="宋体" w:cs="宋体"/>
          <w:szCs w:val="21"/>
        </w:rPr>
        <w:t xml:space="preserve">以上企业，不属于大企业的分支机构，不存在控股股东为大企业的情形，也不存在与大企业的负责人为同一人的情形。 </w:t>
      </w:r>
      <w:r>
        <w:rPr>
          <w:rFonts w:ascii="宋体" w:hAnsi="宋体" w:cs="宋体"/>
          <w:szCs w:val="21"/>
        </w:rPr>
        <w:br w:type="textWrapping"/>
      </w:r>
      <w:r>
        <w:rPr>
          <w:rFonts w:hint="eastAsia" w:ascii="宋体" w:hAnsi="宋体" w:cs="宋体"/>
          <w:szCs w:val="21"/>
        </w:rPr>
        <w:t xml:space="preserve">    </w:t>
      </w:r>
      <w:r>
        <w:rPr>
          <w:rFonts w:ascii="宋体" w:hAnsi="宋体" w:cs="宋体"/>
          <w:szCs w:val="21"/>
        </w:rPr>
        <w:t xml:space="preserve">本企业对上述声明内容的真实性负责。如有虚假，将依法承担相应责任。 </w:t>
      </w:r>
    </w:p>
    <w:p>
      <w:pPr>
        <w:spacing w:line="360" w:lineRule="auto"/>
        <w:ind w:firstLine="6930" w:firstLineChars="3300"/>
        <w:rPr>
          <w:rFonts w:ascii="宋体" w:hAnsi="宋体" w:cs="宋体"/>
          <w:szCs w:val="21"/>
        </w:rPr>
      </w:pPr>
      <w:r>
        <w:rPr>
          <w:rFonts w:ascii="宋体" w:hAnsi="宋体" w:cs="宋体"/>
          <w:szCs w:val="21"/>
        </w:rPr>
        <w:t xml:space="preserve">企业名称（盖章）： </w:t>
      </w:r>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420" w:firstLineChars="200"/>
        <w:rPr>
          <w:szCs w:val="21"/>
        </w:rPr>
      </w:pPr>
      <w:r>
        <w:rPr>
          <w:rFonts w:ascii="宋体" w:hAnsi="宋体" w:cs="宋体"/>
          <w:szCs w:val="21"/>
        </w:rPr>
        <w:t>从业人员、营业收入、资产总额填报上一年度数据，无上一年度数据的新成立企业可不填报。</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bookmarkEnd w:id="131"/>
    <w:bookmarkEnd w:id="132"/>
    <w:bookmarkEnd w:id="133"/>
    <w:bookmarkEnd w:id="134"/>
    <w:p>
      <w:pPr>
        <w:adjustRightInd w:val="0"/>
        <w:snapToGrid w:val="0"/>
        <w:outlineLvl w:val="1"/>
        <w:rPr>
          <w:rFonts w:asciiTheme="minorEastAsia" w:hAnsiTheme="minorEastAsia" w:eastAsiaTheme="minorEastAsia" w:cstheme="minorEastAsia"/>
          <w:b/>
        </w:rPr>
      </w:pPr>
      <w:bookmarkStart w:id="231" w:name="_Toc24422"/>
      <w:bookmarkStart w:id="232" w:name="_Toc30406"/>
      <w:bookmarkStart w:id="233" w:name="_Toc7229"/>
      <w:bookmarkStart w:id="234" w:name="_Toc4320"/>
      <w:bookmarkStart w:id="235" w:name="_Toc476839034"/>
      <w:bookmarkStart w:id="236" w:name="_Toc479184141"/>
      <w:r>
        <w:rPr>
          <w:rFonts w:hint="eastAsia" w:asciiTheme="minorEastAsia" w:hAnsiTheme="minorEastAsia" w:eastAsiaTheme="minorEastAsia" w:cstheme="minorEastAsia"/>
          <w:b/>
          <w:bCs/>
          <w:spacing w:val="6"/>
          <w:szCs w:val="21"/>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1"/>
    </w:p>
    <w:p>
      <w:pPr>
        <w:adjustRightInd w:val="0"/>
        <w:snapToGrid w:val="0"/>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outlineLvl w:val="1"/>
        <w:rPr>
          <w:rFonts w:asciiTheme="minorEastAsia" w:hAnsiTheme="minorEastAsia" w:eastAsiaTheme="minorEastAsia" w:cstheme="minorEastAsia"/>
          <w:b/>
          <w:lang w:val="zh-CN"/>
        </w:rPr>
      </w:pPr>
      <w:bookmarkStart w:id="237" w:name="_Toc20693"/>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十八、</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7"/>
    </w:p>
    <w:p>
      <w:pPr>
        <w:pStyle w:val="14"/>
        <w:spacing w:line="360" w:lineRule="auto"/>
        <w:ind w:firstLine="415" w:firstLineChars="198"/>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3"/>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outlineLvl w:val="1"/>
        <w:rPr>
          <w:rFonts w:asciiTheme="minorEastAsia" w:hAnsiTheme="minorEastAsia" w:eastAsiaTheme="minorEastAsia" w:cstheme="minorEastAsia"/>
          <w:bCs/>
          <w:szCs w:val="21"/>
          <w:u w:val="single"/>
        </w:rPr>
      </w:pPr>
      <w:bookmarkStart w:id="238" w:name="_Toc7751"/>
      <w:r>
        <w:rPr>
          <w:rFonts w:hint="eastAsia" w:asciiTheme="minorEastAsia" w:hAnsiTheme="minorEastAsia" w:eastAsiaTheme="minorEastAsia" w:cstheme="minorEastAsia"/>
          <w:b/>
        </w:rPr>
        <w:t>十九、节能环保产品证明材料（若符合）</w:t>
      </w:r>
      <w:bookmarkEnd w:id="238"/>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rPr>
                <w:rFonts w:asciiTheme="minorEastAsia" w:hAnsiTheme="minorEastAsia" w:eastAsiaTheme="minorEastAsia" w:cstheme="minorEastAsia"/>
                <w:szCs w:val="21"/>
              </w:rPr>
            </w:pPr>
          </w:p>
        </w:tc>
      </w:tr>
    </w:tbl>
    <w:p>
      <w:pPr>
        <w:spacing w:before="100" w:beforeAutospacing="1" w:after="100"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outlineLvl w:val="1"/>
        <w:rPr>
          <w:rFonts w:asciiTheme="minorEastAsia" w:hAnsiTheme="minorEastAsia" w:eastAsiaTheme="minorEastAsia" w:cstheme="minorEastAsia"/>
          <w:b/>
        </w:rPr>
      </w:pPr>
      <w:bookmarkStart w:id="239" w:name="_Toc32676"/>
      <w:r>
        <w:rPr>
          <w:rFonts w:hint="eastAsia" w:asciiTheme="minorEastAsia" w:hAnsiTheme="minorEastAsia" w:eastAsiaTheme="minorEastAsia" w:cstheme="minorEastAsia"/>
          <w:b/>
          <w:bCs/>
          <w:spacing w:val="6"/>
          <w:szCs w:val="21"/>
        </w:rPr>
        <w:t>二十、</w:t>
      </w:r>
      <w:r>
        <w:rPr>
          <w:rFonts w:hint="eastAsia" w:asciiTheme="minorEastAsia" w:hAnsiTheme="minorEastAsia" w:eastAsiaTheme="minorEastAsia" w:cstheme="minorEastAsia"/>
          <w:b/>
        </w:rPr>
        <w:t>无重大违法记录声明</w:t>
      </w:r>
      <w:bookmarkEnd w:id="232"/>
      <w:bookmarkEnd w:id="233"/>
      <w:bookmarkEnd w:id="234"/>
      <w:bookmarkEnd w:id="235"/>
      <w:bookmarkEnd w:id="236"/>
      <w:bookmarkEnd w:id="239"/>
    </w:p>
    <w:p>
      <w:pPr>
        <w:spacing w:line="480" w:lineRule="auto"/>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4.不良经济纠纷记录和违法行为。</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ind w:firstLine="420" w:firstLineChars="200"/>
        <w:outlineLvl w:val="1"/>
        <w:rPr>
          <w:rFonts w:asciiTheme="minorEastAsia" w:hAnsiTheme="minorEastAsia" w:eastAsiaTheme="minorEastAsia" w:cstheme="minorEastAsia"/>
          <w:b/>
          <w:bCs/>
          <w:spacing w:val="6"/>
          <w:szCs w:val="21"/>
        </w:rPr>
        <w:sectPr>
          <w:footerReference r:id="rId7" w:type="default"/>
          <w:type w:val="continuous"/>
          <w:pgSz w:w="11906" w:h="16838"/>
          <w:pgMar w:top="1417" w:right="1417" w:bottom="1417" w:left="1417" w:header="851" w:footer="992" w:gutter="0"/>
          <w:cols w:space="720" w:num="1"/>
          <w:docGrid w:type="lines" w:linePitch="312" w:charSpace="0"/>
        </w:sectPr>
      </w:pPr>
      <w:bookmarkStart w:id="240" w:name="_Toc5812"/>
      <w:bookmarkStart w:id="241" w:name="_Toc12707"/>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rPr>
        <w:t>二十一、磋商供应商认为应该提交的其它文件（格式自拟）</w:t>
      </w:r>
      <w:bookmarkEnd w:id="240"/>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bookmarkEnd w:id="241"/>
    </w:p>
    <w:tbl>
      <w:tblPr>
        <w:tblStyle w:val="26"/>
        <w:tblW w:w="5484" w:type="pct"/>
        <w:tblInd w:w="-466" w:type="dxa"/>
        <w:tblLayout w:type="fixed"/>
        <w:tblCellMar>
          <w:top w:w="0" w:type="dxa"/>
          <w:left w:w="0" w:type="dxa"/>
          <w:bottom w:w="0" w:type="dxa"/>
          <w:right w:w="0" w:type="dxa"/>
        </w:tblCellMar>
      </w:tblPr>
      <w:tblGrid>
        <w:gridCol w:w="1163"/>
        <w:gridCol w:w="662"/>
        <w:gridCol w:w="760"/>
        <w:gridCol w:w="819"/>
        <w:gridCol w:w="665"/>
        <w:gridCol w:w="783"/>
        <w:gridCol w:w="783"/>
        <w:gridCol w:w="657"/>
        <w:gridCol w:w="767"/>
        <w:gridCol w:w="747"/>
        <w:gridCol w:w="793"/>
        <w:gridCol w:w="685"/>
        <w:gridCol w:w="699"/>
      </w:tblGrid>
      <w:tr>
        <w:tblPrEx>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黑体" w:hAnsi="宋体" w:eastAsia="黑体" w:cs="黑体"/>
                <w:b/>
                <w:sz w:val="40"/>
                <w:szCs w:val="40"/>
              </w:rPr>
            </w:pPr>
            <w:r>
              <w:rPr>
                <w:rFonts w:hint="eastAsia" w:ascii="黑体" w:hAnsi="宋体" w:eastAsia="黑体" w:cs="黑体"/>
                <w:b/>
                <w:kern w:val="0"/>
                <w:sz w:val="40"/>
                <w:szCs w:val="40"/>
                <w:lang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中小微型企业（</w:t>
            </w:r>
            <w:r>
              <w:rPr>
                <w:rFonts w:hint="eastAsia" w:ascii="宋体" w:hAnsi="宋体" w:cs="宋体"/>
                <w:b/>
                <w:kern w:val="0"/>
                <w:szCs w:val="21"/>
                <w:lang w:bidi="ar"/>
              </w:rPr>
              <w:t>或</w:t>
            </w:r>
            <w:r>
              <w:rPr>
                <w:rFonts w:hint="eastAsia" w:ascii="宋体" w:hAnsi="宋体" w:cs="宋体"/>
                <w:kern w:val="0"/>
                <w:szCs w:val="21"/>
                <w:lang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中型企业（</w:t>
            </w:r>
            <w:r>
              <w:rPr>
                <w:rFonts w:hint="eastAsia" w:ascii="宋体" w:hAnsi="宋体" w:cs="宋体"/>
                <w:b/>
                <w:kern w:val="0"/>
                <w:szCs w:val="21"/>
                <w:lang w:bidi="ar"/>
              </w:rPr>
              <w:t>且</w:t>
            </w:r>
            <w:r>
              <w:rPr>
                <w:rFonts w:hint="eastAsia" w:ascii="宋体" w:hAnsi="宋体" w:cs="宋体"/>
                <w:kern w:val="0"/>
                <w:szCs w:val="21"/>
                <w:lang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小型企业（</w:t>
            </w:r>
            <w:r>
              <w:rPr>
                <w:rFonts w:hint="eastAsia" w:ascii="宋体" w:hAnsi="宋体" w:cs="宋体"/>
                <w:b/>
                <w:kern w:val="0"/>
                <w:szCs w:val="21"/>
                <w:lang w:bidi="ar"/>
              </w:rPr>
              <w:t>且</w:t>
            </w:r>
            <w:r>
              <w:rPr>
                <w:rFonts w:hint="eastAsia" w:ascii="宋体" w:hAnsi="宋体" w:cs="宋体"/>
                <w:kern w:val="0"/>
                <w:szCs w:val="21"/>
                <w:lang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微型企业（</w:t>
            </w:r>
            <w:r>
              <w:rPr>
                <w:rFonts w:hint="eastAsia" w:ascii="宋体" w:hAnsi="宋体" w:cs="宋体"/>
                <w:b/>
                <w:kern w:val="0"/>
                <w:szCs w:val="21"/>
                <w:lang w:bidi="ar"/>
              </w:rPr>
              <w:t>或</w:t>
            </w:r>
            <w:r>
              <w:rPr>
                <w:rFonts w:hint="eastAsia" w:ascii="宋体" w:hAnsi="宋体" w:cs="宋体"/>
                <w:kern w:val="0"/>
                <w:szCs w:val="21"/>
                <w:lang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Cs w:val="21"/>
              </w:rPr>
            </w:pPr>
            <w:r>
              <w:rPr>
                <w:rFonts w:hint="eastAsia" w:ascii="宋体" w:hAnsi="宋体" w:cs="宋体"/>
                <w:kern w:val="0"/>
                <w:szCs w:val="21"/>
                <w:lang w:bidi="ar"/>
              </w:rPr>
              <w:t>本规定适用于在中华人民共和国境内依法设立的各类所有制和各种组织形式的企业。</w:t>
            </w:r>
            <w:r>
              <w:rPr>
                <w:rFonts w:hint="eastAsia" w:ascii="宋体" w:hAnsi="宋体" w:cs="宋体"/>
                <w:b/>
                <w:kern w:val="0"/>
                <w:szCs w:val="21"/>
                <w:lang w:bidi="ar"/>
              </w:rPr>
              <w:t>个体工商户</w:t>
            </w:r>
            <w:r>
              <w:rPr>
                <w:rFonts w:hint="eastAsia" w:ascii="宋体" w:hAnsi="宋体" w:cs="宋体"/>
                <w:kern w:val="0"/>
                <w:szCs w:val="21"/>
                <w:lang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Cs w:val="21"/>
              </w:rPr>
            </w:pPr>
            <w:r>
              <w:rPr>
                <w:rFonts w:hint="eastAsia" w:ascii="宋体" w:hAnsi="宋体" w:cs="宋体"/>
                <w:kern w:val="0"/>
                <w:szCs w:val="21"/>
                <w:lang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pStyle w:val="4"/>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5</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44F5BAD"/>
    <w:multiLevelType w:val="singleLevel"/>
    <w:tmpl w:val="044F5BAD"/>
    <w:lvl w:ilvl="0" w:tentative="0">
      <w:start w:val="1"/>
      <w:numFmt w:val="decimal"/>
      <w:suff w:val="nothing"/>
      <w:lvlText w:val="（%1）"/>
      <w:lvlJc w:val="left"/>
    </w:lvl>
  </w:abstractNum>
  <w:abstractNum w:abstractNumId="3">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6">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20BA2AF0"/>
    <w:multiLevelType w:val="singleLevel"/>
    <w:tmpl w:val="20BA2AF0"/>
    <w:lvl w:ilvl="0" w:tentative="0">
      <w:start w:val="1"/>
      <w:numFmt w:val="decimal"/>
      <w:suff w:val="space"/>
      <w:lvlText w:val="%1）"/>
      <w:lvlJc w:val="left"/>
    </w:lvl>
  </w:abstractNum>
  <w:abstractNum w:abstractNumId="14">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5">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6">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7">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2">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5">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9">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0">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3">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7">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5"/>
  </w:num>
  <w:num w:numId="2">
    <w:abstractNumId w:val="8"/>
  </w:num>
  <w:num w:numId="3">
    <w:abstractNumId w:val="16"/>
  </w:num>
  <w:num w:numId="4">
    <w:abstractNumId w:val="25"/>
  </w:num>
  <w:num w:numId="5">
    <w:abstractNumId w:val="11"/>
  </w:num>
  <w:num w:numId="6">
    <w:abstractNumId w:val="10"/>
  </w:num>
  <w:num w:numId="7">
    <w:abstractNumId w:val="29"/>
  </w:num>
  <w:num w:numId="8">
    <w:abstractNumId w:val="6"/>
  </w:num>
  <w:num w:numId="9">
    <w:abstractNumId w:val="12"/>
  </w:num>
  <w:num w:numId="10">
    <w:abstractNumId w:val="31"/>
  </w:num>
  <w:num w:numId="11">
    <w:abstractNumId w:val="41"/>
  </w:num>
  <w:num w:numId="12">
    <w:abstractNumId w:val="42"/>
  </w:num>
  <w:num w:numId="13">
    <w:abstractNumId w:val="24"/>
  </w:num>
  <w:num w:numId="14">
    <w:abstractNumId w:val="27"/>
  </w:num>
  <w:num w:numId="15">
    <w:abstractNumId w:val="30"/>
  </w:num>
  <w:num w:numId="16">
    <w:abstractNumId w:val="32"/>
  </w:num>
  <w:num w:numId="17">
    <w:abstractNumId w:val="1"/>
  </w:num>
  <w:num w:numId="18">
    <w:abstractNumId w:val="34"/>
  </w:num>
  <w:num w:numId="19">
    <w:abstractNumId w:val="3"/>
  </w:num>
  <w:num w:numId="20">
    <w:abstractNumId w:val="22"/>
  </w:num>
  <w:num w:numId="21">
    <w:abstractNumId w:val="18"/>
  </w:num>
  <w:num w:numId="22">
    <w:abstractNumId w:val="37"/>
  </w:num>
  <w:num w:numId="23">
    <w:abstractNumId w:val="9"/>
  </w:num>
  <w:num w:numId="24">
    <w:abstractNumId w:val="23"/>
  </w:num>
  <w:num w:numId="25">
    <w:abstractNumId w:val="5"/>
  </w:num>
  <w:num w:numId="26">
    <w:abstractNumId w:val="36"/>
  </w:num>
  <w:num w:numId="27">
    <w:abstractNumId w:val="40"/>
  </w:num>
  <w:num w:numId="28">
    <w:abstractNumId w:val="26"/>
  </w:num>
  <w:num w:numId="29">
    <w:abstractNumId w:val="20"/>
  </w:num>
  <w:num w:numId="30">
    <w:abstractNumId w:val="7"/>
  </w:num>
  <w:num w:numId="31">
    <w:abstractNumId w:val="17"/>
  </w:num>
  <w:num w:numId="32">
    <w:abstractNumId w:val="39"/>
  </w:num>
  <w:num w:numId="33">
    <w:abstractNumId w:val="21"/>
  </w:num>
  <w:num w:numId="34">
    <w:abstractNumId w:val="13"/>
  </w:num>
  <w:num w:numId="35">
    <w:abstractNumId w:val="38"/>
  </w:num>
  <w:num w:numId="36">
    <w:abstractNumId w:val="33"/>
  </w:num>
  <w:num w:numId="37">
    <w:abstractNumId w:val="14"/>
  </w:num>
  <w:num w:numId="38">
    <w:abstractNumId w:val="28"/>
  </w:num>
  <w:num w:numId="39">
    <w:abstractNumId w:val="0"/>
  </w:num>
  <w:num w:numId="40">
    <w:abstractNumId w:val="15"/>
  </w:num>
  <w:num w:numId="41">
    <w:abstractNumId w:val="19"/>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6B5"/>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26FF"/>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2B31"/>
    <w:rsid w:val="000A2CE9"/>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16F0"/>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B4F"/>
    <w:rsid w:val="00102DF0"/>
    <w:rsid w:val="00104978"/>
    <w:rsid w:val="00106C1A"/>
    <w:rsid w:val="001074B3"/>
    <w:rsid w:val="0010789F"/>
    <w:rsid w:val="001141C4"/>
    <w:rsid w:val="00114D60"/>
    <w:rsid w:val="001163B1"/>
    <w:rsid w:val="00116C7E"/>
    <w:rsid w:val="00122C7D"/>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14A"/>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6EBA"/>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D39"/>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7791E"/>
    <w:rsid w:val="00280409"/>
    <w:rsid w:val="0028112E"/>
    <w:rsid w:val="00281E10"/>
    <w:rsid w:val="002852EB"/>
    <w:rsid w:val="002861D3"/>
    <w:rsid w:val="00286E34"/>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56E"/>
    <w:rsid w:val="002B4643"/>
    <w:rsid w:val="002B4AA4"/>
    <w:rsid w:val="002B4E54"/>
    <w:rsid w:val="002B58F7"/>
    <w:rsid w:val="002C151B"/>
    <w:rsid w:val="002C1964"/>
    <w:rsid w:val="002C2691"/>
    <w:rsid w:val="002C2825"/>
    <w:rsid w:val="002C41E4"/>
    <w:rsid w:val="002C461D"/>
    <w:rsid w:val="002C4CD2"/>
    <w:rsid w:val="002C553E"/>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E7D17"/>
    <w:rsid w:val="002F04D7"/>
    <w:rsid w:val="002F1CA1"/>
    <w:rsid w:val="002F4524"/>
    <w:rsid w:val="002F4F9A"/>
    <w:rsid w:val="00300A17"/>
    <w:rsid w:val="00300DE8"/>
    <w:rsid w:val="00301075"/>
    <w:rsid w:val="00303733"/>
    <w:rsid w:val="0030426E"/>
    <w:rsid w:val="00304C84"/>
    <w:rsid w:val="00306010"/>
    <w:rsid w:val="003071CA"/>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09E9"/>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A7E12"/>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59FC"/>
    <w:rsid w:val="0045706C"/>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885"/>
    <w:rsid w:val="0059796C"/>
    <w:rsid w:val="005A07C7"/>
    <w:rsid w:val="005A1094"/>
    <w:rsid w:val="005A158B"/>
    <w:rsid w:val="005A18A8"/>
    <w:rsid w:val="005A5010"/>
    <w:rsid w:val="005A66DA"/>
    <w:rsid w:val="005B1331"/>
    <w:rsid w:val="005B34C8"/>
    <w:rsid w:val="005B3A1F"/>
    <w:rsid w:val="005B5A03"/>
    <w:rsid w:val="005B6422"/>
    <w:rsid w:val="005B6680"/>
    <w:rsid w:val="005B674D"/>
    <w:rsid w:val="005C1616"/>
    <w:rsid w:val="005C1B3A"/>
    <w:rsid w:val="005C4110"/>
    <w:rsid w:val="005C4B6B"/>
    <w:rsid w:val="005D08DC"/>
    <w:rsid w:val="005D2929"/>
    <w:rsid w:val="005D4A76"/>
    <w:rsid w:val="005D7313"/>
    <w:rsid w:val="005E02CE"/>
    <w:rsid w:val="005E1654"/>
    <w:rsid w:val="005E1669"/>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17F41"/>
    <w:rsid w:val="0062159F"/>
    <w:rsid w:val="00623215"/>
    <w:rsid w:val="00624015"/>
    <w:rsid w:val="00624ABD"/>
    <w:rsid w:val="006256B1"/>
    <w:rsid w:val="006260DB"/>
    <w:rsid w:val="00626356"/>
    <w:rsid w:val="0062642C"/>
    <w:rsid w:val="00626EA7"/>
    <w:rsid w:val="00634D15"/>
    <w:rsid w:val="006351F3"/>
    <w:rsid w:val="00636117"/>
    <w:rsid w:val="00641745"/>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A5052"/>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0796"/>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42F"/>
    <w:rsid w:val="00746605"/>
    <w:rsid w:val="00747D48"/>
    <w:rsid w:val="00750AD7"/>
    <w:rsid w:val="00752756"/>
    <w:rsid w:val="00753955"/>
    <w:rsid w:val="007540A6"/>
    <w:rsid w:val="00755C30"/>
    <w:rsid w:val="0075697C"/>
    <w:rsid w:val="00756CDD"/>
    <w:rsid w:val="00757482"/>
    <w:rsid w:val="00760970"/>
    <w:rsid w:val="00763507"/>
    <w:rsid w:val="00763B51"/>
    <w:rsid w:val="00763BB1"/>
    <w:rsid w:val="00764E6F"/>
    <w:rsid w:val="00767104"/>
    <w:rsid w:val="007671A0"/>
    <w:rsid w:val="007704EF"/>
    <w:rsid w:val="00770A6C"/>
    <w:rsid w:val="007749F0"/>
    <w:rsid w:val="00775959"/>
    <w:rsid w:val="00776424"/>
    <w:rsid w:val="00776942"/>
    <w:rsid w:val="00777FB3"/>
    <w:rsid w:val="007804D2"/>
    <w:rsid w:val="00780BC2"/>
    <w:rsid w:val="00781507"/>
    <w:rsid w:val="00781ABE"/>
    <w:rsid w:val="007832EF"/>
    <w:rsid w:val="007836C9"/>
    <w:rsid w:val="00785C0A"/>
    <w:rsid w:val="007864D7"/>
    <w:rsid w:val="00791159"/>
    <w:rsid w:val="00791934"/>
    <w:rsid w:val="0079516C"/>
    <w:rsid w:val="00797750"/>
    <w:rsid w:val="007A079C"/>
    <w:rsid w:val="007A123B"/>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D77AC"/>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D42"/>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1370"/>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25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1E09"/>
    <w:rsid w:val="008D2BF3"/>
    <w:rsid w:val="008D5E9E"/>
    <w:rsid w:val="008D61BC"/>
    <w:rsid w:val="008D75BB"/>
    <w:rsid w:val="008E0380"/>
    <w:rsid w:val="008E2D0E"/>
    <w:rsid w:val="008E3209"/>
    <w:rsid w:val="008E413B"/>
    <w:rsid w:val="008E6EBC"/>
    <w:rsid w:val="008F08F6"/>
    <w:rsid w:val="008F0C30"/>
    <w:rsid w:val="008F489B"/>
    <w:rsid w:val="008F499F"/>
    <w:rsid w:val="008F4F52"/>
    <w:rsid w:val="008F51E2"/>
    <w:rsid w:val="008F5B8F"/>
    <w:rsid w:val="008F644C"/>
    <w:rsid w:val="008F7222"/>
    <w:rsid w:val="008F73EC"/>
    <w:rsid w:val="008F7D97"/>
    <w:rsid w:val="008F7DFE"/>
    <w:rsid w:val="00902321"/>
    <w:rsid w:val="00902F8F"/>
    <w:rsid w:val="009034FA"/>
    <w:rsid w:val="00904A42"/>
    <w:rsid w:val="00907076"/>
    <w:rsid w:val="0090769F"/>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49E5"/>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106F"/>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10C0"/>
    <w:rsid w:val="009E282B"/>
    <w:rsid w:val="009E2EED"/>
    <w:rsid w:val="009E42F9"/>
    <w:rsid w:val="009E493A"/>
    <w:rsid w:val="009E5351"/>
    <w:rsid w:val="009E6358"/>
    <w:rsid w:val="009E7F9E"/>
    <w:rsid w:val="009F0273"/>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859"/>
    <w:rsid w:val="00A20CD5"/>
    <w:rsid w:val="00A219B2"/>
    <w:rsid w:val="00A21C3F"/>
    <w:rsid w:val="00A2303A"/>
    <w:rsid w:val="00A23A09"/>
    <w:rsid w:val="00A248D1"/>
    <w:rsid w:val="00A249D9"/>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32D6"/>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3964"/>
    <w:rsid w:val="00B44FCC"/>
    <w:rsid w:val="00B4537B"/>
    <w:rsid w:val="00B479C6"/>
    <w:rsid w:val="00B50799"/>
    <w:rsid w:val="00B50D1C"/>
    <w:rsid w:val="00B527B6"/>
    <w:rsid w:val="00B532B4"/>
    <w:rsid w:val="00B5371E"/>
    <w:rsid w:val="00B568EE"/>
    <w:rsid w:val="00B56F4C"/>
    <w:rsid w:val="00B62002"/>
    <w:rsid w:val="00B6448A"/>
    <w:rsid w:val="00B64578"/>
    <w:rsid w:val="00B65773"/>
    <w:rsid w:val="00B67CB7"/>
    <w:rsid w:val="00B70006"/>
    <w:rsid w:val="00B703A6"/>
    <w:rsid w:val="00B717D9"/>
    <w:rsid w:val="00B72D8D"/>
    <w:rsid w:val="00B73295"/>
    <w:rsid w:val="00B7432A"/>
    <w:rsid w:val="00B75CE4"/>
    <w:rsid w:val="00B82552"/>
    <w:rsid w:val="00B847BC"/>
    <w:rsid w:val="00B872CD"/>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60"/>
    <w:rsid w:val="00BC618C"/>
    <w:rsid w:val="00BC668D"/>
    <w:rsid w:val="00BD0880"/>
    <w:rsid w:val="00BD41A3"/>
    <w:rsid w:val="00BD47E4"/>
    <w:rsid w:val="00BD63CE"/>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406D"/>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280"/>
    <w:rsid w:val="00C21B3A"/>
    <w:rsid w:val="00C22576"/>
    <w:rsid w:val="00C2315C"/>
    <w:rsid w:val="00C240F4"/>
    <w:rsid w:val="00C24558"/>
    <w:rsid w:val="00C245ED"/>
    <w:rsid w:val="00C2619E"/>
    <w:rsid w:val="00C30F01"/>
    <w:rsid w:val="00C30FAA"/>
    <w:rsid w:val="00C310AB"/>
    <w:rsid w:val="00C33951"/>
    <w:rsid w:val="00C35D3B"/>
    <w:rsid w:val="00C402CB"/>
    <w:rsid w:val="00C4054B"/>
    <w:rsid w:val="00C41365"/>
    <w:rsid w:val="00C4455F"/>
    <w:rsid w:val="00C4483D"/>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2979"/>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123"/>
    <w:rsid w:val="00CC78BB"/>
    <w:rsid w:val="00CD2DA3"/>
    <w:rsid w:val="00CD4654"/>
    <w:rsid w:val="00CD6CDB"/>
    <w:rsid w:val="00CE00BF"/>
    <w:rsid w:val="00CE022C"/>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3A6"/>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471C3"/>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6036"/>
    <w:rsid w:val="00D77C2D"/>
    <w:rsid w:val="00D81D88"/>
    <w:rsid w:val="00D8219D"/>
    <w:rsid w:val="00D825A8"/>
    <w:rsid w:val="00D82972"/>
    <w:rsid w:val="00D840C3"/>
    <w:rsid w:val="00D8513D"/>
    <w:rsid w:val="00D85781"/>
    <w:rsid w:val="00D879D3"/>
    <w:rsid w:val="00D87CE2"/>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713"/>
    <w:rsid w:val="00DF6CB9"/>
    <w:rsid w:val="00E00598"/>
    <w:rsid w:val="00E00A1F"/>
    <w:rsid w:val="00E04828"/>
    <w:rsid w:val="00E05138"/>
    <w:rsid w:val="00E06085"/>
    <w:rsid w:val="00E07F13"/>
    <w:rsid w:val="00E10C23"/>
    <w:rsid w:val="00E12CBE"/>
    <w:rsid w:val="00E12F48"/>
    <w:rsid w:val="00E135FC"/>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2777D"/>
    <w:rsid w:val="00E31B9F"/>
    <w:rsid w:val="00E32C81"/>
    <w:rsid w:val="00E3476B"/>
    <w:rsid w:val="00E34992"/>
    <w:rsid w:val="00E34F15"/>
    <w:rsid w:val="00E3719A"/>
    <w:rsid w:val="00E4297C"/>
    <w:rsid w:val="00E43371"/>
    <w:rsid w:val="00E4351C"/>
    <w:rsid w:val="00E46D0A"/>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50D"/>
    <w:rsid w:val="00E7288B"/>
    <w:rsid w:val="00E73F70"/>
    <w:rsid w:val="00E76991"/>
    <w:rsid w:val="00E76CF7"/>
    <w:rsid w:val="00E801B1"/>
    <w:rsid w:val="00E805C4"/>
    <w:rsid w:val="00E8197B"/>
    <w:rsid w:val="00E83105"/>
    <w:rsid w:val="00E85D3B"/>
    <w:rsid w:val="00E87ADE"/>
    <w:rsid w:val="00E90FED"/>
    <w:rsid w:val="00E9230C"/>
    <w:rsid w:val="00E943E1"/>
    <w:rsid w:val="00E95F06"/>
    <w:rsid w:val="00E971DA"/>
    <w:rsid w:val="00EA08D9"/>
    <w:rsid w:val="00EA096A"/>
    <w:rsid w:val="00EA0E26"/>
    <w:rsid w:val="00EA1449"/>
    <w:rsid w:val="00EA1636"/>
    <w:rsid w:val="00EA220B"/>
    <w:rsid w:val="00EA6092"/>
    <w:rsid w:val="00EA7517"/>
    <w:rsid w:val="00EA7BC9"/>
    <w:rsid w:val="00EB103B"/>
    <w:rsid w:val="00EB287E"/>
    <w:rsid w:val="00EB553B"/>
    <w:rsid w:val="00EB593A"/>
    <w:rsid w:val="00EB5BFE"/>
    <w:rsid w:val="00EB7491"/>
    <w:rsid w:val="00EC25B9"/>
    <w:rsid w:val="00EC4122"/>
    <w:rsid w:val="00EC61CE"/>
    <w:rsid w:val="00EC7ECD"/>
    <w:rsid w:val="00ED18AC"/>
    <w:rsid w:val="00ED298B"/>
    <w:rsid w:val="00ED5833"/>
    <w:rsid w:val="00ED59A7"/>
    <w:rsid w:val="00ED670D"/>
    <w:rsid w:val="00EE0C22"/>
    <w:rsid w:val="00EE5FEA"/>
    <w:rsid w:val="00EE7D80"/>
    <w:rsid w:val="00EF024D"/>
    <w:rsid w:val="00EF0400"/>
    <w:rsid w:val="00EF0960"/>
    <w:rsid w:val="00EF2BD1"/>
    <w:rsid w:val="00EF2BEE"/>
    <w:rsid w:val="00EF488E"/>
    <w:rsid w:val="00EF4F43"/>
    <w:rsid w:val="00EF5EB5"/>
    <w:rsid w:val="00EF5FCA"/>
    <w:rsid w:val="00EF605C"/>
    <w:rsid w:val="00EF6536"/>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2A37"/>
    <w:rsid w:val="00F44260"/>
    <w:rsid w:val="00F449B9"/>
    <w:rsid w:val="00F449BD"/>
    <w:rsid w:val="00F507A1"/>
    <w:rsid w:val="00F53FEA"/>
    <w:rsid w:val="00F55C2D"/>
    <w:rsid w:val="00F56FF4"/>
    <w:rsid w:val="00F61558"/>
    <w:rsid w:val="00F62592"/>
    <w:rsid w:val="00F674F6"/>
    <w:rsid w:val="00F67C5A"/>
    <w:rsid w:val="00F73460"/>
    <w:rsid w:val="00F73F5B"/>
    <w:rsid w:val="00F74ADE"/>
    <w:rsid w:val="00F75A0B"/>
    <w:rsid w:val="00F80D96"/>
    <w:rsid w:val="00F81BC8"/>
    <w:rsid w:val="00F81D39"/>
    <w:rsid w:val="00F84475"/>
    <w:rsid w:val="00F84628"/>
    <w:rsid w:val="00F85698"/>
    <w:rsid w:val="00F85CFD"/>
    <w:rsid w:val="00F860CA"/>
    <w:rsid w:val="00F86A96"/>
    <w:rsid w:val="00F8753D"/>
    <w:rsid w:val="00F87816"/>
    <w:rsid w:val="00F9150F"/>
    <w:rsid w:val="00F91DE5"/>
    <w:rsid w:val="00F942E1"/>
    <w:rsid w:val="00F95689"/>
    <w:rsid w:val="00F956B3"/>
    <w:rsid w:val="00F95BCA"/>
    <w:rsid w:val="00F964A8"/>
    <w:rsid w:val="00F96DAF"/>
    <w:rsid w:val="00F972CC"/>
    <w:rsid w:val="00F97F5E"/>
    <w:rsid w:val="00FA056A"/>
    <w:rsid w:val="00FA0573"/>
    <w:rsid w:val="00FA21AC"/>
    <w:rsid w:val="00FA2F6A"/>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0FF47A3"/>
    <w:rsid w:val="010B1330"/>
    <w:rsid w:val="012F2FDA"/>
    <w:rsid w:val="01461ACD"/>
    <w:rsid w:val="018D0205"/>
    <w:rsid w:val="01C12A88"/>
    <w:rsid w:val="01D07706"/>
    <w:rsid w:val="01D97163"/>
    <w:rsid w:val="0221271C"/>
    <w:rsid w:val="02263749"/>
    <w:rsid w:val="022D649C"/>
    <w:rsid w:val="02351774"/>
    <w:rsid w:val="023A6ECB"/>
    <w:rsid w:val="02420646"/>
    <w:rsid w:val="02545FE2"/>
    <w:rsid w:val="028223A8"/>
    <w:rsid w:val="029D4FA6"/>
    <w:rsid w:val="02A9706C"/>
    <w:rsid w:val="02DE374B"/>
    <w:rsid w:val="0300517D"/>
    <w:rsid w:val="031C10FC"/>
    <w:rsid w:val="031C67BA"/>
    <w:rsid w:val="033F3CD6"/>
    <w:rsid w:val="034B3805"/>
    <w:rsid w:val="03511571"/>
    <w:rsid w:val="035E37BC"/>
    <w:rsid w:val="03745129"/>
    <w:rsid w:val="03A25185"/>
    <w:rsid w:val="03A92E0C"/>
    <w:rsid w:val="03A93F07"/>
    <w:rsid w:val="03BE2577"/>
    <w:rsid w:val="03DB0DED"/>
    <w:rsid w:val="03DD17F0"/>
    <w:rsid w:val="03F25E1C"/>
    <w:rsid w:val="03F730D5"/>
    <w:rsid w:val="040460C5"/>
    <w:rsid w:val="040E4213"/>
    <w:rsid w:val="04137380"/>
    <w:rsid w:val="04160294"/>
    <w:rsid w:val="0421064D"/>
    <w:rsid w:val="0424709F"/>
    <w:rsid w:val="04273734"/>
    <w:rsid w:val="042C6AE4"/>
    <w:rsid w:val="043878B7"/>
    <w:rsid w:val="0439748C"/>
    <w:rsid w:val="045D48A5"/>
    <w:rsid w:val="04663DEE"/>
    <w:rsid w:val="048B6224"/>
    <w:rsid w:val="049C3EF3"/>
    <w:rsid w:val="04BB171B"/>
    <w:rsid w:val="04BC1BA0"/>
    <w:rsid w:val="04CC44AE"/>
    <w:rsid w:val="04CC4566"/>
    <w:rsid w:val="04FD23FC"/>
    <w:rsid w:val="05005426"/>
    <w:rsid w:val="051576B1"/>
    <w:rsid w:val="055A38B5"/>
    <w:rsid w:val="059C5F8E"/>
    <w:rsid w:val="05AD5736"/>
    <w:rsid w:val="05CA2818"/>
    <w:rsid w:val="05D75A41"/>
    <w:rsid w:val="05E35A84"/>
    <w:rsid w:val="05FA06DD"/>
    <w:rsid w:val="06023A8F"/>
    <w:rsid w:val="0611621E"/>
    <w:rsid w:val="062C5A12"/>
    <w:rsid w:val="063F258E"/>
    <w:rsid w:val="065044F8"/>
    <w:rsid w:val="0653482B"/>
    <w:rsid w:val="066350BD"/>
    <w:rsid w:val="06B7286F"/>
    <w:rsid w:val="06C116BD"/>
    <w:rsid w:val="06C767F8"/>
    <w:rsid w:val="06EA2FBD"/>
    <w:rsid w:val="06FE4AAE"/>
    <w:rsid w:val="070157D1"/>
    <w:rsid w:val="07117CDC"/>
    <w:rsid w:val="07354BE2"/>
    <w:rsid w:val="07457C0D"/>
    <w:rsid w:val="07506DDE"/>
    <w:rsid w:val="078360F1"/>
    <w:rsid w:val="079555F7"/>
    <w:rsid w:val="07AA21A6"/>
    <w:rsid w:val="07B323DD"/>
    <w:rsid w:val="07C67401"/>
    <w:rsid w:val="07D33E7D"/>
    <w:rsid w:val="07DA2552"/>
    <w:rsid w:val="07E61182"/>
    <w:rsid w:val="07F0255A"/>
    <w:rsid w:val="07F876CF"/>
    <w:rsid w:val="07FA3FC0"/>
    <w:rsid w:val="08376BE0"/>
    <w:rsid w:val="083F0656"/>
    <w:rsid w:val="08483779"/>
    <w:rsid w:val="085D5FC0"/>
    <w:rsid w:val="0886626A"/>
    <w:rsid w:val="08912C45"/>
    <w:rsid w:val="089A18AE"/>
    <w:rsid w:val="08AD0CF8"/>
    <w:rsid w:val="08AD503B"/>
    <w:rsid w:val="08C76CFD"/>
    <w:rsid w:val="08E340CC"/>
    <w:rsid w:val="08E95B0E"/>
    <w:rsid w:val="090C54BE"/>
    <w:rsid w:val="091429FC"/>
    <w:rsid w:val="092936B1"/>
    <w:rsid w:val="092A049B"/>
    <w:rsid w:val="092B3782"/>
    <w:rsid w:val="09403923"/>
    <w:rsid w:val="096A4BCE"/>
    <w:rsid w:val="098226D8"/>
    <w:rsid w:val="09894939"/>
    <w:rsid w:val="098A68E8"/>
    <w:rsid w:val="09A02CD8"/>
    <w:rsid w:val="09C67157"/>
    <w:rsid w:val="09F4276E"/>
    <w:rsid w:val="0A165448"/>
    <w:rsid w:val="0A456E1A"/>
    <w:rsid w:val="0A502EA2"/>
    <w:rsid w:val="0A5758F7"/>
    <w:rsid w:val="0A67144A"/>
    <w:rsid w:val="0A71618F"/>
    <w:rsid w:val="0A7E1671"/>
    <w:rsid w:val="0A8862E9"/>
    <w:rsid w:val="0AA37590"/>
    <w:rsid w:val="0AC165DA"/>
    <w:rsid w:val="0AC16F66"/>
    <w:rsid w:val="0B1111D6"/>
    <w:rsid w:val="0B23262C"/>
    <w:rsid w:val="0B435CD5"/>
    <w:rsid w:val="0B456825"/>
    <w:rsid w:val="0B4B17AC"/>
    <w:rsid w:val="0B4F5787"/>
    <w:rsid w:val="0B5D56CF"/>
    <w:rsid w:val="0B625354"/>
    <w:rsid w:val="0B6438A9"/>
    <w:rsid w:val="0BC22757"/>
    <w:rsid w:val="0BD0342B"/>
    <w:rsid w:val="0BE3070D"/>
    <w:rsid w:val="0BF06979"/>
    <w:rsid w:val="0C367BBD"/>
    <w:rsid w:val="0C3C4113"/>
    <w:rsid w:val="0C4159CC"/>
    <w:rsid w:val="0C4225D4"/>
    <w:rsid w:val="0C49239C"/>
    <w:rsid w:val="0C4E57C8"/>
    <w:rsid w:val="0C6B5179"/>
    <w:rsid w:val="0C6F4FC2"/>
    <w:rsid w:val="0C7336D0"/>
    <w:rsid w:val="0CAB7396"/>
    <w:rsid w:val="0CC36F40"/>
    <w:rsid w:val="0CF02600"/>
    <w:rsid w:val="0D162766"/>
    <w:rsid w:val="0D215ABE"/>
    <w:rsid w:val="0D41682C"/>
    <w:rsid w:val="0D50445B"/>
    <w:rsid w:val="0D526216"/>
    <w:rsid w:val="0D7807F1"/>
    <w:rsid w:val="0D895A46"/>
    <w:rsid w:val="0D9B67EB"/>
    <w:rsid w:val="0DA940E9"/>
    <w:rsid w:val="0DB362DD"/>
    <w:rsid w:val="0DD1236C"/>
    <w:rsid w:val="0DE45CCC"/>
    <w:rsid w:val="0DE86CEC"/>
    <w:rsid w:val="0E09521B"/>
    <w:rsid w:val="0E0A51BD"/>
    <w:rsid w:val="0E133949"/>
    <w:rsid w:val="0E141CA7"/>
    <w:rsid w:val="0E386D2E"/>
    <w:rsid w:val="0E442D5B"/>
    <w:rsid w:val="0E4E7B59"/>
    <w:rsid w:val="0E6E5960"/>
    <w:rsid w:val="0EA8447B"/>
    <w:rsid w:val="0EAE4301"/>
    <w:rsid w:val="0EB84813"/>
    <w:rsid w:val="0ED27024"/>
    <w:rsid w:val="0ED41F63"/>
    <w:rsid w:val="0ED94F19"/>
    <w:rsid w:val="0EDC5EDB"/>
    <w:rsid w:val="0EE82229"/>
    <w:rsid w:val="0F1458F0"/>
    <w:rsid w:val="0F1B0DB7"/>
    <w:rsid w:val="0F3425BB"/>
    <w:rsid w:val="0F3C29E9"/>
    <w:rsid w:val="0F5751B2"/>
    <w:rsid w:val="0F6C7EA7"/>
    <w:rsid w:val="0F6E10DC"/>
    <w:rsid w:val="0FA03F81"/>
    <w:rsid w:val="0FA32A0E"/>
    <w:rsid w:val="0FC5121F"/>
    <w:rsid w:val="0FC52200"/>
    <w:rsid w:val="0FC57219"/>
    <w:rsid w:val="0FF11896"/>
    <w:rsid w:val="0FF743B8"/>
    <w:rsid w:val="1023278F"/>
    <w:rsid w:val="104114BC"/>
    <w:rsid w:val="104C091D"/>
    <w:rsid w:val="104D6F99"/>
    <w:rsid w:val="104F21E7"/>
    <w:rsid w:val="105170A9"/>
    <w:rsid w:val="10681B45"/>
    <w:rsid w:val="10930CDB"/>
    <w:rsid w:val="10D545EB"/>
    <w:rsid w:val="10D84782"/>
    <w:rsid w:val="10E51E7E"/>
    <w:rsid w:val="1109548A"/>
    <w:rsid w:val="11156035"/>
    <w:rsid w:val="111F2499"/>
    <w:rsid w:val="11296D36"/>
    <w:rsid w:val="1146103D"/>
    <w:rsid w:val="116C7384"/>
    <w:rsid w:val="118455FE"/>
    <w:rsid w:val="119B0859"/>
    <w:rsid w:val="11A20E56"/>
    <w:rsid w:val="12107133"/>
    <w:rsid w:val="12305D0B"/>
    <w:rsid w:val="12423595"/>
    <w:rsid w:val="12595354"/>
    <w:rsid w:val="12676ACE"/>
    <w:rsid w:val="12764EC4"/>
    <w:rsid w:val="128C79F5"/>
    <w:rsid w:val="1295794F"/>
    <w:rsid w:val="12987FD1"/>
    <w:rsid w:val="12B313A7"/>
    <w:rsid w:val="12C3649B"/>
    <w:rsid w:val="12D57C7C"/>
    <w:rsid w:val="12DE2F04"/>
    <w:rsid w:val="12E1444B"/>
    <w:rsid w:val="12F453F7"/>
    <w:rsid w:val="12F70776"/>
    <w:rsid w:val="12F747C0"/>
    <w:rsid w:val="13424AAD"/>
    <w:rsid w:val="135A65CD"/>
    <w:rsid w:val="13681291"/>
    <w:rsid w:val="139A72A6"/>
    <w:rsid w:val="13D75C16"/>
    <w:rsid w:val="14171AEC"/>
    <w:rsid w:val="141A71FC"/>
    <w:rsid w:val="14225F28"/>
    <w:rsid w:val="14242246"/>
    <w:rsid w:val="14393E39"/>
    <w:rsid w:val="1439492C"/>
    <w:rsid w:val="144E282E"/>
    <w:rsid w:val="14905D77"/>
    <w:rsid w:val="14C13D98"/>
    <w:rsid w:val="14C818C6"/>
    <w:rsid w:val="14D17473"/>
    <w:rsid w:val="14D2285A"/>
    <w:rsid w:val="14F848F0"/>
    <w:rsid w:val="15081A09"/>
    <w:rsid w:val="1533008F"/>
    <w:rsid w:val="153D3401"/>
    <w:rsid w:val="155142E7"/>
    <w:rsid w:val="15544C42"/>
    <w:rsid w:val="157752E5"/>
    <w:rsid w:val="15855A36"/>
    <w:rsid w:val="158E06A1"/>
    <w:rsid w:val="15932B1E"/>
    <w:rsid w:val="15AF36C0"/>
    <w:rsid w:val="15E62FA3"/>
    <w:rsid w:val="15EE7CEF"/>
    <w:rsid w:val="160D691C"/>
    <w:rsid w:val="16333435"/>
    <w:rsid w:val="16391530"/>
    <w:rsid w:val="166C136C"/>
    <w:rsid w:val="167660AD"/>
    <w:rsid w:val="168C0198"/>
    <w:rsid w:val="169F7641"/>
    <w:rsid w:val="16C6539F"/>
    <w:rsid w:val="16C83962"/>
    <w:rsid w:val="16E15BDC"/>
    <w:rsid w:val="16ED23AA"/>
    <w:rsid w:val="1730286B"/>
    <w:rsid w:val="173E2364"/>
    <w:rsid w:val="1761710C"/>
    <w:rsid w:val="17756A1D"/>
    <w:rsid w:val="17812612"/>
    <w:rsid w:val="17871823"/>
    <w:rsid w:val="1789592C"/>
    <w:rsid w:val="17933C9F"/>
    <w:rsid w:val="17B13E29"/>
    <w:rsid w:val="17D67A38"/>
    <w:rsid w:val="17DB1463"/>
    <w:rsid w:val="17ED5B45"/>
    <w:rsid w:val="17EE7984"/>
    <w:rsid w:val="180E51D2"/>
    <w:rsid w:val="18260DD1"/>
    <w:rsid w:val="182656C2"/>
    <w:rsid w:val="18303541"/>
    <w:rsid w:val="183735E3"/>
    <w:rsid w:val="1858215D"/>
    <w:rsid w:val="186D03ED"/>
    <w:rsid w:val="18744310"/>
    <w:rsid w:val="18A12DFD"/>
    <w:rsid w:val="18A922F3"/>
    <w:rsid w:val="18B137E8"/>
    <w:rsid w:val="18B44301"/>
    <w:rsid w:val="18D46399"/>
    <w:rsid w:val="18F56002"/>
    <w:rsid w:val="19125034"/>
    <w:rsid w:val="191D2489"/>
    <w:rsid w:val="192F50C9"/>
    <w:rsid w:val="195D5B30"/>
    <w:rsid w:val="19633F03"/>
    <w:rsid w:val="197C1E93"/>
    <w:rsid w:val="199C3850"/>
    <w:rsid w:val="199E02FC"/>
    <w:rsid w:val="19BA1CE3"/>
    <w:rsid w:val="19DF55C2"/>
    <w:rsid w:val="19FA7D22"/>
    <w:rsid w:val="19FC2D96"/>
    <w:rsid w:val="1A0C61A8"/>
    <w:rsid w:val="1A132F57"/>
    <w:rsid w:val="1A300E03"/>
    <w:rsid w:val="1A5F760F"/>
    <w:rsid w:val="1A6F3E95"/>
    <w:rsid w:val="1A6F6E85"/>
    <w:rsid w:val="1AB70FFB"/>
    <w:rsid w:val="1AB745E3"/>
    <w:rsid w:val="1AD51B88"/>
    <w:rsid w:val="1B2058A0"/>
    <w:rsid w:val="1B566A66"/>
    <w:rsid w:val="1B8565CF"/>
    <w:rsid w:val="1B9104B0"/>
    <w:rsid w:val="1BAC363D"/>
    <w:rsid w:val="1BBB7E3E"/>
    <w:rsid w:val="1BCA3781"/>
    <w:rsid w:val="1BD60F79"/>
    <w:rsid w:val="1BE52B29"/>
    <w:rsid w:val="1C0C60A0"/>
    <w:rsid w:val="1C331E9D"/>
    <w:rsid w:val="1C41527E"/>
    <w:rsid w:val="1C49412F"/>
    <w:rsid w:val="1C4F5FC4"/>
    <w:rsid w:val="1C64078D"/>
    <w:rsid w:val="1C685476"/>
    <w:rsid w:val="1C81524F"/>
    <w:rsid w:val="1CA121A3"/>
    <w:rsid w:val="1CBA2FF5"/>
    <w:rsid w:val="1CDF257F"/>
    <w:rsid w:val="1CE40841"/>
    <w:rsid w:val="1CF11BEB"/>
    <w:rsid w:val="1CF405AE"/>
    <w:rsid w:val="1CFB22F4"/>
    <w:rsid w:val="1D014450"/>
    <w:rsid w:val="1D151A12"/>
    <w:rsid w:val="1D2A2C86"/>
    <w:rsid w:val="1D2A6659"/>
    <w:rsid w:val="1D41310E"/>
    <w:rsid w:val="1D426DC5"/>
    <w:rsid w:val="1D4377C2"/>
    <w:rsid w:val="1D54682E"/>
    <w:rsid w:val="1D575B51"/>
    <w:rsid w:val="1D6C2520"/>
    <w:rsid w:val="1D9E396B"/>
    <w:rsid w:val="1D9F4A19"/>
    <w:rsid w:val="1DA05599"/>
    <w:rsid w:val="1DAB519B"/>
    <w:rsid w:val="1DBD4CF1"/>
    <w:rsid w:val="1DC65420"/>
    <w:rsid w:val="1DC94DC3"/>
    <w:rsid w:val="1E0649A4"/>
    <w:rsid w:val="1E316CE9"/>
    <w:rsid w:val="1E474E6F"/>
    <w:rsid w:val="1E4D30A6"/>
    <w:rsid w:val="1E5A2A89"/>
    <w:rsid w:val="1E67732E"/>
    <w:rsid w:val="1E6843C7"/>
    <w:rsid w:val="1EA60FCA"/>
    <w:rsid w:val="1EA87417"/>
    <w:rsid w:val="1EC83EE0"/>
    <w:rsid w:val="1ED70A99"/>
    <w:rsid w:val="1ED80844"/>
    <w:rsid w:val="1F353005"/>
    <w:rsid w:val="1F35766F"/>
    <w:rsid w:val="1F65672E"/>
    <w:rsid w:val="1F6B4880"/>
    <w:rsid w:val="1F6D18D3"/>
    <w:rsid w:val="1F855EC8"/>
    <w:rsid w:val="1F865B87"/>
    <w:rsid w:val="1F8D0E35"/>
    <w:rsid w:val="1FAD401E"/>
    <w:rsid w:val="1FB611E4"/>
    <w:rsid w:val="1FBA2E91"/>
    <w:rsid w:val="1FC02D54"/>
    <w:rsid w:val="1FCC09EA"/>
    <w:rsid w:val="1FD92D82"/>
    <w:rsid w:val="1FEE1F52"/>
    <w:rsid w:val="20067C86"/>
    <w:rsid w:val="20950348"/>
    <w:rsid w:val="20981E88"/>
    <w:rsid w:val="20A10137"/>
    <w:rsid w:val="20B97750"/>
    <w:rsid w:val="20BD2343"/>
    <w:rsid w:val="20C125E5"/>
    <w:rsid w:val="20F77EBA"/>
    <w:rsid w:val="20FE0571"/>
    <w:rsid w:val="212716A4"/>
    <w:rsid w:val="212F48FD"/>
    <w:rsid w:val="215274AB"/>
    <w:rsid w:val="21642809"/>
    <w:rsid w:val="21785B08"/>
    <w:rsid w:val="21B23C30"/>
    <w:rsid w:val="21D5663A"/>
    <w:rsid w:val="21DE0782"/>
    <w:rsid w:val="220D5F91"/>
    <w:rsid w:val="220F017A"/>
    <w:rsid w:val="223D6488"/>
    <w:rsid w:val="22434DAB"/>
    <w:rsid w:val="224F423C"/>
    <w:rsid w:val="227710AB"/>
    <w:rsid w:val="229B4E78"/>
    <w:rsid w:val="22B70744"/>
    <w:rsid w:val="22C77F82"/>
    <w:rsid w:val="22E50F21"/>
    <w:rsid w:val="22F562BD"/>
    <w:rsid w:val="231C3AC6"/>
    <w:rsid w:val="23261385"/>
    <w:rsid w:val="233970A1"/>
    <w:rsid w:val="2345547A"/>
    <w:rsid w:val="2390118C"/>
    <w:rsid w:val="23A33225"/>
    <w:rsid w:val="23A3458B"/>
    <w:rsid w:val="23A83880"/>
    <w:rsid w:val="23AC3B0D"/>
    <w:rsid w:val="23AE3EA4"/>
    <w:rsid w:val="23BD797B"/>
    <w:rsid w:val="23CC13DF"/>
    <w:rsid w:val="24106600"/>
    <w:rsid w:val="241374BB"/>
    <w:rsid w:val="24210897"/>
    <w:rsid w:val="242E0AC8"/>
    <w:rsid w:val="24474E0A"/>
    <w:rsid w:val="244E4AD0"/>
    <w:rsid w:val="246B4679"/>
    <w:rsid w:val="246D371F"/>
    <w:rsid w:val="249900C5"/>
    <w:rsid w:val="249B5614"/>
    <w:rsid w:val="24BF7D42"/>
    <w:rsid w:val="24DB287E"/>
    <w:rsid w:val="250A1A4F"/>
    <w:rsid w:val="255D2F2A"/>
    <w:rsid w:val="256C5A3D"/>
    <w:rsid w:val="257963F1"/>
    <w:rsid w:val="259B03C3"/>
    <w:rsid w:val="25A7402B"/>
    <w:rsid w:val="25B80863"/>
    <w:rsid w:val="25FE15DC"/>
    <w:rsid w:val="26683D33"/>
    <w:rsid w:val="267A5B7B"/>
    <w:rsid w:val="26806C09"/>
    <w:rsid w:val="26863962"/>
    <w:rsid w:val="26E21A31"/>
    <w:rsid w:val="26FA41B0"/>
    <w:rsid w:val="26FA6E39"/>
    <w:rsid w:val="271E4603"/>
    <w:rsid w:val="271F16FA"/>
    <w:rsid w:val="272A0710"/>
    <w:rsid w:val="27463973"/>
    <w:rsid w:val="274B3FF9"/>
    <w:rsid w:val="27555997"/>
    <w:rsid w:val="276E4B45"/>
    <w:rsid w:val="277E0E1B"/>
    <w:rsid w:val="27C13C20"/>
    <w:rsid w:val="27E31816"/>
    <w:rsid w:val="27E47883"/>
    <w:rsid w:val="28031DED"/>
    <w:rsid w:val="28120519"/>
    <w:rsid w:val="281327C3"/>
    <w:rsid w:val="28195AAE"/>
    <w:rsid w:val="2823540A"/>
    <w:rsid w:val="28311120"/>
    <w:rsid w:val="28323569"/>
    <w:rsid w:val="28326E12"/>
    <w:rsid w:val="28504863"/>
    <w:rsid w:val="287013AF"/>
    <w:rsid w:val="28943CBF"/>
    <w:rsid w:val="28C742B4"/>
    <w:rsid w:val="28E96526"/>
    <w:rsid w:val="28F77A34"/>
    <w:rsid w:val="290D2ED6"/>
    <w:rsid w:val="29213FAC"/>
    <w:rsid w:val="292E3744"/>
    <w:rsid w:val="2938390A"/>
    <w:rsid w:val="294019F3"/>
    <w:rsid w:val="295F6F3A"/>
    <w:rsid w:val="298168E8"/>
    <w:rsid w:val="2985741A"/>
    <w:rsid w:val="29880DC9"/>
    <w:rsid w:val="299658C8"/>
    <w:rsid w:val="29C74336"/>
    <w:rsid w:val="29D3585D"/>
    <w:rsid w:val="29D45DC4"/>
    <w:rsid w:val="2A0C4705"/>
    <w:rsid w:val="2A0E44BE"/>
    <w:rsid w:val="2A104C01"/>
    <w:rsid w:val="2A1162DB"/>
    <w:rsid w:val="2A2219FF"/>
    <w:rsid w:val="2A2649D3"/>
    <w:rsid w:val="2A2F0453"/>
    <w:rsid w:val="2A375CB0"/>
    <w:rsid w:val="2A4F7A8E"/>
    <w:rsid w:val="2A5C693A"/>
    <w:rsid w:val="2A9D1044"/>
    <w:rsid w:val="2AA14EFF"/>
    <w:rsid w:val="2ABB03E2"/>
    <w:rsid w:val="2AC957FE"/>
    <w:rsid w:val="2AE26472"/>
    <w:rsid w:val="2AE42B9F"/>
    <w:rsid w:val="2AE96027"/>
    <w:rsid w:val="2AFA4FF0"/>
    <w:rsid w:val="2AFF35D3"/>
    <w:rsid w:val="2B0A651F"/>
    <w:rsid w:val="2B132D50"/>
    <w:rsid w:val="2B2133D5"/>
    <w:rsid w:val="2B6076B4"/>
    <w:rsid w:val="2B617D56"/>
    <w:rsid w:val="2BEA29C3"/>
    <w:rsid w:val="2BEA69E1"/>
    <w:rsid w:val="2BEB27E3"/>
    <w:rsid w:val="2BEB2E9D"/>
    <w:rsid w:val="2BEC4EA8"/>
    <w:rsid w:val="2BF61207"/>
    <w:rsid w:val="2C036BC4"/>
    <w:rsid w:val="2C160F91"/>
    <w:rsid w:val="2C2E6F83"/>
    <w:rsid w:val="2C397AEF"/>
    <w:rsid w:val="2C620007"/>
    <w:rsid w:val="2C6F51F3"/>
    <w:rsid w:val="2CD367CC"/>
    <w:rsid w:val="2CDD2B9E"/>
    <w:rsid w:val="2D022F3E"/>
    <w:rsid w:val="2D09394F"/>
    <w:rsid w:val="2D6345E9"/>
    <w:rsid w:val="2D7E4209"/>
    <w:rsid w:val="2D9656B4"/>
    <w:rsid w:val="2D9A55C1"/>
    <w:rsid w:val="2D9B288E"/>
    <w:rsid w:val="2DA249C4"/>
    <w:rsid w:val="2DAF3FC3"/>
    <w:rsid w:val="2DBD42B5"/>
    <w:rsid w:val="2DCB5DC1"/>
    <w:rsid w:val="2DCE5309"/>
    <w:rsid w:val="2DE2242A"/>
    <w:rsid w:val="2E194ACD"/>
    <w:rsid w:val="2E317E37"/>
    <w:rsid w:val="2E4225F7"/>
    <w:rsid w:val="2E463849"/>
    <w:rsid w:val="2E4B01D1"/>
    <w:rsid w:val="2E522374"/>
    <w:rsid w:val="2E5A5340"/>
    <w:rsid w:val="2E677780"/>
    <w:rsid w:val="2E6E73D5"/>
    <w:rsid w:val="2E81141D"/>
    <w:rsid w:val="2E9A7ADA"/>
    <w:rsid w:val="2EC304B4"/>
    <w:rsid w:val="2EEA2CC1"/>
    <w:rsid w:val="2F1B0798"/>
    <w:rsid w:val="2F235807"/>
    <w:rsid w:val="2F4F0438"/>
    <w:rsid w:val="2F506BFB"/>
    <w:rsid w:val="2F5D44B1"/>
    <w:rsid w:val="2F7E2CC0"/>
    <w:rsid w:val="2F921764"/>
    <w:rsid w:val="2F98405A"/>
    <w:rsid w:val="2FD11EB8"/>
    <w:rsid w:val="303D5772"/>
    <w:rsid w:val="304E3002"/>
    <w:rsid w:val="306E40F7"/>
    <w:rsid w:val="30B04042"/>
    <w:rsid w:val="30B15581"/>
    <w:rsid w:val="30B93848"/>
    <w:rsid w:val="30BD1E67"/>
    <w:rsid w:val="30BE1DE8"/>
    <w:rsid w:val="30C20775"/>
    <w:rsid w:val="31253510"/>
    <w:rsid w:val="313177AD"/>
    <w:rsid w:val="31341EAD"/>
    <w:rsid w:val="31423CC5"/>
    <w:rsid w:val="3157256E"/>
    <w:rsid w:val="31665B97"/>
    <w:rsid w:val="31764242"/>
    <w:rsid w:val="31854B7E"/>
    <w:rsid w:val="319F11E6"/>
    <w:rsid w:val="31E86EE4"/>
    <w:rsid w:val="31F33D55"/>
    <w:rsid w:val="31FD6157"/>
    <w:rsid w:val="32171B71"/>
    <w:rsid w:val="322B53E9"/>
    <w:rsid w:val="32521924"/>
    <w:rsid w:val="32915ABA"/>
    <w:rsid w:val="329166F3"/>
    <w:rsid w:val="329C1497"/>
    <w:rsid w:val="32A514FE"/>
    <w:rsid w:val="32D72576"/>
    <w:rsid w:val="32D93319"/>
    <w:rsid w:val="32EC093A"/>
    <w:rsid w:val="330D0307"/>
    <w:rsid w:val="332C3D97"/>
    <w:rsid w:val="334A372A"/>
    <w:rsid w:val="335C422F"/>
    <w:rsid w:val="335E070C"/>
    <w:rsid w:val="3360351F"/>
    <w:rsid w:val="33620CB2"/>
    <w:rsid w:val="33AF2B63"/>
    <w:rsid w:val="33B17CDB"/>
    <w:rsid w:val="33DD0184"/>
    <w:rsid w:val="33E04B57"/>
    <w:rsid w:val="33FA7456"/>
    <w:rsid w:val="34024883"/>
    <w:rsid w:val="34264530"/>
    <w:rsid w:val="342C6E98"/>
    <w:rsid w:val="343E2F3B"/>
    <w:rsid w:val="344F7140"/>
    <w:rsid w:val="34755DB1"/>
    <w:rsid w:val="3475771C"/>
    <w:rsid w:val="3492409A"/>
    <w:rsid w:val="349E0FB2"/>
    <w:rsid w:val="34A96A1A"/>
    <w:rsid w:val="34B370D1"/>
    <w:rsid w:val="34C27532"/>
    <w:rsid w:val="34CA52FD"/>
    <w:rsid w:val="34E622D6"/>
    <w:rsid w:val="3518700F"/>
    <w:rsid w:val="352B5FF0"/>
    <w:rsid w:val="352F2FF3"/>
    <w:rsid w:val="35375748"/>
    <w:rsid w:val="35486C73"/>
    <w:rsid w:val="3569462D"/>
    <w:rsid w:val="359E09BB"/>
    <w:rsid w:val="3600191D"/>
    <w:rsid w:val="361A4DE1"/>
    <w:rsid w:val="361F592F"/>
    <w:rsid w:val="362B3643"/>
    <w:rsid w:val="362F79EA"/>
    <w:rsid w:val="364416D7"/>
    <w:rsid w:val="36516B14"/>
    <w:rsid w:val="36556C85"/>
    <w:rsid w:val="366E20E0"/>
    <w:rsid w:val="3675230B"/>
    <w:rsid w:val="36766F5C"/>
    <w:rsid w:val="36777C43"/>
    <w:rsid w:val="367E7A3F"/>
    <w:rsid w:val="36A2691D"/>
    <w:rsid w:val="36C1347A"/>
    <w:rsid w:val="36C31B41"/>
    <w:rsid w:val="36C45CB1"/>
    <w:rsid w:val="36C532A1"/>
    <w:rsid w:val="36CE234D"/>
    <w:rsid w:val="36D347D3"/>
    <w:rsid w:val="36DA50A9"/>
    <w:rsid w:val="36E42C99"/>
    <w:rsid w:val="372D21BE"/>
    <w:rsid w:val="3736228A"/>
    <w:rsid w:val="37671725"/>
    <w:rsid w:val="376F122C"/>
    <w:rsid w:val="37836D49"/>
    <w:rsid w:val="3798526A"/>
    <w:rsid w:val="37B72EB1"/>
    <w:rsid w:val="37C806F3"/>
    <w:rsid w:val="37C85C3C"/>
    <w:rsid w:val="37CF1603"/>
    <w:rsid w:val="383730B3"/>
    <w:rsid w:val="38585500"/>
    <w:rsid w:val="385D1C71"/>
    <w:rsid w:val="388E1434"/>
    <w:rsid w:val="38BA5460"/>
    <w:rsid w:val="38C62FF5"/>
    <w:rsid w:val="38C93E0E"/>
    <w:rsid w:val="38D62476"/>
    <w:rsid w:val="38E27127"/>
    <w:rsid w:val="39027E88"/>
    <w:rsid w:val="39075875"/>
    <w:rsid w:val="391904A1"/>
    <w:rsid w:val="391C718D"/>
    <w:rsid w:val="394D30B0"/>
    <w:rsid w:val="395466DA"/>
    <w:rsid w:val="39624091"/>
    <w:rsid w:val="397C6037"/>
    <w:rsid w:val="39BE5437"/>
    <w:rsid w:val="39D43B66"/>
    <w:rsid w:val="39EC03FA"/>
    <w:rsid w:val="3A072568"/>
    <w:rsid w:val="3A1E303B"/>
    <w:rsid w:val="3A1F74C9"/>
    <w:rsid w:val="3A224445"/>
    <w:rsid w:val="3A2A1F54"/>
    <w:rsid w:val="3A2D40D1"/>
    <w:rsid w:val="3A314B02"/>
    <w:rsid w:val="3A33423E"/>
    <w:rsid w:val="3A5C2602"/>
    <w:rsid w:val="3A5E6F34"/>
    <w:rsid w:val="3A765F75"/>
    <w:rsid w:val="3A79657B"/>
    <w:rsid w:val="3A8B77C7"/>
    <w:rsid w:val="3A9A32EA"/>
    <w:rsid w:val="3ACD391F"/>
    <w:rsid w:val="3B026D00"/>
    <w:rsid w:val="3B1471CB"/>
    <w:rsid w:val="3B655681"/>
    <w:rsid w:val="3B6C4553"/>
    <w:rsid w:val="3B6F3ABC"/>
    <w:rsid w:val="3B7527F4"/>
    <w:rsid w:val="3BAA143A"/>
    <w:rsid w:val="3BC378A6"/>
    <w:rsid w:val="3BD67C57"/>
    <w:rsid w:val="3BDC08FD"/>
    <w:rsid w:val="3BE42ECD"/>
    <w:rsid w:val="3BFE1CAB"/>
    <w:rsid w:val="3C10260E"/>
    <w:rsid w:val="3C274A05"/>
    <w:rsid w:val="3C7511AE"/>
    <w:rsid w:val="3C8D1A37"/>
    <w:rsid w:val="3C9B364F"/>
    <w:rsid w:val="3CA977D2"/>
    <w:rsid w:val="3CC733AF"/>
    <w:rsid w:val="3CF76813"/>
    <w:rsid w:val="3CFC6063"/>
    <w:rsid w:val="3D0702D4"/>
    <w:rsid w:val="3D1319B5"/>
    <w:rsid w:val="3D260CA6"/>
    <w:rsid w:val="3D360269"/>
    <w:rsid w:val="3D520CCB"/>
    <w:rsid w:val="3D5C6974"/>
    <w:rsid w:val="3D6678B0"/>
    <w:rsid w:val="3D70364C"/>
    <w:rsid w:val="3D772181"/>
    <w:rsid w:val="3D823D30"/>
    <w:rsid w:val="3DCE6FB3"/>
    <w:rsid w:val="3DD16176"/>
    <w:rsid w:val="3E0D7410"/>
    <w:rsid w:val="3E104E3F"/>
    <w:rsid w:val="3E1D6E9C"/>
    <w:rsid w:val="3E4A1BED"/>
    <w:rsid w:val="3E662345"/>
    <w:rsid w:val="3E82228B"/>
    <w:rsid w:val="3E8242C1"/>
    <w:rsid w:val="3EB33AF3"/>
    <w:rsid w:val="3EBA260E"/>
    <w:rsid w:val="3ED04F41"/>
    <w:rsid w:val="3EFD0DF6"/>
    <w:rsid w:val="3EFE49C6"/>
    <w:rsid w:val="3F0A5B5C"/>
    <w:rsid w:val="3F1A0890"/>
    <w:rsid w:val="3F3F5846"/>
    <w:rsid w:val="3F524EA7"/>
    <w:rsid w:val="3F71500B"/>
    <w:rsid w:val="3F7F0874"/>
    <w:rsid w:val="3F801023"/>
    <w:rsid w:val="3F8064EB"/>
    <w:rsid w:val="3F982DCA"/>
    <w:rsid w:val="3FD12D26"/>
    <w:rsid w:val="3FDE4917"/>
    <w:rsid w:val="402F3ADF"/>
    <w:rsid w:val="40306F5A"/>
    <w:rsid w:val="40452510"/>
    <w:rsid w:val="40476BB3"/>
    <w:rsid w:val="404C05E7"/>
    <w:rsid w:val="40546FB6"/>
    <w:rsid w:val="40554803"/>
    <w:rsid w:val="407A60D5"/>
    <w:rsid w:val="40961808"/>
    <w:rsid w:val="40AB4DEE"/>
    <w:rsid w:val="40D24BBE"/>
    <w:rsid w:val="40EC4043"/>
    <w:rsid w:val="40F36253"/>
    <w:rsid w:val="412008E0"/>
    <w:rsid w:val="413A6D3B"/>
    <w:rsid w:val="41515AC7"/>
    <w:rsid w:val="418225B8"/>
    <w:rsid w:val="41902B9F"/>
    <w:rsid w:val="41C02331"/>
    <w:rsid w:val="41C13A63"/>
    <w:rsid w:val="41C67037"/>
    <w:rsid w:val="41D229E1"/>
    <w:rsid w:val="41E12821"/>
    <w:rsid w:val="41EC6E94"/>
    <w:rsid w:val="41F72149"/>
    <w:rsid w:val="420D05CA"/>
    <w:rsid w:val="42415ACC"/>
    <w:rsid w:val="427D539F"/>
    <w:rsid w:val="42991E30"/>
    <w:rsid w:val="42BB068E"/>
    <w:rsid w:val="42CE0B28"/>
    <w:rsid w:val="42CF6367"/>
    <w:rsid w:val="42DE1CCC"/>
    <w:rsid w:val="42FC0B99"/>
    <w:rsid w:val="4308546B"/>
    <w:rsid w:val="430E36C9"/>
    <w:rsid w:val="43263445"/>
    <w:rsid w:val="43276BE6"/>
    <w:rsid w:val="434157E3"/>
    <w:rsid w:val="43450972"/>
    <w:rsid w:val="43494860"/>
    <w:rsid w:val="434D380E"/>
    <w:rsid w:val="43625C18"/>
    <w:rsid w:val="436A1FDA"/>
    <w:rsid w:val="436D1B9F"/>
    <w:rsid w:val="438041B7"/>
    <w:rsid w:val="43835E60"/>
    <w:rsid w:val="43934189"/>
    <w:rsid w:val="439D4850"/>
    <w:rsid w:val="43C27232"/>
    <w:rsid w:val="43DD3717"/>
    <w:rsid w:val="43ED069F"/>
    <w:rsid w:val="43F21951"/>
    <w:rsid w:val="442A6E5A"/>
    <w:rsid w:val="442B395B"/>
    <w:rsid w:val="4430507F"/>
    <w:rsid w:val="445C4B8F"/>
    <w:rsid w:val="44796121"/>
    <w:rsid w:val="44804534"/>
    <w:rsid w:val="44833851"/>
    <w:rsid w:val="448A40F8"/>
    <w:rsid w:val="44982752"/>
    <w:rsid w:val="44BF6F86"/>
    <w:rsid w:val="44C45031"/>
    <w:rsid w:val="44D53AB2"/>
    <w:rsid w:val="44F27B0D"/>
    <w:rsid w:val="45485BDE"/>
    <w:rsid w:val="454C183F"/>
    <w:rsid w:val="45945C30"/>
    <w:rsid w:val="459F2306"/>
    <w:rsid w:val="45A51B52"/>
    <w:rsid w:val="45A832FE"/>
    <w:rsid w:val="45AB1651"/>
    <w:rsid w:val="45AB6174"/>
    <w:rsid w:val="45BA63E5"/>
    <w:rsid w:val="45CB7617"/>
    <w:rsid w:val="45CC5EDC"/>
    <w:rsid w:val="45F73D47"/>
    <w:rsid w:val="460928AF"/>
    <w:rsid w:val="462D2575"/>
    <w:rsid w:val="46467FD8"/>
    <w:rsid w:val="46522858"/>
    <w:rsid w:val="46601D33"/>
    <w:rsid w:val="4666746C"/>
    <w:rsid w:val="467505FA"/>
    <w:rsid w:val="468720BA"/>
    <w:rsid w:val="46895AFC"/>
    <w:rsid w:val="46901BCD"/>
    <w:rsid w:val="46BA2F04"/>
    <w:rsid w:val="46BC623F"/>
    <w:rsid w:val="46D855B9"/>
    <w:rsid w:val="470D2C74"/>
    <w:rsid w:val="477570F1"/>
    <w:rsid w:val="47B41AAA"/>
    <w:rsid w:val="47CD38AD"/>
    <w:rsid w:val="47DB16D8"/>
    <w:rsid w:val="48416760"/>
    <w:rsid w:val="48466F81"/>
    <w:rsid w:val="4847049F"/>
    <w:rsid w:val="484D02A2"/>
    <w:rsid w:val="486B647A"/>
    <w:rsid w:val="48896934"/>
    <w:rsid w:val="48C12AEC"/>
    <w:rsid w:val="48D072A1"/>
    <w:rsid w:val="48D1341D"/>
    <w:rsid w:val="48D63F90"/>
    <w:rsid w:val="48E0279A"/>
    <w:rsid w:val="48E64C8E"/>
    <w:rsid w:val="48FA7B87"/>
    <w:rsid w:val="4916087F"/>
    <w:rsid w:val="4919356E"/>
    <w:rsid w:val="492A7740"/>
    <w:rsid w:val="49300AA7"/>
    <w:rsid w:val="49391CB0"/>
    <w:rsid w:val="493C3A20"/>
    <w:rsid w:val="49401E21"/>
    <w:rsid w:val="49526EB9"/>
    <w:rsid w:val="49684311"/>
    <w:rsid w:val="496D00AD"/>
    <w:rsid w:val="49742114"/>
    <w:rsid w:val="49754CB4"/>
    <w:rsid w:val="49921F0F"/>
    <w:rsid w:val="49C87B2C"/>
    <w:rsid w:val="49CE6B8E"/>
    <w:rsid w:val="49D72FF3"/>
    <w:rsid w:val="49E0102B"/>
    <w:rsid w:val="4A026FC1"/>
    <w:rsid w:val="4A1F625C"/>
    <w:rsid w:val="4A2945F2"/>
    <w:rsid w:val="4A29762E"/>
    <w:rsid w:val="4A2A15EA"/>
    <w:rsid w:val="4A486AD4"/>
    <w:rsid w:val="4A5A0B06"/>
    <w:rsid w:val="4A615154"/>
    <w:rsid w:val="4A96607C"/>
    <w:rsid w:val="4AB92E92"/>
    <w:rsid w:val="4AD646F7"/>
    <w:rsid w:val="4AF86B7E"/>
    <w:rsid w:val="4B2134B8"/>
    <w:rsid w:val="4B230228"/>
    <w:rsid w:val="4B24233C"/>
    <w:rsid w:val="4B2734DA"/>
    <w:rsid w:val="4B330A0B"/>
    <w:rsid w:val="4B5E55F9"/>
    <w:rsid w:val="4B685D82"/>
    <w:rsid w:val="4B7B4674"/>
    <w:rsid w:val="4B7C1135"/>
    <w:rsid w:val="4B7C663B"/>
    <w:rsid w:val="4B812078"/>
    <w:rsid w:val="4B896F57"/>
    <w:rsid w:val="4B9F538C"/>
    <w:rsid w:val="4BEC6D7A"/>
    <w:rsid w:val="4BF71347"/>
    <w:rsid w:val="4BF97932"/>
    <w:rsid w:val="4C0E21DB"/>
    <w:rsid w:val="4C141E75"/>
    <w:rsid w:val="4C2850B8"/>
    <w:rsid w:val="4C2A4039"/>
    <w:rsid w:val="4C2E02EB"/>
    <w:rsid w:val="4C3600D1"/>
    <w:rsid w:val="4C501CC2"/>
    <w:rsid w:val="4C847BBF"/>
    <w:rsid w:val="4CAE60E3"/>
    <w:rsid w:val="4CEE1D13"/>
    <w:rsid w:val="4D032DA9"/>
    <w:rsid w:val="4D0C6DBE"/>
    <w:rsid w:val="4D1B75D6"/>
    <w:rsid w:val="4D25615C"/>
    <w:rsid w:val="4D36054D"/>
    <w:rsid w:val="4D41137F"/>
    <w:rsid w:val="4D524AEA"/>
    <w:rsid w:val="4D5724F7"/>
    <w:rsid w:val="4D757452"/>
    <w:rsid w:val="4D8C3F82"/>
    <w:rsid w:val="4DBC14B8"/>
    <w:rsid w:val="4DDC29C3"/>
    <w:rsid w:val="4DE936C7"/>
    <w:rsid w:val="4DF23555"/>
    <w:rsid w:val="4E050D4C"/>
    <w:rsid w:val="4E06569E"/>
    <w:rsid w:val="4E093792"/>
    <w:rsid w:val="4E1D26B7"/>
    <w:rsid w:val="4E1F052C"/>
    <w:rsid w:val="4E451D41"/>
    <w:rsid w:val="4E7A454C"/>
    <w:rsid w:val="4E85341C"/>
    <w:rsid w:val="4E9A6D77"/>
    <w:rsid w:val="4E9B7B12"/>
    <w:rsid w:val="4EC47712"/>
    <w:rsid w:val="4EDD3C61"/>
    <w:rsid w:val="4EF1457F"/>
    <w:rsid w:val="4F2C40A0"/>
    <w:rsid w:val="4F2F3B98"/>
    <w:rsid w:val="4F380B7A"/>
    <w:rsid w:val="4F420D1A"/>
    <w:rsid w:val="4F4B0CB3"/>
    <w:rsid w:val="4F4F0EBF"/>
    <w:rsid w:val="4F541C09"/>
    <w:rsid w:val="4F551D3F"/>
    <w:rsid w:val="4F8C4B40"/>
    <w:rsid w:val="4F9F62E6"/>
    <w:rsid w:val="4FAA5CD5"/>
    <w:rsid w:val="4FBD187E"/>
    <w:rsid w:val="4FBF7CF0"/>
    <w:rsid w:val="4FD11AC0"/>
    <w:rsid w:val="4FFC278C"/>
    <w:rsid w:val="500111FD"/>
    <w:rsid w:val="50231F54"/>
    <w:rsid w:val="50244473"/>
    <w:rsid w:val="502F75EB"/>
    <w:rsid w:val="50400243"/>
    <w:rsid w:val="50494336"/>
    <w:rsid w:val="50784012"/>
    <w:rsid w:val="507C7D8B"/>
    <w:rsid w:val="50813C12"/>
    <w:rsid w:val="5087463E"/>
    <w:rsid w:val="5098698E"/>
    <w:rsid w:val="50A11680"/>
    <w:rsid w:val="50B77550"/>
    <w:rsid w:val="50C773AE"/>
    <w:rsid w:val="50CD6602"/>
    <w:rsid w:val="50EC75B7"/>
    <w:rsid w:val="50FA7566"/>
    <w:rsid w:val="510D0F23"/>
    <w:rsid w:val="510E445A"/>
    <w:rsid w:val="51197B59"/>
    <w:rsid w:val="51215D4C"/>
    <w:rsid w:val="5130178D"/>
    <w:rsid w:val="5152731C"/>
    <w:rsid w:val="515B3C12"/>
    <w:rsid w:val="51615030"/>
    <w:rsid w:val="51627812"/>
    <w:rsid w:val="51CD11A6"/>
    <w:rsid w:val="51D33F6D"/>
    <w:rsid w:val="52045DB4"/>
    <w:rsid w:val="5229705D"/>
    <w:rsid w:val="522C275E"/>
    <w:rsid w:val="523B42BA"/>
    <w:rsid w:val="529000F6"/>
    <w:rsid w:val="5296149A"/>
    <w:rsid w:val="52A65672"/>
    <w:rsid w:val="52BA4073"/>
    <w:rsid w:val="52CC5BE1"/>
    <w:rsid w:val="52CD7B31"/>
    <w:rsid w:val="52D576F4"/>
    <w:rsid w:val="52DF170A"/>
    <w:rsid w:val="52E25B6D"/>
    <w:rsid w:val="52F362FB"/>
    <w:rsid w:val="52F4161A"/>
    <w:rsid w:val="52F648F6"/>
    <w:rsid w:val="52F965A5"/>
    <w:rsid w:val="53081AD8"/>
    <w:rsid w:val="530E6DD1"/>
    <w:rsid w:val="53235275"/>
    <w:rsid w:val="53240623"/>
    <w:rsid w:val="53321C03"/>
    <w:rsid w:val="533415F9"/>
    <w:rsid w:val="534823B8"/>
    <w:rsid w:val="534A49AF"/>
    <w:rsid w:val="535657D0"/>
    <w:rsid w:val="535868CC"/>
    <w:rsid w:val="53597EDB"/>
    <w:rsid w:val="538A5F7C"/>
    <w:rsid w:val="538D066D"/>
    <w:rsid w:val="53934B1D"/>
    <w:rsid w:val="53A2278E"/>
    <w:rsid w:val="53CB788B"/>
    <w:rsid w:val="53E32E36"/>
    <w:rsid w:val="53F60F5A"/>
    <w:rsid w:val="54203B94"/>
    <w:rsid w:val="5424233E"/>
    <w:rsid w:val="542A3DC2"/>
    <w:rsid w:val="542C299E"/>
    <w:rsid w:val="543642C1"/>
    <w:rsid w:val="545467E8"/>
    <w:rsid w:val="545A2086"/>
    <w:rsid w:val="5461235D"/>
    <w:rsid w:val="54667BA2"/>
    <w:rsid w:val="547E7555"/>
    <w:rsid w:val="54863FE2"/>
    <w:rsid w:val="54A01FAE"/>
    <w:rsid w:val="54A1363F"/>
    <w:rsid w:val="54C0256E"/>
    <w:rsid w:val="54C334B7"/>
    <w:rsid w:val="54D4667D"/>
    <w:rsid w:val="54D55C56"/>
    <w:rsid w:val="54EC389B"/>
    <w:rsid w:val="54F847D9"/>
    <w:rsid w:val="55126190"/>
    <w:rsid w:val="55346174"/>
    <w:rsid w:val="553D1731"/>
    <w:rsid w:val="553D2E4A"/>
    <w:rsid w:val="555F3833"/>
    <w:rsid w:val="55667780"/>
    <w:rsid w:val="556E493A"/>
    <w:rsid w:val="55941D63"/>
    <w:rsid w:val="559C0CE1"/>
    <w:rsid w:val="559D4CF6"/>
    <w:rsid w:val="55D11119"/>
    <w:rsid w:val="55DB1F79"/>
    <w:rsid w:val="560A42BD"/>
    <w:rsid w:val="560C1D89"/>
    <w:rsid w:val="56353B20"/>
    <w:rsid w:val="56443B98"/>
    <w:rsid w:val="56453A77"/>
    <w:rsid w:val="565752A9"/>
    <w:rsid w:val="566B4C2E"/>
    <w:rsid w:val="56727B2F"/>
    <w:rsid w:val="56731E72"/>
    <w:rsid w:val="56757259"/>
    <w:rsid w:val="56995CED"/>
    <w:rsid w:val="56CB4BCB"/>
    <w:rsid w:val="56D12C0D"/>
    <w:rsid w:val="56E61285"/>
    <w:rsid w:val="56F4711F"/>
    <w:rsid w:val="57391A95"/>
    <w:rsid w:val="573F3C9E"/>
    <w:rsid w:val="574C52C4"/>
    <w:rsid w:val="57526FDB"/>
    <w:rsid w:val="57572F35"/>
    <w:rsid w:val="575B33A4"/>
    <w:rsid w:val="57674A5D"/>
    <w:rsid w:val="57841519"/>
    <w:rsid w:val="57B25019"/>
    <w:rsid w:val="57BB6F5D"/>
    <w:rsid w:val="57C90530"/>
    <w:rsid w:val="57CE0836"/>
    <w:rsid w:val="57DA7697"/>
    <w:rsid w:val="57FB6CB9"/>
    <w:rsid w:val="582F44F7"/>
    <w:rsid w:val="583F27F2"/>
    <w:rsid w:val="58455B6D"/>
    <w:rsid w:val="584D29B0"/>
    <w:rsid w:val="584F7C49"/>
    <w:rsid w:val="585A5CC1"/>
    <w:rsid w:val="586013DF"/>
    <w:rsid w:val="587A0690"/>
    <w:rsid w:val="5888302C"/>
    <w:rsid w:val="5889129A"/>
    <w:rsid w:val="58A43ABE"/>
    <w:rsid w:val="58AD528C"/>
    <w:rsid w:val="58B31955"/>
    <w:rsid w:val="58BA1500"/>
    <w:rsid w:val="58BA45A1"/>
    <w:rsid w:val="58BA6D30"/>
    <w:rsid w:val="58EF0759"/>
    <w:rsid w:val="592034CA"/>
    <w:rsid w:val="594F6915"/>
    <w:rsid w:val="59737A65"/>
    <w:rsid w:val="59842DF4"/>
    <w:rsid w:val="598F4E97"/>
    <w:rsid w:val="59973AFF"/>
    <w:rsid w:val="59A0359A"/>
    <w:rsid w:val="59CC7DC9"/>
    <w:rsid w:val="59E52D9A"/>
    <w:rsid w:val="5A300449"/>
    <w:rsid w:val="5A482DEE"/>
    <w:rsid w:val="5A55295D"/>
    <w:rsid w:val="5A5B4022"/>
    <w:rsid w:val="5A601936"/>
    <w:rsid w:val="5A7E104A"/>
    <w:rsid w:val="5A8208A0"/>
    <w:rsid w:val="5A861FD5"/>
    <w:rsid w:val="5ADE2E08"/>
    <w:rsid w:val="5AE3253A"/>
    <w:rsid w:val="5AEA30C9"/>
    <w:rsid w:val="5AEA3475"/>
    <w:rsid w:val="5AF54C6B"/>
    <w:rsid w:val="5B087B94"/>
    <w:rsid w:val="5B0C2FBE"/>
    <w:rsid w:val="5B0E3E89"/>
    <w:rsid w:val="5B124740"/>
    <w:rsid w:val="5B2F4648"/>
    <w:rsid w:val="5B3E7FCE"/>
    <w:rsid w:val="5B3F66E7"/>
    <w:rsid w:val="5B7371CB"/>
    <w:rsid w:val="5B872AE6"/>
    <w:rsid w:val="5BA77753"/>
    <w:rsid w:val="5BC025EF"/>
    <w:rsid w:val="5BCC09A0"/>
    <w:rsid w:val="5C1203C7"/>
    <w:rsid w:val="5C1F35AE"/>
    <w:rsid w:val="5C2023E0"/>
    <w:rsid w:val="5C2441F3"/>
    <w:rsid w:val="5C3905BF"/>
    <w:rsid w:val="5C4B278D"/>
    <w:rsid w:val="5C656B0D"/>
    <w:rsid w:val="5C66397A"/>
    <w:rsid w:val="5C7349B6"/>
    <w:rsid w:val="5C824C05"/>
    <w:rsid w:val="5C8723CB"/>
    <w:rsid w:val="5C8725EE"/>
    <w:rsid w:val="5C9125C3"/>
    <w:rsid w:val="5CB0251A"/>
    <w:rsid w:val="5CB97030"/>
    <w:rsid w:val="5CC97332"/>
    <w:rsid w:val="5CD66F29"/>
    <w:rsid w:val="5CFF67D4"/>
    <w:rsid w:val="5D187049"/>
    <w:rsid w:val="5D1D2427"/>
    <w:rsid w:val="5D6C3EA2"/>
    <w:rsid w:val="5D756277"/>
    <w:rsid w:val="5D955FBD"/>
    <w:rsid w:val="5DA62524"/>
    <w:rsid w:val="5DAC3919"/>
    <w:rsid w:val="5DB36259"/>
    <w:rsid w:val="5DBD33B2"/>
    <w:rsid w:val="5DC223CB"/>
    <w:rsid w:val="5DF66637"/>
    <w:rsid w:val="5DFF6858"/>
    <w:rsid w:val="5E0C715E"/>
    <w:rsid w:val="5E185132"/>
    <w:rsid w:val="5E272402"/>
    <w:rsid w:val="5E277957"/>
    <w:rsid w:val="5E2A0167"/>
    <w:rsid w:val="5E5D68E8"/>
    <w:rsid w:val="5E802A96"/>
    <w:rsid w:val="5E9074FF"/>
    <w:rsid w:val="5EB62A77"/>
    <w:rsid w:val="5EB80355"/>
    <w:rsid w:val="5EBB2226"/>
    <w:rsid w:val="5EBE5F24"/>
    <w:rsid w:val="5ED61633"/>
    <w:rsid w:val="5EF07004"/>
    <w:rsid w:val="5F0E1E9A"/>
    <w:rsid w:val="5F1E5056"/>
    <w:rsid w:val="5F330F5A"/>
    <w:rsid w:val="5F602A06"/>
    <w:rsid w:val="5F6E58DA"/>
    <w:rsid w:val="5F860C23"/>
    <w:rsid w:val="5FC44411"/>
    <w:rsid w:val="5FC502AF"/>
    <w:rsid w:val="5FC93D22"/>
    <w:rsid w:val="604B725A"/>
    <w:rsid w:val="605C7AA6"/>
    <w:rsid w:val="605F132B"/>
    <w:rsid w:val="605F50CE"/>
    <w:rsid w:val="60613E8D"/>
    <w:rsid w:val="608510A4"/>
    <w:rsid w:val="608762FF"/>
    <w:rsid w:val="609E1C45"/>
    <w:rsid w:val="60B774DD"/>
    <w:rsid w:val="60BD4FD1"/>
    <w:rsid w:val="60D507D0"/>
    <w:rsid w:val="60EA1511"/>
    <w:rsid w:val="60EB6C34"/>
    <w:rsid w:val="60FD5C7B"/>
    <w:rsid w:val="611D33DB"/>
    <w:rsid w:val="613D7E7B"/>
    <w:rsid w:val="6148590B"/>
    <w:rsid w:val="617162E9"/>
    <w:rsid w:val="61957B84"/>
    <w:rsid w:val="61997B1B"/>
    <w:rsid w:val="61A5069D"/>
    <w:rsid w:val="61A52BAA"/>
    <w:rsid w:val="61B160E0"/>
    <w:rsid w:val="61DA154B"/>
    <w:rsid w:val="61FA0AE4"/>
    <w:rsid w:val="622501C3"/>
    <w:rsid w:val="623438BB"/>
    <w:rsid w:val="624B10F0"/>
    <w:rsid w:val="624F3E48"/>
    <w:rsid w:val="62635981"/>
    <w:rsid w:val="62791EBE"/>
    <w:rsid w:val="628B066D"/>
    <w:rsid w:val="629A2553"/>
    <w:rsid w:val="629B3E75"/>
    <w:rsid w:val="629B5D43"/>
    <w:rsid w:val="62A36D1F"/>
    <w:rsid w:val="62A40365"/>
    <w:rsid w:val="62A469A9"/>
    <w:rsid w:val="62A92FF1"/>
    <w:rsid w:val="62B90FFE"/>
    <w:rsid w:val="62C2442B"/>
    <w:rsid w:val="62F6018D"/>
    <w:rsid w:val="63016E3A"/>
    <w:rsid w:val="63034141"/>
    <w:rsid w:val="63045E00"/>
    <w:rsid w:val="630A731B"/>
    <w:rsid w:val="630C093D"/>
    <w:rsid w:val="63331DEE"/>
    <w:rsid w:val="63386B48"/>
    <w:rsid w:val="633A3FE7"/>
    <w:rsid w:val="63562840"/>
    <w:rsid w:val="637141EC"/>
    <w:rsid w:val="63722963"/>
    <w:rsid w:val="63805B1F"/>
    <w:rsid w:val="63834973"/>
    <w:rsid w:val="638F3DC7"/>
    <w:rsid w:val="6397194C"/>
    <w:rsid w:val="63B04106"/>
    <w:rsid w:val="63DA4B5E"/>
    <w:rsid w:val="64273E62"/>
    <w:rsid w:val="642E2892"/>
    <w:rsid w:val="64500536"/>
    <w:rsid w:val="645249C8"/>
    <w:rsid w:val="64586EE3"/>
    <w:rsid w:val="649C22B9"/>
    <w:rsid w:val="64AD7C37"/>
    <w:rsid w:val="64B05758"/>
    <w:rsid w:val="64BE4B0D"/>
    <w:rsid w:val="65075A96"/>
    <w:rsid w:val="650E600B"/>
    <w:rsid w:val="650F0C7B"/>
    <w:rsid w:val="6536533B"/>
    <w:rsid w:val="654B2140"/>
    <w:rsid w:val="65652812"/>
    <w:rsid w:val="657925FC"/>
    <w:rsid w:val="65B221E6"/>
    <w:rsid w:val="65C9145A"/>
    <w:rsid w:val="65E9332F"/>
    <w:rsid w:val="66426031"/>
    <w:rsid w:val="665809FD"/>
    <w:rsid w:val="66593B74"/>
    <w:rsid w:val="66651C8A"/>
    <w:rsid w:val="66675176"/>
    <w:rsid w:val="66691BB5"/>
    <w:rsid w:val="669F2C65"/>
    <w:rsid w:val="66AF1F30"/>
    <w:rsid w:val="66B94751"/>
    <w:rsid w:val="66BE6B53"/>
    <w:rsid w:val="66C55FD8"/>
    <w:rsid w:val="66D333AF"/>
    <w:rsid w:val="67192A34"/>
    <w:rsid w:val="674A4927"/>
    <w:rsid w:val="677243C5"/>
    <w:rsid w:val="678568CD"/>
    <w:rsid w:val="67A24F14"/>
    <w:rsid w:val="67BB4EAD"/>
    <w:rsid w:val="67CC1531"/>
    <w:rsid w:val="67E453F6"/>
    <w:rsid w:val="67ED1A7F"/>
    <w:rsid w:val="67F130F8"/>
    <w:rsid w:val="67F84AFE"/>
    <w:rsid w:val="680878A3"/>
    <w:rsid w:val="68340476"/>
    <w:rsid w:val="683870E8"/>
    <w:rsid w:val="68457681"/>
    <w:rsid w:val="684977D5"/>
    <w:rsid w:val="68517C2E"/>
    <w:rsid w:val="68552C50"/>
    <w:rsid w:val="685D34E7"/>
    <w:rsid w:val="68941380"/>
    <w:rsid w:val="68A8123A"/>
    <w:rsid w:val="68B84F4C"/>
    <w:rsid w:val="68C01F62"/>
    <w:rsid w:val="68D61480"/>
    <w:rsid w:val="69055229"/>
    <w:rsid w:val="691277C4"/>
    <w:rsid w:val="6929374C"/>
    <w:rsid w:val="692F20BB"/>
    <w:rsid w:val="69784C3F"/>
    <w:rsid w:val="699D5D7B"/>
    <w:rsid w:val="69AB0A43"/>
    <w:rsid w:val="69C1095D"/>
    <w:rsid w:val="69D00CF3"/>
    <w:rsid w:val="69EE16D0"/>
    <w:rsid w:val="6A00281A"/>
    <w:rsid w:val="6A0138F7"/>
    <w:rsid w:val="6A0B7903"/>
    <w:rsid w:val="6A143728"/>
    <w:rsid w:val="6A1E155A"/>
    <w:rsid w:val="6A2C0B4E"/>
    <w:rsid w:val="6A6968C8"/>
    <w:rsid w:val="6A7B5447"/>
    <w:rsid w:val="6ABB48C8"/>
    <w:rsid w:val="6ABF5F47"/>
    <w:rsid w:val="6ADB012D"/>
    <w:rsid w:val="6AE3748E"/>
    <w:rsid w:val="6AF53FAE"/>
    <w:rsid w:val="6B1A6CFE"/>
    <w:rsid w:val="6B1C3EC6"/>
    <w:rsid w:val="6B574638"/>
    <w:rsid w:val="6B615C8D"/>
    <w:rsid w:val="6B67068F"/>
    <w:rsid w:val="6B6E2E8D"/>
    <w:rsid w:val="6BAB6FBB"/>
    <w:rsid w:val="6BB568D4"/>
    <w:rsid w:val="6BDF79C7"/>
    <w:rsid w:val="6BE146ED"/>
    <w:rsid w:val="6BF84AE5"/>
    <w:rsid w:val="6C0B074D"/>
    <w:rsid w:val="6C1458EF"/>
    <w:rsid w:val="6C231806"/>
    <w:rsid w:val="6C275F8B"/>
    <w:rsid w:val="6C3B15FF"/>
    <w:rsid w:val="6C3B431E"/>
    <w:rsid w:val="6C3E5116"/>
    <w:rsid w:val="6C725FD7"/>
    <w:rsid w:val="6C852D02"/>
    <w:rsid w:val="6CA76A79"/>
    <w:rsid w:val="6CB336CA"/>
    <w:rsid w:val="6CC0649B"/>
    <w:rsid w:val="6CEA2C90"/>
    <w:rsid w:val="6CFA5C74"/>
    <w:rsid w:val="6D2C0314"/>
    <w:rsid w:val="6D2C4A68"/>
    <w:rsid w:val="6D3B2E78"/>
    <w:rsid w:val="6D3C3AC0"/>
    <w:rsid w:val="6D410335"/>
    <w:rsid w:val="6D4305C3"/>
    <w:rsid w:val="6D48445E"/>
    <w:rsid w:val="6D4D30D8"/>
    <w:rsid w:val="6D500B73"/>
    <w:rsid w:val="6D666AA6"/>
    <w:rsid w:val="6D687043"/>
    <w:rsid w:val="6D71156C"/>
    <w:rsid w:val="6D7D6DC8"/>
    <w:rsid w:val="6D885EAB"/>
    <w:rsid w:val="6D953F0C"/>
    <w:rsid w:val="6DB67EBB"/>
    <w:rsid w:val="6DE44615"/>
    <w:rsid w:val="6DEF52E3"/>
    <w:rsid w:val="6E0E6A1E"/>
    <w:rsid w:val="6E2D763E"/>
    <w:rsid w:val="6E420FB1"/>
    <w:rsid w:val="6E512D06"/>
    <w:rsid w:val="6E95768E"/>
    <w:rsid w:val="6E9E71E2"/>
    <w:rsid w:val="6EA14900"/>
    <w:rsid w:val="6EB27AA3"/>
    <w:rsid w:val="6EF9461D"/>
    <w:rsid w:val="6F1348E9"/>
    <w:rsid w:val="6F273822"/>
    <w:rsid w:val="6F2A01FE"/>
    <w:rsid w:val="6F2A71A4"/>
    <w:rsid w:val="6F37422A"/>
    <w:rsid w:val="6F487F58"/>
    <w:rsid w:val="6F7B18AD"/>
    <w:rsid w:val="6F887FB7"/>
    <w:rsid w:val="6F9415EA"/>
    <w:rsid w:val="6FA13D0F"/>
    <w:rsid w:val="6FB72F84"/>
    <w:rsid w:val="6FCA5E7C"/>
    <w:rsid w:val="6FE3419F"/>
    <w:rsid w:val="6FF4146C"/>
    <w:rsid w:val="6FF778F1"/>
    <w:rsid w:val="700346D4"/>
    <w:rsid w:val="700706FE"/>
    <w:rsid w:val="700B4E58"/>
    <w:rsid w:val="70122412"/>
    <w:rsid w:val="701E1B66"/>
    <w:rsid w:val="70287F2C"/>
    <w:rsid w:val="703823B5"/>
    <w:rsid w:val="708E5B16"/>
    <w:rsid w:val="709A492D"/>
    <w:rsid w:val="70AF69EB"/>
    <w:rsid w:val="70F97D93"/>
    <w:rsid w:val="71080DF4"/>
    <w:rsid w:val="71181113"/>
    <w:rsid w:val="711D7CA6"/>
    <w:rsid w:val="71227E63"/>
    <w:rsid w:val="71373145"/>
    <w:rsid w:val="71486B3B"/>
    <w:rsid w:val="714C6333"/>
    <w:rsid w:val="71614B6B"/>
    <w:rsid w:val="71874C72"/>
    <w:rsid w:val="718D2905"/>
    <w:rsid w:val="719909D2"/>
    <w:rsid w:val="719B61D4"/>
    <w:rsid w:val="71A10922"/>
    <w:rsid w:val="71C62055"/>
    <w:rsid w:val="71D214DD"/>
    <w:rsid w:val="720846CB"/>
    <w:rsid w:val="72091DAA"/>
    <w:rsid w:val="72267D97"/>
    <w:rsid w:val="724E29D1"/>
    <w:rsid w:val="72737252"/>
    <w:rsid w:val="728564F5"/>
    <w:rsid w:val="728B7ACE"/>
    <w:rsid w:val="728E70EC"/>
    <w:rsid w:val="72914DBF"/>
    <w:rsid w:val="729701CD"/>
    <w:rsid w:val="72AB431D"/>
    <w:rsid w:val="72B20310"/>
    <w:rsid w:val="72DA09BB"/>
    <w:rsid w:val="72DC619D"/>
    <w:rsid w:val="72E745EF"/>
    <w:rsid w:val="72F95434"/>
    <w:rsid w:val="730E0485"/>
    <w:rsid w:val="730E4D7D"/>
    <w:rsid w:val="731466EF"/>
    <w:rsid w:val="73212A01"/>
    <w:rsid w:val="73322FF0"/>
    <w:rsid w:val="733712FB"/>
    <w:rsid w:val="73460FB0"/>
    <w:rsid w:val="73513F28"/>
    <w:rsid w:val="735A7119"/>
    <w:rsid w:val="736127BE"/>
    <w:rsid w:val="739E0038"/>
    <w:rsid w:val="73B34591"/>
    <w:rsid w:val="73BA77CA"/>
    <w:rsid w:val="73D850A2"/>
    <w:rsid w:val="73DE7F6C"/>
    <w:rsid w:val="73E14FB1"/>
    <w:rsid w:val="73E365CE"/>
    <w:rsid w:val="73E64B1D"/>
    <w:rsid w:val="7401144D"/>
    <w:rsid w:val="740735EA"/>
    <w:rsid w:val="7408106C"/>
    <w:rsid w:val="743D6EDD"/>
    <w:rsid w:val="74527775"/>
    <w:rsid w:val="7468110F"/>
    <w:rsid w:val="749E2818"/>
    <w:rsid w:val="74BE4E97"/>
    <w:rsid w:val="74C76B0E"/>
    <w:rsid w:val="74D504C8"/>
    <w:rsid w:val="74D70DB1"/>
    <w:rsid w:val="74F679F1"/>
    <w:rsid w:val="74F841F7"/>
    <w:rsid w:val="75003D28"/>
    <w:rsid w:val="750445F2"/>
    <w:rsid w:val="750D0AC8"/>
    <w:rsid w:val="751D637E"/>
    <w:rsid w:val="751F2555"/>
    <w:rsid w:val="753504B8"/>
    <w:rsid w:val="75466A74"/>
    <w:rsid w:val="75506896"/>
    <w:rsid w:val="758418D8"/>
    <w:rsid w:val="75A17528"/>
    <w:rsid w:val="75AA6AC3"/>
    <w:rsid w:val="75B749A9"/>
    <w:rsid w:val="75CD3F16"/>
    <w:rsid w:val="75D61CA5"/>
    <w:rsid w:val="75F02C0F"/>
    <w:rsid w:val="75F05449"/>
    <w:rsid w:val="76781DCD"/>
    <w:rsid w:val="768B3877"/>
    <w:rsid w:val="769B114B"/>
    <w:rsid w:val="76CE29CB"/>
    <w:rsid w:val="76D84698"/>
    <w:rsid w:val="76DE77C7"/>
    <w:rsid w:val="77527CA0"/>
    <w:rsid w:val="775865D7"/>
    <w:rsid w:val="775B4584"/>
    <w:rsid w:val="776234AF"/>
    <w:rsid w:val="776D12AE"/>
    <w:rsid w:val="77AD0FE0"/>
    <w:rsid w:val="77BE7384"/>
    <w:rsid w:val="77E30F43"/>
    <w:rsid w:val="77F71F25"/>
    <w:rsid w:val="7834101A"/>
    <w:rsid w:val="786B41C0"/>
    <w:rsid w:val="787E4AA3"/>
    <w:rsid w:val="78821B50"/>
    <w:rsid w:val="788E2A2A"/>
    <w:rsid w:val="789C0AEB"/>
    <w:rsid w:val="78BC088E"/>
    <w:rsid w:val="78C52EE0"/>
    <w:rsid w:val="78D23C9C"/>
    <w:rsid w:val="7913610A"/>
    <w:rsid w:val="791A167A"/>
    <w:rsid w:val="79473261"/>
    <w:rsid w:val="796020A4"/>
    <w:rsid w:val="796B6F7E"/>
    <w:rsid w:val="79935707"/>
    <w:rsid w:val="799A2128"/>
    <w:rsid w:val="79C30D65"/>
    <w:rsid w:val="79CC3295"/>
    <w:rsid w:val="79F17E25"/>
    <w:rsid w:val="7A0B1561"/>
    <w:rsid w:val="7A0F06C0"/>
    <w:rsid w:val="7A25258A"/>
    <w:rsid w:val="7A290229"/>
    <w:rsid w:val="7A2C646D"/>
    <w:rsid w:val="7A55546C"/>
    <w:rsid w:val="7A743686"/>
    <w:rsid w:val="7A7A4A93"/>
    <w:rsid w:val="7A824E2E"/>
    <w:rsid w:val="7A915354"/>
    <w:rsid w:val="7A93705D"/>
    <w:rsid w:val="7A9D4CAC"/>
    <w:rsid w:val="7A9E7BE0"/>
    <w:rsid w:val="7AFF6437"/>
    <w:rsid w:val="7B021BF1"/>
    <w:rsid w:val="7B073756"/>
    <w:rsid w:val="7B235B36"/>
    <w:rsid w:val="7B583BC8"/>
    <w:rsid w:val="7B9F2862"/>
    <w:rsid w:val="7BA9751C"/>
    <w:rsid w:val="7BAB44F6"/>
    <w:rsid w:val="7BB856C6"/>
    <w:rsid w:val="7BBB27D3"/>
    <w:rsid w:val="7BC24A45"/>
    <w:rsid w:val="7BC91D43"/>
    <w:rsid w:val="7BD52A90"/>
    <w:rsid w:val="7BF91A77"/>
    <w:rsid w:val="7C076616"/>
    <w:rsid w:val="7C0D60AB"/>
    <w:rsid w:val="7C1A30FB"/>
    <w:rsid w:val="7C295DFC"/>
    <w:rsid w:val="7C3061B3"/>
    <w:rsid w:val="7C4B37FA"/>
    <w:rsid w:val="7C58255B"/>
    <w:rsid w:val="7C5B5FF8"/>
    <w:rsid w:val="7C765AE8"/>
    <w:rsid w:val="7C910DB6"/>
    <w:rsid w:val="7CAE4F5E"/>
    <w:rsid w:val="7CF03F88"/>
    <w:rsid w:val="7CF73786"/>
    <w:rsid w:val="7D5E51C4"/>
    <w:rsid w:val="7D7525FB"/>
    <w:rsid w:val="7DC111D1"/>
    <w:rsid w:val="7DC43A43"/>
    <w:rsid w:val="7DC74225"/>
    <w:rsid w:val="7DDA69EF"/>
    <w:rsid w:val="7DE30977"/>
    <w:rsid w:val="7E0F36E1"/>
    <w:rsid w:val="7E107390"/>
    <w:rsid w:val="7E28570E"/>
    <w:rsid w:val="7E542EB1"/>
    <w:rsid w:val="7E6C26A2"/>
    <w:rsid w:val="7E77470B"/>
    <w:rsid w:val="7E7B2376"/>
    <w:rsid w:val="7EA4449E"/>
    <w:rsid w:val="7EB35583"/>
    <w:rsid w:val="7EB51C35"/>
    <w:rsid w:val="7EB5276C"/>
    <w:rsid w:val="7EBC57D7"/>
    <w:rsid w:val="7ED0794B"/>
    <w:rsid w:val="7ED70A6F"/>
    <w:rsid w:val="7EE20D78"/>
    <w:rsid w:val="7F3206AA"/>
    <w:rsid w:val="7F5E6382"/>
    <w:rsid w:val="7F5F2553"/>
    <w:rsid w:val="7F89742A"/>
    <w:rsid w:val="7F965783"/>
    <w:rsid w:val="7F990C03"/>
    <w:rsid w:val="7F9B22D0"/>
    <w:rsid w:val="7F9F74D0"/>
    <w:rsid w:val="7FA200C0"/>
    <w:rsid w:val="7FA23B7F"/>
    <w:rsid w:val="7FBE60DA"/>
    <w:rsid w:val="7FBF3588"/>
    <w:rsid w:val="7FD76BF0"/>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列出段落2"/>
    <w:basedOn w:val="1"/>
    <w:qFormat/>
    <w:uiPriority w:val="0"/>
    <w:pPr>
      <w:ind w:firstLine="420"/>
    </w:pPr>
    <w:rPr>
      <w:szCs w:val="21"/>
    </w:rPr>
  </w:style>
  <w:style w:type="paragraph" w:customStyle="1" w:styleId="99">
    <w:name w:val="样式 首行缩进: 0.74 厘米"/>
    <w:basedOn w:val="1"/>
    <w:qFormat/>
    <w:uiPriority w:val="99"/>
    <w:pPr>
      <w:widowControl/>
      <w:spacing w:before="100" w:after="200" w:line="273" w:lineRule="auto"/>
      <w:ind w:firstLine="420"/>
      <w:jc w:val="left"/>
    </w:pPr>
    <w:rPr>
      <w:rFonts w:ascii="Arial" w:hAnsi="Arial" w:eastAsia="仿宋_GB231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A3302-B624-4013-8317-49D77AA3A25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85</Pages>
  <Words>8916</Words>
  <Characters>50822</Characters>
  <Lines>423</Lines>
  <Paragraphs>119</Paragraphs>
  <TotalTime>1</TotalTime>
  <ScaleCrop>false</ScaleCrop>
  <LinksUpToDate>false</LinksUpToDate>
  <CharactersWithSpaces>59619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2021-07-28T07:11:00Z</dcterms:created>
  <dc:creator>风之客</dc:creator>
  <cp:lastModifiedBy>盼盼</cp:lastModifiedBy>
  <cp:lastPrinted>2020-07-23T09:32:00Z</cp:lastPrinted>
  <dcterms:modified xsi:type="dcterms:W3CDTF">2021-08-13T08:31:33Z</dcterms:modified>
  <dc:title>湖 北  招 标</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57366225EF78415A9D42DD1FC97469D6</vt:lpwstr>
  </property>
</Properties>
</file>