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rPr>
          <w:rFonts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30"/>
          <w:szCs w:val="30"/>
          <w:highlight w:val="none"/>
        </w:rPr>
        <w:drawing>
          <wp:anchor distT="0" distB="0" distL="114300" distR="114300" simplePos="0" relativeHeight="251660288" behindDoc="0" locked="0" layoutInCell="1" allowOverlap="1">
            <wp:simplePos x="0" y="0"/>
            <wp:positionH relativeFrom="column">
              <wp:posOffset>11430</wp:posOffset>
            </wp:positionH>
            <wp:positionV relativeFrom="paragraph">
              <wp:posOffset>62865</wp:posOffset>
            </wp:positionV>
            <wp:extent cx="1222375" cy="784860"/>
            <wp:effectExtent l="0" t="0" r="12065" b="762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rPr>
          <w:rFonts w:asciiTheme="minorEastAsia" w:hAnsiTheme="minorEastAsia" w:eastAsiaTheme="minorEastAsia" w:cstheme="minorEastAsia"/>
          <w:color w:val="auto"/>
          <w:sz w:val="28"/>
          <w:highlight w:val="none"/>
        </w:rPr>
      </w:pPr>
    </w:p>
    <w:p>
      <w:pPr>
        <w:kinsoku w:val="0"/>
        <w:overflowPunct w:val="0"/>
        <w:ind w:right="17"/>
        <w:jc w:val="center"/>
        <w:rPr>
          <w:rFonts w:asciiTheme="minorEastAsia" w:hAnsiTheme="minorEastAsia" w:eastAsiaTheme="minorEastAsia" w:cstheme="minorEastAsia"/>
          <w:color w:val="auto"/>
          <w:sz w:val="28"/>
          <w:highlight w:val="none"/>
        </w:rPr>
      </w:pPr>
    </w:p>
    <w:p>
      <w:pPr>
        <w:kinsoku w:val="0"/>
        <w:overflowPunct w:val="0"/>
        <w:ind w:right="17"/>
        <w:jc w:val="center"/>
        <w:rPr>
          <w:rFonts w:asciiTheme="minorEastAsia" w:hAnsiTheme="minorEastAsia" w:eastAsiaTheme="minorEastAsia" w:cstheme="minorEastAsia"/>
          <w:color w:val="auto"/>
          <w:sz w:val="28"/>
          <w:highlight w:val="none"/>
        </w:rPr>
      </w:pPr>
      <w:r>
        <w:rPr>
          <w:rFonts w:hint="eastAsia" w:asciiTheme="minorEastAsia" w:hAnsiTheme="minorEastAsia" w:eastAsiaTheme="minorEastAsia" w:cstheme="minorEastAsia"/>
          <w:color w:val="auto"/>
          <w:sz w:val="28"/>
          <w:highlight w:val="none"/>
        </w:rPr>
        <w:br w:type="textWrapping"/>
      </w:r>
      <w:r>
        <w:rPr>
          <w:rFonts w:hint="eastAsia" w:asciiTheme="minorEastAsia" w:hAnsiTheme="minorEastAsia" w:eastAsiaTheme="minorEastAsia" w:cstheme="minorEastAsia"/>
          <w:color w:val="auto"/>
          <w:sz w:val="28"/>
          <w:highlight w:val="none"/>
        </w:rPr>
        <w:br w:type="textWrapping"/>
      </w:r>
    </w:p>
    <w:p>
      <w:pPr>
        <w:pStyle w:val="10"/>
        <w:kinsoku w:val="0"/>
        <w:overflowPunct w:val="0"/>
        <w:spacing w:before="194"/>
        <w:jc w:val="center"/>
        <w:rPr>
          <w:rFonts w:asciiTheme="minorEastAsia" w:hAnsiTheme="minorEastAsia" w:eastAsiaTheme="minorEastAsia" w:cstheme="minorEastAsia"/>
          <w:color w:val="auto"/>
          <w:sz w:val="92"/>
          <w:highlight w:val="none"/>
        </w:rPr>
      </w:pPr>
      <w:r>
        <w:rPr>
          <w:rFonts w:hint="eastAsia" w:asciiTheme="minorEastAsia" w:hAnsiTheme="minorEastAsia" w:eastAsiaTheme="minorEastAsia" w:cstheme="minorEastAsia"/>
          <w:color w:val="auto"/>
          <w:sz w:val="92"/>
          <w:highlight w:val="none"/>
        </w:rPr>
        <w:t>竞争性磋商采购文件</w:t>
      </w:r>
    </w:p>
    <w:p>
      <w:pPr>
        <w:pStyle w:val="10"/>
        <w:kinsoku w:val="0"/>
        <w:overflowPunct w:val="0"/>
        <w:rPr>
          <w:rFonts w:asciiTheme="minorEastAsia" w:hAnsiTheme="minorEastAsia" w:eastAsiaTheme="minorEastAsia" w:cstheme="minorEastAsia"/>
          <w:color w:val="auto"/>
          <w:sz w:val="20"/>
          <w:highlight w:val="none"/>
        </w:rPr>
      </w:pPr>
    </w:p>
    <w:p>
      <w:pPr>
        <w:pStyle w:val="10"/>
        <w:kinsoku w:val="0"/>
        <w:overflowPunct w:val="0"/>
        <w:jc w:val="center"/>
        <w:rPr>
          <w:rFonts w:asciiTheme="minorEastAsia" w:hAnsiTheme="minorEastAsia" w:eastAsiaTheme="minorEastAsia" w:cstheme="minorEastAsia"/>
          <w:color w:val="auto"/>
          <w:sz w:val="20"/>
          <w:highlight w:val="none"/>
        </w:rPr>
      </w:pPr>
    </w:p>
    <w:p>
      <w:pPr>
        <w:pStyle w:val="10"/>
        <w:kinsoku w:val="0"/>
        <w:overflowPunct w:val="0"/>
        <w:rPr>
          <w:rFonts w:asciiTheme="minorEastAsia" w:hAnsiTheme="minorEastAsia" w:eastAsiaTheme="minorEastAsia" w:cstheme="minorEastAsia"/>
          <w:color w:val="auto"/>
          <w:sz w:val="20"/>
          <w:highlight w:val="none"/>
        </w:rPr>
      </w:pPr>
    </w:p>
    <w:p>
      <w:pPr>
        <w:pStyle w:val="10"/>
        <w:kinsoku w:val="0"/>
        <w:overflowPunct w:val="0"/>
        <w:rPr>
          <w:rFonts w:asciiTheme="minorEastAsia" w:hAnsiTheme="minorEastAsia" w:eastAsiaTheme="minorEastAsia" w:cstheme="minorEastAsia"/>
          <w:color w:val="auto"/>
          <w:sz w:val="20"/>
          <w:highlight w:val="none"/>
        </w:rPr>
      </w:pPr>
    </w:p>
    <w:p>
      <w:pPr>
        <w:pStyle w:val="10"/>
        <w:kinsoku w:val="0"/>
        <w:overflowPunct w:val="0"/>
        <w:spacing w:before="2" w:after="1"/>
        <w:rPr>
          <w:rFonts w:asciiTheme="minorEastAsia" w:hAnsiTheme="minorEastAsia" w:eastAsiaTheme="minorEastAsia" w:cstheme="minorEastAsia"/>
          <w:color w:val="auto"/>
          <w:sz w:val="11"/>
          <w:highlight w:val="none"/>
        </w:rPr>
      </w:pPr>
    </w:p>
    <w:tbl>
      <w:tblPr>
        <w:tblStyle w:val="26"/>
        <w:tblW w:w="8146" w:type="dxa"/>
        <w:tblInd w:w="690" w:type="dxa"/>
        <w:tblLayout w:type="fixed"/>
        <w:tblCellMar>
          <w:top w:w="0" w:type="dxa"/>
          <w:left w:w="0" w:type="dxa"/>
          <w:bottom w:w="0" w:type="dxa"/>
          <w:right w:w="0" w:type="dxa"/>
        </w:tblCellMar>
      </w:tblPr>
      <w:tblGrid>
        <w:gridCol w:w="2093"/>
        <w:gridCol w:w="6053"/>
      </w:tblGrid>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rPr>
                <w:rFonts w:hint="default" w:asciiTheme="minorEastAsia" w:hAnsiTheme="minorEastAsia" w:eastAsiaTheme="minorEastAsia" w:cstheme="minorEastAsia"/>
                <w:b/>
                <w:color w:val="auto"/>
                <w:sz w:val="28"/>
                <w:highlight w:val="none"/>
              </w:rPr>
            </w:pPr>
            <w:r>
              <w:rPr>
                <w:rFonts w:asciiTheme="minorEastAsia" w:hAnsiTheme="minorEastAsia" w:eastAsiaTheme="minorEastAsia" w:cstheme="minorEastAsia"/>
                <w:b/>
                <w:color w:val="auto"/>
                <w:sz w:val="28"/>
                <w:highlight w:val="none"/>
              </w:rPr>
              <w:t>项 目  编 号：</w:t>
            </w:r>
          </w:p>
        </w:tc>
        <w:tc>
          <w:tcPr>
            <w:tcW w:w="6053" w:type="dxa"/>
            <w:tcBorders>
              <w:top w:val="nil"/>
              <w:left w:val="nil"/>
              <w:bottom w:val="nil"/>
              <w:right w:val="nil"/>
              <w:tl2br w:val="nil"/>
              <w:tr2bl w:val="nil"/>
            </w:tcBorders>
            <w:vAlign w:val="center"/>
          </w:tcPr>
          <w:p>
            <w:pPr>
              <w:pStyle w:val="95"/>
              <w:kinsoku w:val="0"/>
              <w:overflowPunct w:val="0"/>
              <w:spacing w:before="122"/>
              <w:ind w:left="55"/>
              <w:rPr>
                <w:rFonts w:hint="default" w:asciiTheme="minorEastAsia" w:hAnsiTheme="minorEastAsia" w:eastAsiaTheme="minorEastAsia" w:cstheme="minorEastAsia"/>
                <w:b/>
                <w:color w:val="auto"/>
                <w:sz w:val="28"/>
                <w:highlight w:val="none"/>
              </w:rPr>
            </w:pPr>
            <w:r>
              <w:rPr>
                <w:rFonts w:asciiTheme="minorEastAsia" w:hAnsiTheme="minorEastAsia" w:eastAsiaTheme="minorEastAsia" w:cstheme="minorEastAsia"/>
                <w:b/>
                <w:color w:val="auto"/>
                <w:sz w:val="28"/>
                <w:highlight w:val="none"/>
              </w:rPr>
              <w:t>ZJZB-ZC-202107-218</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rPr>
                <w:rFonts w:hint="default" w:asciiTheme="minorEastAsia" w:hAnsiTheme="minorEastAsia" w:eastAsiaTheme="minorEastAsia" w:cstheme="minorEastAsia"/>
                <w:b/>
                <w:color w:val="auto"/>
                <w:sz w:val="28"/>
                <w:highlight w:val="none"/>
              </w:rPr>
            </w:pPr>
            <w:r>
              <w:rPr>
                <w:rFonts w:asciiTheme="minorEastAsia" w:hAnsiTheme="minorEastAsia" w:eastAsiaTheme="minorEastAsia" w:cstheme="minorEastAsia"/>
                <w:b/>
                <w:color w:val="auto"/>
                <w:sz w:val="28"/>
                <w:highlight w:val="none"/>
              </w:rPr>
              <w:t>项 目  名 称：</w:t>
            </w:r>
          </w:p>
        </w:tc>
        <w:tc>
          <w:tcPr>
            <w:tcW w:w="6053" w:type="dxa"/>
            <w:tcBorders>
              <w:top w:val="nil"/>
              <w:left w:val="nil"/>
              <w:bottom w:val="nil"/>
              <w:right w:val="nil"/>
              <w:tl2br w:val="nil"/>
              <w:tr2bl w:val="nil"/>
            </w:tcBorders>
            <w:vAlign w:val="center"/>
          </w:tcPr>
          <w:p>
            <w:pPr>
              <w:pStyle w:val="95"/>
              <w:kinsoku w:val="0"/>
              <w:overflowPunct w:val="0"/>
              <w:spacing w:before="123" w:line="242" w:lineRule="auto"/>
              <w:ind w:left="55" w:right="136"/>
              <w:rPr>
                <w:rFonts w:hint="default" w:asciiTheme="minorEastAsia" w:hAnsiTheme="minorEastAsia" w:eastAsiaTheme="minorEastAsia" w:cstheme="minorEastAsia"/>
                <w:b/>
                <w:color w:val="auto"/>
                <w:sz w:val="28"/>
                <w:highlight w:val="none"/>
              </w:rPr>
            </w:pPr>
            <w:r>
              <w:rPr>
                <w:rFonts w:asciiTheme="minorEastAsia" w:hAnsiTheme="minorEastAsia" w:eastAsiaTheme="minorEastAsia" w:cstheme="minorEastAsia"/>
                <w:b/>
                <w:color w:val="auto"/>
                <w:sz w:val="28"/>
                <w:highlight w:val="none"/>
              </w:rPr>
              <w:t>华中师范大学满江红大楼生活服务综合体联合经营项目</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auto"/>
                <w:sz w:val="28"/>
                <w:highlight w:val="none"/>
              </w:rPr>
            </w:pPr>
            <w:r>
              <w:rPr>
                <w:rFonts w:asciiTheme="minorEastAsia" w:hAnsiTheme="minorEastAsia" w:eastAsiaTheme="minorEastAsia" w:cstheme="minorEastAsia"/>
                <w:b/>
                <w:color w:val="auto"/>
                <w:sz w:val="28"/>
                <w:highlight w:val="none"/>
              </w:rPr>
              <w:t>采 购  方 式：</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rPr>
                <w:rFonts w:hint="default" w:asciiTheme="minorEastAsia" w:hAnsiTheme="minorEastAsia" w:eastAsiaTheme="minorEastAsia" w:cstheme="minorEastAsia"/>
                <w:b/>
                <w:color w:val="auto"/>
                <w:sz w:val="28"/>
                <w:highlight w:val="none"/>
              </w:rPr>
            </w:pPr>
            <w:r>
              <w:rPr>
                <w:rFonts w:asciiTheme="minorEastAsia" w:hAnsiTheme="minorEastAsia" w:eastAsiaTheme="minorEastAsia" w:cstheme="minorEastAsia"/>
                <w:b/>
                <w:color w:val="auto"/>
                <w:sz w:val="28"/>
                <w:highlight w:val="none"/>
              </w:rPr>
              <w:t>竞争性磋商</w:t>
            </w:r>
          </w:p>
        </w:tc>
      </w:tr>
      <w:tr>
        <w:tblPrEx>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auto"/>
                <w:sz w:val="28"/>
                <w:highlight w:val="none"/>
              </w:rPr>
            </w:pPr>
            <w:r>
              <w:rPr>
                <w:rFonts w:asciiTheme="minorEastAsia" w:hAnsiTheme="minorEastAsia" w:eastAsiaTheme="minorEastAsia" w:cstheme="minorEastAsia"/>
                <w:b/>
                <w:color w:val="auto"/>
                <w:sz w:val="28"/>
                <w:highlight w:val="none"/>
              </w:rPr>
              <w:t>采 购  类 别：</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rPr>
                <w:rFonts w:hint="default" w:asciiTheme="minorEastAsia" w:hAnsiTheme="minorEastAsia" w:eastAsiaTheme="minorEastAsia" w:cstheme="minorEastAsia"/>
                <w:b/>
                <w:color w:val="auto"/>
                <w:sz w:val="28"/>
                <w:highlight w:val="none"/>
              </w:rPr>
            </w:pPr>
            <w:r>
              <w:rPr>
                <w:rFonts w:asciiTheme="minorEastAsia" w:hAnsiTheme="minorEastAsia" w:eastAsiaTheme="minorEastAsia" w:cstheme="minorEastAsia"/>
                <w:b/>
                <w:color w:val="auto"/>
                <w:sz w:val="28"/>
                <w:highlight w:val="none"/>
              </w:rPr>
              <w:t>服务</w:t>
            </w:r>
          </w:p>
        </w:tc>
      </w:tr>
    </w:tbl>
    <w:p>
      <w:pPr>
        <w:pStyle w:val="10"/>
        <w:kinsoku w:val="0"/>
        <w:overflowPunct w:val="0"/>
        <w:rPr>
          <w:rFonts w:asciiTheme="minorEastAsia" w:hAnsiTheme="minorEastAsia" w:eastAsiaTheme="minorEastAsia" w:cstheme="minorEastAsia"/>
          <w:color w:val="auto"/>
          <w:sz w:val="20"/>
          <w:highlight w:val="none"/>
        </w:rPr>
      </w:pPr>
    </w:p>
    <w:p>
      <w:pPr>
        <w:pStyle w:val="10"/>
        <w:kinsoku w:val="0"/>
        <w:overflowPunct w:val="0"/>
        <w:rPr>
          <w:rFonts w:asciiTheme="minorEastAsia" w:hAnsiTheme="minorEastAsia" w:eastAsiaTheme="minorEastAsia" w:cstheme="minorEastAsia"/>
          <w:color w:val="auto"/>
          <w:sz w:val="20"/>
          <w:highlight w:val="none"/>
        </w:rPr>
      </w:pPr>
    </w:p>
    <w:p>
      <w:pPr>
        <w:pStyle w:val="10"/>
        <w:kinsoku w:val="0"/>
        <w:overflowPunct w:val="0"/>
        <w:rPr>
          <w:rFonts w:asciiTheme="minorEastAsia" w:hAnsiTheme="minorEastAsia" w:eastAsiaTheme="minorEastAsia" w:cstheme="minorEastAsia"/>
          <w:color w:val="auto"/>
          <w:sz w:val="20"/>
          <w:highlight w:val="none"/>
        </w:rPr>
      </w:pPr>
    </w:p>
    <w:p>
      <w:pPr>
        <w:pStyle w:val="10"/>
        <w:kinsoku w:val="0"/>
        <w:overflowPunct w:val="0"/>
        <w:rPr>
          <w:rFonts w:asciiTheme="minorEastAsia" w:hAnsiTheme="minorEastAsia" w:eastAsiaTheme="minorEastAsia" w:cstheme="minorEastAsia"/>
          <w:color w:val="auto"/>
          <w:sz w:val="20"/>
          <w:highlight w:val="none"/>
        </w:rPr>
      </w:pPr>
    </w:p>
    <w:p>
      <w:pPr>
        <w:pStyle w:val="10"/>
        <w:kinsoku w:val="0"/>
        <w:overflowPunct w:val="0"/>
        <w:rPr>
          <w:rFonts w:asciiTheme="minorEastAsia" w:hAnsiTheme="minorEastAsia" w:eastAsiaTheme="minorEastAsia" w:cstheme="minorEastAsia"/>
          <w:color w:val="auto"/>
          <w:sz w:val="20"/>
          <w:highlight w:val="none"/>
        </w:rPr>
      </w:pPr>
    </w:p>
    <w:p>
      <w:pPr>
        <w:pStyle w:val="10"/>
        <w:kinsoku w:val="0"/>
        <w:overflowPunct w:val="0"/>
        <w:rPr>
          <w:rFonts w:asciiTheme="minorEastAsia" w:hAnsiTheme="minorEastAsia" w:eastAsiaTheme="minorEastAsia" w:cstheme="minorEastAsia"/>
          <w:color w:val="auto"/>
          <w:sz w:val="20"/>
          <w:highlight w:val="none"/>
        </w:rPr>
      </w:pPr>
    </w:p>
    <w:p>
      <w:pPr>
        <w:pStyle w:val="10"/>
        <w:kinsoku w:val="0"/>
        <w:overflowPunct w:val="0"/>
        <w:rPr>
          <w:rFonts w:asciiTheme="minorEastAsia" w:hAnsiTheme="minorEastAsia" w:eastAsiaTheme="minorEastAsia" w:cstheme="minorEastAsia"/>
          <w:color w:val="auto"/>
          <w:sz w:val="20"/>
          <w:highlight w:val="none"/>
        </w:rPr>
      </w:pPr>
    </w:p>
    <w:p>
      <w:pPr>
        <w:pStyle w:val="10"/>
        <w:kinsoku w:val="0"/>
        <w:overflowPunct w:val="0"/>
        <w:spacing w:before="4"/>
        <w:rPr>
          <w:rFonts w:asciiTheme="minorEastAsia" w:hAnsiTheme="minorEastAsia" w:eastAsiaTheme="minorEastAsia" w:cstheme="minorEastAsia"/>
          <w:color w:val="auto"/>
          <w:sz w:val="20"/>
          <w:highlight w:val="none"/>
        </w:rPr>
      </w:pPr>
    </w:p>
    <w:tbl>
      <w:tblPr>
        <w:tblStyle w:val="26"/>
        <w:tblW w:w="8123" w:type="dxa"/>
        <w:tblInd w:w="713" w:type="dxa"/>
        <w:tblLayout w:type="fixed"/>
        <w:tblCellMar>
          <w:top w:w="0" w:type="dxa"/>
          <w:left w:w="0" w:type="dxa"/>
          <w:bottom w:w="0" w:type="dxa"/>
          <w:right w:w="0" w:type="dxa"/>
        </w:tblCellMar>
      </w:tblPr>
      <w:tblGrid>
        <w:gridCol w:w="2041"/>
        <w:gridCol w:w="6082"/>
      </w:tblGrid>
      <w:tr>
        <w:tblPrEx>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auto"/>
                <w:sz w:val="28"/>
                <w:highlight w:val="none"/>
              </w:rPr>
            </w:pPr>
            <w:r>
              <w:rPr>
                <w:rFonts w:asciiTheme="minorEastAsia" w:hAnsiTheme="minorEastAsia" w:eastAsiaTheme="minorEastAsia" w:cstheme="minorEastAsia"/>
                <w:b/>
                <w:color w:val="auto"/>
                <w:sz w:val="28"/>
                <w:highlight w:val="none"/>
              </w:rPr>
              <w:t>采   购   人：</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auto"/>
                <w:sz w:val="28"/>
                <w:highlight w:val="none"/>
              </w:rPr>
            </w:pPr>
            <w:r>
              <w:rPr>
                <w:rFonts w:asciiTheme="minorEastAsia" w:hAnsiTheme="minorEastAsia" w:eastAsiaTheme="minorEastAsia" w:cstheme="minorEastAsia"/>
                <w:b/>
                <w:color w:val="auto"/>
                <w:sz w:val="28"/>
                <w:highlight w:val="none"/>
              </w:rPr>
              <w:t>华中师范大学</w:t>
            </w:r>
          </w:p>
        </w:tc>
      </w:tr>
      <w:tr>
        <w:tblPrEx>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auto"/>
                <w:sz w:val="28"/>
                <w:highlight w:val="none"/>
              </w:rPr>
            </w:pPr>
            <w:r>
              <w:rPr>
                <w:rFonts w:asciiTheme="minorEastAsia" w:hAnsiTheme="minorEastAsia" w:eastAsiaTheme="minorEastAsia" w:cstheme="minorEastAsia"/>
                <w:b/>
                <w:color w:val="auto"/>
                <w:sz w:val="28"/>
                <w:highlight w:val="none"/>
              </w:rPr>
              <w:t>采购代理机构：</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auto"/>
                <w:sz w:val="28"/>
                <w:highlight w:val="none"/>
              </w:rPr>
            </w:pPr>
            <w:r>
              <w:rPr>
                <w:rFonts w:asciiTheme="minorEastAsia" w:hAnsiTheme="minorEastAsia" w:eastAsiaTheme="minorEastAsia" w:cstheme="minorEastAsia"/>
                <w:b/>
                <w:color w:val="auto"/>
                <w:sz w:val="28"/>
                <w:highlight w:val="none"/>
              </w:rPr>
              <w:t>中经国际招标集团有限公司</w:t>
            </w:r>
          </w:p>
        </w:tc>
      </w:tr>
      <w:tr>
        <w:tblPrEx>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auto"/>
                <w:sz w:val="28"/>
                <w:highlight w:val="none"/>
              </w:rPr>
            </w:pPr>
            <w:r>
              <w:rPr>
                <w:rFonts w:asciiTheme="minorEastAsia" w:hAnsiTheme="minorEastAsia" w:eastAsiaTheme="minorEastAsia" w:cstheme="minorEastAsia"/>
                <w:b/>
                <w:color w:val="auto"/>
                <w:sz w:val="28"/>
                <w:highlight w:val="none"/>
              </w:rPr>
              <w:t>编 制 时 间 ：</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rPr>
                <w:rFonts w:hint="default" w:asciiTheme="minorEastAsia" w:hAnsiTheme="minorEastAsia" w:eastAsiaTheme="minorEastAsia" w:cstheme="minorEastAsia"/>
                <w:b/>
                <w:color w:val="auto"/>
                <w:sz w:val="28"/>
                <w:highlight w:val="none"/>
              </w:rPr>
            </w:pPr>
            <w:r>
              <w:rPr>
                <w:rFonts w:asciiTheme="minorEastAsia" w:hAnsiTheme="minorEastAsia" w:eastAsiaTheme="minorEastAsia" w:cstheme="minorEastAsia"/>
                <w:b/>
                <w:color w:val="auto"/>
                <w:sz w:val="28"/>
                <w:highlight w:val="none"/>
              </w:rPr>
              <w:t>2021年7月</w:t>
            </w:r>
          </w:p>
        </w:tc>
      </w:tr>
    </w:tbl>
    <w:p>
      <w:pPr>
        <w:rPr>
          <w:rFonts w:asciiTheme="minorEastAsia" w:hAnsiTheme="minorEastAsia" w:eastAsiaTheme="minorEastAsia" w:cstheme="minorEastAsia"/>
          <w:color w:val="auto"/>
          <w:sz w:val="20"/>
          <w:highlight w:val="none"/>
        </w:rPr>
        <w:sectPr>
          <w:type w:val="continuous"/>
          <w:pgSz w:w="11910" w:h="16840"/>
          <w:pgMar w:top="1400" w:right="1200" w:bottom="280" w:left="1200" w:header="720" w:footer="720" w:gutter="0"/>
          <w:cols w:space="720" w:num="1"/>
        </w:sectPr>
      </w:pPr>
    </w:p>
    <w:p>
      <w:pPr>
        <w:spacing w:line="360" w:lineRule="auto"/>
        <w:jc w:val="center"/>
        <w:rPr>
          <w:rFonts w:asciiTheme="minorEastAsia" w:hAnsiTheme="minorEastAsia" w:eastAsiaTheme="minorEastAsia" w:cstheme="minorEastAsia"/>
          <w:b/>
          <w:bCs/>
          <w:color w:val="auto"/>
          <w:sz w:val="24"/>
          <w:highlight w:val="none"/>
          <w:lang w:val="zh-CN"/>
        </w:rPr>
      </w:pPr>
      <w:r>
        <w:rPr>
          <w:rFonts w:hint="eastAsia" w:asciiTheme="minorEastAsia" w:hAnsiTheme="minorEastAsia" w:eastAsiaTheme="minorEastAsia" w:cstheme="minorEastAsia"/>
          <w:b/>
          <w:bCs/>
          <w:color w:val="auto"/>
          <w:sz w:val="24"/>
          <w:highlight w:val="none"/>
          <w:lang w:val="zh-CN"/>
        </w:rPr>
        <w:t>目  录</w:t>
      </w:r>
    </w:p>
    <w:p>
      <w:pPr>
        <w:pStyle w:val="20"/>
        <w:tabs>
          <w:tab w:val="right" w:leader="dot" w:pos="9072"/>
        </w:tabs>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TOC \o "1-3" \h \z \u </w:instrText>
      </w:r>
      <w:r>
        <w:rPr>
          <w:rFonts w:hint="eastAsia" w:asciiTheme="minorEastAsia" w:hAnsiTheme="minorEastAsia" w:eastAsiaTheme="minorEastAsia" w:cstheme="minorEastAsia"/>
          <w:color w:val="auto"/>
          <w:szCs w:val="21"/>
          <w:highlight w:val="none"/>
        </w:rPr>
        <w:fldChar w:fldCharType="separate"/>
      </w:r>
      <w:r>
        <w:rPr>
          <w:color w:val="auto"/>
          <w:highlight w:val="none"/>
        </w:rPr>
        <w:fldChar w:fldCharType="begin"/>
      </w:r>
      <w:r>
        <w:rPr>
          <w:color w:val="auto"/>
          <w:highlight w:val="none"/>
        </w:rPr>
        <w:instrText xml:space="preserve"> HYPERLINK \l "_Toc6363" </w:instrText>
      </w:r>
      <w:r>
        <w:rPr>
          <w:color w:val="auto"/>
          <w:highlight w:val="none"/>
        </w:rPr>
        <w:fldChar w:fldCharType="separate"/>
      </w:r>
      <w:r>
        <w:rPr>
          <w:rFonts w:hint="eastAsia" w:asciiTheme="minorEastAsia" w:hAnsiTheme="minorEastAsia" w:eastAsiaTheme="minorEastAsia" w:cstheme="minorEastAsia"/>
          <w:bCs/>
          <w:color w:val="auto"/>
          <w:szCs w:val="21"/>
          <w:highlight w:val="none"/>
        </w:rPr>
        <w:t xml:space="preserve">第一章 </w:t>
      </w:r>
      <w:r>
        <w:rPr>
          <w:rFonts w:hint="eastAsia" w:asciiTheme="minorEastAsia" w:hAnsiTheme="minorEastAsia" w:eastAsiaTheme="minorEastAsia" w:cstheme="minorEastAsia"/>
          <w:color w:val="auto"/>
          <w:szCs w:val="21"/>
          <w:highlight w:val="none"/>
        </w:rPr>
        <w:t>竞争性磋商公告</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_Toc6363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5</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"_Toc6475"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一、 项目基本情况</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_Toc6475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5</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"_Toc17986"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二、 申请人的资格要求</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_Toc17986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6</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"_Toc25596"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三、 获取采购文件</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_Toc25596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6</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"_Toc20123"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四、 响应文件提交</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_Toc20123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7</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"_Toc28228"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五、 开启</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_Toc28228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7</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"_Toc12264"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六、 公告期限</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_Toc12264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7</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"_Toc2961"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七、 其他补充事宜</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_Toc2961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7</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"_Toc20355"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八、 凡对本次采购提出询问，请按以下方式联系</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_Toc20355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7</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"_Toc5336"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九、 注意事项</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_Toc5336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8</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0"/>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"_Toc3981"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第二章 供应商须知</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_Toc3981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9</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"_Toc1221"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《供应商须知前附表》</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_Toc1221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9</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"_Toc25796"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供应商须知</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_Toc25796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13</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"_Toc30402"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一、 总则</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_Toc30402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13</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"_Toc6153"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1、 适用法律及范围</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_Toc6153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13</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"_Toc9947"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2、 定义</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_Toc9947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13</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"_Toc31012"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 xml:space="preserve">3、 </w:t>
      </w:r>
      <w:r>
        <w:rPr>
          <w:rFonts w:hint="eastAsia" w:asciiTheme="minorEastAsia" w:hAnsiTheme="minorEastAsia" w:eastAsiaTheme="minorEastAsia" w:cstheme="minorEastAsia"/>
          <w:snapToGrid w:val="0"/>
          <w:color w:val="auto"/>
          <w:kern w:val="0"/>
          <w:szCs w:val="21"/>
          <w:highlight w:val="none"/>
          <w:lang w:val="zh-CN"/>
        </w:rPr>
        <w:t>工程、货物及服务</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_Toc31012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13</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"_Toc16894"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4、 费用</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_Toc16894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13</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"_Toc13439"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二、 竞争性磋商采购文件</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_Toc13439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14</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"_Toc4412"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5、 竞争性磋商采购文件的构成</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_Toc4412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14</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"_Toc19446" </w:instrText>
      </w:r>
      <w:r>
        <w:rPr>
          <w:color w:val="auto"/>
          <w:highlight w:val="none"/>
        </w:rPr>
        <w:fldChar w:fldCharType="separate"/>
      </w:r>
      <w:r>
        <w:rPr>
          <w:rFonts w:hint="eastAsia" w:asciiTheme="minorEastAsia" w:hAnsiTheme="minorEastAsia" w:eastAsiaTheme="minorEastAsia" w:cstheme="minorEastAsia"/>
          <w:snapToGrid w:val="0"/>
          <w:color w:val="auto"/>
          <w:kern w:val="0"/>
          <w:szCs w:val="21"/>
          <w:highlight w:val="none"/>
          <w:lang w:val="zh-CN"/>
        </w:rPr>
        <w:t>6、 竞争性磋商采购文件的澄清</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_Toc19446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15</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"_Toc8166" </w:instrText>
      </w:r>
      <w:r>
        <w:rPr>
          <w:color w:val="auto"/>
          <w:highlight w:val="none"/>
        </w:rPr>
        <w:fldChar w:fldCharType="separate"/>
      </w:r>
      <w:r>
        <w:rPr>
          <w:rFonts w:hint="eastAsia" w:asciiTheme="minorEastAsia" w:hAnsiTheme="minorEastAsia" w:eastAsiaTheme="minorEastAsia" w:cstheme="minorEastAsia"/>
          <w:snapToGrid w:val="0"/>
          <w:color w:val="auto"/>
          <w:kern w:val="0"/>
          <w:szCs w:val="21"/>
          <w:highlight w:val="none"/>
          <w:lang w:val="zh-CN"/>
        </w:rPr>
        <w:t>7、 竞争性磋商采购文件的修改</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_Toc8166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15</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"_Toc29421"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三、 竞争性磋商响应文件</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_Toc29421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15</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"_Toc15295" </w:instrText>
      </w:r>
      <w:r>
        <w:rPr>
          <w:color w:val="auto"/>
          <w:highlight w:val="none"/>
        </w:rPr>
        <w:fldChar w:fldCharType="separate"/>
      </w:r>
      <w:r>
        <w:rPr>
          <w:rFonts w:hint="eastAsia" w:asciiTheme="minorEastAsia" w:hAnsiTheme="minorEastAsia" w:eastAsiaTheme="minorEastAsia" w:cstheme="minorEastAsia"/>
          <w:snapToGrid w:val="0"/>
          <w:color w:val="auto"/>
          <w:kern w:val="0"/>
          <w:szCs w:val="21"/>
          <w:highlight w:val="none"/>
          <w:lang w:val="zh-CN"/>
        </w:rPr>
        <w:t>8、 语言和计量单位</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_Toc15295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15</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"_Toc20553" </w:instrText>
      </w:r>
      <w:r>
        <w:rPr>
          <w:color w:val="auto"/>
          <w:highlight w:val="none"/>
        </w:rPr>
        <w:fldChar w:fldCharType="separate"/>
      </w:r>
      <w:r>
        <w:rPr>
          <w:rFonts w:hint="eastAsia" w:asciiTheme="minorEastAsia" w:hAnsiTheme="minorEastAsia" w:eastAsiaTheme="minorEastAsia" w:cstheme="minorEastAsia"/>
          <w:snapToGrid w:val="0"/>
          <w:color w:val="auto"/>
          <w:kern w:val="0"/>
          <w:szCs w:val="21"/>
          <w:highlight w:val="none"/>
          <w:lang w:val="zh-CN"/>
        </w:rPr>
        <w:t>9、 竞争性磋商响应文件的构成</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_Toc20553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15</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"_Toc26524" </w:instrText>
      </w:r>
      <w:r>
        <w:rPr>
          <w:color w:val="auto"/>
          <w:highlight w:val="none"/>
        </w:rPr>
        <w:fldChar w:fldCharType="separate"/>
      </w:r>
      <w:r>
        <w:rPr>
          <w:rFonts w:hint="eastAsia" w:asciiTheme="minorEastAsia" w:hAnsiTheme="minorEastAsia" w:eastAsiaTheme="minorEastAsia" w:cstheme="minorEastAsia"/>
          <w:snapToGrid w:val="0"/>
          <w:color w:val="auto"/>
          <w:kern w:val="0"/>
          <w:szCs w:val="21"/>
          <w:highlight w:val="none"/>
          <w:lang w:val="zh-CN"/>
        </w:rPr>
        <w:t>10、 竞争性磋商响应文件的编制</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_Toc26524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16</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"_Toc32001" </w:instrText>
      </w:r>
      <w:r>
        <w:rPr>
          <w:color w:val="auto"/>
          <w:highlight w:val="none"/>
        </w:rPr>
        <w:fldChar w:fldCharType="separate"/>
      </w:r>
      <w:r>
        <w:rPr>
          <w:rFonts w:hint="eastAsia" w:asciiTheme="minorEastAsia" w:hAnsiTheme="minorEastAsia" w:eastAsiaTheme="minorEastAsia" w:cstheme="minorEastAsia"/>
          <w:snapToGrid w:val="0"/>
          <w:color w:val="auto"/>
          <w:kern w:val="0"/>
          <w:szCs w:val="21"/>
          <w:highlight w:val="none"/>
          <w:lang w:val="zh-CN"/>
        </w:rPr>
        <w:t>11、 磋商报价</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_Toc32001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16</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"_Toc23591" </w:instrText>
      </w:r>
      <w:r>
        <w:rPr>
          <w:color w:val="auto"/>
          <w:highlight w:val="none"/>
        </w:rPr>
        <w:fldChar w:fldCharType="separate"/>
      </w:r>
      <w:r>
        <w:rPr>
          <w:rFonts w:hint="eastAsia" w:asciiTheme="minorEastAsia" w:hAnsiTheme="minorEastAsia" w:eastAsiaTheme="minorEastAsia" w:cstheme="minorEastAsia"/>
          <w:snapToGrid w:val="0"/>
          <w:color w:val="auto"/>
          <w:kern w:val="0"/>
          <w:szCs w:val="21"/>
          <w:highlight w:val="none"/>
          <w:lang w:val="zh-CN"/>
        </w:rPr>
        <w:t>12、 备选方案</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_Toc23591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16</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"_Toc3168" </w:instrText>
      </w:r>
      <w:r>
        <w:rPr>
          <w:color w:val="auto"/>
          <w:highlight w:val="none"/>
        </w:rPr>
        <w:fldChar w:fldCharType="separate"/>
      </w:r>
      <w:r>
        <w:rPr>
          <w:rFonts w:hint="eastAsia" w:asciiTheme="minorEastAsia" w:hAnsiTheme="minorEastAsia" w:eastAsiaTheme="minorEastAsia" w:cstheme="minorEastAsia"/>
          <w:snapToGrid w:val="0"/>
          <w:color w:val="auto"/>
          <w:kern w:val="0"/>
          <w:szCs w:val="21"/>
          <w:highlight w:val="none"/>
          <w:lang w:val="zh-CN"/>
        </w:rPr>
        <w:t>13、 联合体</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_Toc3168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16</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"_Toc20391" </w:instrText>
      </w:r>
      <w:r>
        <w:rPr>
          <w:color w:val="auto"/>
          <w:highlight w:val="none"/>
        </w:rPr>
        <w:fldChar w:fldCharType="separate"/>
      </w:r>
      <w:r>
        <w:rPr>
          <w:rFonts w:hint="eastAsia" w:asciiTheme="minorEastAsia" w:hAnsiTheme="minorEastAsia" w:eastAsiaTheme="minorEastAsia" w:cstheme="minorEastAsia"/>
          <w:snapToGrid w:val="0"/>
          <w:color w:val="auto"/>
          <w:kern w:val="0"/>
          <w:szCs w:val="21"/>
          <w:highlight w:val="none"/>
          <w:lang w:val="zh-CN"/>
        </w:rPr>
        <w:t>14、 供应商资格证明文件</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_Toc20391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17</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"_Toc4911" </w:instrText>
      </w:r>
      <w:r>
        <w:rPr>
          <w:color w:val="auto"/>
          <w:highlight w:val="none"/>
        </w:rPr>
        <w:fldChar w:fldCharType="separate"/>
      </w:r>
      <w:r>
        <w:rPr>
          <w:rFonts w:hint="eastAsia" w:asciiTheme="minorEastAsia" w:hAnsiTheme="minorEastAsia" w:eastAsiaTheme="minorEastAsia" w:cstheme="minorEastAsia"/>
          <w:snapToGrid w:val="0"/>
          <w:color w:val="auto"/>
          <w:kern w:val="0"/>
          <w:szCs w:val="21"/>
          <w:highlight w:val="none"/>
          <w:lang w:val="zh-CN"/>
        </w:rPr>
        <w:t>15、 证明报价内容、服务合格性和符合竞争性磋商采购文件规定的文件</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_Toc4911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17</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"_Toc17646" </w:instrText>
      </w:r>
      <w:r>
        <w:rPr>
          <w:color w:val="auto"/>
          <w:highlight w:val="none"/>
        </w:rPr>
        <w:fldChar w:fldCharType="separate"/>
      </w:r>
      <w:r>
        <w:rPr>
          <w:rFonts w:hint="eastAsia" w:asciiTheme="minorEastAsia" w:hAnsiTheme="minorEastAsia" w:eastAsiaTheme="minorEastAsia" w:cstheme="minorEastAsia"/>
          <w:snapToGrid w:val="0"/>
          <w:color w:val="auto"/>
          <w:kern w:val="0"/>
          <w:szCs w:val="21"/>
          <w:highlight w:val="none"/>
          <w:lang w:val="zh-CN"/>
        </w:rPr>
        <w:t>16、 磋商保证金</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_Toc17646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17</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"_Toc3426" </w:instrText>
      </w:r>
      <w:r>
        <w:rPr>
          <w:color w:val="auto"/>
          <w:highlight w:val="none"/>
        </w:rPr>
        <w:fldChar w:fldCharType="separate"/>
      </w:r>
      <w:r>
        <w:rPr>
          <w:rFonts w:hint="eastAsia" w:asciiTheme="minorEastAsia" w:hAnsiTheme="minorEastAsia" w:eastAsiaTheme="minorEastAsia" w:cstheme="minorEastAsia"/>
          <w:snapToGrid w:val="0"/>
          <w:color w:val="auto"/>
          <w:kern w:val="0"/>
          <w:szCs w:val="21"/>
          <w:highlight w:val="none"/>
          <w:lang w:val="zh-CN"/>
        </w:rPr>
        <w:t>17、 磋商有效期</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_Toc3426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18</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"_Toc25313" </w:instrText>
      </w:r>
      <w:r>
        <w:rPr>
          <w:color w:val="auto"/>
          <w:highlight w:val="none"/>
        </w:rPr>
        <w:fldChar w:fldCharType="separate"/>
      </w:r>
      <w:r>
        <w:rPr>
          <w:rFonts w:hint="eastAsia" w:asciiTheme="minorEastAsia" w:hAnsiTheme="minorEastAsia" w:eastAsiaTheme="minorEastAsia" w:cstheme="minorEastAsia"/>
          <w:snapToGrid w:val="0"/>
          <w:color w:val="auto"/>
          <w:kern w:val="0"/>
          <w:szCs w:val="21"/>
          <w:highlight w:val="none"/>
          <w:lang w:val="zh-CN"/>
        </w:rPr>
        <w:t>18、 竞争性磋商响应文件的装订、签署和数量</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_Toc25313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18</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"_Toc15872"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四、 竞争性磋商响应文件的递交</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_Toc15872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18</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"_Toc8513" </w:instrText>
      </w:r>
      <w:r>
        <w:rPr>
          <w:color w:val="auto"/>
          <w:highlight w:val="none"/>
        </w:rPr>
        <w:fldChar w:fldCharType="separate"/>
      </w:r>
      <w:r>
        <w:rPr>
          <w:rFonts w:hint="eastAsia" w:asciiTheme="minorEastAsia" w:hAnsiTheme="minorEastAsia" w:eastAsiaTheme="minorEastAsia" w:cstheme="minorEastAsia"/>
          <w:snapToGrid w:val="0"/>
          <w:color w:val="auto"/>
          <w:kern w:val="0"/>
          <w:szCs w:val="21"/>
          <w:highlight w:val="none"/>
          <w:lang w:val="zh-CN"/>
        </w:rPr>
        <w:t xml:space="preserve">19、 </w:t>
      </w:r>
      <w:r>
        <w:rPr>
          <w:rFonts w:hint="eastAsia" w:asciiTheme="minorEastAsia" w:hAnsiTheme="minorEastAsia" w:eastAsiaTheme="minorEastAsia" w:cstheme="minorEastAsia"/>
          <w:color w:val="auto"/>
          <w:szCs w:val="21"/>
          <w:highlight w:val="none"/>
        </w:rPr>
        <w:t>竞争性磋商响应文件</w:t>
      </w:r>
      <w:r>
        <w:rPr>
          <w:rFonts w:hint="eastAsia" w:asciiTheme="minorEastAsia" w:hAnsiTheme="minorEastAsia" w:eastAsiaTheme="minorEastAsia" w:cstheme="minorEastAsia"/>
          <w:snapToGrid w:val="0"/>
          <w:color w:val="auto"/>
          <w:kern w:val="0"/>
          <w:szCs w:val="21"/>
          <w:highlight w:val="none"/>
          <w:lang w:val="zh-CN"/>
        </w:rPr>
        <w:t>的密封和标记</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_Toc8513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18</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"_Toc17235" </w:instrText>
      </w:r>
      <w:r>
        <w:rPr>
          <w:color w:val="auto"/>
          <w:highlight w:val="none"/>
        </w:rPr>
        <w:fldChar w:fldCharType="separate"/>
      </w:r>
      <w:r>
        <w:rPr>
          <w:rFonts w:hint="eastAsia" w:asciiTheme="minorEastAsia" w:hAnsiTheme="minorEastAsia" w:eastAsiaTheme="minorEastAsia" w:cstheme="minorEastAsia"/>
          <w:snapToGrid w:val="0"/>
          <w:color w:val="auto"/>
          <w:kern w:val="0"/>
          <w:szCs w:val="21"/>
          <w:highlight w:val="none"/>
          <w:lang w:val="zh-CN"/>
        </w:rPr>
        <w:t>20、 竞争性磋商响应文件的送达地点及截止时间</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_Toc17235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19</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"_Toc15504" </w:instrText>
      </w:r>
      <w:r>
        <w:rPr>
          <w:color w:val="auto"/>
          <w:highlight w:val="none"/>
        </w:rPr>
        <w:fldChar w:fldCharType="separate"/>
      </w:r>
      <w:r>
        <w:rPr>
          <w:rFonts w:hint="eastAsia" w:asciiTheme="minorEastAsia" w:hAnsiTheme="minorEastAsia" w:eastAsiaTheme="minorEastAsia" w:cstheme="minorEastAsia"/>
          <w:snapToGrid w:val="0"/>
          <w:color w:val="auto"/>
          <w:kern w:val="0"/>
          <w:szCs w:val="21"/>
          <w:highlight w:val="none"/>
          <w:lang w:val="zh-CN"/>
        </w:rPr>
        <w:t>21、 迟交的竞争性磋商响应文件</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_Toc15504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19</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"_Toc10669" </w:instrText>
      </w:r>
      <w:r>
        <w:rPr>
          <w:color w:val="auto"/>
          <w:highlight w:val="none"/>
        </w:rPr>
        <w:fldChar w:fldCharType="separate"/>
      </w:r>
      <w:r>
        <w:rPr>
          <w:rFonts w:hint="eastAsia" w:asciiTheme="minorEastAsia" w:hAnsiTheme="minorEastAsia" w:eastAsiaTheme="minorEastAsia" w:cstheme="minorEastAsia"/>
          <w:snapToGrid w:val="0"/>
          <w:color w:val="auto"/>
          <w:kern w:val="0"/>
          <w:szCs w:val="21"/>
          <w:highlight w:val="none"/>
          <w:lang w:val="zh-CN"/>
        </w:rPr>
        <w:t>22、 竞争性磋商响应文件的补充、修改或者撤回</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_Toc10669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19</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"_Toc12875"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五、 磋商程序及步骤</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_Toc12875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19</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"_Toc22851" </w:instrText>
      </w:r>
      <w:r>
        <w:rPr>
          <w:color w:val="auto"/>
          <w:highlight w:val="none"/>
        </w:rPr>
        <w:fldChar w:fldCharType="separate"/>
      </w:r>
      <w:r>
        <w:rPr>
          <w:rFonts w:hint="eastAsia" w:asciiTheme="minorEastAsia" w:hAnsiTheme="minorEastAsia" w:eastAsiaTheme="minorEastAsia" w:cstheme="minorEastAsia"/>
          <w:snapToGrid w:val="0"/>
          <w:color w:val="auto"/>
          <w:kern w:val="0"/>
          <w:szCs w:val="21"/>
          <w:highlight w:val="none"/>
          <w:lang w:val="zh-CN"/>
        </w:rPr>
        <w:t xml:space="preserve">23、 </w:t>
      </w:r>
      <w:r>
        <w:rPr>
          <w:rFonts w:hint="eastAsia" w:asciiTheme="minorEastAsia" w:hAnsiTheme="minorEastAsia" w:eastAsiaTheme="minorEastAsia" w:cstheme="minorEastAsia"/>
          <w:color w:val="auto"/>
          <w:szCs w:val="21"/>
          <w:highlight w:val="none"/>
        </w:rPr>
        <w:t>竞争性磋商小组</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_Toc22851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19</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"_Toc20435" </w:instrText>
      </w:r>
      <w:r>
        <w:rPr>
          <w:color w:val="auto"/>
          <w:highlight w:val="none"/>
        </w:rPr>
        <w:fldChar w:fldCharType="separate"/>
      </w:r>
      <w:r>
        <w:rPr>
          <w:rFonts w:hint="eastAsia" w:asciiTheme="minorEastAsia" w:hAnsiTheme="minorEastAsia" w:eastAsiaTheme="minorEastAsia" w:cstheme="minorEastAsia"/>
          <w:snapToGrid w:val="0"/>
          <w:color w:val="auto"/>
          <w:kern w:val="0"/>
          <w:szCs w:val="21"/>
          <w:highlight w:val="none"/>
          <w:lang w:val="zh-CN"/>
        </w:rPr>
        <w:t xml:space="preserve">24、 </w:t>
      </w:r>
      <w:r>
        <w:rPr>
          <w:rFonts w:hint="eastAsia" w:asciiTheme="minorEastAsia" w:hAnsiTheme="minorEastAsia" w:eastAsiaTheme="minorEastAsia" w:cstheme="minorEastAsia"/>
          <w:color w:val="auto"/>
          <w:szCs w:val="21"/>
          <w:highlight w:val="none"/>
        </w:rPr>
        <w:t>磋商代表</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_Toc20435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19</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"_Toc24556"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25、 资格审查和符合性审查</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_Toc24556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20</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"_Toc29110"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26、 磋商</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_Toc29110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20</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"_Toc24005" </w:instrText>
      </w:r>
      <w:r>
        <w:rPr>
          <w:color w:val="auto"/>
          <w:highlight w:val="none"/>
        </w:rPr>
        <w:fldChar w:fldCharType="separate"/>
      </w:r>
      <w:r>
        <w:rPr>
          <w:rFonts w:hint="eastAsia" w:asciiTheme="minorEastAsia" w:hAnsiTheme="minorEastAsia" w:eastAsiaTheme="minorEastAsia" w:cstheme="minorEastAsia"/>
          <w:color w:val="auto"/>
          <w:szCs w:val="21"/>
          <w:highlight w:val="none"/>
          <w:lang w:val="zh-CN"/>
        </w:rPr>
        <w:t>27、 保密</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_Toc24005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21</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"_Toc15936"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六、 成交与签订合同</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_Toc15936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21</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"_Toc21514" </w:instrText>
      </w:r>
      <w:r>
        <w:rPr>
          <w:color w:val="auto"/>
          <w:highlight w:val="none"/>
        </w:rPr>
        <w:fldChar w:fldCharType="separate"/>
      </w:r>
      <w:r>
        <w:rPr>
          <w:rFonts w:hint="eastAsia" w:asciiTheme="minorEastAsia" w:hAnsiTheme="minorEastAsia" w:eastAsiaTheme="minorEastAsia" w:cstheme="minorEastAsia"/>
          <w:color w:val="auto"/>
          <w:szCs w:val="21"/>
          <w:highlight w:val="none"/>
          <w:lang w:val="zh-CN"/>
        </w:rPr>
        <w:t>28、 合同授予标准</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_Toc21514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21</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"_Toc15727" </w:instrText>
      </w:r>
      <w:r>
        <w:rPr>
          <w:color w:val="auto"/>
          <w:highlight w:val="none"/>
        </w:rPr>
        <w:fldChar w:fldCharType="separate"/>
      </w:r>
      <w:r>
        <w:rPr>
          <w:rFonts w:hint="eastAsia" w:asciiTheme="minorEastAsia" w:hAnsiTheme="minorEastAsia" w:eastAsiaTheme="minorEastAsia" w:cstheme="minorEastAsia"/>
          <w:color w:val="auto"/>
          <w:szCs w:val="21"/>
          <w:highlight w:val="none"/>
          <w:lang w:val="zh-CN"/>
        </w:rPr>
        <w:t>29、 签订合同</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_Toc15727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21</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"_Toc20387" </w:instrText>
      </w:r>
      <w:r>
        <w:rPr>
          <w:color w:val="auto"/>
          <w:highlight w:val="none"/>
        </w:rPr>
        <w:fldChar w:fldCharType="separate"/>
      </w:r>
      <w:r>
        <w:rPr>
          <w:rFonts w:hint="eastAsia" w:asciiTheme="minorEastAsia" w:hAnsiTheme="minorEastAsia" w:eastAsiaTheme="minorEastAsia" w:cstheme="minorEastAsia"/>
          <w:color w:val="auto"/>
          <w:szCs w:val="21"/>
          <w:highlight w:val="none"/>
          <w:lang w:val="zh-CN"/>
        </w:rPr>
        <w:t>31、 质疑回复</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_Toc20387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23</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"_Toc459" </w:instrText>
      </w:r>
      <w:r>
        <w:rPr>
          <w:color w:val="auto"/>
          <w:highlight w:val="none"/>
        </w:rPr>
        <w:fldChar w:fldCharType="separate"/>
      </w:r>
      <w:r>
        <w:rPr>
          <w:rFonts w:hint="eastAsia" w:asciiTheme="minorEastAsia" w:hAnsiTheme="minorEastAsia" w:eastAsiaTheme="minorEastAsia" w:cstheme="minorEastAsia"/>
          <w:color w:val="auto"/>
          <w:szCs w:val="21"/>
          <w:highlight w:val="none"/>
          <w:lang w:val="zh-CN"/>
        </w:rPr>
        <w:t>32、 投诉</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_Toc459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23</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"_Toc30010" </w:instrText>
      </w:r>
      <w:r>
        <w:rPr>
          <w:color w:val="auto"/>
          <w:highlight w:val="none"/>
        </w:rPr>
        <w:fldChar w:fldCharType="separate"/>
      </w:r>
      <w:r>
        <w:rPr>
          <w:rFonts w:hint="eastAsia" w:asciiTheme="minorEastAsia" w:hAnsiTheme="minorEastAsia" w:eastAsiaTheme="minorEastAsia" w:cstheme="minorEastAsia"/>
          <w:color w:val="auto"/>
          <w:szCs w:val="21"/>
          <w:highlight w:val="none"/>
          <w:lang w:val="zh-CN"/>
        </w:rPr>
        <w:t>八、 政策</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_Toc30010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23</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"_Toc28842"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33、 政府采购政策</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_Toc28842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23</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"_Toc25296" </w:instrText>
      </w:r>
      <w:r>
        <w:rPr>
          <w:color w:val="auto"/>
          <w:highlight w:val="none"/>
        </w:rPr>
        <w:fldChar w:fldCharType="separate"/>
      </w:r>
      <w:r>
        <w:rPr>
          <w:rFonts w:hint="eastAsia" w:asciiTheme="minorEastAsia" w:hAnsiTheme="minorEastAsia" w:eastAsiaTheme="minorEastAsia" w:cstheme="minorEastAsia"/>
          <w:color w:val="auto"/>
          <w:szCs w:val="21"/>
          <w:highlight w:val="none"/>
          <w:lang w:val="zh-CN"/>
        </w:rPr>
        <w:t>九、 其他要求</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_Toc25296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25</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"_Toc28137" </w:instrText>
      </w:r>
      <w:r>
        <w:rPr>
          <w:color w:val="auto"/>
          <w:highlight w:val="none"/>
        </w:rPr>
        <w:fldChar w:fldCharType="separate"/>
      </w:r>
      <w:r>
        <w:rPr>
          <w:rFonts w:hint="eastAsia" w:asciiTheme="minorEastAsia" w:hAnsiTheme="minorEastAsia" w:eastAsiaTheme="minorEastAsia" w:cstheme="minorEastAsia"/>
          <w:color w:val="auto"/>
          <w:szCs w:val="21"/>
          <w:highlight w:val="none"/>
          <w:lang w:val="zh-CN"/>
        </w:rPr>
        <w:t>十、 适用法律</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_Toc28137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25</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0"/>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"_Toc15149"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 xml:space="preserve">第三章 </w:t>
      </w:r>
      <w:r>
        <w:rPr>
          <w:rFonts w:hint="eastAsia" w:asciiTheme="minorEastAsia" w:hAnsiTheme="minorEastAsia" w:eastAsiaTheme="minorEastAsia" w:cstheme="minorEastAsia"/>
          <w:bCs/>
          <w:color w:val="auto"/>
          <w:szCs w:val="21"/>
          <w:highlight w:val="none"/>
        </w:rPr>
        <w:t>采购需求</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_Toc15149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26</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"_Toc3623" </w:instrText>
      </w:r>
      <w:r>
        <w:rPr>
          <w:color w:val="auto"/>
          <w:highlight w:val="none"/>
        </w:rPr>
        <w:fldChar w:fldCharType="separate"/>
      </w:r>
      <w:r>
        <w:rPr>
          <w:rFonts w:hint="eastAsia" w:asciiTheme="minorEastAsia" w:hAnsiTheme="minorEastAsia" w:eastAsiaTheme="minorEastAsia" w:cstheme="minorEastAsia"/>
          <w:bCs/>
          <w:color w:val="auto"/>
          <w:szCs w:val="21"/>
          <w:highlight w:val="none"/>
        </w:rPr>
        <w:t>一、技术需求</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_Toc3623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26</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"_Toc4510" </w:instrText>
      </w:r>
      <w:r>
        <w:rPr>
          <w:color w:val="auto"/>
          <w:highlight w:val="none"/>
        </w:rPr>
        <w:fldChar w:fldCharType="separate"/>
      </w:r>
      <w:r>
        <w:rPr>
          <w:rFonts w:hint="eastAsia" w:asciiTheme="minorEastAsia" w:hAnsiTheme="minorEastAsia" w:eastAsiaTheme="minorEastAsia" w:cstheme="minorEastAsia"/>
          <w:bCs/>
          <w:color w:val="auto"/>
          <w:szCs w:val="21"/>
          <w:highlight w:val="none"/>
        </w:rPr>
        <w:t>二、商务需求</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_Toc4510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26</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0"/>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"_Toc24802"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第四章 竞争性磋商采购评定办法</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_Toc24802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28</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"_Toc24499"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一、评定办法前附表</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_Toc24499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28</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"_Toc20017"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二、计算办法</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_Toc20017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30</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"_Toc5844"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三、评分细则</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_Toc5844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31</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"_Toc16832"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四、评定办法</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_Toc16832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33</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"_Toc12017"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五、磋商及评审步骤</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_Toc12017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34</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0"/>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"_Toc26676" </w:instrText>
      </w:r>
      <w:r>
        <w:rPr>
          <w:color w:val="auto"/>
          <w:highlight w:val="none"/>
        </w:rPr>
        <w:fldChar w:fldCharType="separate"/>
      </w:r>
      <w:r>
        <w:rPr>
          <w:rFonts w:hint="eastAsia" w:asciiTheme="minorEastAsia" w:hAnsiTheme="minorEastAsia" w:eastAsiaTheme="minorEastAsia" w:cstheme="minorEastAsia"/>
          <w:color w:val="auto"/>
          <w:kern w:val="0"/>
          <w:szCs w:val="21"/>
          <w:highlight w:val="none"/>
        </w:rPr>
        <w:t xml:space="preserve">第五章 </w:t>
      </w:r>
      <w:r>
        <w:rPr>
          <w:rFonts w:hint="eastAsia" w:asciiTheme="minorEastAsia" w:hAnsiTheme="minorEastAsia" w:eastAsiaTheme="minorEastAsia" w:cstheme="minorEastAsia"/>
          <w:color w:val="auto"/>
          <w:szCs w:val="21"/>
          <w:highlight w:val="none"/>
        </w:rPr>
        <w:t>合同书格式</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_Toc26676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37</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0"/>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"_Toc6614"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第六章 竞争性磋商响应文件格式</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_Toc6614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39</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"_Toc3298"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一、评分标准索引表</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_Toc3298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40</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"_Toc31578"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二、磋商书</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_Toc31578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41</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"_Toc31434"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三、法定代表人授权书</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_Toc31434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42</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"_Toc30428" </w:instrText>
      </w:r>
      <w:r>
        <w:rPr>
          <w:color w:val="auto"/>
          <w:highlight w:val="none"/>
        </w:rPr>
        <w:fldChar w:fldCharType="separate"/>
      </w:r>
      <w:r>
        <w:rPr>
          <w:rFonts w:hint="eastAsia" w:asciiTheme="minorEastAsia" w:hAnsiTheme="minorEastAsia" w:eastAsiaTheme="minorEastAsia" w:cstheme="minorEastAsia"/>
          <w:bCs/>
          <w:color w:val="auto"/>
          <w:kern w:val="0"/>
          <w:szCs w:val="21"/>
          <w:highlight w:val="none"/>
        </w:rPr>
        <w:t>四、</w:t>
      </w:r>
      <w:r>
        <w:rPr>
          <w:rFonts w:hint="eastAsia" w:asciiTheme="minorEastAsia" w:hAnsiTheme="minorEastAsia" w:eastAsiaTheme="minorEastAsia" w:cstheme="minorEastAsia"/>
          <w:bCs/>
          <w:color w:val="auto"/>
          <w:szCs w:val="21"/>
          <w:highlight w:val="none"/>
        </w:rPr>
        <w:t>法定代表人身份证明书</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_Toc30428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43</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"_Toc17074" </w:instrText>
      </w:r>
      <w:r>
        <w:rPr>
          <w:color w:val="auto"/>
          <w:highlight w:val="none"/>
        </w:rPr>
        <w:fldChar w:fldCharType="separate"/>
      </w:r>
      <w:r>
        <w:rPr>
          <w:rFonts w:hint="eastAsia" w:asciiTheme="minorEastAsia" w:hAnsiTheme="minorEastAsia" w:eastAsiaTheme="minorEastAsia" w:cstheme="minorEastAsia"/>
          <w:bCs/>
          <w:color w:val="auto"/>
          <w:szCs w:val="21"/>
          <w:highlight w:val="none"/>
        </w:rPr>
        <w:t>五、报价一览表</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_Toc17074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44</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"_Toc20867" </w:instrText>
      </w:r>
      <w:r>
        <w:rPr>
          <w:color w:val="auto"/>
          <w:highlight w:val="none"/>
        </w:rPr>
        <w:fldChar w:fldCharType="separate"/>
      </w:r>
      <w:r>
        <w:rPr>
          <w:rFonts w:hint="eastAsia" w:asciiTheme="minorEastAsia" w:hAnsiTheme="minorEastAsia" w:eastAsiaTheme="minorEastAsia" w:cstheme="minorEastAsia"/>
          <w:bCs/>
          <w:color w:val="auto"/>
          <w:szCs w:val="21"/>
          <w:highlight w:val="none"/>
        </w:rPr>
        <w:t>六、报价费用构成表</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_Toc20867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45</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"_Toc30408" </w:instrText>
      </w:r>
      <w:r>
        <w:rPr>
          <w:color w:val="auto"/>
          <w:highlight w:val="none"/>
        </w:rPr>
        <w:fldChar w:fldCharType="separate"/>
      </w:r>
      <w:r>
        <w:rPr>
          <w:rFonts w:hint="eastAsia" w:asciiTheme="minorEastAsia" w:hAnsiTheme="minorEastAsia" w:eastAsiaTheme="minorEastAsia" w:cstheme="minorEastAsia"/>
          <w:bCs/>
          <w:color w:val="auto"/>
          <w:szCs w:val="21"/>
          <w:highlight w:val="none"/>
        </w:rPr>
        <w:t>七、耗材清单（如有）</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_Toc30408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46</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"_Toc22463" </w:instrText>
      </w:r>
      <w:r>
        <w:rPr>
          <w:color w:val="auto"/>
          <w:highlight w:val="none"/>
        </w:rPr>
        <w:fldChar w:fldCharType="separate"/>
      </w:r>
      <w:r>
        <w:rPr>
          <w:rFonts w:hint="eastAsia" w:asciiTheme="minorEastAsia" w:hAnsiTheme="minorEastAsia" w:eastAsiaTheme="minorEastAsia" w:cstheme="minorEastAsia"/>
          <w:bCs/>
          <w:color w:val="auto"/>
          <w:szCs w:val="21"/>
          <w:highlight w:val="none"/>
        </w:rPr>
        <w:t>八、拟投入设备/备件、工具情况（如有）</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_Toc22463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47</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"_Toc12473" </w:instrText>
      </w:r>
      <w:r>
        <w:rPr>
          <w:color w:val="auto"/>
          <w:highlight w:val="none"/>
        </w:rPr>
        <w:fldChar w:fldCharType="separate"/>
      </w:r>
      <w:r>
        <w:rPr>
          <w:rFonts w:hint="eastAsia" w:asciiTheme="minorEastAsia" w:hAnsiTheme="minorEastAsia" w:eastAsiaTheme="minorEastAsia" w:cstheme="minorEastAsia"/>
          <w:bCs/>
          <w:color w:val="auto"/>
          <w:szCs w:val="21"/>
          <w:highlight w:val="none"/>
        </w:rPr>
        <w:t>九、缴纳保证金的银行凭证（如有）</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_Toc12473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48</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"_Toc10142" </w:instrText>
      </w:r>
      <w:r>
        <w:rPr>
          <w:color w:val="auto"/>
          <w:highlight w:val="none"/>
        </w:rPr>
        <w:fldChar w:fldCharType="separate"/>
      </w:r>
      <w:r>
        <w:rPr>
          <w:rFonts w:hint="eastAsia" w:asciiTheme="minorEastAsia" w:hAnsiTheme="minorEastAsia" w:eastAsiaTheme="minorEastAsia" w:cstheme="minorEastAsia"/>
          <w:bCs/>
          <w:color w:val="auto"/>
          <w:szCs w:val="21"/>
          <w:highlight w:val="none"/>
        </w:rPr>
        <w:t>十、偏离说明表</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_Toc10142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49</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"_Toc7457" </w:instrText>
      </w:r>
      <w:r>
        <w:rPr>
          <w:color w:val="auto"/>
          <w:highlight w:val="none"/>
        </w:rPr>
        <w:fldChar w:fldCharType="separate"/>
      </w:r>
      <w:r>
        <w:rPr>
          <w:rFonts w:hint="eastAsia" w:asciiTheme="minorEastAsia" w:hAnsiTheme="minorEastAsia" w:eastAsiaTheme="minorEastAsia" w:cstheme="minorEastAsia"/>
          <w:color w:val="auto"/>
          <w:kern w:val="0"/>
          <w:szCs w:val="21"/>
          <w:highlight w:val="none"/>
        </w:rPr>
        <w:t>十一、</w:t>
      </w:r>
      <w:r>
        <w:rPr>
          <w:rFonts w:hint="eastAsia" w:asciiTheme="minorEastAsia" w:hAnsiTheme="minorEastAsia" w:eastAsiaTheme="minorEastAsia" w:cstheme="minorEastAsia"/>
          <w:bCs/>
          <w:color w:val="auto"/>
          <w:szCs w:val="21"/>
          <w:highlight w:val="none"/>
        </w:rPr>
        <w:t xml:space="preserve">类似业绩一览表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_Toc7457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50</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"_Toc20207" </w:instrText>
      </w:r>
      <w:r>
        <w:rPr>
          <w:color w:val="auto"/>
          <w:highlight w:val="none"/>
        </w:rPr>
        <w:fldChar w:fldCharType="separate"/>
      </w:r>
      <w:r>
        <w:rPr>
          <w:rFonts w:hint="eastAsia" w:asciiTheme="minorEastAsia" w:hAnsiTheme="minorEastAsia" w:eastAsiaTheme="minorEastAsia" w:cstheme="minorEastAsia"/>
          <w:bCs/>
          <w:color w:val="auto"/>
          <w:szCs w:val="21"/>
          <w:highlight w:val="none"/>
        </w:rPr>
        <w:t>十二、拟投入项目组人员一览表</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_Toc20207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51</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"_Toc24501" </w:instrText>
      </w:r>
      <w:r>
        <w:rPr>
          <w:color w:val="auto"/>
          <w:highlight w:val="none"/>
        </w:rPr>
        <w:fldChar w:fldCharType="separate"/>
      </w:r>
      <w:r>
        <w:rPr>
          <w:rFonts w:hint="eastAsia" w:asciiTheme="minorEastAsia" w:hAnsiTheme="minorEastAsia" w:eastAsiaTheme="minorEastAsia" w:cstheme="minorEastAsia"/>
          <w:bCs/>
          <w:color w:val="auto"/>
          <w:kern w:val="0"/>
          <w:szCs w:val="21"/>
          <w:highlight w:val="none"/>
        </w:rPr>
        <w:t>十三、</w:t>
      </w:r>
      <w:r>
        <w:rPr>
          <w:rFonts w:hint="eastAsia" w:asciiTheme="minorEastAsia" w:hAnsiTheme="minorEastAsia" w:eastAsiaTheme="minorEastAsia" w:cstheme="minorEastAsia"/>
          <w:bCs/>
          <w:color w:val="auto"/>
          <w:szCs w:val="21"/>
          <w:highlight w:val="none"/>
        </w:rPr>
        <w:t>供应商的资格声明</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_Toc24501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52</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"_Toc25412" </w:instrText>
      </w:r>
      <w:r>
        <w:rPr>
          <w:color w:val="auto"/>
          <w:highlight w:val="none"/>
        </w:rPr>
        <w:fldChar w:fldCharType="separate"/>
      </w:r>
      <w:r>
        <w:rPr>
          <w:rFonts w:hint="eastAsia" w:asciiTheme="minorEastAsia" w:hAnsiTheme="minorEastAsia" w:eastAsiaTheme="minorEastAsia" w:cstheme="minorEastAsia"/>
          <w:bCs/>
          <w:color w:val="auto"/>
          <w:kern w:val="0"/>
          <w:szCs w:val="21"/>
          <w:highlight w:val="none"/>
        </w:rPr>
        <w:t>十四、</w:t>
      </w:r>
      <w:r>
        <w:rPr>
          <w:rFonts w:hint="eastAsia" w:asciiTheme="minorEastAsia" w:hAnsiTheme="minorEastAsia" w:eastAsiaTheme="minorEastAsia" w:cstheme="minorEastAsia"/>
          <w:bCs/>
          <w:color w:val="auto"/>
          <w:szCs w:val="21"/>
          <w:highlight w:val="none"/>
        </w:rPr>
        <w:t>资格证明文件</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_Toc25412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53</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"_Toc32162" </w:instrText>
      </w:r>
      <w:r>
        <w:rPr>
          <w:color w:val="auto"/>
          <w:highlight w:val="none"/>
        </w:rPr>
        <w:fldChar w:fldCharType="separate"/>
      </w:r>
      <w:r>
        <w:rPr>
          <w:rFonts w:hint="eastAsia" w:asciiTheme="minorEastAsia" w:hAnsiTheme="minorEastAsia" w:eastAsiaTheme="minorEastAsia" w:cstheme="minorEastAsia"/>
          <w:bCs/>
          <w:color w:val="auto"/>
          <w:kern w:val="0"/>
          <w:szCs w:val="21"/>
          <w:highlight w:val="none"/>
        </w:rPr>
        <w:t>十五、</w:t>
      </w:r>
      <w:r>
        <w:rPr>
          <w:rFonts w:hint="eastAsia" w:asciiTheme="minorEastAsia" w:hAnsiTheme="minorEastAsia" w:eastAsiaTheme="minorEastAsia" w:cstheme="minorEastAsia"/>
          <w:color w:val="auto"/>
          <w:szCs w:val="21"/>
          <w:highlight w:val="none"/>
        </w:rPr>
        <w:t>报价技术文件</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_Toc32162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54</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"_Toc11098"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十六、</w:t>
      </w:r>
      <w:r>
        <w:rPr>
          <w:rFonts w:hint="eastAsia" w:asciiTheme="minorEastAsia" w:hAnsiTheme="minorEastAsia" w:eastAsiaTheme="minorEastAsia" w:cstheme="minorEastAsia"/>
          <w:color w:val="auto"/>
          <w:szCs w:val="21"/>
          <w:highlight w:val="none"/>
          <w:lang w:val="zh-CN"/>
        </w:rPr>
        <w:t>中小企业声明函（工程、服务）（若</w:t>
      </w:r>
      <w:r>
        <w:rPr>
          <w:rFonts w:hint="eastAsia" w:asciiTheme="minorEastAsia" w:hAnsiTheme="minorEastAsia" w:eastAsiaTheme="minorEastAsia" w:cstheme="minorEastAsia"/>
          <w:color w:val="auto"/>
          <w:szCs w:val="21"/>
          <w:highlight w:val="none"/>
        </w:rPr>
        <w:t>符合</w:t>
      </w:r>
      <w:r>
        <w:rPr>
          <w:rFonts w:hint="eastAsia" w:asciiTheme="minorEastAsia" w:hAnsiTheme="minorEastAsia" w:eastAsiaTheme="minorEastAsia" w:cstheme="minorEastAsia"/>
          <w:color w:val="auto"/>
          <w:szCs w:val="21"/>
          <w:highlight w:val="none"/>
          <w:lang w:val="zh-CN"/>
        </w:rPr>
        <w:t>）</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_Toc11098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55</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"_Toc10220" </w:instrText>
      </w:r>
      <w:r>
        <w:rPr>
          <w:color w:val="auto"/>
          <w:highlight w:val="none"/>
        </w:rPr>
        <w:fldChar w:fldCharType="separate"/>
      </w:r>
      <w:r>
        <w:rPr>
          <w:rFonts w:hint="eastAsia" w:asciiTheme="minorEastAsia" w:hAnsiTheme="minorEastAsia" w:eastAsiaTheme="minorEastAsia" w:cstheme="minorEastAsia"/>
          <w:bCs/>
          <w:color w:val="auto"/>
          <w:spacing w:val="6"/>
          <w:szCs w:val="21"/>
          <w:highlight w:val="none"/>
        </w:rPr>
        <w:t>十七、</w:t>
      </w:r>
      <w:r>
        <w:rPr>
          <w:rFonts w:hint="eastAsia" w:asciiTheme="minorEastAsia" w:hAnsiTheme="minorEastAsia" w:eastAsiaTheme="minorEastAsia" w:cstheme="minorEastAsia"/>
          <w:bCs/>
          <w:color w:val="auto"/>
          <w:szCs w:val="21"/>
          <w:highlight w:val="none"/>
          <w:lang w:val="zh-CN"/>
        </w:rPr>
        <w:t>监狱企业证</w:t>
      </w:r>
      <w:r>
        <w:rPr>
          <w:rFonts w:hint="eastAsia" w:asciiTheme="minorEastAsia" w:hAnsiTheme="minorEastAsia" w:eastAsiaTheme="minorEastAsia" w:cstheme="minorEastAsia"/>
          <w:color w:val="auto"/>
          <w:szCs w:val="21"/>
          <w:highlight w:val="none"/>
          <w:lang w:val="zh-CN"/>
        </w:rPr>
        <w:t>明文</w:t>
      </w:r>
      <w:r>
        <w:rPr>
          <w:rFonts w:hint="eastAsia" w:asciiTheme="minorEastAsia" w:hAnsiTheme="minorEastAsia" w:eastAsiaTheme="minorEastAsia" w:cstheme="minorEastAsia"/>
          <w:color w:val="auto"/>
          <w:szCs w:val="21"/>
          <w:highlight w:val="none"/>
        </w:rPr>
        <w:t>件</w:t>
      </w:r>
      <w:r>
        <w:rPr>
          <w:rFonts w:hint="eastAsia" w:asciiTheme="minorEastAsia" w:hAnsiTheme="minorEastAsia" w:eastAsiaTheme="minorEastAsia" w:cstheme="minorEastAsia"/>
          <w:color w:val="auto"/>
          <w:szCs w:val="21"/>
          <w:highlight w:val="none"/>
          <w:lang w:val="zh-CN"/>
        </w:rPr>
        <w:t>（若</w:t>
      </w:r>
      <w:r>
        <w:rPr>
          <w:rFonts w:hint="eastAsia" w:asciiTheme="minorEastAsia" w:hAnsiTheme="minorEastAsia" w:eastAsiaTheme="minorEastAsia" w:cstheme="minorEastAsia"/>
          <w:color w:val="auto"/>
          <w:szCs w:val="21"/>
          <w:highlight w:val="none"/>
        </w:rPr>
        <w:t>符合</w:t>
      </w:r>
      <w:r>
        <w:rPr>
          <w:rFonts w:hint="eastAsia" w:asciiTheme="minorEastAsia" w:hAnsiTheme="minorEastAsia" w:eastAsiaTheme="minorEastAsia" w:cstheme="minorEastAsia"/>
          <w:color w:val="auto"/>
          <w:szCs w:val="21"/>
          <w:highlight w:val="none"/>
          <w:lang w:val="zh-CN"/>
        </w:rPr>
        <w:t>）</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_Toc10220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56</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"_Toc27762"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十八、</w:t>
      </w:r>
      <w:r>
        <w:rPr>
          <w:rFonts w:hint="eastAsia" w:asciiTheme="minorEastAsia" w:hAnsiTheme="minorEastAsia" w:eastAsiaTheme="minorEastAsia" w:cstheme="minorEastAsia"/>
          <w:color w:val="auto"/>
          <w:szCs w:val="21"/>
          <w:highlight w:val="none"/>
          <w:lang w:val="zh-CN"/>
        </w:rPr>
        <w:t>残疾人福利性单位声明函（若</w:t>
      </w:r>
      <w:r>
        <w:rPr>
          <w:rFonts w:hint="eastAsia" w:asciiTheme="minorEastAsia" w:hAnsiTheme="minorEastAsia" w:eastAsiaTheme="minorEastAsia" w:cstheme="minorEastAsia"/>
          <w:color w:val="auto"/>
          <w:szCs w:val="21"/>
          <w:highlight w:val="none"/>
        </w:rPr>
        <w:t>符合</w:t>
      </w:r>
      <w:r>
        <w:rPr>
          <w:rFonts w:hint="eastAsia" w:asciiTheme="minorEastAsia" w:hAnsiTheme="minorEastAsia" w:eastAsiaTheme="minorEastAsia" w:cstheme="minorEastAsia"/>
          <w:color w:val="auto"/>
          <w:szCs w:val="21"/>
          <w:highlight w:val="none"/>
          <w:lang w:val="zh-CN"/>
        </w:rPr>
        <w:t>）</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_Toc27762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57</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"_Toc19935"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十九、节能环保产品证明材料（若符合）</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_Toc19935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58</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"_Toc17296" </w:instrText>
      </w:r>
      <w:r>
        <w:rPr>
          <w:color w:val="auto"/>
          <w:highlight w:val="none"/>
        </w:rPr>
        <w:fldChar w:fldCharType="separate"/>
      </w:r>
      <w:r>
        <w:rPr>
          <w:rFonts w:hint="eastAsia" w:asciiTheme="minorEastAsia" w:hAnsiTheme="minorEastAsia" w:eastAsiaTheme="minorEastAsia" w:cstheme="minorEastAsia"/>
          <w:bCs/>
          <w:color w:val="auto"/>
          <w:spacing w:val="6"/>
          <w:szCs w:val="21"/>
          <w:highlight w:val="none"/>
        </w:rPr>
        <w:t>二十、</w:t>
      </w:r>
      <w:r>
        <w:rPr>
          <w:rFonts w:hint="eastAsia" w:asciiTheme="minorEastAsia" w:hAnsiTheme="minorEastAsia" w:eastAsiaTheme="minorEastAsia" w:cstheme="minorEastAsia"/>
          <w:color w:val="auto"/>
          <w:szCs w:val="21"/>
          <w:highlight w:val="none"/>
        </w:rPr>
        <w:t>无重大违法记录声明</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_Toc17296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59</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pStyle w:val="22"/>
        <w:tabs>
          <w:tab w:val="right" w:leader="dot" w:pos="9072"/>
        </w:tabs>
        <w:spacing w:line="360" w:lineRule="auto"/>
        <w:rPr>
          <w:rFonts w:asciiTheme="minorEastAsia" w:hAnsiTheme="minorEastAsia" w:eastAsiaTheme="minorEastAsia" w:cstheme="minorEastAsia"/>
          <w:color w:val="auto"/>
          <w:szCs w:val="21"/>
          <w:highlight w:val="none"/>
        </w:rPr>
      </w:pPr>
      <w:r>
        <w:rPr>
          <w:color w:val="auto"/>
          <w:highlight w:val="none"/>
        </w:rPr>
        <w:fldChar w:fldCharType="begin"/>
      </w:r>
      <w:r>
        <w:rPr>
          <w:color w:val="auto"/>
          <w:highlight w:val="none"/>
        </w:rPr>
        <w:instrText xml:space="preserve"> HYPERLINK \l "_Toc24513" </w:instrText>
      </w:r>
      <w:r>
        <w:rPr>
          <w:color w:val="auto"/>
          <w:highlight w:val="none"/>
        </w:rPr>
        <w:fldChar w:fldCharType="separate"/>
      </w:r>
      <w:r>
        <w:rPr>
          <w:rFonts w:hint="eastAsia" w:asciiTheme="minorEastAsia" w:hAnsiTheme="minorEastAsia" w:eastAsiaTheme="minorEastAsia" w:cstheme="minorEastAsia"/>
          <w:bCs/>
          <w:color w:val="auto"/>
          <w:spacing w:val="6"/>
          <w:szCs w:val="21"/>
          <w:highlight w:val="none"/>
        </w:rPr>
        <w:t xml:space="preserve">二十一、磋商供应商认为应该提交的其它文件（格式自拟）       </w:t>
      </w:r>
      <w:r>
        <w:rPr>
          <w:rFonts w:hint="eastAsia" w:asciiTheme="minorEastAsia" w:hAnsiTheme="minorEastAsia" w:eastAsiaTheme="minorEastAsia" w:cstheme="minorEastAsia"/>
          <w:color w:val="auto"/>
          <w:szCs w:val="21"/>
          <w:highlight w:val="none"/>
        </w:rPr>
        <w:tab/>
      </w:r>
      <w:r>
        <w:rPr>
          <w:rFonts w:hint="eastAsia" w:asciiTheme="minorEastAsia" w:hAnsiTheme="minorEastAsia" w:eastAsiaTheme="minorEastAsia" w:cstheme="minorEastAsia"/>
          <w:color w:val="auto"/>
          <w:szCs w:val="21"/>
          <w:highlight w:val="none"/>
        </w:rPr>
        <w:fldChar w:fldCharType="begin"/>
      </w:r>
      <w:r>
        <w:rPr>
          <w:rFonts w:hint="eastAsia" w:asciiTheme="minorEastAsia" w:hAnsiTheme="minorEastAsia" w:eastAsiaTheme="minorEastAsia" w:cstheme="minorEastAsia"/>
          <w:color w:val="auto"/>
          <w:szCs w:val="21"/>
          <w:highlight w:val="none"/>
        </w:rPr>
        <w:instrText xml:space="preserve"> PAGEREF _Toc24513 </w:instrText>
      </w:r>
      <w:r>
        <w:rPr>
          <w:rFonts w:hint="eastAsia" w:asciiTheme="minorEastAsia" w:hAnsiTheme="minorEastAsia" w:eastAsiaTheme="minorEastAsia" w:cstheme="minorEastAsia"/>
          <w:color w:val="auto"/>
          <w:szCs w:val="21"/>
          <w:highlight w:val="none"/>
        </w:rPr>
        <w:fldChar w:fldCharType="separate"/>
      </w:r>
      <w:r>
        <w:rPr>
          <w:rFonts w:hint="eastAsia" w:asciiTheme="minorEastAsia" w:hAnsiTheme="minorEastAsia" w:eastAsiaTheme="minorEastAsia" w:cstheme="minorEastAsia"/>
          <w:color w:val="auto"/>
          <w:szCs w:val="21"/>
          <w:highlight w:val="none"/>
        </w:rPr>
        <w:t>59</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fldChar w:fldCharType="end"/>
      </w:r>
    </w:p>
    <w:p>
      <w:pPr>
        <w:spacing w:line="360" w:lineRule="auto"/>
        <w:jc w:val="left"/>
        <w:rPr>
          <w:rFonts w:asciiTheme="minorEastAsia" w:hAnsiTheme="minorEastAsia" w:eastAsiaTheme="minorEastAsia" w:cstheme="minorEastAsia"/>
          <w:color w:val="auto"/>
          <w:highlight w:val="none"/>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color w:val="auto"/>
          <w:szCs w:val="21"/>
          <w:highlight w:val="none"/>
        </w:rPr>
        <w:fldChar w:fldCharType="end"/>
      </w:r>
    </w:p>
    <w:p>
      <w:pPr>
        <w:spacing w:line="360" w:lineRule="auto"/>
        <w:jc w:val="righ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 w:val="36"/>
          <w:szCs w:val="36"/>
          <w:highlight w:val="none"/>
        </w:rPr>
        <w:br w:type="page"/>
      </w:r>
    </w:p>
    <w:p>
      <w:pPr>
        <w:numPr>
          <w:ilvl w:val="0"/>
          <w:numId w:val="5"/>
        </w:numPr>
        <w:spacing w:line="360" w:lineRule="auto"/>
        <w:jc w:val="center"/>
        <w:outlineLvl w:val="0"/>
        <w:rPr>
          <w:b/>
          <w:bCs/>
          <w:color w:val="auto"/>
          <w:sz w:val="24"/>
          <w:highlight w:val="none"/>
        </w:rPr>
      </w:pPr>
      <w:bookmarkStart w:id="0" w:name="_Toc6866"/>
      <w:bookmarkStart w:id="1" w:name="_Toc6363"/>
      <w:r>
        <w:rPr>
          <w:rFonts w:hint="eastAsia" w:ascii="宋体" w:hAnsi="宋体" w:cs="宋体"/>
          <w:b/>
          <w:color w:val="auto"/>
          <w:sz w:val="36"/>
          <w:szCs w:val="36"/>
          <w:highlight w:val="none"/>
        </w:rPr>
        <w:t>竞争性磋商公告</w:t>
      </w:r>
      <w:bookmarkEnd w:id="0"/>
      <w:bookmarkEnd w:id="1"/>
      <w:bookmarkStart w:id="2" w:name="_Toc524908844"/>
      <w:bookmarkStart w:id="3" w:name="_Toc152042288"/>
      <w:bookmarkStart w:id="4" w:name="_Toc179632528"/>
      <w:bookmarkStart w:id="5" w:name="_Toc144974480"/>
      <w:bookmarkStart w:id="6" w:name="_Toc152045512"/>
      <w:bookmarkStart w:id="7" w:name="_Toc9976"/>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ascii="宋体" w:hAnsi="宋体" w:cs="宋体"/>
          <w:color w:val="auto"/>
          <w:szCs w:val="21"/>
          <w:highlight w:val="none"/>
        </w:rPr>
      </w:pPr>
      <w:r>
        <w:rPr>
          <w:rFonts w:hint="eastAsia" w:ascii="宋体" w:hAnsi="宋体" w:cs="宋体"/>
          <w:b/>
          <w:bCs/>
          <w:color w:val="auto"/>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华中师范大学满江红大楼生活服务综合体联合经营项目</w:t>
      </w:r>
      <w:r>
        <w:rPr>
          <w:rFonts w:hint="eastAsia" w:ascii="宋体" w:hAnsi="宋体" w:cs="宋体"/>
          <w:color w:val="auto"/>
          <w:szCs w:val="21"/>
          <w:highlight w:val="none"/>
        </w:rPr>
        <w:t>的潜在供应商应在</w:t>
      </w:r>
      <w:r>
        <w:rPr>
          <w:rFonts w:hint="eastAsia" w:ascii="宋体" w:hAnsi="宋体" w:cs="宋体"/>
          <w:color w:val="auto"/>
          <w:szCs w:val="21"/>
          <w:highlight w:val="none"/>
          <w:u w:val="single"/>
          <w:lang w:eastAsia="zh-CN"/>
        </w:rPr>
        <w:t>线上</w:t>
      </w:r>
      <w:r>
        <w:rPr>
          <w:rFonts w:hint="eastAsia" w:ascii="宋体" w:hAnsi="宋体" w:cs="宋体"/>
          <w:color w:val="auto"/>
          <w:szCs w:val="21"/>
          <w:highlight w:val="none"/>
        </w:rPr>
        <w:t>获取采购文件，并于</w:t>
      </w:r>
      <w:r>
        <w:rPr>
          <w:rFonts w:hint="eastAsia" w:ascii="宋体" w:hAnsi="宋体" w:cs="宋体"/>
          <w:color w:val="auto"/>
          <w:szCs w:val="21"/>
          <w:highlight w:val="none"/>
          <w:u w:val="single"/>
        </w:rPr>
        <w:t>2021年8月</w:t>
      </w:r>
      <w:r>
        <w:rPr>
          <w:rFonts w:hint="eastAsia" w:ascii="宋体" w:hAnsi="宋体" w:cs="宋体"/>
          <w:color w:val="auto"/>
          <w:szCs w:val="21"/>
          <w:highlight w:val="none"/>
          <w:u w:val="single"/>
          <w:lang w:val="en-US" w:eastAsia="zh-CN"/>
        </w:rPr>
        <w:t>23</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14</w:t>
      </w:r>
      <w:r>
        <w:rPr>
          <w:rFonts w:hint="eastAsia" w:ascii="宋体" w:hAnsi="宋体" w:cs="宋体"/>
          <w:color w:val="auto"/>
          <w:szCs w:val="21"/>
          <w:highlight w:val="none"/>
          <w:u w:val="single"/>
        </w:rPr>
        <w:t>点</w:t>
      </w:r>
      <w:r>
        <w:rPr>
          <w:rFonts w:hint="eastAsia" w:ascii="宋体" w:hAnsi="宋体" w:cs="宋体"/>
          <w:color w:val="auto"/>
          <w:szCs w:val="21"/>
          <w:highlight w:val="none"/>
          <w:u w:val="single"/>
          <w:lang w:val="en-US" w:eastAsia="zh-CN"/>
        </w:rPr>
        <w:t>00</w:t>
      </w:r>
      <w:r>
        <w:rPr>
          <w:rFonts w:hint="eastAsia" w:ascii="宋体" w:hAnsi="宋体" w:cs="宋体"/>
          <w:color w:val="auto"/>
          <w:szCs w:val="21"/>
          <w:highlight w:val="none"/>
          <w:u w:val="single"/>
        </w:rPr>
        <w:t>分</w:t>
      </w:r>
      <w:r>
        <w:rPr>
          <w:rFonts w:hint="eastAsia" w:ascii="宋体" w:hAnsi="宋体" w:cs="宋体"/>
          <w:color w:val="auto"/>
          <w:szCs w:val="21"/>
          <w:highlight w:val="none"/>
        </w:rPr>
        <w:t>（北京时间）前递交响应文件。</w:t>
      </w:r>
    </w:p>
    <w:p>
      <w:pPr>
        <w:pStyle w:val="4"/>
        <w:numPr>
          <w:ilvl w:val="0"/>
          <w:numId w:val="6"/>
        </w:numPr>
        <w:spacing w:line="360" w:lineRule="auto"/>
        <w:jc w:val="left"/>
        <w:rPr>
          <w:rFonts w:ascii="宋体" w:hAnsi="宋体" w:eastAsia="宋体" w:cs="宋体"/>
          <w:color w:val="auto"/>
          <w:sz w:val="21"/>
          <w:szCs w:val="21"/>
          <w:highlight w:val="none"/>
        </w:rPr>
      </w:pPr>
      <w:bookmarkStart w:id="8" w:name="_Toc6475"/>
      <w:r>
        <w:rPr>
          <w:rFonts w:hint="eastAsia" w:ascii="宋体" w:hAnsi="宋体" w:eastAsia="宋体" w:cs="宋体"/>
          <w:color w:val="auto"/>
          <w:sz w:val="21"/>
          <w:szCs w:val="21"/>
          <w:highlight w:val="none"/>
        </w:rPr>
        <w:t>项目基本情况</w:t>
      </w:r>
      <w:bookmarkEnd w:id="8"/>
    </w:p>
    <w:p>
      <w:pPr>
        <w:spacing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1.项目编号：ZJZB-ZC-202107-218</w:t>
      </w:r>
      <w:bookmarkStart w:id="231" w:name="_GoBack"/>
      <w:bookmarkEnd w:id="231"/>
    </w:p>
    <w:p>
      <w:pPr>
        <w:spacing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2.采购计划备案号：/</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3.项目名称：华中师范大学满江红大楼生活服务综合体联合经营项目</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4.采购方式：竞争性磋商</w:t>
      </w:r>
    </w:p>
    <w:p>
      <w:pPr>
        <w:spacing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5.采购需求：</w:t>
      </w:r>
      <w:r>
        <w:rPr>
          <w:rFonts w:hint="eastAsia" w:ascii="宋体" w:hAnsi="宋体"/>
          <w:color w:val="auto"/>
          <w:szCs w:val="21"/>
          <w:highlight w:val="none"/>
          <w:u w:val="single"/>
        </w:rPr>
        <w:t>满江红</w:t>
      </w:r>
      <w:r>
        <w:rPr>
          <w:rFonts w:ascii="宋体" w:hAnsi="宋体"/>
          <w:color w:val="auto"/>
          <w:szCs w:val="21"/>
          <w:highlight w:val="none"/>
          <w:u w:val="single"/>
        </w:rPr>
        <w:t>大楼位于学校</w:t>
      </w:r>
      <w:r>
        <w:rPr>
          <w:rFonts w:hint="eastAsia" w:ascii="宋体" w:hAnsi="宋体"/>
          <w:color w:val="auto"/>
          <w:szCs w:val="21"/>
          <w:highlight w:val="none"/>
          <w:u w:val="single"/>
        </w:rPr>
        <w:t>桂子山校区</w:t>
      </w:r>
      <w:r>
        <w:rPr>
          <w:rFonts w:ascii="宋体" w:hAnsi="宋体"/>
          <w:color w:val="auto"/>
          <w:szCs w:val="21"/>
          <w:highlight w:val="none"/>
          <w:u w:val="single"/>
        </w:rPr>
        <w:t>西区，</w:t>
      </w:r>
      <w:r>
        <w:rPr>
          <w:rFonts w:hint="eastAsia" w:ascii="宋体" w:hAnsi="宋体"/>
          <w:color w:val="auto"/>
          <w:szCs w:val="21"/>
          <w:highlight w:val="none"/>
          <w:u w:val="single"/>
        </w:rPr>
        <w:t>为一栋九</w:t>
      </w:r>
      <w:r>
        <w:rPr>
          <w:rFonts w:ascii="宋体" w:hAnsi="宋体"/>
          <w:color w:val="auto"/>
          <w:szCs w:val="21"/>
          <w:highlight w:val="none"/>
          <w:u w:val="single"/>
        </w:rPr>
        <w:t>层</w:t>
      </w:r>
      <w:r>
        <w:rPr>
          <w:rFonts w:hint="eastAsia" w:ascii="宋体" w:hAnsi="宋体"/>
          <w:color w:val="auto"/>
          <w:szCs w:val="21"/>
          <w:highlight w:val="none"/>
          <w:u w:val="single"/>
        </w:rPr>
        <w:t>楼</w:t>
      </w:r>
      <w:r>
        <w:rPr>
          <w:rFonts w:ascii="宋体" w:hAnsi="宋体"/>
          <w:color w:val="auto"/>
          <w:szCs w:val="21"/>
          <w:highlight w:val="none"/>
          <w:u w:val="single"/>
        </w:rPr>
        <w:t>（含负</w:t>
      </w:r>
      <w:r>
        <w:rPr>
          <w:rFonts w:hint="eastAsia" w:ascii="宋体" w:hAnsi="宋体"/>
          <w:color w:val="auto"/>
          <w:szCs w:val="21"/>
          <w:highlight w:val="none"/>
          <w:u w:val="single"/>
        </w:rPr>
        <w:t>一</w:t>
      </w:r>
      <w:r>
        <w:rPr>
          <w:rFonts w:ascii="宋体" w:hAnsi="宋体"/>
          <w:color w:val="auto"/>
          <w:szCs w:val="21"/>
          <w:highlight w:val="none"/>
          <w:u w:val="single"/>
        </w:rPr>
        <w:t>楼）</w:t>
      </w:r>
      <w:r>
        <w:rPr>
          <w:rFonts w:hint="eastAsia" w:ascii="宋体" w:hAnsi="宋体"/>
          <w:color w:val="auto"/>
          <w:szCs w:val="21"/>
          <w:highlight w:val="none"/>
          <w:u w:val="single"/>
        </w:rPr>
        <w:t>的独立建筑。大楼</w:t>
      </w:r>
      <w:r>
        <w:rPr>
          <w:rFonts w:ascii="宋体" w:hAnsi="宋体"/>
          <w:color w:val="auto"/>
          <w:szCs w:val="21"/>
          <w:highlight w:val="none"/>
          <w:u w:val="single"/>
        </w:rPr>
        <w:t>可供经营的饱和面积为8240平</w:t>
      </w:r>
      <w:r>
        <w:rPr>
          <w:rFonts w:hint="eastAsia" w:ascii="宋体" w:hAnsi="宋体"/>
          <w:color w:val="auto"/>
          <w:szCs w:val="21"/>
          <w:highlight w:val="none"/>
          <w:u w:val="single"/>
        </w:rPr>
        <w:t>方</w:t>
      </w:r>
      <w:r>
        <w:rPr>
          <w:rFonts w:ascii="宋体" w:hAnsi="宋体"/>
          <w:color w:val="auto"/>
          <w:szCs w:val="21"/>
          <w:highlight w:val="none"/>
          <w:u w:val="single"/>
        </w:rPr>
        <w:t>米，现为校内唯一的便民服务综合体。</w:t>
      </w:r>
      <w:r>
        <w:rPr>
          <w:rFonts w:hint="eastAsia" w:ascii="宋体" w:hAnsi="宋体"/>
          <w:color w:val="auto"/>
          <w:szCs w:val="21"/>
          <w:highlight w:val="none"/>
          <w:u w:val="single"/>
        </w:rPr>
        <w:t>按照学校规划要求，拟将其进行联合经营，授权具备商业资质的专业公司管理，建立满江红生活服务综合体。项目以建设“六型合一”的满江红生活服务综合体为目标，让广大师生不出校门，就能享受优质服务，满足师生学习、生活和文化的多样化需求。</w:t>
      </w:r>
      <w:r>
        <w:rPr>
          <w:rFonts w:hint="eastAsia" w:asciiTheme="minorEastAsia" w:hAnsiTheme="minorEastAsia" w:eastAsiaTheme="minorEastAsia" w:cstheme="minorEastAsia"/>
          <w:color w:val="auto"/>
          <w:szCs w:val="21"/>
          <w:highlight w:val="none"/>
        </w:rPr>
        <w:t>(详见采购文件第三章“项目采购需求”）</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（1）类别：服务</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（2）服务期：</w:t>
      </w:r>
      <w:r>
        <w:rPr>
          <w:rFonts w:hint="eastAsia" w:asciiTheme="minorEastAsia" w:hAnsiTheme="minorEastAsia" w:eastAsiaTheme="minorEastAsia" w:cstheme="minorEastAsia"/>
          <w:color w:val="auto"/>
          <w:szCs w:val="21"/>
          <w:highlight w:val="none"/>
          <w:u w:val="single"/>
        </w:rPr>
        <w:t>1.项目合作期限为10年（不含免费改造装修期），合同一年一签。若在履行合同期间，中标人出现本项目亏损严重、不服从学校管理且拒不改正、出现重大安全管理责任事故、给学校造成重大恶劣影响等重大异常情况时，学校可单方解除协议，双方合作终止。在履行合同期间，若中标人与学校合作顺利，以5年为一个经营周期，学校对中标人实行中期考核，评估5年来经营与管理情况。中标人经考核合格后，学校引入第三方评估公司，对项目后续5年合作经营收益进行预期评估。以第三方公司提供的评估价，作为后续5年里，学校每年应收的合作经营预期收益，与中标人签订第二个5年的经营权。若在中期考核中，中标人出现重大异常情况，学校将立即终止合同。2.首次免费改造装修期为3个月。</w:t>
      </w:r>
    </w:p>
    <w:p>
      <w:pPr>
        <w:spacing w:line="360" w:lineRule="auto"/>
        <w:ind w:firstLine="420" w:firstLineChars="200"/>
        <w:jc w:val="left"/>
        <w:rPr>
          <w:rFonts w:hint="default"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rPr>
        <w:t>（3）其他：供应商报价须包含该采购需求的全部内容</w:t>
      </w:r>
      <w:r>
        <w:rPr>
          <w:rFonts w:hint="eastAsia" w:asciiTheme="minorEastAsia" w:hAnsiTheme="minorEastAsia" w:eastAsiaTheme="minorEastAsia" w:cstheme="minorEastAsia"/>
          <w:color w:val="auto"/>
          <w:szCs w:val="21"/>
          <w:highlight w:val="none"/>
          <w:lang w:eastAsia="zh-CN"/>
        </w:rPr>
        <w:t>，</w:t>
      </w:r>
      <w:r>
        <w:rPr>
          <w:rFonts w:hint="eastAsia" w:asciiTheme="minorEastAsia" w:hAnsiTheme="minorEastAsia" w:eastAsiaTheme="minorEastAsia" w:cstheme="minorEastAsia"/>
          <w:color w:val="auto"/>
          <w:szCs w:val="21"/>
          <w:highlight w:val="none"/>
        </w:rPr>
        <w:t>合作经营收益</w:t>
      </w:r>
      <w:r>
        <w:rPr>
          <w:rFonts w:hint="eastAsia" w:asciiTheme="minorEastAsia" w:hAnsiTheme="minorEastAsia" w:eastAsiaTheme="minorEastAsia" w:cstheme="minorEastAsia"/>
          <w:color w:val="auto"/>
          <w:szCs w:val="21"/>
          <w:highlight w:val="none"/>
          <w:lang w:eastAsia="zh-CN"/>
        </w:rPr>
        <w:t>不得低于</w:t>
      </w:r>
      <w:r>
        <w:rPr>
          <w:rFonts w:hint="eastAsia" w:asciiTheme="minorEastAsia" w:hAnsiTheme="minorEastAsia" w:eastAsiaTheme="minorEastAsia" w:cstheme="minorEastAsia"/>
          <w:color w:val="auto"/>
          <w:szCs w:val="21"/>
          <w:highlight w:val="none"/>
          <w:lang w:val="en-US" w:eastAsia="zh-CN"/>
        </w:rPr>
        <w:t>360万元/年</w:t>
      </w:r>
      <w:r>
        <w:rPr>
          <w:rFonts w:hint="eastAsia" w:asciiTheme="minorEastAsia" w:hAnsiTheme="minorEastAsia" w:eastAsiaTheme="minorEastAsia" w:cstheme="minorEastAsia"/>
          <w:color w:val="auto"/>
          <w:szCs w:val="21"/>
          <w:highlight w:val="none"/>
          <w:lang w:val="en-US" w:eastAsia="zh-CN"/>
        </w:rPr>
        <w:t>。</w:t>
      </w:r>
    </w:p>
    <w:p>
      <w:pPr>
        <w:spacing w:line="360" w:lineRule="auto"/>
        <w:jc w:val="left"/>
        <w:rPr>
          <w:rFonts w:asciiTheme="minorEastAsia" w:hAnsiTheme="minorEastAsia" w:eastAsiaTheme="minorEastAsia" w:cstheme="minorEastAsia"/>
          <w:strike/>
          <w:color w:val="auto"/>
          <w:szCs w:val="21"/>
          <w:highlight w:val="none"/>
        </w:rPr>
      </w:pPr>
      <w:r>
        <w:rPr>
          <w:rFonts w:hint="eastAsia" w:asciiTheme="minorEastAsia" w:hAnsiTheme="minorEastAsia" w:eastAsiaTheme="minorEastAsia" w:cstheme="minorEastAsia"/>
          <w:color w:val="auto"/>
          <w:szCs w:val="21"/>
          <w:highlight w:val="none"/>
        </w:rPr>
        <w:t>6.合同履行期限：</w:t>
      </w:r>
      <w:r>
        <w:rPr>
          <w:rFonts w:hint="eastAsia" w:asciiTheme="minorEastAsia" w:hAnsiTheme="minorEastAsia" w:eastAsiaTheme="minorEastAsia" w:cstheme="minorEastAsia"/>
          <w:color w:val="auto"/>
          <w:szCs w:val="21"/>
          <w:highlight w:val="none"/>
          <w:u w:val="single"/>
        </w:rPr>
        <w:t xml:space="preserve">见服务期；                   </w:t>
      </w:r>
    </w:p>
    <w:p>
      <w:pPr>
        <w:spacing w:line="360" w:lineRule="auto"/>
        <w:jc w:val="left"/>
        <w:rPr>
          <w:rFonts w:ascii="宋体" w:hAnsi="宋体" w:cs="宋体"/>
          <w:color w:val="auto"/>
          <w:szCs w:val="21"/>
          <w:highlight w:val="none"/>
        </w:rPr>
      </w:pPr>
      <w:bookmarkStart w:id="9" w:name="_Toc17986"/>
      <w:r>
        <w:rPr>
          <w:rFonts w:hint="eastAsia" w:ascii="宋体" w:hAnsi="宋体" w:cs="宋体"/>
          <w:color w:val="auto"/>
          <w:szCs w:val="21"/>
          <w:highlight w:val="none"/>
        </w:rPr>
        <w:t>7.本项目（是/否）接受联合体投标：否</w:t>
      </w:r>
    </w:p>
    <w:p>
      <w:pPr>
        <w:pStyle w:val="4"/>
        <w:numPr>
          <w:ilvl w:val="0"/>
          <w:numId w:val="6"/>
        </w:numPr>
        <w:spacing w:line="360" w:lineRule="auto"/>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申请人的资格要求</w:t>
      </w:r>
      <w:bookmarkEnd w:id="9"/>
    </w:p>
    <w:p>
      <w:pPr>
        <w:numPr>
          <w:ilvl w:val="0"/>
          <w:numId w:val="7"/>
        </w:num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满足《中华人民共和国政府采购法》第二十二条规定；</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（1）具有独立承担民事责任的能力；</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（2）具有良好的商业信誉和健全的财务会计制度；</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（3）具有履行合同所必需的设备和专业技术能力；</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（4）有依法缴纳税收和社会保障资金的良好记录；</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（5）参加政府采购活动前三年内，在经营活动中没有重大违法记录；</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（6）法律、行政法规规定的其他条件；</w:t>
      </w:r>
    </w:p>
    <w:p>
      <w:pPr>
        <w:numPr>
          <w:ilvl w:val="0"/>
          <w:numId w:val="7"/>
        </w:num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单位负责人为同一人或者存在直接控股、管理关系的不同投标人，不得参加本项目同一合同项下的政府采购活动。</w:t>
      </w:r>
    </w:p>
    <w:p>
      <w:pPr>
        <w:numPr>
          <w:ilvl w:val="0"/>
          <w:numId w:val="7"/>
        </w:num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为本采购项目提供整体设计、规范编制或者项目管理、监理、检测等服务的，不得再参加本项目的其他招标采购活动。</w:t>
      </w:r>
    </w:p>
    <w:p>
      <w:pPr>
        <w:numPr>
          <w:ilvl w:val="0"/>
          <w:numId w:val="7"/>
        </w:num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未被列入失信被执行人、重大税收违法案件当事人名单，未被列入政府采购严重违法失信行为记录名单。</w:t>
      </w:r>
    </w:p>
    <w:p>
      <w:pPr>
        <w:numPr>
          <w:ilvl w:val="0"/>
          <w:numId w:val="7"/>
        </w:numPr>
        <w:spacing w:line="360" w:lineRule="auto"/>
        <w:ind w:firstLine="422"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Cs w:val="21"/>
          <w:highlight w:val="none"/>
        </w:rPr>
        <w:t>特定资格条件要求：无</w:t>
      </w:r>
      <w:r>
        <w:rPr>
          <w:rFonts w:hint="eastAsia" w:asciiTheme="minorEastAsia" w:hAnsiTheme="minorEastAsia" w:eastAsiaTheme="minorEastAsia" w:cstheme="minorEastAsia"/>
          <w:b/>
          <w:bCs/>
          <w:color w:val="auto"/>
          <w:szCs w:val="21"/>
          <w:highlight w:val="none"/>
          <w:u w:val="single"/>
        </w:rPr>
        <w:t xml:space="preserve">  </w:t>
      </w:r>
      <w:r>
        <w:rPr>
          <w:rFonts w:hint="eastAsia" w:asciiTheme="minorEastAsia" w:hAnsiTheme="minorEastAsia" w:eastAsiaTheme="minorEastAsia" w:cstheme="minorEastAsia"/>
          <w:color w:val="auto"/>
          <w:szCs w:val="21"/>
          <w:highlight w:val="none"/>
          <w:u w:val="single"/>
        </w:rPr>
        <w:t xml:space="preserve">                     </w:t>
      </w:r>
    </w:p>
    <w:p>
      <w:pPr>
        <w:pStyle w:val="4"/>
        <w:numPr>
          <w:ilvl w:val="0"/>
          <w:numId w:val="6"/>
        </w:numPr>
        <w:spacing w:line="360" w:lineRule="auto"/>
        <w:jc w:val="left"/>
        <w:rPr>
          <w:rFonts w:asciiTheme="minorEastAsia" w:hAnsiTheme="minorEastAsia" w:eastAsiaTheme="minorEastAsia" w:cstheme="minorEastAsia"/>
          <w:color w:val="auto"/>
          <w:sz w:val="21"/>
          <w:szCs w:val="21"/>
          <w:highlight w:val="none"/>
        </w:rPr>
      </w:pPr>
      <w:bookmarkStart w:id="10" w:name="_Toc25596"/>
      <w:bookmarkStart w:id="11" w:name="_Toc334539185"/>
      <w:r>
        <w:rPr>
          <w:rFonts w:hint="eastAsia" w:asciiTheme="minorEastAsia" w:hAnsiTheme="minorEastAsia" w:eastAsiaTheme="minorEastAsia" w:cstheme="minorEastAsia"/>
          <w:color w:val="auto"/>
          <w:sz w:val="21"/>
          <w:szCs w:val="21"/>
          <w:highlight w:val="none"/>
        </w:rPr>
        <w:t>获取采购文件</w:t>
      </w:r>
      <w:bookmarkEnd w:id="10"/>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时间：</w:t>
      </w:r>
      <w:r>
        <w:rPr>
          <w:rFonts w:hint="eastAsia" w:asciiTheme="minorEastAsia" w:hAnsiTheme="minorEastAsia" w:eastAsiaTheme="minorEastAsia" w:cstheme="minorEastAsia"/>
          <w:color w:val="auto"/>
          <w:szCs w:val="21"/>
          <w:highlight w:val="none"/>
          <w:u w:val="single"/>
        </w:rPr>
        <w:t>2021年</w:t>
      </w:r>
      <w:r>
        <w:rPr>
          <w:rFonts w:hint="eastAsia" w:asciiTheme="minorEastAsia" w:hAnsiTheme="minorEastAsia" w:eastAsiaTheme="minorEastAsia" w:cstheme="minorEastAsia"/>
          <w:color w:val="auto"/>
          <w:szCs w:val="21"/>
          <w:highlight w:val="none"/>
          <w:u w:val="single"/>
          <w:lang w:val="en-US" w:eastAsia="zh-CN"/>
        </w:rPr>
        <w:t>8</w:t>
      </w:r>
      <w:r>
        <w:rPr>
          <w:rFonts w:hint="eastAsia" w:asciiTheme="minorEastAsia" w:hAnsiTheme="minorEastAsia" w:eastAsiaTheme="minorEastAsia" w:cstheme="minorEastAsia"/>
          <w:color w:val="auto"/>
          <w:szCs w:val="21"/>
          <w:highlight w:val="none"/>
          <w:u w:val="single"/>
        </w:rPr>
        <w:t>月</w:t>
      </w:r>
      <w:r>
        <w:rPr>
          <w:rFonts w:hint="eastAsia" w:asciiTheme="minorEastAsia" w:hAnsiTheme="minorEastAsia" w:eastAsiaTheme="minorEastAsia" w:cstheme="minorEastAsia"/>
          <w:color w:val="auto"/>
          <w:szCs w:val="21"/>
          <w:highlight w:val="none"/>
          <w:u w:val="single"/>
          <w:lang w:val="en-US" w:eastAsia="zh-CN"/>
        </w:rPr>
        <w:t>9</w:t>
      </w:r>
      <w:r>
        <w:rPr>
          <w:rFonts w:hint="eastAsia" w:asciiTheme="minorEastAsia" w:hAnsiTheme="minorEastAsia" w:eastAsiaTheme="minorEastAsia" w:cstheme="minorEastAsia"/>
          <w:color w:val="auto"/>
          <w:szCs w:val="21"/>
          <w:highlight w:val="none"/>
          <w:u w:val="single"/>
        </w:rPr>
        <w:t>日至2021年</w:t>
      </w:r>
      <w:r>
        <w:rPr>
          <w:rFonts w:hint="eastAsia" w:asciiTheme="minorEastAsia" w:hAnsiTheme="minorEastAsia" w:eastAsiaTheme="minorEastAsia" w:cstheme="minorEastAsia"/>
          <w:color w:val="auto"/>
          <w:szCs w:val="21"/>
          <w:highlight w:val="none"/>
          <w:u w:val="single"/>
          <w:lang w:val="en-US" w:eastAsia="zh-CN"/>
        </w:rPr>
        <w:t>8</w:t>
      </w:r>
      <w:r>
        <w:rPr>
          <w:rFonts w:hint="eastAsia" w:asciiTheme="minorEastAsia" w:hAnsiTheme="minorEastAsia" w:eastAsiaTheme="minorEastAsia" w:cstheme="minorEastAsia"/>
          <w:color w:val="auto"/>
          <w:szCs w:val="21"/>
          <w:highlight w:val="none"/>
          <w:u w:val="single"/>
        </w:rPr>
        <w:t>月</w:t>
      </w:r>
      <w:r>
        <w:rPr>
          <w:rFonts w:hint="eastAsia" w:asciiTheme="minorEastAsia" w:hAnsiTheme="minorEastAsia" w:eastAsiaTheme="minorEastAsia" w:cstheme="minorEastAsia"/>
          <w:color w:val="auto"/>
          <w:szCs w:val="21"/>
          <w:highlight w:val="none"/>
          <w:u w:val="single"/>
          <w:lang w:val="en-US" w:eastAsia="zh-CN"/>
        </w:rPr>
        <w:t>13</w:t>
      </w:r>
      <w:r>
        <w:rPr>
          <w:rFonts w:hint="eastAsia" w:asciiTheme="minorEastAsia" w:hAnsiTheme="minorEastAsia" w:eastAsiaTheme="minorEastAsia" w:cstheme="minorEastAsia"/>
          <w:color w:val="auto"/>
          <w:szCs w:val="21"/>
          <w:highlight w:val="none"/>
          <w:u w:val="single"/>
        </w:rPr>
        <w:t>日</w:t>
      </w:r>
      <w:r>
        <w:rPr>
          <w:rFonts w:hint="eastAsia" w:asciiTheme="minorEastAsia" w:hAnsiTheme="minorEastAsia" w:eastAsiaTheme="minorEastAsia" w:cstheme="minorEastAsia"/>
          <w:color w:val="auto"/>
          <w:szCs w:val="21"/>
          <w:highlight w:val="none"/>
        </w:rPr>
        <w:t>，每天上午09:00至12:00，下午14:30至17:00（北京时间，法定节假日除外）</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地点：武昌区中北路岳家嘴立交山河企业大厦48楼4805室；</w:t>
      </w:r>
    </w:p>
    <w:p>
      <w:pPr>
        <w:spacing w:line="360" w:lineRule="auto"/>
        <w:ind w:firstLine="422"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Cs w:val="21"/>
          <w:highlight w:val="none"/>
        </w:rPr>
        <w:t>线上获取：</w:t>
      </w:r>
      <w:r>
        <w:rPr>
          <w:rFonts w:hint="eastAsia" w:asciiTheme="minorEastAsia" w:hAnsiTheme="minorEastAsia" w:eastAsiaTheme="minorEastAsia" w:cstheme="minorEastAsia"/>
          <w:color w:val="auto"/>
          <w:szCs w:val="21"/>
          <w:highlight w:val="none"/>
        </w:rPr>
        <w:t>因疫情原因，采取网上获取文件的方式，请各供应商将以下附件资料加盖公章扫描后传至2102252595@qq.com（邮件主题名称必须备注所投项目名称及公司姓名，否则不予受理），以邮箱显示收到的时间为准，递交资料后请联系代理机构工作人员支付磋商文件费用并确认后获取磋商文件。采购文件售后不退，不办理邮寄；</w:t>
      </w:r>
      <w:bookmarkEnd w:id="11"/>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b/>
          <w:bCs/>
          <w:color w:val="auto"/>
          <w:szCs w:val="21"/>
          <w:highlight w:val="none"/>
        </w:rPr>
        <w:t xml:space="preserve">  </w:t>
      </w:r>
      <w:r>
        <w:rPr>
          <w:rFonts w:hint="eastAsia" w:asciiTheme="minorEastAsia" w:hAnsiTheme="minorEastAsia" w:eastAsiaTheme="minorEastAsia" w:cstheme="minorEastAsia"/>
          <w:b/>
          <w:bCs/>
          <w:color w:val="auto"/>
          <w:szCs w:val="21"/>
          <w:highlight w:val="none"/>
          <w:lang w:val="en-US" w:eastAsia="zh-CN"/>
        </w:rPr>
        <w:t xml:space="preserve">  </w:t>
      </w:r>
      <w:r>
        <w:rPr>
          <w:rFonts w:hint="eastAsia" w:asciiTheme="minorEastAsia" w:hAnsiTheme="minorEastAsia" w:eastAsiaTheme="minorEastAsia" w:cstheme="minorEastAsia"/>
          <w:color w:val="auto"/>
          <w:szCs w:val="21"/>
          <w:highlight w:val="none"/>
        </w:rPr>
        <w:t>售价：400(元)；</w:t>
      </w:r>
    </w:p>
    <w:p>
      <w:pPr>
        <w:pStyle w:val="4"/>
        <w:numPr>
          <w:ilvl w:val="0"/>
          <w:numId w:val="6"/>
        </w:numPr>
        <w:spacing w:line="360" w:lineRule="auto"/>
        <w:jc w:val="left"/>
        <w:rPr>
          <w:rFonts w:asciiTheme="minorEastAsia" w:hAnsiTheme="minorEastAsia" w:eastAsiaTheme="minorEastAsia" w:cstheme="minorEastAsia"/>
          <w:color w:val="auto"/>
          <w:sz w:val="21"/>
          <w:szCs w:val="21"/>
          <w:highlight w:val="none"/>
        </w:rPr>
      </w:pPr>
      <w:bookmarkStart w:id="12" w:name="_Toc20123"/>
      <w:r>
        <w:rPr>
          <w:rFonts w:hint="eastAsia" w:asciiTheme="minorEastAsia" w:hAnsiTheme="minorEastAsia" w:eastAsiaTheme="minorEastAsia" w:cstheme="minorEastAsia"/>
          <w:color w:val="auto"/>
          <w:sz w:val="21"/>
          <w:szCs w:val="21"/>
          <w:highlight w:val="none"/>
        </w:rPr>
        <w:t>响应文件提交</w:t>
      </w:r>
      <w:bookmarkEnd w:id="12"/>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开始时间：2021年8月23日1</w:t>
      </w: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rPr>
        <w:t>点00分（北京时间）</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截止时间：2021年8月23日14点00分（北京时间）</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地点：武昌区中北路岳家嘴立交山河企业大厦4806室，凡是购买了采购文件且已回复确定参加磋商的潜在供应商，于磋商当日临时放弃竞标的，应及时以电话告知形式通知采购代理机构。</w:t>
      </w:r>
    </w:p>
    <w:p>
      <w:pPr>
        <w:pStyle w:val="4"/>
        <w:numPr>
          <w:ilvl w:val="0"/>
          <w:numId w:val="6"/>
        </w:numPr>
        <w:spacing w:line="360" w:lineRule="auto"/>
        <w:jc w:val="left"/>
        <w:rPr>
          <w:rFonts w:asciiTheme="minorEastAsia" w:hAnsiTheme="minorEastAsia" w:eastAsiaTheme="minorEastAsia" w:cstheme="minorEastAsia"/>
          <w:color w:val="auto"/>
          <w:sz w:val="21"/>
          <w:szCs w:val="21"/>
          <w:highlight w:val="none"/>
        </w:rPr>
      </w:pPr>
      <w:bookmarkStart w:id="13" w:name="_Toc28228"/>
      <w:r>
        <w:rPr>
          <w:rFonts w:hint="eastAsia" w:asciiTheme="minorEastAsia" w:hAnsiTheme="minorEastAsia" w:eastAsiaTheme="minorEastAsia" w:cstheme="minorEastAsia"/>
          <w:color w:val="auto"/>
          <w:sz w:val="21"/>
          <w:szCs w:val="21"/>
          <w:highlight w:val="none"/>
        </w:rPr>
        <w:t>开启</w:t>
      </w:r>
      <w:bookmarkEnd w:id="13"/>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时间：2021年8月23日14点00分（北京时间）</w:t>
      </w:r>
    </w:p>
    <w:p>
      <w:pPr>
        <w:pStyle w:val="4"/>
        <w:numPr>
          <w:ilvl w:val="0"/>
          <w:numId w:val="6"/>
        </w:numPr>
        <w:spacing w:line="360" w:lineRule="auto"/>
        <w:jc w:val="left"/>
        <w:rPr>
          <w:rFonts w:asciiTheme="minorEastAsia" w:hAnsiTheme="minorEastAsia" w:eastAsiaTheme="minorEastAsia" w:cstheme="minorEastAsia"/>
          <w:color w:val="auto"/>
          <w:sz w:val="21"/>
          <w:szCs w:val="21"/>
          <w:highlight w:val="none"/>
        </w:rPr>
      </w:pPr>
      <w:bookmarkStart w:id="14" w:name="_Toc12264"/>
      <w:r>
        <w:rPr>
          <w:rFonts w:hint="eastAsia" w:asciiTheme="minorEastAsia" w:hAnsiTheme="minorEastAsia" w:eastAsiaTheme="minorEastAsia" w:cstheme="minorEastAsia"/>
          <w:color w:val="auto"/>
          <w:sz w:val="21"/>
          <w:szCs w:val="21"/>
          <w:highlight w:val="none"/>
        </w:rPr>
        <w:t>公告期限</w:t>
      </w:r>
      <w:bookmarkEnd w:id="14"/>
    </w:p>
    <w:p>
      <w:pPr>
        <w:spacing w:line="360" w:lineRule="auto"/>
        <w:ind w:firstLine="420" w:firstLineChars="200"/>
        <w:jc w:val="left"/>
        <w:rPr>
          <w:rFonts w:asciiTheme="minorEastAsia" w:hAnsiTheme="minorEastAsia" w:eastAsiaTheme="minorEastAsia" w:cstheme="minorEastAsia"/>
          <w:color w:val="auto"/>
          <w:szCs w:val="21"/>
          <w:highlight w:val="none"/>
        </w:rPr>
      </w:pPr>
      <w:bookmarkStart w:id="15" w:name="_Toc334539188"/>
      <w:bookmarkStart w:id="16" w:name="_Toc317262251"/>
      <w:bookmarkStart w:id="17" w:name="_Toc259607751"/>
      <w:bookmarkStart w:id="18" w:name="_Toc276368888"/>
      <w:bookmarkStart w:id="19" w:name="_Toc6021"/>
      <w:bookmarkStart w:id="20" w:name="_Toc320898024"/>
      <w:r>
        <w:rPr>
          <w:rFonts w:hint="eastAsia" w:asciiTheme="minorEastAsia" w:hAnsiTheme="minorEastAsia" w:eastAsiaTheme="minorEastAsia" w:cstheme="minorEastAsia"/>
          <w:color w:val="auto"/>
          <w:szCs w:val="21"/>
          <w:highlight w:val="none"/>
        </w:rPr>
        <w:t>自本公告发布之日起3个工作日</w:t>
      </w:r>
    </w:p>
    <w:bookmarkEnd w:id="15"/>
    <w:bookmarkEnd w:id="16"/>
    <w:bookmarkEnd w:id="17"/>
    <w:bookmarkEnd w:id="18"/>
    <w:bookmarkEnd w:id="19"/>
    <w:bookmarkEnd w:id="20"/>
    <w:p>
      <w:pPr>
        <w:pStyle w:val="4"/>
        <w:numPr>
          <w:ilvl w:val="0"/>
          <w:numId w:val="6"/>
        </w:numPr>
        <w:spacing w:line="360" w:lineRule="auto"/>
        <w:jc w:val="left"/>
        <w:rPr>
          <w:rFonts w:asciiTheme="minorEastAsia" w:hAnsiTheme="minorEastAsia" w:eastAsiaTheme="minorEastAsia" w:cstheme="minorEastAsia"/>
          <w:color w:val="auto"/>
          <w:sz w:val="21"/>
          <w:szCs w:val="21"/>
          <w:highlight w:val="none"/>
        </w:rPr>
      </w:pPr>
      <w:bookmarkStart w:id="21" w:name="_Toc2961"/>
      <w:r>
        <w:rPr>
          <w:rFonts w:hint="eastAsia" w:asciiTheme="minorEastAsia" w:hAnsiTheme="minorEastAsia" w:eastAsiaTheme="minorEastAsia" w:cstheme="minorEastAsia"/>
          <w:color w:val="auto"/>
          <w:sz w:val="21"/>
          <w:szCs w:val="21"/>
          <w:highlight w:val="none"/>
        </w:rPr>
        <w:t>其他补充事宜</w:t>
      </w:r>
      <w:bookmarkEnd w:id="21"/>
    </w:p>
    <w:p>
      <w:pPr>
        <w:spacing w:line="360" w:lineRule="auto"/>
        <w:ind w:firstLine="420" w:firstLineChars="200"/>
        <w:jc w:val="left"/>
        <w:rPr>
          <w:rFonts w:asciiTheme="minorEastAsia" w:hAnsiTheme="minorEastAsia" w:eastAsiaTheme="minorEastAsia" w:cstheme="minorEastAsia"/>
          <w:color w:val="auto"/>
          <w:szCs w:val="21"/>
          <w:highlight w:val="none"/>
        </w:rPr>
      </w:pPr>
      <w:bookmarkStart w:id="22" w:name="_Toc259028279"/>
      <w:r>
        <w:rPr>
          <w:rFonts w:hint="eastAsia" w:asciiTheme="minorEastAsia" w:hAnsiTheme="minorEastAsia" w:eastAsiaTheme="minorEastAsia" w:cstheme="minorEastAsia"/>
          <w:color w:val="auto"/>
          <w:szCs w:val="21"/>
          <w:highlight w:val="none"/>
        </w:rPr>
        <w:t>1.本项目资金性质为：财政资金</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2.供应商如需查询技术要求可到我处查阅采购文件第三章相关内容。</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 xml:space="preserve">    3.本项目将在以下网站发布所有信息，请参加本项目竞标的供应商密切关注。</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 xml:space="preserve">    （一）《中国招标投标公共服务平台》（网址：http://www.cebpubservice.com/）</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（二）《中经国际招标集团有限公司官网》（网址：</w:t>
      </w:r>
      <w:r>
        <w:rPr>
          <w:color w:val="auto"/>
          <w:highlight w:val="none"/>
        </w:rPr>
        <w:fldChar w:fldCharType="begin"/>
      </w:r>
      <w:r>
        <w:rPr>
          <w:color w:val="auto"/>
          <w:highlight w:val="none"/>
        </w:rPr>
        <w:instrText xml:space="preserve"> HYPERLINK "http://www.ccgp-hubei.gov.cn/）"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http://www.ceitcl.com/）</w:t>
      </w:r>
      <w:r>
        <w:rPr>
          <w:rFonts w:hint="eastAsia" w:asciiTheme="minorEastAsia" w:hAnsiTheme="minorEastAsia" w:eastAsiaTheme="minorEastAsia" w:cstheme="minorEastAsia"/>
          <w:color w:val="auto"/>
          <w:szCs w:val="21"/>
          <w:highlight w:val="none"/>
        </w:rPr>
        <w:fldChar w:fldCharType="end"/>
      </w:r>
    </w:p>
    <w:p>
      <w:pPr>
        <w:spacing w:line="360" w:lineRule="auto"/>
        <w:ind w:firstLine="420" w:firstLineChars="200"/>
        <w:jc w:val="left"/>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szCs w:val="21"/>
          <w:highlight w:val="none"/>
        </w:rPr>
        <w:t>（三）《华中师范大学招标信息网》（网址：http://zb.ccnu.edu.cn/）</w:t>
      </w:r>
    </w:p>
    <w:bookmarkEnd w:id="22"/>
    <w:p>
      <w:pPr>
        <w:pStyle w:val="4"/>
        <w:numPr>
          <w:ilvl w:val="0"/>
          <w:numId w:val="6"/>
        </w:numPr>
        <w:spacing w:line="360" w:lineRule="auto"/>
        <w:jc w:val="left"/>
        <w:rPr>
          <w:rFonts w:asciiTheme="minorEastAsia" w:hAnsiTheme="minorEastAsia" w:eastAsiaTheme="minorEastAsia" w:cstheme="minorEastAsia"/>
          <w:color w:val="auto"/>
          <w:sz w:val="21"/>
          <w:szCs w:val="21"/>
          <w:highlight w:val="none"/>
        </w:rPr>
      </w:pPr>
      <w:bookmarkStart w:id="23" w:name="_Toc20355"/>
      <w:r>
        <w:rPr>
          <w:rFonts w:hint="eastAsia" w:asciiTheme="minorEastAsia" w:hAnsiTheme="minorEastAsia" w:eastAsiaTheme="minorEastAsia" w:cstheme="minorEastAsia"/>
          <w:color w:val="auto"/>
          <w:sz w:val="21"/>
          <w:szCs w:val="21"/>
          <w:highlight w:val="none"/>
        </w:rPr>
        <w:t>凡对本次采购提出询问，请按以下方式联系</w:t>
      </w:r>
      <w:bookmarkEnd w:id="23"/>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1.采购人信息</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名 称：华中师范大学　　　　　　　　　　　　</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地 址：湖北省武汉市珞喻路152号　　　　　　　　　　　　</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联系方式：张老师　027-67862880　　　　　　　　　 </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2.采购代理机构信息</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名  称：中经国际招标集团有限公司　　　　　　　　　　　　</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地　址：武昌区中北路岳家嘴立交山河企业大厦48楼4805、4806室　　　　　　　　　　　　</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联系方式：027-87820788　　　　　　　　　　　　</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3.项目联系方式</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项目联系人：张梦、彭盼明</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电    　话：027-87820788　　</w:t>
      </w:r>
    </w:p>
    <w:p>
      <w:pPr>
        <w:pStyle w:val="4"/>
        <w:numPr>
          <w:ilvl w:val="0"/>
          <w:numId w:val="6"/>
        </w:numPr>
        <w:spacing w:line="360" w:lineRule="auto"/>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bookmarkStart w:id="24" w:name="_Toc5336"/>
      <w:bookmarkStart w:id="25" w:name="_Toc24714"/>
      <w:r>
        <w:rPr>
          <w:rFonts w:hint="eastAsia" w:asciiTheme="minorEastAsia" w:hAnsiTheme="minorEastAsia" w:eastAsiaTheme="minorEastAsia" w:cstheme="minorEastAsia"/>
          <w:color w:val="auto"/>
          <w:sz w:val="21"/>
          <w:szCs w:val="21"/>
          <w:highlight w:val="none"/>
        </w:rPr>
        <w:t>注意事项</w:t>
      </w:r>
      <w:bookmarkEnd w:id="24"/>
      <w:bookmarkEnd w:id="25"/>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1.供应商在获取本项目竞争性磋商文件前须仔细阅读资格要求内容，并按磋商文件规定要求在响应文件中递交合格有效的资格证明文件，资格审查资料不合格将导致竞标失败。</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asciiTheme="minorEastAsia" w:hAnsiTheme="minorEastAsia" w:eastAsiaTheme="minorEastAsia" w:cstheme="minorEastAsia"/>
          <w:color w:val="auto"/>
          <w:highlight w:val="none"/>
        </w:rPr>
      </w:pPr>
    </w:p>
    <w:p>
      <w:pPr>
        <w:spacing w:line="360" w:lineRule="auto"/>
        <w:jc w:val="righ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中经国际招标集团有限公司</w:t>
      </w:r>
    </w:p>
    <w:p>
      <w:pPr>
        <w:spacing w:line="360" w:lineRule="auto"/>
        <w:jc w:val="righ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1"/>
          <w:highlight w:val="none"/>
        </w:rPr>
        <w:t xml:space="preserve">                                    2021年</w:t>
      </w:r>
      <w:r>
        <w:rPr>
          <w:rFonts w:hint="eastAsia" w:asciiTheme="minorEastAsia" w:hAnsiTheme="minorEastAsia" w:eastAsiaTheme="minorEastAsia" w:cstheme="minorEastAsia"/>
          <w:color w:val="auto"/>
          <w:szCs w:val="21"/>
          <w:highlight w:val="none"/>
          <w:lang w:val="en-US" w:eastAsia="zh-CN"/>
        </w:rPr>
        <w:t>8</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lang w:val="en-US" w:eastAsia="zh-CN"/>
        </w:rPr>
        <w:t>7</w:t>
      </w:r>
      <w:r>
        <w:rPr>
          <w:rFonts w:hint="eastAsia" w:asciiTheme="minorEastAsia" w:hAnsiTheme="minorEastAsia" w:eastAsiaTheme="minorEastAsia" w:cstheme="minorEastAsia"/>
          <w:color w:val="auto"/>
          <w:szCs w:val="21"/>
          <w:highlight w:val="none"/>
        </w:rPr>
        <w:t>日</w:t>
      </w:r>
    </w:p>
    <w:p>
      <w:pPr>
        <w:numPr>
          <w:ilvl w:val="0"/>
          <w:numId w:val="4"/>
        </w:numPr>
        <w:rPr>
          <w:rFonts w:asciiTheme="minorEastAsia" w:hAnsiTheme="minorEastAsia" w:eastAsiaTheme="minorEastAsia" w:cstheme="minorEastAsia"/>
          <w:color w:val="auto"/>
          <w:sz w:val="32"/>
          <w:szCs w:val="32"/>
          <w:highlight w:val="none"/>
        </w:rPr>
      </w:pPr>
      <w:r>
        <w:rPr>
          <w:rFonts w:hint="eastAsia" w:asciiTheme="minorEastAsia" w:hAnsiTheme="minorEastAsia" w:eastAsiaTheme="minorEastAsia" w:cstheme="minorEastAsia"/>
          <w:color w:val="auto"/>
          <w:sz w:val="36"/>
          <w:szCs w:val="36"/>
          <w:highlight w:val="none"/>
        </w:rPr>
        <w:br w:type="page"/>
      </w:r>
    </w:p>
    <w:p>
      <w:pPr>
        <w:pStyle w:val="3"/>
        <w:numPr>
          <w:ilvl w:val="0"/>
          <w:numId w:val="4"/>
        </w:numPr>
        <w:jc w:val="center"/>
        <w:rPr>
          <w:rFonts w:asciiTheme="minorEastAsia" w:hAnsiTheme="minorEastAsia" w:eastAsiaTheme="minorEastAsia" w:cstheme="minorEastAsia"/>
          <w:color w:val="auto"/>
          <w:sz w:val="32"/>
          <w:szCs w:val="32"/>
          <w:highlight w:val="none"/>
        </w:rPr>
      </w:pPr>
      <w:bookmarkStart w:id="26" w:name="_Toc3981"/>
      <w:r>
        <w:rPr>
          <w:rFonts w:hint="eastAsia" w:asciiTheme="minorEastAsia" w:hAnsiTheme="minorEastAsia" w:eastAsiaTheme="minorEastAsia" w:cstheme="minorEastAsia"/>
          <w:color w:val="auto"/>
          <w:sz w:val="36"/>
          <w:szCs w:val="36"/>
          <w:highlight w:val="none"/>
        </w:rPr>
        <w:t>供应商须知</w:t>
      </w:r>
      <w:bookmarkEnd w:id="26"/>
    </w:p>
    <w:p>
      <w:pPr>
        <w:autoSpaceDE w:val="0"/>
        <w:autoSpaceDN w:val="0"/>
        <w:adjustRightInd w:val="0"/>
        <w:spacing w:line="360" w:lineRule="auto"/>
        <w:jc w:val="center"/>
        <w:outlineLvl w:val="1"/>
        <w:rPr>
          <w:rFonts w:asciiTheme="minorEastAsia" w:hAnsiTheme="minorEastAsia" w:eastAsiaTheme="minorEastAsia" w:cstheme="minorEastAsia"/>
          <w:b/>
          <w:color w:val="auto"/>
          <w:szCs w:val="21"/>
          <w:highlight w:val="none"/>
          <w:lang w:val="zh-CN"/>
        </w:rPr>
      </w:pPr>
      <w:bookmarkStart w:id="27" w:name="_Toc1221"/>
      <w:r>
        <w:rPr>
          <w:rFonts w:hint="eastAsia" w:asciiTheme="minorEastAsia" w:hAnsiTheme="minorEastAsia" w:eastAsiaTheme="minorEastAsia" w:cstheme="minorEastAsia"/>
          <w:b/>
          <w:color w:val="auto"/>
          <w:szCs w:val="21"/>
          <w:highlight w:val="none"/>
        </w:rPr>
        <w:t>《供应商须知前附表》</w:t>
      </w:r>
      <w:bookmarkEnd w:id="27"/>
    </w:p>
    <w:p>
      <w:pPr>
        <w:autoSpaceDE w:val="0"/>
        <w:autoSpaceDN w:val="0"/>
        <w:adjustRightInd w:val="0"/>
        <w:spacing w:line="360" w:lineRule="auto"/>
        <w:ind w:firstLine="420" w:firstLineChars="20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color w:val="auto"/>
          <w:szCs w:val="21"/>
          <w:highlight w:val="none"/>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lang w:val="zh-CN"/>
              </w:rPr>
              <w:t>条款号</w:t>
            </w:r>
          </w:p>
        </w:tc>
        <w:tc>
          <w:tcPr>
            <w:tcW w:w="2127"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color w:val="auto"/>
                <w:szCs w:val="21"/>
                <w:highlight w:val="none"/>
                <w:lang w:val="zh-CN"/>
              </w:rPr>
            </w:pPr>
            <w:r>
              <w:rPr>
                <w:rFonts w:hint="eastAsia" w:asciiTheme="minorEastAsia" w:hAnsiTheme="minorEastAsia" w:eastAsiaTheme="minorEastAsia" w:cstheme="minorEastAsia"/>
                <w:b/>
                <w:color w:val="auto"/>
                <w:szCs w:val="21"/>
                <w:highlight w:val="none"/>
                <w:lang w:val="zh-CN"/>
              </w:rPr>
              <w:t>条款名称</w:t>
            </w:r>
          </w:p>
        </w:tc>
        <w:tc>
          <w:tcPr>
            <w:tcW w:w="6130" w:type="dxa"/>
            <w:shd w:val="clear" w:color="auto" w:fill="F1F1F1"/>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color w:val="auto"/>
                <w:kern w:val="2"/>
                <w:sz w:val="21"/>
                <w:szCs w:val="21"/>
                <w:highlight w:val="none"/>
                <w:lang w:val="zh-CN"/>
              </w:rPr>
            </w:pPr>
            <w:r>
              <w:rPr>
                <w:rFonts w:asciiTheme="minorEastAsia" w:hAnsiTheme="minorEastAsia" w:eastAsiaTheme="minorEastAsia" w:cstheme="minorEastAsia"/>
                <w:color w:val="auto"/>
                <w:kern w:val="2"/>
                <w:sz w:val="21"/>
                <w:szCs w:val="21"/>
                <w:highlight w:val="none"/>
                <w:lang w:val="zh-CN"/>
              </w:rPr>
              <w:t>2.1</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color w:val="auto"/>
                <w:kern w:val="2"/>
                <w:sz w:val="21"/>
                <w:szCs w:val="21"/>
                <w:highlight w:val="none"/>
                <w:lang w:val="zh-CN"/>
              </w:rPr>
            </w:pPr>
            <w:r>
              <w:rPr>
                <w:rFonts w:asciiTheme="minorEastAsia" w:hAnsiTheme="minorEastAsia" w:eastAsiaTheme="minorEastAsia" w:cstheme="minorEastAsia"/>
                <w:color w:val="auto"/>
                <w:kern w:val="2"/>
                <w:sz w:val="21"/>
                <w:szCs w:val="21"/>
                <w:highlight w:val="none"/>
                <w:lang w:val="zh-CN"/>
              </w:rPr>
              <w:t>采购人</w:t>
            </w:r>
          </w:p>
        </w:tc>
        <w:tc>
          <w:tcPr>
            <w:tcW w:w="6130" w:type="dxa"/>
            <w:vAlign w:val="center"/>
          </w:tcPr>
          <w:p>
            <w:pPr>
              <w:autoSpaceDE w:val="0"/>
              <w:autoSpaceDN w:val="0"/>
              <w:adjustRightInd w:val="0"/>
              <w:jc w:val="left"/>
              <w:rPr>
                <w:rFonts w:asciiTheme="minorEastAsia" w:hAnsiTheme="minorEastAsia" w:eastAsiaTheme="minorEastAsia" w:cstheme="minorEastAsia"/>
                <w:color w:val="auto"/>
                <w:szCs w:val="21"/>
                <w:highlight w:val="none"/>
                <w:lang w:val="zh-CN"/>
              </w:rPr>
            </w:pPr>
            <w:r>
              <w:rPr>
                <w:rFonts w:hint="eastAsia" w:ascii="宋体" w:hAnsi="宋体" w:cs="宋体"/>
                <w:snapToGrid w:val="0"/>
                <w:color w:val="auto"/>
                <w:kern w:val="0"/>
                <w:szCs w:val="21"/>
                <w:highlight w:val="none"/>
                <w:lang w:val="zh-CN"/>
              </w:rPr>
              <w:t>华中师范大学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2.2</w:t>
            </w:r>
          </w:p>
        </w:tc>
        <w:tc>
          <w:tcPr>
            <w:tcW w:w="2127" w:type="dxa"/>
            <w:vAlign w:val="center"/>
          </w:tcPr>
          <w:p>
            <w:pPr>
              <w:pStyle w:val="24"/>
              <w:widowControl w:val="0"/>
              <w:autoSpaceDE w:val="0"/>
              <w:autoSpaceDN w:val="0"/>
              <w:adjustRightInd w:val="0"/>
              <w:spacing w:before="0" w:beforeAutospacing="0" w:after="0" w:afterAutospacing="0"/>
              <w:jc w:val="center"/>
              <w:rPr>
                <w:rFonts w:hint="default" w:asciiTheme="minorEastAsia" w:hAnsiTheme="minorEastAsia" w:eastAsiaTheme="minorEastAsia" w:cstheme="minorEastAsia"/>
                <w:color w:val="auto"/>
                <w:kern w:val="2"/>
                <w:sz w:val="21"/>
                <w:szCs w:val="21"/>
                <w:highlight w:val="none"/>
                <w:lang w:val="zh-CN"/>
              </w:rPr>
            </w:pPr>
            <w:r>
              <w:rPr>
                <w:rFonts w:asciiTheme="minorEastAsia" w:hAnsiTheme="minorEastAsia" w:eastAsiaTheme="minorEastAsia" w:cstheme="minorEastAsia"/>
                <w:color w:val="auto"/>
                <w:kern w:val="2"/>
                <w:sz w:val="21"/>
                <w:szCs w:val="21"/>
                <w:highlight w:val="none"/>
                <w:lang w:val="zh-CN"/>
              </w:rPr>
              <w:t>监管部门</w:t>
            </w:r>
          </w:p>
        </w:tc>
        <w:tc>
          <w:tcPr>
            <w:tcW w:w="6130" w:type="dxa"/>
            <w:vAlign w:val="center"/>
          </w:tcPr>
          <w:p>
            <w:pPr>
              <w:autoSpaceDE w:val="0"/>
              <w:autoSpaceDN w:val="0"/>
              <w:adjustRightInd w:val="0"/>
              <w:jc w:val="left"/>
              <w:rPr>
                <w:rFonts w:asciiTheme="minorEastAsia" w:hAnsiTheme="minorEastAsia" w:eastAsiaTheme="minorEastAsia" w:cstheme="minorEastAsia"/>
                <w:color w:val="auto"/>
                <w:szCs w:val="21"/>
                <w:highlight w:val="none"/>
                <w:lang w:val="zh-CN"/>
              </w:rPr>
            </w:pPr>
            <w:r>
              <w:rPr>
                <w:rFonts w:hint="eastAsia" w:ascii="宋体" w:hAnsi="宋体" w:cs="宋体"/>
                <w:snapToGrid w:val="0"/>
                <w:color w:val="auto"/>
                <w:kern w:val="0"/>
                <w:szCs w:val="21"/>
                <w:highlight w:val="none"/>
                <w:lang w:val="zh-CN"/>
              </w:rPr>
              <w:t>中华人民共和国财政部政府采购管理办公室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2.3</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color w:val="auto"/>
                <w:kern w:val="2"/>
                <w:sz w:val="21"/>
                <w:szCs w:val="21"/>
                <w:highlight w:val="none"/>
                <w:lang w:val="zh-CN"/>
              </w:rPr>
            </w:pPr>
            <w:r>
              <w:rPr>
                <w:rFonts w:asciiTheme="minorEastAsia" w:hAnsiTheme="minorEastAsia" w:eastAsiaTheme="minorEastAsia" w:cstheme="minorEastAsia"/>
                <w:color w:val="auto"/>
                <w:kern w:val="2"/>
                <w:sz w:val="21"/>
                <w:szCs w:val="21"/>
                <w:highlight w:val="none"/>
                <w:lang w:val="zh-CN"/>
              </w:rPr>
              <w:t>采购代理机构</w:t>
            </w:r>
          </w:p>
        </w:tc>
        <w:tc>
          <w:tcPr>
            <w:tcW w:w="6130" w:type="dxa"/>
            <w:vAlign w:val="center"/>
          </w:tcPr>
          <w:p>
            <w:pPr>
              <w:pStyle w:val="24"/>
              <w:widowControl w:val="0"/>
              <w:autoSpaceDE w:val="0"/>
              <w:autoSpaceDN w:val="0"/>
              <w:adjustRightInd w:val="0"/>
              <w:spacing w:beforeLines="10" w:beforeAutospacing="0" w:afterLines="10" w:afterAutospacing="0"/>
              <w:ind w:left="21" w:leftChars="10" w:right="21" w:rightChars="10"/>
              <w:rPr>
                <w:rFonts w:hint="default" w:asciiTheme="minorEastAsia" w:hAnsiTheme="minorEastAsia" w:eastAsiaTheme="minorEastAsia" w:cstheme="minorEastAsia"/>
                <w:color w:val="auto"/>
                <w:kern w:val="2"/>
                <w:sz w:val="21"/>
                <w:szCs w:val="21"/>
                <w:highlight w:val="none"/>
                <w:lang w:val="zh-CN"/>
              </w:rPr>
            </w:pPr>
            <w:r>
              <w:rPr>
                <w:rFonts w:asciiTheme="minorEastAsia" w:hAnsiTheme="minorEastAsia" w:eastAsiaTheme="minorEastAsia" w:cstheme="minorEastAsia"/>
                <w:color w:val="auto"/>
                <w:kern w:val="2"/>
                <w:sz w:val="21"/>
                <w:szCs w:val="21"/>
                <w:highlight w:val="none"/>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color w:val="auto"/>
                <w:kern w:val="2"/>
                <w:sz w:val="21"/>
                <w:szCs w:val="21"/>
                <w:highlight w:val="none"/>
                <w:lang w:val="zh-CN"/>
              </w:rPr>
            </w:pPr>
            <w:r>
              <w:rPr>
                <w:rFonts w:asciiTheme="minorEastAsia" w:hAnsiTheme="minorEastAsia" w:eastAsiaTheme="minorEastAsia" w:cstheme="minorEastAsia"/>
                <w:color w:val="auto"/>
                <w:kern w:val="2"/>
                <w:sz w:val="21"/>
                <w:szCs w:val="21"/>
                <w:highlight w:val="none"/>
                <w:lang w:val="zh-CN"/>
              </w:rPr>
              <w:t>2.5</w:t>
            </w:r>
          </w:p>
        </w:tc>
        <w:tc>
          <w:tcPr>
            <w:tcW w:w="2127"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color w:val="auto"/>
                <w:kern w:val="2"/>
                <w:sz w:val="21"/>
                <w:szCs w:val="21"/>
                <w:highlight w:val="none"/>
                <w:lang w:val="zh-CN"/>
              </w:rPr>
            </w:pPr>
            <w:r>
              <w:rPr>
                <w:rFonts w:asciiTheme="minorEastAsia" w:hAnsiTheme="minorEastAsia" w:eastAsiaTheme="minorEastAsia" w:cstheme="minorEastAsia"/>
                <w:color w:val="auto"/>
                <w:kern w:val="2"/>
                <w:sz w:val="21"/>
                <w:szCs w:val="21"/>
                <w:highlight w:val="none"/>
                <w:lang w:val="zh-CN"/>
              </w:rPr>
              <w:t>磋商供应商</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color w:val="auto"/>
                <w:kern w:val="2"/>
                <w:sz w:val="21"/>
                <w:szCs w:val="21"/>
                <w:highlight w:val="none"/>
                <w:lang w:val="zh-CN"/>
              </w:rPr>
            </w:pPr>
            <w:r>
              <w:rPr>
                <w:rFonts w:asciiTheme="minorEastAsia" w:hAnsiTheme="minorEastAsia" w:eastAsiaTheme="minorEastAsia" w:cstheme="minorEastAsia"/>
                <w:color w:val="auto"/>
                <w:sz w:val="21"/>
                <w:szCs w:val="21"/>
                <w:highlight w:val="none"/>
                <w:lang w:val="zh-CN"/>
              </w:rPr>
              <w:t>详见</w:t>
            </w:r>
            <w:r>
              <w:rPr>
                <w:rFonts w:asciiTheme="minorEastAsia" w:hAnsiTheme="minorEastAsia" w:eastAsiaTheme="minorEastAsia" w:cstheme="minorEastAsia"/>
                <w:color w:val="auto"/>
                <w:sz w:val="21"/>
                <w:szCs w:val="21"/>
                <w:highlight w:val="none"/>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color w:val="auto"/>
                <w:kern w:val="2"/>
                <w:sz w:val="21"/>
                <w:szCs w:val="21"/>
                <w:highlight w:val="none"/>
                <w:lang w:val="zh-CN"/>
              </w:rPr>
            </w:pPr>
            <w:r>
              <w:rPr>
                <w:rFonts w:asciiTheme="minorEastAsia" w:hAnsiTheme="minorEastAsia" w:eastAsiaTheme="minorEastAsia" w:cstheme="minorEastAsia"/>
                <w:color w:val="auto"/>
                <w:kern w:val="2"/>
                <w:sz w:val="21"/>
                <w:szCs w:val="21"/>
                <w:highlight w:val="none"/>
                <w:lang w:val="zh-CN"/>
              </w:rPr>
              <w:t>4.2</w:t>
            </w:r>
          </w:p>
        </w:tc>
        <w:tc>
          <w:tcPr>
            <w:tcW w:w="2127" w:type="dxa"/>
            <w:vAlign w:val="center"/>
          </w:tcPr>
          <w:p>
            <w:pPr>
              <w:autoSpaceDE w:val="0"/>
              <w:autoSpaceDN w:val="0"/>
              <w:adjustRightInd w:val="0"/>
              <w:jc w:val="center"/>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招标代理服务费</w:t>
            </w:r>
          </w:p>
        </w:tc>
        <w:tc>
          <w:tcPr>
            <w:tcW w:w="6130" w:type="dxa"/>
            <w:vAlign w:val="center"/>
          </w:tcPr>
          <w:p>
            <w:pPr>
              <w:autoSpaceDE w:val="0"/>
              <w:autoSpaceDN w:val="0"/>
              <w:adjustRightInd w:val="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招标代理服务费由中标人在领取成交通知书的同时，向采购代理机构支付。招标代理服务费按</w:t>
            </w:r>
            <w:r>
              <w:rPr>
                <w:rFonts w:hint="eastAsia" w:asciiTheme="minorEastAsia" w:hAnsiTheme="minorEastAsia" w:eastAsiaTheme="minorEastAsia" w:cstheme="minorEastAsia"/>
                <w:color w:val="auto"/>
                <w:szCs w:val="21"/>
                <w:highlight w:val="none"/>
                <w:lang w:eastAsia="zh-CN"/>
              </w:rPr>
              <w:t>肆万捌仟元整</w:t>
            </w:r>
            <w:r>
              <w:rPr>
                <w:rFonts w:hint="eastAsia" w:asciiTheme="minorEastAsia" w:hAnsiTheme="minorEastAsia" w:eastAsiaTheme="minorEastAsia" w:cstheme="minorEastAsia"/>
                <w:color w:val="auto"/>
                <w:szCs w:val="21"/>
                <w:highlight w:val="none"/>
              </w:rPr>
              <w:t>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color w:val="auto"/>
                <w:kern w:val="2"/>
                <w:sz w:val="21"/>
                <w:szCs w:val="21"/>
                <w:highlight w:val="none"/>
                <w:lang w:val="zh-CN"/>
              </w:rPr>
            </w:pPr>
            <w:r>
              <w:rPr>
                <w:rFonts w:asciiTheme="minorEastAsia" w:hAnsiTheme="minorEastAsia" w:eastAsiaTheme="minorEastAsia" w:cstheme="minorEastAsia"/>
                <w:color w:val="auto"/>
                <w:kern w:val="2"/>
                <w:sz w:val="21"/>
                <w:szCs w:val="21"/>
                <w:highlight w:val="none"/>
                <w:lang w:val="zh-CN"/>
              </w:rPr>
              <w:t>6.2</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snapToGrid w:val="0"/>
                <w:color w:val="auto"/>
                <w:kern w:val="0"/>
                <w:szCs w:val="21"/>
                <w:highlight w:val="none"/>
                <w:lang w:val="zh-CN"/>
              </w:rPr>
              <w:t>提疑、</w:t>
            </w:r>
            <w:r>
              <w:rPr>
                <w:rFonts w:hint="eastAsia" w:asciiTheme="minorEastAsia" w:hAnsiTheme="minorEastAsia" w:eastAsiaTheme="minorEastAsia" w:cstheme="minorEastAsia"/>
                <w:snapToGrid w:val="0"/>
                <w:color w:val="auto"/>
                <w:kern w:val="0"/>
                <w:szCs w:val="21"/>
                <w:highlight w:val="none"/>
              </w:rPr>
              <w:t>质疑</w:t>
            </w:r>
            <w:r>
              <w:rPr>
                <w:rFonts w:hint="eastAsia" w:asciiTheme="minorEastAsia" w:hAnsiTheme="minorEastAsia" w:eastAsiaTheme="minorEastAsia" w:cstheme="minorEastAsia"/>
                <w:snapToGrid w:val="0"/>
                <w:color w:val="auto"/>
                <w:kern w:val="0"/>
                <w:szCs w:val="21"/>
                <w:highlight w:val="none"/>
                <w:lang w:val="zh-CN"/>
              </w:rPr>
              <w:t>截止时间</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color w:val="auto"/>
                <w:sz w:val="21"/>
                <w:szCs w:val="21"/>
                <w:highlight w:val="none"/>
                <w:lang w:val="zh-CN"/>
              </w:rPr>
            </w:pPr>
            <w:r>
              <w:rPr>
                <w:rFonts w:asciiTheme="minorEastAsia" w:hAnsiTheme="minorEastAsia" w:eastAsiaTheme="minorEastAsia" w:cstheme="minorEastAsia"/>
                <w:color w:val="auto"/>
                <w:sz w:val="21"/>
                <w:szCs w:val="21"/>
                <w:highlight w:val="none"/>
                <w:lang w:val="zh-CN"/>
              </w:rPr>
              <w:t>供应商认为磋商文件、磋商过程和成交结果使自己的权益受到损害</w:t>
            </w:r>
          </w:p>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color w:val="auto"/>
                <w:sz w:val="21"/>
                <w:szCs w:val="21"/>
                <w:highlight w:val="none"/>
                <w:lang w:val="zh-CN"/>
              </w:rPr>
            </w:pPr>
            <w:r>
              <w:rPr>
                <w:rFonts w:asciiTheme="minorEastAsia" w:hAnsiTheme="minorEastAsia" w:eastAsiaTheme="minorEastAsia" w:cstheme="minorEastAsia"/>
                <w:color w:val="auto"/>
                <w:sz w:val="21"/>
                <w:szCs w:val="21"/>
                <w:highlight w:val="none"/>
                <w:lang w:val="zh-CN"/>
              </w:rPr>
              <w:t>的，可以在知道或者应知其权益受到损害之日起</w:t>
            </w:r>
            <w:r>
              <w:rPr>
                <w:rFonts w:asciiTheme="minorEastAsia" w:hAnsiTheme="minorEastAsia" w:eastAsiaTheme="minorEastAsia" w:cstheme="minorEastAsia"/>
                <w:color w:val="auto"/>
                <w:sz w:val="21"/>
                <w:szCs w:val="21"/>
                <w:highlight w:val="none"/>
              </w:rPr>
              <w:t>7</w:t>
            </w:r>
            <w:r>
              <w:rPr>
                <w:rFonts w:asciiTheme="minorEastAsia" w:hAnsiTheme="minorEastAsia" w:eastAsiaTheme="minorEastAsia" w:cstheme="minorEastAsia"/>
                <w:color w:val="auto"/>
                <w:sz w:val="21"/>
                <w:szCs w:val="21"/>
                <w:highlight w:val="none"/>
                <w:lang w:val="zh-CN"/>
              </w:rPr>
              <w:t>个工作日内，以</w:t>
            </w:r>
          </w:p>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color w:val="auto"/>
                <w:sz w:val="21"/>
                <w:szCs w:val="21"/>
                <w:highlight w:val="none"/>
                <w:lang w:val="zh-CN"/>
              </w:rPr>
            </w:pPr>
            <w:r>
              <w:rPr>
                <w:rFonts w:asciiTheme="minorEastAsia" w:hAnsiTheme="minorEastAsia" w:eastAsiaTheme="minorEastAsia" w:cstheme="minorEastAsia"/>
                <w:color w:val="auto"/>
                <w:sz w:val="21"/>
                <w:szCs w:val="21"/>
                <w:highlight w:val="none"/>
                <w:lang w:val="zh-CN"/>
              </w:rPr>
              <w:t>书面形式向采购人或采购代理机构提出。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color w:val="auto"/>
                <w:kern w:val="2"/>
                <w:sz w:val="21"/>
                <w:szCs w:val="21"/>
                <w:highlight w:val="none"/>
              </w:rPr>
            </w:pPr>
            <w:r>
              <w:rPr>
                <w:rFonts w:asciiTheme="minorEastAsia" w:hAnsiTheme="minorEastAsia" w:eastAsiaTheme="minorEastAsia" w:cstheme="minorEastAsia"/>
                <w:color w:val="auto"/>
                <w:kern w:val="2"/>
                <w:sz w:val="21"/>
                <w:szCs w:val="21"/>
                <w:highlight w:val="none"/>
              </w:rPr>
              <w:t>7.1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供应商确认收到磋商</w:t>
            </w:r>
          </w:p>
          <w:p>
            <w:pPr>
              <w:autoSpaceDE w:val="0"/>
              <w:autoSpaceDN w:val="0"/>
              <w:adjustRightInd w:val="0"/>
              <w:jc w:val="center"/>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文件澄清或者修改的</w:t>
            </w:r>
          </w:p>
          <w:p>
            <w:pPr>
              <w:autoSpaceDE w:val="0"/>
              <w:autoSpaceDN w:val="0"/>
              <w:adjustRightInd w:val="0"/>
              <w:jc w:val="center"/>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时间</w:t>
            </w:r>
          </w:p>
        </w:tc>
        <w:tc>
          <w:tcPr>
            <w:tcW w:w="6130" w:type="dxa"/>
            <w:vAlign w:val="center"/>
          </w:tcPr>
          <w:p>
            <w:pPr>
              <w:pStyle w:val="24"/>
              <w:widowControl w:val="0"/>
              <w:autoSpaceDE w:val="0"/>
              <w:autoSpaceDN w:val="0"/>
              <w:adjustRightInd w:val="0"/>
              <w:spacing w:beforeLines="10" w:beforeAutospacing="0" w:afterLines="10" w:afterAutospacing="0"/>
              <w:ind w:right="21" w:rightChars="10"/>
              <w:rPr>
                <w:rFonts w:hint="default" w:asciiTheme="minorEastAsia" w:hAnsiTheme="minorEastAsia" w:eastAsiaTheme="minorEastAsia" w:cstheme="minorEastAsia"/>
                <w:color w:val="auto"/>
                <w:kern w:val="2"/>
                <w:sz w:val="21"/>
                <w:szCs w:val="21"/>
                <w:highlight w:val="none"/>
                <w:lang w:val="zh-CN"/>
              </w:rPr>
            </w:pPr>
            <w:r>
              <w:rPr>
                <w:rFonts w:asciiTheme="minorEastAsia" w:hAnsiTheme="minorEastAsia" w:eastAsiaTheme="minorEastAsia" w:cstheme="minorEastAsia"/>
                <w:color w:val="auto"/>
                <w:kern w:val="2"/>
                <w:sz w:val="21"/>
                <w:szCs w:val="21"/>
                <w:highlight w:val="none"/>
                <w:lang w:val="zh-CN"/>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10.4</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对多</w:t>
            </w:r>
            <w:r>
              <w:rPr>
                <w:rFonts w:hint="eastAsia" w:asciiTheme="minorEastAsia" w:hAnsiTheme="minorEastAsia" w:eastAsiaTheme="minorEastAsia" w:cstheme="minorEastAsia"/>
                <w:snapToGrid w:val="0"/>
                <w:color w:val="auto"/>
                <w:kern w:val="0"/>
                <w:szCs w:val="21"/>
                <w:highlight w:val="none"/>
              </w:rPr>
              <w:t>包</w:t>
            </w:r>
            <w:r>
              <w:rPr>
                <w:rFonts w:hint="eastAsia" w:asciiTheme="minorEastAsia" w:hAnsiTheme="minorEastAsia" w:eastAsiaTheme="minorEastAsia" w:cstheme="minorEastAsia"/>
                <w:snapToGrid w:val="0"/>
                <w:color w:val="auto"/>
                <w:kern w:val="0"/>
                <w:szCs w:val="21"/>
                <w:highlight w:val="none"/>
                <w:lang w:val="zh-CN"/>
              </w:rPr>
              <w:t>采购的规定</w:t>
            </w:r>
          </w:p>
        </w:tc>
        <w:tc>
          <w:tcPr>
            <w:tcW w:w="6130" w:type="dxa"/>
            <w:vAlign w:val="center"/>
          </w:tcPr>
          <w:p>
            <w:pPr>
              <w:autoSpaceDE w:val="0"/>
              <w:autoSpaceDN w:val="0"/>
              <w:adjustRightInd w:val="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详见</w:t>
            </w:r>
            <w:r>
              <w:rPr>
                <w:rFonts w:hint="eastAsia" w:asciiTheme="minorEastAsia" w:hAnsiTheme="minorEastAsia" w:eastAsiaTheme="minorEastAsia" w:cstheme="minorEastAsia"/>
                <w:color w:val="auto"/>
                <w:szCs w:val="21"/>
                <w:highlight w:val="none"/>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color w:val="auto"/>
                <w:kern w:val="2"/>
                <w:sz w:val="21"/>
                <w:szCs w:val="21"/>
                <w:highlight w:val="none"/>
                <w:lang w:val="zh-CN"/>
              </w:rPr>
            </w:pPr>
            <w:r>
              <w:rPr>
                <w:rFonts w:asciiTheme="minorEastAsia" w:hAnsiTheme="minorEastAsia" w:eastAsiaTheme="minorEastAsia" w:cstheme="minorEastAsia"/>
                <w:color w:val="auto"/>
                <w:kern w:val="2"/>
                <w:sz w:val="21"/>
                <w:szCs w:val="21"/>
                <w:highlight w:val="none"/>
                <w:lang w:val="zh-CN"/>
              </w:rPr>
              <w:t>12.1</w:t>
            </w:r>
          </w:p>
        </w:tc>
        <w:tc>
          <w:tcPr>
            <w:tcW w:w="2127" w:type="dxa"/>
            <w:vAlign w:val="center"/>
          </w:tcPr>
          <w:p>
            <w:pPr>
              <w:autoSpaceDE w:val="0"/>
              <w:autoSpaceDN w:val="0"/>
              <w:adjustRightInd w:val="0"/>
              <w:jc w:val="center"/>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备选方案</w:t>
            </w:r>
          </w:p>
        </w:tc>
        <w:tc>
          <w:tcPr>
            <w:tcW w:w="6130" w:type="dxa"/>
            <w:vAlign w:val="center"/>
          </w:tcPr>
          <w:p>
            <w:pPr>
              <w:autoSpaceDE w:val="0"/>
              <w:autoSpaceDN w:val="0"/>
              <w:adjustRightInd w:val="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 xml:space="preserve">本次采购  </w:t>
            </w:r>
            <w:r>
              <w:rPr>
                <w:rFonts w:hint="eastAsia" w:asciiTheme="minorEastAsia" w:hAnsiTheme="minorEastAsia" w:eastAsiaTheme="minorEastAsia" w:cstheme="minorEastAsia"/>
                <w:color w:val="auto"/>
                <w:szCs w:val="21"/>
                <w:highlight w:val="none"/>
                <w:u w:val="single"/>
                <w:lang w:val="zh-CN"/>
              </w:rPr>
              <w:t>不接受</w:t>
            </w:r>
            <w:r>
              <w:rPr>
                <w:rFonts w:hint="eastAsia" w:asciiTheme="minorEastAsia" w:hAnsiTheme="minorEastAsia" w:eastAsiaTheme="minorEastAsia" w:cstheme="minorEastAsia"/>
                <w:color w:val="auto"/>
                <w:szCs w:val="21"/>
                <w:highlight w:val="none"/>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color w:val="auto"/>
                <w:kern w:val="2"/>
                <w:sz w:val="21"/>
                <w:szCs w:val="21"/>
                <w:highlight w:val="none"/>
                <w:lang w:val="zh-CN"/>
              </w:rPr>
            </w:pPr>
            <w:r>
              <w:rPr>
                <w:rFonts w:asciiTheme="minorEastAsia" w:hAnsiTheme="minorEastAsia" w:eastAsiaTheme="minorEastAsia" w:cstheme="minorEastAsia"/>
                <w:color w:val="auto"/>
                <w:kern w:val="2"/>
                <w:sz w:val="21"/>
                <w:szCs w:val="21"/>
                <w:highlight w:val="none"/>
                <w:lang w:val="zh-CN"/>
              </w:rPr>
              <w:t>13.1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联合体磋商</w:t>
            </w:r>
          </w:p>
        </w:tc>
        <w:tc>
          <w:tcPr>
            <w:tcW w:w="6130" w:type="dxa"/>
            <w:vAlign w:val="center"/>
          </w:tcPr>
          <w:p>
            <w:pPr>
              <w:autoSpaceDE w:val="0"/>
              <w:autoSpaceDN w:val="0"/>
              <w:adjustRightInd w:val="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 xml:space="preserve">本次采购  </w:t>
            </w:r>
            <w:r>
              <w:rPr>
                <w:rFonts w:hint="eastAsia" w:asciiTheme="minorEastAsia" w:hAnsiTheme="minorEastAsia" w:eastAsiaTheme="minorEastAsia" w:cstheme="minorEastAsia"/>
                <w:color w:val="auto"/>
                <w:szCs w:val="21"/>
                <w:highlight w:val="none"/>
                <w:u w:val="single"/>
                <w:lang w:val="zh-CN"/>
              </w:rPr>
              <w:t>不接受</w:t>
            </w:r>
            <w:r>
              <w:rPr>
                <w:rFonts w:hint="eastAsia" w:asciiTheme="minorEastAsia" w:hAnsiTheme="minorEastAsia" w:eastAsiaTheme="minorEastAsia" w:cstheme="minorEastAsia"/>
                <w:color w:val="auto"/>
                <w:szCs w:val="21"/>
                <w:highlight w:val="none"/>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14.1</w:t>
            </w:r>
          </w:p>
        </w:tc>
        <w:tc>
          <w:tcPr>
            <w:tcW w:w="2127" w:type="dxa"/>
            <w:vAlign w:val="center"/>
          </w:tcPr>
          <w:p>
            <w:pPr>
              <w:autoSpaceDE w:val="0"/>
              <w:autoSpaceDN w:val="0"/>
              <w:adjustRightIn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Cs w:val="21"/>
                <w:highlight w:val="none"/>
                <w:lang w:val="zh-CN"/>
              </w:rPr>
              <w:t>应提交的其它资格证明文件（实质性要求）</w:t>
            </w:r>
          </w:p>
        </w:tc>
        <w:tc>
          <w:tcPr>
            <w:tcW w:w="6130" w:type="dxa"/>
            <w:vAlign w:val="center"/>
          </w:tcPr>
          <w:p>
            <w:pPr>
              <w:autoSpaceDE w:val="0"/>
              <w:autoSpaceDN w:val="0"/>
              <w:adjustRightInd w:val="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详见第一章《</w:t>
            </w:r>
            <w:r>
              <w:rPr>
                <w:rFonts w:hint="eastAsia" w:asciiTheme="minorEastAsia" w:hAnsiTheme="minorEastAsia" w:eastAsiaTheme="minorEastAsia" w:cstheme="minorEastAsia"/>
                <w:color w:val="auto"/>
                <w:szCs w:val="21"/>
                <w:highlight w:val="none"/>
              </w:rPr>
              <w:t>竞争性磋商</w:t>
            </w:r>
            <w:r>
              <w:rPr>
                <w:rFonts w:hint="eastAsia" w:asciiTheme="minorEastAsia" w:hAnsiTheme="minorEastAsia" w:eastAsiaTheme="minorEastAsia" w:cstheme="minorEastAsia"/>
                <w:color w:val="auto"/>
                <w:szCs w:val="21"/>
                <w:highlight w:val="none"/>
                <w:lang w:val="zh-CN"/>
              </w:rPr>
              <w:t>公告》第二款“资格要求”，须提供的证明文件包括但不限于：</w:t>
            </w:r>
          </w:p>
          <w:p>
            <w:pPr>
              <w:autoSpaceDE w:val="0"/>
              <w:autoSpaceDN w:val="0"/>
              <w:adjustRightInd w:val="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w:t>
            </w: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zCs w:val="21"/>
                <w:highlight w:val="none"/>
                <w:lang w:val="zh-CN"/>
              </w:rPr>
              <w:t>）具有独立承担民事责任的能力；</w:t>
            </w:r>
          </w:p>
          <w:p>
            <w:pPr>
              <w:autoSpaceDE w:val="0"/>
              <w:autoSpaceDN w:val="0"/>
              <w:adjustRightInd w:val="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w:t>
            </w: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color w:val="auto"/>
                <w:szCs w:val="21"/>
                <w:highlight w:val="none"/>
                <w:lang w:val="zh-CN"/>
              </w:rPr>
              <w:t>）具有良好的商业信誉和健全的财务会计制度；</w:t>
            </w:r>
          </w:p>
          <w:p>
            <w:pPr>
              <w:autoSpaceDE w:val="0"/>
              <w:autoSpaceDN w:val="0"/>
              <w:adjustRightInd w:val="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良好的商业信誉证明材料（自拟），财务会计制度指上一年度经第三方审计的财务报告，部分其他组织和自然人，没有财务报告，</w:t>
            </w:r>
            <w:r>
              <w:rPr>
                <w:rFonts w:hint="eastAsia" w:asciiTheme="minorEastAsia" w:hAnsiTheme="minorEastAsia" w:eastAsiaTheme="minorEastAsia" w:cstheme="minorEastAsia"/>
                <w:color w:val="auto"/>
                <w:szCs w:val="21"/>
                <w:highlight w:val="none"/>
              </w:rPr>
              <w:t>可以</w:t>
            </w:r>
            <w:r>
              <w:rPr>
                <w:rFonts w:hint="eastAsia" w:asciiTheme="minorEastAsia" w:hAnsiTheme="minorEastAsia" w:eastAsiaTheme="minorEastAsia" w:cstheme="minorEastAsia"/>
                <w:color w:val="auto"/>
                <w:szCs w:val="21"/>
                <w:highlight w:val="none"/>
                <w:lang w:val="zh-CN"/>
              </w:rPr>
              <w:t>提供银行出具的资信证明（银行资信证明应能说明该供应商与银行之间业务往来正常，企业信誉良好等。银行出具的单纯的存款证明不能视作银行资信证明。下同）。由财政部门认可的政府采购专业担保机构对供应商进行资信审查后出具投标担保函的，可以不用提供</w:t>
            </w:r>
            <w:r>
              <w:rPr>
                <w:rFonts w:hint="eastAsia" w:asciiTheme="minorEastAsia" w:hAnsiTheme="minorEastAsia" w:eastAsiaTheme="minorEastAsia" w:cstheme="minorEastAsia"/>
                <w:color w:val="auto"/>
                <w:szCs w:val="21"/>
                <w:highlight w:val="none"/>
              </w:rPr>
              <w:t>财务会计制度对应的相关内容</w:t>
            </w:r>
            <w:r>
              <w:rPr>
                <w:rFonts w:hint="eastAsia" w:asciiTheme="minorEastAsia" w:hAnsiTheme="minorEastAsia" w:eastAsiaTheme="minorEastAsia" w:cstheme="minorEastAsia"/>
                <w:color w:val="auto"/>
                <w:szCs w:val="21"/>
                <w:highlight w:val="none"/>
                <w:lang w:val="zh-CN"/>
              </w:rPr>
              <w:t>。</w:t>
            </w:r>
          </w:p>
          <w:p>
            <w:pPr>
              <w:autoSpaceDE w:val="0"/>
              <w:autoSpaceDN w:val="0"/>
              <w:adjustRightInd w:val="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w:t>
            </w:r>
            <w:r>
              <w:rPr>
                <w:rFonts w:hint="eastAsia" w:asciiTheme="minorEastAsia" w:hAnsiTheme="minorEastAsia" w:eastAsiaTheme="minorEastAsia" w:cstheme="minorEastAsia"/>
                <w:color w:val="auto"/>
                <w:szCs w:val="21"/>
                <w:highlight w:val="none"/>
              </w:rPr>
              <w:t>3</w:t>
            </w:r>
            <w:r>
              <w:rPr>
                <w:rFonts w:hint="eastAsia" w:asciiTheme="minorEastAsia" w:hAnsiTheme="minorEastAsia" w:eastAsiaTheme="minorEastAsia" w:cstheme="minorEastAsia"/>
                <w:color w:val="auto"/>
                <w:szCs w:val="21"/>
                <w:highlight w:val="none"/>
                <w:lang w:val="zh-CN"/>
              </w:rPr>
              <w:t>）具有履行合同所必需的设备和专业技术能力的证明材料；（自拟）</w:t>
            </w:r>
          </w:p>
          <w:p>
            <w:pPr>
              <w:autoSpaceDE w:val="0"/>
              <w:autoSpaceDN w:val="0"/>
              <w:adjustRightInd w:val="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w:t>
            </w:r>
            <w:r>
              <w:rPr>
                <w:rFonts w:hint="eastAsia" w:asciiTheme="minorEastAsia" w:hAnsiTheme="minorEastAsia" w:eastAsiaTheme="minorEastAsia" w:cstheme="minorEastAsia"/>
                <w:color w:val="auto"/>
                <w:szCs w:val="21"/>
                <w:highlight w:val="none"/>
              </w:rPr>
              <w:t>4</w:t>
            </w:r>
            <w:r>
              <w:rPr>
                <w:rFonts w:hint="eastAsia" w:asciiTheme="minorEastAsia" w:hAnsiTheme="minorEastAsia" w:eastAsiaTheme="minorEastAsia" w:cstheme="minorEastAsia"/>
                <w:color w:val="auto"/>
                <w:szCs w:val="21"/>
                <w:highlight w:val="none"/>
                <w:lang w:val="zh-CN"/>
              </w:rPr>
              <w:t>）具有依法缴纳税收和社会保障资金的良好记录：1）供应商依法缴纳税收的证明材料：递交响应文件截止时间往前推算</w:t>
            </w:r>
            <w:r>
              <w:rPr>
                <w:rFonts w:hint="eastAsia" w:asciiTheme="minorEastAsia" w:hAnsiTheme="minorEastAsia" w:eastAsiaTheme="minorEastAsia" w:cstheme="minorEastAsia"/>
                <w:color w:val="auto"/>
                <w:szCs w:val="21"/>
                <w:highlight w:val="none"/>
              </w:rPr>
              <w:t>六个月</w:t>
            </w:r>
            <w:r>
              <w:rPr>
                <w:rFonts w:hint="eastAsia" w:asciiTheme="minorEastAsia" w:hAnsiTheme="minorEastAsia" w:eastAsiaTheme="minorEastAsia" w:cstheme="minorEastAsia"/>
                <w:color w:val="auto"/>
                <w:szCs w:val="21"/>
                <w:highlight w:val="none"/>
                <w:lang w:val="zh-CN"/>
              </w:rPr>
              <w:t>以来</w:t>
            </w:r>
            <w:r>
              <w:rPr>
                <w:rFonts w:hint="eastAsia" w:asciiTheme="minorEastAsia" w:hAnsiTheme="minorEastAsia" w:eastAsiaTheme="minorEastAsia" w:cstheme="minorEastAsia"/>
                <w:color w:val="auto"/>
                <w:szCs w:val="21"/>
                <w:highlight w:val="none"/>
              </w:rPr>
              <w:t>至少</w:t>
            </w:r>
            <w:r>
              <w:rPr>
                <w:rFonts w:hint="eastAsia" w:asciiTheme="minorEastAsia" w:hAnsiTheme="minorEastAsia" w:eastAsiaTheme="minorEastAsia" w:cstheme="minorEastAsia"/>
                <w:color w:val="auto"/>
                <w:szCs w:val="21"/>
                <w:highlight w:val="none"/>
                <w:lang w:val="zh-CN"/>
              </w:rPr>
              <w:t>任意连续三个月缴纳税收的凭据（完税证明、缴款书、银行代扣（代缴）转账凭证等均可）；2）供应商依法缴纳社会保障资金的证明材料：递交响应文件截止时间往前推算</w:t>
            </w:r>
            <w:r>
              <w:rPr>
                <w:rFonts w:hint="eastAsia" w:asciiTheme="minorEastAsia" w:hAnsiTheme="minorEastAsia" w:eastAsiaTheme="minorEastAsia" w:cstheme="minorEastAsia"/>
                <w:color w:val="auto"/>
                <w:szCs w:val="21"/>
                <w:highlight w:val="none"/>
              </w:rPr>
              <w:t>六个月</w:t>
            </w:r>
            <w:r>
              <w:rPr>
                <w:rFonts w:hint="eastAsia" w:asciiTheme="minorEastAsia" w:hAnsiTheme="minorEastAsia" w:eastAsiaTheme="minorEastAsia" w:cstheme="minorEastAsia"/>
                <w:color w:val="auto"/>
                <w:szCs w:val="21"/>
                <w:highlight w:val="none"/>
                <w:lang w:val="zh-CN"/>
              </w:rPr>
              <w:t>以来</w:t>
            </w:r>
            <w:r>
              <w:rPr>
                <w:rFonts w:hint="eastAsia" w:asciiTheme="minorEastAsia" w:hAnsiTheme="minorEastAsia" w:eastAsiaTheme="minorEastAsia" w:cstheme="minorEastAsia"/>
                <w:color w:val="auto"/>
                <w:szCs w:val="21"/>
                <w:highlight w:val="none"/>
              </w:rPr>
              <w:t>至少</w:t>
            </w:r>
            <w:r>
              <w:rPr>
                <w:rFonts w:hint="eastAsia" w:asciiTheme="minorEastAsia" w:hAnsiTheme="minorEastAsia" w:eastAsiaTheme="minorEastAsia" w:cstheme="minorEastAsia"/>
                <w:color w:val="auto"/>
                <w:szCs w:val="21"/>
                <w:highlight w:val="none"/>
                <w:lang w:val="zh-CN"/>
              </w:rPr>
              <w:t>任意连续三个月缴纳社会保险的凭据（专用发票或社会保险缴纳清单）；3）供应商为其他组织或自然人的，也需要按此项规定提供缴纳税收的凭据和缴纳社会保险的凭据；4）递交响应文件截止时间当月成立但因税务机关原因导致其尚未依法缴纳税收的供应商，提供依法缴纳税收承诺书原件（格式自拟），该承诺书视同税收缴纳凭据。5）递交响应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w:t>
            </w:r>
            <w:r>
              <w:rPr>
                <w:rFonts w:hint="eastAsia" w:asciiTheme="minorEastAsia" w:hAnsiTheme="minorEastAsia" w:eastAsiaTheme="minorEastAsia" w:cstheme="minorEastAsia"/>
                <w:color w:val="auto"/>
                <w:szCs w:val="21"/>
                <w:highlight w:val="none"/>
              </w:rPr>
              <w:t>5</w:t>
            </w:r>
            <w:r>
              <w:rPr>
                <w:rFonts w:hint="eastAsia" w:asciiTheme="minorEastAsia" w:hAnsiTheme="minorEastAsia" w:eastAsiaTheme="minorEastAsia" w:cstheme="minorEastAsia"/>
                <w:color w:val="auto"/>
                <w:szCs w:val="21"/>
                <w:highlight w:val="none"/>
                <w:lang w:val="zh-CN"/>
              </w:rPr>
              <w:t>）参加政府采购活动前三年内，在经营活动中没有重大违法记录；（提供书面声明）（重大违法记录是指供应商因违法经营受到刑事处罚或者责令停产停业、吊销许可证或者执照、较大数额罚款等行政处罚）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jc w:val="left"/>
              <w:rPr>
                <w:rFonts w:asciiTheme="minorEastAsia" w:hAnsiTheme="minorEastAsia" w:eastAsiaTheme="minorEastAsia" w:cstheme="minorEastAsia"/>
                <w:b/>
                <w:bCs/>
                <w:color w:val="auto"/>
                <w:szCs w:val="21"/>
                <w:highlight w:val="none"/>
                <w:lang w:val="zh-CN"/>
              </w:rPr>
            </w:pPr>
            <w:r>
              <w:rPr>
                <w:rFonts w:hint="eastAsia" w:asciiTheme="minorEastAsia" w:hAnsiTheme="minorEastAsia" w:eastAsiaTheme="minorEastAsia" w:cstheme="minorEastAsia"/>
                <w:b/>
                <w:bCs/>
                <w:color w:val="auto"/>
                <w:szCs w:val="21"/>
                <w:highlight w:val="none"/>
                <w:lang w:val="zh-CN"/>
              </w:rPr>
              <w:t>（</w:t>
            </w:r>
            <w:r>
              <w:rPr>
                <w:rFonts w:hint="eastAsia" w:asciiTheme="minorEastAsia" w:hAnsiTheme="minorEastAsia" w:eastAsiaTheme="minorEastAsia" w:cstheme="minorEastAsia"/>
                <w:b/>
                <w:bCs/>
                <w:color w:val="auto"/>
                <w:szCs w:val="21"/>
                <w:highlight w:val="none"/>
              </w:rPr>
              <w:t>6</w:t>
            </w:r>
            <w:r>
              <w:rPr>
                <w:rFonts w:hint="eastAsia" w:asciiTheme="minorEastAsia" w:hAnsiTheme="minorEastAsia" w:eastAsiaTheme="minorEastAsia" w:cstheme="minorEastAsia"/>
                <w:b/>
                <w:bCs/>
                <w:color w:val="auto"/>
                <w:szCs w:val="21"/>
                <w:highlight w:val="none"/>
                <w:lang w:val="zh-CN"/>
              </w:rPr>
              <w:t>）符合本文件第一章第二款资格要求的所有证明资料。</w:t>
            </w:r>
          </w:p>
          <w:p>
            <w:pPr>
              <w:autoSpaceDE w:val="0"/>
              <w:autoSpaceDN w:val="0"/>
              <w:adjustRightInd w:val="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b/>
                <w:bCs/>
                <w:color w:val="auto"/>
                <w:szCs w:val="21"/>
                <w:highlight w:val="none"/>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color w:val="auto"/>
                <w:kern w:val="2"/>
                <w:sz w:val="21"/>
                <w:szCs w:val="21"/>
                <w:highlight w:val="none"/>
                <w:lang w:val="zh-CN"/>
              </w:rPr>
            </w:pPr>
            <w:r>
              <w:rPr>
                <w:rFonts w:asciiTheme="minorEastAsia" w:hAnsiTheme="minorEastAsia" w:eastAsiaTheme="minorEastAsia" w:cstheme="minorEastAsia"/>
                <w:color w:val="auto"/>
                <w:kern w:val="2"/>
                <w:sz w:val="21"/>
                <w:szCs w:val="21"/>
                <w:highlight w:val="none"/>
                <w:lang w:val="zh-CN"/>
              </w:rPr>
              <w:t>15.1</w:t>
            </w:r>
          </w:p>
        </w:tc>
        <w:tc>
          <w:tcPr>
            <w:tcW w:w="2127" w:type="dxa"/>
            <w:vAlign w:val="center"/>
          </w:tcPr>
          <w:p>
            <w:pPr>
              <w:autoSpaceDE w:val="0"/>
              <w:autoSpaceDN w:val="0"/>
              <w:adjustRightIn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snapToGrid w:val="0"/>
                <w:color w:val="auto"/>
                <w:kern w:val="0"/>
                <w:szCs w:val="21"/>
                <w:highlight w:val="none"/>
                <w:lang w:val="zh-CN"/>
              </w:rPr>
              <w:t>证明响应内容符合竞争性磋商采购文件要求的文件和竞争性磋商采购文件规定的其他资料</w:t>
            </w:r>
          </w:p>
        </w:tc>
        <w:tc>
          <w:tcPr>
            <w:tcW w:w="6130" w:type="dxa"/>
            <w:vAlign w:val="center"/>
          </w:tcPr>
          <w:p>
            <w:pPr>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color w:val="auto"/>
                <w:kern w:val="2"/>
                <w:sz w:val="21"/>
                <w:szCs w:val="21"/>
                <w:highlight w:val="none"/>
                <w:lang w:val="zh-CN"/>
              </w:rPr>
            </w:pPr>
            <w:r>
              <w:rPr>
                <w:rFonts w:asciiTheme="minorEastAsia" w:hAnsiTheme="minorEastAsia" w:eastAsiaTheme="minorEastAsia" w:cstheme="minorEastAsia"/>
                <w:color w:val="auto"/>
                <w:kern w:val="2"/>
                <w:sz w:val="21"/>
                <w:szCs w:val="21"/>
                <w:highlight w:val="none"/>
                <w:lang w:val="zh-CN"/>
              </w:rPr>
              <w:t>17.1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磋商有效期</w:t>
            </w:r>
          </w:p>
        </w:tc>
        <w:tc>
          <w:tcPr>
            <w:tcW w:w="6130" w:type="dxa"/>
            <w:vAlign w:val="center"/>
          </w:tcPr>
          <w:p>
            <w:pPr>
              <w:autoSpaceDE w:val="0"/>
              <w:autoSpaceDN w:val="0"/>
              <w:adjustRightInd w:val="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kern w:val="0"/>
                <w:szCs w:val="21"/>
                <w:highlight w:val="none"/>
              </w:rPr>
              <w:t>自磋商截止时间起共</w:t>
            </w:r>
            <w:r>
              <w:rPr>
                <w:rFonts w:hint="eastAsia" w:asciiTheme="minorEastAsia" w:hAnsiTheme="minorEastAsia" w:eastAsiaTheme="minorEastAsia" w:cstheme="minorEastAsia"/>
                <w:color w:val="auto"/>
                <w:kern w:val="0"/>
                <w:szCs w:val="21"/>
                <w:highlight w:val="none"/>
                <w:u w:val="single"/>
              </w:rPr>
              <w:t xml:space="preserve"> 90 </w:t>
            </w:r>
            <w:r>
              <w:rPr>
                <w:rFonts w:hint="eastAsia" w:asciiTheme="minorEastAsia" w:hAnsiTheme="minorEastAsia" w:eastAsiaTheme="minorEastAsia" w:cstheme="minorEastAsia"/>
                <w:color w:val="auto"/>
                <w:kern w:val="0"/>
                <w:szCs w:val="21"/>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color w:val="auto"/>
                <w:kern w:val="2"/>
                <w:sz w:val="21"/>
                <w:szCs w:val="21"/>
                <w:highlight w:val="none"/>
                <w:lang w:val="zh-CN"/>
              </w:rPr>
            </w:pPr>
            <w:r>
              <w:rPr>
                <w:rFonts w:asciiTheme="minorEastAsia" w:hAnsiTheme="minorEastAsia" w:eastAsiaTheme="minorEastAsia" w:cstheme="minorEastAsia"/>
                <w:color w:val="auto"/>
                <w:kern w:val="2"/>
                <w:sz w:val="21"/>
                <w:szCs w:val="21"/>
                <w:highlight w:val="none"/>
                <w:lang w:val="zh-CN"/>
              </w:rPr>
              <w:t>18.1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竞争性磋商响应文件正、副本数量</w:t>
            </w:r>
          </w:p>
        </w:tc>
        <w:tc>
          <w:tcPr>
            <w:tcW w:w="6130" w:type="dxa"/>
            <w:vAlign w:val="center"/>
          </w:tcPr>
          <w:p>
            <w:pPr>
              <w:autoSpaceDE w:val="0"/>
              <w:autoSpaceDN w:val="0"/>
              <w:snapToGrid w:val="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（1）响应文件纸质版：正本</w:t>
            </w:r>
            <w:r>
              <w:rPr>
                <w:rFonts w:hint="eastAsia" w:asciiTheme="minorEastAsia" w:hAnsiTheme="minorEastAsia" w:eastAsiaTheme="minorEastAsia" w:cstheme="minorEastAsia"/>
                <w:color w:val="auto"/>
                <w:szCs w:val="21"/>
                <w:highlight w:val="none"/>
                <w:u w:val="single"/>
              </w:rPr>
              <w:t xml:space="preserve"> 壹 </w:t>
            </w:r>
            <w:r>
              <w:rPr>
                <w:rFonts w:hint="eastAsia" w:asciiTheme="minorEastAsia" w:hAnsiTheme="minorEastAsia" w:eastAsiaTheme="minorEastAsia" w:cstheme="minorEastAsia"/>
                <w:color w:val="auto"/>
                <w:szCs w:val="21"/>
                <w:highlight w:val="none"/>
              </w:rPr>
              <w:t>份（需为彩色打印件），副本</w:t>
            </w:r>
            <w:r>
              <w:rPr>
                <w:rFonts w:hint="eastAsia" w:asciiTheme="minorEastAsia" w:hAnsiTheme="minorEastAsia" w:eastAsiaTheme="minorEastAsia" w:cstheme="minorEastAsia"/>
                <w:color w:val="auto"/>
                <w:szCs w:val="21"/>
                <w:highlight w:val="none"/>
                <w:u w:val="single"/>
              </w:rPr>
              <w:t xml:space="preserve"> 贰 </w:t>
            </w:r>
            <w:r>
              <w:rPr>
                <w:rFonts w:hint="eastAsia" w:asciiTheme="minorEastAsia" w:hAnsiTheme="minorEastAsia" w:eastAsiaTheme="minorEastAsia" w:cstheme="minorEastAsia"/>
                <w:color w:val="auto"/>
                <w:szCs w:val="21"/>
                <w:highlight w:val="none"/>
              </w:rPr>
              <w:t>份；</w:t>
            </w:r>
          </w:p>
          <w:p>
            <w:pPr>
              <w:autoSpaceDE w:val="0"/>
              <w:autoSpaceDN w:val="0"/>
              <w:snapToGrid w:val="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（2）响应文件电子版：</w:t>
            </w:r>
          </w:p>
          <w:p>
            <w:pPr>
              <w:autoSpaceDE w:val="0"/>
              <w:autoSpaceDN w:val="0"/>
              <w:snapToGrid w:val="0"/>
              <w:jc w:val="left"/>
              <w:rPr>
                <w:rFonts w:asciiTheme="minorEastAsia" w:hAnsiTheme="minorEastAsia" w:eastAsiaTheme="minorEastAsia" w:cstheme="minorEastAsia"/>
                <w:color w:val="auto"/>
                <w:szCs w:val="21"/>
                <w:highlight w:val="none"/>
              </w:rPr>
            </w:pPr>
            <w:r>
              <w:rPr>
                <w:rFonts w:hint="eastAsia" w:ascii="宋体" w:hAnsi="宋体" w:cs="宋体"/>
                <w:color w:val="auto"/>
                <w:szCs w:val="21"/>
                <w:highlight w:val="none"/>
              </w:rPr>
              <w:t>□</w:t>
            </w:r>
            <w:r>
              <w:rPr>
                <w:rFonts w:hint="eastAsia" w:asciiTheme="minorEastAsia" w:hAnsiTheme="minorEastAsia" w:eastAsiaTheme="minorEastAsia" w:cstheme="minorEastAsia"/>
                <w:color w:val="auto"/>
                <w:szCs w:val="21"/>
                <w:highlight w:val="none"/>
              </w:rPr>
              <w:t>不要求</w:t>
            </w:r>
          </w:p>
          <w:p>
            <w:pPr>
              <w:autoSpaceDE w:val="0"/>
              <w:autoSpaceDN w:val="0"/>
              <w:snapToGrid w:val="0"/>
              <w:jc w:val="left"/>
              <w:rPr>
                <w:rFonts w:asciiTheme="minorEastAsia" w:hAnsiTheme="minorEastAsia" w:eastAsiaTheme="minorEastAsia" w:cstheme="minorEastAsia"/>
                <w:color w:val="auto"/>
                <w:szCs w:val="21"/>
                <w:highlight w:val="none"/>
                <w:u w:val="single"/>
              </w:rPr>
            </w:pPr>
            <w:r>
              <w:rPr>
                <w:rFonts w:hint="eastAsia" w:ascii="宋体" w:hAnsi="宋体" w:cs="宋体"/>
                <w:color w:val="auto"/>
                <w:szCs w:val="21"/>
                <w:highlight w:val="none"/>
              </w:rPr>
              <w:t>☑</w:t>
            </w:r>
            <w:r>
              <w:rPr>
                <w:rFonts w:hint="eastAsia" w:asciiTheme="minorEastAsia" w:hAnsiTheme="minorEastAsia" w:eastAsiaTheme="minorEastAsia" w:cstheme="minorEastAsia"/>
                <w:color w:val="auto"/>
                <w:szCs w:val="21"/>
                <w:highlight w:val="none"/>
              </w:rPr>
              <w:t>要求，响应文件电子版内容：</w:t>
            </w:r>
            <w:r>
              <w:rPr>
                <w:rFonts w:hint="eastAsia" w:asciiTheme="minorEastAsia" w:hAnsiTheme="minorEastAsia" w:eastAsiaTheme="minorEastAsia" w:cstheme="minorEastAsia"/>
                <w:color w:val="auto"/>
                <w:szCs w:val="21"/>
                <w:highlight w:val="none"/>
                <w:u w:val="single"/>
              </w:rPr>
              <w:t>与正本保持一致</w:t>
            </w:r>
          </w:p>
          <w:p>
            <w:pPr>
              <w:autoSpaceDE w:val="0"/>
              <w:autoSpaceDN w:val="0"/>
              <w:snapToGrid w:val="0"/>
              <w:ind w:firstLine="840" w:firstLineChars="4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shd w:val="clear" w:color="auto" w:fill="FFFFFF"/>
              </w:rPr>
              <w:t>响应文件电子版格式：</w:t>
            </w:r>
            <w:r>
              <w:rPr>
                <w:rFonts w:hint="eastAsia" w:asciiTheme="minorEastAsia" w:hAnsiTheme="minorEastAsia" w:eastAsiaTheme="minorEastAsia" w:cstheme="minorEastAsia"/>
                <w:color w:val="auto"/>
                <w:szCs w:val="21"/>
                <w:highlight w:val="none"/>
                <w:u w:val="single"/>
                <w:shd w:val="clear" w:color="auto" w:fill="FFFFFF"/>
              </w:rPr>
              <w:t>WORD格式和加</w:t>
            </w:r>
            <w:r>
              <w:rPr>
                <w:rFonts w:hint="eastAsia" w:asciiTheme="minorEastAsia" w:hAnsiTheme="minorEastAsia" w:eastAsiaTheme="minorEastAsia" w:cstheme="minorEastAsia"/>
                <w:color w:val="auto"/>
                <w:szCs w:val="21"/>
                <w:highlight w:val="none"/>
                <w:u w:val="single"/>
              </w:rPr>
              <w:t>盖公章后的PDF扫描件格式；</w:t>
            </w:r>
          </w:p>
          <w:p>
            <w:pPr>
              <w:autoSpaceDE w:val="0"/>
              <w:autoSpaceDN w:val="0"/>
              <w:adjustRightInd w:val="0"/>
              <w:ind w:firstLine="840" w:firstLineChars="400"/>
              <w:jc w:val="left"/>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响应文件电子版形式：</w:t>
            </w:r>
            <w:r>
              <w:rPr>
                <w:rFonts w:hint="eastAsia" w:asciiTheme="minorEastAsia" w:hAnsiTheme="minorEastAsia" w:eastAsiaTheme="minorEastAsia" w:cstheme="minorEastAsia"/>
                <w:color w:val="auto"/>
                <w:szCs w:val="21"/>
                <w:highlight w:val="none"/>
                <w:u w:val="single"/>
              </w:rPr>
              <w:t>U盘1份，需贴标签并注明公司名称；</w:t>
            </w:r>
          </w:p>
          <w:p>
            <w:pPr>
              <w:autoSpaceDE w:val="0"/>
              <w:autoSpaceDN w:val="0"/>
              <w:adjustRightInd w:val="0"/>
              <w:jc w:val="left"/>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（3）手持法定代表人授权委托书（或法定代表人身份证明书）；</w:t>
            </w:r>
          </w:p>
          <w:p>
            <w:pPr>
              <w:autoSpaceDE w:val="0"/>
              <w:autoSpaceDN w:val="0"/>
              <w:adjustRightInd w:val="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所有响应文件概不退还，响应文件按包分开制作，分开密封。</w:t>
            </w:r>
          </w:p>
          <w:p>
            <w:pPr>
              <w:autoSpaceDE w:val="0"/>
              <w:autoSpaceDN w:val="0"/>
              <w:adjustRightInd w:val="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纸质响应文件应采用胶粘方</w:t>
            </w:r>
            <w:r>
              <w:rPr>
                <w:rFonts w:hint="eastAsia" w:asciiTheme="minorEastAsia" w:hAnsiTheme="minorEastAsia" w:eastAsiaTheme="minorEastAsia" w:cstheme="minorEastAsia"/>
                <w:color w:val="auto"/>
                <w:szCs w:val="21"/>
                <w:highlight w:val="none"/>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Lines="10" w:beforeAutospacing="0" w:afterLines="10" w:afterAutospacing="0"/>
              <w:ind w:left="21" w:leftChars="10" w:right="21" w:rightChars="10"/>
              <w:jc w:val="center"/>
              <w:rPr>
                <w:rFonts w:hint="default" w:asciiTheme="minorEastAsia" w:hAnsiTheme="minorEastAsia" w:eastAsiaTheme="minorEastAsia" w:cstheme="minorEastAsia"/>
                <w:color w:val="auto"/>
                <w:kern w:val="2"/>
                <w:sz w:val="21"/>
                <w:szCs w:val="21"/>
                <w:highlight w:val="none"/>
                <w:lang w:val="zh-CN"/>
              </w:rPr>
            </w:pPr>
            <w:r>
              <w:rPr>
                <w:rFonts w:asciiTheme="minorEastAsia" w:hAnsiTheme="minorEastAsia" w:eastAsiaTheme="minorEastAsia" w:cstheme="minorEastAsia"/>
                <w:color w:val="auto"/>
                <w:kern w:val="2"/>
                <w:sz w:val="21"/>
                <w:szCs w:val="21"/>
                <w:highlight w:val="none"/>
              </w:rPr>
              <w:t>19.1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竞争性磋商响应文件的密封和标记</w:t>
            </w:r>
          </w:p>
        </w:tc>
        <w:tc>
          <w:tcPr>
            <w:tcW w:w="6130" w:type="dxa"/>
            <w:vAlign w:val="center"/>
          </w:tcPr>
          <w:p>
            <w:pPr>
              <w:autoSpaceDE w:val="0"/>
              <w:autoSpaceDN w:val="0"/>
              <w:adjustRightInd w:val="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本条款细化为：响应文件正本需逐页加盖供应商单位公章，不得使用单位其他专用章代替。因签字盖章问题导致的响应材料被否决或竞标受影响的情况，其后果供应商自行承担。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20.1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snapToGrid w:val="0"/>
                <w:color w:val="auto"/>
                <w:kern w:val="0"/>
                <w:szCs w:val="21"/>
                <w:highlight w:val="none"/>
                <w:lang w:val="zh-CN"/>
              </w:rPr>
              <w:t>响应文件送达地点及递交截止时间</w:t>
            </w:r>
          </w:p>
        </w:tc>
        <w:tc>
          <w:tcPr>
            <w:tcW w:w="6130" w:type="dxa"/>
            <w:vAlign w:val="center"/>
          </w:tcPr>
          <w:p>
            <w:pPr>
              <w:autoSpaceDE w:val="0"/>
              <w:autoSpaceDN w:val="0"/>
              <w:adjustRightInd w:val="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23.1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磋商小组人数</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24.1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b/>
                <w:bCs/>
                <w:snapToGrid w:val="0"/>
                <w:color w:val="auto"/>
                <w:kern w:val="0"/>
                <w:szCs w:val="21"/>
                <w:highlight w:val="none"/>
              </w:rPr>
            </w:pPr>
            <w:r>
              <w:rPr>
                <w:rFonts w:hint="eastAsia" w:asciiTheme="minorEastAsia" w:hAnsiTheme="minorEastAsia" w:eastAsiaTheme="minorEastAsia" w:cstheme="minorEastAsia"/>
                <w:b/>
                <w:bCs/>
                <w:snapToGrid w:val="0"/>
                <w:color w:val="auto"/>
                <w:kern w:val="0"/>
                <w:szCs w:val="21"/>
                <w:highlight w:val="none"/>
              </w:rPr>
              <w:t>磋商代表</w:t>
            </w:r>
          </w:p>
        </w:tc>
        <w:tc>
          <w:tcPr>
            <w:tcW w:w="6130" w:type="dxa"/>
            <w:vAlign w:val="center"/>
          </w:tcPr>
          <w:p>
            <w:pPr>
              <w:autoSpaceDE w:val="0"/>
              <w:autoSpaceDN w:val="0"/>
              <w:adjustRightInd w:val="0"/>
              <w:jc w:val="left"/>
              <w:rPr>
                <w:rFonts w:asciiTheme="minorEastAsia" w:hAnsiTheme="minorEastAsia" w:eastAsiaTheme="minorEastAsia" w:cstheme="minorEastAsia"/>
                <w:b/>
                <w:bCs/>
                <w:color w:val="auto"/>
                <w:szCs w:val="21"/>
                <w:highlight w:val="none"/>
                <w:lang w:val="zh-CN"/>
              </w:rPr>
            </w:pPr>
            <w:r>
              <w:rPr>
                <w:rFonts w:hint="eastAsia" w:asciiTheme="minorEastAsia" w:hAnsiTheme="minorEastAsia" w:eastAsiaTheme="minorEastAsia" w:cstheme="minorEastAsia"/>
                <w:b/>
                <w:bCs/>
                <w:color w:val="auto"/>
                <w:szCs w:val="21"/>
                <w:highlight w:val="none"/>
                <w:lang w:val="zh-CN"/>
              </w:rPr>
              <w:t>建议供应商拟派出席磋商会议的磋商代表为熟知本项目的技术人员或商务负责人等能</w:t>
            </w:r>
            <w:r>
              <w:rPr>
                <w:rFonts w:hint="eastAsia" w:asciiTheme="minorEastAsia" w:hAnsiTheme="minorEastAsia" w:eastAsiaTheme="minorEastAsia" w:cstheme="minorEastAsia"/>
                <w:b/>
                <w:bCs/>
                <w:color w:val="auto"/>
                <w:szCs w:val="21"/>
                <w:highlight w:val="none"/>
              </w:rPr>
              <w:t>为磋商小组详细介绍供应商公司情况及项目了解情况的人员，</w:t>
            </w:r>
            <w:r>
              <w:rPr>
                <w:rFonts w:hint="eastAsia" w:asciiTheme="minorEastAsia" w:hAnsiTheme="minorEastAsia" w:eastAsiaTheme="minorEastAsia" w:cstheme="minorEastAsia"/>
                <w:b/>
                <w:bCs/>
                <w:color w:val="auto"/>
                <w:szCs w:val="21"/>
                <w:highlight w:val="none"/>
                <w:lang w:val="zh-CN"/>
              </w:rPr>
              <w:t>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26.4</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提交最后报价供应商的确定方式</w:t>
            </w:r>
          </w:p>
        </w:tc>
        <w:tc>
          <w:tcPr>
            <w:tcW w:w="6130" w:type="dxa"/>
            <w:vAlign w:val="center"/>
          </w:tcPr>
          <w:p>
            <w:pPr>
              <w:autoSpaceDE w:val="0"/>
              <w:autoSpaceDN w:val="0"/>
              <w:adjustRightInd w:val="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color w:val="auto"/>
                <w:kern w:val="0"/>
                <w:szCs w:val="21"/>
                <w:highlight w:val="none"/>
              </w:rPr>
              <w:t>在指定地点以</w:t>
            </w:r>
            <w:r>
              <w:rPr>
                <w:rFonts w:hint="eastAsia" w:asciiTheme="minorEastAsia" w:hAnsiTheme="minorEastAsia" w:eastAsiaTheme="minorEastAsia" w:cstheme="minorEastAsia"/>
                <w:snapToGrid w:val="0"/>
                <w:color w:val="auto"/>
                <w:kern w:val="0"/>
                <w:szCs w:val="21"/>
                <w:highlight w:val="none"/>
                <w:lang w:val="zh-CN"/>
              </w:rPr>
              <w:t>密封</w:t>
            </w:r>
            <w:r>
              <w:rPr>
                <w:rFonts w:hint="eastAsia" w:asciiTheme="minorEastAsia" w:hAnsiTheme="minorEastAsia" w:eastAsiaTheme="minorEastAsia" w:cstheme="minorEastAsia"/>
                <w:snapToGrid w:val="0"/>
                <w:color w:val="auto"/>
                <w:kern w:val="0"/>
                <w:szCs w:val="21"/>
                <w:highlight w:val="none"/>
              </w:rPr>
              <w:t>等形式</w:t>
            </w:r>
            <w:r>
              <w:rPr>
                <w:rFonts w:hint="eastAsia" w:asciiTheme="minorEastAsia" w:hAnsiTheme="minorEastAsia" w:eastAsiaTheme="minorEastAsia" w:cstheme="minorEastAsia"/>
                <w:snapToGrid w:val="0"/>
                <w:color w:val="auto"/>
                <w:kern w:val="0"/>
                <w:szCs w:val="21"/>
                <w:highlight w:val="none"/>
                <w:lang w:val="zh-CN"/>
              </w:rPr>
              <w:t>递交</w:t>
            </w:r>
            <w:r>
              <w:rPr>
                <w:rFonts w:hint="eastAsia" w:asciiTheme="minorEastAsia" w:hAnsiTheme="minorEastAsia" w:eastAsiaTheme="minorEastAsia" w:cstheme="minorEastAsia"/>
                <w:snapToGrid w:val="0"/>
                <w:color w:val="auto"/>
                <w:kern w:val="0"/>
                <w:szCs w:val="21"/>
                <w:highlight w:val="none"/>
              </w:rPr>
              <w:t>给采购代理机构指定现场工作人员或</w:t>
            </w:r>
            <w:r>
              <w:rPr>
                <w:rFonts w:hint="eastAsia" w:asciiTheme="minorEastAsia" w:hAnsiTheme="minorEastAsia" w:eastAsiaTheme="minorEastAsia" w:cstheme="minorEastAsia"/>
                <w:snapToGrid w:val="0"/>
                <w:color w:val="auto"/>
                <w:kern w:val="0"/>
                <w:szCs w:val="21"/>
                <w:highlight w:val="none"/>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27.3</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推荐成交候选</w:t>
            </w:r>
            <w:r>
              <w:rPr>
                <w:rFonts w:hint="eastAsia" w:asciiTheme="minorEastAsia" w:hAnsiTheme="minorEastAsia" w:eastAsiaTheme="minorEastAsia" w:cstheme="minorEastAsia"/>
                <w:snapToGrid w:val="0"/>
                <w:color w:val="auto"/>
                <w:kern w:val="0"/>
                <w:szCs w:val="21"/>
                <w:highlight w:val="none"/>
              </w:rPr>
              <w:t>供应商</w:t>
            </w:r>
            <w:r>
              <w:rPr>
                <w:rFonts w:hint="eastAsia" w:asciiTheme="minorEastAsia" w:hAnsiTheme="minorEastAsia" w:eastAsiaTheme="minorEastAsia" w:cstheme="minorEastAsia"/>
                <w:snapToGrid w:val="0"/>
                <w:color w:val="auto"/>
                <w:kern w:val="0"/>
                <w:szCs w:val="21"/>
                <w:highlight w:val="none"/>
                <w:lang w:val="zh-CN"/>
              </w:rPr>
              <w:t>数量</w:t>
            </w:r>
          </w:p>
        </w:tc>
        <w:tc>
          <w:tcPr>
            <w:tcW w:w="6130" w:type="dxa"/>
            <w:vAlign w:val="center"/>
          </w:tcPr>
          <w:p>
            <w:pPr>
              <w:autoSpaceDE w:val="0"/>
              <w:autoSpaceDN w:val="0"/>
              <w:adjustRightInd w:val="0"/>
              <w:jc w:val="left"/>
              <w:rPr>
                <w:rFonts w:asciiTheme="minorEastAsia" w:hAnsiTheme="minorEastAsia" w:eastAsiaTheme="minorEastAsia" w:cstheme="minorEastAsia"/>
                <w:bCs/>
                <w:color w:val="auto"/>
                <w:kern w:val="44"/>
                <w:szCs w:val="21"/>
                <w:highlight w:val="none"/>
              </w:rPr>
            </w:pPr>
            <w:r>
              <w:rPr>
                <w:rFonts w:hint="eastAsia" w:asciiTheme="minorEastAsia" w:hAnsiTheme="minorEastAsia" w:eastAsiaTheme="minorEastAsia" w:cstheme="minorEastAsia"/>
                <w:bCs/>
                <w:color w:val="auto"/>
                <w:kern w:val="44"/>
                <w:szCs w:val="21"/>
                <w:highlight w:val="none"/>
              </w:rPr>
              <w:t>本项目推荐</w:t>
            </w:r>
            <w:r>
              <w:rPr>
                <w:rFonts w:hint="eastAsia" w:asciiTheme="minorEastAsia" w:hAnsiTheme="minorEastAsia" w:eastAsiaTheme="minorEastAsia" w:cstheme="minorEastAsia"/>
                <w:bCs/>
                <w:color w:val="auto"/>
                <w:kern w:val="44"/>
                <w:szCs w:val="21"/>
                <w:highlight w:val="none"/>
                <w:u w:val="single"/>
              </w:rPr>
              <w:t>3</w:t>
            </w:r>
            <w:r>
              <w:rPr>
                <w:rFonts w:hint="eastAsia" w:asciiTheme="minorEastAsia" w:hAnsiTheme="minorEastAsia" w:eastAsiaTheme="minorEastAsia" w:cstheme="minorEastAsia"/>
                <w:bCs/>
                <w:color w:val="auto"/>
                <w:kern w:val="44"/>
                <w:szCs w:val="21"/>
                <w:highlight w:val="none"/>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28.5</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成交通知书的领取</w:t>
            </w:r>
            <w:r>
              <w:rPr>
                <w:rFonts w:hint="eastAsia" w:asciiTheme="minorEastAsia" w:hAnsiTheme="minorEastAsia" w:eastAsiaTheme="minorEastAsia" w:cstheme="minorEastAsia"/>
                <w:snapToGrid w:val="0"/>
                <w:color w:val="auto"/>
                <w:kern w:val="0"/>
                <w:szCs w:val="21"/>
                <w:highlight w:val="none"/>
              </w:rPr>
              <w:t>时</w:t>
            </w:r>
            <w:r>
              <w:rPr>
                <w:rFonts w:hint="eastAsia" w:asciiTheme="minorEastAsia" w:hAnsiTheme="minorEastAsia" w:eastAsiaTheme="minorEastAsia" w:cstheme="minorEastAsia"/>
                <w:snapToGrid w:val="0"/>
                <w:color w:val="auto"/>
                <w:kern w:val="0"/>
                <w:szCs w:val="21"/>
                <w:highlight w:val="none"/>
                <w:lang w:val="zh-CN"/>
              </w:rPr>
              <w:t>间</w:t>
            </w:r>
          </w:p>
        </w:tc>
        <w:tc>
          <w:tcPr>
            <w:tcW w:w="6130" w:type="dxa"/>
            <w:vAlign w:val="center"/>
          </w:tcPr>
          <w:p>
            <w:pPr>
              <w:autoSpaceDE w:val="0"/>
              <w:autoSpaceDN w:val="0"/>
              <w:adjustRightInd w:val="0"/>
              <w:jc w:val="left"/>
              <w:rPr>
                <w:rFonts w:asciiTheme="minorEastAsia" w:hAnsiTheme="minorEastAsia" w:eastAsiaTheme="minorEastAsia" w:cstheme="minorEastAsia"/>
                <w:bCs/>
                <w:color w:val="auto"/>
                <w:kern w:val="44"/>
                <w:szCs w:val="21"/>
                <w:highlight w:val="none"/>
              </w:rPr>
            </w:pPr>
            <w:r>
              <w:rPr>
                <w:rFonts w:hint="eastAsia" w:asciiTheme="minorEastAsia" w:hAnsiTheme="minorEastAsia" w:eastAsiaTheme="minorEastAsia" w:cstheme="minorEastAsia"/>
                <w:bCs/>
                <w:color w:val="auto"/>
                <w:kern w:val="44"/>
                <w:szCs w:val="21"/>
                <w:highlight w:val="none"/>
              </w:rPr>
              <w:t>成交通知书与成交结果公告同时发出，成交供应商在成交结果公告</w:t>
            </w:r>
          </w:p>
          <w:p>
            <w:pPr>
              <w:autoSpaceDE w:val="0"/>
              <w:autoSpaceDN w:val="0"/>
              <w:adjustRightInd w:val="0"/>
              <w:jc w:val="left"/>
              <w:rPr>
                <w:rFonts w:asciiTheme="minorEastAsia" w:hAnsiTheme="minorEastAsia" w:eastAsiaTheme="minorEastAsia" w:cstheme="minorEastAsia"/>
                <w:bCs/>
                <w:color w:val="auto"/>
                <w:kern w:val="44"/>
                <w:szCs w:val="21"/>
                <w:highlight w:val="none"/>
              </w:rPr>
            </w:pPr>
            <w:r>
              <w:rPr>
                <w:rFonts w:hint="eastAsia" w:asciiTheme="minorEastAsia" w:hAnsiTheme="minorEastAsia" w:eastAsiaTheme="minorEastAsia" w:cstheme="minorEastAsia"/>
                <w:bCs/>
                <w:color w:val="auto"/>
                <w:kern w:val="44"/>
                <w:szCs w:val="21"/>
                <w:highlight w:val="none"/>
              </w:rPr>
              <w:t>发布以后即可联系采购代理机构领取。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Lines="10" w:afterLines="10"/>
              <w:ind w:right="21" w:rightChars="10"/>
              <w:jc w:val="center"/>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b/>
                <w:bCs/>
                <w:color w:val="auto"/>
                <w:szCs w:val="21"/>
                <w:highlight w:val="none"/>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报价方式</w:t>
            </w:r>
          </w:p>
        </w:tc>
        <w:tc>
          <w:tcPr>
            <w:tcW w:w="6130" w:type="dxa"/>
            <w:vAlign w:val="center"/>
          </w:tcPr>
          <w:p>
            <w:pPr>
              <w:autoSpaceDE w:val="0"/>
              <w:autoSpaceDN w:val="0"/>
              <w:adjustRightInd w:val="0"/>
              <w:snapToGrid w:val="0"/>
              <w:jc w:val="left"/>
              <w:rPr>
                <w:rFonts w:hint="eastAsia" w:ascii="宋体" w:hAnsi="宋体" w:eastAsia="宋体" w:cs="宋体"/>
                <w:b/>
                <w:bCs/>
                <w:color w:val="auto"/>
                <w:szCs w:val="21"/>
                <w:highlight w:val="none"/>
                <w:lang w:eastAsia="zh-CN"/>
              </w:rPr>
            </w:pPr>
            <w:r>
              <w:rPr>
                <w:rFonts w:ascii="宋体" w:hAnsi="宋体" w:cs="宋体"/>
                <w:b/>
                <w:bCs/>
                <w:color w:val="auto"/>
                <w:szCs w:val="21"/>
                <w:highlight w:val="none"/>
              </w:rPr>
              <w:t>本项目</w:t>
            </w:r>
            <w:r>
              <w:rPr>
                <w:rFonts w:hint="eastAsia" w:ascii="宋体" w:hAnsi="宋体" w:cs="宋体"/>
                <w:b/>
                <w:bCs/>
                <w:color w:val="auto"/>
                <w:szCs w:val="21"/>
                <w:highlight w:val="none"/>
              </w:rPr>
              <w:t>供应商</w:t>
            </w:r>
            <w:r>
              <w:rPr>
                <w:rFonts w:ascii="宋体" w:hAnsi="宋体" w:cs="宋体"/>
                <w:b/>
                <w:bCs/>
                <w:color w:val="auto"/>
                <w:szCs w:val="21"/>
                <w:highlight w:val="none"/>
              </w:rPr>
              <w:t>针对</w:t>
            </w:r>
            <w:r>
              <w:rPr>
                <w:rFonts w:hint="eastAsia" w:ascii="宋体" w:hAnsi="宋体" w:cs="宋体"/>
                <w:b/>
                <w:bCs/>
                <w:color w:val="auto"/>
                <w:szCs w:val="21"/>
                <w:highlight w:val="none"/>
              </w:rPr>
              <w:t>每年度合作经营收益</w:t>
            </w:r>
            <w:r>
              <w:rPr>
                <w:rFonts w:ascii="宋体" w:hAnsi="宋体" w:cs="宋体"/>
                <w:b/>
                <w:bCs/>
                <w:color w:val="auto"/>
                <w:szCs w:val="21"/>
                <w:highlight w:val="none"/>
              </w:rPr>
              <w:t>进行报价</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lang w:eastAsia="zh-CN"/>
              </w:rPr>
              <w:t>合作经营收益不得低于360万元/年</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rPr>
              <w:t>请投标人根据实际情况合理报价。</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本项目</w:t>
            </w:r>
            <w:r>
              <w:rPr>
                <w:rFonts w:hint="eastAsia" w:asciiTheme="minorEastAsia" w:hAnsiTheme="minorEastAsia" w:eastAsiaTheme="minorEastAsia" w:cstheme="minorEastAsia"/>
                <w:color w:val="auto"/>
                <w:szCs w:val="21"/>
                <w:highlight w:val="none"/>
              </w:rPr>
              <w:t>竞标</w:t>
            </w:r>
            <w:r>
              <w:rPr>
                <w:rFonts w:hint="eastAsia" w:asciiTheme="minorEastAsia" w:hAnsiTheme="minorEastAsia" w:eastAsiaTheme="minorEastAsia" w:cstheme="minorEastAsia"/>
                <w:color w:val="auto"/>
                <w:szCs w:val="21"/>
                <w:highlight w:val="none"/>
                <w:lang w:val="zh-CN"/>
              </w:rPr>
              <w:t>报价为“交钥匙”价。竞标报价应包括完成该</w:t>
            </w:r>
            <w:r>
              <w:rPr>
                <w:rFonts w:hint="eastAsia" w:asciiTheme="minorEastAsia" w:hAnsiTheme="minorEastAsia" w:eastAsiaTheme="minorEastAsia" w:cstheme="minorEastAsia"/>
                <w:color w:val="auto"/>
                <w:szCs w:val="21"/>
                <w:highlight w:val="none"/>
              </w:rPr>
              <w:t>项目采购范围内的所有费用</w:t>
            </w:r>
            <w:r>
              <w:rPr>
                <w:rFonts w:hint="eastAsia" w:asciiTheme="minorEastAsia" w:hAnsiTheme="minorEastAsia" w:eastAsiaTheme="minorEastAsia" w:cstheme="minorEastAsia"/>
                <w:color w:val="auto"/>
                <w:szCs w:val="21"/>
                <w:highlight w:val="none"/>
                <w:lang w:val="zh-CN"/>
              </w:rPr>
              <w:t>及</w:t>
            </w:r>
            <w:r>
              <w:rPr>
                <w:rFonts w:hint="eastAsia" w:asciiTheme="minorEastAsia" w:hAnsiTheme="minorEastAsia" w:eastAsiaTheme="minorEastAsia" w:cstheme="minorEastAsia"/>
                <w:color w:val="auto"/>
                <w:szCs w:val="21"/>
                <w:highlight w:val="none"/>
              </w:rPr>
              <w:t>后期</w:t>
            </w:r>
            <w:r>
              <w:rPr>
                <w:rFonts w:hint="eastAsia" w:asciiTheme="minorEastAsia" w:hAnsiTheme="minorEastAsia" w:eastAsiaTheme="minorEastAsia" w:cstheme="minorEastAsia"/>
                <w:color w:val="auto"/>
                <w:szCs w:val="21"/>
                <w:highlight w:val="none"/>
                <w:lang w:val="zh-CN"/>
              </w:rPr>
              <w:t>质保期间等一切服务费用及其他售后服务等全部相关工作</w:t>
            </w:r>
            <w:r>
              <w:rPr>
                <w:rFonts w:hint="eastAsia" w:asciiTheme="minorEastAsia" w:hAnsiTheme="minorEastAsia" w:eastAsiaTheme="minorEastAsia" w:cstheme="minorEastAsia"/>
                <w:color w:val="auto"/>
                <w:szCs w:val="21"/>
                <w:highlight w:val="none"/>
              </w:rPr>
              <w:t>的全费用</w:t>
            </w:r>
            <w:r>
              <w:rPr>
                <w:rFonts w:hint="eastAsia" w:asciiTheme="minorEastAsia" w:hAnsiTheme="minorEastAsia" w:eastAsiaTheme="minorEastAsia" w:cstheme="minorEastAsia"/>
                <w:color w:val="auto"/>
                <w:szCs w:val="21"/>
                <w:highlight w:val="none"/>
                <w:lang w:val="zh-CN"/>
              </w:rPr>
              <w:t>。合同签订后采购人未提出增加工作内容的情况下，合同价不得调整。</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各供应商按此要求进行报价，同时在合同实施过程中还将发生的其它费用</w:t>
            </w:r>
            <w:r>
              <w:rPr>
                <w:rFonts w:hint="eastAsia" w:asciiTheme="minorEastAsia" w:hAnsiTheme="minorEastAsia" w:eastAsiaTheme="minorEastAsia" w:cstheme="minorEastAsia"/>
                <w:color w:val="auto"/>
                <w:szCs w:val="21"/>
                <w:highlight w:val="none"/>
              </w:rPr>
              <w:t>也</w:t>
            </w:r>
            <w:r>
              <w:rPr>
                <w:rFonts w:hint="eastAsia" w:asciiTheme="minorEastAsia" w:hAnsiTheme="minorEastAsia" w:eastAsiaTheme="minorEastAsia" w:cstheme="minorEastAsia"/>
                <w:color w:val="auto"/>
                <w:szCs w:val="21"/>
                <w:highlight w:val="none"/>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Cs w:val="21"/>
                <w:highlight w:val="none"/>
              </w:rPr>
              <w:t>采购人</w:t>
            </w:r>
            <w:r>
              <w:rPr>
                <w:rFonts w:hint="eastAsia" w:asciiTheme="minorEastAsia" w:hAnsiTheme="minorEastAsia" w:eastAsiaTheme="minorEastAsia" w:cstheme="minorEastAsia"/>
                <w:color w:val="auto"/>
                <w:szCs w:val="21"/>
                <w:highlight w:val="none"/>
                <w:lang w:val="zh-CN"/>
              </w:rPr>
              <w:t>概不负责。</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zh-CN"/>
              </w:rPr>
              <w:t>对于</w:t>
            </w:r>
            <w:r>
              <w:rPr>
                <w:rFonts w:hint="eastAsia" w:asciiTheme="minorEastAsia" w:hAnsiTheme="minorEastAsia" w:eastAsiaTheme="minorEastAsia" w:cstheme="minorEastAsia"/>
                <w:color w:val="auto"/>
                <w:szCs w:val="21"/>
                <w:highlight w:val="none"/>
              </w:rPr>
              <w:t>磋商</w:t>
            </w:r>
            <w:r>
              <w:rPr>
                <w:rFonts w:hint="eastAsia" w:asciiTheme="minorEastAsia" w:hAnsiTheme="minorEastAsia" w:eastAsiaTheme="minorEastAsia" w:cstheme="minorEastAsia"/>
                <w:color w:val="auto"/>
                <w:szCs w:val="21"/>
                <w:highlight w:val="none"/>
                <w:lang w:val="zh-CN"/>
              </w:rPr>
              <w:t>文件未列明，而</w:t>
            </w:r>
            <w:r>
              <w:rPr>
                <w:rFonts w:hint="eastAsia" w:asciiTheme="minorEastAsia" w:hAnsiTheme="minorEastAsia" w:eastAsiaTheme="minorEastAsia" w:cstheme="minorEastAsia"/>
                <w:color w:val="auto"/>
                <w:szCs w:val="21"/>
                <w:highlight w:val="none"/>
              </w:rPr>
              <w:t>磋商</w:t>
            </w:r>
            <w:r>
              <w:rPr>
                <w:rFonts w:hint="eastAsia" w:asciiTheme="minorEastAsia" w:hAnsiTheme="minorEastAsia" w:eastAsiaTheme="minorEastAsia" w:cstheme="minorEastAsia"/>
                <w:color w:val="auto"/>
                <w:szCs w:val="21"/>
                <w:highlight w:val="none"/>
                <w:lang w:val="zh-CN"/>
              </w:rPr>
              <w:t>供应商认为</w:t>
            </w:r>
            <w:r>
              <w:rPr>
                <w:rFonts w:hint="eastAsia" w:asciiTheme="minorEastAsia" w:hAnsiTheme="minorEastAsia" w:eastAsiaTheme="minorEastAsia" w:cstheme="minorEastAsia"/>
                <w:color w:val="auto"/>
                <w:szCs w:val="21"/>
                <w:highlight w:val="none"/>
              </w:rPr>
              <w:t>必须</w:t>
            </w:r>
            <w:r>
              <w:rPr>
                <w:rFonts w:hint="eastAsia" w:asciiTheme="minorEastAsia" w:hAnsiTheme="minorEastAsia" w:eastAsiaTheme="minorEastAsia" w:cstheme="minorEastAsia"/>
                <w:color w:val="auto"/>
                <w:szCs w:val="21"/>
                <w:highlight w:val="none"/>
                <w:lang w:val="zh-CN"/>
              </w:rPr>
              <w:t>的费用也需列入总报价。在合同实施时，采购人将不予支付</w:t>
            </w:r>
            <w:r>
              <w:rPr>
                <w:rFonts w:hint="eastAsia" w:asciiTheme="minorEastAsia" w:hAnsiTheme="minorEastAsia" w:eastAsiaTheme="minorEastAsia" w:cstheme="minorEastAsia"/>
                <w:color w:val="auto"/>
                <w:szCs w:val="21"/>
                <w:highlight w:val="none"/>
              </w:rPr>
              <w:t>成交</w:t>
            </w:r>
            <w:r>
              <w:rPr>
                <w:rFonts w:hint="eastAsia" w:asciiTheme="minorEastAsia" w:hAnsiTheme="minorEastAsia" w:eastAsiaTheme="minorEastAsia" w:cstheme="minorEastAsia"/>
                <w:color w:val="auto"/>
                <w:szCs w:val="21"/>
                <w:highlight w:val="none"/>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zh-CN"/>
              </w:rPr>
              <w:t>2</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zh-CN"/>
              </w:rPr>
              <w:t>改造预算经费审计</w:t>
            </w:r>
          </w:p>
        </w:tc>
        <w:tc>
          <w:tcPr>
            <w:tcW w:w="6130" w:type="dxa"/>
            <w:vAlign w:val="center"/>
          </w:tcPr>
          <w:p>
            <w:pPr>
              <w:pStyle w:val="2"/>
              <w:spacing w:before="0" w:after="0" w:line="240" w:lineRule="auto"/>
              <w:rPr>
                <w:rFonts w:hint="eastAsia" w:asciiTheme="minorEastAsia" w:hAnsiTheme="minorEastAsia" w:eastAsiaTheme="minorEastAsia" w:cstheme="minorEastAsia"/>
                <w:color w:val="auto"/>
                <w:szCs w:val="21"/>
                <w:highlight w:val="none"/>
                <w:lang w:val="zh-CN"/>
              </w:rPr>
            </w:pPr>
            <w:r>
              <w:rPr>
                <w:rFonts w:hint="eastAsia" w:ascii="宋体" w:hAnsi="宋体" w:cs="宋体"/>
                <w:color w:val="auto"/>
                <w:sz w:val="21"/>
                <w:szCs w:val="21"/>
                <w:highlight w:val="none"/>
                <w:lang w:eastAsia="zh-CN"/>
              </w:rPr>
              <w:t>改造经费</w:t>
            </w:r>
            <w:r>
              <w:rPr>
                <w:rFonts w:hint="eastAsia" w:ascii="宋体" w:hAnsi="宋体" w:cs="宋体"/>
                <w:color w:val="auto"/>
                <w:sz w:val="21"/>
                <w:szCs w:val="21"/>
                <w:highlight w:val="none"/>
              </w:rPr>
              <w:t>必须接受后期第三方审计</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审计单位由采购人选定</w:t>
            </w:r>
            <w:r>
              <w:rPr>
                <w:rFonts w:hint="eastAsia" w:ascii="宋体" w:hAnsi="宋体" w:cs="宋体"/>
                <w:color w:val="auto"/>
                <w:sz w:val="21"/>
                <w:szCs w:val="21"/>
                <w:highlight w:val="none"/>
                <w:lang w:eastAsia="zh-CN"/>
              </w:rPr>
              <w:t>。</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当审计金额小于承诺投资额的10%时，中标单位必须按两者之间的差额补偿给采购人；当审计金额小于或等于承诺投资额的15%时，中标单位必须按两者之间差额的两倍补偿给采购人。在审计结果公布之日起10个工作日内，中标单位必须将差额一次性补偿给采购人，否则采购人有权终止合同，并且扣除全部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踏勘现场</w:t>
            </w:r>
          </w:p>
        </w:tc>
        <w:tc>
          <w:tcPr>
            <w:tcW w:w="6130" w:type="dxa"/>
            <w:vAlign w:val="center"/>
          </w:tcPr>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☑采购人不组织统一踏勘，请各供应商自行踏勘现场；</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□组织，踏勘时间：</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踏勘集中地点：</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踏勘联系人：</w:t>
            </w:r>
          </w:p>
          <w:p>
            <w:pPr>
              <w:autoSpaceDE w:val="0"/>
              <w:autoSpaceDN w:val="0"/>
              <w:adjustRightInd w:val="0"/>
              <w:snapToGrid w:val="0"/>
              <w:spacing w:beforeLines="10" w:afterLines="10"/>
              <w:ind w:right="21" w:rightChars="1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注：（1）供应商承担踏勘现场所发生的自身费用；</w:t>
            </w:r>
          </w:p>
          <w:p>
            <w:pPr>
              <w:autoSpaceDE w:val="0"/>
              <w:autoSpaceDN w:val="0"/>
              <w:adjustRightInd w:val="0"/>
              <w:snapToGrid w:val="0"/>
              <w:spacing w:beforeLines="10" w:afterLines="10"/>
              <w:ind w:right="21" w:rightChars="10"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（2）供应商应承担踏勘现场的责任和风险</w:t>
            </w:r>
            <w:r>
              <w:rPr>
                <w:rFonts w:hint="eastAsia" w:asciiTheme="minorEastAsia" w:hAnsiTheme="minorEastAsia" w:eastAsiaTheme="minorEastAsia" w:cstheme="minorEastAsia"/>
                <w:color w:val="auto"/>
                <w:szCs w:val="21"/>
                <w:highlight w:val="none"/>
                <w:lang w:val="zh-CN"/>
              </w:rPr>
              <w:t>。</w:t>
            </w:r>
          </w:p>
          <w:p>
            <w:pPr>
              <w:autoSpaceDE w:val="0"/>
              <w:autoSpaceDN w:val="0"/>
              <w:adjustRightInd w:val="0"/>
              <w:snapToGrid w:val="0"/>
              <w:spacing w:beforeLines="10" w:afterLines="10"/>
              <w:ind w:right="21" w:rightChars="10" w:firstLine="420" w:firstLineChars="20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（3）采购人在踏勘现场中介绍的项目背景及项目现场和相关的周边环境情况，供应商在编制响应文件时参考，采购人和采购代理机构不对供应商据此作出的判断和决策负责。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bookmarkStart w:id="28" w:name="_Toc25796"/>
            <w:r>
              <w:rPr>
                <w:rFonts w:hint="eastAsia" w:asciiTheme="minorEastAsia" w:hAnsiTheme="minorEastAsia" w:eastAsiaTheme="minorEastAsia" w:cstheme="minorEastAsia"/>
                <w:color w:val="auto"/>
                <w:szCs w:val="21"/>
                <w:highlight w:val="none"/>
              </w:rPr>
              <w:t>4</w:t>
            </w:r>
          </w:p>
        </w:tc>
        <w:tc>
          <w:tcPr>
            <w:tcW w:w="2127" w:type="dxa"/>
            <w:vAlign w:val="center"/>
          </w:tcPr>
          <w:p>
            <w:pPr>
              <w:autoSpaceDE w:val="0"/>
              <w:autoSpaceDN w:val="0"/>
              <w:adjustRightIn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其他</w:t>
            </w:r>
          </w:p>
        </w:tc>
        <w:tc>
          <w:tcPr>
            <w:tcW w:w="6130" w:type="dxa"/>
            <w:vAlign w:val="center"/>
          </w:tcPr>
          <w:p>
            <w:pPr>
              <w:widowControl/>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中标人中标后须提交的</w:t>
            </w:r>
            <w:r>
              <w:rPr>
                <w:rFonts w:asciiTheme="minorEastAsia" w:hAnsiTheme="minorEastAsia" w:eastAsiaTheme="minorEastAsia" w:cstheme="minorEastAsia"/>
                <w:color w:val="auto"/>
                <w:szCs w:val="21"/>
                <w:highlight w:val="none"/>
              </w:rPr>
              <w:t>纸质投标文件</w:t>
            </w:r>
            <w:r>
              <w:rPr>
                <w:rFonts w:hint="eastAsia" w:asciiTheme="minorEastAsia" w:hAnsiTheme="minorEastAsia" w:eastAsiaTheme="minorEastAsia" w:cstheme="minorEastAsia"/>
                <w:color w:val="auto"/>
                <w:szCs w:val="21"/>
                <w:highlight w:val="none"/>
              </w:rPr>
              <w:t>：2份（应当与投标当天的投标文件内容一致，内容不一致导致的后果，由中标人自行负责。）</w:t>
            </w:r>
          </w:p>
        </w:tc>
      </w:tr>
    </w:tbl>
    <w:p>
      <w:pP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br w:type="page"/>
      </w:r>
    </w:p>
    <w:p>
      <w:pPr>
        <w:spacing w:line="360" w:lineRule="auto"/>
        <w:outlineLvl w:val="1"/>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供应商须知</w:t>
      </w:r>
      <w:bookmarkEnd w:id="28"/>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color w:val="auto"/>
          <w:szCs w:val="21"/>
          <w:highlight w:val="none"/>
        </w:rPr>
      </w:pPr>
      <w:bookmarkStart w:id="29" w:name="_Toc30402"/>
      <w:r>
        <w:rPr>
          <w:rFonts w:hint="eastAsia" w:asciiTheme="minorEastAsia" w:hAnsiTheme="minorEastAsia" w:eastAsiaTheme="minorEastAsia" w:cstheme="minorEastAsia"/>
          <w:b/>
          <w:color w:val="auto"/>
          <w:szCs w:val="21"/>
          <w:highlight w:val="none"/>
        </w:rPr>
        <w:t>总则</w:t>
      </w:r>
      <w:bookmarkEnd w:id="29"/>
    </w:p>
    <w:p>
      <w:pPr>
        <w:numPr>
          <w:ilvl w:val="0"/>
          <w:numId w:val="9"/>
        </w:numPr>
        <w:spacing w:line="360" w:lineRule="auto"/>
        <w:ind w:hanging="540"/>
        <w:outlineLvl w:val="1"/>
        <w:rPr>
          <w:rFonts w:asciiTheme="minorEastAsia" w:hAnsiTheme="minorEastAsia" w:eastAsiaTheme="minorEastAsia" w:cstheme="minorEastAsia"/>
          <w:b/>
          <w:color w:val="auto"/>
          <w:szCs w:val="21"/>
          <w:highlight w:val="none"/>
        </w:rPr>
      </w:pPr>
      <w:bookmarkStart w:id="30" w:name="_Toc27243"/>
      <w:bookmarkStart w:id="31" w:name="_Toc6153"/>
      <w:r>
        <w:rPr>
          <w:rFonts w:hint="eastAsia" w:asciiTheme="minorEastAsia" w:hAnsiTheme="minorEastAsia" w:eastAsiaTheme="minorEastAsia" w:cstheme="minorEastAsia"/>
          <w:b/>
          <w:color w:val="auto"/>
          <w:szCs w:val="21"/>
          <w:highlight w:val="none"/>
        </w:rPr>
        <w:t>适用法律及范围</w:t>
      </w:r>
      <w:bookmarkEnd w:id="30"/>
      <w:bookmarkEnd w:id="31"/>
    </w:p>
    <w:p>
      <w:pPr>
        <w:numPr>
          <w:ilvl w:val="1"/>
          <w:numId w:val="10"/>
        </w:numPr>
        <w:tabs>
          <w:tab w:val="left" w:pos="540"/>
          <w:tab w:val="clear" w:pos="360"/>
        </w:tabs>
        <w:spacing w:line="360" w:lineRule="auto"/>
        <w:ind w:left="540" w:hanging="54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本竞争性磋商采购文件仅适用于本次竞争性磋商中所述的项目的采购。</w:t>
      </w:r>
    </w:p>
    <w:p>
      <w:pPr>
        <w:numPr>
          <w:ilvl w:val="0"/>
          <w:numId w:val="9"/>
        </w:numPr>
        <w:spacing w:line="360" w:lineRule="auto"/>
        <w:ind w:hanging="540"/>
        <w:outlineLvl w:val="1"/>
        <w:rPr>
          <w:rFonts w:asciiTheme="minorEastAsia" w:hAnsiTheme="minorEastAsia" w:eastAsiaTheme="minorEastAsia" w:cstheme="minorEastAsia"/>
          <w:b/>
          <w:color w:val="auto"/>
          <w:szCs w:val="21"/>
          <w:highlight w:val="none"/>
        </w:rPr>
      </w:pPr>
      <w:bookmarkStart w:id="32" w:name="_Toc9947"/>
      <w:bookmarkStart w:id="33" w:name="_Toc30547"/>
      <w:r>
        <w:rPr>
          <w:rFonts w:hint="eastAsia" w:asciiTheme="minorEastAsia" w:hAnsiTheme="minorEastAsia" w:eastAsiaTheme="minorEastAsia" w:cstheme="minorEastAsia"/>
          <w:b/>
          <w:color w:val="auto"/>
          <w:szCs w:val="21"/>
          <w:highlight w:val="none"/>
        </w:rPr>
        <w:t>定义</w:t>
      </w:r>
      <w:bookmarkEnd w:id="32"/>
      <w:bookmarkEnd w:id="33"/>
    </w:p>
    <w:p>
      <w:pPr>
        <w:numPr>
          <w:ilvl w:val="1"/>
          <w:numId w:val="11"/>
        </w:numPr>
        <w:tabs>
          <w:tab w:val="left" w:pos="540"/>
          <w:tab w:val="clear" w:pos="360"/>
        </w:tabs>
        <w:spacing w:line="360" w:lineRule="auto"/>
        <w:ind w:left="540" w:hanging="54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“采购人”：本次磋商的采购人见《供应商须知前附表》。</w:t>
      </w:r>
    </w:p>
    <w:p>
      <w:pPr>
        <w:numPr>
          <w:ilvl w:val="1"/>
          <w:numId w:val="11"/>
        </w:numPr>
        <w:tabs>
          <w:tab w:val="left" w:pos="540"/>
          <w:tab w:val="clear" w:pos="360"/>
        </w:tabs>
        <w:spacing w:line="360" w:lineRule="auto"/>
        <w:ind w:left="540" w:hanging="54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“监管部门”：本次磋商的监管部门见《供应商须知前附表》。</w:t>
      </w:r>
    </w:p>
    <w:p>
      <w:pPr>
        <w:numPr>
          <w:ilvl w:val="1"/>
          <w:numId w:val="11"/>
        </w:numPr>
        <w:tabs>
          <w:tab w:val="left" w:pos="540"/>
          <w:tab w:val="clear" w:pos="360"/>
        </w:tabs>
        <w:spacing w:line="360" w:lineRule="auto"/>
        <w:ind w:left="540" w:hanging="54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“采购代理机构”：本次磋商的采购代理机构见《供应商须知前附表》。</w:t>
      </w:r>
    </w:p>
    <w:p>
      <w:pPr>
        <w:numPr>
          <w:ilvl w:val="1"/>
          <w:numId w:val="11"/>
        </w:numPr>
        <w:tabs>
          <w:tab w:val="left" w:pos="540"/>
          <w:tab w:val="clear" w:pos="360"/>
        </w:tabs>
        <w:spacing w:line="360" w:lineRule="auto"/>
        <w:ind w:left="540" w:hanging="54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“供应商”是指获取本竞争性磋商采购文件的法人、其他组织或者自然人。</w:t>
      </w:r>
    </w:p>
    <w:p>
      <w:pPr>
        <w:numPr>
          <w:ilvl w:val="1"/>
          <w:numId w:val="11"/>
        </w:numPr>
        <w:tabs>
          <w:tab w:val="left" w:pos="540"/>
          <w:tab w:val="clear" w:pos="360"/>
        </w:tabs>
        <w:spacing w:line="360" w:lineRule="auto"/>
        <w:ind w:left="540" w:hanging="54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“磋商供应商”是指</w:t>
      </w:r>
    </w:p>
    <w:p>
      <w:pPr>
        <w:numPr>
          <w:ilvl w:val="3"/>
          <w:numId w:val="9"/>
        </w:numPr>
        <w:tabs>
          <w:tab w:val="left" w:pos="0"/>
          <w:tab w:val="clear" w:pos="2040"/>
        </w:tabs>
        <w:spacing w:line="360" w:lineRule="auto"/>
        <w:ind w:left="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snapToGrid w:val="0"/>
          <w:color w:val="auto"/>
          <w:kern w:val="0"/>
          <w:szCs w:val="21"/>
          <w:highlight w:val="none"/>
          <w:lang w:val="zh-CN"/>
        </w:rPr>
        <w:t>符合</w:t>
      </w:r>
      <w:r>
        <w:rPr>
          <w:rFonts w:hint="eastAsia" w:asciiTheme="minorEastAsia" w:hAnsiTheme="minorEastAsia" w:eastAsiaTheme="minorEastAsia" w:cstheme="minorEastAsia"/>
          <w:color w:val="auto"/>
          <w:szCs w:val="21"/>
          <w:highlight w:val="none"/>
        </w:rPr>
        <w:t>具备《中华人民共和国政府采购法》第二十二条规定的条件；</w:t>
      </w:r>
    </w:p>
    <w:p>
      <w:pPr>
        <w:numPr>
          <w:ilvl w:val="3"/>
          <w:numId w:val="9"/>
        </w:numPr>
        <w:tabs>
          <w:tab w:val="left" w:pos="0"/>
          <w:tab w:val="clear" w:pos="2040"/>
        </w:tabs>
        <w:spacing w:line="360" w:lineRule="auto"/>
        <w:ind w:left="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符合《供应商须知前附表》的相应条件；</w:t>
      </w:r>
    </w:p>
    <w:p>
      <w:pPr>
        <w:numPr>
          <w:ilvl w:val="3"/>
          <w:numId w:val="9"/>
        </w:numPr>
        <w:tabs>
          <w:tab w:val="left" w:pos="0"/>
          <w:tab w:val="clear" w:pos="2040"/>
        </w:tabs>
        <w:spacing w:line="360" w:lineRule="auto"/>
        <w:ind w:left="0"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通过竞争性磋商采购评定办法中初步审核的供应商。</w:t>
      </w:r>
    </w:p>
    <w:p>
      <w:pPr>
        <w:numPr>
          <w:ilvl w:val="1"/>
          <w:numId w:val="11"/>
        </w:numPr>
        <w:tabs>
          <w:tab w:val="left" w:pos="540"/>
          <w:tab w:val="clear" w:pos="360"/>
        </w:tabs>
        <w:spacing w:line="360" w:lineRule="auto"/>
        <w:ind w:left="540" w:hanging="54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“成交供应商”</w:t>
      </w:r>
      <w:r>
        <w:rPr>
          <w:rFonts w:hint="eastAsia" w:asciiTheme="minorEastAsia" w:hAnsiTheme="minorEastAsia" w:eastAsiaTheme="minorEastAsia" w:cstheme="minorEastAsia"/>
          <w:snapToGrid w:val="0"/>
          <w:color w:val="auto"/>
          <w:kern w:val="0"/>
          <w:szCs w:val="21"/>
          <w:highlight w:val="none"/>
          <w:lang w:val="zh-CN"/>
        </w:rPr>
        <w:t xml:space="preserve"> 是指经磋商小组评审推荐，采购人授予合同的供应商。</w:t>
      </w:r>
    </w:p>
    <w:p>
      <w:pPr>
        <w:numPr>
          <w:ilvl w:val="0"/>
          <w:numId w:val="9"/>
        </w:numPr>
        <w:spacing w:line="360" w:lineRule="auto"/>
        <w:ind w:hanging="540"/>
        <w:outlineLvl w:val="1"/>
        <w:rPr>
          <w:rFonts w:asciiTheme="minorEastAsia" w:hAnsiTheme="minorEastAsia" w:eastAsiaTheme="minorEastAsia" w:cstheme="minorEastAsia"/>
          <w:b/>
          <w:color w:val="auto"/>
          <w:szCs w:val="21"/>
          <w:highlight w:val="none"/>
        </w:rPr>
      </w:pPr>
      <w:bookmarkStart w:id="34" w:name="_Toc31012"/>
      <w:bookmarkStart w:id="35" w:name="_Toc30503"/>
      <w:r>
        <w:rPr>
          <w:rFonts w:hint="eastAsia" w:asciiTheme="minorEastAsia" w:hAnsiTheme="minorEastAsia" w:eastAsiaTheme="minorEastAsia" w:cstheme="minorEastAsia"/>
          <w:b/>
          <w:snapToGrid w:val="0"/>
          <w:color w:val="auto"/>
          <w:kern w:val="0"/>
          <w:szCs w:val="21"/>
          <w:highlight w:val="none"/>
          <w:lang w:val="zh-CN"/>
        </w:rPr>
        <w:t>工程、货物及服务</w:t>
      </w:r>
      <w:bookmarkEnd w:id="34"/>
      <w:bookmarkEnd w:id="35"/>
    </w:p>
    <w:p>
      <w:pPr>
        <w:numPr>
          <w:ilvl w:val="1"/>
          <w:numId w:val="12"/>
        </w:numPr>
        <w:tabs>
          <w:tab w:val="left" w:pos="525"/>
          <w:tab w:val="clear" w:pos="360"/>
        </w:tabs>
        <w:spacing w:line="360" w:lineRule="auto"/>
        <w:ind w:left="540" w:hanging="540"/>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“工程”是指建设工程，包括建筑物和构筑物的新建、改建、扩建及其相关的装修、拆除、修缮等。</w:t>
      </w:r>
    </w:p>
    <w:p>
      <w:pPr>
        <w:numPr>
          <w:ilvl w:val="1"/>
          <w:numId w:val="12"/>
        </w:numPr>
        <w:tabs>
          <w:tab w:val="left" w:pos="525"/>
          <w:tab w:val="clear" w:pos="360"/>
        </w:tabs>
        <w:spacing w:line="360" w:lineRule="auto"/>
        <w:ind w:left="540" w:hanging="540"/>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“货物”是指各种形态和种类的物品，包括原材料、燃料、设备、产品等。</w:t>
      </w:r>
    </w:p>
    <w:p>
      <w:pPr>
        <w:numPr>
          <w:ilvl w:val="1"/>
          <w:numId w:val="12"/>
        </w:numPr>
        <w:tabs>
          <w:tab w:val="left" w:pos="540"/>
          <w:tab w:val="clear" w:pos="360"/>
        </w:tabs>
        <w:spacing w:line="360" w:lineRule="auto"/>
        <w:ind w:left="540" w:hanging="540"/>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“服务”是指除货物（指各种形态和种类的物品，包括原材料、燃料、设备、产品等）和工程（指建设工程，包括建筑物和构筑物的新建、改建、扩建及其相关的装修、拆除、修缮等）以外的其他政府采购对象。</w:t>
      </w:r>
    </w:p>
    <w:p>
      <w:pPr>
        <w:numPr>
          <w:ilvl w:val="0"/>
          <w:numId w:val="9"/>
        </w:numPr>
        <w:spacing w:line="360" w:lineRule="auto"/>
        <w:ind w:hanging="540"/>
        <w:outlineLvl w:val="1"/>
        <w:rPr>
          <w:rFonts w:asciiTheme="minorEastAsia" w:hAnsiTheme="minorEastAsia" w:eastAsiaTheme="minorEastAsia" w:cstheme="minorEastAsia"/>
          <w:b/>
          <w:color w:val="auto"/>
          <w:szCs w:val="21"/>
          <w:highlight w:val="none"/>
        </w:rPr>
      </w:pPr>
      <w:bookmarkStart w:id="36" w:name="_Toc16894"/>
      <w:bookmarkStart w:id="37" w:name="_Toc9974"/>
      <w:r>
        <w:rPr>
          <w:rFonts w:hint="eastAsia" w:asciiTheme="minorEastAsia" w:hAnsiTheme="minorEastAsia" w:eastAsiaTheme="minorEastAsia" w:cstheme="minorEastAsia"/>
          <w:b/>
          <w:color w:val="auto"/>
          <w:szCs w:val="21"/>
          <w:highlight w:val="none"/>
        </w:rPr>
        <w:t>费用</w:t>
      </w:r>
      <w:bookmarkEnd w:id="36"/>
      <w:bookmarkEnd w:id="37"/>
      <w:r>
        <w:rPr>
          <w:rFonts w:hint="eastAsia" w:asciiTheme="minorEastAsia" w:hAnsiTheme="minorEastAsia" w:eastAsiaTheme="minorEastAsia" w:cstheme="minorEastAsia"/>
          <w:b/>
          <w:color w:val="auto"/>
          <w:szCs w:val="21"/>
          <w:highlight w:val="none"/>
        </w:rPr>
        <w:t xml:space="preserve">  </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供应商应承担所有与准备和参加磋商有关的费用，不论磋商的结果如何，采购人和采购代理机构均无义务和责任承担这些费用。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招标代理服务费：成交供应商须在收到成交通知书时向采购代理机构支付招标代理服务费。服务费支付标准和方法详见《供应商须知前附表》。</w:t>
      </w:r>
    </w:p>
    <w:p>
      <w:pPr>
        <w:numPr>
          <w:ilvl w:val="1"/>
          <w:numId w:val="13"/>
        </w:numPr>
        <w:tabs>
          <w:tab w:val="left" w:pos="540"/>
          <w:tab w:val="clear" w:pos="360"/>
        </w:tabs>
        <w:spacing w:line="360" w:lineRule="auto"/>
        <w:ind w:left="540" w:hanging="540"/>
        <w:rPr>
          <w:rFonts w:asciiTheme="minorEastAsia" w:hAnsiTheme="minorEastAsia" w:eastAsiaTheme="minorEastAsia" w:cstheme="minorEastAsia"/>
          <w:snapToGrid w:val="0"/>
          <w:color w:val="auto"/>
          <w:kern w:val="0"/>
          <w:szCs w:val="21"/>
          <w:highlight w:val="none"/>
        </w:rPr>
      </w:pPr>
      <w:r>
        <w:rPr>
          <w:rFonts w:hint="eastAsia" w:asciiTheme="minorEastAsia" w:hAnsiTheme="minorEastAsia" w:eastAsiaTheme="minorEastAsia" w:cstheme="minorEastAsia"/>
          <w:snapToGrid w:val="0"/>
          <w:color w:val="auto"/>
          <w:kern w:val="0"/>
          <w:szCs w:val="21"/>
          <w:highlight w:val="none"/>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中标金额（万元）</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货物</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服务</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100以下</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100-500</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500-1000</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0.8%</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0.45%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1000-5000</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5000-10000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0.25%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0.1%</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10000-100000</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0.05%</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100000以上</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0.01%</w:t>
            </w:r>
          </w:p>
        </w:tc>
        <w:tc>
          <w:tcPr>
            <w:tcW w:w="2255" w:type="dxa"/>
          </w:tcPr>
          <w:p>
            <w:pPr>
              <w:autoSpaceDE w:val="0"/>
              <w:autoSpaceDN w:val="0"/>
              <w:snapToGrid w:val="0"/>
              <w:spacing w:line="480" w:lineRule="exact"/>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0.01%</w:t>
            </w:r>
          </w:p>
        </w:tc>
      </w:tr>
    </w:tbl>
    <w:p>
      <w:pPr>
        <w:tabs>
          <w:tab w:val="left" w:pos="540"/>
        </w:tabs>
        <w:spacing w:line="360" w:lineRule="auto"/>
        <w:rPr>
          <w:rFonts w:asciiTheme="minorEastAsia" w:hAnsiTheme="minorEastAsia" w:eastAsiaTheme="minorEastAsia" w:cstheme="minorEastAsia"/>
          <w:snapToGrid w:val="0"/>
          <w:color w:val="auto"/>
          <w:kern w:val="0"/>
          <w:szCs w:val="21"/>
          <w:highlight w:val="none"/>
        </w:rPr>
      </w:pPr>
      <w:r>
        <w:rPr>
          <w:rFonts w:hint="eastAsia" w:asciiTheme="minorEastAsia" w:hAnsiTheme="minorEastAsia" w:eastAsiaTheme="minorEastAsia" w:cstheme="minorEastAsia"/>
          <w:snapToGrid w:val="0"/>
          <w:color w:val="auto"/>
          <w:kern w:val="0"/>
          <w:szCs w:val="21"/>
          <w:highlight w:val="none"/>
        </w:rPr>
        <w:t>注：招标代理服务收费按差额定率累进法计算。例如：某服务招标代理业务中标金额为6000万元，计算招标代理服务收费额如下：</w:t>
      </w:r>
    </w:p>
    <w:p>
      <w:pPr>
        <w:tabs>
          <w:tab w:val="left" w:pos="540"/>
        </w:tabs>
        <w:spacing w:line="360" w:lineRule="auto"/>
        <w:rPr>
          <w:rFonts w:asciiTheme="minorEastAsia" w:hAnsiTheme="minorEastAsia" w:eastAsiaTheme="minorEastAsia" w:cstheme="minorEastAsia"/>
          <w:snapToGrid w:val="0"/>
          <w:color w:val="auto"/>
          <w:kern w:val="0"/>
          <w:szCs w:val="21"/>
          <w:highlight w:val="none"/>
        </w:rPr>
      </w:pPr>
      <w:r>
        <w:rPr>
          <w:rFonts w:hint="eastAsia" w:asciiTheme="minorEastAsia" w:hAnsiTheme="minorEastAsia" w:eastAsiaTheme="minorEastAsia" w:cstheme="minorEastAsia"/>
          <w:snapToGrid w:val="0"/>
          <w:color w:val="auto"/>
          <w:kern w:val="0"/>
          <w:szCs w:val="21"/>
          <w:highlight w:val="none"/>
        </w:rPr>
        <w:t xml:space="preserve"> 0---100：100×1.500％=15000.000元</w:t>
      </w:r>
    </w:p>
    <w:p>
      <w:pPr>
        <w:tabs>
          <w:tab w:val="left" w:pos="540"/>
        </w:tabs>
        <w:spacing w:line="360" w:lineRule="auto"/>
        <w:rPr>
          <w:rFonts w:asciiTheme="minorEastAsia" w:hAnsiTheme="minorEastAsia" w:eastAsiaTheme="minorEastAsia" w:cstheme="minorEastAsia"/>
          <w:snapToGrid w:val="0"/>
          <w:color w:val="auto"/>
          <w:kern w:val="0"/>
          <w:szCs w:val="21"/>
          <w:highlight w:val="none"/>
        </w:rPr>
      </w:pPr>
      <w:r>
        <w:rPr>
          <w:rFonts w:hint="eastAsia" w:asciiTheme="minorEastAsia" w:hAnsiTheme="minorEastAsia" w:eastAsiaTheme="minorEastAsia" w:cstheme="minorEastAsia"/>
          <w:snapToGrid w:val="0"/>
          <w:color w:val="auto"/>
          <w:kern w:val="0"/>
          <w:szCs w:val="21"/>
          <w:highlight w:val="none"/>
        </w:rPr>
        <w:t>100---500：400×0.800％=32000.000元</w:t>
      </w:r>
    </w:p>
    <w:p>
      <w:pPr>
        <w:tabs>
          <w:tab w:val="left" w:pos="540"/>
        </w:tabs>
        <w:spacing w:line="360" w:lineRule="auto"/>
        <w:rPr>
          <w:rFonts w:asciiTheme="minorEastAsia" w:hAnsiTheme="minorEastAsia" w:eastAsiaTheme="minorEastAsia" w:cstheme="minorEastAsia"/>
          <w:snapToGrid w:val="0"/>
          <w:color w:val="auto"/>
          <w:kern w:val="0"/>
          <w:szCs w:val="21"/>
          <w:highlight w:val="none"/>
        </w:rPr>
      </w:pPr>
      <w:r>
        <w:rPr>
          <w:rFonts w:hint="eastAsia" w:asciiTheme="minorEastAsia" w:hAnsiTheme="minorEastAsia" w:eastAsiaTheme="minorEastAsia" w:cstheme="minorEastAsia"/>
          <w:snapToGrid w:val="0"/>
          <w:color w:val="auto"/>
          <w:kern w:val="0"/>
          <w:szCs w:val="21"/>
          <w:highlight w:val="none"/>
        </w:rPr>
        <w:t>500---1000：500×0.450％=22500.000元</w:t>
      </w:r>
    </w:p>
    <w:p>
      <w:pPr>
        <w:tabs>
          <w:tab w:val="left" w:pos="540"/>
        </w:tabs>
        <w:spacing w:line="360" w:lineRule="auto"/>
        <w:rPr>
          <w:rFonts w:asciiTheme="minorEastAsia" w:hAnsiTheme="minorEastAsia" w:eastAsiaTheme="minorEastAsia" w:cstheme="minorEastAsia"/>
          <w:snapToGrid w:val="0"/>
          <w:color w:val="auto"/>
          <w:kern w:val="0"/>
          <w:szCs w:val="21"/>
          <w:highlight w:val="none"/>
        </w:rPr>
      </w:pPr>
      <w:r>
        <w:rPr>
          <w:rFonts w:hint="eastAsia" w:asciiTheme="minorEastAsia" w:hAnsiTheme="minorEastAsia" w:eastAsiaTheme="minorEastAsia" w:cstheme="minorEastAsia"/>
          <w:snapToGrid w:val="0"/>
          <w:color w:val="auto"/>
          <w:kern w:val="0"/>
          <w:szCs w:val="21"/>
          <w:highlight w:val="none"/>
        </w:rPr>
        <w:t>1000---5000：4000×0.250％=100000.000元</w:t>
      </w:r>
    </w:p>
    <w:p>
      <w:pPr>
        <w:tabs>
          <w:tab w:val="left" w:pos="540"/>
        </w:tabs>
        <w:spacing w:line="360" w:lineRule="auto"/>
        <w:rPr>
          <w:rFonts w:asciiTheme="minorEastAsia" w:hAnsiTheme="minorEastAsia" w:eastAsiaTheme="minorEastAsia" w:cstheme="minorEastAsia"/>
          <w:snapToGrid w:val="0"/>
          <w:color w:val="auto"/>
          <w:kern w:val="0"/>
          <w:szCs w:val="21"/>
          <w:highlight w:val="none"/>
        </w:rPr>
      </w:pPr>
      <w:r>
        <w:rPr>
          <w:rFonts w:hint="eastAsia" w:asciiTheme="minorEastAsia" w:hAnsiTheme="minorEastAsia" w:eastAsiaTheme="minorEastAsia" w:cstheme="minorEastAsia"/>
          <w:snapToGrid w:val="0"/>
          <w:color w:val="auto"/>
          <w:kern w:val="0"/>
          <w:szCs w:val="21"/>
          <w:highlight w:val="none"/>
        </w:rPr>
        <w:t>5000---6000：1000×0.100％=10000.000元</w:t>
      </w:r>
    </w:p>
    <w:p>
      <w:pPr>
        <w:tabs>
          <w:tab w:val="left" w:pos="540"/>
        </w:tabs>
        <w:spacing w:line="360" w:lineRule="auto"/>
        <w:rPr>
          <w:rFonts w:asciiTheme="minorEastAsia" w:hAnsiTheme="minorEastAsia" w:eastAsiaTheme="minorEastAsia" w:cstheme="minorEastAsia"/>
          <w:snapToGrid w:val="0"/>
          <w:color w:val="auto"/>
          <w:kern w:val="0"/>
          <w:szCs w:val="21"/>
          <w:highlight w:val="none"/>
        </w:rPr>
      </w:pPr>
      <w:r>
        <w:rPr>
          <w:rFonts w:hint="eastAsia" w:asciiTheme="minorEastAsia" w:hAnsiTheme="minorEastAsia" w:eastAsiaTheme="minorEastAsia" w:cstheme="minorEastAsia"/>
          <w:snapToGrid w:val="0"/>
          <w:color w:val="auto"/>
          <w:kern w:val="0"/>
          <w:szCs w:val="21"/>
          <w:highlight w:val="none"/>
        </w:rPr>
        <w:t>合计收费=179500.000元</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color w:val="auto"/>
          <w:szCs w:val="21"/>
          <w:highlight w:val="none"/>
        </w:rPr>
      </w:pPr>
      <w:bookmarkStart w:id="38" w:name="_Toc13439"/>
      <w:r>
        <w:rPr>
          <w:rFonts w:hint="eastAsia" w:asciiTheme="minorEastAsia" w:hAnsiTheme="minorEastAsia" w:eastAsiaTheme="minorEastAsia" w:cstheme="minorEastAsia"/>
          <w:b/>
          <w:color w:val="auto"/>
          <w:szCs w:val="21"/>
          <w:highlight w:val="none"/>
        </w:rPr>
        <w:t>竞争性磋商采购文件</w:t>
      </w:r>
      <w:bookmarkEnd w:id="38"/>
    </w:p>
    <w:p>
      <w:pPr>
        <w:numPr>
          <w:ilvl w:val="0"/>
          <w:numId w:val="9"/>
        </w:numPr>
        <w:spacing w:line="360" w:lineRule="auto"/>
        <w:ind w:hanging="540"/>
        <w:outlineLvl w:val="1"/>
        <w:rPr>
          <w:rFonts w:asciiTheme="minorEastAsia" w:hAnsiTheme="minorEastAsia" w:eastAsiaTheme="minorEastAsia" w:cstheme="minorEastAsia"/>
          <w:b/>
          <w:color w:val="auto"/>
          <w:szCs w:val="21"/>
          <w:highlight w:val="none"/>
        </w:rPr>
      </w:pPr>
      <w:bookmarkStart w:id="39" w:name="_Toc4547"/>
      <w:bookmarkStart w:id="40" w:name="_Toc4412"/>
      <w:r>
        <w:rPr>
          <w:rFonts w:hint="eastAsia" w:asciiTheme="minorEastAsia" w:hAnsiTheme="minorEastAsia" w:eastAsiaTheme="minorEastAsia" w:cstheme="minorEastAsia"/>
          <w:b/>
          <w:color w:val="auto"/>
          <w:szCs w:val="21"/>
          <w:highlight w:val="none"/>
        </w:rPr>
        <w:t>竞争性磋商采购文件的构成</w:t>
      </w:r>
      <w:bookmarkEnd w:id="39"/>
      <w:bookmarkEnd w:id="40"/>
    </w:p>
    <w:p>
      <w:pPr>
        <w:numPr>
          <w:ilvl w:val="1"/>
          <w:numId w:val="14"/>
        </w:numPr>
        <w:tabs>
          <w:tab w:val="left" w:pos="540"/>
          <w:tab w:val="clear" w:pos="360"/>
        </w:tabs>
        <w:spacing w:line="360" w:lineRule="auto"/>
        <w:ind w:left="540" w:hanging="54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snapToGrid w:val="0"/>
          <w:color w:val="auto"/>
          <w:kern w:val="0"/>
          <w:szCs w:val="21"/>
          <w:highlight w:val="none"/>
          <w:lang w:val="zh-CN"/>
        </w:rPr>
        <w:t>本竞争性磋商采购文件包括：</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磋商公告</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供应商须知</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采购需求</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竞争性磋商采购评定办法</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合同书格式</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竞争性磋商响应文件格式</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snapToGrid w:val="0"/>
          <w:color w:val="auto"/>
          <w:kern w:val="0"/>
          <w:szCs w:val="21"/>
          <w:highlight w:val="none"/>
          <w:lang w:val="zh-CN"/>
        </w:rPr>
        <w:t>采购过程中由采购代理机构发出的澄清和修正文件</w:t>
      </w:r>
    </w:p>
    <w:p>
      <w:pPr>
        <w:numPr>
          <w:ilvl w:val="3"/>
          <w:numId w:val="9"/>
        </w:numPr>
        <w:tabs>
          <w:tab w:val="left" w:pos="540"/>
          <w:tab w:val="clear" w:pos="2040"/>
        </w:tabs>
        <w:spacing w:line="360" w:lineRule="auto"/>
        <w:ind w:left="540" w:hanging="54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磋商小组在磋商过程中发出的对本磋商文件的实质性变动</w:t>
      </w:r>
    </w:p>
    <w:p>
      <w:pPr>
        <w:numPr>
          <w:ilvl w:val="0"/>
          <w:numId w:val="9"/>
        </w:numPr>
        <w:spacing w:line="360" w:lineRule="auto"/>
        <w:ind w:hanging="540"/>
        <w:outlineLvl w:val="1"/>
        <w:rPr>
          <w:rFonts w:asciiTheme="minorEastAsia" w:hAnsiTheme="minorEastAsia" w:eastAsiaTheme="minorEastAsia" w:cstheme="minorEastAsia"/>
          <w:b/>
          <w:snapToGrid w:val="0"/>
          <w:color w:val="auto"/>
          <w:kern w:val="0"/>
          <w:szCs w:val="21"/>
          <w:highlight w:val="none"/>
          <w:lang w:val="zh-CN"/>
        </w:rPr>
      </w:pPr>
      <w:bookmarkStart w:id="41" w:name="_Toc29700"/>
      <w:bookmarkStart w:id="42" w:name="_Toc19446"/>
      <w:r>
        <w:rPr>
          <w:rFonts w:hint="eastAsia" w:asciiTheme="minorEastAsia" w:hAnsiTheme="minorEastAsia" w:eastAsiaTheme="minorEastAsia" w:cstheme="minorEastAsia"/>
          <w:b/>
          <w:snapToGrid w:val="0"/>
          <w:color w:val="auto"/>
          <w:kern w:val="0"/>
          <w:szCs w:val="21"/>
          <w:highlight w:val="none"/>
          <w:lang w:val="zh-CN"/>
        </w:rPr>
        <w:t>竞争性磋商采购文件的澄清</w:t>
      </w:r>
      <w:bookmarkEnd w:id="41"/>
      <w:bookmarkEnd w:id="42"/>
    </w:p>
    <w:p>
      <w:pPr>
        <w:numPr>
          <w:ilvl w:val="1"/>
          <w:numId w:val="15"/>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供应商获取竞争性磋商采购文件后，应认真检查，如发现页数不全、附件缺失、印刷模糊等，应通知采购代理机构补全或更换，否则风险自负。</w:t>
      </w:r>
    </w:p>
    <w:p>
      <w:pPr>
        <w:numPr>
          <w:ilvl w:val="1"/>
          <w:numId w:val="15"/>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5"/>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供应商在规定的时间内未对竞争性磋商采购文件澄清或提出疑问的，采购代理机构将视其为同意。</w:t>
      </w:r>
    </w:p>
    <w:p>
      <w:pPr>
        <w:numPr>
          <w:ilvl w:val="1"/>
          <w:numId w:val="15"/>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澄清的内容是本竞争性磋商采购文件的组成部分，当竞争性磋商采购文件</w:t>
      </w:r>
      <w:r>
        <w:rPr>
          <w:rFonts w:hint="eastAsia" w:asciiTheme="minorEastAsia" w:hAnsiTheme="minorEastAsia" w:eastAsiaTheme="minorEastAsia" w:cstheme="minorEastAsia"/>
          <w:color w:val="auto"/>
          <w:szCs w:val="21"/>
          <w:highlight w:val="none"/>
        </w:rPr>
        <w:t>、澄清文件对同一内容的表述不一致时，以最后发出的书面文件为准。</w:t>
      </w:r>
    </w:p>
    <w:p>
      <w:pPr>
        <w:numPr>
          <w:ilvl w:val="0"/>
          <w:numId w:val="9"/>
        </w:numPr>
        <w:spacing w:line="360" w:lineRule="auto"/>
        <w:ind w:hanging="540"/>
        <w:outlineLvl w:val="1"/>
        <w:rPr>
          <w:rFonts w:asciiTheme="minorEastAsia" w:hAnsiTheme="minorEastAsia" w:eastAsiaTheme="minorEastAsia" w:cstheme="minorEastAsia"/>
          <w:b/>
          <w:snapToGrid w:val="0"/>
          <w:color w:val="auto"/>
          <w:kern w:val="0"/>
          <w:szCs w:val="21"/>
          <w:highlight w:val="none"/>
          <w:lang w:val="zh-CN"/>
        </w:rPr>
      </w:pPr>
      <w:bookmarkStart w:id="43" w:name="_Toc8166"/>
      <w:bookmarkStart w:id="44" w:name="_Toc31761"/>
      <w:r>
        <w:rPr>
          <w:rFonts w:hint="eastAsia" w:asciiTheme="minorEastAsia" w:hAnsiTheme="minorEastAsia" w:eastAsiaTheme="minorEastAsia" w:cstheme="minorEastAsia"/>
          <w:b/>
          <w:snapToGrid w:val="0"/>
          <w:color w:val="auto"/>
          <w:kern w:val="0"/>
          <w:szCs w:val="21"/>
          <w:highlight w:val="none"/>
          <w:lang w:val="zh-CN"/>
        </w:rPr>
        <w:t>竞争性磋商采购文件的修改</w:t>
      </w:r>
      <w:bookmarkEnd w:id="43"/>
      <w:bookmarkEnd w:id="44"/>
    </w:p>
    <w:p>
      <w:pPr>
        <w:numPr>
          <w:ilvl w:val="1"/>
          <w:numId w:val="16"/>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6"/>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当磋商文件、修改文件对同一内容的表述不一致时，以最后发出的书面文件为准。</w:t>
      </w:r>
    </w:p>
    <w:p>
      <w:pPr>
        <w:numPr>
          <w:ilvl w:val="1"/>
          <w:numId w:val="16"/>
        </w:numPr>
        <w:tabs>
          <w:tab w:val="left" w:pos="525"/>
          <w:tab w:val="clear" w:pos="360"/>
        </w:tabs>
        <w:autoSpaceDE w:val="0"/>
        <w:autoSpaceDN w:val="0"/>
        <w:adjustRightInd w:val="0"/>
        <w:spacing w:line="360" w:lineRule="auto"/>
        <w:ind w:left="540" w:hanging="54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snapToGrid w:val="0"/>
          <w:color w:val="auto"/>
          <w:kern w:val="0"/>
          <w:szCs w:val="21"/>
          <w:highlight w:val="none"/>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color w:val="auto"/>
          <w:kern w:val="0"/>
          <w:szCs w:val="21"/>
          <w:highlight w:val="none"/>
        </w:rPr>
        <w:t>5</w:t>
      </w:r>
      <w:r>
        <w:rPr>
          <w:rFonts w:hint="eastAsia" w:asciiTheme="minorEastAsia" w:hAnsiTheme="minorEastAsia" w:eastAsiaTheme="minorEastAsia" w:cstheme="minorEastAsia"/>
          <w:snapToGrid w:val="0"/>
          <w:color w:val="auto"/>
          <w:kern w:val="0"/>
          <w:szCs w:val="21"/>
          <w:highlight w:val="none"/>
          <w:lang w:val="zh-CN"/>
        </w:rPr>
        <w:t>个工作日前发出，不足</w:t>
      </w:r>
      <w:r>
        <w:rPr>
          <w:rFonts w:hint="eastAsia" w:asciiTheme="minorEastAsia" w:hAnsiTheme="minorEastAsia" w:eastAsiaTheme="minorEastAsia" w:cstheme="minorEastAsia"/>
          <w:snapToGrid w:val="0"/>
          <w:color w:val="auto"/>
          <w:kern w:val="0"/>
          <w:szCs w:val="21"/>
          <w:highlight w:val="none"/>
        </w:rPr>
        <w:t>5</w:t>
      </w:r>
      <w:r>
        <w:rPr>
          <w:rFonts w:hint="eastAsia" w:asciiTheme="minorEastAsia" w:hAnsiTheme="minorEastAsia" w:eastAsiaTheme="minorEastAsia" w:cstheme="minorEastAsia"/>
          <w:snapToGrid w:val="0"/>
          <w:color w:val="auto"/>
          <w:kern w:val="0"/>
          <w:szCs w:val="21"/>
          <w:highlight w:val="none"/>
          <w:lang w:val="zh-CN"/>
        </w:rPr>
        <w:t>个工作日的，采购人、采购代理机构将顺延提交首次响应文件截止之日。</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color w:val="auto"/>
          <w:szCs w:val="21"/>
          <w:highlight w:val="none"/>
        </w:rPr>
      </w:pPr>
      <w:bookmarkStart w:id="45" w:name="_Toc29421"/>
      <w:r>
        <w:rPr>
          <w:rFonts w:hint="eastAsia" w:asciiTheme="minorEastAsia" w:hAnsiTheme="minorEastAsia" w:eastAsiaTheme="minorEastAsia" w:cstheme="minorEastAsia"/>
          <w:b/>
          <w:color w:val="auto"/>
          <w:szCs w:val="21"/>
          <w:highlight w:val="none"/>
        </w:rPr>
        <w:t>竞争性磋商响应文件</w:t>
      </w:r>
      <w:bookmarkEnd w:id="45"/>
    </w:p>
    <w:p>
      <w:pPr>
        <w:numPr>
          <w:ilvl w:val="0"/>
          <w:numId w:val="9"/>
        </w:numPr>
        <w:spacing w:line="360" w:lineRule="auto"/>
        <w:ind w:hanging="540"/>
        <w:outlineLvl w:val="1"/>
        <w:rPr>
          <w:rFonts w:asciiTheme="minorEastAsia" w:hAnsiTheme="minorEastAsia" w:eastAsiaTheme="minorEastAsia" w:cstheme="minorEastAsia"/>
          <w:snapToGrid w:val="0"/>
          <w:color w:val="auto"/>
          <w:kern w:val="0"/>
          <w:szCs w:val="21"/>
          <w:highlight w:val="none"/>
          <w:lang w:val="zh-CN"/>
        </w:rPr>
      </w:pPr>
      <w:bookmarkStart w:id="46" w:name="_Toc15295"/>
      <w:bookmarkStart w:id="47" w:name="_Toc30987"/>
      <w:r>
        <w:rPr>
          <w:rFonts w:hint="eastAsia" w:asciiTheme="minorEastAsia" w:hAnsiTheme="minorEastAsia" w:eastAsiaTheme="minorEastAsia" w:cstheme="minorEastAsia"/>
          <w:b/>
          <w:snapToGrid w:val="0"/>
          <w:color w:val="auto"/>
          <w:kern w:val="0"/>
          <w:szCs w:val="21"/>
          <w:highlight w:val="none"/>
          <w:lang w:val="zh-CN"/>
        </w:rPr>
        <w:t>语言和计量单位</w:t>
      </w:r>
      <w:bookmarkEnd w:id="46"/>
      <w:bookmarkEnd w:id="47"/>
    </w:p>
    <w:p>
      <w:pPr>
        <w:numPr>
          <w:ilvl w:val="1"/>
          <w:numId w:val="17"/>
        </w:numPr>
        <w:tabs>
          <w:tab w:val="left" w:pos="540"/>
          <w:tab w:val="clear" w:pos="360"/>
        </w:tabs>
        <w:spacing w:line="360" w:lineRule="auto"/>
        <w:ind w:left="540" w:hanging="540"/>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7"/>
        </w:numPr>
        <w:tabs>
          <w:tab w:val="left" w:pos="540"/>
          <w:tab w:val="clear" w:pos="360"/>
        </w:tabs>
        <w:spacing w:line="360" w:lineRule="auto"/>
        <w:ind w:left="540" w:hanging="540"/>
        <w:rPr>
          <w:rFonts w:asciiTheme="minorEastAsia" w:hAnsiTheme="minorEastAsia" w:eastAsiaTheme="minorEastAsia" w:cstheme="minorEastAsia"/>
          <w:b/>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除非竞争性磋商采购文件中另有规定，计量单位均采用中华人民共和国法定的计量单位。</w:t>
      </w:r>
    </w:p>
    <w:p>
      <w:pPr>
        <w:numPr>
          <w:ilvl w:val="0"/>
          <w:numId w:val="9"/>
        </w:numPr>
        <w:spacing w:line="360" w:lineRule="auto"/>
        <w:ind w:hanging="540"/>
        <w:outlineLvl w:val="1"/>
        <w:rPr>
          <w:rFonts w:asciiTheme="minorEastAsia" w:hAnsiTheme="minorEastAsia" w:eastAsiaTheme="minorEastAsia" w:cstheme="minorEastAsia"/>
          <w:b/>
          <w:snapToGrid w:val="0"/>
          <w:color w:val="auto"/>
          <w:kern w:val="0"/>
          <w:szCs w:val="21"/>
          <w:highlight w:val="none"/>
          <w:lang w:val="zh-CN"/>
        </w:rPr>
      </w:pPr>
      <w:bookmarkStart w:id="48" w:name="_Toc20553"/>
      <w:bookmarkStart w:id="49" w:name="_Toc32272"/>
      <w:r>
        <w:rPr>
          <w:rFonts w:hint="eastAsia" w:asciiTheme="minorEastAsia" w:hAnsiTheme="minorEastAsia" w:eastAsiaTheme="minorEastAsia" w:cstheme="minorEastAsia"/>
          <w:b/>
          <w:snapToGrid w:val="0"/>
          <w:color w:val="auto"/>
          <w:kern w:val="0"/>
          <w:szCs w:val="21"/>
          <w:highlight w:val="none"/>
          <w:lang w:val="zh-CN"/>
        </w:rPr>
        <w:t>竞争性磋商响应文件的构成</w:t>
      </w:r>
      <w:bookmarkEnd w:id="48"/>
      <w:bookmarkEnd w:id="49"/>
    </w:p>
    <w:p>
      <w:pPr>
        <w:numPr>
          <w:ilvl w:val="1"/>
          <w:numId w:val="18"/>
        </w:numPr>
        <w:tabs>
          <w:tab w:val="left" w:pos="525"/>
          <w:tab w:val="clear" w:pos="360"/>
        </w:tabs>
        <w:autoSpaceDE w:val="0"/>
        <w:autoSpaceDN w:val="0"/>
        <w:adjustRightInd w:val="0"/>
        <w:spacing w:line="360" w:lineRule="auto"/>
        <w:ind w:left="0" w:firstLine="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供应商编制的竞争性磋商响应</w:t>
      </w:r>
      <w:r>
        <w:rPr>
          <w:rFonts w:hint="eastAsia" w:asciiTheme="minorEastAsia" w:hAnsiTheme="minorEastAsia" w:eastAsiaTheme="minorEastAsia" w:cstheme="minorEastAsia"/>
          <w:snapToGrid w:val="0"/>
          <w:color w:val="auto"/>
          <w:kern w:val="0"/>
          <w:szCs w:val="21"/>
          <w:highlight w:val="none"/>
        </w:rPr>
        <w:t>文</w:t>
      </w:r>
      <w:r>
        <w:rPr>
          <w:rFonts w:hint="eastAsia" w:asciiTheme="minorEastAsia" w:hAnsiTheme="minorEastAsia" w:eastAsiaTheme="minorEastAsia" w:cstheme="minorEastAsia"/>
          <w:snapToGrid w:val="0"/>
          <w:color w:val="auto"/>
          <w:kern w:val="0"/>
          <w:szCs w:val="21"/>
          <w:highlight w:val="none"/>
          <w:lang w:val="zh-CN"/>
        </w:rPr>
        <w:t>件应包括的内容详见本文件第六章要求。</w:t>
      </w:r>
    </w:p>
    <w:p>
      <w:pPr>
        <w:autoSpaceDE w:val="0"/>
        <w:autoSpaceDN w:val="0"/>
        <w:adjustRightInd w:val="0"/>
        <w:spacing w:line="360" w:lineRule="auto"/>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bCs/>
          <w:color w:val="auto"/>
          <w:szCs w:val="21"/>
          <w:highlight w:val="none"/>
        </w:rPr>
        <w:t>注：响应文件目录及内容每页须顺序编写页码。</w:t>
      </w:r>
    </w:p>
    <w:p>
      <w:pPr>
        <w:numPr>
          <w:ilvl w:val="0"/>
          <w:numId w:val="9"/>
        </w:numPr>
        <w:spacing w:line="360" w:lineRule="auto"/>
        <w:ind w:hanging="540"/>
        <w:outlineLvl w:val="1"/>
        <w:rPr>
          <w:rFonts w:asciiTheme="minorEastAsia" w:hAnsiTheme="minorEastAsia" w:eastAsiaTheme="minorEastAsia" w:cstheme="minorEastAsia"/>
          <w:b/>
          <w:snapToGrid w:val="0"/>
          <w:color w:val="auto"/>
          <w:kern w:val="0"/>
          <w:szCs w:val="21"/>
          <w:highlight w:val="none"/>
          <w:lang w:val="zh-CN"/>
        </w:rPr>
      </w:pPr>
      <w:bookmarkStart w:id="50" w:name="_Toc25217"/>
      <w:bookmarkStart w:id="51" w:name="_Toc26524"/>
      <w:r>
        <w:rPr>
          <w:rFonts w:hint="eastAsia" w:asciiTheme="minorEastAsia" w:hAnsiTheme="minorEastAsia" w:eastAsiaTheme="minorEastAsia" w:cstheme="minorEastAsia"/>
          <w:b/>
          <w:snapToGrid w:val="0"/>
          <w:color w:val="auto"/>
          <w:kern w:val="0"/>
          <w:szCs w:val="21"/>
          <w:highlight w:val="none"/>
          <w:lang w:val="zh-CN"/>
        </w:rPr>
        <w:t>竞争性磋商响应文件的编制</w:t>
      </w:r>
      <w:bookmarkEnd w:id="50"/>
      <w:bookmarkEnd w:id="51"/>
    </w:p>
    <w:p>
      <w:pPr>
        <w:numPr>
          <w:ilvl w:val="1"/>
          <w:numId w:val="19"/>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19"/>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19"/>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19"/>
        </w:numPr>
        <w:tabs>
          <w:tab w:val="left" w:pos="540"/>
          <w:tab w:val="clear" w:pos="36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供应商在编制响应文件时应注意本次采购对多包采购的规定，多包采购的规定见《供应商须知前附表》。</w:t>
      </w:r>
    </w:p>
    <w:p>
      <w:pPr>
        <w:numPr>
          <w:ilvl w:val="0"/>
          <w:numId w:val="9"/>
        </w:numPr>
        <w:spacing w:line="360" w:lineRule="auto"/>
        <w:ind w:hanging="540"/>
        <w:outlineLvl w:val="1"/>
        <w:rPr>
          <w:rFonts w:asciiTheme="minorEastAsia" w:hAnsiTheme="minorEastAsia" w:eastAsiaTheme="minorEastAsia" w:cstheme="minorEastAsia"/>
          <w:b/>
          <w:snapToGrid w:val="0"/>
          <w:color w:val="auto"/>
          <w:kern w:val="0"/>
          <w:szCs w:val="21"/>
          <w:highlight w:val="none"/>
          <w:lang w:val="zh-CN"/>
        </w:rPr>
      </w:pPr>
      <w:bookmarkStart w:id="52" w:name="_Toc32001"/>
      <w:bookmarkStart w:id="53" w:name="_Toc24544"/>
      <w:r>
        <w:rPr>
          <w:rFonts w:hint="eastAsia" w:asciiTheme="minorEastAsia" w:hAnsiTheme="minorEastAsia" w:eastAsiaTheme="minorEastAsia" w:cstheme="minorEastAsia"/>
          <w:b/>
          <w:snapToGrid w:val="0"/>
          <w:color w:val="auto"/>
          <w:kern w:val="0"/>
          <w:szCs w:val="21"/>
          <w:highlight w:val="none"/>
          <w:lang w:val="zh-CN"/>
        </w:rPr>
        <w:t>磋商报价</w:t>
      </w:r>
      <w:bookmarkEnd w:id="52"/>
      <w:bookmarkEnd w:id="53"/>
    </w:p>
    <w:p>
      <w:pPr>
        <w:numPr>
          <w:ilvl w:val="1"/>
          <w:numId w:val="20"/>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磋商报价包括磋商供应商在首次提交的响应文件中的报价、磋商过程中的报价和最后报价。磋商供应商的报价均应以人民币报价。</w:t>
      </w:r>
    </w:p>
    <w:p>
      <w:pPr>
        <w:numPr>
          <w:ilvl w:val="1"/>
          <w:numId w:val="20"/>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0"/>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color w:val="auto"/>
          <w:szCs w:val="21"/>
          <w:highlight w:val="none"/>
        </w:rPr>
        <w:t>供应商应根据本磋商文件的规定和要求、市场价格水平及其走势、</w:t>
      </w:r>
      <w:r>
        <w:rPr>
          <w:rFonts w:hint="eastAsia" w:asciiTheme="minorEastAsia" w:hAnsiTheme="minorEastAsia" w:eastAsiaTheme="minorEastAsia" w:cstheme="minorEastAsia"/>
          <w:snapToGrid w:val="0"/>
          <w:color w:val="auto"/>
          <w:kern w:val="0"/>
          <w:szCs w:val="21"/>
          <w:highlight w:val="none"/>
          <w:lang w:val="zh-CN"/>
        </w:rPr>
        <w:t>磋商</w:t>
      </w:r>
      <w:r>
        <w:rPr>
          <w:rFonts w:hint="eastAsia" w:asciiTheme="minorEastAsia" w:hAnsiTheme="minorEastAsia" w:eastAsiaTheme="minorEastAsia" w:cstheme="minorEastAsia"/>
          <w:color w:val="auto"/>
          <w:szCs w:val="21"/>
          <w:highlight w:val="none"/>
        </w:rPr>
        <w:t>供应商的管理水平、</w:t>
      </w:r>
      <w:r>
        <w:rPr>
          <w:rFonts w:hint="eastAsia" w:asciiTheme="minorEastAsia" w:hAnsiTheme="minorEastAsia" w:eastAsiaTheme="minorEastAsia" w:cstheme="minorEastAsia"/>
          <w:snapToGrid w:val="0"/>
          <w:color w:val="auto"/>
          <w:kern w:val="0"/>
          <w:szCs w:val="21"/>
          <w:highlight w:val="none"/>
          <w:lang w:val="zh-CN"/>
        </w:rPr>
        <w:t>磋商</w:t>
      </w:r>
      <w:r>
        <w:rPr>
          <w:rFonts w:hint="eastAsia" w:asciiTheme="minorEastAsia" w:hAnsiTheme="minorEastAsia" w:eastAsiaTheme="minorEastAsia" w:cstheme="minorEastAsia"/>
          <w:color w:val="auto"/>
          <w:szCs w:val="21"/>
          <w:highlight w:val="none"/>
        </w:rPr>
        <w:t>供应商的</w:t>
      </w:r>
      <w:r>
        <w:rPr>
          <w:rFonts w:hint="eastAsia" w:asciiTheme="minorEastAsia" w:hAnsiTheme="minorEastAsia" w:eastAsiaTheme="minorEastAsia" w:cstheme="minorEastAsia"/>
          <w:snapToGrid w:val="0"/>
          <w:color w:val="auto"/>
          <w:kern w:val="0"/>
          <w:szCs w:val="21"/>
          <w:highlight w:val="none"/>
          <w:lang w:val="zh-CN"/>
        </w:rPr>
        <w:t>方案</w:t>
      </w:r>
      <w:r>
        <w:rPr>
          <w:rFonts w:hint="eastAsia" w:asciiTheme="minorEastAsia" w:hAnsiTheme="minorEastAsia" w:eastAsiaTheme="minorEastAsia" w:cstheme="minorEastAsia"/>
          <w:color w:val="auto"/>
          <w:szCs w:val="21"/>
          <w:highlight w:val="none"/>
        </w:rPr>
        <w:t>和由这些因素决定的磋商供应商之于本项目的成本水平等提出自己的报价。</w:t>
      </w:r>
      <w:r>
        <w:rPr>
          <w:rFonts w:hint="eastAsia" w:asciiTheme="minorEastAsia" w:hAnsiTheme="minorEastAsia" w:eastAsiaTheme="minorEastAsia" w:cstheme="minorEastAsia"/>
          <w:snapToGrid w:val="0"/>
          <w:color w:val="auto"/>
          <w:kern w:val="0"/>
          <w:szCs w:val="21"/>
          <w:highlight w:val="none"/>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color w:val="auto"/>
          <w:szCs w:val="21"/>
          <w:highlight w:val="none"/>
        </w:rPr>
        <w:t>但磋商供应商不得以低于其成本的价格进行报价。</w:t>
      </w:r>
    </w:p>
    <w:p>
      <w:pPr>
        <w:numPr>
          <w:ilvl w:val="1"/>
          <w:numId w:val="20"/>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color w:val="auto"/>
          <w:szCs w:val="21"/>
          <w:highlight w:val="none"/>
        </w:rPr>
        <w:t>供应商在响应文件中</w:t>
      </w:r>
      <w:r>
        <w:rPr>
          <w:rFonts w:hint="eastAsia" w:asciiTheme="minorEastAsia" w:hAnsiTheme="minorEastAsia" w:eastAsiaTheme="minorEastAsia" w:cstheme="minorEastAsia"/>
          <w:snapToGrid w:val="0"/>
          <w:color w:val="auto"/>
          <w:kern w:val="0"/>
          <w:szCs w:val="21"/>
          <w:highlight w:val="none"/>
          <w:lang w:val="zh-CN"/>
        </w:rPr>
        <w:t>注明免费的项目将视为包含在报价中。</w:t>
      </w:r>
    </w:p>
    <w:p>
      <w:pPr>
        <w:numPr>
          <w:ilvl w:val="1"/>
          <w:numId w:val="20"/>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每一种采购内容只允许有一个报价，否则其响应文件将被视为无效文件。</w:t>
      </w:r>
    </w:p>
    <w:p>
      <w:pPr>
        <w:numPr>
          <w:ilvl w:val="1"/>
          <w:numId w:val="20"/>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成交供应商的报价在合同执行过程中是固定不变的，不得以任何理由予以变更。</w:t>
      </w:r>
    </w:p>
    <w:p>
      <w:pPr>
        <w:numPr>
          <w:ilvl w:val="0"/>
          <w:numId w:val="9"/>
        </w:numPr>
        <w:tabs>
          <w:tab w:val="left" w:pos="864"/>
        </w:tabs>
        <w:spacing w:line="360" w:lineRule="auto"/>
        <w:ind w:hanging="540"/>
        <w:outlineLvl w:val="1"/>
        <w:rPr>
          <w:rFonts w:asciiTheme="minorEastAsia" w:hAnsiTheme="minorEastAsia" w:eastAsiaTheme="minorEastAsia" w:cstheme="minorEastAsia"/>
          <w:b/>
          <w:snapToGrid w:val="0"/>
          <w:color w:val="auto"/>
          <w:kern w:val="0"/>
          <w:szCs w:val="21"/>
          <w:highlight w:val="none"/>
          <w:lang w:val="zh-CN"/>
        </w:rPr>
      </w:pPr>
      <w:bookmarkStart w:id="54" w:name="_Toc6176"/>
      <w:bookmarkStart w:id="55" w:name="_Toc23591"/>
      <w:r>
        <w:rPr>
          <w:rFonts w:hint="eastAsia" w:asciiTheme="minorEastAsia" w:hAnsiTheme="minorEastAsia" w:eastAsiaTheme="minorEastAsia" w:cstheme="minorEastAsia"/>
          <w:b/>
          <w:snapToGrid w:val="0"/>
          <w:color w:val="auto"/>
          <w:kern w:val="0"/>
          <w:szCs w:val="21"/>
          <w:highlight w:val="none"/>
          <w:lang w:val="zh-CN"/>
        </w:rPr>
        <w:t>备选方案</w:t>
      </w:r>
      <w:bookmarkEnd w:id="54"/>
      <w:bookmarkEnd w:id="55"/>
    </w:p>
    <w:p>
      <w:pPr>
        <w:numPr>
          <w:ilvl w:val="1"/>
          <w:numId w:val="21"/>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 xml:space="preserve">是否允许备选方案见《供应商须知前附表》。不允许有备选方案的，若在响应文件中提交了备选方案，其响应文件将被视为无效文件。 </w:t>
      </w:r>
    </w:p>
    <w:p>
      <w:pPr>
        <w:numPr>
          <w:ilvl w:val="0"/>
          <w:numId w:val="9"/>
        </w:numPr>
        <w:tabs>
          <w:tab w:val="left" w:pos="864"/>
        </w:tabs>
        <w:spacing w:line="360" w:lineRule="auto"/>
        <w:ind w:hanging="540"/>
        <w:outlineLvl w:val="1"/>
        <w:rPr>
          <w:rFonts w:asciiTheme="minorEastAsia" w:hAnsiTheme="minorEastAsia" w:eastAsiaTheme="minorEastAsia" w:cstheme="minorEastAsia"/>
          <w:b/>
          <w:snapToGrid w:val="0"/>
          <w:color w:val="auto"/>
          <w:kern w:val="0"/>
          <w:szCs w:val="21"/>
          <w:highlight w:val="none"/>
          <w:lang w:val="zh-CN"/>
        </w:rPr>
      </w:pPr>
      <w:bookmarkStart w:id="56" w:name="_Toc3168"/>
      <w:bookmarkStart w:id="57" w:name="_Toc3324"/>
      <w:r>
        <w:rPr>
          <w:rFonts w:hint="eastAsia" w:asciiTheme="minorEastAsia" w:hAnsiTheme="minorEastAsia" w:eastAsiaTheme="minorEastAsia" w:cstheme="minorEastAsia"/>
          <w:b/>
          <w:snapToGrid w:val="0"/>
          <w:color w:val="auto"/>
          <w:kern w:val="0"/>
          <w:szCs w:val="21"/>
          <w:highlight w:val="none"/>
          <w:lang w:val="zh-CN"/>
        </w:rPr>
        <w:t>联合体</w:t>
      </w:r>
      <w:bookmarkEnd w:id="56"/>
      <w:bookmarkEnd w:id="57"/>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 xml:space="preserve">本次采购是否允许联合体参加详见《供应商须知前附表》。 </w:t>
      </w:r>
    </w:p>
    <w:p>
      <w:pPr>
        <w:numPr>
          <w:ilvl w:val="1"/>
          <w:numId w:val="22"/>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本次采购允许联合体报价的，联合体各方不得再单独或者与其他供应商另外组成联合体参加本项目的报价。</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color w:val="auto"/>
          <w:kern w:val="0"/>
          <w:szCs w:val="21"/>
          <w:highlight w:val="none"/>
          <w:lang w:val="zh-CN"/>
        </w:rPr>
      </w:pPr>
      <w:bookmarkStart w:id="58" w:name="_Toc20391"/>
      <w:bookmarkStart w:id="59" w:name="_Toc2434"/>
      <w:r>
        <w:rPr>
          <w:rFonts w:hint="eastAsia" w:asciiTheme="minorEastAsia" w:hAnsiTheme="minorEastAsia" w:eastAsiaTheme="minorEastAsia" w:cstheme="minorEastAsia"/>
          <w:b/>
          <w:snapToGrid w:val="0"/>
          <w:color w:val="auto"/>
          <w:kern w:val="0"/>
          <w:szCs w:val="21"/>
          <w:highlight w:val="none"/>
          <w:lang w:val="zh-CN"/>
        </w:rPr>
        <w:t>供应商资格证明文件</w:t>
      </w:r>
      <w:bookmarkEnd w:id="58"/>
      <w:bookmarkEnd w:id="59"/>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供应商应在响应文件提交证明其有资格参加磋商的证明文件，证明文件应包括下列文件：</w:t>
      </w:r>
    </w:p>
    <w:p>
      <w:pPr>
        <w:numPr>
          <w:ilvl w:val="3"/>
          <w:numId w:val="24"/>
        </w:numPr>
        <w:tabs>
          <w:tab w:val="left" w:pos="540"/>
          <w:tab w:val="clear" w:pos="204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采购文件要求供应商应提交的其它资格证明文件，应提交的资格证明文件（</w:t>
      </w:r>
      <w:r>
        <w:rPr>
          <w:rFonts w:hint="eastAsia" w:asciiTheme="minorEastAsia" w:hAnsiTheme="minorEastAsia" w:eastAsiaTheme="minorEastAsia" w:cstheme="minorEastAsia"/>
          <w:snapToGrid w:val="0"/>
          <w:color w:val="auto"/>
          <w:kern w:val="0"/>
          <w:szCs w:val="21"/>
          <w:highlight w:val="none"/>
        </w:rPr>
        <w:t>实质性要求</w:t>
      </w:r>
      <w:r>
        <w:rPr>
          <w:rFonts w:hint="eastAsia" w:asciiTheme="minorEastAsia" w:hAnsiTheme="minorEastAsia" w:eastAsiaTheme="minorEastAsia" w:cstheme="minorEastAsia"/>
          <w:snapToGrid w:val="0"/>
          <w:color w:val="auto"/>
          <w:kern w:val="0"/>
          <w:szCs w:val="21"/>
          <w:highlight w:val="none"/>
          <w:lang w:val="zh-CN"/>
        </w:rPr>
        <w:t>）见《供应商须知前附表》。</w:t>
      </w:r>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除本须知14.1要求的资格证明文件外，如国家法律法规对市场准入有要求的还应提交相关资格证明文件。</w:t>
      </w:r>
    </w:p>
    <w:p>
      <w:pPr>
        <w:numPr>
          <w:ilvl w:val="1"/>
          <w:numId w:val="23"/>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color w:val="auto"/>
          <w:kern w:val="0"/>
          <w:szCs w:val="21"/>
          <w:highlight w:val="none"/>
        </w:rPr>
        <w:t>每页</w:t>
      </w:r>
      <w:r>
        <w:rPr>
          <w:rFonts w:hint="eastAsia" w:asciiTheme="minorEastAsia" w:hAnsiTheme="minorEastAsia" w:eastAsiaTheme="minorEastAsia" w:cstheme="minorEastAsia"/>
          <w:snapToGrid w:val="0"/>
          <w:color w:val="auto"/>
          <w:kern w:val="0"/>
          <w:szCs w:val="21"/>
          <w:highlight w:val="none"/>
          <w:lang w:val="zh-CN"/>
        </w:rPr>
        <w:t>加盖单位印章，</w:t>
      </w:r>
      <w:r>
        <w:rPr>
          <w:rFonts w:hint="eastAsia" w:asciiTheme="minorEastAsia" w:hAnsiTheme="minorEastAsia" w:eastAsiaTheme="minorEastAsia" w:cstheme="minorEastAsia"/>
          <w:snapToGrid w:val="0"/>
          <w:color w:val="auto"/>
          <w:kern w:val="0"/>
          <w:szCs w:val="21"/>
          <w:highlight w:val="none"/>
        </w:rPr>
        <w:t>否则做废标处理</w:t>
      </w:r>
      <w:r>
        <w:rPr>
          <w:rFonts w:hint="eastAsia" w:asciiTheme="minorEastAsia" w:hAnsiTheme="minorEastAsia" w:eastAsiaTheme="minorEastAsia" w:cstheme="minorEastAsia"/>
          <w:snapToGrid w:val="0"/>
          <w:color w:val="auto"/>
          <w:kern w:val="0"/>
          <w:szCs w:val="21"/>
          <w:highlight w:val="none"/>
          <w:lang w:val="zh-CN"/>
        </w:rPr>
        <w:t>。</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color w:val="auto"/>
          <w:kern w:val="0"/>
          <w:szCs w:val="21"/>
          <w:highlight w:val="none"/>
          <w:lang w:val="zh-CN"/>
        </w:rPr>
      </w:pPr>
      <w:bookmarkStart w:id="60" w:name="_Toc4911"/>
      <w:bookmarkStart w:id="61" w:name="_Toc9935"/>
      <w:r>
        <w:rPr>
          <w:rFonts w:hint="eastAsia" w:asciiTheme="minorEastAsia" w:hAnsiTheme="minorEastAsia" w:eastAsiaTheme="minorEastAsia" w:cstheme="minorEastAsia"/>
          <w:b/>
          <w:snapToGrid w:val="0"/>
          <w:color w:val="auto"/>
          <w:kern w:val="0"/>
          <w:szCs w:val="21"/>
          <w:highlight w:val="none"/>
          <w:lang w:val="zh-CN"/>
        </w:rPr>
        <w:t>证明报价内容、服务合格性和符合竞争性磋商采购文件规定的文件</w:t>
      </w:r>
      <w:bookmarkEnd w:id="60"/>
      <w:bookmarkEnd w:id="61"/>
    </w:p>
    <w:p>
      <w:pPr>
        <w:numPr>
          <w:ilvl w:val="1"/>
          <w:numId w:val="25"/>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证明报价内容符合竞争性磋商采购文件要求的文件和竞争性磋商采购文件规定的其他资料，具体要求见《供应商须知前附表》。</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color w:val="auto"/>
          <w:kern w:val="0"/>
          <w:szCs w:val="21"/>
          <w:highlight w:val="none"/>
          <w:lang w:val="zh-CN"/>
        </w:rPr>
      </w:pPr>
      <w:bookmarkStart w:id="62" w:name="_Toc17646"/>
      <w:bookmarkStart w:id="63" w:name="_Toc27068"/>
      <w:r>
        <w:rPr>
          <w:rFonts w:hint="eastAsia" w:asciiTheme="minorEastAsia" w:hAnsiTheme="minorEastAsia" w:eastAsiaTheme="minorEastAsia" w:cstheme="minorEastAsia"/>
          <w:b/>
          <w:snapToGrid w:val="0"/>
          <w:color w:val="auto"/>
          <w:kern w:val="0"/>
          <w:szCs w:val="21"/>
          <w:highlight w:val="none"/>
          <w:lang w:val="zh-CN"/>
        </w:rPr>
        <w:t>磋商保证金</w:t>
      </w:r>
      <w:bookmarkEnd w:id="62"/>
      <w:bookmarkEnd w:id="63"/>
    </w:p>
    <w:p>
      <w:pPr>
        <w:numPr>
          <w:ilvl w:val="1"/>
          <w:numId w:val="26"/>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本采购文件是否要求递交磋商保证金及保证金金额、递交方式、递交时间、接受保证金的帐户信息等详见《供应商须知前附表》。</w:t>
      </w:r>
    </w:p>
    <w:p>
      <w:pPr>
        <w:numPr>
          <w:ilvl w:val="1"/>
          <w:numId w:val="26"/>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本采购文件要求递交磋商保证金的，磋商保证金作为竞争性磋商响应文件的组成部分，</w:t>
      </w:r>
      <w:r>
        <w:rPr>
          <w:rFonts w:hint="eastAsia" w:asciiTheme="minorEastAsia" w:hAnsiTheme="minorEastAsia" w:eastAsiaTheme="minorEastAsia" w:cstheme="minorEastAsia"/>
          <w:color w:val="auto"/>
          <w:szCs w:val="21"/>
          <w:highlight w:val="none"/>
          <w:lang w:val="zh-CN"/>
        </w:rPr>
        <w:t>以到账为准。</w:t>
      </w:r>
      <w:r>
        <w:rPr>
          <w:rFonts w:hint="eastAsia" w:asciiTheme="minorEastAsia" w:hAnsiTheme="minorEastAsia" w:eastAsiaTheme="minorEastAsia" w:cstheme="minorEastAsia"/>
          <w:snapToGrid w:val="0"/>
          <w:color w:val="auto"/>
          <w:kern w:val="0"/>
          <w:szCs w:val="21"/>
          <w:highlight w:val="none"/>
          <w:lang w:val="zh-CN"/>
        </w:rPr>
        <w:t>凡未按规定递交磋商保证金的报价，其响应文件将被视为无效文件。</w:t>
      </w:r>
    </w:p>
    <w:p>
      <w:pPr>
        <w:numPr>
          <w:ilvl w:val="1"/>
          <w:numId w:val="26"/>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磋商保证金有效时间：磋商保证金的有效期与本次磋商有效期一致。</w:t>
      </w:r>
    </w:p>
    <w:p>
      <w:pPr>
        <w:numPr>
          <w:ilvl w:val="1"/>
          <w:numId w:val="26"/>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供应商为联合体的，应由联合体中牵头人缴纳保证金，其缴纳的保证金对联合体各方均具有约束力。</w:t>
      </w:r>
    </w:p>
    <w:p>
      <w:pPr>
        <w:numPr>
          <w:ilvl w:val="1"/>
          <w:numId w:val="26"/>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6"/>
        </w:numPr>
        <w:tabs>
          <w:tab w:val="left" w:pos="540"/>
          <w:tab w:val="clear" w:pos="60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有下列情形之一的，磋商保证金将不予退还:</w:t>
      </w:r>
    </w:p>
    <w:p>
      <w:pPr>
        <w:numPr>
          <w:ilvl w:val="0"/>
          <w:numId w:val="27"/>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供应商在提交响应文件截止时间后撤回响应文件的；</w:t>
      </w:r>
    </w:p>
    <w:p>
      <w:pPr>
        <w:numPr>
          <w:ilvl w:val="0"/>
          <w:numId w:val="27"/>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供应商在响应文件中提供虚假材料的；</w:t>
      </w:r>
    </w:p>
    <w:p>
      <w:pPr>
        <w:numPr>
          <w:ilvl w:val="0"/>
          <w:numId w:val="27"/>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除因不可抗力或磋商文件认可的情形以外，成交供应商不与采购人签订合同的；</w:t>
      </w:r>
    </w:p>
    <w:p>
      <w:pPr>
        <w:numPr>
          <w:ilvl w:val="0"/>
          <w:numId w:val="27"/>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供应商与采购人、其他供应商或者采购代理机构恶意串通的；</w:t>
      </w:r>
    </w:p>
    <w:p>
      <w:pPr>
        <w:numPr>
          <w:ilvl w:val="0"/>
          <w:numId w:val="27"/>
        </w:numPr>
        <w:tabs>
          <w:tab w:val="left" w:pos="525"/>
          <w:tab w:val="clear" w:pos="2040"/>
        </w:tabs>
        <w:autoSpaceDE w:val="0"/>
        <w:autoSpaceDN w:val="0"/>
        <w:adjustRightInd w:val="0"/>
        <w:spacing w:line="360" w:lineRule="auto"/>
        <w:ind w:left="540" w:hanging="539" w:hangingChars="257"/>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本采购文件规定的其他情形。</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color w:val="auto"/>
          <w:kern w:val="0"/>
          <w:szCs w:val="21"/>
          <w:highlight w:val="none"/>
          <w:lang w:val="zh-CN"/>
        </w:rPr>
      </w:pPr>
      <w:bookmarkStart w:id="64" w:name="_Toc3426"/>
      <w:bookmarkStart w:id="65" w:name="_Toc5668"/>
      <w:r>
        <w:rPr>
          <w:rFonts w:hint="eastAsia" w:asciiTheme="minorEastAsia" w:hAnsiTheme="minorEastAsia" w:eastAsiaTheme="minorEastAsia" w:cstheme="minorEastAsia"/>
          <w:b/>
          <w:snapToGrid w:val="0"/>
          <w:color w:val="auto"/>
          <w:kern w:val="0"/>
          <w:szCs w:val="21"/>
          <w:highlight w:val="none"/>
          <w:lang w:val="zh-CN"/>
        </w:rPr>
        <w:t>磋商有效期</w:t>
      </w:r>
      <w:bookmarkEnd w:id="64"/>
      <w:bookmarkEnd w:id="65"/>
    </w:p>
    <w:p>
      <w:pPr>
        <w:numPr>
          <w:ilvl w:val="1"/>
          <w:numId w:val="28"/>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磋商有效期从磋商结束之日起计算，本次采购磋商有效期见《供应商须知前附表》，磋商供应商承诺的磋商有效期不足的，其响应文件将被视为无效文件。</w:t>
      </w:r>
    </w:p>
    <w:p>
      <w:pPr>
        <w:numPr>
          <w:ilvl w:val="1"/>
          <w:numId w:val="28"/>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28"/>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供应商同意延长磋商有效期的，不得要求或被允许修改或撤销其竞争性磋商响应文件；供应商拒绝延长的，其响应文件失效，但供应商有权收回其磋商保证金。</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color w:val="auto"/>
          <w:kern w:val="0"/>
          <w:szCs w:val="21"/>
          <w:highlight w:val="none"/>
          <w:lang w:val="zh-CN"/>
        </w:rPr>
      </w:pPr>
      <w:bookmarkStart w:id="66" w:name="_Toc8272"/>
      <w:bookmarkStart w:id="67" w:name="_Toc25313"/>
      <w:r>
        <w:rPr>
          <w:rFonts w:hint="eastAsia" w:asciiTheme="minorEastAsia" w:hAnsiTheme="minorEastAsia" w:eastAsiaTheme="minorEastAsia" w:cstheme="minorEastAsia"/>
          <w:b/>
          <w:snapToGrid w:val="0"/>
          <w:color w:val="auto"/>
          <w:kern w:val="0"/>
          <w:szCs w:val="21"/>
          <w:highlight w:val="none"/>
          <w:lang w:val="zh-CN"/>
        </w:rPr>
        <w:t>竞争性磋商响应文件的装订、签署和数量</w:t>
      </w:r>
      <w:bookmarkEnd w:id="66"/>
      <w:bookmarkEnd w:id="67"/>
    </w:p>
    <w:p>
      <w:pPr>
        <w:numPr>
          <w:ilvl w:val="1"/>
          <w:numId w:val="29"/>
        </w:numPr>
        <w:tabs>
          <w:tab w:val="left" w:pos="525"/>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color w:val="auto"/>
          <w:szCs w:val="21"/>
          <w:highlight w:val="none"/>
        </w:rPr>
        <w:t>法定代表人身份证明书）</w:t>
      </w:r>
      <w:r>
        <w:rPr>
          <w:rFonts w:hint="eastAsia" w:asciiTheme="minorEastAsia" w:hAnsiTheme="minorEastAsia" w:eastAsiaTheme="minorEastAsia" w:cstheme="minorEastAsia"/>
          <w:snapToGrid w:val="0"/>
          <w:color w:val="auto"/>
          <w:kern w:val="0"/>
          <w:szCs w:val="21"/>
          <w:highlight w:val="none"/>
          <w:lang w:val="zh-CN"/>
        </w:rPr>
        <w:t>。本次磋商供应商提交响应文件正、副本和电子文档的数量见《供应商须知前附表》。</w:t>
      </w:r>
    </w:p>
    <w:p>
      <w:pPr>
        <w:numPr>
          <w:ilvl w:val="1"/>
          <w:numId w:val="29"/>
        </w:numPr>
        <w:tabs>
          <w:tab w:val="left" w:pos="525"/>
          <w:tab w:val="clear" w:pos="465"/>
        </w:tabs>
        <w:autoSpaceDE w:val="0"/>
        <w:autoSpaceDN w:val="0"/>
        <w:adjustRightInd w:val="0"/>
        <w:spacing w:line="360" w:lineRule="auto"/>
        <w:ind w:left="540" w:hanging="540"/>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每套响应文件须清楚地标明“正本”、“副本”，响应文件的副本可采用正本的复印件，若副本与正本不符，以正本为准；如单独提供的法定代表人授权委托书（或法定代表人身份证明书）、响应文件正本不符，以正本为准。电子文档与纸质文件不符，以纸质文件为准。</w:t>
      </w:r>
    </w:p>
    <w:p>
      <w:pPr>
        <w:numPr>
          <w:ilvl w:val="1"/>
          <w:numId w:val="29"/>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29"/>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竞争性磋商响应文件中的任何行间插字、涂改和增删，必须由法定代表人或授权代表在旁边签字才有效。</w:t>
      </w:r>
    </w:p>
    <w:p>
      <w:pPr>
        <w:numPr>
          <w:ilvl w:val="1"/>
          <w:numId w:val="29"/>
        </w:numPr>
        <w:tabs>
          <w:tab w:val="left" w:pos="525"/>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响应文件应当采用不可拆卸的方法的装订，对未经装订的竞争性磋商响应文件可能发生的文件散落或缺损及由此产生的后果由磋商供应商承担。</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color w:val="auto"/>
          <w:szCs w:val="21"/>
          <w:highlight w:val="none"/>
        </w:rPr>
      </w:pPr>
      <w:bookmarkStart w:id="68" w:name="_Toc15872"/>
      <w:r>
        <w:rPr>
          <w:rFonts w:hint="eastAsia" w:asciiTheme="minorEastAsia" w:hAnsiTheme="minorEastAsia" w:eastAsiaTheme="minorEastAsia" w:cstheme="minorEastAsia"/>
          <w:b/>
          <w:color w:val="auto"/>
          <w:szCs w:val="21"/>
          <w:highlight w:val="none"/>
        </w:rPr>
        <w:t>竞争性磋商响应文件的递交</w:t>
      </w:r>
      <w:bookmarkEnd w:id="68"/>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color w:val="auto"/>
          <w:kern w:val="0"/>
          <w:szCs w:val="21"/>
          <w:highlight w:val="none"/>
          <w:lang w:val="zh-CN"/>
        </w:rPr>
      </w:pPr>
      <w:bookmarkStart w:id="69" w:name="_Toc8513"/>
      <w:bookmarkStart w:id="70" w:name="_Toc27305"/>
      <w:r>
        <w:rPr>
          <w:rFonts w:hint="eastAsia" w:asciiTheme="minorEastAsia" w:hAnsiTheme="minorEastAsia" w:eastAsiaTheme="minorEastAsia" w:cstheme="minorEastAsia"/>
          <w:b/>
          <w:color w:val="auto"/>
          <w:szCs w:val="21"/>
          <w:highlight w:val="none"/>
        </w:rPr>
        <w:t>竞争性磋商响应文件</w:t>
      </w:r>
      <w:r>
        <w:rPr>
          <w:rFonts w:hint="eastAsia" w:asciiTheme="minorEastAsia" w:hAnsiTheme="minorEastAsia" w:eastAsiaTheme="minorEastAsia" w:cstheme="minorEastAsia"/>
          <w:b/>
          <w:snapToGrid w:val="0"/>
          <w:color w:val="auto"/>
          <w:kern w:val="0"/>
          <w:szCs w:val="21"/>
          <w:highlight w:val="none"/>
          <w:lang w:val="zh-CN"/>
        </w:rPr>
        <w:t>的密封和标记</w:t>
      </w:r>
      <w:bookmarkEnd w:id="69"/>
      <w:bookmarkEnd w:id="70"/>
    </w:p>
    <w:p>
      <w:pPr>
        <w:numPr>
          <w:ilvl w:val="1"/>
          <w:numId w:val="30"/>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响应文件的正本、所有副本和电子文档必须密封，</w:t>
      </w:r>
      <w:r>
        <w:rPr>
          <w:rFonts w:hint="eastAsia" w:asciiTheme="minorEastAsia" w:hAnsiTheme="minorEastAsia" w:eastAsiaTheme="minorEastAsia" w:cstheme="minorEastAsia"/>
          <w:snapToGrid w:val="0"/>
          <w:color w:val="auto"/>
          <w:kern w:val="0"/>
          <w:szCs w:val="21"/>
          <w:highlight w:val="none"/>
        </w:rPr>
        <w:t>并在每一页以及骑缝处</w:t>
      </w:r>
      <w:r>
        <w:rPr>
          <w:rFonts w:hint="eastAsia" w:asciiTheme="minorEastAsia" w:hAnsiTheme="minorEastAsia" w:eastAsiaTheme="minorEastAsia" w:cstheme="minorEastAsia"/>
          <w:snapToGrid w:val="0"/>
          <w:color w:val="auto"/>
          <w:kern w:val="0"/>
          <w:szCs w:val="21"/>
          <w:highlight w:val="none"/>
          <w:lang w:val="zh-CN"/>
        </w:rPr>
        <w:t>加盖供应商公章</w:t>
      </w:r>
      <w:r>
        <w:rPr>
          <w:rFonts w:hint="eastAsia" w:asciiTheme="minorEastAsia" w:hAnsiTheme="minorEastAsia" w:eastAsiaTheme="minorEastAsia" w:cstheme="minorEastAsia"/>
          <w:snapToGrid w:val="0"/>
          <w:color w:val="auto"/>
          <w:kern w:val="0"/>
          <w:szCs w:val="21"/>
          <w:highlight w:val="none"/>
        </w:rPr>
        <w:t>后</w:t>
      </w:r>
      <w:r>
        <w:rPr>
          <w:rFonts w:hint="eastAsia" w:asciiTheme="minorEastAsia" w:hAnsiTheme="minorEastAsia" w:eastAsiaTheme="minorEastAsia" w:cstheme="minorEastAsia"/>
          <w:snapToGrid w:val="0"/>
          <w:color w:val="auto"/>
          <w:kern w:val="0"/>
          <w:szCs w:val="21"/>
          <w:highlight w:val="none"/>
          <w:lang w:val="zh-CN"/>
        </w:rPr>
        <w:t>递交，包装上应注明</w:t>
      </w:r>
      <w:r>
        <w:rPr>
          <w:rFonts w:hint="eastAsia" w:asciiTheme="minorEastAsia" w:hAnsiTheme="minorEastAsia" w:eastAsiaTheme="minorEastAsia" w:cstheme="minorEastAsia"/>
          <w:snapToGrid w:val="0"/>
          <w:color w:val="auto"/>
          <w:kern w:val="0"/>
          <w:szCs w:val="21"/>
          <w:highlight w:val="none"/>
        </w:rPr>
        <w:t>项目</w:t>
      </w:r>
      <w:r>
        <w:rPr>
          <w:rFonts w:hint="eastAsia" w:asciiTheme="minorEastAsia" w:hAnsiTheme="minorEastAsia" w:eastAsiaTheme="minorEastAsia" w:cstheme="minorEastAsia"/>
          <w:snapToGrid w:val="0"/>
          <w:color w:val="auto"/>
          <w:kern w:val="0"/>
          <w:szCs w:val="21"/>
          <w:highlight w:val="none"/>
          <w:lang w:val="zh-CN"/>
        </w:rPr>
        <w:t>编号、项目名称、包号、供应商名称及“</w:t>
      </w:r>
      <w:r>
        <w:rPr>
          <w:rFonts w:hint="eastAsia" w:asciiTheme="minorEastAsia" w:hAnsiTheme="minorEastAsia" w:eastAsiaTheme="minorEastAsia" w:cstheme="minorEastAsia"/>
          <w:snapToGrid w:val="0"/>
          <w:color w:val="auto"/>
          <w:kern w:val="0"/>
          <w:szCs w:val="21"/>
          <w:highlight w:val="none"/>
          <w:u w:val="single"/>
          <w:lang w:val="zh-CN"/>
        </w:rPr>
        <w:t xml:space="preserve">  （磋商</w:t>
      </w:r>
      <w:r>
        <w:rPr>
          <w:rFonts w:hint="eastAsia" w:asciiTheme="minorEastAsia" w:hAnsiTheme="minorEastAsia" w:eastAsiaTheme="minorEastAsia" w:cstheme="minorEastAsia"/>
          <w:snapToGrid w:val="0"/>
          <w:color w:val="auto"/>
          <w:kern w:val="0"/>
          <w:szCs w:val="21"/>
          <w:highlight w:val="none"/>
          <w:u w:val="single"/>
        </w:rPr>
        <w:t>截止</w:t>
      </w:r>
      <w:r>
        <w:rPr>
          <w:rFonts w:hint="eastAsia" w:asciiTheme="minorEastAsia" w:hAnsiTheme="minorEastAsia" w:eastAsiaTheme="minorEastAsia" w:cstheme="minorEastAsia"/>
          <w:snapToGrid w:val="0"/>
          <w:color w:val="auto"/>
          <w:kern w:val="0"/>
          <w:szCs w:val="21"/>
          <w:highlight w:val="none"/>
          <w:u w:val="single"/>
          <w:lang w:val="zh-CN"/>
        </w:rPr>
        <w:t>时间）  前</w:t>
      </w:r>
      <w:r>
        <w:rPr>
          <w:rFonts w:hint="eastAsia" w:asciiTheme="minorEastAsia" w:hAnsiTheme="minorEastAsia" w:eastAsiaTheme="minorEastAsia" w:cstheme="minorEastAsia"/>
          <w:snapToGrid w:val="0"/>
          <w:color w:val="auto"/>
          <w:kern w:val="0"/>
          <w:szCs w:val="21"/>
          <w:highlight w:val="none"/>
          <w:lang w:val="zh-CN"/>
        </w:rPr>
        <w:t>不得启封”的字样。</w:t>
      </w:r>
    </w:p>
    <w:p>
      <w:pPr>
        <w:numPr>
          <w:ilvl w:val="1"/>
          <w:numId w:val="30"/>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未按要求密封和加写标记的响应文件为无效文件，采购人、采购代理机构将拒收。</w:t>
      </w:r>
    </w:p>
    <w:p>
      <w:pPr>
        <w:numPr>
          <w:ilvl w:val="1"/>
          <w:numId w:val="30"/>
        </w:numPr>
        <w:tabs>
          <w:tab w:val="left" w:pos="540"/>
          <w:tab w:val="clear" w:pos="465"/>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要求在磋商时提交样品的，</w:t>
      </w:r>
      <w:r>
        <w:rPr>
          <w:rFonts w:hint="eastAsia" w:asciiTheme="minorEastAsia" w:hAnsiTheme="minorEastAsia" w:eastAsiaTheme="minorEastAsia" w:cstheme="minorEastAsia"/>
          <w:snapToGrid w:val="0"/>
          <w:color w:val="auto"/>
          <w:kern w:val="0"/>
          <w:szCs w:val="21"/>
          <w:highlight w:val="none"/>
        </w:rPr>
        <w:t>是否</w:t>
      </w:r>
      <w:r>
        <w:rPr>
          <w:rFonts w:hint="eastAsia" w:asciiTheme="minorEastAsia" w:hAnsiTheme="minorEastAsia" w:eastAsiaTheme="minorEastAsia" w:cstheme="minorEastAsia"/>
          <w:snapToGrid w:val="0"/>
          <w:color w:val="auto"/>
          <w:kern w:val="0"/>
          <w:szCs w:val="21"/>
          <w:highlight w:val="none"/>
          <w:lang w:val="zh-CN"/>
        </w:rPr>
        <w:t>在样品上标明磋商供应商名称，有关提交及退还样品的相关规定。见《供应商须知前附表》。</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color w:val="auto"/>
          <w:kern w:val="0"/>
          <w:szCs w:val="21"/>
          <w:highlight w:val="none"/>
          <w:lang w:val="zh-CN"/>
        </w:rPr>
      </w:pPr>
      <w:bookmarkStart w:id="71" w:name="_Toc17235"/>
      <w:bookmarkStart w:id="72" w:name="_Toc17857"/>
      <w:r>
        <w:rPr>
          <w:rFonts w:hint="eastAsia" w:asciiTheme="minorEastAsia" w:hAnsiTheme="minorEastAsia" w:eastAsiaTheme="minorEastAsia" w:cstheme="minorEastAsia"/>
          <w:b/>
          <w:snapToGrid w:val="0"/>
          <w:color w:val="auto"/>
          <w:kern w:val="0"/>
          <w:szCs w:val="21"/>
          <w:highlight w:val="none"/>
          <w:lang w:val="zh-CN"/>
        </w:rPr>
        <w:t>竞争性磋商响应文件的送达地点及截止时间</w:t>
      </w:r>
      <w:bookmarkEnd w:id="71"/>
      <w:bookmarkEnd w:id="72"/>
    </w:p>
    <w:p>
      <w:pPr>
        <w:tabs>
          <w:tab w:val="left" w:pos="540"/>
        </w:tabs>
        <w:autoSpaceDE w:val="0"/>
        <w:autoSpaceDN w:val="0"/>
        <w:adjustRightInd w:val="0"/>
        <w:spacing w:line="360" w:lineRule="auto"/>
        <w:ind w:left="617" w:hanging="617" w:hangingChars="294"/>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20.1</w:t>
      </w:r>
      <w:r>
        <w:rPr>
          <w:rFonts w:hint="eastAsia" w:asciiTheme="minorEastAsia" w:hAnsiTheme="minorEastAsia" w:eastAsiaTheme="minorEastAsia" w:cstheme="minorEastAsia"/>
          <w:snapToGrid w:val="0"/>
          <w:color w:val="auto"/>
          <w:kern w:val="0"/>
          <w:szCs w:val="21"/>
          <w:highlight w:val="none"/>
        </w:rPr>
        <w:t xml:space="preserve">  </w:t>
      </w:r>
      <w:r>
        <w:rPr>
          <w:rFonts w:hint="eastAsia" w:asciiTheme="minorEastAsia" w:hAnsiTheme="minorEastAsia" w:eastAsiaTheme="minorEastAsia" w:cstheme="minorEastAsia"/>
          <w:snapToGrid w:val="0"/>
          <w:color w:val="auto"/>
          <w:kern w:val="0"/>
          <w:szCs w:val="21"/>
          <w:highlight w:val="none"/>
          <w:lang w:val="zh-CN"/>
        </w:rPr>
        <w:t>截止时间是</w:t>
      </w:r>
      <w:r>
        <w:rPr>
          <w:rFonts w:hint="eastAsia" w:asciiTheme="minorEastAsia" w:hAnsiTheme="minorEastAsia" w:eastAsiaTheme="minorEastAsia" w:cstheme="minorEastAsia"/>
          <w:b/>
          <w:bCs/>
          <w:snapToGrid w:val="0"/>
          <w:color w:val="auto"/>
          <w:kern w:val="0"/>
          <w:szCs w:val="21"/>
          <w:highlight w:val="none"/>
          <w:lang w:val="zh-CN"/>
        </w:rPr>
        <w:t>竞争性磋商</w:t>
      </w:r>
      <w:r>
        <w:rPr>
          <w:rFonts w:hint="eastAsia" w:asciiTheme="minorEastAsia" w:hAnsiTheme="minorEastAsia" w:eastAsiaTheme="minorEastAsia" w:cstheme="minorEastAsia"/>
          <w:snapToGrid w:val="0"/>
          <w:color w:val="auto"/>
          <w:kern w:val="0"/>
          <w:szCs w:val="21"/>
          <w:highlight w:val="none"/>
          <w:lang w:val="zh-CN"/>
        </w:rPr>
        <w:t>文件中规定的首次送达、提交响应文件的最后时间。本次磋商响应文件的送达地点及截止时间见《供应商须知前附表》。</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color w:val="auto"/>
          <w:kern w:val="0"/>
          <w:szCs w:val="21"/>
          <w:highlight w:val="none"/>
          <w:lang w:val="zh-CN"/>
        </w:rPr>
      </w:pPr>
      <w:bookmarkStart w:id="73" w:name="_Toc15504"/>
      <w:bookmarkStart w:id="74" w:name="_Toc31376"/>
      <w:r>
        <w:rPr>
          <w:rFonts w:hint="eastAsia" w:asciiTheme="minorEastAsia" w:hAnsiTheme="minorEastAsia" w:eastAsiaTheme="minorEastAsia" w:cstheme="minorEastAsia"/>
          <w:b/>
          <w:snapToGrid w:val="0"/>
          <w:color w:val="auto"/>
          <w:kern w:val="0"/>
          <w:szCs w:val="21"/>
          <w:highlight w:val="none"/>
          <w:lang w:val="zh-CN"/>
        </w:rPr>
        <w:t>迟交的竞争性磋商响应文件</w:t>
      </w:r>
      <w:bookmarkEnd w:id="73"/>
      <w:bookmarkEnd w:id="74"/>
    </w:p>
    <w:p>
      <w:pPr>
        <w:numPr>
          <w:ilvl w:val="1"/>
          <w:numId w:val="31"/>
        </w:numPr>
        <w:tabs>
          <w:tab w:val="left" w:pos="540"/>
          <w:tab w:val="clear" w:pos="480"/>
        </w:tabs>
        <w:autoSpaceDE w:val="0"/>
        <w:autoSpaceDN w:val="0"/>
        <w:adjustRightInd w:val="0"/>
        <w:spacing w:line="360" w:lineRule="auto"/>
        <w:ind w:left="539" w:hanging="539"/>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在本次磋商递交响应文件的截止时间以后送达的响应文件，不论何种原因，采购代理机构将拒收。</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color w:val="auto"/>
          <w:kern w:val="0"/>
          <w:szCs w:val="21"/>
          <w:highlight w:val="none"/>
          <w:lang w:val="zh-CN"/>
        </w:rPr>
      </w:pPr>
      <w:bookmarkStart w:id="75" w:name="_Toc10669"/>
      <w:bookmarkStart w:id="76" w:name="_Toc31760"/>
      <w:r>
        <w:rPr>
          <w:rFonts w:hint="eastAsia" w:asciiTheme="minorEastAsia" w:hAnsiTheme="minorEastAsia" w:eastAsiaTheme="minorEastAsia" w:cstheme="minorEastAsia"/>
          <w:b/>
          <w:snapToGrid w:val="0"/>
          <w:color w:val="auto"/>
          <w:kern w:val="0"/>
          <w:szCs w:val="21"/>
          <w:highlight w:val="none"/>
          <w:lang w:val="zh-CN"/>
        </w:rPr>
        <w:t>竞争性磋商响应文件的补充、修改或者撤回</w:t>
      </w:r>
      <w:bookmarkEnd w:id="75"/>
      <w:bookmarkEnd w:id="76"/>
    </w:p>
    <w:p>
      <w:pPr>
        <w:numPr>
          <w:ilvl w:val="1"/>
          <w:numId w:val="32"/>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在</w:t>
      </w:r>
      <w:r>
        <w:rPr>
          <w:rFonts w:hint="eastAsia" w:asciiTheme="minorEastAsia" w:hAnsiTheme="minorEastAsia" w:eastAsiaTheme="minorEastAsia" w:cstheme="minorEastAsia"/>
          <w:snapToGrid w:val="0"/>
          <w:color w:val="auto"/>
          <w:kern w:val="0"/>
          <w:szCs w:val="21"/>
          <w:highlight w:val="none"/>
        </w:rPr>
        <w:t>提交</w:t>
      </w:r>
      <w:r>
        <w:rPr>
          <w:rFonts w:hint="eastAsia" w:asciiTheme="minorEastAsia" w:hAnsiTheme="minorEastAsia" w:eastAsiaTheme="minorEastAsia" w:cstheme="minorEastAsia"/>
          <w:snapToGrid w:val="0"/>
          <w:color w:val="auto"/>
          <w:kern w:val="0"/>
          <w:szCs w:val="21"/>
          <w:highlight w:val="none"/>
          <w:lang w:val="zh-CN"/>
        </w:rPr>
        <w:t>响应文件截止时间前，供应商可以对</w:t>
      </w:r>
      <w:r>
        <w:rPr>
          <w:rFonts w:hint="eastAsia" w:asciiTheme="minorEastAsia" w:hAnsiTheme="minorEastAsia" w:eastAsiaTheme="minorEastAsia" w:cstheme="minorEastAsia"/>
          <w:snapToGrid w:val="0"/>
          <w:color w:val="auto"/>
          <w:kern w:val="0"/>
          <w:szCs w:val="21"/>
          <w:highlight w:val="none"/>
        </w:rPr>
        <w:t>已</w:t>
      </w:r>
      <w:r>
        <w:rPr>
          <w:rFonts w:hint="eastAsia" w:asciiTheme="minorEastAsia" w:hAnsiTheme="minorEastAsia" w:eastAsiaTheme="minorEastAsia" w:cstheme="minorEastAsia"/>
          <w:snapToGrid w:val="0"/>
          <w:color w:val="auto"/>
          <w:kern w:val="0"/>
          <w:szCs w:val="21"/>
          <w:highlight w:val="none"/>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2"/>
        </w:numPr>
        <w:tabs>
          <w:tab w:val="left" w:pos="540"/>
        </w:tabs>
        <w:autoSpaceDE w:val="0"/>
        <w:autoSpaceDN w:val="0"/>
        <w:adjustRightInd w:val="0"/>
        <w:spacing w:line="360" w:lineRule="auto"/>
        <w:ind w:left="539" w:hanging="539"/>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从</w:t>
      </w:r>
      <w:r>
        <w:rPr>
          <w:rFonts w:hint="eastAsia" w:asciiTheme="minorEastAsia" w:hAnsiTheme="minorEastAsia" w:eastAsiaTheme="minorEastAsia" w:cstheme="minorEastAsia"/>
          <w:snapToGrid w:val="0"/>
          <w:color w:val="auto"/>
          <w:kern w:val="0"/>
          <w:szCs w:val="21"/>
          <w:highlight w:val="none"/>
        </w:rPr>
        <w:t>提交</w:t>
      </w:r>
      <w:r>
        <w:rPr>
          <w:rFonts w:hint="eastAsia" w:asciiTheme="minorEastAsia" w:hAnsiTheme="minorEastAsia" w:eastAsiaTheme="minorEastAsia" w:cstheme="minorEastAsia"/>
          <w:snapToGrid w:val="0"/>
          <w:color w:val="auto"/>
          <w:kern w:val="0"/>
          <w:szCs w:val="21"/>
          <w:highlight w:val="none"/>
          <w:lang w:val="zh-CN"/>
        </w:rPr>
        <w:t>响应文件截止时间至磋商有效期期满这段时间，供应商不得修改或</w:t>
      </w:r>
      <w:r>
        <w:rPr>
          <w:rFonts w:hint="eastAsia" w:asciiTheme="minorEastAsia" w:hAnsiTheme="minorEastAsia" w:eastAsiaTheme="minorEastAsia" w:cstheme="minorEastAsia"/>
          <w:snapToGrid w:val="0"/>
          <w:color w:val="auto"/>
          <w:kern w:val="0"/>
          <w:szCs w:val="21"/>
          <w:highlight w:val="none"/>
        </w:rPr>
        <w:t>撤销</w:t>
      </w:r>
      <w:r>
        <w:rPr>
          <w:rFonts w:hint="eastAsia" w:asciiTheme="minorEastAsia" w:hAnsiTheme="minorEastAsia" w:eastAsiaTheme="minorEastAsia" w:cstheme="minorEastAsia"/>
          <w:snapToGrid w:val="0"/>
          <w:color w:val="auto"/>
          <w:kern w:val="0"/>
          <w:szCs w:val="21"/>
          <w:highlight w:val="none"/>
          <w:lang w:val="zh-CN"/>
        </w:rPr>
        <w:t>其响应文件，否则其磋商保证金将不予以退还。</w:t>
      </w:r>
    </w:p>
    <w:p>
      <w:pPr>
        <w:numPr>
          <w:ilvl w:val="1"/>
          <w:numId w:val="32"/>
        </w:numPr>
        <w:tabs>
          <w:tab w:val="left" w:pos="540"/>
        </w:tabs>
        <w:autoSpaceDE w:val="0"/>
        <w:autoSpaceDN w:val="0"/>
        <w:adjustRightInd w:val="0"/>
        <w:spacing w:line="360" w:lineRule="auto"/>
        <w:ind w:left="540" w:hanging="54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供应商所提交的响应文件在磋商结束后，无论成交与否都不退还。</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color w:val="auto"/>
          <w:szCs w:val="21"/>
          <w:highlight w:val="none"/>
        </w:rPr>
      </w:pPr>
      <w:bookmarkStart w:id="77" w:name="_Toc12875"/>
      <w:r>
        <w:rPr>
          <w:rFonts w:hint="eastAsia" w:asciiTheme="minorEastAsia" w:hAnsiTheme="minorEastAsia" w:eastAsiaTheme="minorEastAsia" w:cstheme="minorEastAsia"/>
          <w:b/>
          <w:color w:val="auto"/>
          <w:szCs w:val="21"/>
          <w:highlight w:val="none"/>
        </w:rPr>
        <w:t>磋商程序及步骤</w:t>
      </w:r>
      <w:bookmarkEnd w:id="77"/>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color w:val="auto"/>
          <w:kern w:val="0"/>
          <w:szCs w:val="21"/>
          <w:highlight w:val="none"/>
          <w:lang w:val="zh-CN"/>
        </w:rPr>
      </w:pPr>
      <w:bookmarkStart w:id="78" w:name="_Toc22624"/>
      <w:bookmarkStart w:id="79" w:name="_Toc22851"/>
      <w:r>
        <w:rPr>
          <w:rFonts w:hint="eastAsia" w:asciiTheme="minorEastAsia" w:hAnsiTheme="minorEastAsia" w:eastAsiaTheme="minorEastAsia" w:cstheme="minorEastAsia"/>
          <w:b/>
          <w:color w:val="auto"/>
          <w:highlight w:val="none"/>
        </w:rPr>
        <w:t>竞争性磋商小组</w:t>
      </w:r>
      <w:bookmarkEnd w:id="78"/>
      <w:bookmarkEnd w:id="79"/>
    </w:p>
    <w:p>
      <w:pPr>
        <w:tabs>
          <w:tab w:val="left" w:pos="540"/>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rPr>
        <w:t xml:space="preserve">23.1  </w:t>
      </w:r>
      <w:r>
        <w:rPr>
          <w:rFonts w:hint="eastAsia" w:asciiTheme="minorEastAsia" w:hAnsiTheme="minorEastAsia" w:eastAsiaTheme="minorEastAsia" w:cstheme="minorEastAsia"/>
          <w:snapToGrid w:val="0"/>
          <w:color w:val="auto"/>
          <w:kern w:val="0"/>
          <w:szCs w:val="21"/>
          <w:highlight w:val="none"/>
          <w:lang w:val="zh-CN"/>
        </w:rPr>
        <w:t>采购人依照《中华人民共和国政府采购法》、《中华人民共和国政府采购法实施条例》、《政府采购竞争性磋商采购方式管理暂行办法》及现行法律规定组建磋商小组，磋商小组由采购人代表和评审专家共3人或</w:t>
      </w:r>
      <w:r>
        <w:rPr>
          <w:rFonts w:hint="eastAsia" w:asciiTheme="minorEastAsia" w:hAnsiTheme="minorEastAsia" w:eastAsiaTheme="minorEastAsia" w:cstheme="minorEastAsia"/>
          <w:snapToGrid w:val="0"/>
          <w:color w:val="auto"/>
          <w:kern w:val="0"/>
          <w:szCs w:val="21"/>
          <w:highlight w:val="none"/>
        </w:rPr>
        <w:t>3</w:t>
      </w:r>
      <w:r>
        <w:rPr>
          <w:rFonts w:hint="eastAsia" w:asciiTheme="minorEastAsia" w:hAnsiTheme="minorEastAsia" w:eastAsiaTheme="minorEastAsia" w:cstheme="minorEastAsia"/>
          <w:snapToGrid w:val="0"/>
          <w:color w:val="auto"/>
          <w:kern w:val="0"/>
          <w:szCs w:val="21"/>
          <w:highlight w:val="none"/>
          <w:lang w:val="zh-CN"/>
        </w:rPr>
        <w:t>人以上单数组成。磋商小组人数详见《供应商须知前附表》。</w:t>
      </w:r>
    </w:p>
    <w:p>
      <w:pPr>
        <w:tabs>
          <w:tab w:val="left" w:pos="540"/>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 xml:space="preserve">23.2 </w:t>
      </w:r>
      <w:r>
        <w:rPr>
          <w:rFonts w:hint="eastAsia" w:asciiTheme="minorEastAsia" w:hAnsiTheme="minorEastAsia" w:eastAsiaTheme="minorEastAsia" w:cstheme="minorEastAsia"/>
          <w:snapToGrid w:val="0"/>
          <w:color w:val="auto"/>
          <w:kern w:val="0"/>
          <w:szCs w:val="21"/>
          <w:highlight w:val="none"/>
        </w:rPr>
        <w:t xml:space="preserve"> </w:t>
      </w:r>
      <w:r>
        <w:rPr>
          <w:rFonts w:hint="eastAsia" w:asciiTheme="minorEastAsia" w:hAnsiTheme="minorEastAsia" w:eastAsiaTheme="minorEastAsia" w:cstheme="minorEastAsia"/>
          <w:snapToGrid w:val="0"/>
          <w:color w:val="auto"/>
          <w:kern w:val="0"/>
          <w:szCs w:val="21"/>
          <w:highlight w:val="none"/>
          <w:lang w:val="zh-CN"/>
        </w:rPr>
        <w:t xml:space="preserve">磋商小组中的评审专家人数不少于磋商小组成员总数的2/3。除本采购文件另有规定，评审专家将从政府采购评审专家库中随机抽取。 </w:t>
      </w:r>
    </w:p>
    <w:p>
      <w:pPr>
        <w:tabs>
          <w:tab w:val="left" w:pos="540"/>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 xml:space="preserve">23.3 </w:t>
      </w:r>
      <w:r>
        <w:rPr>
          <w:rFonts w:hint="eastAsia" w:asciiTheme="minorEastAsia" w:hAnsiTheme="minorEastAsia" w:eastAsiaTheme="minorEastAsia" w:cstheme="minorEastAsia"/>
          <w:snapToGrid w:val="0"/>
          <w:color w:val="auto"/>
          <w:kern w:val="0"/>
          <w:szCs w:val="21"/>
          <w:highlight w:val="none"/>
        </w:rPr>
        <w:t xml:space="preserve"> </w:t>
      </w:r>
      <w:r>
        <w:rPr>
          <w:rFonts w:hint="eastAsia" w:asciiTheme="minorEastAsia" w:hAnsiTheme="minorEastAsia" w:eastAsiaTheme="minorEastAsia" w:cstheme="minorEastAsia"/>
          <w:snapToGrid w:val="0"/>
          <w:color w:val="auto"/>
          <w:kern w:val="0"/>
          <w:szCs w:val="21"/>
          <w:highlight w:val="none"/>
          <w:lang w:val="zh-CN"/>
        </w:rPr>
        <w:t>磋商小组所有成员按事先抽取的磋商顺序，集中与单一供应商分别进行磋商，并给予所有参</w:t>
      </w:r>
      <w:r>
        <w:rPr>
          <w:rFonts w:hint="eastAsia" w:asciiTheme="minorEastAsia" w:hAnsiTheme="minorEastAsia" w:eastAsiaTheme="minorEastAsia" w:cstheme="minorEastAsia"/>
          <w:snapToGrid w:val="0"/>
          <w:color w:val="auto"/>
          <w:kern w:val="0"/>
          <w:szCs w:val="21"/>
          <w:highlight w:val="none"/>
        </w:rPr>
        <w:t xml:space="preserve"> </w:t>
      </w:r>
      <w:r>
        <w:rPr>
          <w:rFonts w:hint="eastAsia" w:asciiTheme="minorEastAsia" w:hAnsiTheme="minorEastAsia" w:eastAsiaTheme="minorEastAsia" w:cstheme="minorEastAsia"/>
          <w:snapToGrid w:val="0"/>
          <w:color w:val="auto"/>
          <w:kern w:val="0"/>
          <w:szCs w:val="21"/>
          <w:highlight w:val="none"/>
          <w:lang w:val="zh-CN"/>
        </w:rPr>
        <w:t>加磋商的供应商平等的磋商机会。</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snapToGrid w:val="0"/>
          <w:color w:val="auto"/>
          <w:kern w:val="0"/>
          <w:szCs w:val="21"/>
          <w:highlight w:val="none"/>
          <w:lang w:val="zh-CN"/>
        </w:rPr>
      </w:pPr>
      <w:bookmarkStart w:id="80" w:name="_Toc20435"/>
      <w:bookmarkStart w:id="81" w:name="_Toc21483"/>
      <w:r>
        <w:rPr>
          <w:rFonts w:hint="eastAsia" w:asciiTheme="minorEastAsia" w:hAnsiTheme="minorEastAsia" w:eastAsiaTheme="minorEastAsia" w:cstheme="minorEastAsia"/>
          <w:b/>
          <w:color w:val="auto"/>
          <w:highlight w:val="none"/>
        </w:rPr>
        <w:t>磋商代表</w:t>
      </w:r>
      <w:bookmarkEnd w:id="80"/>
      <w:bookmarkEnd w:id="81"/>
    </w:p>
    <w:p>
      <w:pPr>
        <w:tabs>
          <w:tab w:val="left" w:pos="864"/>
          <w:tab w:val="left" w:pos="1080"/>
        </w:tabs>
        <w:spacing w:line="360" w:lineRule="auto"/>
        <w:ind w:left="632" w:hanging="632" w:hangingChars="300"/>
        <w:jc w:val="left"/>
        <w:rPr>
          <w:rFonts w:asciiTheme="minorEastAsia" w:hAnsiTheme="minorEastAsia" w:eastAsiaTheme="minorEastAsia" w:cstheme="minorEastAsia"/>
          <w:color w:val="auto"/>
          <w:szCs w:val="21"/>
          <w:highlight w:val="none"/>
        </w:rPr>
      </w:pPr>
      <w:bookmarkStart w:id="82" w:name="_Toc9967"/>
      <w:bookmarkStart w:id="83" w:name="_Toc32662"/>
      <w:r>
        <w:rPr>
          <w:rFonts w:hint="eastAsia" w:asciiTheme="minorEastAsia" w:hAnsiTheme="minorEastAsia" w:eastAsiaTheme="minorEastAsia" w:cstheme="minorEastAsia"/>
          <w:b/>
          <w:color w:val="auto"/>
          <w:highlight w:val="none"/>
        </w:rPr>
        <w:t xml:space="preserve">24.1  </w:t>
      </w:r>
      <w:r>
        <w:rPr>
          <w:rFonts w:hint="eastAsia" w:asciiTheme="minorEastAsia" w:hAnsiTheme="minorEastAsia" w:eastAsiaTheme="minorEastAsia" w:cstheme="minorEastAsia"/>
          <w:color w:val="auto"/>
          <w:szCs w:val="21"/>
          <w:highlight w:val="none"/>
        </w:rPr>
        <w:t>磋商供应商法定代表人或授权代表应携带本人身份证明参加磋商，授权代表参加磋商的，还应携带法定代表人授权书原件。磋商代表经磋商小组核对身份后，方可参加磋商。</w:t>
      </w:r>
      <w:bookmarkEnd w:id="82"/>
      <w:bookmarkEnd w:id="83"/>
      <w:r>
        <w:rPr>
          <w:rFonts w:hint="eastAsia" w:asciiTheme="minorEastAsia" w:hAnsiTheme="minorEastAsia" w:eastAsiaTheme="minorEastAsia" w:cstheme="minorEastAsia"/>
          <w:color w:val="auto"/>
          <w:szCs w:val="21"/>
          <w:highlight w:val="none"/>
        </w:rPr>
        <w:t>磋商代表的其他要求见《供应商须知前附表》。</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color w:val="auto"/>
          <w:highlight w:val="none"/>
        </w:rPr>
      </w:pPr>
      <w:bookmarkStart w:id="84" w:name="_Toc24556"/>
      <w:r>
        <w:rPr>
          <w:rFonts w:hint="eastAsia" w:asciiTheme="minorEastAsia" w:hAnsiTheme="minorEastAsia" w:eastAsiaTheme="minorEastAsia" w:cstheme="minorEastAsia"/>
          <w:b/>
          <w:color w:val="auto"/>
          <w:highlight w:val="none"/>
        </w:rPr>
        <w:t>资格审查和符合性审查</w:t>
      </w:r>
      <w:bookmarkEnd w:id="84"/>
    </w:p>
    <w:p>
      <w:pPr>
        <w:spacing w:line="360" w:lineRule="auto"/>
        <w:ind w:left="630" w:hanging="630" w:hangingChars="3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25.1  在正式磋商前，本磋商文件第四章规定的程序和方法，对供应商进行资格性审查和符合性审查，通过资格性审查和符合性审查，实质性响应磋商文件的供应商方可进入磋商程序。</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color w:val="auto"/>
          <w:highlight w:val="none"/>
        </w:rPr>
      </w:pPr>
      <w:bookmarkStart w:id="85" w:name="_Toc29110"/>
      <w:r>
        <w:rPr>
          <w:rFonts w:hint="eastAsia" w:asciiTheme="minorEastAsia" w:hAnsiTheme="minorEastAsia" w:eastAsiaTheme="minorEastAsia" w:cstheme="minorEastAsia"/>
          <w:b/>
          <w:color w:val="auto"/>
          <w:highlight w:val="none"/>
        </w:rPr>
        <w:t>磋商</w:t>
      </w:r>
      <w:bookmarkEnd w:id="85"/>
    </w:p>
    <w:p>
      <w:pPr>
        <w:spacing w:line="360" w:lineRule="auto"/>
        <w:ind w:left="630" w:hanging="630" w:hangingChars="30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1"/>
          <w:highlight w:val="none"/>
        </w:rPr>
        <w:t>26.1  磋商小组将根据本磋商文件第四章规定的程序和方法与供应商进行磋商。在磋商中，磋商的任何一方不得透露与磋商有关的其他磋商供应商的技</w:t>
      </w:r>
      <w:r>
        <w:rPr>
          <w:rFonts w:hint="eastAsia" w:asciiTheme="minorEastAsia" w:hAnsiTheme="minorEastAsia" w:eastAsiaTheme="minorEastAsia" w:cstheme="minorEastAsia"/>
          <w:color w:val="auto"/>
          <w:highlight w:val="none"/>
        </w:rPr>
        <w:t>术资料、价格和其他信息。</w:t>
      </w:r>
    </w:p>
    <w:p>
      <w:pPr>
        <w:spacing w:line="360" w:lineRule="auto"/>
        <w:ind w:left="630" w:hanging="630" w:hangingChars="30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26.2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color w:val="auto"/>
          <w:szCs w:val="21"/>
          <w:highlight w:val="none"/>
        </w:rPr>
        <w:t>并提供必要的修正时间。</w:t>
      </w:r>
    </w:p>
    <w:p>
      <w:pPr>
        <w:spacing w:line="360" w:lineRule="auto"/>
        <w:ind w:left="630" w:hanging="630" w:hangingChars="30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26.3  供应商应当按照磋商文件的变动情况和磋商小组的要求重新提交响应文件，</w:t>
      </w:r>
      <w:r>
        <w:rPr>
          <w:rFonts w:hint="eastAsia" w:asciiTheme="minorEastAsia" w:hAnsiTheme="minorEastAsia" w:eastAsiaTheme="minorEastAsia" w:cstheme="minorEastAsia"/>
          <w:color w:val="auto"/>
          <w:szCs w:val="21"/>
          <w:highlight w:val="none"/>
        </w:rPr>
        <w:t>对原响应文件进行技术、商务、价格修正，重新提交的响应文件应实质性响应本磋商文件及</w:t>
      </w:r>
      <w:r>
        <w:rPr>
          <w:rFonts w:hint="eastAsia" w:asciiTheme="minorEastAsia" w:hAnsiTheme="minorEastAsia" w:eastAsiaTheme="minorEastAsia" w:cstheme="minorEastAsia"/>
          <w:color w:val="auto"/>
          <w:highlight w:val="none"/>
        </w:rPr>
        <w:t>对磋商文件作出的实质性变动，</w:t>
      </w:r>
      <w:r>
        <w:rPr>
          <w:rFonts w:hint="eastAsia" w:asciiTheme="minorEastAsia" w:hAnsiTheme="minorEastAsia" w:eastAsiaTheme="minorEastAsia" w:cstheme="minorEastAsia"/>
          <w:color w:val="auto"/>
          <w:szCs w:val="21"/>
          <w:highlight w:val="none"/>
        </w:rPr>
        <w:t>并按本采购文件的规定进行签署。重新提交的响应文件与原响应文件不一致</w:t>
      </w:r>
      <w:r>
        <w:rPr>
          <w:rFonts w:hint="eastAsia" w:asciiTheme="minorEastAsia" w:hAnsiTheme="minorEastAsia" w:eastAsiaTheme="minorEastAsia" w:cstheme="minorEastAsia"/>
          <w:color w:val="auto"/>
          <w:highlight w:val="none"/>
        </w:rPr>
        <w:t>的，以重新提交的响应文件为准。不按要求签署或逾时不提交响应文件的，视同放弃磋商，放弃磋商的供应商的磋商保证金将在成交通知书发放后的五个工作日内退还。</w:t>
      </w:r>
    </w:p>
    <w:p>
      <w:pPr>
        <w:spacing w:line="360" w:lineRule="auto"/>
        <w:ind w:left="630" w:hanging="630" w:hangingChars="3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26.4  竞标报价有算术错误的，磋商小组按照以下原则对竞标报价进行修正，修正的价格经供应商书面确认后具有约束力。供应商不接受修正价格的，磋商小组应当否决其竞标。</w:t>
      </w:r>
    </w:p>
    <w:p>
      <w:pPr>
        <w:spacing w:line="360" w:lineRule="auto"/>
        <w:ind w:left="630" w:hanging="630" w:hangingChars="3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（1）响应文件中的大写金额与小写金额不一致的，以大写金额为准；</w:t>
      </w:r>
    </w:p>
    <w:p>
      <w:pPr>
        <w:spacing w:line="360" w:lineRule="auto"/>
        <w:ind w:left="630" w:hanging="630" w:hangingChars="3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（2）总价金额与根据单价计算出的结果不一致的，以单价金额为准修正总价，但单价金额小数点有明显错误的除外。</w:t>
      </w:r>
    </w:p>
    <w:p>
      <w:pPr>
        <w:spacing w:line="360" w:lineRule="auto"/>
        <w:ind w:left="630" w:hanging="630" w:hangingChars="30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26.5  最后报价</w:t>
      </w:r>
    </w:p>
    <w:p>
      <w:pPr>
        <w:spacing w:line="360" w:lineRule="auto"/>
        <w:ind w:left="630" w:leftChars="300" w:firstLine="210" w:firstLineChars="10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采购代理机构将已确定条件的最后报价书发放至所有磋商供应商，要求磋商供应商在指定的时间内提交满足要求的最后报价，密封递交磋商小组。所有磋商供应商递交最后报价后，磋商小组将记录所有磋商供应商的最终价格。最后报价为本次竞争性磋商不可变动的最终价格。</w:t>
      </w:r>
    </w:p>
    <w:p>
      <w:pPr>
        <w:spacing w:line="360" w:lineRule="auto"/>
        <w:ind w:left="630" w:leftChars="300" w:firstLine="420" w:firstLineChars="20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磋商文件能够详细列明采购标的的技术、服务要求的，磋商结束后，磋商小组应当要求所有继续参加磋商的供应商在规定时间内提交最后报价，提交最后报价的供应商不得少于3家。</w:t>
      </w:r>
    </w:p>
    <w:p>
      <w:pPr>
        <w:spacing w:line="360" w:lineRule="auto"/>
        <w:ind w:left="630" w:leftChars="300" w:firstLine="420" w:firstLineChars="20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spacing w:line="360" w:lineRule="auto"/>
        <w:ind w:left="630" w:leftChars="300" w:firstLine="420" w:firstLineChars="20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本采购项目提交最后报价供应商的确定方式详见《供应商须知前附表》。</w:t>
      </w:r>
    </w:p>
    <w:p>
      <w:pPr>
        <w:spacing w:line="360" w:lineRule="auto"/>
        <w:ind w:left="630" w:hanging="630" w:hangingChars="30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26.6  </w:t>
      </w:r>
      <w:r>
        <w:rPr>
          <w:rFonts w:hint="eastAsia" w:asciiTheme="minorEastAsia" w:hAnsiTheme="minorEastAsia" w:eastAsiaTheme="minorEastAsia" w:cstheme="minorEastAsia"/>
          <w:bCs/>
          <w:color w:val="auto"/>
          <w:kern w:val="44"/>
          <w:szCs w:val="21"/>
          <w:highlight w:val="none"/>
        </w:rPr>
        <w:t>如有需要，磋商小组可进行多轮磋商，直至最终确定竞争性磋商采购文件采购需求中的技术、服务要求以及合同草案条款。如竞争性磋商采购文件无需修改，可直接要求磋商供应商</w:t>
      </w:r>
      <w:r>
        <w:rPr>
          <w:rFonts w:hint="eastAsia" w:asciiTheme="minorEastAsia" w:hAnsiTheme="minorEastAsia" w:eastAsiaTheme="minorEastAsia" w:cstheme="minorEastAsia"/>
          <w:color w:val="auto"/>
          <w:highlight w:val="none"/>
        </w:rPr>
        <w:t>提交最后报价</w:t>
      </w:r>
      <w:r>
        <w:rPr>
          <w:rFonts w:hint="eastAsia" w:asciiTheme="minorEastAsia" w:hAnsiTheme="minorEastAsia" w:eastAsiaTheme="minorEastAsia" w:cstheme="minorEastAsia"/>
          <w:bCs/>
          <w:color w:val="auto"/>
          <w:kern w:val="44"/>
          <w:szCs w:val="21"/>
          <w:highlight w:val="none"/>
        </w:rPr>
        <w:t>。</w:t>
      </w:r>
    </w:p>
    <w:p>
      <w:pPr>
        <w:spacing w:line="360" w:lineRule="auto"/>
        <w:ind w:left="630" w:hanging="630" w:hangingChars="300"/>
        <w:jc w:val="left"/>
        <w:rPr>
          <w:rFonts w:asciiTheme="minorEastAsia" w:hAnsiTheme="minorEastAsia" w:eastAsiaTheme="minorEastAsia" w:cstheme="minorEastAsia"/>
          <w:bCs/>
          <w:color w:val="auto"/>
          <w:kern w:val="44"/>
          <w:szCs w:val="21"/>
          <w:highlight w:val="none"/>
        </w:rPr>
      </w:pPr>
      <w:r>
        <w:rPr>
          <w:rFonts w:hint="eastAsia" w:asciiTheme="minorEastAsia" w:hAnsiTheme="minorEastAsia" w:eastAsiaTheme="minorEastAsia" w:cstheme="minorEastAsia"/>
          <w:color w:val="auto"/>
          <w:highlight w:val="none"/>
        </w:rPr>
        <w:t>26.7</w:t>
      </w:r>
      <w:r>
        <w:rPr>
          <w:rFonts w:hint="eastAsia" w:asciiTheme="minorEastAsia" w:hAnsiTheme="minorEastAsia" w:eastAsiaTheme="minorEastAsia" w:cstheme="minorEastAsia"/>
          <w:bCs/>
          <w:color w:val="auto"/>
          <w:kern w:val="44"/>
          <w:szCs w:val="21"/>
          <w:highlight w:val="none"/>
        </w:rPr>
        <w:t xml:space="preserve">  磋商小组审核完最终报价后，根据竞争性磋商采购文件规定的评定办法推荐成交候选人或根据采购人的书面授权直接确定成交供应商。</w:t>
      </w:r>
    </w:p>
    <w:p>
      <w:pPr>
        <w:spacing w:line="360" w:lineRule="auto"/>
        <w:rPr>
          <w:rFonts w:asciiTheme="minorEastAsia" w:hAnsiTheme="minorEastAsia" w:eastAsiaTheme="minorEastAsia" w:cstheme="minorEastAsia"/>
          <w:bCs/>
          <w:color w:val="auto"/>
          <w:kern w:val="44"/>
          <w:szCs w:val="21"/>
          <w:highlight w:val="none"/>
        </w:rPr>
      </w:pPr>
      <w:r>
        <w:rPr>
          <w:rFonts w:hint="eastAsia" w:asciiTheme="minorEastAsia" w:hAnsiTheme="minorEastAsia" w:eastAsiaTheme="minorEastAsia" w:cstheme="minorEastAsia"/>
          <w:bCs/>
          <w:color w:val="auto"/>
          <w:kern w:val="44"/>
          <w:szCs w:val="21"/>
          <w:highlight w:val="none"/>
        </w:rPr>
        <w:t>26.8  采购代理机构对磋商过程和重要磋商内容进行记录，磋商双方在记录上签字确认。</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color w:val="auto"/>
          <w:highlight w:val="none"/>
          <w:lang w:val="zh-CN"/>
        </w:rPr>
      </w:pPr>
      <w:bookmarkStart w:id="86" w:name="_Toc24005"/>
      <w:r>
        <w:rPr>
          <w:rFonts w:hint="eastAsia" w:asciiTheme="minorEastAsia" w:hAnsiTheme="minorEastAsia" w:eastAsiaTheme="minorEastAsia" w:cstheme="minorEastAsia"/>
          <w:b/>
          <w:color w:val="auto"/>
          <w:highlight w:val="none"/>
          <w:lang w:val="zh-CN"/>
        </w:rPr>
        <w:t>保密</w:t>
      </w:r>
      <w:bookmarkEnd w:id="86"/>
    </w:p>
    <w:p>
      <w:pPr>
        <w:numPr>
          <w:ilvl w:val="1"/>
          <w:numId w:val="33"/>
        </w:numPr>
        <w:autoSpaceDE w:val="0"/>
        <w:autoSpaceDN w:val="0"/>
        <w:adjustRightInd w:val="0"/>
        <w:spacing w:line="360" w:lineRule="auto"/>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凡是属于审查、澄清、评价和比较的有关资料以及授标意向等，采购人、采购代理机构、监管人员、</w:t>
      </w:r>
      <w:r>
        <w:rPr>
          <w:rFonts w:hint="eastAsia" w:asciiTheme="minorEastAsia" w:hAnsiTheme="minorEastAsia" w:eastAsiaTheme="minorEastAsia" w:cstheme="minorEastAsia"/>
          <w:bCs/>
          <w:color w:val="auto"/>
          <w:kern w:val="44"/>
          <w:szCs w:val="21"/>
          <w:highlight w:val="none"/>
        </w:rPr>
        <w:t>磋商小组</w:t>
      </w:r>
      <w:r>
        <w:rPr>
          <w:rFonts w:hint="eastAsia" w:asciiTheme="minorEastAsia" w:hAnsiTheme="minorEastAsia" w:eastAsiaTheme="minorEastAsia" w:cstheme="minorEastAsia"/>
          <w:snapToGrid w:val="0"/>
          <w:color w:val="auto"/>
          <w:kern w:val="0"/>
          <w:szCs w:val="21"/>
          <w:highlight w:val="none"/>
          <w:lang w:val="zh-CN"/>
        </w:rPr>
        <w:t>及有关工作人员均不得向供应商或其它无关的人员透露。</w:t>
      </w:r>
    </w:p>
    <w:p>
      <w:pPr>
        <w:numPr>
          <w:ilvl w:val="1"/>
          <w:numId w:val="33"/>
        </w:numPr>
        <w:autoSpaceDE w:val="0"/>
        <w:autoSpaceDN w:val="0"/>
        <w:adjustRightInd w:val="0"/>
        <w:spacing w:line="360" w:lineRule="auto"/>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color w:val="auto"/>
          <w:kern w:val="0"/>
          <w:szCs w:val="21"/>
          <w:highlight w:val="none"/>
        </w:rPr>
        <w:t>四</w:t>
      </w:r>
      <w:r>
        <w:rPr>
          <w:rFonts w:hint="eastAsia" w:asciiTheme="minorEastAsia" w:hAnsiTheme="minorEastAsia" w:eastAsiaTheme="minorEastAsia" w:cstheme="minorEastAsia"/>
          <w:snapToGrid w:val="0"/>
          <w:color w:val="auto"/>
          <w:kern w:val="0"/>
          <w:szCs w:val="21"/>
          <w:highlight w:val="none"/>
          <w:lang w:val="zh-CN"/>
        </w:rPr>
        <w:t>章“</w:t>
      </w:r>
      <w:r>
        <w:rPr>
          <w:rFonts w:hint="eastAsia" w:asciiTheme="minorEastAsia" w:hAnsiTheme="minorEastAsia" w:eastAsiaTheme="minorEastAsia" w:cstheme="minorEastAsia"/>
          <w:snapToGrid w:val="0"/>
          <w:color w:val="auto"/>
          <w:kern w:val="0"/>
          <w:szCs w:val="21"/>
          <w:highlight w:val="none"/>
        </w:rPr>
        <w:t>评定办法</w:t>
      </w:r>
      <w:r>
        <w:rPr>
          <w:rFonts w:hint="eastAsia" w:asciiTheme="minorEastAsia" w:hAnsiTheme="minorEastAsia" w:eastAsiaTheme="minorEastAsia" w:cstheme="minorEastAsia"/>
          <w:snapToGrid w:val="0"/>
          <w:color w:val="auto"/>
          <w:kern w:val="0"/>
          <w:szCs w:val="21"/>
          <w:highlight w:val="none"/>
          <w:lang w:val="zh-CN"/>
        </w:rPr>
        <w:t>”。</w:t>
      </w:r>
    </w:p>
    <w:p>
      <w:pPr>
        <w:numPr>
          <w:ilvl w:val="1"/>
          <w:numId w:val="33"/>
        </w:numPr>
        <w:autoSpaceDE w:val="0"/>
        <w:autoSpaceDN w:val="0"/>
        <w:adjustRightInd w:val="0"/>
        <w:spacing w:line="360" w:lineRule="auto"/>
        <w:jc w:val="left"/>
        <w:rPr>
          <w:color w:val="auto"/>
          <w:highlight w:val="none"/>
          <w:lang w:val="zh-CN"/>
        </w:rPr>
      </w:pPr>
      <w:r>
        <w:rPr>
          <w:rFonts w:hint="eastAsia" w:asciiTheme="minorEastAsia" w:hAnsiTheme="minorEastAsia" w:eastAsiaTheme="minorEastAsia" w:cstheme="minorEastAsia"/>
          <w:snapToGrid w:val="0"/>
          <w:color w:val="auto"/>
          <w:kern w:val="0"/>
          <w:szCs w:val="21"/>
          <w:highlight w:val="none"/>
        </w:rPr>
        <w:t xml:space="preserve"> </w:t>
      </w:r>
      <w:r>
        <w:rPr>
          <w:rFonts w:hint="eastAsia" w:asciiTheme="minorEastAsia" w:hAnsiTheme="minorEastAsia" w:eastAsiaTheme="minorEastAsia" w:cstheme="minorEastAsia"/>
          <w:snapToGrid w:val="0"/>
          <w:color w:val="auto"/>
          <w:kern w:val="0"/>
          <w:szCs w:val="21"/>
          <w:highlight w:val="none"/>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color w:val="auto"/>
          <w:szCs w:val="21"/>
          <w:highlight w:val="none"/>
        </w:rPr>
      </w:pPr>
      <w:bookmarkStart w:id="87" w:name="_Toc15936"/>
      <w:r>
        <w:rPr>
          <w:rFonts w:hint="eastAsia" w:asciiTheme="minorEastAsia" w:hAnsiTheme="minorEastAsia" w:eastAsiaTheme="minorEastAsia" w:cstheme="minorEastAsia"/>
          <w:b/>
          <w:color w:val="auto"/>
          <w:szCs w:val="21"/>
          <w:highlight w:val="none"/>
        </w:rPr>
        <w:t>成交与签订合同</w:t>
      </w:r>
      <w:bookmarkEnd w:id="87"/>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color w:val="auto"/>
          <w:highlight w:val="none"/>
          <w:lang w:val="zh-CN"/>
        </w:rPr>
      </w:pPr>
      <w:bookmarkStart w:id="88" w:name="_Toc21514"/>
      <w:r>
        <w:rPr>
          <w:rFonts w:hint="eastAsia" w:asciiTheme="minorEastAsia" w:hAnsiTheme="minorEastAsia" w:eastAsiaTheme="minorEastAsia" w:cstheme="minorEastAsia"/>
          <w:b/>
          <w:color w:val="auto"/>
          <w:highlight w:val="none"/>
          <w:lang w:val="zh-CN"/>
        </w:rPr>
        <w:t>合同授予标准</w:t>
      </w:r>
      <w:bookmarkEnd w:id="88"/>
    </w:p>
    <w:p>
      <w:pPr>
        <w:autoSpaceDE w:val="0"/>
        <w:autoSpaceDN w:val="0"/>
        <w:adjustRightInd w:val="0"/>
        <w:spacing w:line="360" w:lineRule="auto"/>
        <w:ind w:left="630" w:hanging="630" w:hangingChars="300"/>
        <w:jc w:val="left"/>
        <w:rPr>
          <w:rFonts w:asciiTheme="minorEastAsia" w:hAnsiTheme="minorEastAsia" w:eastAsiaTheme="minorEastAsia" w:cstheme="minorEastAsia"/>
          <w:iCs/>
          <w:snapToGrid w:val="0"/>
          <w:color w:val="auto"/>
          <w:kern w:val="0"/>
          <w:szCs w:val="21"/>
          <w:highlight w:val="none"/>
          <w:lang w:val="zh-CN"/>
        </w:rPr>
      </w:pPr>
      <w:r>
        <w:rPr>
          <w:rFonts w:hint="eastAsia" w:asciiTheme="minorEastAsia" w:hAnsiTheme="minorEastAsia" w:eastAsiaTheme="minorEastAsia" w:cstheme="minorEastAsia"/>
          <w:iCs/>
          <w:snapToGrid w:val="0"/>
          <w:color w:val="auto"/>
          <w:kern w:val="0"/>
          <w:szCs w:val="21"/>
          <w:highlight w:val="none"/>
          <w:lang w:val="zh-CN"/>
        </w:rPr>
        <w:t>28.1</w:t>
      </w:r>
      <w:r>
        <w:rPr>
          <w:rFonts w:hint="eastAsia" w:asciiTheme="minorEastAsia" w:hAnsiTheme="minorEastAsia" w:eastAsiaTheme="minorEastAsia" w:cstheme="minorEastAsia"/>
          <w:iCs/>
          <w:snapToGrid w:val="0"/>
          <w:color w:val="auto"/>
          <w:kern w:val="0"/>
          <w:szCs w:val="21"/>
          <w:highlight w:val="none"/>
        </w:rPr>
        <w:t xml:space="preserve">  </w:t>
      </w:r>
      <w:r>
        <w:rPr>
          <w:rFonts w:hint="eastAsia" w:asciiTheme="minorEastAsia" w:hAnsiTheme="minorEastAsia" w:eastAsiaTheme="minorEastAsia" w:cstheme="minorEastAsia"/>
          <w:iCs/>
          <w:snapToGrid w:val="0"/>
          <w:color w:val="auto"/>
          <w:kern w:val="0"/>
          <w:szCs w:val="21"/>
          <w:highlight w:val="none"/>
          <w:lang w:val="zh-CN"/>
        </w:rPr>
        <w:t>采购人将把合同授予排名</w:t>
      </w:r>
      <w:r>
        <w:rPr>
          <w:rFonts w:hint="eastAsia" w:asciiTheme="minorEastAsia" w:hAnsiTheme="minorEastAsia" w:eastAsiaTheme="minorEastAsia" w:cstheme="minorEastAsia"/>
          <w:iCs/>
          <w:snapToGrid w:val="0"/>
          <w:color w:val="auto"/>
          <w:kern w:val="0"/>
          <w:szCs w:val="21"/>
          <w:highlight w:val="none"/>
        </w:rPr>
        <w:t>推荐数量</w:t>
      </w:r>
      <w:r>
        <w:rPr>
          <w:rFonts w:hint="eastAsia" w:asciiTheme="minorEastAsia" w:hAnsiTheme="minorEastAsia" w:eastAsiaTheme="minorEastAsia" w:cstheme="minorEastAsia"/>
          <w:iCs/>
          <w:snapToGrid w:val="0"/>
          <w:color w:val="auto"/>
          <w:kern w:val="0"/>
          <w:szCs w:val="21"/>
          <w:highlight w:val="none"/>
          <w:lang w:val="zh-CN"/>
        </w:rPr>
        <w:t>的供应商，特殊情况按本须知29.3的规定执行。</w:t>
      </w:r>
    </w:p>
    <w:p>
      <w:pPr>
        <w:spacing w:line="360" w:lineRule="auto"/>
        <w:ind w:left="630" w:hanging="630" w:hangingChars="300"/>
        <w:jc w:val="left"/>
        <w:rPr>
          <w:rFonts w:ascii="宋体" w:hAnsi="宋体" w:cs="宋体"/>
          <w:color w:val="auto"/>
          <w:szCs w:val="21"/>
          <w:highlight w:val="none"/>
        </w:rPr>
      </w:pPr>
      <w:r>
        <w:rPr>
          <w:rFonts w:hint="eastAsia" w:asciiTheme="minorEastAsia" w:hAnsiTheme="minorEastAsia" w:eastAsiaTheme="minorEastAsia" w:cstheme="minorEastAsia"/>
          <w:iCs/>
          <w:snapToGrid w:val="0"/>
          <w:color w:val="auto"/>
          <w:kern w:val="0"/>
          <w:szCs w:val="21"/>
          <w:highlight w:val="none"/>
          <w:lang w:val="zh-CN"/>
        </w:rPr>
        <w:t>28.</w:t>
      </w:r>
      <w:r>
        <w:rPr>
          <w:rFonts w:hint="eastAsia" w:asciiTheme="minorEastAsia" w:hAnsiTheme="minorEastAsia" w:eastAsiaTheme="minorEastAsia" w:cstheme="minorEastAsia"/>
          <w:iCs/>
          <w:snapToGrid w:val="0"/>
          <w:color w:val="auto"/>
          <w:kern w:val="0"/>
          <w:szCs w:val="21"/>
          <w:highlight w:val="none"/>
        </w:rPr>
        <w:t xml:space="preserve">2  </w:t>
      </w:r>
      <w:r>
        <w:rPr>
          <w:rFonts w:hint="eastAsia" w:asciiTheme="minorEastAsia" w:hAnsiTheme="minorEastAsia" w:eastAsiaTheme="minorEastAsia" w:cstheme="minorEastAsia"/>
          <w:iCs/>
          <w:snapToGrid w:val="0"/>
          <w:color w:val="auto"/>
          <w:kern w:val="0"/>
          <w:szCs w:val="21"/>
          <w:highlight w:val="none"/>
          <w:lang w:val="zh-CN"/>
        </w:rPr>
        <w:t>采购代理机构应当在评审结束后2个工作日内将评审报告送采购人确认。</w:t>
      </w:r>
      <w:r>
        <w:rPr>
          <w:rFonts w:ascii="宋体" w:hAnsi="宋体" w:cs="宋体"/>
          <w:color w:val="auto"/>
          <w:szCs w:val="21"/>
          <w:highlight w:val="none"/>
        </w:rPr>
        <w:t xml:space="preserve"> </w:t>
      </w:r>
    </w:p>
    <w:p>
      <w:pPr>
        <w:autoSpaceDE w:val="0"/>
        <w:autoSpaceDN w:val="0"/>
        <w:adjustRightInd w:val="0"/>
        <w:spacing w:line="360" w:lineRule="auto"/>
        <w:ind w:left="630" w:hanging="630" w:hangingChars="300"/>
        <w:jc w:val="left"/>
        <w:rPr>
          <w:rFonts w:asciiTheme="minorEastAsia" w:hAnsiTheme="minorEastAsia" w:eastAsiaTheme="minorEastAsia" w:cstheme="minorEastAsia"/>
          <w:iCs/>
          <w:snapToGrid w:val="0"/>
          <w:color w:val="auto"/>
          <w:kern w:val="0"/>
          <w:szCs w:val="21"/>
          <w:highlight w:val="none"/>
          <w:lang w:val="zh-CN"/>
        </w:rPr>
      </w:pPr>
      <w:r>
        <w:rPr>
          <w:rFonts w:hint="eastAsia" w:asciiTheme="minorEastAsia" w:hAnsiTheme="minorEastAsia" w:eastAsiaTheme="minorEastAsia" w:cstheme="minorEastAsia"/>
          <w:iCs/>
          <w:snapToGrid w:val="0"/>
          <w:color w:val="auto"/>
          <w:kern w:val="0"/>
          <w:szCs w:val="21"/>
          <w:highlight w:val="none"/>
          <w:lang w:val="zh-CN"/>
        </w:rPr>
        <w:t>28.</w:t>
      </w:r>
      <w:r>
        <w:rPr>
          <w:rFonts w:hint="eastAsia" w:asciiTheme="minorEastAsia" w:hAnsiTheme="minorEastAsia" w:eastAsiaTheme="minorEastAsia" w:cstheme="minorEastAsia"/>
          <w:iCs/>
          <w:snapToGrid w:val="0"/>
          <w:color w:val="auto"/>
          <w:kern w:val="0"/>
          <w:szCs w:val="21"/>
          <w:highlight w:val="none"/>
        </w:rPr>
        <w:t xml:space="preserve">3  </w:t>
      </w:r>
      <w:r>
        <w:rPr>
          <w:rFonts w:hint="eastAsia" w:asciiTheme="minorEastAsia" w:hAnsiTheme="minorEastAsia" w:eastAsiaTheme="minorEastAsia" w:cstheme="minorEastAsia"/>
          <w:snapToGrid w:val="0"/>
          <w:color w:val="auto"/>
          <w:kern w:val="0"/>
          <w:szCs w:val="21"/>
          <w:highlight w:val="none"/>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autoSpaceDE w:val="0"/>
        <w:autoSpaceDN w:val="0"/>
        <w:adjustRightInd w:val="0"/>
        <w:spacing w:line="360" w:lineRule="auto"/>
        <w:ind w:left="630" w:hanging="630" w:hangingChars="300"/>
        <w:jc w:val="left"/>
        <w:rPr>
          <w:rFonts w:asciiTheme="minorEastAsia" w:hAnsiTheme="minorEastAsia" w:eastAsiaTheme="minorEastAsia" w:cstheme="minorEastAsia"/>
          <w:iCs/>
          <w:snapToGrid w:val="0"/>
          <w:color w:val="auto"/>
          <w:kern w:val="0"/>
          <w:szCs w:val="21"/>
          <w:highlight w:val="none"/>
          <w:lang w:val="zh-CN"/>
        </w:rPr>
      </w:pPr>
      <w:r>
        <w:rPr>
          <w:rFonts w:hint="eastAsia" w:asciiTheme="minorEastAsia" w:hAnsiTheme="minorEastAsia" w:eastAsiaTheme="minorEastAsia" w:cstheme="minorEastAsia"/>
          <w:iCs/>
          <w:snapToGrid w:val="0"/>
          <w:color w:val="auto"/>
          <w:kern w:val="0"/>
          <w:szCs w:val="21"/>
          <w:highlight w:val="none"/>
          <w:lang w:val="zh-CN"/>
        </w:rPr>
        <w:t>28.</w:t>
      </w:r>
      <w:r>
        <w:rPr>
          <w:rFonts w:hint="eastAsia" w:asciiTheme="minorEastAsia" w:hAnsiTheme="minorEastAsia" w:eastAsiaTheme="minorEastAsia" w:cstheme="minorEastAsia"/>
          <w:iCs/>
          <w:snapToGrid w:val="0"/>
          <w:color w:val="auto"/>
          <w:kern w:val="0"/>
          <w:szCs w:val="21"/>
          <w:highlight w:val="none"/>
        </w:rPr>
        <w:t xml:space="preserve">4  </w:t>
      </w:r>
      <w:r>
        <w:rPr>
          <w:rFonts w:hint="eastAsia" w:asciiTheme="minorEastAsia" w:hAnsiTheme="minorEastAsia" w:eastAsiaTheme="minorEastAsia" w:cstheme="minorEastAsia"/>
          <w:iCs/>
          <w:snapToGrid w:val="0"/>
          <w:color w:val="auto"/>
          <w:kern w:val="0"/>
          <w:szCs w:val="21"/>
          <w:highlight w:val="none"/>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autoSpaceDE w:val="0"/>
        <w:autoSpaceDN w:val="0"/>
        <w:adjustRightInd w:val="0"/>
        <w:spacing w:line="360" w:lineRule="auto"/>
        <w:ind w:left="630" w:hanging="630" w:hangingChars="300"/>
        <w:jc w:val="left"/>
        <w:rPr>
          <w:rFonts w:asciiTheme="minorEastAsia" w:hAnsiTheme="minorEastAsia" w:eastAsiaTheme="minorEastAsia" w:cstheme="minorEastAsia"/>
          <w:iCs/>
          <w:snapToGrid w:val="0"/>
          <w:color w:val="auto"/>
          <w:kern w:val="0"/>
          <w:szCs w:val="21"/>
          <w:highlight w:val="none"/>
          <w:lang w:val="zh-CN"/>
        </w:rPr>
      </w:pPr>
      <w:r>
        <w:rPr>
          <w:rFonts w:hint="eastAsia" w:asciiTheme="minorEastAsia" w:hAnsiTheme="minorEastAsia" w:eastAsiaTheme="minorEastAsia" w:cstheme="minorEastAsia"/>
          <w:iCs/>
          <w:snapToGrid w:val="0"/>
          <w:color w:val="auto"/>
          <w:kern w:val="0"/>
          <w:szCs w:val="21"/>
          <w:highlight w:val="none"/>
          <w:lang w:val="zh-CN"/>
        </w:rPr>
        <w:t>28.</w:t>
      </w:r>
      <w:r>
        <w:rPr>
          <w:rFonts w:hint="eastAsia" w:asciiTheme="minorEastAsia" w:hAnsiTheme="minorEastAsia" w:eastAsiaTheme="minorEastAsia" w:cstheme="minorEastAsia"/>
          <w:iCs/>
          <w:snapToGrid w:val="0"/>
          <w:color w:val="auto"/>
          <w:kern w:val="0"/>
          <w:szCs w:val="21"/>
          <w:highlight w:val="none"/>
        </w:rPr>
        <w:t xml:space="preserve">5  </w:t>
      </w:r>
      <w:r>
        <w:rPr>
          <w:rFonts w:hint="eastAsia" w:asciiTheme="minorEastAsia" w:hAnsiTheme="minorEastAsia" w:eastAsiaTheme="minorEastAsia" w:cstheme="minorEastAsia"/>
          <w:iCs/>
          <w:snapToGrid w:val="0"/>
          <w:color w:val="auto"/>
          <w:kern w:val="0"/>
          <w:szCs w:val="21"/>
          <w:highlight w:val="none"/>
          <w:lang w:val="zh-CN"/>
        </w:rPr>
        <w:t>成交通知书的领取时间详见《供应商须知前附表》。</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color w:val="auto"/>
          <w:highlight w:val="none"/>
          <w:lang w:val="zh-CN"/>
        </w:rPr>
      </w:pPr>
      <w:bookmarkStart w:id="89" w:name="_Toc15727"/>
      <w:r>
        <w:rPr>
          <w:rFonts w:hint="eastAsia" w:asciiTheme="minorEastAsia" w:hAnsiTheme="minorEastAsia" w:eastAsiaTheme="minorEastAsia" w:cstheme="minorEastAsia"/>
          <w:b/>
          <w:color w:val="auto"/>
          <w:highlight w:val="none"/>
          <w:lang w:val="zh-CN"/>
        </w:rPr>
        <w:t>签订合同</w:t>
      </w:r>
      <w:bookmarkEnd w:id="89"/>
    </w:p>
    <w:p>
      <w:pPr>
        <w:tabs>
          <w:tab w:val="left" w:pos="426"/>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 xml:space="preserve">29.1 </w:t>
      </w:r>
      <w:r>
        <w:rPr>
          <w:rFonts w:hint="eastAsia" w:asciiTheme="minorEastAsia" w:hAnsiTheme="minorEastAsia" w:eastAsiaTheme="minorEastAsia" w:cstheme="minorEastAsia"/>
          <w:snapToGrid w:val="0"/>
          <w:color w:val="auto"/>
          <w:kern w:val="0"/>
          <w:szCs w:val="21"/>
          <w:highlight w:val="none"/>
        </w:rPr>
        <w:t xml:space="preserve"> </w:t>
      </w:r>
      <w:r>
        <w:rPr>
          <w:rFonts w:hint="eastAsia" w:asciiTheme="minorEastAsia" w:hAnsiTheme="minorEastAsia" w:eastAsiaTheme="minorEastAsia" w:cstheme="minorEastAsia"/>
          <w:snapToGrid w:val="0"/>
          <w:color w:val="auto"/>
          <w:kern w:val="0"/>
          <w:szCs w:val="21"/>
          <w:highlight w:val="none"/>
          <w:lang w:val="zh-CN"/>
        </w:rPr>
        <w:t>竞争性磋商采购文件对履约保证金有规定的，成交供应商应按规定在签订合同前缴纳履约保证金。</w:t>
      </w:r>
    </w:p>
    <w:p>
      <w:pPr>
        <w:tabs>
          <w:tab w:val="left" w:pos="426"/>
        </w:tabs>
        <w:autoSpaceDE w:val="0"/>
        <w:autoSpaceDN w:val="0"/>
        <w:adjustRightInd w:val="0"/>
        <w:spacing w:line="360" w:lineRule="auto"/>
        <w:ind w:left="630" w:hanging="630" w:hangingChars="30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snapToGrid w:val="0"/>
          <w:color w:val="auto"/>
          <w:szCs w:val="21"/>
          <w:highlight w:val="none"/>
          <w:lang w:val="zh-CN"/>
        </w:rPr>
        <w:t xml:space="preserve">29.2 </w:t>
      </w:r>
      <w:r>
        <w:rPr>
          <w:rFonts w:hint="eastAsia" w:asciiTheme="minorEastAsia" w:hAnsiTheme="minorEastAsia" w:eastAsiaTheme="minorEastAsia" w:cstheme="minorEastAsia"/>
          <w:snapToGrid w:val="0"/>
          <w:color w:val="auto"/>
          <w:szCs w:val="21"/>
          <w:highlight w:val="none"/>
        </w:rPr>
        <w:t xml:space="preserve"> </w:t>
      </w:r>
      <w:r>
        <w:rPr>
          <w:rFonts w:hint="eastAsia" w:asciiTheme="minorEastAsia" w:hAnsiTheme="minorEastAsia" w:eastAsiaTheme="minorEastAsia" w:cstheme="minorEastAsia"/>
          <w:snapToGrid w:val="0"/>
          <w:color w:val="auto"/>
          <w:szCs w:val="21"/>
          <w:highlight w:val="none"/>
          <w:lang w:val="zh-CN"/>
        </w:rPr>
        <w:t>采购人与成交供应商应当在成交通知书发出之日起30日内，按照采购文件确定的合同文本以及采购标的、规格型号、采购金额、采购数量、技术和服务要求等事项签订政府采购合同。</w:t>
      </w:r>
    </w:p>
    <w:p>
      <w:pPr>
        <w:autoSpaceDE w:val="0"/>
        <w:autoSpaceDN w:val="0"/>
        <w:adjustRightInd w:val="0"/>
        <w:spacing w:line="360" w:lineRule="auto"/>
        <w:ind w:left="630" w:leftChars="30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utoSpaceDE w:val="0"/>
        <w:autoSpaceDN w:val="0"/>
        <w:adjustRightInd w:val="0"/>
        <w:spacing w:line="360" w:lineRule="auto"/>
        <w:ind w:left="630" w:leftChars="30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采购人应当自政府采购合同签订之日起2个工作日内，将政府采购合同在省级以上人民政府指定的媒体上公告，但政府采购合同中涉及国家秘密、商业秘密的内容除外。</w:t>
      </w:r>
    </w:p>
    <w:p>
      <w:pPr>
        <w:autoSpaceDE w:val="0"/>
        <w:autoSpaceDN w:val="0"/>
        <w:adjustRightInd w:val="0"/>
        <w:spacing w:line="360" w:lineRule="auto"/>
        <w:ind w:left="630" w:hanging="630" w:hangingChars="30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29.3  </w:t>
      </w:r>
      <w:r>
        <w:rPr>
          <w:rFonts w:hint="eastAsia" w:asciiTheme="minorEastAsia" w:hAnsiTheme="minorEastAsia" w:eastAsiaTheme="minorEastAsia" w:cstheme="minorEastAsia"/>
          <w:color w:val="auto"/>
          <w:highlight w:val="none"/>
          <w:lang w:val="zh-CN"/>
        </w:rPr>
        <w:t>成交供应商拒绝与采购人签订合同的，采购人可以按照评审报告推荐的中标候选人名单排序，确定下一候选人为成交供应商，也可以重新开展政府采购活动。</w:t>
      </w:r>
    </w:p>
    <w:p>
      <w:pPr>
        <w:autoSpaceDE w:val="0"/>
        <w:autoSpaceDN w:val="0"/>
        <w:adjustRightInd w:val="0"/>
        <w:spacing w:line="360" w:lineRule="auto"/>
        <w:ind w:left="630" w:hanging="630" w:hangingChars="30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29.4  </w:t>
      </w:r>
      <w:r>
        <w:rPr>
          <w:rFonts w:hint="eastAsia" w:asciiTheme="minorEastAsia" w:hAnsiTheme="minorEastAsia" w:eastAsiaTheme="minorEastAsia" w:cstheme="minorEastAsia"/>
          <w:snapToGrid w:val="0"/>
          <w:color w:val="auto"/>
          <w:kern w:val="0"/>
          <w:szCs w:val="21"/>
          <w:highlight w:val="none"/>
          <w:lang w:val="zh-CN"/>
        </w:rPr>
        <w:t>签订政府采购合同后7个工作日内，采购人应将政府采购合同副本报同级政府采购监管部门备案。</w:t>
      </w:r>
    </w:p>
    <w:p>
      <w:pPr>
        <w:tabs>
          <w:tab w:val="left" w:pos="540"/>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 xml:space="preserve">29.5 </w:t>
      </w:r>
      <w:r>
        <w:rPr>
          <w:rFonts w:hint="eastAsia" w:asciiTheme="minorEastAsia" w:hAnsiTheme="minorEastAsia" w:eastAsiaTheme="minorEastAsia" w:cstheme="minorEastAsia"/>
          <w:snapToGrid w:val="0"/>
          <w:color w:val="auto"/>
          <w:kern w:val="0"/>
          <w:szCs w:val="21"/>
          <w:highlight w:val="none"/>
        </w:rPr>
        <w:t xml:space="preserve"> </w:t>
      </w:r>
      <w:r>
        <w:rPr>
          <w:rFonts w:hint="eastAsia" w:asciiTheme="minorEastAsia" w:hAnsiTheme="minorEastAsia" w:eastAsiaTheme="minorEastAsia" w:cstheme="minorEastAsia"/>
          <w:snapToGrid w:val="0"/>
          <w:color w:val="auto"/>
          <w:kern w:val="0"/>
          <w:szCs w:val="21"/>
          <w:highlight w:val="none"/>
          <w:lang w:val="zh-CN"/>
        </w:rPr>
        <w:t>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tabs>
          <w:tab w:val="left" w:pos="540"/>
        </w:tabs>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szCs w:val="21"/>
          <w:highlight w:val="none"/>
          <w:lang w:val="zh-CN"/>
        </w:rPr>
        <w:t xml:space="preserve">29.6 </w:t>
      </w:r>
      <w:r>
        <w:rPr>
          <w:rFonts w:hint="eastAsia" w:asciiTheme="minorEastAsia" w:hAnsiTheme="minorEastAsia" w:eastAsiaTheme="minorEastAsia" w:cstheme="minorEastAsia"/>
          <w:snapToGrid w:val="0"/>
          <w:color w:val="auto"/>
          <w:szCs w:val="21"/>
          <w:highlight w:val="none"/>
        </w:rPr>
        <w:t xml:space="preserve"> </w:t>
      </w:r>
      <w:r>
        <w:rPr>
          <w:rFonts w:hint="eastAsia" w:asciiTheme="minorEastAsia" w:hAnsiTheme="minorEastAsia" w:eastAsiaTheme="minorEastAsia" w:cstheme="minorEastAsia"/>
          <w:snapToGrid w:val="0"/>
          <w:color w:val="auto"/>
          <w:szCs w:val="21"/>
          <w:highlight w:val="none"/>
          <w:lang w:val="zh-CN"/>
        </w:rPr>
        <w:t>除不可抗力等因素外，成交通知书发出后，采购人改变成交结果，或者成交供应商拒绝签订政府采购合同的，应当承担相应的法律责任。</w:t>
      </w:r>
    </w:p>
    <w:p>
      <w:pPr>
        <w:autoSpaceDE w:val="0"/>
        <w:autoSpaceDN w:val="0"/>
        <w:adjustRightInd w:val="0"/>
        <w:spacing w:line="360" w:lineRule="auto"/>
        <w:ind w:left="630" w:leftChars="30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8"/>
        </w:numPr>
        <w:tabs>
          <w:tab w:val="left" w:pos="540"/>
          <w:tab w:val="clear" w:pos="840"/>
        </w:tabs>
        <w:spacing w:line="360" w:lineRule="auto"/>
        <w:ind w:left="632" w:hanging="632" w:hangingChars="300"/>
        <w:jc w:val="left"/>
        <w:rPr>
          <w:rFonts w:asciiTheme="minorEastAsia" w:hAnsiTheme="minorEastAsia" w:eastAsiaTheme="minorEastAsia" w:cstheme="minorEastAsia"/>
          <w:b/>
          <w:color w:val="auto"/>
          <w:szCs w:val="21"/>
          <w:highlight w:val="none"/>
          <w:lang w:val="zh-CN"/>
        </w:rPr>
      </w:pPr>
      <w:bookmarkStart w:id="90" w:name="_Toc4883"/>
      <w:bookmarkStart w:id="91" w:name="_Toc13988"/>
      <w:bookmarkStart w:id="92" w:name="_Toc14510"/>
      <w:r>
        <w:rPr>
          <w:rFonts w:hint="eastAsia" w:asciiTheme="minorEastAsia" w:hAnsiTheme="minorEastAsia" w:eastAsiaTheme="minorEastAsia" w:cstheme="minorEastAsia"/>
          <w:b/>
          <w:color w:val="auto"/>
          <w:szCs w:val="21"/>
          <w:highlight w:val="none"/>
          <w:lang w:val="zh-CN"/>
        </w:rPr>
        <w:t>质疑和投诉</w:t>
      </w:r>
      <w:bookmarkEnd w:id="90"/>
      <w:bookmarkEnd w:id="91"/>
      <w:bookmarkEnd w:id="92"/>
    </w:p>
    <w:p>
      <w:pPr>
        <w:numPr>
          <w:ilvl w:val="0"/>
          <w:numId w:val="9"/>
        </w:numPr>
        <w:tabs>
          <w:tab w:val="left" w:pos="864"/>
          <w:tab w:val="left" w:pos="1080"/>
        </w:tabs>
        <w:spacing w:line="360" w:lineRule="auto"/>
        <w:ind w:left="632" w:hanging="632" w:hangingChars="300"/>
        <w:jc w:val="left"/>
        <w:rPr>
          <w:rFonts w:asciiTheme="minorEastAsia" w:hAnsiTheme="minorEastAsia" w:eastAsiaTheme="minorEastAsia" w:cstheme="minorEastAsia"/>
          <w:b/>
          <w:color w:val="auto"/>
          <w:highlight w:val="none"/>
          <w:lang w:val="zh-CN"/>
        </w:rPr>
      </w:pPr>
      <w:r>
        <w:rPr>
          <w:rFonts w:hint="eastAsia" w:asciiTheme="minorEastAsia" w:hAnsiTheme="minorEastAsia" w:eastAsiaTheme="minorEastAsia" w:cstheme="minorEastAsia"/>
          <w:b/>
          <w:color w:val="auto"/>
          <w:highlight w:val="none"/>
          <w:lang w:val="zh-CN"/>
        </w:rPr>
        <w:t>质疑</w:t>
      </w:r>
    </w:p>
    <w:p>
      <w:pPr>
        <w:autoSpaceDE w:val="0"/>
        <w:autoSpaceDN w:val="0"/>
        <w:adjustRightInd w:val="0"/>
        <w:spacing w:line="360" w:lineRule="auto"/>
        <w:ind w:left="630" w:hanging="630" w:hangingChars="300"/>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3</w:t>
      </w:r>
      <w:r>
        <w:rPr>
          <w:rFonts w:hint="eastAsia" w:ascii="宋体" w:hAnsi="宋体" w:cs="宋体"/>
          <w:snapToGrid w:val="0"/>
          <w:color w:val="auto"/>
          <w:kern w:val="0"/>
          <w:szCs w:val="21"/>
          <w:highlight w:val="none"/>
        </w:rPr>
        <w:t>0</w:t>
      </w:r>
      <w:r>
        <w:rPr>
          <w:rFonts w:hint="eastAsia" w:ascii="宋体" w:hAnsi="宋体" w:cs="宋体"/>
          <w:snapToGrid w:val="0"/>
          <w:color w:val="auto"/>
          <w:kern w:val="0"/>
          <w:szCs w:val="21"/>
          <w:highlight w:val="none"/>
          <w:lang w:val="zh-CN"/>
        </w:rPr>
        <w:t>.1</w:t>
      </w:r>
      <w:r>
        <w:rPr>
          <w:rFonts w:hint="eastAsia" w:ascii="宋体" w:hAnsi="宋体" w:cs="宋体"/>
          <w:snapToGrid w:val="0"/>
          <w:color w:val="auto"/>
          <w:kern w:val="0"/>
          <w:szCs w:val="21"/>
          <w:highlight w:val="none"/>
        </w:rPr>
        <w:t xml:space="preserve">  </w:t>
      </w:r>
      <w:r>
        <w:rPr>
          <w:rFonts w:hint="eastAsia" w:ascii="宋体" w:hAnsi="宋体" w:cs="宋体"/>
          <w:snapToGrid w:val="0"/>
          <w:color w:val="auto"/>
          <w:kern w:val="0"/>
          <w:szCs w:val="21"/>
          <w:highlight w:val="none"/>
          <w:lang w:val="zh-CN"/>
        </w:rPr>
        <w:t>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ind w:left="630" w:hanging="630" w:hangingChars="300"/>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3</w:t>
      </w:r>
      <w:r>
        <w:rPr>
          <w:rFonts w:hint="eastAsia" w:ascii="宋体" w:hAnsi="宋体" w:cs="宋体"/>
          <w:snapToGrid w:val="0"/>
          <w:color w:val="auto"/>
          <w:kern w:val="0"/>
          <w:szCs w:val="21"/>
          <w:highlight w:val="none"/>
        </w:rPr>
        <w:t>0</w:t>
      </w:r>
      <w:r>
        <w:rPr>
          <w:rFonts w:hint="eastAsia" w:ascii="宋体" w:hAnsi="宋体" w:cs="宋体"/>
          <w:snapToGrid w:val="0"/>
          <w:color w:val="auto"/>
          <w:kern w:val="0"/>
          <w:szCs w:val="21"/>
          <w:highlight w:val="none"/>
          <w:lang w:val="zh-CN"/>
        </w:rPr>
        <w:t>.2</w:t>
      </w:r>
      <w:r>
        <w:rPr>
          <w:rFonts w:hint="eastAsia" w:ascii="宋体" w:hAnsi="宋体" w:cs="宋体"/>
          <w:snapToGrid w:val="0"/>
          <w:color w:val="auto"/>
          <w:kern w:val="0"/>
          <w:szCs w:val="21"/>
          <w:highlight w:val="none"/>
        </w:rPr>
        <w:t xml:space="preserve">  </w:t>
      </w:r>
      <w:r>
        <w:rPr>
          <w:rFonts w:hint="eastAsia" w:ascii="宋体" w:hAnsi="宋体" w:cs="宋体"/>
          <w:snapToGrid w:val="0"/>
          <w:color w:val="auto"/>
          <w:kern w:val="0"/>
          <w:szCs w:val="21"/>
          <w:highlight w:val="none"/>
          <w:lang w:val="zh-CN"/>
        </w:rPr>
        <w:t>质疑书应当包括下列主要内容：</w:t>
      </w:r>
    </w:p>
    <w:p>
      <w:pPr>
        <w:autoSpaceDE w:val="0"/>
        <w:autoSpaceDN w:val="0"/>
        <w:adjustRightInd w:val="0"/>
        <w:spacing w:line="360" w:lineRule="auto"/>
        <w:ind w:left="630" w:hanging="630" w:hangingChars="300"/>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（1）</w:t>
      </w:r>
      <w:r>
        <w:rPr>
          <w:rFonts w:hint="eastAsia" w:ascii="宋体" w:hAnsi="宋体" w:cs="宋体"/>
          <w:snapToGrid w:val="0"/>
          <w:color w:val="auto"/>
          <w:kern w:val="0"/>
          <w:szCs w:val="21"/>
          <w:highlight w:val="none"/>
        </w:rPr>
        <w:t xml:space="preserve"> </w:t>
      </w:r>
      <w:r>
        <w:rPr>
          <w:rFonts w:hint="eastAsia" w:ascii="宋体" w:hAnsi="宋体" w:cs="宋体"/>
          <w:snapToGrid w:val="0"/>
          <w:color w:val="auto"/>
          <w:kern w:val="0"/>
          <w:szCs w:val="21"/>
          <w:highlight w:val="none"/>
          <w:lang w:val="zh-CN"/>
        </w:rPr>
        <w:t>质疑人的名称、地址、联系人及联系电话等；</w:t>
      </w:r>
    </w:p>
    <w:p>
      <w:pPr>
        <w:autoSpaceDE w:val="0"/>
        <w:autoSpaceDN w:val="0"/>
        <w:adjustRightInd w:val="0"/>
        <w:spacing w:line="360" w:lineRule="auto"/>
        <w:ind w:left="630" w:hanging="630" w:hangingChars="300"/>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（2）</w:t>
      </w:r>
      <w:r>
        <w:rPr>
          <w:rFonts w:hint="eastAsia" w:ascii="宋体" w:hAnsi="宋体" w:cs="宋体"/>
          <w:snapToGrid w:val="0"/>
          <w:color w:val="auto"/>
          <w:kern w:val="0"/>
          <w:szCs w:val="21"/>
          <w:highlight w:val="none"/>
        </w:rPr>
        <w:t xml:space="preserve"> </w:t>
      </w:r>
      <w:r>
        <w:rPr>
          <w:rFonts w:hint="eastAsia" w:ascii="宋体" w:hAnsi="宋体" w:cs="宋体"/>
          <w:snapToGrid w:val="0"/>
          <w:color w:val="auto"/>
          <w:kern w:val="0"/>
          <w:szCs w:val="21"/>
          <w:highlight w:val="none"/>
          <w:lang w:val="zh-CN"/>
        </w:rPr>
        <w:t>被质疑人的名称、地址、联系人及联系电话等；</w:t>
      </w:r>
    </w:p>
    <w:p>
      <w:pPr>
        <w:autoSpaceDE w:val="0"/>
        <w:autoSpaceDN w:val="0"/>
        <w:adjustRightInd w:val="0"/>
        <w:spacing w:line="360" w:lineRule="auto"/>
        <w:ind w:left="630" w:hanging="630" w:hangingChars="300"/>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（3）</w:t>
      </w:r>
      <w:r>
        <w:rPr>
          <w:rFonts w:hint="eastAsia" w:ascii="宋体" w:hAnsi="宋体" w:cs="宋体"/>
          <w:snapToGrid w:val="0"/>
          <w:color w:val="auto"/>
          <w:kern w:val="0"/>
          <w:szCs w:val="21"/>
          <w:highlight w:val="none"/>
        </w:rPr>
        <w:t xml:space="preserve"> </w:t>
      </w:r>
      <w:r>
        <w:rPr>
          <w:rFonts w:hint="eastAsia" w:ascii="宋体" w:hAnsi="宋体" w:cs="宋体"/>
          <w:snapToGrid w:val="0"/>
          <w:color w:val="auto"/>
          <w:kern w:val="0"/>
          <w:szCs w:val="21"/>
          <w:highlight w:val="none"/>
          <w:lang w:val="zh-CN"/>
        </w:rPr>
        <w:t>质疑项目名称及编号、质疑事项和明确的请求；</w:t>
      </w:r>
    </w:p>
    <w:p>
      <w:pPr>
        <w:autoSpaceDE w:val="0"/>
        <w:autoSpaceDN w:val="0"/>
        <w:adjustRightInd w:val="0"/>
        <w:spacing w:line="360" w:lineRule="auto"/>
        <w:ind w:left="630" w:hanging="630" w:hangingChars="300"/>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（4）</w:t>
      </w:r>
      <w:r>
        <w:rPr>
          <w:rFonts w:hint="eastAsia" w:ascii="宋体" w:hAnsi="宋体" w:cs="宋体"/>
          <w:snapToGrid w:val="0"/>
          <w:color w:val="auto"/>
          <w:kern w:val="0"/>
          <w:szCs w:val="21"/>
          <w:highlight w:val="none"/>
        </w:rPr>
        <w:t xml:space="preserve"> </w:t>
      </w:r>
      <w:r>
        <w:rPr>
          <w:rFonts w:hint="eastAsia" w:ascii="宋体" w:hAnsi="宋体" w:cs="宋体"/>
          <w:snapToGrid w:val="0"/>
          <w:color w:val="auto"/>
          <w:kern w:val="0"/>
          <w:szCs w:val="21"/>
          <w:highlight w:val="none"/>
          <w:lang w:val="zh-CN"/>
        </w:rPr>
        <w:t>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ind w:left="630" w:hanging="630" w:hangingChars="300"/>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（5）</w:t>
      </w:r>
      <w:r>
        <w:rPr>
          <w:rFonts w:hint="eastAsia" w:ascii="宋体" w:hAnsi="宋体" w:cs="宋体"/>
          <w:snapToGrid w:val="0"/>
          <w:color w:val="auto"/>
          <w:kern w:val="0"/>
          <w:szCs w:val="21"/>
          <w:highlight w:val="none"/>
        </w:rPr>
        <w:t xml:space="preserve"> </w:t>
      </w:r>
      <w:r>
        <w:rPr>
          <w:rFonts w:hint="eastAsia" w:ascii="宋体" w:hAnsi="宋体" w:cs="宋体"/>
          <w:snapToGrid w:val="0"/>
          <w:color w:val="auto"/>
          <w:kern w:val="0"/>
          <w:szCs w:val="21"/>
          <w:highlight w:val="none"/>
          <w:lang w:val="zh-CN"/>
        </w:rPr>
        <w:t>提出质疑的日期；</w:t>
      </w:r>
    </w:p>
    <w:p>
      <w:pPr>
        <w:autoSpaceDE w:val="0"/>
        <w:autoSpaceDN w:val="0"/>
        <w:adjustRightInd w:val="0"/>
        <w:spacing w:line="360" w:lineRule="auto"/>
        <w:ind w:left="630" w:hanging="630" w:hangingChars="300"/>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（6）</w:t>
      </w:r>
      <w:r>
        <w:rPr>
          <w:rFonts w:hint="eastAsia" w:ascii="宋体" w:hAnsi="宋体" w:cs="宋体"/>
          <w:snapToGrid w:val="0"/>
          <w:color w:val="auto"/>
          <w:kern w:val="0"/>
          <w:szCs w:val="21"/>
          <w:highlight w:val="none"/>
        </w:rPr>
        <w:t xml:space="preserve"> </w:t>
      </w:r>
      <w:r>
        <w:rPr>
          <w:rFonts w:hint="eastAsia" w:ascii="宋体" w:hAnsi="宋体" w:cs="宋体"/>
          <w:snapToGrid w:val="0"/>
          <w:color w:val="auto"/>
          <w:kern w:val="0"/>
          <w:szCs w:val="21"/>
          <w:highlight w:val="none"/>
          <w:lang w:val="zh-CN"/>
        </w:rPr>
        <w:t>质疑人的署名及签章（质疑人为自然人的，应当由本人签字；质疑人为法人或者其他组织的，应当由法定代表人或者主要负责人签字盖章并加盖公章）；</w:t>
      </w:r>
    </w:p>
    <w:p>
      <w:pPr>
        <w:autoSpaceDE w:val="0"/>
        <w:autoSpaceDN w:val="0"/>
        <w:adjustRightInd w:val="0"/>
        <w:spacing w:line="360" w:lineRule="auto"/>
        <w:ind w:left="630" w:hanging="630" w:hangingChars="300"/>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（7）</w:t>
      </w:r>
      <w:r>
        <w:rPr>
          <w:rFonts w:hint="eastAsia" w:ascii="宋体" w:hAnsi="宋体" w:cs="宋体"/>
          <w:snapToGrid w:val="0"/>
          <w:color w:val="auto"/>
          <w:kern w:val="0"/>
          <w:szCs w:val="21"/>
          <w:highlight w:val="none"/>
        </w:rPr>
        <w:t xml:space="preserve"> </w:t>
      </w:r>
      <w:r>
        <w:rPr>
          <w:rFonts w:hint="eastAsia" w:ascii="宋体" w:hAnsi="宋体" w:cs="宋体"/>
          <w:snapToGrid w:val="0"/>
          <w:color w:val="auto"/>
          <w:kern w:val="0"/>
          <w:szCs w:val="21"/>
          <w:highlight w:val="none"/>
          <w:lang w:val="zh-CN"/>
        </w:rPr>
        <w:t>法人授权委托书（质疑人或法人委托代理人办理质疑事务的，应当提供授权委托书，授权委托书应当载明委托代理的具体权限和事项）。</w:t>
      </w:r>
    </w:p>
    <w:p>
      <w:pPr>
        <w:autoSpaceDE w:val="0"/>
        <w:autoSpaceDN w:val="0"/>
        <w:adjustRightInd w:val="0"/>
        <w:spacing w:line="360" w:lineRule="auto"/>
        <w:ind w:left="630" w:leftChars="300"/>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质疑书不符合上述要求的，采购人或代理机构应书面告知具体事项，质疑人应当按要求进行修改或补充，并在质疑有效期限内提交。</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color w:val="auto"/>
          <w:highlight w:val="none"/>
          <w:lang w:val="zh-CN"/>
        </w:rPr>
      </w:pPr>
      <w:bookmarkStart w:id="93" w:name="_Toc20387"/>
      <w:r>
        <w:rPr>
          <w:rFonts w:hint="eastAsia" w:asciiTheme="minorEastAsia" w:hAnsiTheme="minorEastAsia" w:eastAsiaTheme="minorEastAsia" w:cstheme="minorEastAsia"/>
          <w:b/>
          <w:color w:val="auto"/>
          <w:highlight w:val="none"/>
          <w:lang w:val="zh-CN"/>
        </w:rPr>
        <w:t>质疑回复</w:t>
      </w:r>
      <w:bookmarkEnd w:id="93"/>
    </w:p>
    <w:p>
      <w:pPr>
        <w:autoSpaceDE w:val="0"/>
        <w:autoSpaceDN w:val="0"/>
        <w:adjustRightInd w:val="0"/>
        <w:spacing w:line="360" w:lineRule="auto"/>
        <w:ind w:left="630" w:hanging="630" w:hangingChars="300"/>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3</w:t>
      </w:r>
      <w:r>
        <w:rPr>
          <w:rFonts w:hint="eastAsia" w:ascii="宋体" w:hAnsi="宋体" w:cs="宋体"/>
          <w:snapToGrid w:val="0"/>
          <w:color w:val="auto"/>
          <w:kern w:val="0"/>
          <w:szCs w:val="21"/>
          <w:highlight w:val="none"/>
        </w:rPr>
        <w:t>1</w:t>
      </w:r>
      <w:r>
        <w:rPr>
          <w:rFonts w:hint="eastAsia" w:ascii="宋体" w:hAnsi="宋体" w:cs="宋体"/>
          <w:snapToGrid w:val="0"/>
          <w:color w:val="auto"/>
          <w:kern w:val="0"/>
          <w:szCs w:val="21"/>
          <w:highlight w:val="none"/>
          <w:lang w:val="zh-CN"/>
        </w:rPr>
        <w:t>.1</w:t>
      </w:r>
      <w:r>
        <w:rPr>
          <w:rFonts w:hint="eastAsia" w:ascii="宋体" w:hAnsi="宋体" w:cs="宋体"/>
          <w:snapToGrid w:val="0"/>
          <w:color w:val="auto"/>
          <w:kern w:val="0"/>
          <w:szCs w:val="21"/>
          <w:highlight w:val="none"/>
        </w:rPr>
        <w:t xml:space="preserve">  </w:t>
      </w:r>
      <w:r>
        <w:rPr>
          <w:rFonts w:hint="eastAsia" w:ascii="宋体" w:hAnsi="宋体" w:cs="宋体"/>
          <w:snapToGrid w:val="0"/>
          <w:color w:val="auto"/>
          <w:kern w:val="0"/>
          <w:szCs w:val="21"/>
          <w:highlight w:val="none"/>
          <w:lang w:val="zh-CN"/>
        </w:rPr>
        <w:t>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3</w:t>
      </w:r>
      <w:r>
        <w:rPr>
          <w:rFonts w:hint="eastAsia" w:ascii="宋体" w:hAnsi="宋体" w:cs="宋体"/>
          <w:snapToGrid w:val="0"/>
          <w:color w:val="auto"/>
          <w:kern w:val="0"/>
          <w:szCs w:val="21"/>
          <w:highlight w:val="none"/>
        </w:rPr>
        <w:t>1</w:t>
      </w:r>
      <w:r>
        <w:rPr>
          <w:rFonts w:hint="eastAsia" w:ascii="宋体" w:hAnsi="宋体" w:cs="宋体"/>
          <w:snapToGrid w:val="0"/>
          <w:color w:val="auto"/>
          <w:kern w:val="0"/>
          <w:szCs w:val="21"/>
          <w:highlight w:val="none"/>
          <w:lang w:val="zh-CN"/>
        </w:rPr>
        <w:t>.2</w:t>
      </w:r>
      <w:r>
        <w:rPr>
          <w:rFonts w:hint="eastAsia" w:ascii="宋体" w:hAnsi="宋体" w:cs="宋体"/>
          <w:snapToGrid w:val="0"/>
          <w:color w:val="auto"/>
          <w:kern w:val="0"/>
          <w:szCs w:val="21"/>
          <w:highlight w:val="none"/>
        </w:rPr>
        <w:t xml:space="preserve">  </w:t>
      </w:r>
      <w:r>
        <w:rPr>
          <w:rFonts w:hint="eastAsia" w:ascii="宋体" w:hAnsi="宋体" w:cs="宋体"/>
          <w:snapToGrid w:val="0"/>
          <w:color w:val="auto"/>
          <w:kern w:val="0"/>
          <w:szCs w:val="21"/>
          <w:highlight w:val="none"/>
          <w:lang w:val="zh-CN"/>
        </w:rPr>
        <w:t>质疑答复应当包括下列内容：</w:t>
      </w:r>
    </w:p>
    <w:p>
      <w:pPr>
        <w:autoSpaceDE w:val="0"/>
        <w:autoSpaceDN w:val="0"/>
        <w:adjustRightInd w:val="0"/>
        <w:spacing w:line="360" w:lineRule="auto"/>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（1）质疑人的名称、地址、联系人及联系电话；</w:t>
      </w:r>
    </w:p>
    <w:p>
      <w:pPr>
        <w:autoSpaceDE w:val="0"/>
        <w:autoSpaceDN w:val="0"/>
        <w:adjustRightInd w:val="0"/>
        <w:spacing w:line="360" w:lineRule="auto"/>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（2）采购人或采购代理机构（委托项目一并列出）的名称、地址、联系人及联系电话；</w:t>
      </w:r>
    </w:p>
    <w:p>
      <w:pPr>
        <w:autoSpaceDE w:val="0"/>
        <w:autoSpaceDN w:val="0"/>
        <w:adjustRightInd w:val="0"/>
        <w:spacing w:line="360" w:lineRule="auto"/>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（3）受理质疑的日期、质疑项目名称及编号、质疑事项；</w:t>
      </w:r>
    </w:p>
    <w:p>
      <w:pPr>
        <w:autoSpaceDE w:val="0"/>
        <w:autoSpaceDN w:val="0"/>
        <w:adjustRightInd w:val="0"/>
        <w:spacing w:line="360" w:lineRule="auto"/>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（4）质疑事项答复的具体情况及事实根据、法律依据；</w:t>
      </w:r>
    </w:p>
    <w:p>
      <w:pPr>
        <w:autoSpaceDE w:val="0"/>
        <w:autoSpaceDN w:val="0"/>
        <w:adjustRightInd w:val="0"/>
        <w:spacing w:line="360" w:lineRule="auto"/>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（5）告知质疑人依法投诉的权利和投诉方式；</w:t>
      </w:r>
    </w:p>
    <w:p>
      <w:pPr>
        <w:autoSpaceDE w:val="0"/>
        <w:autoSpaceDN w:val="0"/>
        <w:adjustRightInd w:val="0"/>
        <w:spacing w:line="360" w:lineRule="auto"/>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（6）质疑答复日期。</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color w:val="auto"/>
          <w:highlight w:val="none"/>
          <w:lang w:val="zh-CN"/>
        </w:rPr>
      </w:pPr>
      <w:bookmarkStart w:id="94" w:name="_Toc459"/>
      <w:r>
        <w:rPr>
          <w:rFonts w:hint="eastAsia" w:asciiTheme="minorEastAsia" w:hAnsiTheme="minorEastAsia" w:eastAsiaTheme="minorEastAsia" w:cstheme="minorEastAsia"/>
          <w:b/>
          <w:color w:val="auto"/>
          <w:highlight w:val="none"/>
          <w:lang w:val="zh-CN"/>
        </w:rPr>
        <w:t>投诉</w:t>
      </w:r>
      <w:bookmarkEnd w:id="94"/>
    </w:p>
    <w:p>
      <w:pPr>
        <w:autoSpaceDE w:val="0"/>
        <w:autoSpaceDN w:val="0"/>
        <w:adjustRightInd w:val="0"/>
        <w:spacing w:line="360" w:lineRule="auto"/>
        <w:ind w:left="630" w:hanging="630" w:hangingChars="300"/>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3</w:t>
      </w:r>
      <w:r>
        <w:rPr>
          <w:rFonts w:hint="eastAsia" w:ascii="宋体" w:hAnsi="宋体" w:cs="宋体"/>
          <w:snapToGrid w:val="0"/>
          <w:color w:val="auto"/>
          <w:kern w:val="0"/>
          <w:szCs w:val="21"/>
          <w:highlight w:val="none"/>
        </w:rPr>
        <w:t>2</w:t>
      </w:r>
      <w:r>
        <w:rPr>
          <w:rFonts w:hint="eastAsia" w:ascii="宋体" w:hAnsi="宋体" w:cs="宋体"/>
          <w:snapToGrid w:val="0"/>
          <w:color w:val="auto"/>
          <w:kern w:val="0"/>
          <w:szCs w:val="21"/>
          <w:highlight w:val="none"/>
          <w:lang w:val="zh-CN"/>
        </w:rPr>
        <w:t>.1</w:t>
      </w:r>
      <w:r>
        <w:rPr>
          <w:rFonts w:hint="eastAsia" w:ascii="宋体" w:hAnsi="宋体" w:cs="宋体"/>
          <w:snapToGrid w:val="0"/>
          <w:color w:val="auto"/>
          <w:kern w:val="0"/>
          <w:szCs w:val="21"/>
          <w:highlight w:val="none"/>
        </w:rPr>
        <w:t xml:space="preserve">  </w:t>
      </w:r>
      <w:r>
        <w:rPr>
          <w:rFonts w:hint="eastAsia" w:ascii="宋体" w:hAnsi="宋体" w:cs="宋体"/>
          <w:snapToGrid w:val="0"/>
          <w:color w:val="auto"/>
          <w:kern w:val="0"/>
          <w:szCs w:val="21"/>
          <w:highlight w:val="none"/>
          <w:lang w:val="zh-CN"/>
        </w:rPr>
        <w:t>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autoSpaceDE w:val="0"/>
        <w:autoSpaceDN w:val="0"/>
        <w:adjustRightInd w:val="0"/>
        <w:spacing w:line="360" w:lineRule="auto"/>
        <w:ind w:left="630" w:hanging="630" w:hangingChars="300"/>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3</w:t>
      </w:r>
      <w:r>
        <w:rPr>
          <w:rFonts w:hint="eastAsia" w:ascii="宋体" w:hAnsi="宋体" w:cs="宋体"/>
          <w:snapToGrid w:val="0"/>
          <w:color w:val="auto"/>
          <w:kern w:val="0"/>
          <w:szCs w:val="21"/>
          <w:highlight w:val="none"/>
        </w:rPr>
        <w:t>2</w:t>
      </w:r>
      <w:r>
        <w:rPr>
          <w:rFonts w:hint="eastAsia" w:ascii="宋体" w:hAnsi="宋体" w:cs="宋体"/>
          <w:snapToGrid w:val="0"/>
          <w:color w:val="auto"/>
          <w:kern w:val="0"/>
          <w:szCs w:val="21"/>
          <w:highlight w:val="none"/>
          <w:lang w:val="zh-CN"/>
        </w:rPr>
        <w:t>.2</w:t>
      </w:r>
      <w:r>
        <w:rPr>
          <w:rFonts w:hint="eastAsia" w:ascii="宋体" w:hAnsi="宋体" w:cs="宋体"/>
          <w:snapToGrid w:val="0"/>
          <w:color w:val="auto"/>
          <w:kern w:val="0"/>
          <w:szCs w:val="21"/>
          <w:highlight w:val="none"/>
        </w:rPr>
        <w:t xml:space="preserve">  </w:t>
      </w:r>
      <w:r>
        <w:rPr>
          <w:rFonts w:hint="eastAsia" w:ascii="宋体" w:hAnsi="宋体" w:cs="宋体"/>
          <w:snapToGrid w:val="0"/>
          <w:color w:val="auto"/>
          <w:kern w:val="0"/>
          <w:szCs w:val="21"/>
          <w:highlight w:val="none"/>
          <w:lang w:val="zh-CN"/>
        </w:rPr>
        <w:t>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color w:val="auto"/>
          <w:szCs w:val="21"/>
          <w:highlight w:val="none"/>
          <w:lang w:val="zh-CN"/>
        </w:rPr>
      </w:pPr>
      <w:bookmarkStart w:id="95" w:name="_Toc30010"/>
      <w:bookmarkStart w:id="96" w:name="_Toc5571"/>
      <w:bookmarkStart w:id="97" w:name="_Toc28705"/>
      <w:bookmarkStart w:id="98" w:name="_Toc14767"/>
      <w:r>
        <w:rPr>
          <w:rFonts w:hint="eastAsia" w:asciiTheme="minorEastAsia" w:hAnsiTheme="minorEastAsia" w:eastAsiaTheme="minorEastAsia" w:cstheme="minorEastAsia"/>
          <w:b/>
          <w:color w:val="auto"/>
          <w:szCs w:val="21"/>
          <w:highlight w:val="none"/>
          <w:lang w:val="zh-CN"/>
        </w:rPr>
        <w:t>政策</w:t>
      </w:r>
      <w:bookmarkEnd w:id="95"/>
      <w:bookmarkEnd w:id="96"/>
      <w:bookmarkEnd w:id="97"/>
      <w:bookmarkEnd w:id="98"/>
      <w:r>
        <w:rPr>
          <w:rFonts w:hint="eastAsia" w:asciiTheme="minorEastAsia" w:hAnsiTheme="minorEastAsia" w:eastAsiaTheme="minorEastAsia" w:cstheme="minorEastAsia"/>
          <w:b/>
          <w:color w:val="auto"/>
          <w:szCs w:val="21"/>
          <w:highlight w:val="none"/>
          <w:lang w:val="zh-CN"/>
        </w:rPr>
        <w:t>（本项目不适用）</w:t>
      </w:r>
    </w:p>
    <w:p>
      <w:pPr>
        <w:numPr>
          <w:ilvl w:val="0"/>
          <w:numId w:val="9"/>
        </w:numPr>
        <w:tabs>
          <w:tab w:val="left" w:pos="864"/>
          <w:tab w:val="left" w:pos="1080"/>
        </w:tabs>
        <w:spacing w:line="360" w:lineRule="auto"/>
        <w:ind w:hanging="540"/>
        <w:outlineLvl w:val="1"/>
        <w:rPr>
          <w:rFonts w:asciiTheme="minorEastAsia" w:hAnsiTheme="minorEastAsia" w:eastAsiaTheme="minorEastAsia" w:cstheme="minorEastAsia"/>
          <w:b/>
          <w:color w:val="auto"/>
          <w:highlight w:val="none"/>
        </w:rPr>
      </w:pPr>
      <w:bookmarkStart w:id="99" w:name="_Toc28842"/>
      <w:r>
        <w:rPr>
          <w:rFonts w:hint="eastAsia" w:asciiTheme="minorEastAsia" w:hAnsiTheme="minorEastAsia" w:eastAsiaTheme="minorEastAsia" w:cstheme="minorEastAsia"/>
          <w:b/>
          <w:color w:val="auto"/>
          <w:highlight w:val="none"/>
        </w:rPr>
        <w:t>政府采购政策</w:t>
      </w:r>
      <w:bookmarkEnd w:id="99"/>
    </w:p>
    <w:p>
      <w:pPr>
        <w:autoSpaceDE w:val="0"/>
        <w:autoSpaceDN w:val="0"/>
        <w:adjustRightInd w:val="0"/>
        <w:spacing w:line="360" w:lineRule="auto"/>
        <w:ind w:left="630" w:hanging="630" w:hangingChars="300"/>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3</w:t>
      </w:r>
      <w:r>
        <w:rPr>
          <w:rFonts w:hint="eastAsia" w:ascii="宋体" w:hAnsi="宋体" w:cs="宋体"/>
          <w:snapToGrid w:val="0"/>
          <w:color w:val="auto"/>
          <w:kern w:val="0"/>
          <w:szCs w:val="21"/>
          <w:highlight w:val="none"/>
        </w:rPr>
        <w:t>3</w:t>
      </w:r>
      <w:r>
        <w:rPr>
          <w:rFonts w:hint="eastAsia" w:ascii="宋体" w:hAnsi="宋体" w:cs="宋体"/>
          <w:snapToGrid w:val="0"/>
          <w:color w:val="auto"/>
          <w:kern w:val="0"/>
          <w:szCs w:val="21"/>
          <w:highlight w:val="none"/>
          <w:lang w:val="zh-CN"/>
        </w:rPr>
        <w:t>.1</w:t>
      </w:r>
      <w:r>
        <w:rPr>
          <w:rFonts w:hint="eastAsia" w:ascii="宋体" w:hAnsi="宋体" w:cs="宋体"/>
          <w:snapToGrid w:val="0"/>
          <w:color w:val="auto"/>
          <w:kern w:val="0"/>
          <w:szCs w:val="21"/>
          <w:highlight w:val="none"/>
        </w:rPr>
        <w:t xml:space="preserve"> </w:t>
      </w:r>
      <w:r>
        <w:rPr>
          <w:rFonts w:hint="eastAsia" w:ascii="宋体" w:hAnsi="宋体" w:cs="宋体"/>
          <w:snapToGrid w:val="0"/>
          <w:color w:val="auto"/>
          <w:spacing w:val="-2"/>
          <w:kern w:val="0"/>
          <w:szCs w:val="21"/>
          <w:highlight w:val="none"/>
          <w:lang w:val="zh-CN"/>
        </w:rPr>
        <w:t>除非“供应商须知前附表”中有特殊规定，本项目所采购的货物</w:t>
      </w:r>
      <w:r>
        <w:rPr>
          <w:rFonts w:hint="eastAsia" w:ascii="宋体" w:hAnsi="宋体" w:cs="宋体"/>
          <w:snapToGrid w:val="0"/>
          <w:color w:val="auto"/>
          <w:spacing w:val="-2"/>
          <w:kern w:val="0"/>
          <w:szCs w:val="21"/>
          <w:highlight w:val="none"/>
        </w:rPr>
        <w:t>或服务或工程</w:t>
      </w:r>
      <w:r>
        <w:rPr>
          <w:rFonts w:hint="eastAsia" w:ascii="宋体" w:hAnsi="宋体" w:cs="宋体"/>
          <w:snapToGrid w:val="0"/>
          <w:color w:val="auto"/>
          <w:spacing w:val="-2"/>
          <w:kern w:val="0"/>
          <w:szCs w:val="21"/>
          <w:highlight w:val="none"/>
          <w:lang w:val="zh-CN"/>
        </w:rPr>
        <w:t>应当为中华人民共和国境内提供。</w:t>
      </w:r>
    </w:p>
    <w:p>
      <w:pPr>
        <w:autoSpaceDE w:val="0"/>
        <w:autoSpaceDN w:val="0"/>
        <w:adjustRightInd w:val="0"/>
        <w:spacing w:line="360" w:lineRule="auto"/>
        <w:ind w:left="630" w:hanging="630" w:hangingChars="300"/>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3</w:t>
      </w:r>
      <w:r>
        <w:rPr>
          <w:rFonts w:hint="eastAsia" w:ascii="宋体" w:hAnsi="宋体" w:cs="宋体"/>
          <w:snapToGrid w:val="0"/>
          <w:color w:val="auto"/>
          <w:kern w:val="0"/>
          <w:szCs w:val="21"/>
          <w:highlight w:val="none"/>
        </w:rPr>
        <w:t>3</w:t>
      </w:r>
      <w:r>
        <w:rPr>
          <w:rFonts w:hint="eastAsia" w:ascii="宋体" w:hAnsi="宋体" w:cs="宋体"/>
          <w:snapToGrid w:val="0"/>
          <w:color w:val="auto"/>
          <w:kern w:val="0"/>
          <w:szCs w:val="21"/>
          <w:highlight w:val="none"/>
          <w:lang w:val="zh-CN"/>
        </w:rPr>
        <w:t>.2</w:t>
      </w:r>
      <w:r>
        <w:rPr>
          <w:rFonts w:hint="eastAsia" w:ascii="宋体" w:hAnsi="宋体" w:cs="宋体"/>
          <w:snapToGrid w:val="0"/>
          <w:color w:val="auto"/>
          <w:kern w:val="0"/>
          <w:szCs w:val="21"/>
          <w:highlight w:val="none"/>
        </w:rPr>
        <w:t xml:space="preserve">  </w:t>
      </w:r>
      <w:r>
        <w:rPr>
          <w:rFonts w:hint="eastAsia" w:ascii="宋体" w:hAnsi="宋体" w:cs="宋体"/>
          <w:snapToGrid w:val="0"/>
          <w:color w:val="auto"/>
          <w:kern w:val="0"/>
          <w:szCs w:val="21"/>
          <w:highlight w:val="none"/>
          <w:lang w:val="zh-CN"/>
        </w:rPr>
        <w:t>为促进中小企业发展，本项目供应商如符合工信部联企业【</w:t>
      </w:r>
      <w:r>
        <w:rPr>
          <w:rFonts w:hint="eastAsia" w:ascii="宋体" w:hAnsi="宋体" w:cs="宋体"/>
          <w:snapToGrid w:val="0"/>
          <w:color w:val="auto"/>
          <w:kern w:val="0"/>
          <w:szCs w:val="21"/>
          <w:highlight w:val="none"/>
        </w:rPr>
        <w:t>2011</w:t>
      </w:r>
      <w:r>
        <w:rPr>
          <w:rFonts w:hint="eastAsia" w:ascii="宋体" w:hAnsi="宋体" w:cs="宋体"/>
          <w:snapToGrid w:val="0"/>
          <w:color w:val="auto"/>
          <w:kern w:val="0"/>
          <w:szCs w:val="21"/>
          <w:highlight w:val="none"/>
          <w:lang w:val="zh-CN"/>
        </w:rPr>
        <w:t>】300号文中对中小企业划型标准的，可按照“评定办法前附表”中相关规定，对产品的价格给予一定比例的扣除，用扣除后的价格参与评审。具体扣除比例详见“评定办法前附表”。</w:t>
      </w:r>
    </w:p>
    <w:p>
      <w:pPr>
        <w:autoSpaceDE w:val="0"/>
        <w:autoSpaceDN w:val="0"/>
        <w:adjustRightInd w:val="0"/>
        <w:spacing w:line="360" w:lineRule="auto"/>
        <w:ind w:left="630" w:hanging="630" w:hangingChars="3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33.3  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autoSpaceDE w:val="0"/>
        <w:autoSpaceDN w:val="0"/>
        <w:adjustRightInd w:val="0"/>
        <w:spacing w:line="360" w:lineRule="auto"/>
        <w:ind w:left="630" w:hanging="630" w:hangingChars="3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33.4  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autoSpaceDE w:val="0"/>
        <w:autoSpaceDN w:val="0"/>
        <w:adjustRightInd w:val="0"/>
        <w:spacing w:line="360" w:lineRule="auto"/>
        <w:ind w:left="630" w:hanging="630" w:hangingChars="3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lang w:val="zh-CN"/>
        </w:rPr>
        <w:t>3</w:t>
      </w:r>
      <w:r>
        <w:rPr>
          <w:rFonts w:hint="eastAsia" w:ascii="宋体" w:hAnsi="宋体" w:cs="宋体"/>
          <w:snapToGrid w:val="0"/>
          <w:color w:val="auto"/>
          <w:kern w:val="0"/>
          <w:szCs w:val="21"/>
          <w:highlight w:val="none"/>
        </w:rPr>
        <w:t>3</w:t>
      </w:r>
      <w:r>
        <w:rPr>
          <w:rFonts w:hint="eastAsia" w:ascii="宋体" w:hAnsi="宋体" w:cs="宋体"/>
          <w:snapToGrid w:val="0"/>
          <w:color w:val="auto"/>
          <w:kern w:val="0"/>
          <w:szCs w:val="21"/>
          <w:highlight w:val="none"/>
          <w:lang w:val="zh-CN"/>
        </w:rPr>
        <w:t>.</w:t>
      </w:r>
      <w:r>
        <w:rPr>
          <w:rFonts w:hint="eastAsia" w:ascii="宋体" w:hAnsi="宋体" w:cs="宋体"/>
          <w:snapToGrid w:val="0"/>
          <w:color w:val="auto"/>
          <w:kern w:val="0"/>
          <w:szCs w:val="21"/>
          <w:highlight w:val="none"/>
        </w:rPr>
        <w:t>5  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spacing w:line="360" w:lineRule="auto"/>
        <w:ind w:left="630" w:hanging="630" w:hangingChars="300"/>
        <w:jc w:val="left"/>
        <w:rPr>
          <w:rFonts w:ascii="宋体" w:hAnsi="宋体" w:cs="宋体"/>
          <w:snapToGrid w:val="0"/>
          <w:color w:val="auto"/>
          <w:kern w:val="0"/>
          <w:szCs w:val="21"/>
          <w:highlight w:val="none"/>
          <w:lang w:val="zh-CN"/>
        </w:rPr>
      </w:pPr>
      <w:r>
        <w:rPr>
          <w:rFonts w:hint="eastAsia" w:ascii="宋体" w:hAnsi="宋体" w:cs="宋体"/>
          <w:snapToGrid w:val="0"/>
          <w:color w:val="auto"/>
          <w:kern w:val="0"/>
          <w:szCs w:val="21"/>
          <w:highlight w:val="none"/>
          <w:lang w:val="zh-CN"/>
        </w:rPr>
        <w:t>33.</w:t>
      </w:r>
      <w:r>
        <w:rPr>
          <w:rFonts w:hint="eastAsia" w:ascii="宋体" w:hAnsi="宋体" w:cs="宋体"/>
          <w:snapToGrid w:val="0"/>
          <w:color w:val="auto"/>
          <w:kern w:val="0"/>
          <w:szCs w:val="21"/>
          <w:highlight w:val="none"/>
        </w:rPr>
        <w:t xml:space="preserve">6  </w:t>
      </w:r>
      <w:r>
        <w:rPr>
          <w:rFonts w:hint="eastAsia" w:ascii="宋体" w:hAnsi="宋体" w:cs="宋体"/>
          <w:snapToGrid w:val="0"/>
          <w:color w:val="auto"/>
          <w:kern w:val="0"/>
          <w:szCs w:val="21"/>
          <w:highlight w:val="none"/>
          <w:lang w:val="zh-CN"/>
        </w:rPr>
        <w:t>上述政府采购政策优惠须经磋商小组评审后执行，未提供单独分项报价或证明资料不全的不给予价格扣除。</w:t>
      </w:r>
    </w:p>
    <w:p>
      <w:pPr>
        <w:autoSpaceDE w:val="0"/>
        <w:autoSpaceDN w:val="0"/>
        <w:adjustRightInd w:val="0"/>
        <w:spacing w:line="360" w:lineRule="auto"/>
        <w:ind w:left="630" w:leftChars="300"/>
        <w:jc w:val="left"/>
        <w:rPr>
          <w:b/>
          <w:bCs/>
          <w:color w:val="auto"/>
          <w:highlight w:val="none"/>
          <w:lang w:val="zh-CN"/>
        </w:rPr>
      </w:pPr>
      <w:r>
        <w:rPr>
          <w:rFonts w:hint="eastAsia" w:ascii="宋体" w:hAnsi="宋体" w:cs="宋体"/>
          <w:b/>
          <w:bCs/>
          <w:snapToGrid w:val="0"/>
          <w:color w:val="auto"/>
          <w:kern w:val="0"/>
          <w:szCs w:val="21"/>
          <w:highlight w:val="none"/>
          <w:lang w:val="zh-CN"/>
        </w:rPr>
        <w:t>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color w:val="auto"/>
          <w:szCs w:val="21"/>
          <w:highlight w:val="none"/>
          <w:lang w:val="zh-CN"/>
        </w:rPr>
      </w:pPr>
      <w:bookmarkStart w:id="100" w:name="_Toc25296"/>
      <w:r>
        <w:rPr>
          <w:rFonts w:hint="eastAsia" w:asciiTheme="minorEastAsia" w:hAnsiTheme="minorEastAsia" w:eastAsiaTheme="minorEastAsia" w:cstheme="minorEastAsia"/>
          <w:b/>
          <w:color w:val="auto"/>
          <w:szCs w:val="21"/>
          <w:highlight w:val="none"/>
          <w:lang w:val="zh-CN"/>
        </w:rPr>
        <w:t>其他要求</w:t>
      </w:r>
      <w:bookmarkEnd w:id="100"/>
    </w:p>
    <w:p>
      <w:pPr>
        <w:autoSpaceDE w:val="0"/>
        <w:autoSpaceDN w:val="0"/>
        <w:adjustRightInd w:val="0"/>
        <w:spacing w:line="360" w:lineRule="auto"/>
        <w:ind w:firstLine="420" w:firstLineChars="20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见《供应商须知前附表》。</w:t>
      </w:r>
    </w:p>
    <w:p>
      <w:pPr>
        <w:numPr>
          <w:ilvl w:val="1"/>
          <w:numId w:val="8"/>
        </w:numPr>
        <w:tabs>
          <w:tab w:val="left" w:pos="540"/>
          <w:tab w:val="clear" w:pos="840"/>
        </w:tabs>
        <w:spacing w:line="360" w:lineRule="auto"/>
        <w:ind w:left="540" w:hanging="540"/>
        <w:outlineLvl w:val="1"/>
        <w:rPr>
          <w:rFonts w:asciiTheme="minorEastAsia" w:hAnsiTheme="minorEastAsia" w:eastAsiaTheme="minorEastAsia" w:cstheme="minorEastAsia"/>
          <w:b/>
          <w:color w:val="auto"/>
          <w:szCs w:val="21"/>
          <w:highlight w:val="none"/>
          <w:lang w:val="zh-CN"/>
        </w:rPr>
      </w:pPr>
      <w:bookmarkStart w:id="101" w:name="_Toc28137"/>
      <w:r>
        <w:rPr>
          <w:rFonts w:hint="eastAsia" w:asciiTheme="minorEastAsia" w:hAnsiTheme="minorEastAsia" w:eastAsiaTheme="minorEastAsia" w:cstheme="minorEastAsia"/>
          <w:b/>
          <w:color w:val="auto"/>
          <w:szCs w:val="21"/>
          <w:highlight w:val="none"/>
          <w:lang w:val="zh-CN"/>
        </w:rPr>
        <w:t>适用法律</w:t>
      </w:r>
      <w:bookmarkEnd w:id="101"/>
    </w:p>
    <w:p>
      <w:pPr>
        <w:autoSpaceDE w:val="0"/>
        <w:autoSpaceDN w:val="0"/>
        <w:adjustRightInd w:val="0"/>
        <w:spacing w:line="360" w:lineRule="auto"/>
        <w:ind w:left="630" w:leftChars="30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color w:val="auto"/>
          <w:kern w:val="0"/>
          <w:szCs w:val="21"/>
          <w:highlight w:val="none"/>
          <w:lang w:val="zh-CN"/>
        </w:rPr>
        <w:br w:type="textWrapping"/>
      </w:r>
      <w:r>
        <w:rPr>
          <w:rFonts w:hint="eastAsia" w:asciiTheme="minorEastAsia" w:hAnsiTheme="minorEastAsia" w:eastAsiaTheme="minorEastAsia" w:cstheme="minorEastAsia"/>
          <w:b/>
          <w:bCs/>
          <w:snapToGrid w:val="0"/>
          <w:color w:val="auto"/>
          <w:kern w:val="0"/>
          <w:szCs w:val="21"/>
          <w:highlight w:val="none"/>
          <w:lang w:val="zh-CN"/>
        </w:rPr>
        <w:t>补充说明：</w:t>
      </w:r>
    </w:p>
    <w:p>
      <w:pPr>
        <w:numPr>
          <w:ilvl w:val="0"/>
          <w:numId w:val="34"/>
        </w:numPr>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rPr>
        <w:t xml:space="preserve">  </w:t>
      </w:r>
      <w:r>
        <w:rPr>
          <w:rFonts w:hint="eastAsia" w:asciiTheme="minorEastAsia" w:hAnsiTheme="minorEastAsia" w:eastAsiaTheme="minorEastAsia" w:cstheme="minorEastAsia"/>
          <w:snapToGrid w:val="0"/>
          <w:color w:val="auto"/>
          <w:kern w:val="0"/>
          <w:szCs w:val="21"/>
          <w:highlight w:val="none"/>
          <w:lang w:val="zh-CN"/>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color w:val="auto"/>
          <w:kern w:val="0"/>
          <w:szCs w:val="21"/>
          <w:highlight w:val="none"/>
        </w:rPr>
        <w:t>9</w:t>
      </w:r>
      <w:r>
        <w:rPr>
          <w:rFonts w:hint="eastAsia" w:asciiTheme="minorEastAsia" w:hAnsiTheme="minorEastAsia" w:eastAsiaTheme="minorEastAsia" w:cstheme="minorEastAsia"/>
          <w:snapToGrid w:val="0"/>
          <w:color w:val="auto"/>
          <w:kern w:val="0"/>
          <w:szCs w:val="21"/>
          <w:highlight w:val="none"/>
          <w:lang w:val="zh-CN"/>
        </w:rPr>
        <w:t>年 12 月 1 日，则“近三年”是指 201</w:t>
      </w:r>
      <w:r>
        <w:rPr>
          <w:rFonts w:hint="eastAsia" w:asciiTheme="minorEastAsia" w:hAnsiTheme="minorEastAsia" w:eastAsiaTheme="minorEastAsia" w:cstheme="minorEastAsia"/>
          <w:snapToGrid w:val="0"/>
          <w:color w:val="auto"/>
          <w:kern w:val="0"/>
          <w:szCs w:val="21"/>
          <w:highlight w:val="none"/>
        </w:rPr>
        <w:t>6</w:t>
      </w:r>
      <w:r>
        <w:rPr>
          <w:rFonts w:hint="eastAsia" w:asciiTheme="minorEastAsia" w:hAnsiTheme="minorEastAsia" w:eastAsiaTheme="minorEastAsia" w:cstheme="minorEastAsia"/>
          <w:snapToGrid w:val="0"/>
          <w:color w:val="auto"/>
          <w:kern w:val="0"/>
          <w:szCs w:val="21"/>
          <w:highlight w:val="none"/>
          <w:lang w:val="zh-CN"/>
        </w:rPr>
        <w:t>年 12 月 1 日至 201</w:t>
      </w:r>
      <w:r>
        <w:rPr>
          <w:rFonts w:hint="eastAsia" w:asciiTheme="minorEastAsia" w:hAnsiTheme="minorEastAsia" w:eastAsiaTheme="minorEastAsia" w:cstheme="minorEastAsia"/>
          <w:snapToGrid w:val="0"/>
          <w:color w:val="auto"/>
          <w:kern w:val="0"/>
          <w:szCs w:val="21"/>
          <w:highlight w:val="none"/>
        </w:rPr>
        <w:t>9</w:t>
      </w:r>
      <w:r>
        <w:rPr>
          <w:rFonts w:hint="eastAsia" w:asciiTheme="minorEastAsia" w:hAnsiTheme="minorEastAsia" w:eastAsiaTheme="minorEastAsia" w:cstheme="minorEastAsia"/>
          <w:snapToGrid w:val="0"/>
          <w:color w:val="auto"/>
          <w:kern w:val="0"/>
          <w:szCs w:val="21"/>
          <w:highlight w:val="none"/>
          <w:lang w:val="zh-CN"/>
        </w:rPr>
        <w:t>年 11 月 30 日。</w:t>
      </w:r>
    </w:p>
    <w:p>
      <w:pPr>
        <w:numPr>
          <w:ilvl w:val="0"/>
          <w:numId w:val="34"/>
        </w:numPr>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rPr>
        <w:t xml:space="preserve">  </w:t>
      </w:r>
      <w:r>
        <w:rPr>
          <w:rFonts w:hint="eastAsia" w:asciiTheme="minorEastAsia" w:hAnsiTheme="minorEastAsia" w:eastAsiaTheme="minorEastAsia" w:cstheme="minorEastAsia"/>
          <w:snapToGrid w:val="0"/>
          <w:color w:val="auto"/>
          <w:kern w:val="0"/>
          <w:szCs w:val="21"/>
          <w:highlight w:val="none"/>
          <w:lang w:val="zh-CN"/>
        </w:rPr>
        <w:t>关于提交经审计的财务报告的年份要求：递交响应文件时间如在当年 6 月 30 日以前，</w:t>
      </w:r>
      <w:r>
        <w:rPr>
          <w:rFonts w:hint="eastAsia" w:asciiTheme="minorEastAsia" w:hAnsiTheme="minorEastAsia" w:eastAsiaTheme="minorEastAsia" w:cstheme="minorEastAsia"/>
          <w:snapToGrid w:val="0"/>
          <w:color w:val="auto"/>
          <w:kern w:val="0"/>
          <w:szCs w:val="21"/>
          <w:highlight w:val="none"/>
        </w:rPr>
        <w:t>则</w:t>
      </w:r>
      <w:r>
        <w:rPr>
          <w:rFonts w:hint="eastAsia" w:asciiTheme="minorEastAsia" w:hAnsiTheme="minorEastAsia" w:eastAsiaTheme="minorEastAsia" w:cstheme="minorEastAsia"/>
          <w:snapToGrid w:val="0"/>
          <w:color w:val="auto"/>
          <w:kern w:val="0"/>
          <w:szCs w:val="21"/>
          <w:highlight w:val="none"/>
          <w:lang w:val="zh-CN"/>
        </w:rPr>
        <w:t>近三年指上上个年度往前推算的三年，如递交响应文件时间为 201</w:t>
      </w:r>
      <w:r>
        <w:rPr>
          <w:rFonts w:hint="eastAsia" w:asciiTheme="minorEastAsia" w:hAnsiTheme="minorEastAsia" w:eastAsiaTheme="minorEastAsia" w:cstheme="minorEastAsia"/>
          <w:snapToGrid w:val="0"/>
          <w:color w:val="auto"/>
          <w:kern w:val="0"/>
          <w:szCs w:val="21"/>
          <w:highlight w:val="none"/>
        </w:rPr>
        <w:t>9</w:t>
      </w:r>
      <w:r>
        <w:rPr>
          <w:rFonts w:hint="eastAsia" w:asciiTheme="minorEastAsia" w:hAnsiTheme="minorEastAsia" w:eastAsiaTheme="minorEastAsia" w:cstheme="minorEastAsia"/>
          <w:snapToGrid w:val="0"/>
          <w:color w:val="auto"/>
          <w:kern w:val="0"/>
          <w:szCs w:val="21"/>
          <w:highlight w:val="none"/>
          <w:lang w:val="zh-CN"/>
        </w:rPr>
        <w:t>年 6 月 9 日，则“近三年”</w:t>
      </w:r>
      <w:r>
        <w:rPr>
          <w:rFonts w:hint="eastAsia" w:asciiTheme="minorEastAsia" w:hAnsiTheme="minorEastAsia" w:eastAsiaTheme="minorEastAsia" w:cstheme="minorEastAsia"/>
          <w:snapToGrid w:val="0"/>
          <w:color w:val="auto"/>
          <w:kern w:val="0"/>
          <w:szCs w:val="21"/>
          <w:highlight w:val="none"/>
        </w:rPr>
        <w:t>是</w:t>
      </w:r>
      <w:r>
        <w:rPr>
          <w:rFonts w:hint="eastAsia" w:asciiTheme="minorEastAsia" w:hAnsiTheme="minorEastAsia" w:eastAsiaTheme="minorEastAsia" w:cstheme="minorEastAsia"/>
          <w:snapToGrid w:val="0"/>
          <w:color w:val="auto"/>
          <w:kern w:val="0"/>
          <w:szCs w:val="21"/>
          <w:highlight w:val="none"/>
          <w:lang w:val="zh-CN"/>
        </w:rPr>
        <w:t>指 201</w:t>
      </w:r>
      <w:r>
        <w:rPr>
          <w:rFonts w:hint="eastAsia" w:asciiTheme="minorEastAsia" w:hAnsiTheme="minorEastAsia" w:eastAsiaTheme="minorEastAsia" w:cstheme="minorEastAsia"/>
          <w:snapToGrid w:val="0"/>
          <w:color w:val="auto"/>
          <w:kern w:val="0"/>
          <w:szCs w:val="21"/>
          <w:highlight w:val="none"/>
        </w:rPr>
        <w:t>5</w:t>
      </w:r>
      <w:r>
        <w:rPr>
          <w:rFonts w:hint="eastAsia" w:asciiTheme="minorEastAsia" w:hAnsiTheme="minorEastAsia" w:eastAsiaTheme="minorEastAsia" w:cstheme="minorEastAsia"/>
          <w:snapToGrid w:val="0"/>
          <w:color w:val="auto"/>
          <w:kern w:val="0"/>
          <w:szCs w:val="21"/>
          <w:highlight w:val="none"/>
          <w:lang w:val="zh-CN"/>
        </w:rPr>
        <w:t>年度、201</w:t>
      </w:r>
      <w:r>
        <w:rPr>
          <w:rFonts w:hint="eastAsia" w:asciiTheme="minorEastAsia" w:hAnsiTheme="minorEastAsia" w:eastAsiaTheme="minorEastAsia" w:cstheme="minorEastAsia"/>
          <w:snapToGrid w:val="0"/>
          <w:color w:val="auto"/>
          <w:kern w:val="0"/>
          <w:szCs w:val="21"/>
          <w:highlight w:val="none"/>
        </w:rPr>
        <w:t>6</w:t>
      </w:r>
      <w:r>
        <w:rPr>
          <w:rFonts w:hint="eastAsia" w:asciiTheme="minorEastAsia" w:hAnsiTheme="minorEastAsia" w:eastAsiaTheme="minorEastAsia" w:cstheme="minorEastAsia"/>
          <w:snapToGrid w:val="0"/>
          <w:color w:val="auto"/>
          <w:kern w:val="0"/>
          <w:szCs w:val="21"/>
          <w:highlight w:val="none"/>
          <w:lang w:val="zh-CN"/>
        </w:rPr>
        <w:t>年度、201</w:t>
      </w:r>
      <w:r>
        <w:rPr>
          <w:rFonts w:hint="eastAsia" w:asciiTheme="minorEastAsia" w:hAnsiTheme="minorEastAsia" w:eastAsiaTheme="minorEastAsia" w:cstheme="minorEastAsia"/>
          <w:snapToGrid w:val="0"/>
          <w:color w:val="auto"/>
          <w:kern w:val="0"/>
          <w:szCs w:val="21"/>
          <w:highlight w:val="none"/>
        </w:rPr>
        <w:t>7</w:t>
      </w:r>
      <w:r>
        <w:rPr>
          <w:rFonts w:hint="eastAsia" w:asciiTheme="minorEastAsia" w:hAnsiTheme="minorEastAsia" w:eastAsiaTheme="minorEastAsia" w:cstheme="minorEastAsia"/>
          <w:snapToGrid w:val="0"/>
          <w:color w:val="auto"/>
          <w:kern w:val="0"/>
          <w:szCs w:val="21"/>
          <w:highlight w:val="none"/>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color w:val="auto"/>
          <w:kern w:val="0"/>
          <w:szCs w:val="21"/>
          <w:highlight w:val="none"/>
        </w:rPr>
        <w:t>9</w:t>
      </w:r>
      <w:r>
        <w:rPr>
          <w:rFonts w:hint="eastAsia" w:asciiTheme="minorEastAsia" w:hAnsiTheme="minorEastAsia" w:eastAsiaTheme="minorEastAsia" w:cstheme="minorEastAsia"/>
          <w:snapToGrid w:val="0"/>
          <w:color w:val="auto"/>
          <w:kern w:val="0"/>
          <w:szCs w:val="21"/>
          <w:highlight w:val="none"/>
          <w:lang w:val="zh-CN"/>
        </w:rPr>
        <w:t>年 12 月 1 日，则“近三年”是指 201</w:t>
      </w:r>
      <w:r>
        <w:rPr>
          <w:rFonts w:hint="eastAsia" w:asciiTheme="minorEastAsia" w:hAnsiTheme="minorEastAsia" w:eastAsiaTheme="minorEastAsia" w:cstheme="minorEastAsia"/>
          <w:snapToGrid w:val="0"/>
          <w:color w:val="auto"/>
          <w:kern w:val="0"/>
          <w:szCs w:val="21"/>
          <w:highlight w:val="none"/>
        </w:rPr>
        <w:t>6</w:t>
      </w:r>
      <w:r>
        <w:rPr>
          <w:rFonts w:hint="eastAsia" w:asciiTheme="minorEastAsia" w:hAnsiTheme="minorEastAsia" w:eastAsiaTheme="minorEastAsia" w:cstheme="minorEastAsia"/>
          <w:snapToGrid w:val="0"/>
          <w:color w:val="auto"/>
          <w:kern w:val="0"/>
          <w:szCs w:val="21"/>
          <w:highlight w:val="none"/>
          <w:lang w:val="zh-CN"/>
        </w:rPr>
        <w:t>年度、201</w:t>
      </w:r>
      <w:r>
        <w:rPr>
          <w:rFonts w:hint="eastAsia" w:asciiTheme="minorEastAsia" w:hAnsiTheme="minorEastAsia" w:eastAsiaTheme="minorEastAsia" w:cstheme="minorEastAsia"/>
          <w:snapToGrid w:val="0"/>
          <w:color w:val="auto"/>
          <w:kern w:val="0"/>
          <w:szCs w:val="21"/>
          <w:highlight w:val="none"/>
        </w:rPr>
        <w:t>7</w:t>
      </w:r>
      <w:r>
        <w:rPr>
          <w:rFonts w:hint="eastAsia" w:asciiTheme="minorEastAsia" w:hAnsiTheme="minorEastAsia" w:eastAsiaTheme="minorEastAsia" w:cstheme="minorEastAsia"/>
          <w:snapToGrid w:val="0"/>
          <w:color w:val="auto"/>
          <w:kern w:val="0"/>
          <w:szCs w:val="21"/>
          <w:highlight w:val="none"/>
          <w:lang w:val="zh-CN"/>
        </w:rPr>
        <w:t>年度、201</w:t>
      </w:r>
      <w:r>
        <w:rPr>
          <w:rFonts w:hint="eastAsia" w:asciiTheme="minorEastAsia" w:hAnsiTheme="minorEastAsia" w:eastAsiaTheme="minorEastAsia" w:cstheme="minorEastAsia"/>
          <w:snapToGrid w:val="0"/>
          <w:color w:val="auto"/>
          <w:kern w:val="0"/>
          <w:szCs w:val="21"/>
          <w:highlight w:val="none"/>
        </w:rPr>
        <w:t>8</w:t>
      </w:r>
      <w:r>
        <w:rPr>
          <w:rFonts w:hint="eastAsia" w:asciiTheme="minorEastAsia" w:hAnsiTheme="minorEastAsia" w:eastAsiaTheme="minorEastAsia" w:cstheme="minorEastAsia"/>
          <w:snapToGrid w:val="0"/>
          <w:color w:val="auto"/>
          <w:kern w:val="0"/>
          <w:szCs w:val="21"/>
          <w:highlight w:val="none"/>
          <w:lang w:val="zh-CN"/>
        </w:rPr>
        <w:t>年度。</w:t>
      </w:r>
    </w:p>
    <w:p>
      <w:pPr>
        <w:numPr>
          <w:ilvl w:val="0"/>
          <w:numId w:val="34"/>
        </w:numPr>
        <w:autoSpaceDE w:val="0"/>
        <w:autoSpaceDN w:val="0"/>
        <w:adjustRightInd w:val="0"/>
        <w:spacing w:line="360" w:lineRule="auto"/>
        <w:ind w:left="630" w:hanging="630" w:hangingChars="300"/>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snapToGrid w:val="0"/>
          <w:color w:val="auto"/>
          <w:kern w:val="0"/>
          <w:szCs w:val="21"/>
          <w:highlight w:val="none"/>
        </w:rPr>
        <w:t xml:space="preserve">  </w:t>
      </w:r>
      <w:r>
        <w:rPr>
          <w:rFonts w:hint="eastAsia" w:asciiTheme="minorEastAsia" w:hAnsiTheme="minorEastAsia" w:eastAsiaTheme="minorEastAsia" w:cstheme="minorEastAsia"/>
          <w:snapToGrid w:val="0"/>
          <w:color w:val="auto"/>
          <w:kern w:val="0"/>
          <w:szCs w:val="21"/>
          <w:highlight w:val="none"/>
          <w:lang w:val="zh-CN"/>
        </w:rPr>
        <w:t>本采购文件所称的“以上”、“以下”、“内”、“以内”，均包括本数；所称的“不足”，不包括本数。</w:t>
      </w:r>
      <w:r>
        <w:rPr>
          <w:rFonts w:hint="eastAsia" w:asciiTheme="minorEastAsia" w:hAnsiTheme="minorEastAsia" w:eastAsiaTheme="minorEastAsia" w:cstheme="minorEastAsia"/>
          <w:snapToGrid w:val="0"/>
          <w:color w:val="auto"/>
          <w:kern w:val="0"/>
          <w:szCs w:val="21"/>
          <w:highlight w:val="none"/>
          <w:lang w:val="zh-CN"/>
        </w:rPr>
        <w:br w:type="textWrapping"/>
      </w:r>
      <w:r>
        <w:rPr>
          <w:rFonts w:hint="eastAsia" w:asciiTheme="minorEastAsia" w:hAnsiTheme="minorEastAsia" w:eastAsiaTheme="minorEastAsia" w:cstheme="minorEastAsia"/>
          <w:snapToGrid w:val="0"/>
          <w:color w:val="auto"/>
          <w:kern w:val="0"/>
          <w:szCs w:val="21"/>
          <w:highlight w:val="none"/>
          <w:lang w:val="zh-CN"/>
        </w:rPr>
        <w:br w:type="textWrapping"/>
      </w:r>
      <w:r>
        <w:rPr>
          <w:rFonts w:hint="eastAsia" w:asciiTheme="minorEastAsia" w:hAnsiTheme="minorEastAsia" w:eastAsiaTheme="minorEastAsia" w:cstheme="minorEastAsia"/>
          <w:snapToGrid w:val="0"/>
          <w:color w:val="auto"/>
          <w:kern w:val="0"/>
          <w:szCs w:val="21"/>
          <w:highlight w:val="none"/>
          <w:lang w:val="zh-CN"/>
        </w:rPr>
        <w:br w:type="textWrapping"/>
      </w:r>
    </w:p>
    <w:p>
      <w:pPr>
        <w:numPr>
          <w:ilvl w:val="0"/>
          <w:numId w:val="4"/>
        </w:numPr>
        <w:jc w:val="center"/>
        <w:outlineLvl w:val="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br w:type="page"/>
      </w:r>
      <w:bookmarkStart w:id="102" w:name="_Toc15149"/>
      <w:r>
        <w:rPr>
          <w:rFonts w:hint="eastAsia" w:asciiTheme="minorEastAsia" w:hAnsiTheme="minorEastAsia" w:eastAsiaTheme="minorEastAsia" w:cstheme="minorEastAsia"/>
          <w:b/>
          <w:bCs/>
          <w:color w:val="auto"/>
          <w:sz w:val="36"/>
          <w:szCs w:val="36"/>
          <w:highlight w:val="none"/>
        </w:rPr>
        <w:t>采购需求</w:t>
      </w:r>
      <w:bookmarkEnd w:id="102"/>
    </w:p>
    <w:p>
      <w:pPr>
        <w:autoSpaceDE w:val="0"/>
        <w:autoSpaceDN w:val="0"/>
        <w:adjustRightInd w:val="0"/>
        <w:spacing w:line="360" w:lineRule="auto"/>
        <w:outlineLvl w:val="1"/>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一、项目概况</w:t>
      </w:r>
    </w:p>
    <w:p>
      <w:pPr>
        <w:spacing w:line="360" w:lineRule="auto"/>
        <w:ind w:firstLine="420" w:firstLineChars="200"/>
        <w:rPr>
          <w:color w:val="auto"/>
          <w:highlight w:val="none"/>
        </w:rPr>
      </w:pPr>
      <w:r>
        <w:rPr>
          <w:rFonts w:hint="eastAsia" w:ascii="宋体" w:hAnsi="宋体"/>
          <w:color w:val="auto"/>
          <w:szCs w:val="21"/>
          <w:highlight w:val="none"/>
        </w:rPr>
        <w:t>满江红</w:t>
      </w:r>
      <w:r>
        <w:rPr>
          <w:rFonts w:ascii="宋体" w:hAnsi="宋体"/>
          <w:color w:val="auto"/>
          <w:szCs w:val="21"/>
          <w:highlight w:val="none"/>
        </w:rPr>
        <w:t>大楼位于学校</w:t>
      </w:r>
      <w:r>
        <w:rPr>
          <w:rFonts w:hint="eastAsia" w:ascii="宋体" w:hAnsi="宋体"/>
          <w:color w:val="auto"/>
          <w:szCs w:val="21"/>
          <w:highlight w:val="none"/>
        </w:rPr>
        <w:t>桂子山校区</w:t>
      </w:r>
      <w:r>
        <w:rPr>
          <w:rFonts w:ascii="宋体" w:hAnsi="宋体"/>
          <w:color w:val="auto"/>
          <w:szCs w:val="21"/>
          <w:highlight w:val="none"/>
        </w:rPr>
        <w:t>西区，</w:t>
      </w:r>
      <w:r>
        <w:rPr>
          <w:rFonts w:hint="eastAsia" w:ascii="宋体" w:hAnsi="宋体"/>
          <w:color w:val="auto"/>
          <w:szCs w:val="21"/>
          <w:highlight w:val="none"/>
        </w:rPr>
        <w:t>为一栋九</w:t>
      </w:r>
      <w:r>
        <w:rPr>
          <w:rFonts w:ascii="宋体" w:hAnsi="宋体"/>
          <w:color w:val="auto"/>
          <w:szCs w:val="21"/>
          <w:highlight w:val="none"/>
        </w:rPr>
        <w:t>层</w:t>
      </w:r>
      <w:r>
        <w:rPr>
          <w:rFonts w:hint="eastAsia" w:ascii="宋体" w:hAnsi="宋体"/>
          <w:color w:val="auto"/>
          <w:szCs w:val="21"/>
          <w:highlight w:val="none"/>
        </w:rPr>
        <w:t>楼</w:t>
      </w:r>
      <w:r>
        <w:rPr>
          <w:rFonts w:ascii="宋体" w:hAnsi="宋体"/>
          <w:color w:val="auto"/>
          <w:szCs w:val="21"/>
          <w:highlight w:val="none"/>
        </w:rPr>
        <w:t>（含负</w:t>
      </w:r>
      <w:r>
        <w:rPr>
          <w:rFonts w:hint="eastAsia" w:ascii="宋体" w:hAnsi="宋体"/>
          <w:color w:val="auto"/>
          <w:szCs w:val="21"/>
          <w:highlight w:val="none"/>
        </w:rPr>
        <w:t>一</w:t>
      </w:r>
      <w:r>
        <w:rPr>
          <w:rFonts w:ascii="宋体" w:hAnsi="宋体"/>
          <w:color w:val="auto"/>
          <w:szCs w:val="21"/>
          <w:highlight w:val="none"/>
        </w:rPr>
        <w:t>楼）</w:t>
      </w:r>
      <w:r>
        <w:rPr>
          <w:rFonts w:hint="eastAsia" w:ascii="宋体" w:hAnsi="宋体"/>
          <w:color w:val="auto"/>
          <w:szCs w:val="21"/>
          <w:highlight w:val="none"/>
        </w:rPr>
        <w:t>的独立建筑。大楼</w:t>
      </w:r>
      <w:r>
        <w:rPr>
          <w:rFonts w:ascii="宋体" w:hAnsi="宋体"/>
          <w:color w:val="auto"/>
          <w:szCs w:val="21"/>
          <w:highlight w:val="none"/>
        </w:rPr>
        <w:t>可供经营的饱和面积为8240平</w:t>
      </w:r>
      <w:r>
        <w:rPr>
          <w:rFonts w:hint="eastAsia" w:ascii="宋体" w:hAnsi="宋体"/>
          <w:color w:val="auto"/>
          <w:szCs w:val="21"/>
          <w:highlight w:val="none"/>
        </w:rPr>
        <w:t>方</w:t>
      </w:r>
      <w:r>
        <w:rPr>
          <w:rFonts w:ascii="宋体" w:hAnsi="宋体"/>
          <w:color w:val="auto"/>
          <w:szCs w:val="21"/>
          <w:highlight w:val="none"/>
        </w:rPr>
        <w:t>米，现为校内唯一的便民服务综合体。</w:t>
      </w:r>
      <w:r>
        <w:rPr>
          <w:rFonts w:hint="eastAsia" w:ascii="宋体" w:hAnsi="宋体"/>
          <w:color w:val="auto"/>
          <w:szCs w:val="21"/>
          <w:highlight w:val="none"/>
        </w:rPr>
        <w:t>按照学校规划要求，拟将其进行联合经营，授权具备商业资质的专业公司管理，建立满江红生活服务综合体。项目以建设“六型合一”的满江红生活服务综合体为目标，让广大师生不出校门，就能享受优质服务，满足师生学习、生活和文化的多样化需求。</w:t>
      </w:r>
    </w:p>
    <w:p>
      <w:pPr>
        <w:autoSpaceDE w:val="0"/>
        <w:autoSpaceDN w:val="0"/>
        <w:adjustRightInd w:val="0"/>
        <w:spacing w:line="360" w:lineRule="auto"/>
        <w:outlineLvl w:val="1"/>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二、项目内容及要求</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（一）改造内容及要求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1．改造范围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本项目该建筑物室内、楼顶及外立面改造；本项目该建筑物室外东、南、北面广场改造。</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2．改造内容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（1）总体规划</w:t>
      </w:r>
    </w:p>
    <w:p>
      <w:pPr>
        <w:pStyle w:val="99"/>
        <w:spacing w:before="0" w:after="0" w:line="360" w:lineRule="auto"/>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投标方提供项目建设的总体规划，提出项目构想，制定改造方案，同时提供本项目改造后建筑物外观及整体鸟瞰效果图各一张，以及该建筑物室外东、南、北面广场改造后效果图各一张，并形成项目规划设计书，提出项目改造计划完成时间。</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（2）空间设计</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投标方负责项目各楼层的布局设计，提出设计概念、服务主题和实现目标，拟制设计方案，提供各楼层的平面图和设计效果图，对拟开展的经营业态进行规划布局。</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（3）实施方案</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方负责项目的改造方案设计及实施，拟定大楼装修整体风格，分楼层设计装修方案。提出装修原材料、用水用电、天然气、办公设施设备、电梯等使用计划；涵盖新建大楼视频监控系统、水电、燃气、消防等辅助设施设备升级改造等内容。</w:t>
      </w:r>
      <w:r>
        <w:rPr>
          <w:rFonts w:ascii="宋体" w:hAnsi="宋体"/>
          <w:color w:val="auto"/>
          <w:szCs w:val="21"/>
          <w:highlight w:val="non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（4）经费预算</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rPr>
        <w:t>按改造分项目进行成本测算，投标方拟制项目总预算，向学校提供项目建设经费预算。改造完成后中标人成交的改造预算经费需经过采购人委托的审计机构进行审计。</w:t>
      </w:r>
    </w:p>
    <w:p>
      <w:pPr>
        <w:spacing w:line="360" w:lineRule="auto"/>
        <w:ind w:firstLine="525" w:firstLineChars="250"/>
        <w:rPr>
          <w:rFonts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．相关要求</w:t>
      </w:r>
    </w:p>
    <w:p>
      <w:pPr>
        <w:pStyle w:val="99"/>
        <w:spacing w:before="0" w:after="0" w:line="360" w:lineRule="auto"/>
        <w:ind w:firstLineChars="20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（1）中标人的项目建设（含引进业态设置布局）全过程必须服从学校的监督管理，且最终设计方案必须经过学校同意后方可实施。</w:t>
      </w:r>
    </w:p>
    <w:p>
      <w:pPr>
        <w:pStyle w:val="99"/>
        <w:spacing w:before="0" w:after="0" w:line="360" w:lineRule="auto"/>
        <w:ind w:firstLineChars="20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w:t>
      </w:r>
      <w:r>
        <w:rPr>
          <w:rFonts w:hint="eastAsia" w:ascii="Calibri" w:hAnsi="Calibri" w:eastAsia="宋体" w:cs="宋体"/>
          <w:color w:val="auto"/>
          <w:kern w:val="2"/>
          <w:sz w:val="21"/>
          <w:szCs w:val="21"/>
          <w:highlight w:val="none"/>
        </w:rPr>
        <w:t>在项目的总体设计上，必须</w:t>
      </w:r>
      <w:r>
        <w:rPr>
          <w:rFonts w:hint="eastAsia" w:ascii="宋体" w:hAnsi="宋体" w:eastAsia="宋体" w:cs="宋体"/>
          <w:color w:val="auto"/>
          <w:kern w:val="2"/>
          <w:sz w:val="21"/>
          <w:szCs w:val="21"/>
          <w:highlight w:val="none"/>
        </w:rPr>
        <w:t>按照学校的统一规划，</w:t>
      </w:r>
      <w:r>
        <w:rPr>
          <w:rFonts w:hint="eastAsia" w:ascii="Calibri" w:hAnsi="Calibri" w:eastAsia="宋体" w:cs="宋体"/>
          <w:color w:val="auto"/>
          <w:kern w:val="2"/>
          <w:sz w:val="21"/>
          <w:szCs w:val="21"/>
          <w:highlight w:val="none"/>
        </w:rPr>
        <w:t>中标人</w:t>
      </w:r>
      <w:r>
        <w:rPr>
          <w:rFonts w:hint="eastAsia" w:ascii="宋体" w:hAnsi="宋体" w:eastAsia="宋体" w:cs="宋体"/>
          <w:color w:val="auto"/>
          <w:kern w:val="2"/>
          <w:sz w:val="21"/>
          <w:szCs w:val="21"/>
          <w:highlight w:val="none"/>
        </w:rPr>
        <w:t>自主进行规划、设计</w:t>
      </w:r>
      <w:r>
        <w:rPr>
          <w:rFonts w:hint="eastAsia" w:ascii="Calibri" w:hAnsi="Calibri" w:eastAsia="宋体" w:cs="宋体"/>
          <w:color w:val="auto"/>
          <w:kern w:val="2"/>
          <w:sz w:val="21"/>
          <w:szCs w:val="21"/>
          <w:highlight w:val="none"/>
        </w:rPr>
        <w:t>。</w:t>
      </w:r>
      <w:r>
        <w:rPr>
          <w:rFonts w:hint="eastAsia" w:ascii="宋体" w:hAnsi="宋体" w:eastAsia="宋体" w:cs="宋体"/>
          <w:color w:val="auto"/>
          <w:kern w:val="2"/>
          <w:sz w:val="21"/>
          <w:szCs w:val="21"/>
          <w:highlight w:val="none"/>
        </w:rPr>
        <w:t>总体布局应科学合理，满足校园服务的需要。外观整体设计要立足学校特点，有明确的设计理念，形成有明显特色主题的总体风格，设计风格与学校文化、周边环境相协调。</w:t>
      </w:r>
    </w:p>
    <w:p>
      <w:pPr>
        <w:pStyle w:val="99"/>
        <w:spacing w:before="0" w:after="0" w:line="360" w:lineRule="auto"/>
        <w:ind w:firstLineChars="20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（3）在项目的装修设计上，要有时尚风格和校园文化特色创意体现。</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（4）按照相关功能定位对各楼层进行布局，布局设计既要满足知名品牌门店进驻需要，又要兼顾师生学习交流、课外活动和休闲文化需求。</w:t>
      </w:r>
    </w:p>
    <w:p>
      <w:pPr>
        <w:pStyle w:val="99"/>
        <w:spacing w:before="0" w:after="0" w:line="360" w:lineRule="auto"/>
        <w:ind w:firstLineChars="20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（5）中标人应了解楼层的具体情况，具体包括实际使用面积、房屋结构、水电、燃气、消防安全等设施。</w:t>
      </w:r>
    </w:p>
    <w:p>
      <w:pPr>
        <w:pStyle w:val="99"/>
        <w:spacing w:before="0" w:after="0" w:line="360" w:lineRule="auto"/>
        <w:ind w:firstLineChars="200"/>
        <w:rPr>
          <w:rFonts w:ascii="宋体" w:hAnsi="宋体" w:eastAsia="宋体" w:cs="宋体"/>
          <w:color w:val="auto"/>
          <w:szCs w:val="21"/>
          <w:highlight w:val="none"/>
        </w:rPr>
      </w:pPr>
      <w:r>
        <w:rPr>
          <w:rFonts w:hint="eastAsia" w:ascii="宋体" w:hAnsi="宋体" w:eastAsia="宋体" w:cs="宋体"/>
          <w:color w:val="auto"/>
          <w:kern w:val="2"/>
          <w:sz w:val="21"/>
          <w:szCs w:val="21"/>
          <w:highlight w:val="none"/>
        </w:rPr>
        <w:t>（6）对大楼视频监控系统及水电、燃气等管网设施，中标人须进行全面改造升级。在改造过程中，中标人要严格按照相关管理规定和有关要求进行。在水电、燃气等使用上，要有效保证安全；在视频监控功能发挥上，要起到明显效果。在项目改造过程中，中标人要充分考虑校园的交通、电力、电信、给排水、燃气、环境卫生等现有基础设施的利用，不能影响已有管网设施的使用安全，更不能增加新的安全隐患。</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（7）中标人的项目改造及装修装饰的施工图纸必须由具备相关设计资质的单位提供，还须报请学校审核，</w:t>
      </w:r>
      <w:r>
        <w:rPr>
          <w:rFonts w:hint="eastAsia"/>
          <w:color w:val="auto"/>
          <w:szCs w:val="21"/>
          <w:highlight w:val="none"/>
        </w:rPr>
        <w:t>待学校同意后方可施工。施工改造前，</w:t>
      </w:r>
      <w:r>
        <w:rPr>
          <w:rFonts w:hint="eastAsia" w:ascii="宋体" w:hAnsi="宋体"/>
          <w:color w:val="auto"/>
          <w:szCs w:val="21"/>
          <w:highlight w:val="none"/>
        </w:rPr>
        <w:t>中标人</w:t>
      </w:r>
      <w:r>
        <w:rPr>
          <w:rFonts w:hint="eastAsia"/>
          <w:color w:val="auto"/>
          <w:szCs w:val="21"/>
          <w:highlight w:val="none"/>
        </w:rPr>
        <w:t>需一次性缴纳装修保证金</w:t>
      </w:r>
      <w:r>
        <w:rPr>
          <w:rFonts w:hint="eastAsia" w:ascii="宋体" w:hAnsi="宋体"/>
          <w:color w:val="auto"/>
          <w:szCs w:val="21"/>
          <w:highlight w:val="none"/>
        </w:rPr>
        <w:t>10</w:t>
      </w:r>
      <w:r>
        <w:rPr>
          <w:rFonts w:hint="eastAsia"/>
          <w:color w:val="auto"/>
          <w:szCs w:val="21"/>
          <w:highlight w:val="none"/>
        </w:rPr>
        <w:t>万元（人民币）。经学校相关部门同意后，</w:t>
      </w:r>
      <w:r>
        <w:rPr>
          <w:rFonts w:hint="eastAsia" w:ascii="宋体" w:hAnsi="宋体"/>
          <w:color w:val="auto"/>
          <w:szCs w:val="21"/>
          <w:highlight w:val="none"/>
        </w:rPr>
        <w:t>中标人</w:t>
      </w:r>
      <w:r>
        <w:rPr>
          <w:rFonts w:hint="eastAsia"/>
          <w:color w:val="auto"/>
          <w:szCs w:val="21"/>
          <w:highlight w:val="none"/>
        </w:rPr>
        <w:t>再依规办理相关改造手续和消防部门的备案手续。</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在进行项目改造时，中标单位必须建立管理责任制度。施工改造过程中，必须遵守国家建筑施工安全规定，建立施工安全管理制度，并主动接受学校的监督。中标人要严格按照项目改造范围和内容，根据项目推进计划，按时间节点完成改造工程。施工完成后，须接受学校的整体验收，待验收合格后方能进行招商及运营。中标单位须承诺在签订合同后</w:t>
      </w:r>
      <w:r>
        <w:rPr>
          <w:rFonts w:hint="eastAsia" w:ascii="宋体" w:hAnsi="宋体"/>
          <w:color w:val="auto"/>
          <w:szCs w:val="21"/>
          <w:highlight w:val="none"/>
          <w:u w:val="single"/>
        </w:rPr>
        <w:t>90</w:t>
      </w:r>
      <w:r>
        <w:rPr>
          <w:rFonts w:hint="eastAsia" w:ascii="宋体" w:hAnsi="宋体"/>
          <w:color w:val="auto"/>
          <w:szCs w:val="21"/>
          <w:highlight w:val="none"/>
        </w:rPr>
        <w:t>日历天内完成整体装修改造（包括设施、设备、室内外装修等），并通过相关部门验收</w:t>
      </w:r>
      <w:r>
        <w:rPr>
          <w:rFonts w:hint="eastAsia"/>
          <w:color w:val="auto"/>
          <w:highlight w:val="none"/>
        </w:rPr>
        <w:t>。</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9）装修工程不得损坏、危及建筑结构，装修后的建筑物必须符合消防安全等要求。使用的装修材料必须符合环保要求，不得使用国家禁止使用的易燃易爆及有毒有害材料。中标人因装修改造、自建设施等产生的垃圾不得堆置校内，必须清运至校外。</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（10）在进行项目改造时，中标单位必须综合考虑校园及建筑物周边特殊地理、交通条件等环境因素影响，不得影响学校正常的教学和生活秩序。</w:t>
      </w:r>
      <w:r>
        <w:rPr>
          <w:rFonts w:hint="eastAsia" w:ascii="宋体" w:hAnsi="宋体"/>
          <w:color w:val="auto"/>
          <w:szCs w:val="21"/>
          <w:highlight w:val="none"/>
        </w:rPr>
        <w:br w:type="textWrapping"/>
      </w:r>
      <w:r>
        <w:rPr>
          <w:rFonts w:hint="eastAsia" w:ascii="宋体" w:hAnsi="宋体"/>
          <w:color w:val="auto"/>
          <w:szCs w:val="21"/>
          <w:highlight w:val="none"/>
        </w:rPr>
        <w:t xml:space="preserve">    （11）在进行项目改造时，如采购人提出在不增加改造预算经费投入的情况下，对改造方案进行细化调整或局部变更，中标单位应无条件配合。</w:t>
      </w:r>
      <w:r>
        <w:rPr>
          <w:color w:val="auto"/>
          <w:highlight w:val="none"/>
        </w:rPr>
        <w:br w:type="textWrapping"/>
      </w:r>
      <w:r>
        <w:rPr>
          <w:rFonts w:hint="eastAsia"/>
          <w:color w:val="auto"/>
          <w:highlight w:val="none"/>
        </w:rPr>
        <w:t xml:space="preserve">    （12）最高改造预算经费投入金额不限，但必须接受后期第三方审计。审计单位由采购人选定。</w:t>
      </w:r>
      <w:r>
        <w:rPr>
          <w:rFonts w:hint="eastAsia" w:ascii="宋体" w:hAnsi="宋体"/>
          <w:color w:val="auto"/>
          <w:szCs w:val="21"/>
          <w:highlight w:val="none"/>
        </w:rPr>
        <w:t>当审计金额小于承诺投资额的10%时，中标单位必须按两者之间的差额补偿给采购人；当审计金额小于或等于承诺投资额的15%时，中标单位必须按两者之间差额的两倍补偿给采购人。在审计结果公布之日起10个工作日内，中标单位必须一次性将差额补偿给采购人，</w:t>
      </w:r>
      <w:r>
        <w:rPr>
          <w:rFonts w:hint="eastAsia"/>
          <w:color w:val="auto"/>
          <w:highlight w:val="none"/>
        </w:rPr>
        <w:t>否则采购人有权终止合同，并且扣除全部履约保证金。</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（二）服务内容及要求</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1．服务内容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（1）管理机构</w:t>
      </w:r>
    </w:p>
    <w:p>
      <w:pPr>
        <w:spacing w:line="360" w:lineRule="auto"/>
        <w:ind w:firstLine="420" w:firstLineChars="200"/>
        <w:rPr>
          <w:rFonts w:ascii="宋体" w:hAnsi="宋体"/>
          <w:color w:val="auto"/>
          <w:szCs w:val="21"/>
          <w:highlight w:val="none"/>
        </w:rPr>
      </w:pPr>
      <w:r>
        <w:rPr>
          <w:rFonts w:hint="eastAsia"/>
          <w:color w:val="auto"/>
          <w:szCs w:val="21"/>
          <w:highlight w:val="none"/>
        </w:rPr>
        <w:t>中</w:t>
      </w:r>
      <w:r>
        <w:rPr>
          <w:rFonts w:hint="eastAsia" w:ascii="宋体" w:hAnsi="宋体"/>
          <w:color w:val="auto"/>
          <w:szCs w:val="21"/>
          <w:highlight w:val="none"/>
        </w:rPr>
        <w:t>标单位必须建立专门管理机构，负责综合体的运营和日常管理，包括但不限于行政管理、人事宣传管理、财务管理、运营管理等，常驻管理人员至少为6人，同时拟定相应的管理制度。学校专门派2名管理人员进入中标单位管理机构，参与项目全过程管理，在改造方案、证照办理、业态设置、服务项目开设、运营管理、设施设备维修、车辆出入和制定校园安全措施等方面，为中标人进行工作协调和业务指导，行使监督和检查职能。</w:t>
      </w:r>
    </w:p>
    <w:p>
      <w:pPr>
        <w:ind w:firstLine="315" w:firstLineChars="150"/>
        <w:rPr>
          <w:rFonts w:ascii="宋体" w:hAnsi="宋体"/>
          <w:color w:val="auto"/>
          <w:highlight w:val="none"/>
        </w:rPr>
      </w:pPr>
      <w:r>
        <w:rPr>
          <w:rFonts w:hint="eastAsia" w:ascii="宋体" w:hAnsi="宋体"/>
          <w:color w:val="auto"/>
          <w:szCs w:val="21"/>
          <w:highlight w:val="none"/>
        </w:rPr>
        <w:t>（2）</w:t>
      </w:r>
      <w:r>
        <w:rPr>
          <w:rFonts w:hint="eastAsia" w:ascii="宋体" w:hAnsi="宋体"/>
          <w:color w:val="auto"/>
          <w:highlight w:val="none"/>
        </w:rPr>
        <w:t>功能布局</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综合体各楼层功能整体布局如下：</w:t>
      </w:r>
    </w:p>
    <w:p>
      <w:pPr>
        <w:spacing w:line="400" w:lineRule="exact"/>
        <w:ind w:firstLine="420" w:firstLineChars="200"/>
        <w:rPr>
          <w:rFonts w:ascii="宋体" w:hAnsi="宋体"/>
          <w:color w:val="auto"/>
          <w:highlight w:val="none"/>
        </w:rPr>
      </w:pPr>
      <w:r>
        <w:rPr>
          <w:rFonts w:hint="eastAsia" w:ascii="宋体" w:hAnsi="宋体"/>
          <w:color w:val="auto"/>
          <w:highlight w:val="none"/>
        </w:rPr>
        <w:t>1)负一楼至一楼: 引进大型国有连锁生鲜超市，建立便捷服务生活区，为教职工及学生提供一站式便民服务，实现对基础生活物资供给的全覆盖，包含但不限于缝纫修补、家电维修、药房、配锁开锁、干洗店、工具租借、家政等低偿便民服务项目以及</w:t>
      </w:r>
      <w:r>
        <w:rPr>
          <w:rFonts w:hint="eastAsia" w:ascii="宋体" w:hAnsi="宋体"/>
          <w:color w:val="auto"/>
          <w:szCs w:val="21"/>
          <w:highlight w:val="none"/>
        </w:rPr>
        <w:t>为学生和教职</w:t>
      </w:r>
      <w:r>
        <w:rPr>
          <w:rFonts w:hint="eastAsia" w:ascii="宋体" w:hAnsi="宋体"/>
          <w:color w:val="auto"/>
          <w:szCs w:val="21"/>
          <w:highlight w:val="none"/>
          <w:lang w:eastAsia="zh-CN"/>
        </w:rPr>
        <w:t>员</w:t>
      </w:r>
      <w:r>
        <w:rPr>
          <w:rFonts w:hint="eastAsia" w:ascii="宋体" w:hAnsi="宋体"/>
          <w:color w:val="auto"/>
          <w:szCs w:val="21"/>
          <w:highlight w:val="none"/>
        </w:rPr>
        <w:t>工提供闲置物品信息登记、交换、寄卖等拓展服务项</w:t>
      </w:r>
      <w:r>
        <w:rPr>
          <w:rFonts w:hint="eastAsia"/>
          <w:color w:val="auto"/>
          <w:highlight w:val="none"/>
          <w:lang w:eastAsia="zh-CN"/>
        </w:rPr>
        <w:t>目</w:t>
      </w:r>
      <w:r>
        <w:rPr>
          <w:rFonts w:hint="eastAsia" w:ascii="宋体" w:hAnsi="宋体"/>
          <w:color w:val="auto"/>
          <w:szCs w:val="21"/>
          <w:highlight w:val="none"/>
        </w:rPr>
        <w:t>。</w:t>
      </w:r>
    </w:p>
    <w:p>
      <w:pPr>
        <w:spacing w:line="400" w:lineRule="exact"/>
        <w:ind w:firstLine="420" w:firstLineChars="200"/>
        <w:rPr>
          <w:rFonts w:ascii="宋体" w:hAnsi="宋体"/>
          <w:color w:val="auto"/>
          <w:highlight w:val="none"/>
        </w:rPr>
      </w:pPr>
      <w:r>
        <w:rPr>
          <w:rFonts w:hint="eastAsia" w:ascii="宋体" w:hAnsi="宋体"/>
          <w:color w:val="auto"/>
          <w:highlight w:val="none"/>
        </w:rPr>
        <w:t>2）二楼至三楼:引进国内外中西餐连锁品牌及广受学生好评的甜食饮品（如外婆家、许留山、奈雪的茶、棒约翰披萨等），建立场景式的品牌连锁美食广场，满足师生深度交流的饮食和休闲需求，成为师生兴趣交流和好友聚会的理想地。在公共区域，还专门设立校园人文展示区，展示学校特色文化。</w:t>
      </w:r>
    </w:p>
    <w:p>
      <w:pPr>
        <w:spacing w:line="400" w:lineRule="exact"/>
        <w:ind w:firstLine="420" w:firstLineChars="200"/>
        <w:rPr>
          <w:rFonts w:ascii="宋体" w:hAnsi="宋体"/>
          <w:color w:val="auto"/>
          <w:highlight w:val="none"/>
        </w:rPr>
      </w:pPr>
      <w:r>
        <w:rPr>
          <w:rFonts w:hint="eastAsia" w:ascii="宋体" w:hAnsi="宋体"/>
          <w:color w:val="auto"/>
          <w:highlight w:val="none"/>
        </w:rPr>
        <w:t>3）四楼: 建立国内外特色美食中心，分区域划分国际特色美食及国内特色美食区，为国内各地学生和国外留学生提供家乡美食（如国内武汉、西安、新疆、香港、云南、重庆等特色美食，印度、韩国、泰国、日本等国际美食）。</w:t>
      </w:r>
    </w:p>
    <w:p>
      <w:pPr>
        <w:spacing w:line="400" w:lineRule="exact"/>
        <w:ind w:firstLine="420" w:firstLineChars="200"/>
        <w:rPr>
          <w:rFonts w:ascii="宋体" w:hAnsi="宋体"/>
          <w:color w:val="auto"/>
          <w:highlight w:val="none"/>
        </w:rPr>
      </w:pPr>
      <w:r>
        <w:rPr>
          <w:rFonts w:hint="eastAsia" w:ascii="宋体" w:hAnsi="宋体"/>
          <w:color w:val="auto"/>
          <w:highlight w:val="none"/>
        </w:rPr>
        <w:t>4）五楼: 建立电子数码广场，提供电脑、数码产品、手机通信产品和打印设施设备的出售、维修和售后等服务，开设电信服务门店。</w:t>
      </w:r>
    </w:p>
    <w:p>
      <w:pPr>
        <w:spacing w:line="400" w:lineRule="exact"/>
        <w:ind w:firstLine="420" w:firstLineChars="200"/>
        <w:rPr>
          <w:rFonts w:ascii="宋体" w:hAnsi="宋体"/>
          <w:color w:val="auto"/>
          <w:highlight w:val="none"/>
        </w:rPr>
      </w:pPr>
      <w:r>
        <w:rPr>
          <w:rFonts w:hint="eastAsia" w:ascii="宋体" w:hAnsi="宋体"/>
          <w:color w:val="auto"/>
          <w:highlight w:val="none"/>
        </w:rPr>
        <w:t>5）六楼至七楼: 建立健康生活综合服务区，打造健康中国文化展示区，设立一站式优质健康生活空间和健康生活服务中心。提供体育文化、户外运动用品和体育服装等服务门店，开设健身中心、舞蹈中心、瑜伽房、健康理疗中心、健康服务咨询、健康产品和定制健康膳食等服务项目。</w:t>
      </w:r>
    </w:p>
    <w:p>
      <w:pPr>
        <w:spacing w:line="400" w:lineRule="exact"/>
        <w:ind w:firstLine="420" w:firstLineChars="200"/>
        <w:rPr>
          <w:rFonts w:ascii="宋体" w:hAnsi="宋体"/>
          <w:color w:val="auto"/>
          <w:highlight w:val="none"/>
        </w:rPr>
      </w:pPr>
      <w:r>
        <w:rPr>
          <w:rFonts w:hint="eastAsia" w:ascii="宋体" w:hAnsi="宋体"/>
          <w:color w:val="auto"/>
          <w:highlight w:val="none"/>
        </w:rPr>
        <w:t>6）八楼: 建立文化休闲中心，打造红色教育基地及校园院线（收费性质），</w:t>
      </w:r>
      <w:r>
        <w:rPr>
          <w:rFonts w:hint="eastAsia" w:ascii="宋体" w:hAnsi="宋体"/>
          <w:color w:val="auto"/>
          <w:szCs w:val="21"/>
          <w:highlight w:val="none"/>
        </w:rPr>
        <w:t>同时开设</w:t>
      </w:r>
      <w:r>
        <w:rPr>
          <w:rFonts w:hint="eastAsia" w:ascii="宋体" w:hAnsi="宋体"/>
          <w:color w:val="auto"/>
          <w:highlight w:val="none"/>
        </w:rPr>
        <w:t>共享创业活动中心</w:t>
      </w:r>
      <w:r>
        <w:rPr>
          <w:rFonts w:hint="eastAsia" w:ascii="宋体" w:hAnsi="宋体"/>
          <w:color w:val="auto"/>
          <w:szCs w:val="21"/>
          <w:highlight w:val="none"/>
        </w:rPr>
        <w:t>。在公共区域，划分</w:t>
      </w:r>
      <w:r>
        <w:rPr>
          <w:rFonts w:hint="eastAsia" w:ascii="宋体" w:hAnsi="宋体"/>
          <w:color w:val="auto"/>
          <w:highlight w:val="none"/>
        </w:rPr>
        <w:t>商务会谈区和文化活动多功能厅，同时建立爱国文化长廊。</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7）九楼: 建立</w:t>
      </w:r>
      <w:r>
        <w:rPr>
          <w:rFonts w:hint="eastAsia" w:ascii="宋体" w:hAnsi="宋体"/>
          <w:color w:val="auto"/>
          <w:szCs w:val="21"/>
          <w:highlight w:val="none"/>
          <w:lang w:eastAsia="zh-CN"/>
        </w:rPr>
        <w:t>“</w:t>
      </w:r>
      <w:r>
        <w:rPr>
          <w:rFonts w:hint="eastAsia" w:ascii="宋体" w:hAnsi="宋体"/>
          <w:color w:val="auto"/>
          <w:szCs w:val="21"/>
          <w:highlight w:val="none"/>
        </w:rPr>
        <w:t>三博</w:t>
      </w:r>
      <w:r>
        <w:rPr>
          <w:rFonts w:hint="eastAsia" w:ascii="宋体" w:hAnsi="宋体"/>
          <w:color w:val="auto"/>
          <w:szCs w:val="21"/>
          <w:highlight w:val="none"/>
          <w:lang w:eastAsia="zh-CN"/>
        </w:rPr>
        <w:t>”</w:t>
      </w:r>
      <w:r>
        <w:rPr>
          <w:rFonts w:hint="eastAsia" w:ascii="宋体" w:hAnsi="宋体"/>
          <w:color w:val="auto"/>
          <w:szCs w:val="21"/>
          <w:highlight w:val="none"/>
        </w:rPr>
        <w:t>空中花园，打造师生的浪漫花园，在公共区域设立生态绿色休闲区。</w:t>
      </w:r>
    </w:p>
    <w:p>
      <w:pPr>
        <w:spacing w:line="360" w:lineRule="auto"/>
        <w:ind w:firstLine="315" w:firstLineChars="150"/>
        <w:rPr>
          <w:rFonts w:ascii="宋体" w:hAnsi="宋体"/>
          <w:color w:val="auto"/>
          <w:szCs w:val="21"/>
          <w:highlight w:val="none"/>
        </w:rPr>
      </w:pPr>
      <w:r>
        <w:rPr>
          <w:rFonts w:hint="eastAsia" w:ascii="宋体" w:hAnsi="宋体"/>
          <w:color w:val="auto"/>
          <w:szCs w:val="21"/>
          <w:highlight w:val="none"/>
        </w:rPr>
        <w:t>（3）业态设置</w:t>
      </w:r>
    </w:p>
    <w:p>
      <w:pPr>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1）满足师生需求。在服务内容方面，突出“面向师生服务，突出校园特色”主线。</w:t>
      </w:r>
    </w:p>
    <w:p>
      <w:pPr>
        <w:spacing w:line="360" w:lineRule="auto"/>
        <w:ind w:firstLine="420" w:firstLineChars="200"/>
        <w:jc w:val="left"/>
        <w:rPr>
          <w:color w:val="auto"/>
          <w:szCs w:val="21"/>
          <w:highlight w:val="none"/>
        </w:rPr>
      </w:pPr>
      <w:r>
        <w:rPr>
          <w:rFonts w:hint="eastAsia" w:ascii="宋体" w:hAnsi="宋体"/>
          <w:color w:val="auto"/>
          <w:kern w:val="0"/>
          <w:szCs w:val="21"/>
          <w:highlight w:val="none"/>
        </w:rPr>
        <w:t>2）服务经营的业态必须明确做到“三禁止”。即禁止开设教育培训项目，禁止在校园开设经营KTV等娱乐项目，</w:t>
      </w:r>
      <w:r>
        <w:rPr>
          <w:rFonts w:hint="eastAsia"/>
          <w:color w:val="auto"/>
          <w:szCs w:val="21"/>
          <w:highlight w:val="none"/>
        </w:rPr>
        <w:t>禁止开设经营网咖项目。</w:t>
      </w:r>
      <w:r>
        <w:rPr>
          <w:rFonts w:hint="eastAsia"/>
          <w:b/>
          <w:bCs/>
          <w:color w:val="auto"/>
          <w:szCs w:val="21"/>
          <w:highlight w:val="none"/>
        </w:rPr>
        <w:t>（提供承诺书、格式自拟）</w:t>
      </w:r>
    </w:p>
    <w:p>
      <w:pPr>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3）符合功能布局要求。严格按照空间布局设计，分楼层建立便民生活服务区、商超（含生鲜类）、美食广场、数码广场、健康生活综合服务区等，进行功能定位设置。</w:t>
      </w:r>
    </w:p>
    <w:p>
      <w:pPr>
        <w:spacing w:line="360" w:lineRule="auto"/>
        <w:ind w:firstLine="315" w:firstLineChars="150"/>
        <w:rPr>
          <w:rFonts w:ascii="宋体" w:hAnsi="宋体"/>
          <w:color w:val="auto"/>
          <w:kern w:val="0"/>
          <w:szCs w:val="21"/>
          <w:highlight w:val="none"/>
        </w:rPr>
      </w:pPr>
      <w:r>
        <w:rPr>
          <w:rFonts w:hint="eastAsia" w:ascii="宋体" w:hAnsi="宋体"/>
          <w:color w:val="auto"/>
          <w:kern w:val="0"/>
          <w:szCs w:val="21"/>
          <w:highlight w:val="none"/>
        </w:rPr>
        <w:t>（4）运营管理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1）商户资格审查制度。中标人所招商的机构和实体商户，其经营服务范围必须符合国家相关执行标准，必须与学校明确的经营范围要求一致。</w:t>
      </w:r>
    </w:p>
    <w:p>
      <w:pPr>
        <w:numPr>
          <w:ilvl w:val="0"/>
          <w:numId w:val="35"/>
        </w:num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商户合同管理。</w:t>
      </w:r>
      <w:r>
        <w:rPr>
          <w:rFonts w:hint="eastAsia"/>
          <w:color w:val="auto"/>
          <w:szCs w:val="21"/>
          <w:highlight w:val="none"/>
        </w:rPr>
        <w:t>中</w:t>
      </w:r>
      <w:r>
        <w:rPr>
          <w:rFonts w:hint="eastAsia" w:ascii="宋体" w:hAnsi="宋体"/>
          <w:color w:val="auto"/>
          <w:szCs w:val="21"/>
          <w:highlight w:val="none"/>
        </w:rPr>
        <w:t>标人必须与各商户签订书面的承租合同。</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3）从业人员要求。</w:t>
      </w:r>
      <w:r>
        <w:rPr>
          <w:rFonts w:hint="eastAsia"/>
          <w:color w:val="auto"/>
          <w:szCs w:val="21"/>
          <w:highlight w:val="none"/>
        </w:rPr>
        <w:t>必须遵守相关业态的职业管理规定，要求</w:t>
      </w:r>
      <w:r>
        <w:rPr>
          <w:rFonts w:hint="eastAsia" w:ascii="宋体" w:hAnsi="宋体"/>
          <w:color w:val="auto"/>
          <w:szCs w:val="21"/>
          <w:highlight w:val="none"/>
        </w:rPr>
        <w:t>各商户配备足够数量的人员，保证能及时便利、快速高效地提供优质服务。</w:t>
      </w:r>
    </w:p>
    <w:p>
      <w:pPr>
        <w:spacing w:line="360" w:lineRule="auto"/>
        <w:ind w:firstLine="315" w:firstLineChars="150"/>
        <w:rPr>
          <w:rFonts w:ascii="宋体" w:hAnsi="宋体"/>
          <w:color w:val="auto"/>
          <w:kern w:val="0"/>
          <w:szCs w:val="21"/>
          <w:highlight w:val="none"/>
        </w:rPr>
      </w:pPr>
      <w:r>
        <w:rPr>
          <w:rFonts w:hint="eastAsia" w:ascii="宋体" w:hAnsi="宋体"/>
          <w:color w:val="auto"/>
          <w:kern w:val="0"/>
          <w:szCs w:val="21"/>
          <w:highlight w:val="none"/>
        </w:rPr>
        <w:t>（5）营商环境</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1）相关手续办理。项目所需的相应手续由</w:t>
      </w:r>
      <w:r>
        <w:rPr>
          <w:rFonts w:hint="eastAsia"/>
          <w:color w:val="auto"/>
          <w:szCs w:val="21"/>
          <w:highlight w:val="none"/>
        </w:rPr>
        <w:t>中</w:t>
      </w:r>
      <w:r>
        <w:rPr>
          <w:rFonts w:hint="eastAsia" w:ascii="宋体" w:hAnsi="宋体"/>
          <w:color w:val="auto"/>
          <w:szCs w:val="21"/>
          <w:highlight w:val="none"/>
        </w:rPr>
        <w:t>标人自行办理。建设及运营期间，</w:t>
      </w:r>
      <w:r>
        <w:rPr>
          <w:rFonts w:hint="eastAsia"/>
          <w:color w:val="auto"/>
          <w:szCs w:val="21"/>
          <w:highlight w:val="none"/>
        </w:rPr>
        <w:t>中</w:t>
      </w:r>
      <w:r>
        <w:rPr>
          <w:rFonts w:hint="eastAsia" w:ascii="宋体" w:hAnsi="宋体"/>
          <w:color w:val="auto"/>
          <w:szCs w:val="21"/>
          <w:highlight w:val="none"/>
        </w:rPr>
        <w:t>标人须自行处理与政府相关业务管理部门（包括但不限于规划、工商、市场监督、消防、天然气等部门）管理要求的有关事项，并独自承担由此带来的各项费用、经济损失与责任。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w:t>
      </w:r>
      <w:r>
        <w:rPr>
          <w:rFonts w:hint="eastAsia"/>
          <w:color w:val="auto"/>
          <w:szCs w:val="21"/>
          <w:highlight w:val="none"/>
        </w:rPr>
        <w:t>商户和预支付消费业态的管控。在</w:t>
      </w:r>
      <w:r>
        <w:rPr>
          <w:rFonts w:hint="eastAsia" w:ascii="宋体" w:hAnsi="宋体"/>
          <w:color w:val="auto"/>
          <w:szCs w:val="21"/>
          <w:highlight w:val="none"/>
        </w:rPr>
        <w:t>经营过程中，必须做到及时、有效地处理各类纠纷和各种矛盾，要</w:t>
      </w:r>
      <w:r>
        <w:rPr>
          <w:rFonts w:hint="eastAsia"/>
          <w:color w:val="auto"/>
          <w:szCs w:val="21"/>
          <w:highlight w:val="none"/>
        </w:rPr>
        <w:t>防止群体性事件和问题发生，</w:t>
      </w:r>
      <w:r>
        <w:rPr>
          <w:rFonts w:hint="eastAsia" w:ascii="宋体" w:hAnsi="宋体"/>
          <w:color w:val="auto"/>
          <w:szCs w:val="21"/>
          <w:highlight w:val="none"/>
        </w:rPr>
        <w:t>杜绝造成不良社会影响。</w:t>
      </w:r>
    </w:p>
    <w:p>
      <w:pPr>
        <w:pStyle w:val="99"/>
        <w:spacing w:before="0" w:after="0" w:line="360" w:lineRule="auto"/>
        <w:ind w:firstLineChars="200"/>
        <w:rPr>
          <w:rFonts w:ascii="宋体" w:hAnsi="宋体" w:eastAsia="宋体" w:cs="宋体"/>
          <w:b/>
          <w:bCs/>
          <w:color w:val="auto"/>
          <w:kern w:val="2"/>
          <w:sz w:val="21"/>
          <w:szCs w:val="21"/>
          <w:highlight w:val="none"/>
        </w:rPr>
      </w:pPr>
      <w:r>
        <w:rPr>
          <w:rFonts w:hint="eastAsia" w:ascii="宋体" w:hAnsi="宋体" w:eastAsia="宋体" w:cs="宋体"/>
          <w:color w:val="auto"/>
          <w:kern w:val="2"/>
          <w:sz w:val="21"/>
          <w:szCs w:val="21"/>
          <w:highlight w:val="none"/>
        </w:rPr>
        <w:t>3）所有商品要实行统一采购。自有的商品有配送基地的，商品渠道实行严格的市场准入机制。不得销售“三无”产品，没有经国家有关部门检验检疫合格的商品一律禁止流通。</w:t>
      </w:r>
      <w:r>
        <w:rPr>
          <w:rFonts w:hint="eastAsia" w:ascii="宋体" w:hAnsi="宋体" w:eastAsia="宋体" w:cs="宋体"/>
          <w:b/>
          <w:bCs/>
          <w:color w:val="auto"/>
          <w:kern w:val="2"/>
          <w:sz w:val="21"/>
          <w:szCs w:val="21"/>
          <w:highlight w:val="none"/>
        </w:rPr>
        <w:t>（提供承诺书、格式自拟）</w:t>
      </w:r>
    </w:p>
    <w:p>
      <w:pPr>
        <w:spacing w:line="360" w:lineRule="auto"/>
        <w:ind w:firstLine="405"/>
        <w:rPr>
          <w:rFonts w:ascii="宋体" w:hAnsi="宋体"/>
          <w:color w:val="auto"/>
          <w:szCs w:val="21"/>
          <w:highlight w:val="none"/>
        </w:rPr>
      </w:pPr>
      <w:r>
        <w:rPr>
          <w:rFonts w:hint="eastAsia" w:ascii="宋体" w:hAnsi="宋体"/>
          <w:color w:val="auto"/>
          <w:szCs w:val="21"/>
          <w:highlight w:val="none"/>
        </w:rPr>
        <w:t>4）所有商品实行“服务三包”机制。因经营方出售的商品存在质量问题或在经营过程中出现的其他问题，所造成经济、法律等一切责任均由中标人承担。凡因商品本身的质量问题，按照国家相应法律法规处理，由中标人负责，督促商户及时向师生提供退换货服务。</w:t>
      </w:r>
      <w:r>
        <w:rPr>
          <w:rFonts w:hint="eastAsia" w:ascii="宋体" w:hAnsi="宋体"/>
          <w:b/>
          <w:bCs/>
          <w:color w:val="auto"/>
          <w:szCs w:val="21"/>
          <w:highlight w:val="none"/>
        </w:rPr>
        <w:t>（提供承诺书、格式自拟）</w:t>
      </w:r>
    </w:p>
    <w:p>
      <w:pPr>
        <w:spacing w:line="360" w:lineRule="auto"/>
        <w:ind w:firstLine="405"/>
        <w:rPr>
          <w:rFonts w:ascii="宋体" w:hAnsi="宋体"/>
          <w:color w:val="auto"/>
          <w:szCs w:val="21"/>
          <w:highlight w:val="none"/>
        </w:rPr>
      </w:pPr>
      <w:r>
        <w:rPr>
          <w:rFonts w:hint="eastAsia" w:ascii="宋体" w:hAnsi="宋体"/>
          <w:color w:val="auto"/>
          <w:szCs w:val="21"/>
          <w:highlight w:val="none"/>
        </w:rPr>
        <w:t>5）</w:t>
      </w:r>
      <w:r>
        <w:rPr>
          <w:rFonts w:hint="eastAsia"/>
          <w:color w:val="auto"/>
          <w:szCs w:val="21"/>
          <w:highlight w:val="none"/>
        </w:rPr>
        <w:t>中</w:t>
      </w:r>
      <w:r>
        <w:rPr>
          <w:rFonts w:hint="eastAsia" w:ascii="宋体" w:hAnsi="宋体"/>
          <w:color w:val="auto"/>
          <w:szCs w:val="21"/>
          <w:highlight w:val="none"/>
        </w:rPr>
        <w:t>标人要求各商户按照《劳动法》等有关规定，支付其派驻工作人员的工资等报酬和工伤、意外伤害、失业保险等各种保险费用，处理劳动纠纷，严格聘用人员管理并承担一切责任。</w:t>
      </w:r>
      <w:r>
        <w:rPr>
          <w:rFonts w:hint="eastAsia" w:ascii="宋体" w:hAnsi="宋体"/>
          <w:b/>
          <w:bCs/>
          <w:color w:val="auto"/>
          <w:szCs w:val="21"/>
          <w:highlight w:val="none"/>
        </w:rPr>
        <w:t>（提供承诺书、格式自拟）</w:t>
      </w:r>
    </w:p>
    <w:p>
      <w:pPr>
        <w:spacing w:line="360" w:lineRule="auto"/>
        <w:ind w:firstLine="405"/>
        <w:rPr>
          <w:rFonts w:ascii="宋体" w:hAnsi="宋体"/>
          <w:color w:val="auto"/>
          <w:szCs w:val="21"/>
          <w:highlight w:val="none"/>
        </w:rPr>
      </w:pPr>
      <w:r>
        <w:rPr>
          <w:rFonts w:hint="eastAsia" w:ascii="宋体" w:hAnsi="宋体"/>
          <w:color w:val="auto"/>
          <w:szCs w:val="21"/>
          <w:highlight w:val="none"/>
        </w:rPr>
        <w:t>6）遵守门前“三包”制度。中标单位常态化要求各商铺必须做到外观整洁，所放物品井然有序，服务设备及设施完好。</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（6）校企合作</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接纳学校学生实习实训。</w:t>
      </w:r>
    </w:p>
    <w:p>
      <w:pPr>
        <w:widowControl/>
        <w:numPr>
          <w:ilvl w:val="0"/>
          <w:numId w:val="36"/>
        </w:num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应急事项处置。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2．相关要求</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hint="eastAsia"/>
          <w:color w:val="auto"/>
          <w:szCs w:val="21"/>
          <w:highlight w:val="none"/>
        </w:rPr>
        <w:t>中</w:t>
      </w:r>
      <w:r>
        <w:rPr>
          <w:rFonts w:hint="eastAsia" w:ascii="宋体" w:hAnsi="宋体"/>
          <w:color w:val="auto"/>
          <w:szCs w:val="21"/>
          <w:highlight w:val="none"/>
        </w:rPr>
        <w:t>标人必须遵守国家法律法规，严格执行国家和学校的各项管理规定和规章制度，不得从事违法犯罪活动，做到守法经营、诚信运营、文明服务，维护广大师生合法权益。</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结合工作目标，中标人必须制定相关的规章制度（如管理机构设立、岗位职责与规范、运营管理制度、商户管理制度、服务质量考评制度、从业人员培训制度、责任追究制度等）。所制定的规章制度，必须符合相关法律法规及学校的管理要求。</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（3）中标人必须按照学校要求，在学校派入管理人员的指导下进行工作，对项目运营进行日常管理，并主动接受监管。</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（4）围绕“六型合一”生活服务综合体建设目标，中标方要以校园一卡通为载体，</w:t>
      </w:r>
      <w:r>
        <w:rPr>
          <w:rFonts w:ascii="宋体" w:hAnsi="宋体"/>
          <w:color w:val="auto"/>
          <w:szCs w:val="21"/>
          <w:highlight w:val="none"/>
        </w:rPr>
        <w:t>结合人工智能大数据技术，实现信息化技术与生活服务内容的有机融合</w:t>
      </w:r>
      <w:r>
        <w:rPr>
          <w:rFonts w:hint="eastAsia" w:ascii="宋体" w:hAnsi="宋体"/>
          <w:color w:val="auto"/>
          <w:szCs w:val="21"/>
          <w:highlight w:val="none"/>
        </w:rPr>
        <w:t>，给</w:t>
      </w:r>
      <w:r>
        <w:rPr>
          <w:rFonts w:ascii="宋体" w:hAnsi="宋体"/>
          <w:color w:val="auto"/>
          <w:szCs w:val="21"/>
          <w:highlight w:val="none"/>
        </w:rPr>
        <w:t>师生</w:t>
      </w:r>
      <w:r>
        <w:rPr>
          <w:rFonts w:hint="eastAsia" w:ascii="宋体" w:hAnsi="宋体"/>
          <w:color w:val="auto"/>
          <w:szCs w:val="21"/>
          <w:highlight w:val="none"/>
        </w:rPr>
        <w:t>提供便利快捷、优质高效的服务。</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（5）在经营项目、商品质量、服务态度等方面，所招商的机构和实体商户，中标方必须提出规范化要求，突出常态化考核，督促经营商户营造安全、整洁、有序的服务环境。</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w:t>
      </w:r>
      <w:r>
        <w:rPr>
          <w:rFonts w:hint="eastAsia"/>
          <w:color w:val="auto"/>
          <w:szCs w:val="21"/>
          <w:highlight w:val="none"/>
        </w:rPr>
        <w:t>中</w:t>
      </w:r>
      <w:r>
        <w:rPr>
          <w:rFonts w:hint="eastAsia" w:ascii="宋体" w:hAnsi="宋体"/>
          <w:color w:val="auto"/>
          <w:szCs w:val="21"/>
          <w:highlight w:val="none"/>
        </w:rPr>
        <w:t>标人必须开设</w:t>
      </w:r>
      <w:r>
        <w:rPr>
          <w:rFonts w:hint="eastAsia" w:ascii="宋体" w:hAnsi="宋体"/>
          <w:color w:val="auto"/>
          <w:kern w:val="0"/>
          <w:szCs w:val="21"/>
          <w:highlight w:val="none"/>
        </w:rPr>
        <w:t>包括但不限于提供日用百货、学习文具、生活用品、零食饮料、餐饮食品、日常医疗药品等大众消费项目，包含但不限于开设生活超市、美食餐厅、运动健康场馆和休闲饮食饮品店等，涵盖但不限于洗衣理发、图文复印、数码产品、验光配镜、便民药店等服务实体门店。</w:t>
      </w:r>
    </w:p>
    <w:p>
      <w:pPr>
        <w:spacing w:line="360" w:lineRule="auto"/>
        <w:ind w:firstLine="420" w:firstLineChars="200"/>
        <w:rPr>
          <w:color w:val="auto"/>
          <w:szCs w:val="21"/>
          <w:highlight w:val="none"/>
        </w:rPr>
      </w:pPr>
      <w:r>
        <w:rPr>
          <w:rFonts w:hint="eastAsia" w:ascii="宋体" w:hAnsi="宋体"/>
          <w:color w:val="auto"/>
          <w:szCs w:val="21"/>
          <w:highlight w:val="none"/>
        </w:rPr>
        <w:t>（7）在服务业态分布上，中标人可引进国内有一定影响的商业品牌店经营，招商的机构和实体企业要按照行业标准配置进行规划设置。</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（8）</w:t>
      </w:r>
      <w:r>
        <w:rPr>
          <w:rFonts w:hint="eastAsia"/>
          <w:color w:val="auto"/>
          <w:szCs w:val="21"/>
          <w:highlight w:val="none"/>
        </w:rPr>
        <w:t>中</w:t>
      </w:r>
      <w:r>
        <w:rPr>
          <w:rFonts w:hint="eastAsia" w:ascii="宋体" w:hAnsi="宋体"/>
          <w:color w:val="auto"/>
          <w:szCs w:val="21"/>
          <w:highlight w:val="none"/>
        </w:rPr>
        <w:t>标人必须接收原有的经营业态和部分商户，有偿接收剩余未售商品（中标价格中不包含），未经学校同意不得更改或增加经营项目。根据实际需要，</w:t>
      </w:r>
      <w:r>
        <w:rPr>
          <w:rFonts w:hint="eastAsia"/>
          <w:color w:val="auto"/>
          <w:szCs w:val="21"/>
          <w:highlight w:val="none"/>
        </w:rPr>
        <w:t>中</w:t>
      </w:r>
      <w:r>
        <w:rPr>
          <w:rFonts w:hint="eastAsia" w:ascii="宋体" w:hAnsi="宋体"/>
          <w:color w:val="auto"/>
          <w:szCs w:val="21"/>
          <w:highlight w:val="none"/>
        </w:rPr>
        <w:t>标人可变更商户及业态设置。在变更前，须报经学校相关部门同意后方可实施。</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（9）</w:t>
      </w:r>
      <w:r>
        <w:rPr>
          <w:rFonts w:hint="eastAsia"/>
          <w:color w:val="auto"/>
          <w:szCs w:val="21"/>
          <w:highlight w:val="none"/>
        </w:rPr>
        <w:t>中</w:t>
      </w:r>
      <w:r>
        <w:rPr>
          <w:rFonts w:hint="eastAsia" w:ascii="宋体" w:hAnsi="宋体"/>
          <w:color w:val="auto"/>
          <w:szCs w:val="21"/>
          <w:highlight w:val="none"/>
        </w:rPr>
        <w:t>标人签订的承租合同必须按原件抄送学校相关部门。在商户发生变更时，须及时将相关信息以书面形式告知学校相关部门。与引进的品牌商户签约时，不得违反合作期限，出现超期签约。</w:t>
      </w:r>
    </w:p>
    <w:p>
      <w:pPr>
        <w:spacing w:line="360" w:lineRule="auto"/>
        <w:ind w:firstLine="420" w:firstLineChars="200"/>
        <w:rPr>
          <w:color w:val="auto"/>
          <w:highlight w:val="none"/>
        </w:rPr>
      </w:pPr>
      <w:r>
        <w:rPr>
          <w:rFonts w:hint="eastAsia" w:ascii="宋体" w:hAnsi="宋体"/>
          <w:color w:val="auto"/>
          <w:szCs w:val="21"/>
          <w:highlight w:val="none"/>
        </w:rPr>
        <w:t>（10）中标人要按照学校规定的时限要求完成招商进度。</w:t>
      </w:r>
      <w:r>
        <w:rPr>
          <w:rFonts w:hint="eastAsia"/>
          <w:color w:val="auto"/>
          <w:szCs w:val="21"/>
          <w:highlight w:val="none"/>
        </w:rPr>
        <w:t>中</w:t>
      </w:r>
      <w:r>
        <w:rPr>
          <w:rFonts w:hint="eastAsia" w:ascii="宋体" w:hAnsi="宋体"/>
          <w:color w:val="auto"/>
          <w:szCs w:val="21"/>
          <w:highlight w:val="none"/>
        </w:rPr>
        <w:t>标人所招商的机构和实体商户，必须是承租人自主经营，不得将运营服务点转包、转借他人经营及使用，不得利用运营服务点改作其他严禁经营的项目。一旦发现，学校有权立即终止合同，且履约保证金不予退还。</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中标人对经营商户及从业人员进行的资格审核，主要包括经营项目、经营范围、经营方式、支付手段、从业资格等，还包含身份证、居住证、健康证等有效证件的审查。需持证上岗的业态，中标人要求各商户从业员工必须持有效证件方能上岗。</w:t>
      </w:r>
    </w:p>
    <w:p>
      <w:pPr>
        <w:spacing w:line="360" w:lineRule="auto"/>
        <w:ind w:firstLine="420" w:firstLineChars="200"/>
        <w:rPr>
          <w:color w:val="auto"/>
          <w:highlight w:val="none"/>
        </w:rPr>
      </w:pPr>
      <w:r>
        <w:rPr>
          <w:rFonts w:hint="eastAsia" w:ascii="宋体" w:hAnsi="宋体"/>
          <w:color w:val="auto"/>
          <w:szCs w:val="21"/>
          <w:highlight w:val="none"/>
        </w:rPr>
        <w:t>（12）经营商户引进品牌的特殊物资（包括独家配方的酱料、原料等）及品牌特殊的配料，确需自采的，必须向中标人提交书面申请，并附自采物资的生产商、品名、配料表及生产方的相关资质及检测报告，经学校审核批准后方可自采。经营商户必须严格执行采购管理的法律法规、行业规范及学校制定的相关管理制度，严格执行索证制度，所有物资必须定期将相关检疫检验报告交中标方审核、存档，同时中标方将相关情况以书面形式报告学校相关部门。</w:t>
      </w:r>
    </w:p>
    <w:p>
      <w:pPr>
        <w:pStyle w:val="99"/>
        <w:spacing w:before="0" w:after="0" w:line="360" w:lineRule="auto"/>
        <w:ind w:firstLineChars="20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（13）中标人必须为学校相关部门预留两间共约50</w:t>
      </w:r>
      <w:r>
        <w:rPr>
          <w:rFonts w:hint="eastAsia" w:ascii="宋体" w:hAnsi="宋体" w:eastAsia="宋体" w:cs="宋体"/>
          <w:color w:val="auto"/>
          <w:kern w:val="2"/>
          <w:sz w:val="24"/>
          <w:szCs w:val="21"/>
          <w:highlight w:val="none"/>
        </w:rPr>
        <w:t>㎡</w:t>
      </w:r>
      <w:r>
        <w:rPr>
          <w:rFonts w:hint="eastAsia" w:ascii="宋体" w:hAnsi="宋体" w:eastAsia="宋体" w:cs="宋体"/>
          <w:color w:val="auto"/>
          <w:kern w:val="2"/>
          <w:sz w:val="21"/>
          <w:szCs w:val="21"/>
          <w:highlight w:val="none"/>
        </w:rPr>
        <w:t>左右的办公用房，并使用满江红大楼现在岗合同期未满的劳务派遣人员。无正当理由，中标人必须无条件接收，并配合学校妥善做好安置工作。</w:t>
      </w:r>
    </w:p>
    <w:p>
      <w:pPr>
        <w:widowControl/>
        <w:spacing w:line="360" w:lineRule="auto"/>
        <w:ind w:firstLine="420" w:firstLineChars="200"/>
        <w:jc w:val="left"/>
        <w:rPr>
          <w:color w:val="auto"/>
          <w:szCs w:val="21"/>
          <w:highlight w:val="none"/>
        </w:rPr>
      </w:pPr>
      <w:r>
        <w:rPr>
          <w:rFonts w:hint="eastAsia" w:ascii="宋体" w:hAnsi="宋体"/>
          <w:color w:val="auto"/>
          <w:szCs w:val="21"/>
          <w:highlight w:val="none"/>
        </w:rPr>
        <w:t>（14）</w:t>
      </w:r>
      <w:r>
        <w:rPr>
          <w:rFonts w:hint="eastAsia"/>
          <w:color w:val="auto"/>
          <w:szCs w:val="21"/>
          <w:highlight w:val="none"/>
        </w:rPr>
        <w:t>中</w:t>
      </w:r>
      <w:r>
        <w:rPr>
          <w:rFonts w:hint="eastAsia" w:ascii="宋体" w:hAnsi="宋体"/>
          <w:color w:val="auto"/>
          <w:szCs w:val="21"/>
          <w:highlight w:val="none"/>
        </w:rPr>
        <w:t>标人必须向学校无条件开放收银系统查询功能，可以查询投标人全部营业额。</w:t>
      </w:r>
      <w:r>
        <w:rPr>
          <w:rFonts w:hint="eastAsia"/>
          <w:color w:val="auto"/>
          <w:szCs w:val="21"/>
          <w:highlight w:val="none"/>
        </w:rPr>
        <w:t>中</w:t>
      </w:r>
      <w:r>
        <w:rPr>
          <w:rFonts w:hint="eastAsia" w:ascii="宋体" w:hAnsi="宋体"/>
          <w:color w:val="auto"/>
          <w:szCs w:val="21"/>
          <w:highlight w:val="none"/>
        </w:rPr>
        <w:t>标人给各承租商户增设学校一卡通系统，便于师生使用校园卡进行消费。</w:t>
      </w:r>
    </w:p>
    <w:p>
      <w:pPr>
        <w:pStyle w:val="99"/>
        <w:spacing w:before="0" w:after="0" w:line="360" w:lineRule="auto"/>
        <w:ind w:firstLineChars="20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（15）对提供的设施设备，根据实际经营需要，中标人可进行装修升级，但不得改变整体建筑格局，且装修升级方案必须报经学校审核同意后方可实施。</w:t>
      </w:r>
    </w:p>
    <w:p>
      <w:pPr>
        <w:pStyle w:val="99"/>
        <w:spacing w:before="0" w:after="0" w:line="360" w:lineRule="auto"/>
        <w:ind w:firstLineChars="20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16）商户不得擅自进行装修改造，占用经营场地以外的部分从事经营活动，不得对经营场地造成损坏，对周围的环境造成污染。商户进行房屋装修、悬挂招牌等，应符合学校统一要求（参考中后协商【2018】3号文《高校教育超市样板店评估检查标准》），需经学校相关部门同意后进行。在标牌设计上， 除企业机构有特殊颜色标识外，须统一使用学校的华大绿风格。在店铺外设置广告、摆放物品需征得学校相关部门同意，严禁使用霓虹灯作为招牌广告。</w:t>
      </w:r>
    </w:p>
    <w:p>
      <w:pPr>
        <w:pStyle w:val="99"/>
        <w:spacing w:before="0" w:after="0" w:line="360" w:lineRule="auto"/>
        <w:ind w:firstLineChars="20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（17）为保证项目的正常运转，电梯、室内外照明、排风换气设备、消防设备、水电管网等辅助设施须常态化处于完好状态，中标单位必须列入年度检修和日常保养计划，所需经费由中标人自行承担。</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（18）中标单位必须健全服务公约，对各商户实行服务承诺制，不得与服务对象发生冲突。凡属服务经营质量等原因造成投诉的，均由中标单位出面负责处理并承担相应责任。</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（19）</w:t>
      </w:r>
      <w:r>
        <w:rPr>
          <w:rFonts w:hint="eastAsia"/>
          <w:color w:val="auto"/>
          <w:szCs w:val="21"/>
          <w:highlight w:val="none"/>
        </w:rPr>
        <w:t>中</w:t>
      </w:r>
      <w:r>
        <w:rPr>
          <w:rFonts w:hint="eastAsia" w:ascii="宋体" w:hAnsi="宋体"/>
          <w:color w:val="auto"/>
          <w:szCs w:val="21"/>
          <w:highlight w:val="none"/>
        </w:rPr>
        <w:t>标人必须建立安全管理制度。</w:t>
      </w:r>
    </w:p>
    <w:p>
      <w:pPr>
        <w:widowControl/>
        <w:spacing w:line="360" w:lineRule="auto"/>
        <w:ind w:firstLine="525" w:firstLineChars="250"/>
        <w:jc w:val="left"/>
        <w:rPr>
          <w:rFonts w:ascii="宋体" w:hAnsi="宋体"/>
          <w:color w:val="auto"/>
          <w:szCs w:val="21"/>
          <w:highlight w:val="none"/>
        </w:rPr>
      </w:pPr>
      <w:r>
        <w:rPr>
          <w:rFonts w:hint="eastAsia" w:ascii="宋体" w:hAnsi="宋体"/>
          <w:color w:val="auto"/>
          <w:szCs w:val="21"/>
          <w:highlight w:val="none"/>
        </w:rPr>
        <w:t>1）</w:t>
      </w:r>
      <w:r>
        <w:rPr>
          <w:rFonts w:hint="eastAsia"/>
          <w:color w:val="auto"/>
          <w:szCs w:val="21"/>
          <w:highlight w:val="none"/>
        </w:rPr>
        <w:t>中</w:t>
      </w:r>
      <w:r>
        <w:rPr>
          <w:rFonts w:hint="eastAsia" w:ascii="宋体" w:hAnsi="宋体"/>
          <w:color w:val="auto"/>
          <w:szCs w:val="21"/>
          <w:highlight w:val="none"/>
        </w:rPr>
        <w:t>标单位应配合学校建立统一的安全管理制度，切实</w:t>
      </w:r>
      <w:r>
        <w:rPr>
          <w:rFonts w:hint="eastAsia"/>
          <w:color w:val="auto"/>
          <w:szCs w:val="21"/>
          <w:highlight w:val="none"/>
        </w:rPr>
        <w:t>落实公共安全管理责任，</w:t>
      </w:r>
      <w:r>
        <w:rPr>
          <w:rFonts w:hint="eastAsia" w:ascii="宋体" w:hAnsi="宋体"/>
          <w:color w:val="auto"/>
          <w:szCs w:val="21"/>
          <w:highlight w:val="none"/>
        </w:rPr>
        <w:t>做到符合国家消防管理规定和相应国家标准的要求。</w:t>
      </w:r>
      <w:r>
        <w:rPr>
          <w:rFonts w:hint="eastAsia"/>
          <w:color w:val="auto"/>
          <w:szCs w:val="21"/>
          <w:highlight w:val="none"/>
        </w:rPr>
        <w:t>中</w:t>
      </w:r>
      <w:r>
        <w:rPr>
          <w:rFonts w:hint="eastAsia" w:ascii="宋体" w:hAnsi="宋体"/>
          <w:color w:val="auto"/>
          <w:szCs w:val="21"/>
          <w:highlight w:val="none"/>
        </w:rPr>
        <w:t>标单位负责组织各商户落实各项安全管理措施，强化安全监管职能。</w:t>
      </w:r>
    </w:p>
    <w:p>
      <w:pPr>
        <w:widowControl/>
        <w:spacing w:line="360" w:lineRule="auto"/>
        <w:ind w:firstLine="525" w:firstLineChars="250"/>
        <w:jc w:val="left"/>
        <w:rPr>
          <w:rFonts w:ascii="宋体" w:hAnsi="宋体"/>
          <w:color w:val="auto"/>
          <w:szCs w:val="21"/>
          <w:highlight w:val="none"/>
        </w:rPr>
      </w:pPr>
      <w:r>
        <w:rPr>
          <w:rFonts w:hint="eastAsia" w:ascii="宋体" w:hAnsi="宋体"/>
          <w:color w:val="auto"/>
          <w:szCs w:val="21"/>
          <w:highlight w:val="none"/>
        </w:rPr>
        <w:t>2）</w:t>
      </w:r>
      <w:r>
        <w:rPr>
          <w:rFonts w:hint="eastAsia"/>
          <w:color w:val="auto"/>
          <w:szCs w:val="21"/>
          <w:highlight w:val="none"/>
        </w:rPr>
        <w:t>中</w:t>
      </w:r>
      <w:r>
        <w:rPr>
          <w:rFonts w:hint="eastAsia" w:ascii="宋体" w:hAnsi="宋体"/>
          <w:color w:val="auto"/>
          <w:szCs w:val="21"/>
          <w:highlight w:val="none"/>
        </w:rPr>
        <w:t>标人必须确保消防设施设备、装备器具配置合理规范，配备与经营场所面积相适应的设施设备。规范用水、用电、用气，符合消防部门的要求并通过消防检查，接受并及时响应消防部门提出的整改意见，并接受组织的专门培训。若出现消防安全问题及事故，中标单位要承担全部责任，学校有权视情况终止合同。</w:t>
      </w:r>
    </w:p>
    <w:p>
      <w:pPr>
        <w:pStyle w:val="99"/>
        <w:spacing w:before="0" w:after="0" w:line="360" w:lineRule="auto"/>
        <w:ind w:firstLine="315" w:firstLineChars="15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20）在学校统一安排下，涉及校园安全、疫情防控等有关工作时，中标单位必须积极参加，由此产生的费用由中标单位负责。在日常办公及服务项目开展过程中发生的计划外开支及其他未尽事宜由甲乙双方协调解决。</w:t>
      </w:r>
    </w:p>
    <w:p>
      <w:pPr>
        <w:pStyle w:val="99"/>
        <w:spacing w:before="0" w:after="0" w:line="360" w:lineRule="auto"/>
        <w:ind w:firstLine="315" w:firstLineChars="15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（21）对于经营场所的垃圾处理，中标人及各商户要按照武汉市垃圾分类的要求，分类处理后清运到指定地点。</w:t>
      </w:r>
    </w:p>
    <w:p>
      <w:pPr>
        <w:autoSpaceDE w:val="0"/>
        <w:autoSpaceDN w:val="0"/>
        <w:adjustRightInd w:val="0"/>
        <w:spacing w:line="360" w:lineRule="auto"/>
        <w:outlineLvl w:val="1"/>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三、商务要求</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（一）合作方式</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学校提供经营场地、公共配套设施及相关政策支持。</w:t>
      </w:r>
      <w:r>
        <w:rPr>
          <w:rFonts w:hint="eastAsia"/>
          <w:color w:val="auto"/>
          <w:szCs w:val="21"/>
          <w:highlight w:val="none"/>
        </w:rPr>
        <w:t>中</w:t>
      </w:r>
      <w:r>
        <w:rPr>
          <w:rFonts w:hint="eastAsia" w:ascii="宋体" w:hAnsi="宋体"/>
          <w:color w:val="auto"/>
          <w:szCs w:val="21"/>
          <w:highlight w:val="none"/>
        </w:rPr>
        <w:t>标人全额出资进行项目建设，在约定的期限内经营管理，包括但不限于装修改造、设备配置、商品采购、员工薪酬和合作经营收益等。中标单位自主经营、自负盈亏，自行承担市场风险，待约定期满后，满江红生活服务综合体将无偿移交给学校。</w:t>
      </w:r>
      <w:r>
        <w:rPr>
          <w:rFonts w:hint="eastAsia" w:asciiTheme="minorEastAsia" w:hAnsiTheme="minorEastAsia" w:eastAsiaTheme="minorEastAsia" w:cstheme="minorEastAsia"/>
          <w:color w:val="auto"/>
          <w:szCs w:val="21"/>
          <w:highlight w:val="none"/>
        </w:rPr>
        <w:t>合作经营收益</w:t>
      </w:r>
      <w:r>
        <w:rPr>
          <w:rFonts w:hint="eastAsia" w:asciiTheme="minorEastAsia" w:hAnsiTheme="minorEastAsia" w:eastAsiaTheme="minorEastAsia" w:cstheme="minorEastAsia"/>
          <w:color w:val="auto"/>
          <w:szCs w:val="21"/>
          <w:highlight w:val="none"/>
          <w:lang w:eastAsia="zh-CN"/>
        </w:rPr>
        <w:t>不得低于</w:t>
      </w:r>
      <w:r>
        <w:rPr>
          <w:rFonts w:hint="eastAsia" w:asciiTheme="minorEastAsia" w:hAnsiTheme="minorEastAsia" w:eastAsiaTheme="minorEastAsia" w:cstheme="minorEastAsia"/>
          <w:color w:val="auto"/>
          <w:szCs w:val="21"/>
          <w:highlight w:val="none"/>
          <w:lang w:val="en-US" w:eastAsia="zh-CN"/>
        </w:rPr>
        <w:t>360万元/年。</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（二）服务期限</w:t>
      </w:r>
    </w:p>
    <w:p>
      <w:pPr>
        <w:autoSpaceDE w:val="0"/>
        <w:autoSpaceDN w:val="0"/>
        <w:adjustRightIn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1.项目合作期限为10年（不含免费改造装修期），合同一年一签。</w:t>
      </w:r>
      <w:r>
        <w:rPr>
          <w:rFonts w:hint="eastAsia"/>
          <w:color w:val="auto"/>
          <w:szCs w:val="21"/>
          <w:highlight w:val="none"/>
        </w:rPr>
        <w:t>若</w:t>
      </w:r>
      <w:r>
        <w:rPr>
          <w:rFonts w:hint="eastAsia" w:ascii="宋体" w:hAnsi="宋体"/>
          <w:color w:val="auto"/>
          <w:szCs w:val="21"/>
          <w:highlight w:val="none"/>
        </w:rPr>
        <w:t>在履行合同期间，</w:t>
      </w:r>
      <w:r>
        <w:rPr>
          <w:rFonts w:hint="eastAsia"/>
          <w:color w:val="auto"/>
          <w:szCs w:val="21"/>
          <w:highlight w:val="none"/>
        </w:rPr>
        <w:t>中</w:t>
      </w:r>
      <w:r>
        <w:rPr>
          <w:rFonts w:hint="eastAsia" w:ascii="宋体" w:hAnsi="宋体"/>
          <w:color w:val="auto"/>
          <w:szCs w:val="21"/>
          <w:highlight w:val="none"/>
        </w:rPr>
        <w:t>标人</w:t>
      </w:r>
      <w:r>
        <w:rPr>
          <w:color w:val="auto"/>
          <w:szCs w:val="21"/>
          <w:highlight w:val="none"/>
        </w:rPr>
        <w:t>出</w:t>
      </w:r>
      <w:r>
        <w:rPr>
          <w:rFonts w:hint="eastAsia"/>
          <w:color w:val="auto"/>
          <w:szCs w:val="21"/>
          <w:highlight w:val="none"/>
        </w:rPr>
        <w:t>现本项目亏损严重、不服从学校管理且拒不改正、出现重大安全管理责任事故、给学校造成重大恶劣影响等重</w:t>
      </w:r>
      <w:r>
        <w:rPr>
          <w:color w:val="auto"/>
          <w:szCs w:val="21"/>
          <w:highlight w:val="none"/>
        </w:rPr>
        <w:t>大异</w:t>
      </w:r>
      <w:r>
        <w:rPr>
          <w:rFonts w:hint="eastAsia"/>
          <w:color w:val="auto"/>
          <w:szCs w:val="21"/>
          <w:highlight w:val="none"/>
        </w:rPr>
        <w:t>常</w:t>
      </w:r>
      <w:r>
        <w:rPr>
          <w:color w:val="auto"/>
          <w:szCs w:val="21"/>
          <w:highlight w:val="none"/>
        </w:rPr>
        <w:t>情</w:t>
      </w:r>
      <w:r>
        <w:rPr>
          <w:rFonts w:hint="eastAsia"/>
          <w:color w:val="auto"/>
          <w:szCs w:val="21"/>
          <w:highlight w:val="none"/>
        </w:rPr>
        <w:t>况时，学校可单方解除协议，双方合作终止。</w:t>
      </w:r>
    </w:p>
    <w:p>
      <w:pPr>
        <w:autoSpaceDE w:val="0"/>
        <w:autoSpaceDN w:val="0"/>
        <w:adjustRightInd w:val="0"/>
        <w:spacing w:line="360" w:lineRule="auto"/>
        <w:ind w:firstLine="525" w:firstLineChars="250"/>
        <w:jc w:val="left"/>
        <w:rPr>
          <w:color w:val="auto"/>
          <w:szCs w:val="21"/>
          <w:highlight w:val="none"/>
        </w:rPr>
      </w:pPr>
      <w:r>
        <w:rPr>
          <w:rFonts w:hint="eastAsia" w:ascii="宋体" w:hAnsi="宋体"/>
          <w:color w:val="auto"/>
          <w:szCs w:val="21"/>
          <w:highlight w:val="none"/>
        </w:rPr>
        <w:t>在履行合同期间，若中标人与学校合作顺利，以5年为一个经营周期，</w:t>
      </w:r>
      <w:r>
        <w:rPr>
          <w:rFonts w:hint="eastAsia"/>
          <w:color w:val="auto"/>
          <w:szCs w:val="21"/>
          <w:highlight w:val="none"/>
        </w:rPr>
        <w:t>学校对</w:t>
      </w:r>
      <w:r>
        <w:rPr>
          <w:rFonts w:hint="eastAsia" w:ascii="宋体" w:hAnsi="宋体"/>
          <w:color w:val="auto"/>
          <w:szCs w:val="21"/>
          <w:highlight w:val="none"/>
        </w:rPr>
        <w:t>中标人实行中期考核，评估5年来经营与管理情况。中标人经考核合格后，</w:t>
      </w:r>
      <w:r>
        <w:rPr>
          <w:rFonts w:hint="eastAsia"/>
          <w:color w:val="auto"/>
          <w:szCs w:val="21"/>
          <w:highlight w:val="none"/>
        </w:rPr>
        <w:t>学校引入第三方评估公司，对项目后续5年合作经营收益进行预期评估。以第三方公司提供的评估价，作为后续5年里，学校每年应收的合作经营预期收益，与中标人</w:t>
      </w:r>
      <w:r>
        <w:rPr>
          <w:rFonts w:hint="eastAsia" w:ascii="宋体" w:hAnsi="宋体"/>
          <w:color w:val="auto"/>
          <w:szCs w:val="21"/>
          <w:highlight w:val="none"/>
        </w:rPr>
        <w:t>签订第二个5</w:t>
      </w:r>
      <w:r>
        <w:rPr>
          <w:rFonts w:hint="eastAsia"/>
          <w:color w:val="auto"/>
          <w:szCs w:val="21"/>
          <w:highlight w:val="none"/>
        </w:rPr>
        <w:t>年的经营权。若</w:t>
      </w:r>
      <w:r>
        <w:rPr>
          <w:rFonts w:hint="eastAsia" w:ascii="宋体" w:hAnsi="宋体"/>
          <w:color w:val="auto"/>
          <w:szCs w:val="21"/>
          <w:highlight w:val="none"/>
        </w:rPr>
        <w:t>在中期考核中，</w:t>
      </w:r>
      <w:r>
        <w:rPr>
          <w:rFonts w:hint="eastAsia"/>
          <w:color w:val="auto"/>
          <w:szCs w:val="21"/>
          <w:highlight w:val="none"/>
        </w:rPr>
        <w:t>中</w:t>
      </w:r>
      <w:r>
        <w:rPr>
          <w:rFonts w:hint="eastAsia" w:ascii="宋体" w:hAnsi="宋体"/>
          <w:color w:val="auto"/>
          <w:szCs w:val="21"/>
          <w:highlight w:val="none"/>
        </w:rPr>
        <w:t>标人</w:t>
      </w:r>
      <w:r>
        <w:rPr>
          <w:color w:val="auto"/>
          <w:szCs w:val="21"/>
          <w:highlight w:val="none"/>
        </w:rPr>
        <w:t>出</w:t>
      </w:r>
      <w:r>
        <w:rPr>
          <w:rFonts w:hint="eastAsia"/>
          <w:color w:val="auto"/>
          <w:szCs w:val="21"/>
          <w:highlight w:val="none"/>
        </w:rPr>
        <w:t>现重</w:t>
      </w:r>
      <w:r>
        <w:rPr>
          <w:color w:val="auto"/>
          <w:szCs w:val="21"/>
          <w:highlight w:val="none"/>
        </w:rPr>
        <w:t>大异</w:t>
      </w:r>
      <w:r>
        <w:rPr>
          <w:rFonts w:hint="eastAsia"/>
          <w:color w:val="auto"/>
          <w:szCs w:val="21"/>
          <w:highlight w:val="none"/>
        </w:rPr>
        <w:t>常</w:t>
      </w:r>
      <w:r>
        <w:rPr>
          <w:color w:val="auto"/>
          <w:szCs w:val="21"/>
          <w:highlight w:val="none"/>
        </w:rPr>
        <w:t>情</w:t>
      </w:r>
      <w:r>
        <w:rPr>
          <w:rFonts w:hint="eastAsia"/>
          <w:color w:val="auto"/>
          <w:szCs w:val="21"/>
          <w:highlight w:val="none"/>
        </w:rPr>
        <w:t>况，学校将立即终止合同。</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2.首次免费改造装修期为</w:t>
      </w:r>
      <w:r>
        <w:rPr>
          <w:rFonts w:ascii="宋体" w:hAnsi="宋体"/>
          <w:color w:val="auto"/>
          <w:szCs w:val="21"/>
          <w:highlight w:val="none"/>
        </w:rPr>
        <w:t>3</w:t>
      </w:r>
      <w:r>
        <w:rPr>
          <w:rFonts w:hint="eastAsia" w:ascii="宋体" w:hAnsi="宋体"/>
          <w:color w:val="auto"/>
          <w:szCs w:val="21"/>
          <w:highlight w:val="none"/>
        </w:rPr>
        <w:t>个月。</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（三）服务开始时间</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计划于2021年10月，具体时间以学校通知为准。</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（四）服务地点</w:t>
      </w:r>
    </w:p>
    <w:p>
      <w:pPr>
        <w:widowControl/>
        <w:spacing w:line="360" w:lineRule="auto"/>
        <w:ind w:firstLine="420" w:firstLineChars="200"/>
        <w:jc w:val="left"/>
        <w:rPr>
          <w:rFonts w:ascii="宋体" w:hAnsi="宋体"/>
          <w:b/>
          <w:color w:val="auto"/>
          <w:kern w:val="0"/>
          <w:szCs w:val="21"/>
          <w:highlight w:val="none"/>
        </w:rPr>
      </w:pPr>
      <w:r>
        <w:rPr>
          <w:rFonts w:hint="eastAsia" w:ascii="宋体" w:hAnsi="宋体"/>
          <w:color w:val="auto"/>
          <w:szCs w:val="21"/>
          <w:highlight w:val="none"/>
        </w:rPr>
        <w:t>湖北省武汉市洪山区珞喻路152号华中师范大学桂子山校区</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（五）人员安置</w:t>
      </w:r>
    </w:p>
    <w:p>
      <w:pPr>
        <w:pStyle w:val="99"/>
        <w:spacing w:before="0" w:after="0" w:line="360" w:lineRule="auto"/>
        <w:ind w:firstLineChars="20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中标人接收满江红大楼现在岗劳务派遣人员23人，并为其提供符合武汉市法律法规的薪资及各项保险。</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（六）管理服务费用的约定</w:t>
      </w:r>
    </w:p>
    <w:p>
      <w:pPr>
        <w:pStyle w:val="99"/>
        <w:spacing w:before="0" w:after="0" w:line="360" w:lineRule="auto"/>
        <w:ind w:firstLine="525" w:firstLineChars="25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1.履约保证金</w:t>
      </w:r>
    </w:p>
    <w:p>
      <w:pPr>
        <w:pStyle w:val="99"/>
        <w:spacing w:before="0" w:after="0" w:line="360" w:lineRule="auto"/>
        <w:ind w:firstLineChars="20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（1）项目中标人在与学校签订合同前，按合作经营收益（公开招标产生的最终结果价作为合作经营收益）的10%向学校支付履约保证金。</w:t>
      </w:r>
    </w:p>
    <w:p>
      <w:pPr>
        <w:pStyle w:val="99"/>
        <w:spacing w:before="0" w:after="0" w:line="360" w:lineRule="auto"/>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（2）项目合同期满后，中标人完成相关服务工作，没有违约行为，与学校办理完交接的相关手续，并按时退场后的10日内，由学校将履约保证金一次性无息退还中标方。</w:t>
      </w:r>
    </w:p>
    <w:p>
      <w:pPr>
        <w:pStyle w:val="99"/>
        <w:spacing w:before="0" w:after="0" w:line="360" w:lineRule="auto"/>
        <w:rPr>
          <w:rFonts w:ascii="Calibri" w:hAnsi="Calibri" w:eastAsia="宋体"/>
          <w:color w:val="auto"/>
          <w:sz w:val="21"/>
          <w:szCs w:val="21"/>
          <w:highlight w:val="none"/>
        </w:rPr>
      </w:pPr>
      <w:r>
        <w:rPr>
          <w:rFonts w:hint="eastAsia" w:ascii="宋体" w:hAnsi="宋体" w:eastAsia="宋体" w:cs="宋体"/>
          <w:color w:val="auto"/>
          <w:kern w:val="2"/>
          <w:sz w:val="21"/>
          <w:szCs w:val="21"/>
          <w:highlight w:val="none"/>
        </w:rPr>
        <w:t>（3）本项目合同期满后，若中标人实际</w:t>
      </w:r>
      <w:r>
        <w:rPr>
          <w:rFonts w:hint="eastAsia" w:ascii="Calibri" w:hAnsi="Calibri" w:eastAsia="宋体"/>
          <w:color w:val="auto"/>
          <w:sz w:val="21"/>
          <w:szCs w:val="21"/>
          <w:highlight w:val="none"/>
        </w:rPr>
        <w:t>管理效果不理想，与国家和学校相关管理部门考核要求的差距太大，广大师生对其“口碑”评价太差；或者在合同期限内，出现给学校造成经济损失、社会名誉、治安稳定等重大负面影响的情况时；学校有权立即终止合同，</w:t>
      </w:r>
      <w:r>
        <w:rPr>
          <w:rFonts w:hint="eastAsia" w:ascii="宋体" w:hAnsi="宋体" w:eastAsia="宋体" w:cs="宋体"/>
          <w:color w:val="auto"/>
          <w:kern w:val="2"/>
          <w:sz w:val="21"/>
          <w:szCs w:val="21"/>
          <w:highlight w:val="none"/>
        </w:rPr>
        <w:t>履约保证金不予退回。对造成重大财产等损失的，学校将依法要求赔偿。</w:t>
      </w:r>
    </w:p>
    <w:p>
      <w:pPr>
        <w:pStyle w:val="99"/>
        <w:spacing w:before="0" w:after="0" w:line="360" w:lineRule="auto"/>
        <w:ind w:firstLine="525" w:firstLineChars="25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2.合作经营收益</w:t>
      </w:r>
    </w:p>
    <w:p>
      <w:pPr>
        <w:pStyle w:val="99"/>
        <w:spacing w:before="0" w:after="0" w:line="360" w:lineRule="auto"/>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收取方式与程序：合作经营收益按年收取。以学校公开招标的最终结果价作为符合学校预期收益的合作经营收益。按照“先交费后使用”的原则，合作经营收益每年缴纳一次。第一年度合作经营收益在签订合同后五个工作日内，中标人一次性支付给学校。下一年度的合作经营收益，中标人于当年的8月25日前一次性向学校交纳，以此类推。每逾期一日，学校有权按十年总合作经营收益的1</w:t>
      </w:r>
      <w:r>
        <w:rPr>
          <w:rFonts w:ascii="Lucida Sans Unicode" w:hAnsi="Lucida Sans Unicode" w:eastAsia="宋体" w:cs="Lucida Sans Unicode"/>
          <w:color w:val="auto"/>
          <w:kern w:val="2"/>
          <w:sz w:val="21"/>
          <w:szCs w:val="21"/>
          <w:highlight w:val="none"/>
        </w:rPr>
        <w:t>‱</w:t>
      </w:r>
      <w:r>
        <w:rPr>
          <w:rFonts w:hint="eastAsia" w:ascii="宋体" w:hAnsi="宋体" w:eastAsia="宋体" w:cs="宋体"/>
          <w:color w:val="auto"/>
          <w:kern w:val="2"/>
          <w:sz w:val="21"/>
          <w:szCs w:val="21"/>
          <w:highlight w:val="none"/>
        </w:rPr>
        <w:t>收取违约金。</w:t>
      </w:r>
    </w:p>
    <w:p>
      <w:pPr>
        <w:pStyle w:val="99"/>
        <w:spacing w:before="0" w:after="0" w:line="360" w:lineRule="auto"/>
        <w:ind w:firstLine="371" w:firstLineChars="177"/>
        <w:rPr>
          <w:rFonts w:ascii="Calibri" w:hAnsi="Calibri" w:eastAsia="宋体"/>
          <w:color w:val="auto"/>
          <w:sz w:val="21"/>
          <w:szCs w:val="21"/>
          <w:highlight w:val="none"/>
        </w:rPr>
      </w:pPr>
      <w:r>
        <w:rPr>
          <w:rFonts w:hint="eastAsia" w:ascii="宋体" w:hAnsi="宋体" w:eastAsia="宋体" w:cs="宋体"/>
          <w:color w:val="auto"/>
          <w:kern w:val="2"/>
          <w:sz w:val="21"/>
          <w:szCs w:val="21"/>
          <w:highlight w:val="none"/>
        </w:rPr>
        <w:t>（2）在合同履行期限内，合作经营收益</w:t>
      </w:r>
      <w:r>
        <w:rPr>
          <w:rFonts w:hint="eastAsia" w:ascii="Calibri" w:hAnsi="Calibri" w:eastAsia="宋体"/>
          <w:color w:val="auto"/>
          <w:sz w:val="21"/>
          <w:szCs w:val="21"/>
          <w:highlight w:val="none"/>
        </w:rPr>
        <w:t>一般采取按合同价每年收取；若管理公司经营情况良好，采取签订补充合同的方式，按照超出</w:t>
      </w:r>
      <w:r>
        <w:rPr>
          <w:rFonts w:hint="eastAsia" w:ascii="宋体" w:hAnsi="宋体" w:eastAsia="宋体" w:cs="宋体"/>
          <w:color w:val="auto"/>
          <w:kern w:val="2"/>
          <w:sz w:val="21"/>
          <w:szCs w:val="21"/>
          <w:highlight w:val="none"/>
        </w:rPr>
        <w:t>合作经营收益</w:t>
      </w:r>
      <w:r>
        <w:rPr>
          <w:rFonts w:hint="eastAsia" w:ascii="Calibri" w:hAnsi="Calibri" w:eastAsia="宋体"/>
          <w:color w:val="auto"/>
          <w:sz w:val="21"/>
          <w:szCs w:val="21"/>
          <w:highlight w:val="none"/>
        </w:rPr>
        <w:t>比例调增后续</w:t>
      </w:r>
      <w:r>
        <w:rPr>
          <w:rFonts w:hint="eastAsia" w:ascii="宋体" w:hAnsi="宋体" w:eastAsia="宋体" w:cs="宋体"/>
          <w:color w:val="auto"/>
          <w:kern w:val="2"/>
          <w:sz w:val="21"/>
          <w:szCs w:val="21"/>
          <w:highlight w:val="none"/>
        </w:rPr>
        <w:t>合作经营收益</w:t>
      </w:r>
      <w:r>
        <w:rPr>
          <w:rFonts w:hint="eastAsia" w:ascii="Calibri" w:hAnsi="Calibri" w:eastAsia="宋体"/>
          <w:color w:val="auto"/>
          <w:sz w:val="21"/>
          <w:szCs w:val="21"/>
          <w:highlight w:val="none"/>
        </w:rPr>
        <w:t>。</w:t>
      </w:r>
    </w:p>
    <w:p>
      <w:pPr>
        <w:pStyle w:val="99"/>
        <w:spacing w:before="0" w:after="0" w:line="360" w:lineRule="auto"/>
        <w:ind w:firstLineChars="20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3.水电、燃气费</w:t>
      </w:r>
    </w:p>
    <w:p>
      <w:pPr>
        <w:pStyle w:val="99"/>
        <w:spacing w:before="0" w:after="0" w:line="360" w:lineRule="auto"/>
        <w:ind w:firstLine="371" w:firstLineChars="177"/>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经营服务期内，水电、燃气用量单独装表进行监管计量（在初次进场前完成计量表起码确认）。水电、燃气费采取智能卡充值方式，由经营方各商户自行充值。水电、燃气费计费标准，按照相关政策规定的商业用水、用电、用气价格执行。如遇政府政策性调价，则按调价后的标准核算。有偷水、电或者水电表故障未计表情况的，每次罚款1000元。</w:t>
      </w:r>
    </w:p>
    <w:p>
      <w:pPr>
        <w:pStyle w:val="99"/>
        <w:spacing w:before="0" w:after="0" w:line="360" w:lineRule="auto"/>
        <w:rPr>
          <w:rFonts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4</w:t>
      </w:r>
      <w:r>
        <w:rPr>
          <w:rFonts w:hint="eastAsia" w:ascii="宋体" w:hAnsi="宋体" w:eastAsia="宋体" w:cs="宋体"/>
          <w:color w:val="auto"/>
          <w:kern w:val="2"/>
          <w:sz w:val="21"/>
          <w:szCs w:val="21"/>
          <w:highlight w:val="none"/>
        </w:rPr>
        <w:t>.管理人员岗位津贴</w:t>
      </w:r>
    </w:p>
    <w:p>
      <w:pPr>
        <w:pStyle w:val="99"/>
        <w:spacing w:before="0" w:after="0" w:line="360" w:lineRule="auto"/>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所派的2名管理人员学校负责基本工资，由经营方负责岗位津贴（岗位津贴按照学校统一岗贴标准执行）。</w:t>
      </w:r>
    </w:p>
    <w:p>
      <w:pPr>
        <w:pStyle w:val="99"/>
        <w:spacing w:before="0" w:after="0" w:line="360" w:lineRule="auto"/>
        <w:ind w:firstLineChars="200"/>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5.其他费用</w:t>
      </w:r>
    </w:p>
    <w:p>
      <w:pPr>
        <w:widowControl/>
        <w:spacing w:line="360" w:lineRule="auto"/>
        <w:ind w:firstLine="420" w:firstLineChars="200"/>
        <w:jc w:val="left"/>
        <w:rPr>
          <w:rFonts w:ascii="宋体" w:hAnsi="宋体"/>
          <w:color w:val="auto"/>
          <w:szCs w:val="21"/>
          <w:highlight w:val="none"/>
        </w:rPr>
      </w:pPr>
      <w:r>
        <w:rPr>
          <w:rFonts w:hint="eastAsia" w:ascii="宋体" w:hAnsi="宋体"/>
          <w:bCs/>
          <w:color w:val="auto"/>
          <w:szCs w:val="21"/>
          <w:highlight w:val="none"/>
        </w:rPr>
        <w:t>（1）</w:t>
      </w:r>
      <w:r>
        <w:rPr>
          <w:rFonts w:hint="eastAsia"/>
          <w:color w:val="auto"/>
          <w:szCs w:val="21"/>
          <w:highlight w:val="none"/>
        </w:rPr>
        <w:t>在项目改造过程中，如因施工失误给学校造成损失，学校有权扣除相应数额的装修保证金；装修保证金不足以弥补损失的，中</w:t>
      </w:r>
      <w:r>
        <w:rPr>
          <w:rFonts w:hint="eastAsia" w:ascii="宋体" w:hAnsi="宋体"/>
          <w:color w:val="auto"/>
          <w:szCs w:val="21"/>
          <w:highlight w:val="none"/>
        </w:rPr>
        <w:t>标人必须</w:t>
      </w:r>
      <w:r>
        <w:rPr>
          <w:rFonts w:hint="eastAsia"/>
          <w:color w:val="auto"/>
          <w:szCs w:val="21"/>
          <w:highlight w:val="none"/>
        </w:rPr>
        <w:t>另外承担超出部分的损失。待项目工程完工后，在没有出现任何事故或问题情况下，该装修保证金自动转为合作经营收益。</w:t>
      </w:r>
    </w:p>
    <w:p>
      <w:pPr>
        <w:pStyle w:val="99"/>
        <w:spacing w:before="0" w:after="0" w:line="360" w:lineRule="auto"/>
        <w:rPr>
          <w:rFonts w:ascii="宋体" w:hAnsi="宋体" w:eastAsia="宋体" w:cs="宋体"/>
          <w:color w:val="auto"/>
          <w:kern w:val="2"/>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bCs/>
          <w:color w:val="auto"/>
          <w:kern w:val="2"/>
          <w:sz w:val="21"/>
          <w:szCs w:val="21"/>
          <w:highlight w:val="none"/>
        </w:rPr>
        <w:t>2</w:t>
      </w:r>
      <w:r>
        <w:rPr>
          <w:rFonts w:hint="eastAsia" w:ascii="宋体" w:hAnsi="宋体" w:eastAsia="宋体" w:cs="宋体"/>
          <w:color w:val="auto"/>
          <w:sz w:val="21"/>
          <w:szCs w:val="21"/>
          <w:highlight w:val="none"/>
        </w:rPr>
        <w:t>）</w:t>
      </w:r>
      <w:r>
        <w:rPr>
          <w:rFonts w:hint="eastAsia" w:ascii="宋体" w:hAnsi="宋体" w:eastAsia="宋体" w:cs="宋体"/>
          <w:color w:val="auto"/>
          <w:kern w:val="2"/>
          <w:sz w:val="21"/>
          <w:szCs w:val="21"/>
          <w:highlight w:val="none"/>
        </w:rPr>
        <w:t>因装修改造、自建设施等情况，其产生的清理杂物、隔板拆除等垃圾清运费用，均由经营方自行承担。</w:t>
      </w:r>
    </w:p>
    <w:p>
      <w:pPr>
        <w:pStyle w:val="99"/>
        <w:spacing w:before="0" w:after="0" w:line="360" w:lineRule="auto"/>
        <w:rPr>
          <w:rFonts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w:t>
      </w:r>
      <w:r>
        <w:rPr>
          <w:rFonts w:hint="eastAsia" w:ascii="宋体" w:hAnsi="宋体" w:eastAsia="宋体" w:cs="宋体"/>
          <w:color w:val="auto"/>
          <w:sz w:val="21"/>
          <w:szCs w:val="21"/>
          <w:highlight w:val="none"/>
        </w:rPr>
        <w:t>3</w:t>
      </w:r>
      <w:r>
        <w:rPr>
          <w:rFonts w:hint="eastAsia" w:ascii="宋体" w:hAnsi="宋体" w:eastAsia="宋体" w:cs="宋体"/>
          <w:color w:val="auto"/>
          <w:kern w:val="2"/>
          <w:sz w:val="21"/>
          <w:szCs w:val="21"/>
          <w:highlight w:val="none"/>
        </w:rPr>
        <w:t>）</w:t>
      </w:r>
      <w:r>
        <w:rPr>
          <w:rFonts w:hint="eastAsia" w:ascii="宋体" w:hAnsi="宋体" w:eastAsia="宋体" w:cs="宋体"/>
          <w:color w:val="auto"/>
          <w:sz w:val="21"/>
          <w:szCs w:val="21"/>
          <w:highlight w:val="none"/>
        </w:rPr>
        <w:t>学校给经营方各商户提供一卡通系统，由此产生的运营费用由经营方</w:t>
      </w:r>
      <w:r>
        <w:rPr>
          <w:rFonts w:hint="eastAsia" w:ascii="宋体" w:hAnsi="宋体" w:eastAsia="宋体" w:cs="宋体"/>
          <w:color w:val="auto"/>
          <w:kern w:val="2"/>
          <w:sz w:val="21"/>
          <w:szCs w:val="21"/>
          <w:highlight w:val="none"/>
        </w:rPr>
        <w:t>自行承担。</w:t>
      </w:r>
    </w:p>
    <w:p>
      <w:pPr>
        <w:pStyle w:val="99"/>
        <w:spacing w:before="0" w:after="0" w:line="360" w:lineRule="auto"/>
        <w:rPr>
          <w:rFonts w:ascii="宋体" w:hAnsi="宋体" w:eastAsia="宋体" w:cs="宋体"/>
          <w:b/>
          <w:bCs/>
          <w:color w:val="auto"/>
          <w:kern w:val="2"/>
          <w:sz w:val="21"/>
          <w:szCs w:val="21"/>
          <w:highlight w:val="none"/>
        </w:rPr>
      </w:pPr>
      <w:r>
        <w:rPr>
          <w:rFonts w:hint="eastAsia" w:ascii="宋体" w:hAnsi="宋体" w:eastAsia="宋体" w:cs="宋体"/>
          <w:color w:val="auto"/>
          <w:kern w:val="2"/>
          <w:sz w:val="21"/>
          <w:szCs w:val="21"/>
          <w:highlight w:val="none"/>
        </w:rPr>
        <w:t>（4）因设施设备维护，需学校相关部门进行协调，服务产生的相关费用由经营单位自行承担。</w:t>
      </w:r>
    </w:p>
    <w:p>
      <w:pPr>
        <w:pStyle w:val="99"/>
        <w:spacing w:before="0" w:after="0" w:line="360" w:lineRule="auto"/>
        <w:rPr>
          <w:color w:val="auto"/>
          <w:szCs w:val="21"/>
          <w:highlight w:val="none"/>
        </w:rPr>
      </w:pPr>
      <w:r>
        <w:rPr>
          <w:rFonts w:hint="eastAsia" w:ascii="宋体" w:hAnsi="宋体" w:eastAsia="宋体" w:cs="宋体"/>
          <w:color w:val="auto"/>
          <w:kern w:val="2"/>
          <w:sz w:val="21"/>
          <w:szCs w:val="21"/>
          <w:highlight w:val="none"/>
        </w:rPr>
        <w:t>（5）若使用学校外包物业，服务产生的相关费用由经营单位自行承担。</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（七）校园一卡通消费付款方式</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在合同履行期间，每月25日，由中标人提供当月师生消费账单。学校根据校园一卡通消费情况，经与中标人提供的账单核对无误后，于月底前将校园一卡通消费金额进行支付。支付前三日，由中标人向学校提供合法有效的发票。如因政策的影响，打款未能及时到位，中标人不得以此为由而不履行合同规定的义务。</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（八）其他要求</w:t>
      </w:r>
    </w:p>
    <w:p>
      <w:pPr>
        <w:pStyle w:val="99"/>
        <w:spacing w:before="0"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1.中标人严禁将项目转包、转借他人经营及使用；不得私自将项目改作其他用途，用于学校严禁经营的项目。涉及专项服务项目需分包给其它资质单位的，必须事先征得学校书面同意。</w:t>
      </w:r>
    </w:p>
    <w:p>
      <w:pPr>
        <w:pStyle w:val="99"/>
        <w:spacing w:before="0"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中标人应充分考虑市场变化以及学校特殊环境引起的经营风险，进行成本核算后投标。中标人必须承诺对满江红大楼进行了充分的调查了解，同意按照其现状（包括但不限于房屋的权属、性质、用途、布局、学校房产的特性等）进行联合经营，对本次合作可能存在的风险（包括但不限于消防手续、相关营业执照等办理）有充分的理解并愿意承担一切风险，不因中标后可能产生的任何经济或民事纠纷而对学校进行追责和索赔。学校有权拒绝中标单位在合同履行期间，以各种理由提出的减免合作经营收益要求。</w:t>
      </w:r>
    </w:p>
    <w:p>
      <w:pPr>
        <w:pStyle w:val="99"/>
        <w:spacing w:before="0" w:after="0" w:line="360" w:lineRule="auto"/>
        <w:ind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3.服务期间中标人必须无条件服从学校统一管理，对于学校后期制定的相关管理制度及奖惩条例需无条件执行。</w:t>
      </w:r>
    </w:p>
    <w:p>
      <w:pPr>
        <w:widowControl/>
        <w:spacing w:line="360" w:lineRule="auto"/>
        <w:ind w:firstLine="420" w:firstLineChars="200"/>
        <w:jc w:val="left"/>
        <w:rPr>
          <w:color w:val="auto"/>
          <w:szCs w:val="21"/>
          <w:highlight w:val="none"/>
        </w:rPr>
      </w:pPr>
      <w:r>
        <w:rPr>
          <w:rFonts w:hint="eastAsia" w:ascii="宋体" w:hAnsi="宋体"/>
          <w:color w:val="auto"/>
          <w:kern w:val="0"/>
          <w:szCs w:val="21"/>
          <w:highlight w:val="none"/>
        </w:rPr>
        <w:t>4.中标人必须根据学校作息时间，按照学校要求作为运营服务的服务时间，不得擅自更</w:t>
      </w:r>
      <w:r>
        <w:rPr>
          <w:rFonts w:hint="eastAsia" w:ascii="宋体" w:hAnsi="宋体"/>
          <w:color w:val="auto"/>
          <w:szCs w:val="21"/>
          <w:highlight w:val="none"/>
        </w:rPr>
        <w:t>改服务时间。</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中标人必须在项目所在地设置投诉受理点，及时处理及回复投诉或举报。有专人负责接待广大师生投诉，受理师生投诉的渠道包括但不限于电话、意见簿、信件、现场接待等；一般性投诉应在2个自然天内答复，特殊投诉在4个自然天内答复，重大投诉在7个自然天内答复；所有投诉、答复及最终解决方案均须记录。必须在运营服务点悬挂服务监督电话、损失赔偿办法和投诉受理办法。</w:t>
      </w:r>
    </w:p>
    <w:p>
      <w:pPr>
        <w:pStyle w:val="99"/>
        <w:spacing w:before="0" w:after="0" w:line="360" w:lineRule="auto"/>
        <w:ind w:firstLine="48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6.中标人在提供管理服务时必须做好各项安全防范措施，中标人所有工作人员在合约期间如发生任何人身意外、事故或触犯法律法规、损坏学校的设施和物品，由中标人负完全责任。</w:t>
      </w:r>
    </w:p>
    <w:p>
      <w:pPr>
        <w:pStyle w:val="99"/>
        <w:spacing w:before="0" w:after="0" w:line="360" w:lineRule="auto"/>
        <w:ind w:firstLine="48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7.经营管理区域范围内发生的人身伤害、物品被盗或丢失、人为损坏设备设施，属中标人及其工作人员管理不善原因造成的，由中标人负责全部赔偿。</w:t>
      </w:r>
    </w:p>
    <w:p>
      <w:pPr>
        <w:pStyle w:val="99"/>
        <w:spacing w:before="0" w:after="0" w:line="360" w:lineRule="auto"/>
        <w:ind w:firstLine="48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8.中标人必须按劳动法规定，实行规范用工制，如有违反行为，由中标人负责。</w:t>
      </w:r>
    </w:p>
    <w:p>
      <w:pPr>
        <w:pStyle w:val="99"/>
        <w:spacing w:before="0" w:after="0" w:line="360" w:lineRule="auto"/>
        <w:ind w:firstLine="48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中标人及其工作人员在学校交由中标人管理和服务的工作区域内，经法定机构认定违法犯罪属实，中标人应赔偿并承担相应的法律责任，并不得再使用有关人员。中标人因工作失误造成学校物品损坏，中标人照价赔偿。</w:t>
      </w:r>
    </w:p>
    <w:p>
      <w:pPr>
        <w:pStyle w:val="99"/>
        <w:spacing w:before="0" w:after="0" w:line="360" w:lineRule="auto"/>
        <w:ind w:firstLine="48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10.学校对项目的重要岗位设置、人员的录用与管理以及重要的管理决策有直接参与权与审批权。在处理特殊事件和紧急、突发事故等学校认为必要时，学校对中标人工作人员有直接指挥权。</w:t>
      </w:r>
    </w:p>
    <w:p>
      <w:pPr>
        <w:pStyle w:val="99"/>
        <w:spacing w:before="0" w:after="0" w:line="360" w:lineRule="auto"/>
        <w:ind w:firstLine="525" w:firstLineChars="25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11.学校如认为有必要，可查阅中标人本项目的财务运作状况。</w:t>
      </w:r>
    </w:p>
    <w:p>
      <w:pPr>
        <w:autoSpaceDE w:val="0"/>
        <w:autoSpaceDN w:val="0"/>
        <w:adjustRightInd w:val="0"/>
        <w:spacing w:line="360" w:lineRule="auto"/>
        <w:ind w:firstLine="525" w:firstLineChars="250"/>
        <w:jc w:val="left"/>
        <w:rPr>
          <w:rFonts w:ascii="宋体" w:hAnsi="宋体"/>
          <w:color w:val="auto"/>
          <w:szCs w:val="21"/>
          <w:highlight w:val="none"/>
        </w:rPr>
      </w:pPr>
      <w:r>
        <w:rPr>
          <w:rFonts w:hint="eastAsia" w:ascii="宋体" w:hAnsi="宋体"/>
          <w:color w:val="auto"/>
          <w:szCs w:val="21"/>
          <w:highlight w:val="none"/>
        </w:rPr>
        <w:t>12.合同到期后，中标人应在合同到期一周内，移交全部用房，并拆除与中标人知识产权有关的标志及文字，经营场地的不可移动设施设备应保持完好状态，并无偿移交学校。妥善处理合同服务期间及其期限届满后的债务以及劳资纠纷问题，做好员工队伍的思想稳定工作，否则，由中标人承担一切责任。</w:t>
      </w:r>
    </w:p>
    <w:p>
      <w:pPr>
        <w:autoSpaceDE w:val="0"/>
        <w:autoSpaceDN w:val="0"/>
        <w:adjustRightInd w:val="0"/>
        <w:spacing w:line="360" w:lineRule="auto"/>
        <w:ind w:firstLine="525" w:firstLineChars="250"/>
        <w:jc w:val="left"/>
        <w:rPr>
          <w:rFonts w:ascii="宋体" w:hAnsi="宋体"/>
          <w:color w:val="auto"/>
          <w:szCs w:val="21"/>
          <w:highlight w:val="none"/>
        </w:rPr>
      </w:pPr>
      <w:r>
        <w:rPr>
          <w:rFonts w:hint="eastAsia" w:ascii="宋体" w:hAnsi="宋体"/>
          <w:color w:val="auto"/>
          <w:szCs w:val="21"/>
          <w:highlight w:val="none"/>
        </w:rPr>
        <w:t>13.中标人违约要承担违约责任。若非学校原因，中标人未按照合同规定的日期交付符合要求的服务。每逾期一日，中标人应当支付合作经营收益总额的5%作为违约金，且按天累计违约金。迟延超过10日的，学校有权解除合同，并要求中标人支付合同金额20%的违约金，该违约金学校有权直接从履约保证金中扣取。</w:t>
      </w:r>
    </w:p>
    <w:p>
      <w:pPr>
        <w:autoSpaceDE w:val="0"/>
        <w:autoSpaceDN w:val="0"/>
        <w:adjustRightInd w:val="0"/>
        <w:spacing w:line="360" w:lineRule="auto"/>
        <w:ind w:firstLine="420" w:firstLineChars="200"/>
        <w:jc w:val="left"/>
        <w:rPr>
          <w:color w:val="auto"/>
          <w:highlight w:val="none"/>
        </w:rPr>
      </w:pPr>
      <w:r>
        <w:rPr>
          <w:rFonts w:hint="eastAsia" w:ascii="宋体" w:hAnsi="宋体"/>
          <w:color w:val="auto"/>
          <w:kern w:val="0"/>
          <w:szCs w:val="21"/>
          <w:highlight w:val="none"/>
        </w:rPr>
        <w:t>14.因不可抗力原因（指任何一方无法预见、不可避免并不能克服的客观情况）造成合同必须提前解除时，学校在突发事件发生后</w:t>
      </w:r>
      <w:r>
        <w:rPr>
          <w:rFonts w:ascii="宋体" w:hAnsi="宋体"/>
          <w:color w:val="auto"/>
          <w:kern w:val="0"/>
          <w:szCs w:val="21"/>
          <w:highlight w:val="none"/>
        </w:rPr>
        <w:t>15</w:t>
      </w:r>
      <w:r>
        <w:rPr>
          <w:rFonts w:hint="eastAsia" w:ascii="宋体" w:hAnsi="宋体"/>
          <w:color w:val="auto"/>
          <w:kern w:val="0"/>
          <w:szCs w:val="21"/>
          <w:highlight w:val="none"/>
        </w:rPr>
        <w:t>日内，以书面形式通知中标人解除协议。由此造成的损失，学校不负责承担任何经济赔偿责任。</w:t>
      </w:r>
      <w:r>
        <w:rPr>
          <w:rFonts w:hint="eastAsia" w:ascii="宋体" w:hAnsi="宋体"/>
          <w:color w:val="auto"/>
          <w:kern w:val="0"/>
          <w:szCs w:val="21"/>
          <w:highlight w:val="none"/>
        </w:rPr>
        <w:br w:type="textWrapping"/>
      </w:r>
    </w:p>
    <w:p>
      <w:pPr>
        <w:autoSpaceDE w:val="0"/>
        <w:autoSpaceDN w:val="0"/>
        <w:adjustRightInd w:val="0"/>
        <w:spacing w:line="360" w:lineRule="auto"/>
        <w:outlineLvl w:val="1"/>
        <w:rPr>
          <w:rFonts w:asciiTheme="minorEastAsia" w:hAnsiTheme="minorEastAsia" w:eastAsiaTheme="minorEastAsia" w:cstheme="minorEastAsia"/>
          <w:b/>
          <w:bCs/>
          <w:color w:val="auto"/>
          <w:sz w:val="24"/>
          <w:highlight w:val="none"/>
        </w:rPr>
      </w:pPr>
      <w:bookmarkStart w:id="103" w:name="_Toc30372"/>
      <w:r>
        <w:rPr>
          <w:rFonts w:hint="eastAsia" w:asciiTheme="minorEastAsia" w:hAnsiTheme="minorEastAsia" w:eastAsiaTheme="minorEastAsia" w:cstheme="minorEastAsia"/>
          <w:b/>
          <w:bCs/>
          <w:color w:val="auto"/>
          <w:sz w:val="24"/>
          <w:highlight w:val="none"/>
        </w:rPr>
        <w:t>四、</w:t>
      </w:r>
      <w:bookmarkEnd w:id="103"/>
      <w:r>
        <w:rPr>
          <w:rFonts w:hint="eastAsia" w:asciiTheme="minorEastAsia" w:hAnsiTheme="minorEastAsia" w:eastAsiaTheme="minorEastAsia" w:cstheme="minorEastAsia"/>
          <w:b/>
          <w:bCs/>
          <w:color w:val="auto"/>
          <w:sz w:val="24"/>
          <w:highlight w:val="none"/>
        </w:rPr>
        <w:t>其他要求</w:t>
      </w:r>
    </w:p>
    <w:p>
      <w:pPr>
        <w:autoSpaceDE w:val="0"/>
        <w:autoSpaceDN w:val="0"/>
        <w:adjustRightInd w:val="0"/>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1、其他未尽事宜由成交供应商和采购人按合同进行约定。</w:t>
      </w:r>
    </w:p>
    <w:p>
      <w:pPr>
        <w:autoSpaceDE w:val="0"/>
        <w:autoSpaceDN w:val="0"/>
        <w:adjustRightInd w:val="0"/>
        <w:spacing w:line="360" w:lineRule="auto"/>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szCs w:val="21"/>
          <w:highlight w:val="none"/>
        </w:rPr>
        <w:t>2、如遇政策文件变化，以最新政策文件为准，采购人与中标人双方协商修订合同。</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b/>
          <w:bCs/>
          <w:color w:val="auto"/>
          <w:szCs w:val="21"/>
          <w:highlight w:val="none"/>
        </w:rPr>
        <w:br w:type="textWrapping"/>
      </w:r>
      <w:r>
        <w:rPr>
          <w:rFonts w:hint="eastAsia" w:asciiTheme="minorEastAsia" w:hAnsiTheme="minorEastAsia" w:eastAsiaTheme="minorEastAsia" w:cstheme="minorEastAsia"/>
          <w:b/>
          <w:bCs/>
          <w:color w:val="auto"/>
          <w:szCs w:val="21"/>
          <w:highlight w:val="none"/>
        </w:rPr>
        <w:br w:type="textWrapping"/>
      </w:r>
    </w:p>
    <w:p>
      <w:pPr>
        <w:rPr>
          <w:color w:val="auto"/>
          <w:highlight w:val="none"/>
        </w:rPr>
      </w:pPr>
    </w:p>
    <w:p>
      <w:pPr>
        <w:pStyle w:val="3"/>
        <w:numPr>
          <w:ilvl w:val="0"/>
          <w:numId w:val="4"/>
        </w:numPr>
        <w:jc w:val="center"/>
        <w:rPr>
          <w:rFonts w:asciiTheme="minorEastAsia" w:hAnsiTheme="minorEastAsia" w:eastAsiaTheme="minorEastAsia" w:cstheme="minorEastAsia"/>
          <w:color w:val="auto"/>
          <w:szCs w:val="21"/>
          <w:highlight w:val="none"/>
        </w:rPr>
      </w:pPr>
      <w:bookmarkStart w:id="104" w:name="_Toc24802"/>
      <w:r>
        <w:rPr>
          <w:rFonts w:hint="eastAsia" w:asciiTheme="minorEastAsia" w:hAnsiTheme="minorEastAsia" w:eastAsiaTheme="minorEastAsia" w:cstheme="minorEastAsia"/>
          <w:color w:val="auto"/>
          <w:sz w:val="36"/>
          <w:szCs w:val="36"/>
          <w:highlight w:val="none"/>
        </w:rPr>
        <w:t>竞争性磋商采购评定办法</w:t>
      </w:r>
      <w:bookmarkEnd w:id="104"/>
    </w:p>
    <w:p>
      <w:pPr>
        <w:spacing w:line="360" w:lineRule="auto"/>
        <w:outlineLvl w:val="1"/>
        <w:rPr>
          <w:rFonts w:asciiTheme="minorEastAsia" w:hAnsiTheme="minorEastAsia" w:eastAsiaTheme="minorEastAsia" w:cstheme="minorEastAsia"/>
          <w:b/>
          <w:color w:val="auto"/>
          <w:szCs w:val="21"/>
          <w:highlight w:val="none"/>
        </w:rPr>
      </w:pPr>
      <w:bookmarkStart w:id="105" w:name="_Toc24499"/>
      <w:r>
        <w:rPr>
          <w:rFonts w:hint="eastAsia" w:asciiTheme="minorEastAsia" w:hAnsiTheme="minorEastAsia" w:eastAsiaTheme="minorEastAsia" w:cstheme="minorEastAsia"/>
          <w:b/>
          <w:color w:val="auto"/>
          <w:szCs w:val="21"/>
          <w:highlight w:val="none"/>
        </w:rPr>
        <w:t>一、评定办法前附表</w:t>
      </w:r>
      <w:bookmarkEnd w:id="105"/>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2160"/>
        <w:gridCol w:w="5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tblHeader/>
          <w:jc w:val="center"/>
        </w:trPr>
        <w:tc>
          <w:tcPr>
            <w:tcW w:w="1531" w:type="dxa"/>
            <w:gridSpan w:val="2"/>
            <w:vAlign w:val="center"/>
          </w:tcPr>
          <w:p>
            <w:pPr>
              <w:widowControl/>
              <w:spacing w:line="360" w:lineRule="auto"/>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条款号</w:t>
            </w:r>
          </w:p>
        </w:tc>
        <w:tc>
          <w:tcPr>
            <w:tcW w:w="2160" w:type="dxa"/>
            <w:vAlign w:val="center"/>
          </w:tcPr>
          <w:p>
            <w:pPr>
              <w:widowControl/>
              <w:spacing w:line="360" w:lineRule="auto"/>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评审因素</w:t>
            </w:r>
          </w:p>
        </w:tc>
        <w:tc>
          <w:tcPr>
            <w:tcW w:w="5671" w:type="dxa"/>
            <w:vAlign w:val="center"/>
          </w:tcPr>
          <w:p>
            <w:pPr>
              <w:widowControl/>
              <w:spacing w:line="360" w:lineRule="auto"/>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spacing w:line="360" w:lineRule="auto"/>
              <w:jc w:val="center"/>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1.1</w:t>
            </w:r>
          </w:p>
        </w:tc>
        <w:tc>
          <w:tcPr>
            <w:tcW w:w="851" w:type="dxa"/>
            <w:vMerge w:val="restart"/>
            <w:vAlign w:val="center"/>
          </w:tcPr>
          <w:p>
            <w:pPr>
              <w:spacing w:line="360" w:lineRule="auto"/>
              <w:jc w:val="center"/>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color w:val="auto"/>
                <w:szCs w:val="21"/>
                <w:highlight w:val="none"/>
              </w:rPr>
              <w:t>资格性审查标准</w:t>
            </w:r>
          </w:p>
        </w:tc>
        <w:tc>
          <w:tcPr>
            <w:tcW w:w="2160" w:type="dxa"/>
            <w:vAlign w:val="center"/>
          </w:tcPr>
          <w:p>
            <w:pPr>
              <w:widowControl/>
              <w:spacing w:line="360" w:lineRule="auto"/>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满足《中华人民共和国政府采购法》第二十二条规定</w:t>
            </w:r>
          </w:p>
        </w:tc>
        <w:tc>
          <w:tcPr>
            <w:tcW w:w="5671" w:type="dxa"/>
            <w:vAlign w:val="center"/>
          </w:tcPr>
          <w:p>
            <w:pPr>
              <w:spacing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（1）具有独立承担民事责任的能力；</w:t>
            </w:r>
          </w:p>
          <w:p>
            <w:pPr>
              <w:spacing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（2）具有良好的商业信誉和健全的财务会计制度；</w:t>
            </w:r>
          </w:p>
          <w:p>
            <w:pPr>
              <w:spacing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（3）具有履行合同所必需的设备和专业技术能力；</w:t>
            </w:r>
          </w:p>
          <w:p>
            <w:pPr>
              <w:spacing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（4）有依法缴纳税收和社会保障资金的良好记录；</w:t>
            </w:r>
          </w:p>
          <w:p>
            <w:pPr>
              <w:spacing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（5）参加政府采购活动前三年内，在经营活动中没有重大违法记录；</w:t>
            </w:r>
          </w:p>
          <w:p>
            <w:pPr>
              <w:widowControl/>
              <w:spacing w:line="360" w:lineRule="auto"/>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（6）法律、行政法规规定的其他条件；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9"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p>
        </w:tc>
        <w:tc>
          <w:tcPr>
            <w:tcW w:w="851" w:type="dxa"/>
            <w:vMerge w:val="continue"/>
            <w:vAlign w:val="center"/>
          </w:tcPr>
          <w:p>
            <w:pPr>
              <w:widowControl/>
              <w:spacing w:line="360" w:lineRule="auto"/>
              <w:jc w:val="center"/>
              <w:rPr>
                <w:rFonts w:asciiTheme="minorEastAsia" w:hAnsiTheme="minorEastAsia" w:eastAsiaTheme="minorEastAsia" w:cstheme="minorEastAsia"/>
                <w:color w:val="auto"/>
                <w:szCs w:val="21"/>
                <w:highlight w:val="none"/>
              </w:rPr>
            </w:pPr>
          </w:p>
        </w:tc>
        <w:tc>
          <w:tcPr>
            <w:tcW w:w="2160" w:type="dxa"/>
            <w:vMerge w:val="restart"/>
            <w:vAlign w:val="center"/>
          </w:tcPr>
          <w:p>
            <w:pPr>
              <w:widowControl/>
              <w:spacing w:line="360" w:lineRule="auto"/>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不得存在的情形</w:t>
            </w:r>
          </w:p>
        </w:tc>
        <w:tc>
          <w:tcPr>
            <w:tcW w:w="5671" w:type="dxa"/>
            <w:vAlign w:val="center"/>
          </w:tcPr>
          <w:p>
            <w:pPr>
              <w:spacing w:line="360" w:lineRule="auto"/>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单位负责人为同一人或者存在直接控股、管理关系的不同磋商代表，不得参加本项目同一合同项下的政府采购活动。（按在采购代理机构获取文件的顺次序选择供应商参加本项目）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3"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p>
        </w:tc>
        <w:tc>
          <w:tcPr>
            <w:tcW w:w="851" w:type="dxa"/>
            <w:vMerge w:val="continue"/>
            <w:vAlign w:val="center"/>
          </w:tcPr>
          <w:p>
            <w:pPr>
              <w:widowControl/>
              <w:spacing w:line="360" w:lineRule="auto"/>
              <w:jc w:val="center"/>
              <w:rPr>
                <w:rFonts w:asciiTheme="minorEastAsia" w:hAnsiTheme="minorEastAsia" w:eastAsiaTheme="minorEastAsia" w:cstheme="minorEastAsia"/>
                <w:color w:val="auto"/>
                <w:szCs w:val="21"/>
                <w:highlight w:val="none"/>
              </w:rPr>
            </w:pPr>
          </w:p>
        </w:tc>
        <w:tc>
          <w:tcPr>
            <w:tcW w:w="2160" w:type="dxa"/>
            <w:vMerge w:val="continue"/>
            <w:vAlign w:val="center"/>
          </w:tcPr>
          <w:p>
            <w:pPr>
              <w:widowControl/>
              <w:spacing w:line="360" w:lineRule="auto"/>
              <w:jc w:val="center"/>
              <w:rPr>
                <w:rFonts w:asciiTheme="minorEastAsia" w:hAnsiTheme="minorEastAsia" w:eastAsiaTheme="minorEastAsia" w:cstheme="minorEastAsia"/>
                <w:color w:val="auto"/>
                <w:szCs w:val="21"/>
                <w:highlight w:val="none"/>
                <w:lang w:val="zh-CN"/>
              </w:rPr>
            </w:pPr>
          </w:p>
        </w:tc>
        <w:tc>
          <w:tcPr>
            <w:tcW w:w="5671" w:type="dxa"/>
            <w:vAlign w:val="center"/>
          </w:tcPr>
          <w:p>
            <w:pPr>
              <w:spacing w:line="360" w:lineRule="auto"/>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为本采购项目提供整体设计、规范编制或者项目管理、监理、检测等服务的，不得再参加本项目的其他招标采购活动。</w:t>
            </w:r>
            <w:r>
              <w:rPr>
                <w:rFonts w:hint="eastAsia" w:asciiTheme="minorEastAsia" w:hAnsiTheme="minorEastAsia" w:eastAsiaTheme="minorEastAsia" w:cstheme="minorEastAsia"/>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8"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p>
        </w:tc>
        <w:tc>
          <w:tcPr>
            <w:tcW w:w="851" w:type="dxa"/>
            <w:vMerge w:val="continue"/>
            <w:vAlign w:val="center"/>
          </w:tcPr>
          <w:p>
            <w:pPr>
              <w:widowControl/>
              <w:spacing w:line="360" w:lineRule="auto"/>
              <w:jc w:val="center"/>
              <w:rPr>
                <w:rFonts w:asciiTheme="minorEastAsia" w:hAnsiTheme="minorEastAsia" w:eastAsiaTheme="minorEastAsia" w:cstheme="minorEastAsia"/>
                <w:color w:val="auto"/>
                <w:szCs w:val="21"/>
                <w:highlight w:val="none"/>
              </w:rPr>
            </w:pPr>
          </w:p>
        </w:tc>
        <w:tc>
          <w:tcPr>
            <w:tcW w:w="2160" w:type="dxa"/>
            <w:vMerge w:val="continue"/>
            <w:vAlign w:val="center"/>
          </w:tcPr>
          <w:p>
            <w:pPr>
              <w:widowControl/>
              <w:spacing w:line="360" w:lineRule="auto"/>
              <w:jc w:val="center"/>
              <w:rPr>
                <w:rFonts w:asciiTheme="minorEastAsia" w:hAnsiTheme="minorEastAsia" w:eastAsiaTheme="minorEastAsia" w:cstheme="minorEastAsia"/>
                <w:color w:val="auto"/>
                <w:szCs w:val="21"/>
                <w:highlight w:val="none"/>
                <w:lang w:val="zh-CN"/>
              </w:rPr>
            </w:pPr>
          </w:p>
        </w:tc>
        <w:tc>
          <w:tcPr>
            <w:tcW w:w="5671" w:type="dxa"/>
            <w:vAlign w:val="center"/>
          </w:tcPr>
          <w:p>
            <w:pPr>
              <w:spacing w:line="360" w:lineRule="auto"/>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未被列入失信被执行人、重大税收违法案件当事人名单（链接：https://www.creditchina.gov.cn/），未被列入政府采购严重违法失信行为记录名单（链接：http://www.ccgp.gov.cn/search/cr/）。</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 xml:space="preserve">以递交响应文件截止之日，采购代理机构现场网络查询并打印存档。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p>
        </w:tc>
        <w:tc>
          <w:tcPr>
            <w:tcW w:w="851" w:type="dxa"/>
            <w:vMerge w:val="continue"/>
            <w:vAlign w:val="center"/>
          </w:tcPr>
          <w:p>
            <w:pPr>
              <w:widowControl/>
              <w:spacing w:line="360" w:lineRule="auto"/>
              <w:jc w:val="center"/>
              <w:rPr>
                <w:rFonts w:asciiTheme="minorEastAsia" w:hAnsiTheme="minorEastAsia" w:eastAsiaTheme="minorEastAsia" w:cstheme="minorEastAsia"/>
                <w:color w:val="auto"/>
                <w:szCs w:val="21"/>
                <w:highlight w:val="none"/>
              </w:rPr>
            </w:pPr>
          </w:p>
        </w:tc>
        <w:tc>
          <w:tcPr>
            <w:tcW w:w="2160" w:type="dxa"/>
            <w:vAlign w:val="center"/>
          </w:tcPr>
          <w:p>
            <w:pPr>
              <w:widowControl/>
              <w:spacing w:line="360" w:lineRule="auto"/>
              <w:jc w:val="center"/>
              <w:rPr>
                <w:rFonts w:asciiTheme="minorEastAsia" w:hAnsiTheme="minorEastAsia" w:eastAsiaTheme="minorEastAsia" w:cstheme="minorEastAsia"/>
                <w:color w:val="auto"/>
                <w:kern w:val="0"/>
                <w:szCs w:val="21"/>
                <w:highlight w:val="none"/>
                <w:lang w:val="zh-CN"/>
              </w:rPr>
            </w:pPr>
            <w:r>
              <w:rPr>
                <w:rFonts w:hint="eastAsia" w:asciiTheme="minorEastAsia" w:hAnsiTheme="minorEastAsia" w:eastAsiaTheme="minorEastAsia" w:cstheme="minorEastAsia"/>
                <w:color w:val="auto"/>
                <w:szCs w:val="21"/>
                <w:highlight w:val="none"/>
              </w:rPr>
              <w:t>落实政府采购政策需满足的资格要求</w:t>
            </w:r>
          </w:p>
        </w:tc>
        <w:tc>
          <w:tcPr>
            <w:tcW w:w="5671" w:type="dxa"/>
            <w:vAlign w:val="center"/>
          </w:tcPr>
          <w:p>
            <w:pPr>
              <w:widowControl/>
              <w:spacing w:line="360" w:lineRule="auto"/>
              <w:jc w:val="left"/>
              <w:rPr>
                <w:rFonts w:asciiTheme="minorEastAsia" w:hAnsiTheme="minorEastAsia" w:eastAsiaTheme="minorEastAsia" w:cstheme="minorEastAsia"/>
                <w:color w:val="auto"/>
                <w:kern w:val="0"/>
                <w:szCs w:val="21"/>
                <w:highlight w:val="none"/>
                <w:lang w:val="zh-CN"/>
              </w:rPr>
            </w:pPr>
            <w:r>
              <w:rPr>
                <w:rFonts w:hint="eastAsia" w:asciiTheme="minorEastAsia" w:hAnsiTheme="minorEastAsia" w:eastAsiaTheme="minorEastAsia" w:cstheme="minorEastAsia"/>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p>
        </w:tc>
        <w:tc>
          <w:tcPr>
            <w:tcW w:w="851" w:type="dxa"/>
            <w:vMerge w:val="continue"/>
            <w:vAlign w:val="center"/>
          </w:tcPr>
          <w:p>
            <w:pPr>
              <w:widowControl/>
              <w:spacing w:line="360" w:lineRule="auto"/>
              <w:jc w:val="center"/>
              <w:rPr>
                <w:rFonts w:asciiTheme="minorEastAsia" w:hAnsiTheme="minorEastAsia" w:eastAsiaTheme="minorEastAsia" w:cstheme="minorEastAsia"/>
                <w:color w:val="auto"/>
                <w:szCs w:val="21"/>
                <w:highlight w:val="none"/>
              </w:rPr>
            </w:pPr>
          </w:p>
        </w:tc>
        <w:tc>
          <w:tcPr>
            <w:tcW w:w="2160" w:type="dxa"/>
            <w:vAlign w:val="center"/>
          </w:tcPr>
          <w:p>
            <w:pPr>
              <w:widowControl/>
              <w:spacing w:line="360" w:lineRule="auto"/>
              <w:jc w:val="center"/>
              <w:rPr>
                <w:rFonts w:asciiTheme="minorEastAsia" w:hAnsiTheme="minorEastAsia" w:eastAsiaTheme="minorEastAsia" w:cstheme="minorEastAsia"/>
                <w:color w:val="auto"/>
                <w:kern w:val="0"/>
                <w:szCs w:val="21"/>
                <w:highlight w:val="none"/>
                <w:lang w:val="zh-CN"/>
              </w:rPr>
            </w:pPr>
            <w:r>
              <w:rPr>
                <w:rFonts w:hint="eastAsia" w:asciiTheme="minorEastAsia" w:hAnsiTheme="minorEastAsia" w:eastAsiaTheme="minorEastAsia" w:cstheme="minorEastAsia"/>
                <w:color w:val="auto"/>
                <w:szCs w:val="21"/>
                <w:highlight w:val="none"/>
              </w:rPr>
              <w:t>特定资格要求</w:t>
            </w:r>
          </w:p>
        </w:tc>
        <w:tc>
          <w:tcPr>
            <w:tcW w:w="5671" w:type="dxa"/>
            <w:vAlign w:val="center"/>
          </w:tcPr>
          <w:p>
            <w:pPr>
              <w:widowControl/>
              <w:spacing w:line="360" w:lineRule="auto"/>
              <w:jc w:val="left"/>
              <w:rPr>
                <w:rFonts w:asciiTheme="minorEastAsia" w:hAnsiTheme="minorEastAsia" w:eastAsiaTheme="minorEastAsia" w:cstheme="minorEastAsia"/>
                <w:color w:val="auto"/>
                <w:kern w:val="0"/>
                <w:szCs w:val="21"/>
                <w:highlight w:val="none"/>
                <w:lang w:val="zh-CN"/>
              </w:rPr>
            </w:pPr>
            <w:r>
              <w:rPr>
                <w:rFonts w:hint="eastAsia" w:asciiTheme="minorEastAsia" w:hAnsiTheme="minorEastAsia" w:eastAsiaTheme="minorEastAsia" w:cstheme="minorEastAsia"/>
                <w:color w:val="auto"/>
                <w:kern w:val="0"/>
                <w:szCs w:val="21"/>
                <w:highlight w:val="none"/>
              </w:rPr>
              <w:t>符合本采购文件第一章第二款第六条要求，并提供合格有效的证明材料</w:t>
            </w:r>
            <w:r>
              <w:rPr>
                <w:rFonts w:hint="eastAsia" w:asciiTheme="minorEastAsia" w:hAnsiTheme="minorEastAsia" w:eastAsiaTheme="minorEastAsia" w:cstheme="minorEastAsia"/>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spacing w:line="360" w:lineRule="auto"/>
              <w:jc w:val="center"/>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1.2</w:t>
            </w:r>
          </w:p>
        </w:tc>
        <w:tc>
          <w:tcPr>
            <w:tcW w:w="851" w:type="dxa"/>
            <w:vMerge w:val="restart"/>
            <w:vAlign w:val="center"/>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符合性审查标准</w:t>
            </w:r>
          </w:p>
          <w:p>
            <w:pPr>
              <w:spacing w:line="360" w:lineRule="auto"/>
              <w:jc w:val="center"/>
              <w:rPr>
                <w:rFonts w:asciiTheme="minorEastAsia" w:hAnsiTheme="minorEastAsia" w:eastAsiaTheme="minorEastAsia" w:cstheme="minorEastAsia"/>
                <w:color w:val="auto"/>
                <w:szCs w:val="21"/>
                <w:highlight w:val="none"/>
              </w:rPr>
            </w:pPr>
          </w:p>
        </w:tc>
        <w:tc>
          <w:tcPr>
            <w:tcW w:w="2160" w:type="dxa"/>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color w:val="auto"/>
                <w:kern w:val="0"/>
                <w:szCs w:val="21"/>
                <w:highlight w:val="none"/>
              </w:rPr>
              <w:t>磋商保证金（如有）</w:t>
            </w:r>
          </w:p>
        </w:tc>
        <w:tc>
          <w:tcPr>
            <w:tcW w:w="5671" w:type="dxa"/>
            <w:vAlign w:val="center"/>
          </w:tcPr>
          <w:p>
            <w:pPr>
              <w:widowControl/>
              <w:spacing w:line="360" w:lineRule="auto"/>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38"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p>
        </w:tc>
        <w:tc>
          <w:tcPr>
            <w:tcW w:w="2160" w:type="dxa"/>
            <w:vAlign w:val="center"/>
          </w:tcPr>
          <w:p>
            <w:pPr>
              <w:widowControl/>
              <w:spacing w:line="360" w:lineRule="auto"/>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磋商报价</w:t>
            </w:r>
          </w:p>
        </w:tc>
        <w:tc>
          <w:tcPr>
            <w:tcW w:w="5671" w:type="dxa"/>
            <w:vAlign w:val="center"/>
          </w:tcPr>
          <w:p>
            <w:pPr>
              <w:widowControl/>
              <w:spacing w:line="360" w:lineRule="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磋商报价是否符合磋商文件要求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p>
        </w:tc>
        <w:tc>
          <w:tcPr>
            <w:tcW w:w="2160" w:type="dxa"/>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color w:val="auto"/>
                <w:kern w:val="0"/>
                <w:szCs w:val="21"/>
                <w:highlight w:val="none"/>
              </w:rPr>
              <w:t>磋商书签字盖章</w:t>
            </w:r>
          </w:p>
        </w:tc>
        <w:tc>
          <w:tcPr>
            <w:tcW w:w="5671" w:type="dxa"/>
            <w:vAlign w:val="center"/>
          </w:tcPr>
          <w:p>
            <w:pPr>
              <w:widowControl/>
              <w:spacing w:line="360" w:lineRule="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p>
        </w:tc>
        <w:tc>
          <w:tcPr>
            <w:tcW w:w="2160" w:type="dxa"/>
            <w:vAlign w:val="center"/>
          </w:tcPr>
          <w:p>
            <w:pPr>
              <w:widowControl/>
              <w:spacing w:line="360" w:lineRule="auto"/>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磋商有效期</w:t>
            </w:r>
          </w:p>
        </w:tc>
        <w:tc>
          <w:tcPr>
            <w:tcW w:w="5671" w:type="dxa"/>
            <w:vAlign w:val="center"/>
          </w:tcPr>
          <w:p>
            <w:pPr>
              <w:widowControl/>
              <w:spacing w:line="360" w:lineRule="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磋商有效期是否满足竞争性磋商采购文件要求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p>
        </w:tc>
        <w:tc>
          <w:tcPr>
            <w:tcW w:w="2160" w:type="dxa"/>
            <w:vAlign w:val="center"/>
          </w:tcPr>
          <w:p>
            <w:pPr>
              <w:widowControl/>
              <w:spacing w:line="360" w:lineRule="auto"/>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信誉情况</w:t>
            </w:r>
          </w:p>
        </w:tc>
        <w:tc>
          <w:tcPr>
            <w:tcW w:w="5671" w:type="dxa"/>
            <w:vAlign w:val="center"/>
          </w:tcPr>
          <w:p>
            <w:pPr>
              <w:widowControl/>
              <w:spacing w:line="360" w:lineRule="auto"/>
              <w:rPr>
                <w:rFonts w:asciiTheme="minorEastAsia" w:hAnsiTheme="minorEastAsia" w:eastAsiaTheme="minorEastAsia" w:cstheme="minorEastAsia"/>
                <w:color w:val="auto"/>
                <w:kern w:val="0"/>
                <w:szCs w:val="21"/>
                <w:highlight w:val="none"/>
              </w:rPr>
            </w:pPr>
            <w:r>
              <w:rPr>
                <w:rFonts w:hint="eastAsia" w:ascii="宋体" w:hAnsi="宋体" w:cs="宋体"/>
                <w:color w:val="auto"/>
                <w:kern w:val="0"/>
                <w:szCs w:val="21"/>
                <w:highlight w:val="none"/>
              </w:rPr>
              <w:t>参加本</w:t>
            </w:r>
            <w:r>
              <w:rPr>
                <w:rFonts w:hint="eastAsia" w:ascii="宋体" w:hAnsi="宋体" w:cs="宋体"/>
                <w:color w:val="auto"/>
                <w:kern w:val="0"/>
                <w:szCs w:val="21"/>
                <w:highlight w:val="none"/>
                <w:shd w:val="clear" w:color="auto" w:fill="FFFFFF"/>
              </w:rPr>
              <w:t>次政府采购活动前三年内，是否有不良经济纠纷记录和违法行为（供应商提供声明或承诺书，格式自拟）；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p>
        </w:tc>
        <w:tc>
          <w:tcPr>
            <w:tcW w:w="2160" w:type="dxa"/>
            <w:vMerge w:val="restart"/>
            <w:vAlign w:val="center"/>
          </w:tcPr>
          <w:p>
            <w:pPr>
              <w:widowControl/>
              <w:spacing w:line="360" w:lineRule="auto"/>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采购需求响应</w:t>
            </w:r>
          </w:p>
        </w:tc>
        <w:tc>
          <w:tcPr>
            <w:tcW w:w="5671" w:type="dxa"/>
            <w:vAlign w:val="center"/>
          </w:tcPr>
          <w:p>
            <w:pPr>
              <w:widowControl/>
              <w:spacing w:line="360" w:lineRule="auto"/>
              <w:rPr>
                <w:rFonts w:asciiTheme="minorEastAsia" w:hAnsiTheme="minorEastAsia" w:eastAsiaTheme="minorEastAsia" w:cstheme="minorEastAsia"/>
                <w:color w:val="auto"/>
                <w:kern w:val="0"/>
                <w:szCs w:val="21"/>
                <w:highlight w:val="none"/>
              </w:rPr>
            </w:pPr>
            <w:r>
              <w:rPr>
                <w:rFonts w:hint="eastAsia" w:ascii="宋体" w:hAnsi="宋体" w:cs="宋体"/>
                <w:color w:val="auto"/>
                <w:kern w:val="0"/>
                <w:szCs w:val="21"/>
                <w:highlight w:val="none"/>
                <w:shd w:val="clear" w:color="auto" w:fill="FFFFFF"/>
              </w:rPr>
              <w:t>带“★”号条款（如有）是否实质性响应磋商文件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p>
        </w:tc>
        <w:tc>
          <w:tcPr>
            <w:tcW w:w="2160" w:type="dxa"/>
            <w:vMerge w:val="continue"/>
            <w:vAlign w:val="center"/>
          </w:tcPr>
          <w:p>
            <w:pPr>
              <w:widowControl/>
              <w:spacing w:line="360" w:lineRule="auto"/>
              <w:jc w:val="center"/>
              <w:rPr>
                <w:rFonts w:asciiTheme="minorEastAsia" w:hAnsiTheme="minorEastAsia" w:eastAsiaTheme="minorEastAsia" w:cstheme="minorEastAsia"/>
                <w:color w:val="auto"/>
                <w:kern w:val="0"/>
                <w:szCs w:val="21"/>
                <w:highlight w:val="none"/>
              </w:rPr>
            </w:pPr>
          </w:p>
        </w:tc>
        <w:tc>
          <w:tcPr>
            <w:tcW w:w="5671" w:type="dxa"/>
            <w:vAlign w:val="center"/>
          </w:tcPr>
          <w:p>
            <w:pPr>
              <w:widowControl/>
              <w:spacing w:line="360" w:lineRule="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94"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p>
        </w:tc>
        <w:tc>
          <w:tcPr>
            <w:tcW w:w="2160" w:type="dxa"/>
            <w:vAlign w:val="center"/>
          </w:tcPr>
          <w:p>
            <w:pPr>
              <w:autoSpaceDE w:val="0"/>
              <w:autoSpaceDN w:val="0"/>
              <w:adjustRightInd w:val="0"/>
              <w:snapToGrid w:val="0"/>
              <w:spacing w:line="360" w:lineRule="auto"/>
              <w:jc w:val="center"/>
              <w:rPr>
                <w:rFonts w:ascii="宋体" w:hAnsi="宋体"/>
                <w:color w:val="auto"/>
                <w:szCs w:val="21"/>
                <w:highlight w:val="none"/>
              </w:rPr>
            </w:pPr>
            <w:r>
              <w:rPr>
                <w:rFonts w:hint="eastAsia" w:ascii="宋体" w:hAnsi="宋体"/>
                <w:color w:val="auto"/>
                <w:szCs w:val="21"/>
                <w:highlight w:val="none"/>
              </w:rPr>
              <w:t>其他要求（一）</w:t>
            </w:r>
          </w:p>
        </w:tc>
        <w:tc>
          <w:tcPr>
            <w:tcW w:w="5671" w:type="dxa"/>
            <w:vAlign w:val="center"/>
          </w:tcPr>
          <w:p>
            <w:pPr>
              <w:autoSpaceDE w:val="0"/>
              <w:autoSpaceDN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供应商未有下列任一情形：</w:t>
            </w:r>
          </w:p>
          <w:p>
            <w:pPr>
              <w:autoSpaceDE w:val="0"/>
              <w:autoSpaceDN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（1）不同供应商的响应文件由同一单位或者个人编制；</w:t>
            </w:r>
          </w:p>
          <w:p>
            <w:pPr>
              <w:autoSpaceDE w:val="0"/>
              <w:autoSpaceDN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（2）不同供应商委托同一单位或者个人办理投标事宜；</w:t>
            </w:r>
          </w:p>
          <w:p>
            <w:pPr>
              <w:autoSpaceDE w:val="0"/>
              <w:autoSpaceDN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（3）不同供应商的响应文件载明的项目管理成员或者联系人员为同一人；</w:t>
            </w:r>
          </w:p>
          <w:p>
            <w:pPr>
              <w:autoSpaceDE w:val="0"/>
              <w:autoSpaceDN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（4）不同供应商的响应文件异常一致或者投标报价呈规律性差异；</w:t>
            </w:r>
          </w:p>
          <w:p>
            <w:pPr>
              <w:autoSpaceDE w:val="0"/>
              <w:autoSpaceDN w:val="0"/>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6"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p>
        </w:tc>
        <w:tc>
          <w:tcPr>
            <w:tcW w:w="851" w:type="dxa"/>
            <w:vMerge w:val="continue"/>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p>
        </w:tc>
        <w:tc>
          <w:tcPr>
            <w:tcW w:w="2160" w:type="dxa"/>
            <w:vAlign w:val="center"/>
          </w:tcPr>
          <w:p>
            <w:pPr>
              <w:widowControl/>
              <w:spacing w:line="360" w:lineRule="auto"/>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其他要求（二）</w:t>
            </w:r>
          </w:p>
        </w:tc>
        <w:tc>
          <w:tcPr>
            <w:tcW w:w="5671" w:type="dxa"/>
            <w:vAlign w:val="center"/>
          </w:tcPr>
          <w:p>
            <w:pPr>
              <w:widowControl/>
              <w:spacing w:line="360" w:lineRule="auto"/>
              <w:rPr>
                <w:rFonts w:asciiTheme="minorEastAsia" w:hAnsiTheme="minorEastAsia" w:eastAsiaTheme="minorEastAsia" w:cstheme="minorEastAsia"/>
                <w:color w:val="auto"/>
                <w:kern w:val="0"/>
                <w:szCs w:val="21"/>
                <w:highlight w:val="none"/>
              </w:rPr>
            </w:pPr>
            <w:r>
              <w:rPr>
                <w:rFonts w:hint="eastAsia" w:ascii="宋体" w:hAnsi="宋体" w:cs="宋体"/>
                <w:color w:val="auto"/>
                <w:kern w:val="0"/>
                <w:szCs w:val="21"/>
                <w:highlight w:val="none"/>
              </w:rPr>
              <w:t>磋商文件中规定被视为无效投标其它条款的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99" w:hRule="atLeast"/>
          <w:jc w:val="center"/>
        </w:trPr>
        <w:tc>
          <w:tcPr>
            <w:tcW w:w="680" w:type="dxa"/>
            <w:vMerge w:val="restart"/>
            <w:vAlign w:val="center"/>
          </w:tcPr>
          <w:p>
            <w:pPr>
              <w:widowControl/>
              <w:spacing w:line="360" w:lineRule="auto"/>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2</w:t>
            </w:r>
          </w:p>
        </w:tc>
        <w:tc>
          <w:tcPr>
            <w:tcW w:w="851" w:type="dxa"/>
            <w:vMerge w:val="restart"/>
            <w:vAlign w:val="center"/>
          </w:tcPr>
          <w:p>
            <w:pPr>
              <w:widowControl/>
              <w:spacing w:line="360" w:lineRule="auto"/>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确定磋商供应商进行最后报价</w:t>
            </w:r>
          </w:p>
        </w:tc>
        <w:tc>
          <w:tcPr>
            <w:tcW w:w="2160" w:type="dxa"/>
            <w:vAlign w:val="center"/>
          </w:tcPr>
          <w:p>
            <w:pPr>
              <w:widowControl/>
              <w:spacing w:line="360" w:lineRule="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磋商文件能完整、明确列明采购需求，无需要供应商提供最终设计方案或者解决方案的</w:t>
            </w:r>
          </w:p>
        </w:tc>
        <w:tc>
          <w:tcPr>
            <w:tcW w:w="5671" w:type="dxa"/>
            <w:vAlign w:val="center"/>
          </w:tcPr>
          <w:p>
            <w:pPr>
              <w:widowControl/>
              <w:spacing w:line="360" w:lineRule="auto"/>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在磋商结束后，磋商小组向所有通过资格性和符合性审查的磋商供应商发出报价书，并要求其在规定时间内提交最后报价。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48" w:hRule="atLeast"/>
          <w:jc w:val="center"/>
        </w:trPr>
        <w:tc>
          <w:tcPr>
            <w:tcW w:w="680" w:type="dxa"/>
            <w:vMerge w:val="continue"/>
            <w:vAlign w:val="center"/>
          </w:tcPr>
          <w:p>
            <w:pPr>
              <w:widowControl/>
              <w:spacing w:line="360" w:lineRule="auto"/>
              <w:jc w:val="center"/>
              <w:rPr>
                <w:rFonts w:asciiTheme="minorEastAsia" w:hAnsiTheme="minorEastAsia" w:eastAsiaTheme="minorEastAsia" w:cstheme="minorEastAsia"/>
                <w:color w:val="auto"/>
                <w:kern w:val="0"/>
                <w:szCs w:val="21"/>
                <w:highlight w:val="none"/>
              </w:rPr>
            </w:pPr>
          </w:p>
        </w:tc>
        <w:tc>
          <w:tcPr>
            <w:tcW w:w="851" w:type="dxa"/>
            <w:vMerge w:val="continue"/>
            <w:vAlign w:val="center"/>
          </w:tcPr>
          <w:p>
            <w:pPr>
              <w:widowControl/>
              <w:spacing w:line="360" w:lineRule="auto"/>
              <w:jc w:val="center"/>
              <w:rPr>
                <w:rFonts w:asciiTheme="minorEastAsia" w:hAnsiTheme="minorEastAsia" w:eastAsiaTheme="minorEastAsia" w:cstheme="minorEastAsia"/>
                <w:color w:val="auto"/>
                <w:kern w:val="0"/>
                <w:szCs w:val="21"/>
                <w:highlight w:val="none"/>
              </w:rPr>
            </w:pPr>
          </w:p>
        </w:tc>
        <w:tc>
          <w:tcPr>
            <w:tcW w:w="2160" w:type="dxa"/>
            <w:vAlign w:val="center"/>
          </w:tcPr>
          <w:p>
            <w:pPr>
              <w:widowControl/>
              <w:spacing w:line="360" w:lineRule="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磋商文件不能完整、明确列明采购需求，需要由供应商提供最终设计方案或者解决方案的</w:t>
            </w:r>
          </w:p>
        </w:tc>
        <w:tc>
          <w:tcPr>
            <w:tcW w:w="5671" w:type="dxa"/>
            <w:vAlign w:val="center"/>
          </w:tcPr>
          <w:p>
            <w:pPr>
              <w:widowControl/>
              <w:spacing w:line="360" w:lineRule="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3</w:t>
            </w:r>
          </w:p>
        </w:tc>
        <w:tc>
          <w:tcPr>
            <w:tcW w:w="851" w:type="dxa"/>
            <w:vAlign w:val="center"/>
          </w:tcPr>
          <w:p>
            <w:pPr>
              <w:widowControl/>
              <w:spacing w:line="360" w:lineRule="auto"/>
              <w:jc w:val="center"/>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评定</w:t>
            </w:r>
          </w:p>
          <w:p>
            <w:pPr>
              <w:widowControl/>
              <w:spacing w:line="360" w:lineRule="auto"/>
              <w:jc w:val="center"/>
              <w:rPr>
                <w:rFonts w:asciiTheme="minorEastAsia" w:hAnsiTheme="minorEastAsia" w:eastAsiaTheme="minorEastAsia" w:cstheme="minorEastAsia"/>
                <w:bCs/>
                <w:color w:val="auto"/>
                <w:kern w:val="0"/>
                <w:szCs w:val="21"/>
                <w:highlight w:val="none"/>
              </w:rPr>
            </w:pPr>
            <w:r>
              <w:rPr>
                <w:rFonts w:hint="eastAsia" w:asciiTheme="minorEastAsia" w:hAnsiTheme="minorEastAsia" w:eastAsiaTheme="minorEastAsia" w:cstheme="minorEastAsia"/>
                <w:bCs/>
                <w:color w:val="auto"/>
                <w:kern w:val="0"/>
                <w:szCs w:val="21"/>
                <w:highlight w:val="none"/>
              </w:rPr>
              <w:t>办法</w:t>
            </w:r>
          </w:p>
        </w:tc>
        <w:tc>
          <w:tcPr>
            <w:tcW w:w="2160" w:type="dxa"/>
            <w:vAlign w:val="center"/>
          </w:tcPr>
          <w:p>
            <w:pPr>
              <w:spacing w:line="360" w:lineRule="auto"/>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Cs/>
                <w:color w:val="auto"/>
                <w:kern w:val="0"/>
                <w:szCs w:val="21"/>
                <w:highlight w:val="none"/>
              </w:rPr>
              <w:t>综合评分法</w:t>
            </w:r>
          </w:p>
        </w:tc>
        <w:tc>
          <w:tcPr>
            <w:tcW w:w="5671" w:type="dxa"/>
            <w:vAlign w:val="center"/>
          </w:tcPr>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各供应商的最终得分为各评委所评定分数的算术平均值。磋商小组将根据供应商最终得分由高到低的照顺序推荐3名成交候选人</w:t>
            </w:r>
          </w:p>
        </w:tc>
      </w:tr>
    </w:tbl>
    <w:p>
      <w:pPr>
        <w:spacing w:line="360" w:lineRule="auto"/>
        <w:outlineLvl w:val="1"/>
        <w:rPr>
          <w:rFonts w:asciiTheme="minorEastAsia" w:hAnsiTheme="minorEastAsia" w:eastAsiaTheme="minorEastAsia" w:cstheme="minorEastAsia"/>
          <w:b/>
          <w:color w:val="auto"/>
          <w:szCs w:val="21"/>
          <w:highlight w:val="none"/>
        </w:rPr>
      </w:pPr>
      <w:bookmarkStart w:id="106" w:name="_Toc20017"/>
      <w:r>
        <w:rPr>
          <w:rFonts w:hint="eastAsia" w:asciiTheme="minorEastAsia" w:hAnsiTheme="minorEastAsia" w:eastAsiaTheme="minorEastAsia" w:cstheme="minorEastAsia"/>
          <w:b/>
          <w:color w:val="auto"/>
          <w:szCs w:val="21"/>
          <w:highlight w:val="none"/>
        </w:rPr>
        <w:br w:type="textWrapping"/>
      </w:r>
      <w:r>
        <w:rPr>
          <w:rFonts w:hint="eastAsia" w:asciiTheme="minorEastAsia" w:hAnsiTheme="minorEastAsia" w:eastAsiaTheme="minorEastAsia" w:cstheme="minorEastAsia"/>
          <w:b/>
          <w:color w:val="auto"/>
          <w:szCs w:val="21"/>
          <w:highlight w:val="none"/>
        </w:rPr>
        <w:br w:type="textWrapping"/>
      </w:r>
      <w:r>
        <w:rPr>
          <w:rFonts w:hint="eastAsia" w:asciiTheme="minorEastAsia" w:hAnsiTheme="minorEastAsia" w:eastAsiaTheme="minorEastAsia" w:cstheme="minorEastAsia"/>
          <w:b/>
          <w:color w:val="auto"/>
          <w:szCs w:val="21"/>
          <w:highlight w:val="none"/>
        </w:rPr>
        <w:t>二、计算办法</w:t>
      </w:r>
      <w:bookmarkEnd w:id="106"/>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条款内容</w:t>
            </w:r>
          </w:p>
        </w:tc>
        <w:tc>
          <w:tcPr>
            <w:tcW w:w="6322" w:type="dxa"/>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分值构成(总分100分)</w:t>
            </w:r>
          </w:p>
        </w:tc>
        <w:tc>
          <w:tcPr>
            <w:tcW w:w="6322" w:type="dxa"/>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评标基准价计算方法</w:t>
            </w:r>
          </w:p>
        </w:tc>
        <w:tc>
          <w:tcPr>
            <w:tcW w:w="6322" w:type="dxa"/>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满足采购文件要求且报价最高的竞标报价为评标基准价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评分因素</w:t>
            </w:r>
          </w:p>
        </w:tc>
        <w:tc>
          <w:tcPr>
            <w:tcW w:w="6322" w:type="dxa"/>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技术部分评分标准</w:t>
            </w:r>
          </w:p>
        </w:tc>
        <w:tc>
          <w:tcPr>
            <w:tcW w:w="6322" w:type="dxa"/>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商务部分评分标准</w:t>
            </w:r>
          </w:p>
        </w:tc>
        <w:tc>
          <w:tcPr>
            <w:tcW w:w="6322" w:type="dxa"/>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条款内容</w:t>
            </w:r>
          </w:p>
        </w:tc>
        <w:tc>
          <w:tcPr>
            <w:tcW w:w="6322" w:type="dxa"/>
            <w:vAlign w:val="center"/>
          </w:tcPr>
          <w:p>
            <w:pPr>
              <w:widowControl/>
              <w:jc w:val="center"/>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各供应商的最终得分计算办法</w:t>
            </w:r>
          </w:p>
        </w:tc>
        <w:tc>
          <w:tcPr>
            <w:tcW w:w="6322" w:type="dxa"/>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Cs/>
                <w:color w:val="auto"/>
                <w:szCs w:val="21"/>
                <w:highlight w:val="none"/>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szCs w:val="21"/>
                <w:highlight w:val="none"/>
              </w:rPr>
              <w:t>供应商最后得分相同时对供应商进行排序的方法</w:t>
            </w:r>
          </w:p>
        </w:tc>
        <w:tc>
          <w:tcPr>
            <w:tcW w:w="6322" w:type="dxa"/>
            <w:vAlign w:val="center"/>
          </w:tcPr>
          <w:p>
            <w:pPr>
              <w:widowControl/>
              <w:jc w:val="left"/>
              <w:rPr>
                <w:rFonts w:asciiTheme="minorEastAsia" w:hAnsiTheme="minorEastAsia" w:eastAsiaTheme="minorEastAsia" w:cstheme="minorEastAsia"/>
                <w:snapToGrid w:val="0"/>
                <w:color w:val="auto"/>
                <w:kern w:val="0"/>
                <w:szCs w:val="21"/>
                <w:highlight w:val="none"/>
                <w:lang w:val="zh-CN"/>
              </w:rPr>
            </w:pPr>
            <w:r>
              <w:rPr>
                <w:rFonts w:hint="eastAsia" w:asciiTheme="minorEastAsia" w:hAnsiTheme="minorEastAsia" w:eastAsiaTheme="minorEastAsia" w:cstheme="minorEastAsia"/>
                <w:color w:val="auto"/>
                <w:szCs w:val="21"/>
                <w:highlight w:val="none"/>
              </w:rPr>
              <w:t>得分相同的供应商，按竞标报价由高到低顺序排列。得分且报价相同的，按技术指标优劣顺序排列。</w:t>
            </w:r>
          </w:p>
        </w:tc>
      </w:tr>
    </w:tbl>
    <w:p>
      <w:pPr>
        <w:spacing w:line="360" w:lineRule="auto"/>
        <w:rPr>
          <w:rFonts w:asciiTheme="minorEastAsia" w:hAnsiTheme="minorEastAsia" w:eastAsiaTheme="minorEastAsia" w:cstheme="minorEastAsia"/>
          <w:b/>
          <w:color w:val="auto"/>
          <w:szCs w:val="21"/>
          <w:highlight w:val="none"/>
        </w:rPr>
      </w:pPr>
    </w:p>
    <w:p>
      <w:pPr>
        <w:spacing w:line="360" w:lineRule="auto"/>
        <w:rPr>
          <w:rFonts w:asciiTheme="minorEastAsia" w:hAnsiTheme="minorEastAsia" w:eastAsiaTheme="minorEastAsia" w:cstheme="minorEastAsia"/>
          <w:b/>
          <w:color w:val="auto"/>
          <w:szCs w:val="21"/>
          <w:highlight w:val="none"/>
        </w:rPr>
      </w:pPr>
    </w:p>
    <w:p>
      <w:pPr>
        <w:spacing w:line="360" w:lineRule="auto"/>
        <w:rPr>
          <w:rFonts w:asciiTheme="minorEastAsia" w:hAnsiTheme="minorEastAsia" w:eastAsiaTheme="minorEastAsia" w:cstheme="minorEastAsia"/>
          <w:b/>
          <w:color w:val="auto"/>
          <w:szCs w:val="21"/>
          <w:highlight w:val="none"/>
        </w:rPr>
      </w:pPr>
    </w:p>
    <w:p>
      <w:pPr>
        <w:spacing w:line="360" w:lineRule="auto"/>
        <w:rPr>
          <w:rFonts w:asciiTheme="minorEastAsia" w:hAnsiTheme="minorEastAsia" w:eastAsiaTheme="minorEastAsia" w:cstheme="minorEastAsia"/>
          <w:b/>
          <w:color w:val="auto"/>
          <w:szCs w:val="21"/>
          <w:highlight w:val="none"/>
        </w:rPr>
      </w:pPr>
    </w:p>
    <w:p>
      <w:pPr>
        <w:spacing w:line="360" w:lineRule="auto"/>
        <w:rPr>
          <w:rFonts w:asciiTheme="minorEastAsia" w:hAnsiTheme="minorEastAsia" w:eastAsiaTheme="minorEastAsia" w:cstheme="minorEastAsia"/>
          <w:b/>
          <w:color w:val="auto"/>
          <w:szCs w:val="21"/>
          <w:highlight w:val="none"/>
        </w:rPr>
      </w:pPr>
    </w:p>
    <w:p>
      <w:pPr>
        <w:spacing w:line="360" w:lineRule="auto"/>
        <w:rPr>
          <w:rFonts w:asciiTheme="minorEastAsia" w:hAnsiTheme="minorEastAsia" w:eastAsiaTheme="minorEastAsia" w:cstheme="minorEastAsia"/>
          <w:b/>
          <w:color w:val="auto"/>
          <w:szCs w:val="21"/>
          <w:highlight w:val="none"/>
        </w:rPr>
      </w:pPr>
    </w:p>
    <w:p>
      <w:pPr>
        <w:spacing w:line="360" w:lineRule="auto"/>
        <w:rPr>
          <w:rFonts w:asciiTheme="minorEastAsia" w:hAnsiTheme="minorEastAsia" w:eastAsiaTheme="minorEastAsia" w:cstheme="minorEastAsia"/>
          <w:b/>
          <w:color w:val="auto"/>
          <w:szCs w:val="21"/>
          <w:highlight w:val="none"/>
        </w:rPr>
      </w:pPr>
    </w:p>
    <w:p>
      <w:pPr>
        <w:spacing w:line="360" w:lineRule="auto"/>
        <w:rPr>
          <w:rFonts w:asciiTheme="minorEastAsia" w:hAnsiTheme="minorEastAsia" w:eastAsiaTheme="minorEastAsia" w:cstheme="minorEastAsia"/>
          <w:b/>
          <w:color w:val="auto"/>
          <w:szCs w:val="21"/>
          <w:highlight w:val="none"/>
        </w:rPr>
      </w:pPr>
    </w:p>
    <w:p>
      <w:pPr>
        <w:spacing w:line="360" w:lineRule="auto"/>
        <w:rPr>
          <w:rFonts w:asciiTheme="minorEastAsia" w:hAnsiTheme="minorEastAsia" w:eastAsiaTheme="minorEastAsia" w:cstheme="minorEastAsia"/>
          <w:b/>
          <w:color w:val="auto"/>
          <w:szCs w:val="21"/>
          <w:highlight w:val="none"/>
        </w:rPr>
      </w:pPr>
    </w:p>
    <w:p>
      <w:pPr>
        <w:spacing w:line="360" w:lineRule="auto"/>
        <w:rPr>
          <w:rFonts w:asciiTheme="minorEastAsia" w:hAnsiTheme="minorEastAsia" w:eastAsiaTheme="minorEastAsia" w:cstheme="minorEastAsia"/>
          <w:b/>
          <w:color w:val="auto"/>
          <w:szCs w:val="21"/>
          <w:highlight w:val="none"/>
        </w:rPr>
      </w:pPr>
    </w:p>
    <w:p>
      <w:pPr>
        <w:spacing w:line="360" w:lineRule="auto"/>
        <w:rPr>
          <w:rFonts w:asciiTheme="minorEastAsia" w:hAnsiTheme="minorEastAsia" w:eastAsiaTheme="minorEastAsia" w:cstheme="minorEastAsia"/>
          <w:b/>
          <w:color w:val="auto"/>
          <w:szCs w:val="21"/>
          <w:highlight w:val="none"/>
        </w:rPr>
      </w:pPr>
    </w:p>
    <w:p>
      <w:pPr>
        <w:spacing w:line="360" w:lineRule="auto"/>
        <w:rPr>
          <w:rFonts w:asciiTheme="minorEastAsia" w:hAnsiTheme="minorEastAsia" w:eastAsiaTheme="minorEastAsia" w:cstheme="minorEastAsia"/>
          <w:b/>
          <w:color w:val="auto"/>
          <w:szCs w:val="21"/>
          <w:highlight w:val="none"/>
        </w:rPr>
      </w:pPr>
    </w:p>
    <w:p>
      <w:pPr>
        <w:rPr>
          <w:rFonts w:asciiTheme="minorEastAsia" w:hAnsiTheme="minorEastAsia" w:eastAsiaTheme="minorEastAsia" w:cstheme="minorEastAsia"/>
          <w:b/>
          <w:color w:val="auto"/>
          <w:szCs w:val="21"/>
          <w:highlight w:val="none"/>
        </w:rPr>
      </w:pPr>
      <w:bookmarkStart w:id="107" w:name="_Toc5844"/>
      <w:r>
        <w:rPr>
          <w:rFonts w:hint="eastAsia" w:asciiTheme="minorEastAsia" w:hAnsiTheme="minorEastAsia" w:eastAsiaTheme="minorEastAsia" w:cstheme="minorEastAsia"/>
          <w:b/>
          <w:color w:val="auto"/>
          <w:szCs w:val="21"/>
          <w:highlight w:val="none"/>
        </w:rPr>
        <w:br w:type="page"/>
      </w:r>
    </w:p>
    <w:p>
      <w:pPr>
        <w:spacing w:line="360" w:lineRule="auto"/>
        <w:outlineLvl w:val="1"/>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三、评分细则</w:t>
      </w:r>
      <w:bookmarkEnd w:id="107"/>
    </w:p>
    <w:tbl>
      <w:tblPr>
        <w:tblStyle w:val="26"/>
        <w:tblW w:w="917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7"/>
        <w:gridCol w:w="1132"/>
        <w:gridCol w:w="6612"/>
        <w:gridCol w:w="7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1" w:hRule="atLeast"/>
          <w:tblHeader/>
        </w:trPr>
        <w:tc>
          <w:tcPr>
            <w:tcW w:w="727" w:type="dxa"/>
            <w:tcBorders>
              <w:top w:val="single" w:color="auto" w:sz="12" w:space="0"/>
            </w:tcBorders>
            <w:vAlign w:val="center"/>
          </w:tcPr>
          <w:p>
            <w:pPr>
              <w:jc w:val="center"/>
              <w:rPr>
                <w:rFonts w:ascii="宋体" w:hAnsi="宋体" w:cs="宋体"/>
                <w:b/>
                <w:bCs/>
                <w:color w:val="auto"/>
                <w:spacing w:val="-6"/>
                <w:szCs w:val="21"/>
                <w:highlight w:val="none"/>
              </w:rPr>
            </w:pPr>
            <w:bookmarkStart w:id="108" w:name="_Toc17963"/>
            <w:bookmarkStart w:id="109" w:name="_Toc16832"/>
            <w:r>
              <w:rPr>
                <w:rFonts w:hint="eastAsia" w:ascii="宋体" w:hAnsi="宋体" w:cs="宋体"/>
                <w:b/>
                <w:bCs/>
                <w:color w:val="auto"/>
                <w:szCs w:val="21"/>
                <w:highlight w:val="none"/>
              </w:rPr>
              <w:t>类别</w:t>
            </w:r>
          </w:p>
        </w:tc>
        <w:tc>
          <w:tcPr>
            <w:tcW w:w="1132" w:type="dxa"/>
            <w:tcBorders>
              <w:top w:val="single" w:color="auto" w:sz="12" w:space="0"/>
            </w:tcBorders>
            <w:vAlign w:val="center"/>
          </w:tcPr>
          <w:p>
            <w:pPr>
              <w:jc w:val="center"/>
              <w:rPr>
                <w:rFonts w:ascii="宋体" w:hAnsi="宋体" w:cs="宋体"/>
                <w:b/>
                <w:bCs/>
                <w:color w:val="auto"/>
                <w:spacing w:val="-6"/>
                <w:szCs w:val="21"/>
                <w:highlight w:val="none"/>
              </w:rPr>
            </w:pPr>
            <w:r>
              <w:rPr>
                <w:rFonts w:hint="eastAsia" w:ascii="宋体" w:hAnsi="宋体" w:cs="宋体"/>
                <w:b/>
                <w:bCs/>
                <w:color w:val="auto"/>
                <w:szCs w:val="21"/>
                <w:highlight w:val="none"/>
              </w:rPr>
              <w:t>评标因素</w:t>
            </w:r>
          </w:p>
        </w:tc>
        <w:tc>
          <w:tcPr>
            <w:tcW w:w="6612" w:type="dxa"/>
            <w:tcBorders>
              <w:top w:val="single" w:color="auto" w:sz="12" w:space="0"/>
            </w:tcBorders>
            <w:vAlign w:val="center"/>
          </w:tcPr>
          <w:p>
            <w:pPr>
              <w:jc w:val="center"/>
              <w:rPr>
                <w:rFonts w:ascii="宋体" w:hAnsi="宋体" w:cs="宋体"/>
                <w:b/>
                <w:bCs/>
                <w:color w:val="auto"/>
                <w:spacing w:val="-6"/>
                <w:szCs w:val="21"/>
                <w:highlight w:val="none"/>
              </w:rPr>
            </w:pPr>
            <w:r>
              <w:rPr>
                <w:rFonts w:hint="eastAsia" w:ascii="宋体" w:hAnsi="宋体" w:cs="宋体"/>
                <w:b/>
                <w:bCs/>
                <w:color w:val="auto"/>
                <w:szCs w:val="21"/>
                <w:highlight w:val="none"/>
              </w:rPr>
              <w:t>评审标准</w:t>
            </w:r>
          </w:p>
        </w:tc>
        <w:tc>
          <w:tcPr>
            <w:tcW w:w="707" w:type="dxa"/>
            <w:tcBorders>
              <w:top w:val="single" w:color="auto" w:sz="12" w:space="0"/>
            </w:tcBorders>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8" w:hRule="atLeast"/>
        </w:trPr>
        <w:tc>
          <w:tcPr>
            <w:tcW w:w="727" w:type="dxa"/>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投标报价</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20分</w:t>
            </w:r>
          </w:p>
        </w:tc>
        <w:tc>
          <w:tcPr>
            <w:tcW w:w="1132" w:type="dxa"/>
            <w:tcBorders>
              <w:top w:val="single" w:color="auto" w:sz="4" w:space="0"/>
              <w:bottom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年度合作经营收益</w:t>
            </w:r>
          </w:p>
        </w:tc>
        <w:tc>
          <w:tcPr>
            <w:tcW w:w="6612" w:type="dxa"/>
            <w:vAlign w:val="center"/>
          </w:tcPr>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1、报价采用高价优先的原则计算，即满足磋商文件要求且报价最高的报价为评标基准价，其报价分为满分20分；</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2、其他供应商的报价分按照下列公式计算：</w:t>
            </w:r>
          </w:p>
          <w:p>
            <w:pPr>
              <w:widowControl/>
              <w:jc w:val="left"/>
              <w:textAlignment w:val="center"/>
              <w:rPr>
                <w:rFonts w:ascii="宋体" w:hAnsi="宋体" w:cs="宋体"/>
                <w:color w:val="auto"/>
                <w:szCs w:val="21"/>
                <w:highlight w:val="none"/>
              </w:rPr>
            </w:pPr>
            <w:r>
              <w:rPr>
                <w:rFonts w:hint="eastAsia" w:ascii="宋体" w:hAnsi="宋体" w:cs="仿宋"/>
                <w:color w:val="auto"/>
                <w:spacing w:val="-6"/>
                <w:szCs w:val="21"/>
                <w:highlight w:val="none"/>
                <w:lang w:val="zh-TW"/>
              </w:rPr>
              <w:t>报价得分=（最后磋商报价/基准价）×20。</w:t>
            </w:r>
          </w:p>
          <w:p>
            <w:pPr>
              <w:widowControl/>
              <w:jc w:val="left"/>
              <w:textAlignment w:val="center"/>
              <w:rPr>
                <w:rFonts w:ascii="宋体" w:hAnsi="宋体" w:cs="宋体"/>
                <w:color w:val="auto"/>
                <w:szCs w:val="21"/>
                <w:highlight w:val="none"/>
              </w:rPr>
            </w:pPr>
            <w:r>
              <w:rPr>
                <w:rFonts w:hint="eastAsia" w:ascii="宋体" w:hAnsi="宋体" w:cs="宋体"/>
                <w:color w:val="auto"/>
                <w:szCs w:val="21"/>
                <w:highlight w:val="none"/>
              </w:rPr>
              <w:t>注：报价最高金额不限，请供应商综合分析进行严谨的成本测算后合理报价。</w:t>
            </w:r>
          </w:p>
        </w:tc>
        <w:tc>
          <w:tcPr>
            <w:tcW w:w="707" w:type="dxa"/>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szCs w:val="21"/>
                <w:highlight w:val="none"/>
              </w:rPr>
              <w:t>20</w:t>
            </w:r>
            <w:r>
              <w:rPr>
                <w:rFonts w:hint="eastAsia" w:ascii="宋体" w:hAnsi="宋体" w:cs="宋体"/>
                <w:color w:val="auto"/>
                <w:kern w:val="0"/>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5" w:hRule="atLeast"/>
        </w:trPr>
        <w:tc>
          <w:tcPr>
            <w:tcW w:w="727" w:type="dxa"/>
            <w:vMerge w:val="restart"/>
            <w:vAlign w:val="center"/>
          </w:tcPr>
          <w:p>
            <w:pPr>
              <w:jc w:val="center"/>
              <w:rPr>
                <w:rFonts w:ascii="宋体" w:hAnsi="宋体" w:cs="宋体"/>
                <w:color w:val="auto"/>
                <w:spacing w:val="-6"/>
                <w:szCs w:val="21"/>
                <w:highlight w:val="none"/>
              </w:rPr>
            </w:pPr>
            <w:r>
              <w:rPr>
                <w:rFonts w:hint="eastAsia" w:ascii="宋体" w:hAnsi="宋体" w:cs="宋体"/>
                <w:color w:val="auto"/>
                <w:spacing w:val="-6"/>
                <w:szCs w:val="21"/>
                <w:highlight w:val="none"/>
              </w:rPr>
              <w:t>商务</w:t>
            </w:r>
          </w:p>
          <w:p>
            <w:pPr>
              <w:jc w:val="center"/>
              <w:rPr>
                <w:rFonts w:ascii="宋体" w:hAnsi="宋体" w:cs="宋体"/>
                <w:color w:val="auto"/>
                <w:spacing w:val="-6"/>
                <w:szCs w:val="21"/>
                <w:highlight w:val="none"/>
              </w:rPr>
            </w:pPr>
            <w:r>
              <w:rPr>
                <w:rFonts w:hint="eastAsia" w:ascii="宋体" w:hAnsi="宋体" w:cs="宋体"/>
                <w:color w:val="auto"/>
                <w:spacing w:val="-6"/>
                <w:szCs w:val="21"/>
                <w:highlight w:val="none"/>
              </w:rPr>
              <w:t>35分</w:t>
            </w:r>
          </w:p>
        </w:tc>
        <w:tc>
          <w:tcPr>
            <w:tcW w:w="1132" w:type="dxa"/>
            <w:vMerge w:val="restart"/>
            <w:tcBorders>
              <w:top w:val="single" w:color="auto" w:sz="4" w:space="0"/>
              <w:bottom w:val="single" w:color="auto" w:sz="4" w:space="0"/>
            </w:tcBorders>
            <w:vAlign w:val="center"/>
          </w:tcPr>
          <w:p>
            <w:pPr>
              <w:jc w:val="center"/>
              <w:rPr>
                <w:rFonts w:ascii="宋体" w:hAnsi="宋体" w:cs="宋体"/>
                <w:color w:val="auto"/>
                <w:spacing w:val="-6"/>
                <w:kern w:val="0"/>
                <w:szCs w:val="21"/>
                <w:highlight w:val="none"/>
              </w:rPr>
            </w:pPr>
            <w:r>
              <w:rPr>
                <w:rFonts w:hint="eastAsia" w:ascii="宋体" w:hAnsi="宋体" w:cs="宋体"/>
                <w:color w:val="auto"/>
                <w:spacing w:val="-6"/>
                <w:kern w:val="0"/>
                <w:szCs w:val="21"/>
                <w:highlight w:val="none"/>
              </w:rPr>
              <w:t>体系认证</w:t>
            </w:r>
          </w:p>
        </w:tc>
        <w:tc>
          <w:tcPr>
            <w:tcW w:w="6612" w:type="dxa"/>
            <w:vAlign w:val="center"/>
          </w:tcPr>
          <w:p>
            <w:pPr>
              <w:rPr>
                <w:rFonts w:ascii="宋体" w:hAnsi="宋体" w:cs="宋体"/>
                <w:color w:val="auto"/>
                <w:spacing w:val="-6"/>
                <w:szCs w:val="21"/>
                <w:highlight w:val="none"/>
              </w:rPr>
            </w:pPr>
            <w:r>
              <w:rPr>
                <w:rFonts w:hint="eastAsia" w:ascii="宋体" w:hAnsi="宋体" w:cs="宋体"/>
                <w:color w:val="auto"/>
                <w:szCs w:val="21"/>
                <w:highlight w:val="none"/>
              </w:rPr>
              <w:t>供应商提供有效的职业健康安全管理体系认证证书的得1分；</w:t>
            </w:r>
          </w:p>
        </w:tc>
        <w:tc>
          <w:tcPr>
            <w:tcW w:w="707" w:type="dxa"/>
            <w:vAlign w:val="center"/>
          </w:tcPr>
          <w:p>
            <w:pPr>
              <w:jc w:val="center"/>
              <w:rPr>
                <w:rFonts w:ascii="宋体" w:hAnsi="宋体" w:cs="宋体"/>
                <w:color w:val="auto"/>
                <w:spacing w:val="-6"/>
                <w:szCs w:val="21"/>
                <w:highlight w:val="none"/>
              </w:rPr>
            </w:pPr>
            <w:r>
              <w:rPr>
                <w:rFonts w:hint="eastAsia" w:ascii="宋体" w:hAnsi="宋体" w:cs="宋体"/>
                <w:color w:val="auto"/>
                <w:spacing w:val="-6"/>
                <w:szCs w:val="21"/>
                <w:highlight w:val="none"/>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5" w:hRule="atLeast"/>
        </w:trPr>
        <w:tc>
          <w:tcPr>
            <w:tcW w:w="727" w:type="dxa"/>
            <w:vMerge w:val="continue"/>
            <w:vAlign w:val="center"/>
          </w:tcPr>
          <w:p>
            <w:pPr>
              <w:rPr>
                <w:color w:val="auto"/>
                <w:highlight w:val="none"/>
              </w:rPr>
            </w:pPr>
          </w:p>
        </w:tc>
        <w:tc>
          <w:tcPr>
            <w:tcW w:w="1132" w:type="dxa"/>
            <w:vMerge w:val="continue"/>
            <w:tcBorders>
              <w:top w:val="single" w:color="auto" w:sz="4" w:space="0"/>
              <w:bottom w:val="single" w:color="auto" w:sz="4" w:space="0"/>
            </w:tcBorders>
            <w:vAlign w:val="center"/>
          </w:tcPr>
          <w:p>
            <w:pPr>
              <w:jc w:val="center"/>
              <w:rPr>
                <w:color w:val="auto"/>
                <w:highlight w:val="none"/>
              </w:rPr>
            </w:pPr>
          </w:p>
        </w:tc>
        <w:tc>
          <w:tcPr>
            <w:tcW w:w="6612" w:type="dxa"/>
            <w:vAlign w:val="center"/>
          </w:tcPr>
          <w:p>
            <w:pPr>
              <w:rPr>
                <w:rFonts w:ascii="宋体" w:hAnsi="宋体" w:cs="宋体"/>
                <w:color w:val="auto"/>
                <w:szCs w:val="21"/>
                <w:highlight w:val="none"/>
              </w:rPr>
            </w:pPr>
            <w:r>
              <w:rPr>
                <w:rFonts w:hint="eastAsia" w:ascii="宋体" w:hAnsi="宋体" w:cs="宋体"/>
                <w:color w:val="auto"/>
                <w:szCs w:val="21"/>
                <w:highlight w:val="none"/>
              </w:rPr>
              <w:t>供应商提供有效的质量管理体系认证证书的得1分；</w:t>
            </w:r>
          </w:p>
        </w:tc>
        <w:tc>
          <w:tcPr>
            <w:tcW w:w="707" w:type="dxa"/>
            <w:vAlign w:val="center"/>
          </w:tcPr>
          <w:p>
            <w:pPr>
              <w:jc w:val="center"/>
              <w:rPr>
                <w:rFonts w:ascii="宋体" w:hAnsi="宋体" w:cs="宋体"/>
                <w:color w:val="auto"/>
                <w:szCs w:val="21"/>
                <w:highlight w:val="none"/>
              </w:rPr>
            </w:pPr>
            <w:r>
              <w:rPr>
                <w:rFonts w:hint="eastAsia" w:ascii="宋体" w:hAnsi="宋体" w:cs="宋体"/>
                <w:color w:val="auto"/>
                <w:spacing w:val="-6"/>
                <w:szCs w:val="21"/>
                <w:highlight w:val="none"/>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5" w:hRule="atLeast"/>
        </w:trPr>
        <w:tc>
          <w:tcPr>
            <w:tcW w:w="727" w:type="dxa"/>
            <w:vMerge w:val="continue"/>
            <w:vAlign w:val="center"/>
          </w:tcPr>
          <w:p>
            <w:pPr>
              <w:rPr>
                <w:rFonts w:ascii="宋体" w:hAnsi="宋体" w:cs="宋体"/>
                <w:color w:val="auto"/>
                <w:szCs w:val="21"/>
                <w:highlight w:val="none"/>
              </w:rPr>
            </w:pPr>
          </w:p>
        </w:tc>
        <w:tc>
          <w:tcPr>
            <w:tcW w:w="1132" w:type="dxa"/>
            <w:vMerge w:val="continue"/>
            <w:tcBorders>
              <w:top w:val="single" w:color="auto" w:sz="4" w:space="0"/>
              <w:bottom w:val="single" w:color="auto" w:sz="4" w:space="0"/>
            </w:tcBorders>
            <w:vAlign w:val="center"/>
          </w:tcPr>
          <w:p>
            <w:pPr>
              <w:jc w:val="center"/>
              <w:rPr>
                <w:rFonts w:ascii="宋体" w:hAnsi="宋体" w:cs="宋体"/>
                <w:color w:val="auto"/>
                <w:szCs w:val="21"/>
                <w:highlight w:val="none"/>
              </w:rPr>
            </w:pPr>
          </w:p>
        </w:tc>
        <w:tc>
          <w:tcPr>
            <w:tcW w:w="6612" w:type="dxa"/>
            <w:vAlign w:val="center"/>
          </w:tcPr>
          <w:p>
            <w:pPr>
              <w:rPr>
                <w:rFonts w:ascii="宋体" w:hAnsi="宋体" w:cs="宋体"/>
                <w:color w:val="auto"/>
                <w:szCs w:val="21"/>
                <w:highlight w:val="none"/>
              </w:rPr>
            </w:pPr>
            <w:r>
              <w:rPr>
                <w:rFonts w:hint="eastAsia" w:ascii="宋体" w:hAnsi="宋体" w:cs="宋体"/>
                <w:color w:val="auto"/>
                <w:szCs w:val="21"/>
                <w:highlight w:val="none"/>
              </w:rPr>
              <w:t>供应商提供有效的环境管理体系认证的得1分；</w:t>
            </w:r>
          </w:p>
        </w:tc>
        <w:tc>
          <w:tcPr>
            <w:tcW w:w="707" w:type="dxa"/>
            <w:vAlign w:val="center"/>
          </w:tcPr>
          <w:p>
            <w:pPr>
              <w:jc w:val="center"/>
              <w:rPr>
                <w:rFonts w:ascii="宋体" w:hAnsi="宋体" w:cs="宋体"/>
                <w:color w:val="auto"/>
                <w:szCs w:val="21"/>
                <w:highlight w:val="none"/>
              </w:rPr>
            </w:pPr>
            <w:r>
              <w:rPr>
                <w:rFonts w:hint="eastAsia" w:ascii="宋体" w:hAnsi="宋体" w:cs="宋体"/>
                <w:color w:val="auto"/>
                <w:spacing w:val="-6"/>
                <w:szCs w:val="21"/>
                <w:highlight w:val="none"/>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2" w:hRule="atLeast"/>
        </w:trPr>
        <w:tc>
          <w:tcPr>
            <w:tcW w:w="727" w:type="dxa"/>
            <w:vMerge w:val="continue"/>
            <w:vAlign w:val="center"/>
          </w:tcPr>
          <w:p>
            <w:pPr>
              <w:rPr>
                <w:rFonts w:ascii="宋体" w:hAnsi="宋体" w:cs="宋体"/>
                <w:color w:val="auto"/>
                <w:szCs w:val="21"/>
                <w:highlight w:val="none"/>
              </w:rPr>
            </w:pPr>
          </w:p>
        </w:tc>
        <w:tc>
          <w:tcPr>
            <w:tcW w:w="1132" w:type="dxa"/>
            <w:tcBorders>
              <w:top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企业信誉</w:t>
            </w:r>
          </w:p>
        </w:tc>
        <w:tc>
          <w:tcPr>
            <w:tcW w:w="6612" w:type="dxa"/>
            <w:vAlign w:val="center"/>
          </w:tcPr>
          <w:p>
            <w:pPr>
              <w:rPr>
                <w:rFonts w:ascii="宋体" w:hAnsi="宋体" w:cs="宋体"/>
                <w:color w:val="auto"/>
                <w:szCs w:val="21"/>
                <w:highlight w:val="none"/>
              </w:rPr>
            </w:pPr>
            <w:r>
              <w:rPr>
                <w:rFonts w:hint="eastAsia" w:ascii="宋体" w:hAnsi="宋体" w:cs="宋体"/>
                <w:color w:val="auto"/>
                <w:szCs w:val="21"/>
                <w:highlight w:val="none"/>
              </w:rPr>
              <w:t>供应商获得国家级政府部门或国家级行业协会专项荣誉的每个得1分；获得省级政府部门或省级行业协会专项荣誉，每个0.5分；此项最多得4分,未提供不得分。（提供真彩扫描件或高清复印件加盖公章）。</w:t>
            </w:r>
          </w:p>
        </w:tc>
        <w:tc>
          <w:tcPr>
            <w:tcW w:w="707" w:type="dxa"/>
            <w:vAlign w:val="center"/>
          </w:tcPr>
          <w:p>
            <w:pPr>
              <w:jc w:val="center"/>
              <w:rPr>
                <w:rFonts w:ascii="宋体" w:hAnsi="宋体" w:cs="宋体"/>
                <w:color w:val="auto"/>
                <w:spacing w:val="-6"/>
                <w:szCs w:val="21"/>
                <w:highlight w:val="none"/>
              </w:rPr>
            </w:pPr>
            <w:r>
              <w:rPr>
                <w:rFonts w:hint="eastAsia" w:ascii="宋体" w:hAnsi="宋体" w:cs="宋体"/>
                <w:color w:val="auto"/>
                <w:spacing w:val="-6"/>
                <w:szCs w:val="21"/>
                <w:highlight w:val="none"/>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8" w:hRule="atLeast"/>
        </w:trPr>
        <w:tc>
          <w:tcPr>
            <w:tcW w:w="727" w:type="dxa"/>
            <w:vMerge w:val="continue"/>
            <w:vAlign w:val="center"/>
          </w:tcPr>
          <w:p>
            <w:pPr>
              <w:rPr>
                <w:rFonts w:ascii="宋体" w:hAnsi="宋体" w:cs="宋体"/>
                <w:color w:val="auto"/>
                <w:szCs w:val="21"/>
                <w:highlight w:val="none"/>
              </w:rPr>
            </w:pPr>
          </w:p>
        </w:tc>
        <w:tc>
          <w:tcPr>
            <w:tcW w:w="1132" w:type="dxa"/>
            <w:tcBorders>
              <w:top w:val="single" w:color="auto" w:sz="4"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财务状况</w:t>
            </w:r>
          </w:p>
        </w:tc>
        <w:tc>
          <w:tcPr>
            <w:tcW w:w="6612" w:type="dxa"/>
            <w:vAlign w:val="center"/>
          </w:tcPr>
          <w:p>
            <w:pPr>
              <w:rPr>
                <w:rFonts w:ascii="宋体" w:hAnsi="宋体" w:cs="宋体"/>
                <w:color w:val="auto"/>
                <w:szCs w:val="21"/>
                <w:highlight w:val="none"/>
              </w:rPr>
            </w:pPr>
            <w:r>
              <w:rPr>
                <w:rFonts w:hint="eastAsia" w:ascii="宋体" w:hAnsi="宋体" w:cs="宋体"/>
                <w:color w:val="auto"/>
                <w:szCs w:val="21"/>
                <w:highlight w:val="none"/>
              </w:rPr>
              <w:t>根据供应商提供的近三年（2017、2018、2019）年经审计盖章的财务报告，对其经营状况、财务状况相互比较（成立不足三年的，按公司成立时的时间起算）。</w:t>
            </w:r>
          </w:p>
          <w:p>
            <w:pPr>
              <w:rPr>
                <w:rFonts w:ascii="宋体" w:hAnsi="宋体" w:cs="宋体"/>
                <w:color w:val="auto"/>
                <w:szCs w:val="21"/>
                <w:highlight w:val="none"/>
              </w:rPr>
            </w:pPr>
            <w:r>
              <w:rPr>
                <w:rFonts w:hint="eastAsia" w:ascii="宋体" w:hAnsi="宋体" w:cs="宋体"/>
                <w:color w:val="auto"/>
                <w:szCs w:val="21"/>
                <w:highlight w:val="none"/>
              </w:rPr>
              <w:t>偿债能力、盈利能力和抗风险能力强的，得3分；</w:t>
            </w:r>
          </w:p>
          <w:p>
            <w:pPr>
              <w:rPr>
                <w:rFonts w:ascii="宋体" w:hAnsi="宋体" w:cs="宋体"/>
                <w:color w:val="auto"/>
                <w:szCs w:val="21"/>
                <w:highlight w:val="none"/>
              </w:rPr>
            </w:pPr>
            <w:r>
              <w:rPr>
                <w:rFonts w:hint="eastAsia" w:ascii="宋体" w:hAnsi="宋体" w:cs="宋体"/>
                <w:color w:val="auto"/>
                <w:szCs w:val="21"/>
                <w:highlight w:val="none"/>
              </w:rPr>
              <w:t>盈利情况一般，偿债能力和抗风险能力一般的，得2分；</w:t>
            </w:r>
          </w:p>
          <w:p>
            <w:pPr>
              <w:rPr>
                <w:rFonts w:ascii="宋体" w:hAnsi="宋体" w:cs="宋体"/>
                <w:color w:val="auto"/>
                <w:szCs w:val="21"/>
                <w:highlight w:val="none"/>
              </w:rPr>
            </w:pPr>
            <w:r>
              <w:rPr>
                <w:rFonts w:hint="eastAsia" w:ascii="宋体" w:hAnsi="宋体" w:cs="宋体"/>
                <w:color w:val="auto"/>
                <w:szCs w:val="21"/>
                <w:highlight w:val="none"/>
              </w:rPr>
              <w:t>无盈利，偿债能力和抗风险能力差的，得1分；</w:t>
            </w:r>
          </w:p>
        </w:tc>
        <w:tc>
          <w:tcPr>
            <w:tcW w:w="707" w:type="dxa"/>
            <w:vAlign w:val="center"/>
          </w:tcPr>
          <w:p>
            <w:pPr>
              <w:jc w:val="center"/>
              <w:rPr>
                <w:rFonts w:ascii="宋体" w:hAnsi="宋体" w:cs="宋体"/>
                <w:color w:val="auto"/>
                <w:spacing w:val="-6"/>
                <w:szCs w:val="21"/>
                <w:highlight w:val="none"/>
              </w:rPr>
            </w:pPr>
            <w:r>
              <w:rPr>
                <w:rFonts w:hint="eastAsia" w:ascii="宋体" w:hAnsi="宋体" w:cs="宋体"/>
                <w:color w:val="auto"/>
                <w:spacing w:val="-6"/>
                <w:szCs w:val="21"/>
                <w:highlight w:val="none"/>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1" w:hRule="atLeast"/>
        </w:trPr>
        <w:tc>
          <w:tcPr>
            <w:tcW w:w="727" w:type="dxa"/>
            <w:vMerge w:val="continue"/>
            <w:vAlign w:val="center"/>
          </w:tcPr>
          <w:p>
            <w:pPr>
              <w:rPr>
                <w:rFonts w:ascii="宋体" w:hAnsi="宋体" w:cs="宋体"/>
                <w:color w:val="auto"/>
                <w:szCs w:val="21"/>
                <w:highlight w:val="none"/>
              </w:rPr>
            </w:pPr>
          </w:p>
        </w:tc>
        <w:tc>
          <w:tcPr>
            <w:tcW w:w="1132" w:type="dxa"/>
            <w:vAlign w:val="center"/>
          </w:tcPr>
          <w:p>
            <w:pPr>
              <w:jc w:val="center"/>
              <w:rPr>
                <w:rFonts w:ascii="宋体" w:hAnsi="宋体" w:cs="宋体"/>
                <w:color w:val="auto"/>
                <w:szCs w:val="21"/>
                <w:highlight w:val="none"/>
              </w:rPr>
            </w:pPr>
            <w:r>
              <w:rPr>
                <w:rFonts w:hint="eastAsia" w:ascii="宋体" w:hAnsi="宋体" w:cs="宋体"/>
                <w:color w:val="auto"/>
                <w:spacing w:val="-6"/>
                <w:kern w:val="0"/>
                <w:szCs w:val="21"/>
                <w:highlight w:val="none"/>
              </w:rPr>
              <w:t>类似业绩</w:t>
            </w:r>
          </w:p>
        </w:tc>
        <w:tc>
          <w:tcPr>
            <w:tcW w:w="6612" w:type="dxa"/>
            <w:vAlign w:val="center"/>
          </w:tcPr>
          <w:p>
            <w:pPr>
              <w:rPr>
                <w:rFonts w:ascii="宋体" w:hAnsi="宋体" w:cs="宋体"/>
                <w:color w:val="auto"/>
                <w:szCs w:val="21"/>
                <w:highlight w:val="none"/>
              </w:rPr>
            </w:pPr>
            <w:r>
              <w:rPr>
                <w:rFonts w:hint="eastAsia" w:ascii="宋体" w:hAnsi="宋体" w:cs="宋体"/>
                <w:color w:val="auto"/>
                <w:szCs w:val="21"/>
                <w:highlight w:val="none"/>
              </w:rPr>
              <w:t>供应商近五年内（2016年6月至今）的类似项目业绩，须提供合同书或中标通知书的复印件（原件备查），有5000平方（含5000平米</w:t>
            </w:r>
            <w:r>
              <w:rPr>
                <w:rFonts w:ascii="宋体" w:hAnsi="宋体" w:cs="宋体"/>
                <w:color w:val="auto"/>
                <w:szCs w:val="21"/>
                <w:highlight w:val="none"/>
              </w:rPr>
              <w:t>）</w:t>
            </w:r>
            <w:r>
              <w:rPr>
                <w:rFonts w:hint="eastAsia" w:ascii="宋体" w:hAnsi="宋体" w:cs="宋体"/>
                <w:color w:val="auto"/>
                <w:szCs w:val="21"/>
                <w:highlight w:val="none"/>
              </w:rPr>
              <w:t>以上综合服务体项目的，一个项目得2分，最多8分；有5000平米</w:t>
            </w:r>
            <w:r>
              <w:rPr>
                <w:rFonts w:ascii="宋体" w:hAnsi="宋体" w:cs="宋体"/>
                <w:color w:val="auto"/>
                <w:szCs w:val="21"/>
                <w:highlight w:val="none"/>
              </w:rPr>
              <w:t>以</w:t>
            </w:r>
            <w:r>
              <w:rPr>
                <w:rFonts w:hint="eastAsia" w:ascii="宋体" w:hAnsi="宋体" w:cs="宋体"/>
                <w:color w:val="auto"/>
                <w:szCs w:val="21"/>
                <w:highlight w:val="none"/>
              </w:rPr>
              <w:t>下综合</w:t>
            </w:r>
            <w:r>
              <w:rPr>
                <w:rFonts w:ascii="宋体" w:hAnsi="宋体" w:cs="宋体"/>
                <w:color w:val="auto"/>
                <w:szCs w:val="21"/>
                <w:highlight w:val="none"/>
              </w:rPr>
              <w:t>服务体项目的</w:t>
            </w:r>
            <w:r>
              <w:rPr>
                <w:rFonts w:hint="eastAsia" w:ascii="宋体" w:hAnsi="宋体" w:cs="宋体"/>
                <w:color w:val="auto"/>
                <w:szCs w:val="21"/>
                <w:highlight w:val="none"/>
              </w:rPr>
              <w:t>一个得1分，最多4分。此项满分12分。</w:t>
            </w:r>
          </w:p>
        </w:tc>
        <w:tc>
          <w:tcPr>
            <w:tcW w:w="70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7" w:hRule="atLeast"/>
        </w:trPr>
        <w:tc>
          <w:tcPr>
            <w:tcW w:w="727" w:type="dxa"/>
            <w:vMerge w:val="continue"/>
            <w:vAlign w:val="center"/>
          </w:tcPr>
          <w:p>
            <w:pPr>
              <w:rPr>
                <w:rFonts w:ascii="宋体" w:hAnsi="宋体" w:cs="宋体"/>
                <w:color w:val="auto"/>
                <w:szCs w:val="21"/>
                <w:highlight w:val="none"/>
              </w:rPr>
            </w:pPr>
          </w:p>
        </w:tc>
        <w:tc>
          <w:tcPr>
            <w:tcW w:w="113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招商能力</w:t>
            </w:r>
          </w:p>
        </w:tc>
        <w:tc>
          <w:tcPr>
            <w:tcW w:w="6612" w:type="dxa"/>
            <w:vAlign w:val="center"/>
          </w:tcPr>
          <w:p>
            <w:pPr>
              <w:rPr>
                <w:rFonts w:ascii="宋体" w:hAnsi="宋体" w:cs="宋体"/>
                <w:color w:val="auto"/>
                <w:szCs w:val="21"/>
                <w:highlight w:val="none"/>
              </w:rPr>
            </w:pPr>
            <w:r>
              <w:rPr>
                <w:rFonts w:hint="eastAsia" w:ascii="宋体" w:hAnsi="宋体" w:cs="宋体"/>
                <w:color w:val="auto"/>
                <w:szCs w:val="21"/>
                <w:highlight w:val="none"/>
              </w:rPr>
              <w:t>正在运营的项目（截止2021年7月，合同没有到期）中有国际知名连锁品牌合作合同的每份1分，最高2分；有国内知名连锁品牌合作合同的每份0.5分，最多得2分。证明材料：提供清晰完整的证明材料加盖章公章，否则不得分。</w:t>
            </w:r>
          </w:p>
          <w:p>
            <w:pPr>
              <w:rPr>
                <w:rFonts w:ascii="宋体" w:hAnsi="宋体" w:cs="宋体"/>
                <w:color w:val="auto"/>
                <w:szCs w:val="21"/>
                <w:highlight w:val="none"/>
              </w:rPr>
            </w:pPr>
            <w:r>
              <w:rPr>
                <w:rFonts w:hint="eastAsia" w:ascii="宋体" w:hAnsi="宋体" w:cs="宋体"/>
                <w:color w:val="auto"/>
                <w:szCs w:val="21"/>
                <w:highlight w:val="none"/>
              </w:rPr>
              <w:t>国际知名连锁品牌定义：在官网或百度百科能查询到连锁门店数量在3万家及以上的品牌。国内知名连锁品牌定义：在官网或百度百科能查询到连锁门店数量在500家及以上的品牌。</w:t>
            </w:r>
          </w:p>
        </w:tc>
        <w:tc>
          <w:tcPr>
            <w:tcW w:w="707" w:type="dxa"/>
            <w:vAlign w:val="center"/>
          </w:tcPr>
          <w:p>
            <w:pPr>
              <w:autoSpaceDE w:val="0"/>
              <w:autoSpaceDN w:val="0"/>
              <w:adjustRightInd w:val="0"/>
              <w:ind w:right="71" w:rightChars="34"/>
              <w:jc w:val="center"/>
              <w:rPr>
                <w:rFonts w:ascii="宋体" w:hAnsi="宋体" w:cs="宋体"/>
                <w:color w:val="auto"/>
                <w:spacing w:val="-6"/>
                <w:kern w:val="0"/>
                <w:szCs w:val="21"/>
                <w:highlight w:val="none"/>
              </w:rPr>
            </w:pPr>
            <w:r>
              <w:rPr>
                <w:rFonts w:hint="eastAsia" w:ascii="宋体" w:hAnsi="宋体" w:cs="宋体"/>
                <w:color w:val="auto"/>
                <w:spacing w:val="-6"/>
                <w:kern w:val="0"/>
                <w:szCs w:val="21"/>
                <w:highlight w:val="none"/>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1" w:hRule="atLeast"/>
        </w:trPr>
        <w:tc>
          <w:tcPr>
            <w:tcW w:w="727" w:type="dxa"/>
            <w:vMerge w:val="continue"/>
            <w:vAlign w:val="center"/>
          </w:tcPr>
          <w:p>
            <w:pPr>
              <w:rPr>
                <w:rFonts w:ascii="宋体" w:hAnsi="宋体" w:cs="宋体"/>
                <w:color w:val="auto"/>
                <w:szCs w:val="21"/>
                <w:highlight w:val="none"/>
              </w:rPr>
            </w:pPr>
          </w:p>
        </w:tc>
        <w:tc>
          <w:tcPr>
            <w:tcW w:w="1132"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常驻管理人员</w:t>
            </w:r>
          </w:p>
        </w:tc>
        <w:tc>
          <w:tcPr>
            <w:tcW w:w="6612" w:type="dxa"/>
            <w:vAlign w:val="center"/>
          </w:tcPr>
          <w:p>
            <w:pPr>
              <w:rPr>
                <w:rFonts w:ascii="宋体" w:hAnsi="宋体" w:cs="宋体"/>
                <w:color w:val="auto"/>
                <w:szCs w:val="21"/>
                <w:highlight w:val="none"/>
              </w:rPr>
            </w:pPr>
            <w:r>
              <w:rPr>
                <w:rFonts w:hint="eastAsia" w:ascii="宋体" w:hAnsi="宋体" w:cs="宋体"/>
                <w:color w:val="auto"/>
                <w:szCs w:val="21"/>
                <w:highlight w:val="none"/>
              </w:rPr>
              <w:t>供应商</w:t>
            </w:r>
            <w:r>
              <w:rPr>
                <w:rFonts w:hint="eastAsia" w:ascii="宋体" w:hAnsi="宋体" w:cs="宋体"/>
                <w:color w:val="auto"/>
                <w:szCs w:val="21"/>
                <w:highlight w:val="none"/>
                <w:lang w:val="zh-CN"/>
              </w:rPr>
              <w:t>拟投入本项目的</w:t>
            </w:r>
            <w:r>
              <w:rPr>
                <w:rFonts w:hint="eastAsia" w:ascii="宋体" w:hAnsi="宋体" w:cs="宋体"/>
                <w:color w:val="auto"/>
                <w:szCs w:val="21"/>
                <w:highlight w:val="none"/>
              </w:rPr>
              <w:t>常驻管理人员（行政管理、人事宣传管理、财务管理、运营管理）具备本科及以上学历的，满足1人得0.5分，最高得3分；</w:t>
            </w:r>
            <w:r>
              <w:rPr>
                <w:rFonts w:hint="eastAsia" w:ascii="宋体" w:hAnsi="宋体" w:cs="宋体"/>
                <w:color w:val="auto"/>
                <w:szCs w:val="21"/>
                <w:highlight w:val="none"/>
                <w:lang w:val="zh-CN"/>
              </w:rPr>
              <w:t>（须提供清晰证书</w:t>
            </w:r>
            <w:r>
              <w:rPr>
                <w:rFonts w:hint="eastAsia" w:ascii="宋体" w:hAnsi="宋体" w:cs="宋体"/>
                <w:color w:val="auto"/>
                <w:szCs w:val="21"/>
                <w:highlight w:val="none"/>
              </w:rPr>
              <w:t>证明材料</w:t>
            </w:r>
            <w:r>
              <w:rPr>
                <w:rFonts w:hint="eastAsia" w:ascii="宋体" w:hAnsi="宋体" w:cs="宋体"/>
                <w:color w:val="auto"/>
                <w:szCs w:val="21"/>
                <w:highlight w:val="none"/>
                <w:lang w:val="zh-CN"/>
              </w:rPr>
              <w:t>及</w:t>
            </w:r>
            <w:r>
              <w:rPr>
                <w:rFonts w:hint="eastAsia" w:ascii="宋体" w:hAnsi="宋体" w:cs="宋体"/>
                <w:color w:val="auto"/>
                <w:szCs w:val="21"/>
                <w:highlight w:val="none"/>
              </w:rPr>
              <w:t>供应商</w:t>
            </w:r>
            <w:r>
              <w:rPr>
                <w:rFonts w:hint="eastAsia" w:ascii="宋体" w:hAnsi="宋体" w:cs="宋体"/>
                <w:color w:val="auto"/>
                <w:szCs w:val="21"/>
                <w:highlight w:val="none"/>
                <w:lang w:val="zh-CN"/>
              </w:rPr>
              <w:t>单位为该员工缴纳</w:t>
            </w:r>
            <w:r>
              <w:rPr>
                <w:rFonts w:hint="eastAsia" w:ascii="宋体" w:hAnsi="宋体" w:cs="宋体"/>
                <w:color w:val="auto"/>
                <w:szCs w:val="21"/>
                <w:highlight w:val="none"/>
              </w:rPr>
              <w:t>近六个月</w:t>
            </w:r>
            <w:r>
              <w:rPr>
                <w:rFonts w:hint="eastAsia" w:ascii="宋体" w:hAnsi="宋体" w:cs="宋体"/>
                <w:color w:val="auto"/>
                <w:szCs w:val="21"/>
                <w:highlight w:val="none"/>
                <w:lang w:val="zh-CN"/>
              </w:rPr>
              <w:t>社保的证明材料）</w:t>
            </w:r>
          </w:p>
        </w:tc>
        <w:tc>
          <w:tcPr>
            <w:tcW w:w="707" w:type="dxa"/>
            <w:vAlign w:val="center"/>
          </w:tcPr>
          <w:p>
            <w:pPr>
              <w:autoSpaceDE w:val="0"/>
              <w:autoSpaceDN w:val="0"/>
              <w:adjustRightInd w:val="0"/>
              <w:ind w:right="71" w:rightChars="34"/>
              <w:jc w:val="center"/>
              <w:rPr>
                <w:rFonts w:ascii="宋体" w:hAnsi="宋体" w:cs="宋体"/>
                <w:color w:val="auto"/>
                <w:spacing w:val="-6"/>
                <w:szCs w:val="21"/>
                <w:highlight w:val="none"/>
              </w:rPr>
            </w:pPr>
            <w:r>
              <w:rPr>
                <w:rFonts w:hint="eastAsia" w:ascii="宋体" w:hAnsi="宋体" w:cs="宋体"/>
                <w:color w:val="auto"/>
                <w:spacing w:val="-6"/>
                <w:szCs w:val="21"/>
                <w:highlight w:val="none"/>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1" w:hRule="atLeast"/>
        </w:trPr>
        <w:tc>
          <w:tcPr>
            <w:tcW w:w="727" w:type="dxa"/>
            <w:vMerge w:val="continue"/>
            <w:vAlign w:val="center"/>
          </w:tcPr>
          <w:p>
            <w:pPr>
              <w:rPr>
                <w:rFonts w:ascii="宋体" w:hAnsi="宋体" w:cs="宋体"/>
                <w:color w:val="auto"/>
                <w:szCs w:val="21"/>
                <w:highlight w:val="none"/>
              </w:rPr>
            </w:pPr>
          </w:p>
        </w:tc>
        <w:tc>
          <w:tcPr>
            <w:tcW w:w="1132" w:type="dxa"/>
            <w:vAlign w:val="center"/>
          </w:tcPr>
          <w:p>
            <w:pPr>
              <w:jc w:val="center"/>
              <w:rPr>
                <w:rFonts w:ascii="宋体" w:hAnsi="宋体" w:cs="宋体"/>
                <w:color w:val="auto"/>
                <w:szCs w:val="21"/>
                <w:highlight w:val="none"/>
              </w:rPr>
            </w:pPr>
            <w:r>
              <w:rPr>
                <w:rFonts w:hint="eastAsia" w:ascii="宋体" w:hAnsi="宋体" w:cs="仿宋"/>
                <w:color w:val="auto"/>
                <w:szCs w:val="21"/>
                <w:highlight w:val="none"/>
              </w:rPr>
              <w:t>运营经验</w:t>
            </w:r>
          </w:p>
        </w:tc>
        <w:tc>
          <w:tcPr>
            <w:tcW w:w="6612" w:type="dxa"/>
            <w:vAlign w:val="center"/>
          </w:tcPr>
          <w:p>
            <w:pPr>
              <w:rPr>
                <w:rFonts w:ascii="宋体" w:hAnsi="宋体" w:cs="宋体"/>
                <w:color w:val="auto"/>
                <w:szCs w:val="21"/>
                <w:highlight w:val="none"/>
              </w:rPr>
            </w:pPr>
            <w:r>
              <w:rPr>
                <w:rFonts w:hint="eastAsia" w:ascii="宋体" w:hAnsi="宋体" w:cs="仿宋"/>
                <w:color w:val="auto"/>
                <w:szCs w:val="21"/>
                <w:highlight w:val="none"/>
              </w:rPr>
              <w:t>投标人须为专业的商业物业运营商（</w:t>
            </w:r>
            <w:r>
              <w:rPr>
                <w:rFonts w:ascii="宋体" w:hAnsi="宋体" w:cs="仿宋"/>
                <w:color w:val="auto"/>
                <w:szCs w:val="21"/>
                <w:highlight w:val="none"/>
              </w:rPr>
              <w:t>投标人需提供至少一个正在运营且面积在3000㎡以上的含国际及国内知名品牌的商业物业运营案例</w:t>
            </w:r>
            <w:r>
              <w:rPr>
                <w:rFonts w:hint="eastAsia" w:ascii="宋体" w:hAnsi="宋体" w:cs="仿宋"/>
                <w:color w:val="auto"/>
                <w:szCs w:val="21"/>
                <w:highlight w:val="none"/>
              </w:rPr>
              <w:t>）</w:t>
            </w:r>
            <w:r>
              <w:rPr>
                <w:rFonts w:ascii="宋体" w:hAnsi="宋体" w:cs="仿宋"/>
                <w:color w:val="auto"/>
                <w:szCs w:val="21"/>
                <w:highlight w:val="none"/>
              </w:rPr>
              <w:t>。</w:t>
            </w:r>
            <w:r>
              <w:rPr>
                <w:rFonts w:hint="eastAsia" w:ascii="宋体" w:hAnsi="宋体" w:cs="仿宋"/>
                <w:color w:val="auto"/>
                <w:szCs w:val="21"/>
                <w:highlight w:val="none"/>
              </w:rPr>
              <w:t>提供得6</w:t>
            </w:r>
            <w:r>
              <w:rPr>
                <w:rFonts w:ascii="宋体" w:hAnsi="宋体" w:cs="仿宋"/>
                <w:color w:val="auto"/>
                <w:szCs w:val="21"/>
                <w:highlight w:val="none"/>
              </w:rPr>
              <w:t>分</w:t>
            </w:r>
            <w:r>
              <w:rPr>
                <w:rFonts w:hint="eastAsia" w:ascii="宋体" w:hAnsi="宋体" w:cs="仿宋"/>
                <w:color w:val="auto"/>
                <w:szCs w:val="21"/>
                <w:highlight w:val="none"/>
              </w:rPr>
              <w:t>，未提供不得分。证明材料仅限投标单位本身（含全资独立法人子公司），参股或控股单位的材料不能作为证明材料。</w:t>
            </w:r>
          </w:p>
        </w:tc>
        <w:tc>
          <w:tcPr>
            <w:tcW w:w="707" w:type="dxa"/>
            <w:vAlign w:val="center"/>
          </w:tcPr>
          <w:p>
            <w:pPr>
              <w:autoSpaceDE w:val="0"/>
              <w:autoSpaceDN w:val="0"/>
              <w:adjustRightInd w:val="0"/>
              <w:ind w:right="71" w:rightChars="34"/>
              <w:jc w:val="center"/>
              <w:rPr>
                <w:rFonts w:ascii="宋体" w:hAnsi="宋体" w:cs="宋体"/>
                <w:color w:val="auto"/>
                <w:spacing w:val="-6"/>
                <w:szCs w:val="21"/>
                <w:highlight w:val="none"/>
              </w:rPr>
            </w:pPr>
            <w:r>
              <w:rPr>
                <w:rFonts w:hint="eastAsia" w:ascii="宋体" w:hAnsi="宋体" w:cs="仿宋"/>
                <w:color w:val="auto"/>
                <w:szCs w:val="21"/>
                <w:highlight w:val="none"/>
              </w:rPr>
              <w:t>6分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8" w:hRule="atLeast"/>
        </w:trPr>
        <w:tc>
          <w:tcPr>
            <w:tcW w:w="727" w:type="dxa"/>
            <w:vMerge w:val="restart"/>
            <w:vAlign w:val="center"/>
          </w:tcPr>
          <w:p>
            <w:pPr>
              <w:jc w:val="center"/>
              <w:rPr>
                <w:rFonts w:ascii="宋体" w:hAnsi="宋体" w:cs="宋体"/>
                <w:color w:val="auto"/>
                <w:spacing w:val="-6"/>
                <w:szCs w:val="21"/>
                <w:highlight w:val="none"/>
              </w:rPr>
            </w:pPr>
            <w:r>
              <w:rPr>
                <w:rFonts w:hint="eastAsia" w:ascii="宋体" w:hAnsi="宋体" w:cs="宋体"/>
                <w:color w:val="auto"/>
                <w:spacing w:val="-6"/>
                <w:szCs w:val="21"/>
                <w:highlight w:val="none"/>
              </w:rPr>
              <w:t>技术服务</w:t>
            </w:r>
          </w:p>
          <w:p>
            <w:pPr>
              <w:jc w:val="center"/>
              <w:rPr>
                <w:rFonts w:ascii="宋体" w:hAnsi="宋体" w:cs="宋体"/>
                <w:color w:val="auto"/>
                <w:spacing w:val="-6"/>
                <w:szCs w:val="21"/>
                <w:highlight w:val="none"/>
              </w:rPr>
            </w:pPr>
            <w:r>
              <w:rPr>
                <w:rFonts w:hint="eastAsia" w:ascii="宋体" w:hAnsi="宋体" w:cs="宋体"/>
                <w:color w:val="auto"/>
                <w:spacing w:val="-6"/>
                <w:szCs w:val="21"/>
                <w:highlight w:val="none"/>
              </w:rPr>
              <w:t>45分</w:t>
            </w:r>
          </w:p>
        </w:tc>
        <w:tc>
          <w:tcPr>
            <w:tcW w:w="1132" w:type="dxa"/>
            <w:vMerge w:val="restart"/>
            <w:vAlign w:val="center"/>
          </w:tcPr>
          <w:p>
            <w:pPr>
              <w:jc w:val="center"/>
              <w:rPr>
                <w:rFonts w:ascii="宋体" w:hAnsi="宋体" w:cs="宋体"/>
                <w:color w:val="auto"/>
                <w:spacing w:val="-6"/>
                <w:szCs w:val="21"/>
                <w:highlight w:val="none"/>
              </w:rPr>
            </w:pPr>
            <w:r>
              <w:rPr>
                <w:rFonts w:hint="eastAsia" w:ascii="宋体" w:hAnsi="宋体" w:cs="宋体"/>
                <w:color w:val="auto"/>
                <w:szCs w:val="21"/>
                <w:highlight w:val="none"/>
              </w:rPr>
              <w:t>整体装修改造方案</w:t>
            </w:r>
          </w:p>
        </w:tc>
        <w:tc>
          <w:tcPr>
            <w:tcW w:w="6612" w:type="dxa"/>
            <w:vAlign w:val="center"/>
          </w:tcPr>
          <w:p>
            <w:pPr>
              <w:rPr>
                <w:rFonts w:ascii="宋体" w:hAnsi="宋体" w:cs="宋体"/>
                <w:color w:val="auto"/>
                <w:szCs w:val="21"/>
                <w:highlight w:val="none"/>
              </w:rPr>
            </w:pPr>
            <w:r>
              <w:rPr>
                <w:rFonts w:hint="eastAsia" w:ascii="宋体" w:hAnsi="宋体" w:cs="宋体"/>
                <w:color w:val="auto"/>
                <w:szCs w:val="21"/>
                <w:highlight w:val="none"/>
              </w:rPr>
              <w:t>根据供应商提供的项目建设的总体规划方案（包含改造风格、立面效果等）、项目构思理念进行综合评议；</w:t>
            </w:r>
            <w:r>
              <w:rPr>
                <w:rFonts w:hint="eastAsia" w:ascii="宋体" w:hAnsi="宋体" w:cs="宋体"/>
                <w:color w:val="auto"/>
                <w:szCs w:val="21"/>
                <w:highlight w:val="none"/>
              </w:rPr>
              <w:br w:type="textWrapping"/>
            </w:r>
            <w:r>
              <w:rPr>
                <w:rFonts w:hint="eastAsia" w:ascii="宋体" w:hAnsi="宋体" w:cs="宋体"/>
                <w:color w:val="auto"/>
                <w:szCs w:val="21"/>
                <w:highlight w:val="none"/>
              </w:rPr>
              <w:t>科学、合理，针对性强，4分；</w:t>
            </w:r>
          </w:p>
          <w:p>
            <w:pPr>
              <w:rPr>
                <w:rFonts w:ascii="宋体" w:hAnsi="宋体" w:cs="宋体"/>
                <w:color w:val="auto"/>
                <w:szCs w:val="21"/>
                <w:highlight w:val="none"/>
              </w:rPr>
            </w:pPr>
            <w:r>
              <w:rPr>
                <w:rFonts w:hint="eastAsia" w:ascii="宋体" w:hAnsi="宋体" w:cs="宋体"/>
                <w:color w:val="auto"/>
                <w:szCs w:val="21"/>
                <w:highlight w:val="none"/>
              </w:rPr>
              <w:t>合理，可行，2分；</w:t>
            </w:r>
          </w:p>
          <w:p>
            <w:pPr>
              <w:rPr>
                <w:rFonts w:ascii="宋体" w:hAnsi="宋体" w:cs="宋体"/>
                <w:color w:val="auto"/>
                <w:szCs w:val="21"/>
                <w:highlight w:val="none"/>
              </w:rPr>
            </w:pPr>
            <w:r>
              <w:rPr>
                <w:rFonts w:hint="eastAsia" w:ascii="宋体" w:hAnsi="宋体" w:cs="宋体"/>
                <w:color w:val="auto"/>
                <w:szCs w:val="21"/>
                <w:highlight w:val="none"/>
              </w:rPr>
              <w:t>欠合理，基本可行，1分；</w:t>
            </w:r>
          </w:p>
          <w:p>
            <w:pPr>
              <w:rPr>
                <w:rFonts w:ascii="宋体" w:hAnsi="宋体" w:cs="宋体"/>
                <w:color w:val="auto"/>
                <w:szCs w:val="21"/>
                <w:highlight w:val="none"/>
              </w:rPr>
            </w:pPr>
            <w:r>
              <w:rPr>
                <w:rFonts w:hint="eastAsia" w:ascii="宋体" w:hAnsi="宋体" w:cs="宋体"/>
                <w:color w:val="auto"/>
                <w:szCs w:val="21"/>
                <w:highlight w:val="none"/>
              </w:rPr>
              <w:t>不可行，0 分。</w:t>
            </w:r>
          </w:p>
        </w:tc>
        <w:tc>
          <w:tcPr>
            <w:tcW w:w="707" w:type="dxa"/>
            <w:vAlign w:val="center"/>
          </w:tcPr>
          <w:p>
            <w:pPr>
              <w:ind w:left="-4" w:leftChars="-2" w:firstLine="2" w:firstLineChars="1"/>
              <w:rPr>
                <w:rFonts w:ascii="宋体" w:hAnsi="宋体" w:cs="宋体"/>
                <w:color w:val="auto"/>
                <w:kern w:val="0"/>
                <w:szCs w:val="21"/>
                <w:highlight w:val="none"/>
              </w:rPr>
            </w:pPr>
            <w:r>
              <w:rPr>
                <w:rFonts w:hint="eastAsia" w:ascii="宋体" w:hAnsi="宋体" w:cs="宋体"/>
                <w:color w:val="auto"/>
                <w:kern w:val="0"/>
                <w:szCs w:val="21"/>
                <w:highlight w:val="none"/>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trPr>
        <w:tc>
          <w:tcPr>
            <w:tcW w:w="727" w:type="dxa"/>
            <w:vMerge w:val="continue"/>
            <w:vAlign w:val="center"/>
          </w:tcPr>
          <w:p>
            <w:pPr>
              <w:ind w:left="-4" w:leftChars="-2" w:firstLine="2" w:firstLineChars="1"/>
              <w:rPr>
                <w:color w:val="auto"/>
                <w:highlight w:val="none"/>
              </w:rPr>
            </w:pPr>
          </w:p>
        </w:tc>
        <w:tc>
          <w:tcPr>
            <w:tcW w:w="1132" w:type="dxa"/>
            <w:vMerge w:val="continue"/>
            <w:vAlign w:val="center"/>
          </w:tcPr>
          <w:p>
            <w:pPr>
              <w:ind w:left="-4" w:leftChars="-2" w:firstLine="2" w:firstLineChars="1"/>
              <w:jc w:val="center"/>
              <w:rPr>
                <w:color w:val="auto"/>
                <w:highlight w:val="none"/>
              </w:rPr>
            </w:pPr>
          </w:p>
        </w:tc>
        <w:tc>
          <w:tcPr>
            <w:tcW w:w="6612" w:type="dxa"/>
            <w:vAlign w:val="center"/>
          </w:tcPr>
          <w:p>
            <w:pPr>
              <w:rPr>
                <w:rFonts w:ascii="宋体" w:hAnsi="宋体" w:cs="宋体"/>
                <w:color w:val="auto"/>
                <w:szCs w:val="21"/>
                <w:highlight w:val="none"/>
              </w:rPr>
            </w:pPr>
            <w:r>
              <w:rPr>
                <w:rFonts w:hint="eastAsia" w:ascii="宋体" w:hAnsi="宋体" w:cs="宋体"/>
                <w:color w:val="auto"/>
                <w:szCs w:val="21"/>
                <w:highlight w:val="none"/>
              </w:rPr>
              <w:t>根据供应商提供的项目改造计划完成时间的合理性进行综合评议；</w:t>
            </w:r>
            <w:r>
              <w:rPr>
                <w:rFonts w:hint="eastAsia" w:ascii="宋体" w:hAnsi="宋体" w:cs="宋体"/>
                <w:color w:val="auto"/>
                <w:szCs w:val="21"/>
                <w:highlight w:val="none"/>
              </w:rPr>
              <w:br w:type="textWrapping"/>
            </w:r>
            <w:r>
              <w:rPr>
                <w:rFonts w:hint="eastAsia" w:ascii="宋体" w:hAnsi="宋体" w:cs="宋体"/>
                <w:color w:val="auto"/>
                <w:szCs w:val="21"/>
                <w:highlight w:val="none"/>
              </w:rPr>
              <w:t>科学、合理，针对性强，3分；</w:t>
            </w:r>
          </w:p>
          <w:p>
            <w:pPr>
              <w:rPr>
                <w:rFonts w:ascii="宋体" w:hAnsi="宋体" w:cs="宋体"/>
                <w:color w:val="auto"/>
                <w:szCs w:val="21"/>
                <w:highlight w:val="none"/>
              </w:rPr>
            </w:pPr>
            <w:r>
              <w:rPr>
                <w:rFonts w:hint="eastAsia" w:ascii="宋体" w:hAnsi="宋体" w:cs="宋体"/>
                <w:color w:val="auto"/>
                <w:szCs w:val="21"/>
                <w:highlight w:val="none"/>
              </w:rPr>
              <w:t>合理，可行，2分；</w:t>
            </w:r>
          </w:p>
          <w:p>
            <w:pPr>
              <w:rPr>
                <w:rFonts w:ascii="宋体" w:hAnsi="宋体" w:cs="宋体"/>
                <w:color w:val="auto"/>
                <w:szCs w:val="21"/>
                <w:highlight w:val="none"/>
              </w:rPr>
            </w:pPr>
            <w:r>
              <w:rPr>
                <w:rFonts w:hint="eastAsia" w:ascii="宋体" w:hAnsi="宋体" w:cs="宋体"/>
                <w:color w:val="auto"/>
                <w:szCs w:val="21"/>
                <w:highlight w:val="none"/>
              </w:rPr>
              <w:t>欠合理，基本可行，1分；</w:t>
            </w:r>
          </w:p>
          <w:p>
            <w:pPr>
              <w:rPr>
                <w:rFonts w:ascii="宋体" w:hAnsi="宋体" w:cs="宋体"/>
                <w:color w:val="auto"/>
                <w:szCs w:val="21"/>
                <w:highlight w:val="none"/>
              </w:rPr>
            </w:pPr>
            <w:r>
              <w:rPr>
                <w:rFonts w:hint="eastAsia" w:ascii="宋体" w:hAnsi="宋体" w:cs="宋体"/>
                <w:color w:val="auto"/>
                <w:szCs w:val="21"/>
                <w:highlight w:val="none"/>
              </w:rPr>
              <w:t>不可行，0 分。</w:t>
            </w:r>
          </w:p>
        </w:tc>
        <w:tc>
          <w:tcPr>
            <w:tcW w:w="707"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8" w:hRule="atLeast"/>
        </w:trPr>
        <w:tc>
          <w:tcPr>
            <w:tcW w:w="727" w:type="dxa"/>
            <w:vMerge w:val="continue"/>
            <w:vAlign w:val="center"/>
          </w:tcPr>
          <w:p>
            <w:pPr>
              <w:ind w:left="-4" w:leftChars="-2" w:firstLine="2" w:firstLineChars="1"/>
              <w:rPr>
                <w:rFonts w:ascii="宋体" w:hAnsi="宋体" w:cs="宋体"/>
                <w:color w:val="auto"/>
                <w:kern w:val="0"/>
                <w:szCs w:val="21"/>
                <w:highlight w:val="none"/>
              </w:rPr>
            </w:pPr>
          </w:p>
        </w:tc>
        <w:tc>
          <w:tcPr>
            <w:tcW w:w="1132" w:type="dxa"/>
            <w:vMerge w:val="continue"/>
            <w:vAlign w:val="center"/>
          </w:tcPr>
          <w:p>
            <w:pPr>
              <w:ind w:left="-4" w:leftChars="-2" w:firstLine="2" w:firstLineChars="1"/>
              <w:jc w:val="center"/>
              <w:rPr>
                <w:rFonts w:ascii="宋体" w:hAnsi="宋体" w:cs="宋体"/>
                <w:color w:val="auto"/>
                <w:kern w:val="0"/>
                <w:szCs w:val="21"/>
                <w:highlight w:val="none"/>
              </w:rPr>
            </w:pPr>
          </w:p>
        </w:tc>
        <w:tc>
          <w:tcPr>
            <w:tcW w:w="6612" w:type="dxa"/>
            <w:vAlign w:val="center"/>
          </w:tcPr>
          <w:p>
            <w:pPr>
              <w:rPr>
                <w:rFonts w:ascii="宋体" w:hAnsi="宋体" w:cs="宋体"/>
                <w:color w:val="auto"/>
                <w:szCs w:val="21"/>
                <w:highlight w:val="none"/>
              </w:rPr>
            </w:pPr>
            <w:r>
              <w:rPr>
                <w:rFonts w:hint="eastAsia" w:ascii="宋体" w:hAnsi="宋体" w:cs="宋体"/>
                <w:color w:val="auto"/>
                <w:szCs w:val="21"/>
                <w:highlight w:val="none"/>
              </w:rPr>
              <w:t>根据供应商提供的项目大楼视频监控系统、水电、燃气、消防等辅助设施设备升级改造的合理性进行综合评议；</w:t>
            </w:r>
            <w:r>
              <w:rPr>
                <w:rFonts w:hint="eastAsia" w:ascii="宋体" w:hAnsi="宋体" w:cs="宋体"/>
                <w:color w:val="auto"/>
                <w:szCs w:val="21"/>
                <w:highlight w:val="none"/>
              </w:rPr>
              <w:br w:type="textWrapping"/>
            </w:r>
            <w:r>
              <w:rPr>
                <w:rFonts w:hint="eastAsia" w:ascii="宋体" w:hAnsi="宋体" w:cs="宋体"/>
                <w:color w:val="auto"/>
                <w:szCs w:val="21"/>
                <w:highlight w:val="none"/>
              </w:rPr>
              <w:t>科学、合理，针对性强，2分；</w:t>
            </w:r>
          </w:p>
          <w:p>
            <w:pPr>
              <w:rPr>
                <w:rFonts w:ascii="宋体" w:hAnsi="宋体" w:cs="宋体"/>
                <w:color w:val="auto"/>
                <w:szCs w:val="21"/>
                <w:highlight w:val="none"/>
              </w:rPr>
            </w:pPr>
            <w:r>
              <w:rPr>
                <w:rFonts w:hint="eastAsia" w:ascii="宋体" w:hAnsi="宋体" w:cs="宋体"/>
                <w:color w:val="auto"/>
                <w:szCs w:val="21"/>
                <w:highlight w:val="none"/>
              </w:rPr>
              <w:t>合理，可行，1分；</w:t>
            </w:r>
          </w:p>
          <w:p>
            <w:pPr>
              <w:rPr>
                <w:rFonts w:ascii="宋体" w:hAnsi="宋体" w:cs="宋体"/>
                <w:color w:val="auto"/>
                <w:szCs w:val="21"/>
                <w:highlight w:val="none"/>
              </w:rPr>
            </w:pPr>
            <w:r>
              <w:rPr>
                <w:rFonts w:hint="eastAsia" w:ascii="宋体" w:hAnsi="宋体" w:cs="宋体"/>
                <w:color w:val="auto"/>
                <w:szCs w:val="21"/>
                <w:highlight w:val="none"/>
              </w:rPr>
              <w:t>欠合理，基本可行，0分；</w:t>
            </w:r>
          </w:p>
          <w:p>
            <w:pPr>
              <w:rPr>
                <w:rFonts w:ascii="宋体" w:hAnsi="宋体" w:cs="宋体"/>
                <w:color w:val="auto"/>
                <w:szCs w:val="21"/>
                <w:highlight w:val="none"/>
              </w:rPr>
            </w:pPr>
            <w:r>
              <w:rPr>
                <w:rFonts w:hint="eastAsia" w:ascii="宋体" w:hAnsi="宋体" w:cs="宋体"/>
                <w:color w:val="auto"/>
                <w:kern w:val="0"/>
                <w:szCs w:val="21"/>
                <w:highlight w:val="none"/>
              </w:rPr>
              <w:t>未提供不得分。</w:t>
            </w:r>
          </w:p>
        </w:tc>
        <w:tc>
          <w:tcPr>
            <w:tcW w:w="707" w:type="dxa"/>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8" w:hRule="atLeast"/>
        </w:trPr>
        <w:tc>
          <w:tcPr>
            <w:tcW w:w="727" w:type="dxa"/>
            <w:vMerge w:val="continue"/>
            <w:vAlign w:val="center"/>
          </w:tcPr>
          <w:p>
            <w:pPr>
              <w:ind w:left="-4" w:leftChars="-2" w:firstLine="2" w:firstLineChars="1"/>
              <w:rPr>
                <w:rFonts w:ascii="宋体" w:hAnsi="宋体" w:cs="宋体"/>
                <w:color w:val="auto"/>
                <w:kern w:val="0"/>
                <w:szCs w:val="21"/>
                <w:highlight w:val="none"/>
              </w:rPr>
            </w:pPr>
          </w:p>
        </w:tc>
        <w:tc>
          <w:tcPr>
            <w:tcW w:w="1132" w:type="dxa"/>
            <w:vMerge w:val="continue"/>
            <w:vAlign w:val="center"/>
          </w:tcPr>
          <w:p>
            <w:pPr>
              <w:ind w:left="-4" w:leftChars="-2" w:firstLine="2" w:firstLineChars="1"/>
              <w:jc w:val="center"/>
              <w:rPr>
                <w:rFonts w:ascii="宋体" w:hAnsi="宋体" w:cs="宋体"/>
                <w:color w:val="auto"/>
                <w:kern w:val="0"/>
                <w:szCs w:val="21"/>
                <w:highlight w:val="none"/>
              </w:rPr>
            </w:pPr>
          </w:p>
        </w:tc>
        <w:tc>
          <w:tcPr>
            <w:tcW w:w="6612" w:type="dxa"/>
            <w:vAlign w:val="center"/>
          </w:tcPr>
          <w:p>
            <w:pPr>
              <w:rPr>
                <w:rFonts w:ascii="宋体" w:hAnsi="宋体" w:cs="宋体"/>
                <w:color w:val="auto"/>
                <w:szCs w:val="21"/>
                <w:highlight w:val="none"/>
              </w:rPr>
            </w:pPr>
            <w:r>
              <w:rPr>
                <w:rFonts w:hint="eastAsia" w:ascii="宋体" w:hAnsi="宋体" w:cs="宋体"/>
                <w:color w:val="auto"/>
                <w:szCs w:val="21"/>
                <w:highlight w:val="none"/>
              </w:rPr>
              <w:t>根据供应商提供的改造后建筑物外观及整体鸟瞰效果图，建筑物室外东、南、北面广场改造后效果图图纸表达效果进行综合评议；</w:t>
            </w:r>
            <w:r>
              <w:rPr>
                <w:rFonts w:hint="eastAsia" w:ascii="宋体" w:hAnsi="宋体" w:cs="宋体"/>
                <w:color w:val="auto"/>
                <w:szCs w:val="21"/>
                <w:highlight w:val="none"/>
              </w:rPr>
              <w:br w:type="textWrapping"/>
            </w:r>
            <w:r>
              <w:rPr>
                <w:rFonts w:hint="eastAsia" w:ascii="宋体" w:hAnsi="宋体" w:cs="宋体"/>
                <w:color w:val="auto"/>
                <w:szCs w:val="21"/>
                <w:highlight w:val="none"/>
              </w:rPr>
              <w:t>科学、合理，针对性强，5分；</w:t>
            </w:r>
          </w:p>
          <w:p>
            <w:pPr>
              <w:rPr>
                <w:rFonts w:ascii="宋体" w:hAnsi="宋体" w:cs="宋体"/>
                <w:color w:val="auto"/>
                <w:szCs w:val="21"/>
                <w:highlight w:val="none"/>
              </w:rPr>
            </w:pPr>
            <w:r>
              <w:rPr>
                <w:rFonts w:hint="eastAsia" w:ascii="宋体" w:hAnsi="宋体" w:cs="宋体"/>
                <w:color w:val="auto"/>
                <w:szCs w:val="21"/>
                <w:highlight w:val="none"/>
              </w:rPr>
              <w:t>合理，可行，3分；</w:t>
            </w:r>
          </w:p>
          <w:p>
            <w:pPr>
              <w:rPr>
                <w:rFonts w:ascii="宋体" w:hAnsi="宋体" w:cs="宋体"/>
                <w:color w:val="auto"/>
                <w:szCs w:val="21"/>
                <w:highlight w:val="none"/>
              </w:rPr>
            </w:pPr>
            <w:r>
              <w:rPr>
                <w:rFonts w:hint="eastAsia" w:ascii="宋体" w:hAnsi="宋体" w:cs="宋体"/>
                <w:color w:val="auto"/>
                <w:szCs w:val="21"/>
                <w:highlight w:val="none"/>
              </w:rPr>
              <w:t>欠合理，基本可行，1分；</w:t>
            </w:r>
          </w:p>
          <w:p>
            <w:pPr>
              <w:rPr>
                <w:rFonts w:ascii="宋体" w:hAnsi="宋体" w:cs="宋体"/>
                <w:color w:val="auto"/>
                <w:szCs w:val="21"/>
                <w:highlight w:val="none"/>
              </w:rPr>
            </w:pPr>
            <w:r>
              <w:rPr>
                <w:rFonts w:hint="eastAsia" w:ascii="宋体" w:hAnsi="宋体" w:cs="宋体"/>
                <w:color w:val="auto"/>
                <w:szCs w:val="21"/>
                <w:highlight w:val="none"/>
              </w:rPr>
              <w:t>不可行，0 分。</w:t>
            </w:r>
          </w:p>
        </w:tc>
        <w:tc>
          <w:tcPr>
            <w:tcW w:w="707" w:type="dxa"/>
            <w:vAlign w:val="center"/>
          </w:tcPr>
          <w:p>
            <w:pPr>
              <w:ind w:left="-4" w:leftChars="-2" w:firstLine="2" w:firstLineChars="1"/>
              <w:rPr>
                <w:rFonts w:ascii="宋体" w:hAnsi="宋体" w:cs="宋体"/>
                <w:color w:val="auto"/>
                <w:kern w:val="0"/>
                <w:szCs w:val="21"/>
                <w:highlight w:val="none"/>
              </w:rPr>
            </w:pPr>
            <w:r>
              <w:rPr>
                <w:rFonts w:hint="eastAsia" w:ascii="宋体" w:hAnsi="宋体" w:cs="宋体"/>
                <w:color w:val="auto"/>
                <w:kern w:val="0"/>
                <w:szCs w:val="21"/>
                <w:highlight w:val="none"/>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6" w:hRule="atLeast"/>
        </w:trPr>
        <w:tc>
          <w:tcPr>
            <w:tcW w:w="727" w:type="dxa"/>
            <w:vMerge w:val="continue"/>
            <w:vAlign w:val="center"/>
          </w:tcPr>
          <w:p>
            <w:pPr>
              <w:ind w:left="-4" w:leftChars="-2" w:firstLine="2" w:firstLineChars="1"/>
              <w:rPr>
                <w:rFonts w:ascii="宋体" w:hAnsi="宋体" w:cs="宋体"/>
                <w:color w:val="auto"/>
                <w:kern w:val="0"/>
                <w:szCs w:val="21"/>
                <w:highlight w:val="none"/>
              </w:rPr>
            </w:pPr>
          </w:p>
        </w:tc>
        <w:tc>
          <w:tcPr>
            <w:tcW w:w="1132" w:type="dxa"/>
            <w:vAlign w:val="center"/>
          </w:tcPr>
          <w:p>
            <w:pPr>
              <w:ind w:left="-4" w:leftChars="-2" w:firstLine="2" w:firstLineChars="1"/>
              <w:jc w:val="center"/>
              <w:rPr>
                <w:rFonts w:ascii="宋体" w:hAnsi="宋体" w:cs="宋体"/>
                <w:color w:val="auto"/>
                <w:kern w:val="0"/>
                <w:szCs w:val="21"/>
                <w:highlight w:val="none"/>
              </w:rPr>
            </w:pPr>
            <w:r>
              <w:rPr>
                <w:rFonts w:hint="eastAsia" w:ascii="宋体" w:hAnsi="宋体" w:cs="宋体"/>
                <w:color w:val="auto"/>
                <w:kern w:val="0"/>
                <w:szCs w:val="21"/>
                <w:highlight w:val="none"/>
              </w:rPr>
              <w:t>服务项目</w:t>
            </w:r>
          </w:p>
        </w:tc>
        <w:tc>
          <w:tcPr>
            <w:tcW w:w="6612" w:type="dxa"/>
            <w:vAlign w:val="center"/>
          </w:tcPr>
          <w:p>
            <w:pPr>
              <w:rPr>
                <w:rFonts w:ascii="宋体" w:hAnsi="宋体" w:cs="仿宋"/>
                <w:color w:val="auto"/>
                <w:szCs w:val="21"/>
                <w:highlight w:val="none"/>
              </w:rPr>
            </w:pPr>
            <w:r>
              <w:rPr>
                <w:rFonts w:hint="eastAsia" w:ascii="宋体" w:hAnsi="宋体" w:cs="仿宋"/>
                <w:color w:val="auto"/>
                <w:szCs w:val="21"/>
                <w:highlight w:val="none"/>
              </w:rPr>
              <w:t>结合项目功能定位，围绕师生生活需求，</w:t>
            </w:r>
            <w:r>
              <w:rPr>
                <w:rFonts w:hint="eastAsia" w:ascii="宋体" w:hAnsi="宋体" w:cs="宋体"/>
                <w:color w:val="auto"/>
                <w:szCs w:val="21"/>
                <w:highlight w:val="none"/>
              </w:rPr>
              <w:t>根据供应商提供</w:t>
            </w:r>
            <w:r>
              <w:rPr>
                <w:rFonts w:hint="eastAsia" w:ascii="宋体" w:hAnsi="宋体" w:cs="仿宋"/>
                <w:color w:val="auto"/>
                <w:szCs w:val="21"/>
                <w:highlight w:val="none"/>
              </w:rPr>
              <w:t>的经营项目和服务内容，提供快捷便利、优质高效的校园服务环境解决方案。</w:t>
            </w:r>
          </w:p>
          <w:p>
            <w:pPr>
              <w:rPr>
                <w:rFonts w:ascii="宋体" w:hAnsi="宋体" w:cs="仿宋"/>
                <w:color w:val="auto"/>
                <w:szCs w:val="21"/>
                <w:highlight w:val="none"/>
              </w:rPr>
            </w:pPr>
            <w:r>
              <w:rPr>
                <w:rFonts w:hint="eastAsia" w:ascii="宋体" w:hAnsi="宋体" w:cs="仿宋"/>
                <w:color w:val="auto"/>
                <w:szCs w:val="21"/>
                <w:highlight w:val="none"/>
              </w:rPr>
              <w:t>科学、合理，针对性强，3分；</w:t>
            </w:r>
          </w:p>
          <w:p>
            <w:pPr>
              <w:rPr>
                <w:rFonts w:ascii="宋体" w:hAnsi="宋体" w:cs="仿宋"/>
                <w:color w:val="auto"/>
                <w:szCs w:val="21"/>
                <w:highlight w:val="none"/>
              </w:rPr>
            </w:pPr>
            <w:r>
              <w:rPr>
                <w:rFonts w:hint="eastAsia" w:ascii="宋体" w:hAnsi="宋体" w:cs="仿宋"/>
                <w:color w:val="auto"/>
                <w:szCs w:val="21"/>
                <w:highlight w:val="none"/>
              </w:rPr>
              <w:t>合理，可行，2分；</w:t>
            </w:r>
          </w:p>
          <w:p>
            <w:pPr>
              <w:rPr>
                <w:rFonts w:ascii="宋体" w:hAnsi="宋体" w:cs="仿宋"/>
                <w:color w:val="auto"/>
                <w:szCs w:val="21"/>
                <w:highlight w:val="none"/>
              </w:rPr>
            </w:pPr>
            <w:r>
              <w:rPr>
                <w:rFonts w:hint="eastAsia" w:ascii="宋体" w:hAnsi="宋体" w:cs="仿宋"/>
                <w:color w:val="auto"/>
                <w:szCs w:val="21"/>
                <w:highlight w:val="none"/>
              </w:rPr>
              <w:t>欠合理，基本可行，1分；</w:t>
            </w:r>
          </w:p>
          <w:p>
            <w:pPr>
              <w:rPr>
                <w:rFonts w:ascii="宋体" w:hAnsi="宋体" w:cs="宋体"/>
                <w:color w:val="auto"/>
                <w:szCs w:val="21"/>
                <w:highlight w:val="none"/>
              </w:rPr>
            </w:pPr>
            <w:r>
              <w:rPr>
                <w:rFonts w:hint="eastAsia" w:ascii="宋体" w:hAnsi="宋体" w:cs="仿宋"/>
                <w:color w:val="auto"/>
                <w:szCs w:val="21"/>
                <w:highlight w:val="none"/>
              </w:rPr>
              <w:t>不可行，0 分。</w:t>
            </w:r>
          </w:p>
        </w:tc>
        <w:tc>
          <w:tcPr>
            <w:tcW w:w="70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kern w:val="0"/>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6" w:hRule="atLeast"/>
        </w:trPr>
        <w:tc>
          <w:tcPr>
            <w:tcW w:w="727" w:type="dxa"/>
            <w:vMerge w:val="continue"/>
            <w:vAlign w:val="center"/>
          </w:tcPr>
          <w:p>
            <w:pPr>
              <w:ind w:left="-4" w:leftChars="-2" w:firstLine="2" w:firstLineChars="1"/>
              <w:rPr>
                <w:rFonts w:ascii="宋体" w:hAnsi="宋体" w:cs="宋体"/>
                <w:color w:val="auto"/>
                <w:kern w:val="0"/>
                <w:szCs w:val="21"/>
                <w:highlight w:val="none"/>
              </w:rPr>
            </w:pPr>
          </w:p>
        </w:tc>
        <w:tc>
          <w:tcPr>
            <w:tcW w:w="1132" w:type="dxa"/>
            <w:vMerge w:val="restart"/>
            <w:vAlign w:val="center"/>
          </w:tcPr>
          <w:p>
            <w:pPr>
              <w:ind w:left="-4" w:leftChars="-2" w:firstLine="2" w:firstLineChars="1"/>
              <w:jc w:val="center"/>
              <w:rPr>
                <w:rFonts w:ascii="宋体" w:hAnsi="宋体" w:cs="宋体"/>
                <w:color w:val="auto"/>
                <w:kern w:val="0"/>
                <w:szCs w:val="21"/>
                <w:highlight w:val="none"/>
              </w:rPr>
            </w:pPr>
            <w:r>
              <w:rPr>
                <w:rFonts w:hint="eastAsia" w:ascii="宋体" w:hAnsi="宋体" w:cs="宋体"/>
                <w:color w:val="auto"/>
                <w:kern w:val="0"/>
                <w:szCs w:val="21"/>
                <w:highlight w:val="none"/>
              </w:rPr>
              <w:t>招商方案</w:t>
            </w:r>
          </w:p>
        </w:tc>
        <w:tc>
          <w:tcPr>
            <w:tcW w:w="6612" w:type="dxa"/>
            <w:vAlign w:val="center"/>
          </w:tcPr>
          <w:p>
            <w:pPr>
              <w:tabs>
                <w:tab w:val="left" w:pos="747"/>
              </w:tabs>
              <w:ind w:left="-4" w:leftChars="-2" w:firstLine="2" w:firstLineChars="1"/>
              <w:rPr>
                <w:rFonts w:ascii="宋体" w:hAnsi="宋体" w:cs="宋体"/>
                <w:color w:val="auto"/>
                <w:kern w:val="0"/>
                <w:szCs w:val="21"/>
                <w:highlight w:val="none"/>
              </w:rPr>
            </w:pPr>
            <w:r>
              <w:rPr>
                <w:rFonts w:hint="eastAsia" w:ascii="宋体" w:hAnsi="宋体" w:cs="宋体"/>
                <w:color w:val="auto"/>
                <w:szCs w:val="21"/>
                <w:highlight w:val="none"/>
              </w:rPr>
              <w:t>根据供应商提供的招商方案（包含但不限于预期</w:t>
            </w:r>
            <w:r>
              <w:rPr>
                <w:rFonts w:ascii="宋体" w:hAnsi="宋体" w:cs="宋体"/>
                <w:color w:val="auto"/>
                <w:szCs w:val="21"/>
                <w:highlight w:val="none"/>
              </w:rPr>
              <w:t>目标及</w:t>
            </w:r>
            <w:r>
              <w:rPr>
                <w:rFonts w:hint="eastAsia" w:ascii="宋体" w:hAnsi="宋体" w:cs="宋体"/>
                <w:color w:val="auto"/>
                <w:szCs w:val="21"/>
                <w:highlight w:val="none"/>
              </w:rPr>
              <w:t>服务</w:t>
            </w:r>
            <w:r>
              <w:rPr>
                <w:rFonts w:ascii="宋体" w:hAnsi="宋体" w:cs="宋体"/>
                <w:color w:val="auto"/>
                <w:szCs w:val="21"/>
                <w:highlight w:val="none"/>
              </w:rPr>
              <w:t>理念</w:t>
            </w:r>
            <w:r>
              <w:rPr>
                <w:rFonts w:hint="eastAsia" w:ascii="宋体" w:hAnsi="宋体" w:cs="宋体"/>
                <w:color w:val="auto"/>
                <w:szCs w:val="21"/>
                <w:highlight w:val="none"/>
              </w:rPr>
              <w:t>、</w:t>
            </w:r>
            <w:r>
              <w:rPr>
                <w:rFonts w:ascii="宋体" w:hAnsi="宋体" w:cs="宋体"/>
                <w:color w:val="auto"/>
                <w:szCs w:val="21"/>
                <w:highlight w:val="none"/>
              </w:rPr>
              <w:t>分楼层实施业态规划和商业布局</w:t>
            </w:r>
            <w:r>
              <w:rPr>
                <w:rFonts w:hint="eastAsia" w:ascii="宋体" w:hAnsi="宋体" w:cs="宋体"/>
                <w:color w:val="auto"/>
                <w:szCs w:val="21"/>
                <w:highlight w:val="none"/>
              </w:rPr>
              <w:t>等）进行综合评议：</w:t>
            </w:r>
            <w:r>
              <w:rPr>
                <w:rFonts w:hint="eastAsia" w:ascii="宋体" w:hAnsi="宋体" w:cs="宋体"/>
                <w:color w:val="auto"/>
                <w:szCs w:val="21"/>
                <w:highlight w:val="none"/>
              </w:rPr>
              <w:br w:type="textWrapping"/>
            </w:r>
            <w:r>
              <w:rPr>
                <w:rFonts w:hint="eastAsia" w:ascii="宋体" w:hAnsi="宋体" w:cs="宋体"/>
                <w:color w:val="auto"/>
                <w:kern w:val="0"/>
                <w:szCs w:val="21"/>
                <w:highlight w:val="none"/>
              </w:rPr>
              <w:t>方案描述清晰、详尽，措施具有可行性、可操作性的，得5分；</w:t>
            </w:r>
          </w:p>
          <w:p>
            <w:pPr>
              <w:tabs>
                <w:tab w:val="left" w:pos="747"/>
              </w:tabs>
              <w:ind w:left="-4" w:leftChars="-2" w:firstLine="2" w:firstLineChars="1"/>
              <w:rPr>
                <w:rFonts w:ascii="宋体" w:hAnsi="宋体" w:cs="宋体"/>
                <w:color w:val="auto"/>
                <w:kern w:val="0"/>
                <w:szCs w:val="21"/>
                <w:highlight w:val="none"/>
              </w:rPr>
            </w:pPr>
            <w:r>
              <w:rPr>
                <w:rFonts w:hint="eastAsia" w:ascii="宋体" w:hAnsi="宋体" w:cs="宋体"/>
                <w:color w:val="auto"/>
                <w:kern w:val="0"/>
                <w:szCs w:val="21"/>
                <w:highlight w:val="none"/>
              </w:rPr>
              <w:t>方案描述基本清晰，有措施的，得3分；</w:t>
            </w:r>
          </w:p>
          <w:p>
            <w:pPr>
              <w:tabs>
                <w:tab w:val="left" w:pos="747"/>
              </w:tabs>
              <w:ind w:left="-4" w:leftChars="-2" w:firstLine="2" w:firstLineChars="1"/>
              <w:rPr>
                <w:rFonts w:ascii="宋体" w:hAnsi="宋体" w:cs="宋体"/>
                <w:color w:val="auto"/>
                <w:kern w:val="0"/>
                <w:szCs w:val="21"/>
                <w:highlight w:val="none"/>
              </w:rPr>
            </w:pPr>
            <w:r>
              <w:rPr>
                <w:rFonts w:hint="eastAsia" w:ascii="宋体" w:hAnsi="宋体" w:cs="宋体"/>
                <w:color w:val="auto"/>
                <w:kern w:val="0"/>
                <w:szCs w:val="21"/>
                <w:highlight w:val="none"/>
              </w:rPr>
              <w:t>有方案、有措施，但描述不清晰，有明显缺陷的，得1分；</w:t>
            </w:r>
          </w:p>
          <w:p>
            <w:pPr>
              <w:rPr>
                <w:rFonts w:ascii="宋体" w:hAnsi="宋体" w:cs="宋体"/>
                <w:color w:val="auto"/>
                <w:szCs w:val="21"/>
                <w:highlight w:val="none"/>
              </w:rPr>
            </w:pPr>
            <w:r>
              <w:rPr>
                <w:rFonts w:hint="eastAsia" w:ascii="宋体" w:hAnsi="宋体" w:cs="宋体"/>
                <w:color w:val="auto"/>
                <w:kern w:val="0"/>
                <w:szCs w:val="21"/>
                <w:highlight w:val="none"/>
              </w:rPr>
              <w:t>未提供不得分。</w:t>
            </w:r>
          </w:p>
        </w:tc>
        <w:tc>
          <w:tcPr>
            <w:tcW w:w="70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6" w:hRule="atLeast"/>
        </w:trPr>
        <w:tc>
          <w:tcPr>
            <w:tcW w:w="727" w:type="dxa"/>
            <w:vMerge w:val="continue"/>
            <w:vAlign w:val="center"/>
          </w:tcPr>
          <w:p>
            <w:pPr>
              <w:ind w:left="-4" w:leftChars="-2" w:firstLine="2" w:firstLineChars="1"/>
              <w:rPr>
                <w:rFonts w:ascii="宋体" w:hAnsi="宋体" w:cs="宋体"/>
                <w:color w:val="auto"/>
                <w:kern w:val="0"/>
                <w:szCs w:val="21"/>
                <w:highlight w:val="none"/>
              </w:rPr>
            </w:pPr>
          </w:p>
        </w:tc>
        <w:tc>
          <w:tcPr>
            <w:tcW w:w="1132" w:type="dxa"/>
            <w:vMerge w:val="continue"/>
            <w:vAlign w:val="center"/>
          </w:tcPr>
          <w:p>
            <w:pPr>
              <w:ind w:left="-4" w:leftChars="-2" w:firstLine="2" w:firstLineChars="1"/>
              <w:jc w:val="center"/>
              <w:rPr>
                <w:rFonts w:ascii="宋体" w:hAnsi="宋体" w:cs="宋体"/>
                <w:color w:val="auto"/>
                <w:kern w:val="0"/>
                <w:szCs w:val="21"/>
                <w:highlight w:val="none"/>
              </w:rPr>
            </w:pPr>
          </w:p>
        </w:tc>
        <w:tc>
          <w:tcPr>
            <w:tcW w:w="6612" w:type="dxa"/>
            <w:vAlign w:val="center"/>
          </w:tcPr>
          <w:p>
            <w:pPr>
              <w:tabs>
                <w:tab w:val="left" w:pos="747"/>
              </w:tabs>
              <w:ind w:left="-4" w:leftChars="-2" w:firstLine="2" w:firstLineChars="1"/>
              <w:rPr>
                <w:rFonts w:ascii="宋体" w:hAnsi="宋体" w:cs="宋体"/>
                <w:color w:val="auto"/>
                <w:szCs w:val="21"/>
                <w:highlight w:val="none"/>
              </w:rPr>
            </w:pPr>
            <w:r>
              <w:rPr>
                <w:rFonts w:hint="eastAsia" w:ascii="宋体" w:hAnsi="宋体" w:cs="宋体"/>
                <w:color w:val="auto"/>
                <w:szCs w:val="21"/>
                <w:highlight w:val="none"/>
              </w:rPr>
              <w:t>根据供应商提供的国际知名连锁、国内知名连锁及其他品牌招商方案进行综合评分：</w:t>
            </w:r>
          </w:p>
          <w:p>
            <w:pPr>
              <w:tabs>
                <w:tab w:val="left" w:pos="747"/>
              </w:tabs>
              <w:ind w:left="-4" w:leftChars="-2" w:firstLine="2" w:firstLineChars="1"/>
              <w:rPr>
                <w:rFonts w:ascii="宋体" w:hAnsi="宋体" w:cs="宋体"/>
                <w:color w:val="auto"/>
                <w:kern w:val="0"/>
                <w:szCs w:val="21"/>
                <w:highlight w:val="none"/>
              </w:rPr>
            </w:pPr>
            <w:r>
              <w:rPr>
                <w:rFonts w:hint="eastAsia" w:ascii="宋体" w:hAnsi="宋体" w:cs="宋体"/>
                <w:color w:val="auto"/>
                <w:kern w:val="0"/>
                <w:szCs w:val="21"/>
                <w:highlight w:val="none"/>
              </w:rPr>
              <w:t>方案描述清晰、详尽，措施具有可行性、可操作性的，得3分；</w:t>
            </w:r>
          </w:p>
          <w:p>
            <w:pPr>
              <w:tabs>
                <w:tab w:val="left" w:pos="747"/>
              </w:tabs>
              <w:ind w:left="-4" w:leftChars="-2" w:firstLine="2" w:firstLineChars="1"/>
              <w:rPr>
                <w:rFonts w:ascii="宋体" w:hAnsi="宋体" w:cs="宋体"/>
                <w:color w:val="auto"/>
                <w:kern w:val="0"/>
                <w:szCs w:val="21"/>
                <w:highlight w:val="none"/>
              </w:rPr>
            </w:pPr>
            <w:r>
              <w:rPr>
                <w:rFonts w:hint="eastAsia" w:ascii="宋体" w:hAnsi="宋体" w:cs="宋体"/>
                <w:color w:val="auto"/>
                <w:kern w:val="0"/>
                <w:szCs w:val="21"/>
                <w:highlight w:val="none"/>
              </w:rPr>
              <w:t>方案描述基本清晰，有措施的，得2分；</w:t>
            </w:r>
          </w:p>
          <w:p>
            <w:pPr>
              <w:tabs>
                <w:tab w:val="left" w:pos="747"/>
              </w:tabs>
              <w:ind w:left="-4" w:leftChars="-2" w:firstLine="2" w:firstLineChars="1"/>
              <w:rPr>
                <w:rFonts w:ascii="宋体" w:hAnsi="宋体" w:cs="宋体"/>
                <w:color w:val="auto"/>
                <w:kern w:val="0"/>
                <w:szCs w:val="21"/>
                <w:highlight w:val="none"/>
              </w:rPr>
            </w:pPr>
            <w:r>
              <w:rPr>
                <w:rFonts w:hint="eastAsia" w:ascii="宋体" w:hAnsi="宋体" w:cs="宋体"/>
                <w:color w:val="auto"/>
                <w:kern w:val="0"/>
                <w:szCs w:val="21"/>
                <w:highlight w:val="none"/>
              </w:rPr>
              <w:t>有方案、有措施，但描述不清晰，有明显缺陷的，得1分；</w:t>
            </w:r>
          </w:p>
          <w:p>
            <w:pPr>
              <w:rPr>
                <w:rFonts w:ascii="宋体" w:hAnsi="宋体" w:cs="宋体"/>
                <w:color w:val="auto"/>
                <w:szCs w:val="21"/>
                <w:highlight w:val="none"/>
              </w:rPr>
            </w:pPr>
            <w:r>
              <w:rPr>
                <w:rFonts w:hint="eastAsia" w:ascii="宋体" w:hAnsi="宋体" w:cs="宋体"/>
                <w:color w:val="auto"/>
                <w:kern w:val="0"/>
                <w:szCs w:val="21"/>
                <w:highlight w:val="none"/>
              </w:rPr>
              <w:t>未提供不得分。</w:t>
            </w:r>
          </w:p>
        </w:tc>
        <w:tc>
          <w:tcPr>
            <w:tcW w:w="707" w:type="dxa"/>
            <w:vAlign w:val="center"/>
          </w:tcPr>
          <w:p>
            <w:pPr>
              <w:jc w:val="center"/>
              <w:rPr>
                <w:rFonts w:ascii="宋体" w:hAnsi="宋体" w:cs="宋体"/>
                <w:color w:val="auto"/>
                <w:szCs w:val="21"/>
                <w:highlight w:val="none"/>
              </w:rPr>
            </w:pPr>
            <w:r>
              <w:rPr>
                <w:rFonts w:hint="eastAsia" w:ascii="宋体" w:hAnsi="宋体" w:cs="宋体"/>
                <w:color w:val="auto"/>
                <w:kern w:val="0"/>
                <w:szCs w:val="21"/>
                <w:highlight w:val="none"/>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6" w:hRule="atLeast"/>
        </w:trPr>
        <w:tc>
          <w:tcPr>
            <w:tcW w:w="727" w:type="dxa"/>
            <w:vMerge w:val="continue"/>
            <w:vAlign w:val="center"/>
          </w:tcPr>
          <w:p>
            <w:pPr>
              <w:ind w:left="-4" w:leftChars="-2" w:firstLine="2" w:firstLineChars="1"/>
              <w:rPr>
                <w:rFonts w:ascii="宋体" w:hAnsi="宋体" w:cs="宋体"/>
                <w:color w:val="auto"/>
                <w:kern w:val="0"/>
                <w:szCs w:val="21"/>
                <w:highlight w:val="none"/>
              </w:rPr>
            </w:pPr>
          </w:p>
        </w:tc>
        <w:tc>
          <w:tcPr>
            <w:tcW w:w="1132" w:type="dxa"/>
            <w:vMerge w:val="continue"/>
            <w:vAlign w:val="center"/>
          </w:tcPr>
          <w:p>
            <w:pPr>
              <w:ind w:left="-4" w:leftChars="-2" w:firstLine="2" w:firstLineChars="1"/>
              <w:jc w:val="center"/>
              <w:rPr>
                <w:rFonts w:ascii="宋体" w:hAnsi="宋体" w:cs="宋体"/>
                <w:color w:val="auto"/>
                <w:kern w:val="0"/>
                <w:szCs w:val="21"/>
                <w:highlight w:val="none"/>
              </w:rPr>
            </w:pPr>
          </w:p>
        </w:tc>
        <w:tc>
          <w:tcPr>
            <w:tcW w:w="6612" w:type="dxa"/>
            <w:vAlign w:val="center"/>
          </w:tcPr>
          <w:p>
            <w:pPr>
              <w:rPr>
                <w:rFonts w:ascii="宋体" w:hAnsi="宋体" w:cs="宋体"/>
                <w:color w:val="auto"/>
                <w:szCs w:val="21"/>
                <w:highlight w:val="none"/>
              </w:rPr>
            </w:pPr>
            <w:r>
              <w:rPr>
                <w:rFonts w:hint="eastAsia" w:ascii="宋体" w:hAnsi="宋体" w:cs="宋体"/>
                <w:color w:val="auto"/>
                <w:szCs w:val="21"/>
                <w:highlight w:val="none"/>
              </w:rPr>
              <w:t>根据供应商提供的招商计划完成时间的合理性进行综合评议；</w:t>
            </w:r>
            <w:r>
              <w:rPr>
                <w:rFonts w:hint="eastAsia" w:ascii="宋体" w:hAnsi="宋体" w:cs="宋体"/>
                <w:color w:val="auto"/>
                <w:szCs w:val="21"/>
                <w:highlight w:val="none"/>
              </w:rPr>
              <w:br w:type="textWrapping"/>
            </w:r>
            <w:r>
              <w:rPr>
                <w:rFonts w:hint="eastAsia" w:ascii="宋体" w:hAnsi="宋体" w:cs="宋体"/>
                <w:color w:val="auto"/>
                <w:szCs w:val="21"/>
                <w:highlight w:val="none"/>
              </w:rPr>
              <w:t>科学、合理，针对性强，2分；</w:t>
            </w:r>
          </w:p>
          <w:p>
            <w:pPr>
              <w:rPr>
                <w:rFonts w:ascii="宋体" w:hAnsi="宋体" w:cs="宋体"/>
                <w:color w:val="auto"/>
                <w:szCs w:val="21"/>
                <w:highlight w:val="none"/>
              </w:rPr>
            </w:pPr>
            <w:r>
              <w:rPr>
                <w:rFonts w:hint="eastAsia" w:ascii="宋体" w:hAnsi="宋体" w:cs="宋体"/>
                <w:color w:val="auto"/>
                <w:szCs w:val="21"/>
                <w:highlight w:val="none"/>
              </w:rPr>
              <w:t>合理，可行，1分；</w:t>
            </w:r>
          </w:p>
          <w:p>
            <w:pPr>
              <w:rPr>
                <w:rFonts w:ascii="宋体" w:hAnsi="宋体" w:cs="宋体"/>
                <w:color w:val="auto"/>
                <w:szCs w:val="21"/>
                <w:highlight w:val="none"/>
              </w:rPr>
            </w:pPr>
            <w:r>
              <w:rPr>
                <w:rFonts w:hint="eastAsia" w:ascii="宋体" w:hAnsi="宋体" w:cs="宋体"/>
                <w:color w:val="auto"/>
                <w:szCs w:val="21"/>
                <w:highlight w:val="none"/>
              </w:rPr>
              <w:t>欠合理，基本可行，0分；</w:t>
            </w:r>
          </w:p>
          <w:p>
            <w:pPr>
              <w:rPr>
                <w:rFonts w:ascii="宋体" w:hAnsi="宋体" w:cs="宋体"/>
                <w:color w:val="auto"/>
                <w:szCs w:val="21"/>
                <w:highlight w:val="none"/>
              </w:rPr>
            </w:pPr>
            <w:r>
              <w:rPr>
                <w:rFonts w:hint="eastAsia" w:ascii="宋体" w:hAnsi="宋体" w:cs="宋体"/>
                <w:color w:val="auto"/>
                <w:kern w:val="0"/>
                <w:szCs w:val="21"/>
                <w:highlight w:val="none"/>
              </w:rPr>
              <w:t>未提供不得分。</w:t>
            </w:r>
          </w:p>
        </w:tc>
        <w:tc>
          <w:tcPr>
            <w:tcW w:w="70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46" w:hRule="atLeast"/>
        </w:trPr>
        <w:tc>
          <w:tcPr>
            <w:tcW w:w="727" w:type="dxa"/>
            <w:vMerge w:val="continue"/>
            <w:vAlign w:val="center"/>
          </w:tcPr>
          <w:p>
            <w:pPr>
              <w:ind w:left="-4" w:leftChars="-2" w:firstLine="2" w:firstLineChars="1"/>
              <w:rPr>
                <w:rFonts w:ascii="宋体" w:hAnsi="宋体" w:cs="宋体"/>
                <w:color w:val="auto"/>
                <w:kern w:val="0"/>
                <w:szCs w:val="21"/>
                <w:highlight w:val="none"/>
              </w:rPr>
            </w:pPr>
          </w:p>
        </w:tc>
        <w:tc>
          <w:tcPr>
            <w:tcW w:w="1132" w:type="dxa"/>
            <w:vMerge w:val="restart"/>
            <w:vAlign w:val="center"/>
          </w:tcPr>
          <w:p>
            <w:pPr>
              <w:ind w:left="-4" w:leftChars="-2" w:firstLine="2" w:firstLineChars="1"/>
              <w:jc w:val="center"/>
              <w:rPr>
                <w:rFonts w:ascii="宋体" w:hAnsi="宋体" w:cs="宋体"/>
                <w:color w:val="auto"/>
                <w:kern w:val="0"/>
                <w:szCs w:val="21"/>
                <w:highlight w:val="none"/>
              </w:rPr>
            </w:pPr>
            <w:r>
              <w:rPr>
                <w:rFonts w:hint="eastAsia" w:ascii="宋体" w:hAnsi="宋体" w:cs="宋体"/>
                <w:color w:val="auto"/>
                <w:kern w:val="0"/>
                <w:szCs w:val="21"/>
                <w:highlight w:val="none"/>
              </w:rPr>
              <w:t>运营管理方案</w:t>
            </w:r>
          </w:p>
        </w:tc>
        <w:tc>
          <w:tcPr>
            <w:tcW w:w="6612" w:type="dxa"/>
            <w:vAlign w:val="center"/>
          </w:tcPr>
          <w:p>
            <w:pPr>
              <w:rPr>
                <w:rFonts w:ascii="宋体" w:hAnsi="宋体" w:cs="仿宋"/>
                <w:color w:val="auto"/>
                <w:szCs w:val="21"/>
                <w:highlight w:val="none"/>
              </w:rPr>
            </w:pPr>
            <w:r>
              <w:rPr>
                <w:rFonts w:hint="eastAsia" w:ascii="宋体" w:hAnsi="宋体" w:cs="宋体"/>
                <w:color w:val="auto"/>
                <w:szCs w:val="21"/>
                <w:highlight w:val="none"/>
              </w:rPr>
              <w:t>根据供应商提供的</w:t>
            </w:r>
            <w:r>
              <w:rPr>
                <w:rFonts w:hint="eastAsia" w:ascii="宋体" w:hAnsi="宋体" w:cs="仿宋"/>
                <w:color w:val="auto"/>
                <w:szCs w:val="21"/>
                <w:highlight w:val="none"/>
              </w:rPr>
              <w:t>经营思路和管理办法，从社会责任、服务宗旨、服务效率等方面，通过合同的制度化管理，制定针对商户的规范化管理措施。</w:t>
            </w:r>
          </w:p>
          <w:p>
            <w:pPr>
              <w:rPr>
                <w:rFonts w:ascii="宋体" w:hAnsi="宋体" w:cs="宋体"/>
                <w:color w:val="auto"/>
                <w:szCs w:val="21"/>
                <w:highlight w:val="none"/>
              </w:rPr>
            </w:pPr>
            <w:r>
              <w:rPr>
                <w:rFonts w:hint="eastAsia" w:ascii="宋体" w:hAnsi="宋体" w:cs="宋体"/>
                <w:color w:val="auto"/>
                <w:szCs w:val="21"/>
                <w:highlight w:val="none"/>
              </w:rPr>
              <w:t>科学、合理，针对性强，2分；</w:t>
            </w:r>
          </w:p>
          <w:p>
            <w:pPr>
              <w:rPr>
                <w:rFonts w:ascii="宋体" w:hAnsi="宋体" w:cs="宋体"/>
                <w:color w:val="auto"/>
                <w:szCs w:val="21"/>
                <w:highlight w:val="none"/>
              </w:rPr>
            </w:pPr>
            <w:r>
              <w:rPr>
                <w:rFonts w:hint="eastAsia" w:ascii="宋体" w:hAnsi="宋体" w:cs="宋体"/>
                <w:color w:val="auto"/>
                <w:szCs w:val="21"/>
                <w:highlight w:val="none"/>
              </w:rPr>
              <w:t>合理，可行，1分；</w:t>
            </w:r>
          </w:p>
          <w:p>
            <w:pPr>
              <w:rPr>
                <w:rFonts w:ascii="宋体" w:hAnsi="宋体" w:cs="宋体"/>
                <w:color w:val="auto"/>
                <w:szCs w:val="21"/>
                <w:highlight w:val="none"/>
              </w:rPr>
            </w:pPr>
            <w:r>
              <w:rPr>
                <w:rFonts w:hint="eastAsia" w:ascii="宋体" w:hAnsi="宋体" w:cs="宋体"/>
                <w:color w:val="auto"/>
                <w:szCs w:val="21"/>
                <w:highlight w:val="none"/>
              </w:rPr>
              <w:t>欠合理，基本可行，0分；</w:t>
            </w:r>
          </w:p>
          <w:p>
            <w:pPr>
              <w:rPr>
                <w:rFonts w:ascii="宋体" w:hAnsi="宋体" w:cs="宋体"/>
                <w:color w:val="auto"/>
                <w:szCs w:val="21"/>
                <w:highlight w:val="none"/>
              </w:rPr>
            </w:pPr>
            <w:r>
              <w:rPr>
                <w:rFonts w:hint="eastAsia" w:ascii="宋体" w:hAnsi="宋体" w:cs="宋体"/>
                <w:color w:val="auto"/>
                <w:kern w:val="0"/>
                <w:szCs w:val="21"/>
                <w:highlight w:val="none"/>
              </w:rPr>
              <w:t>未提供不得分。</w:t>
            </w:r>
          </w:p>
        </w:tc>
        <w:tc>
          <w:tcPr>
            <w:tcW w:w="707" w:type="dxa"/>
            <w:vAlign w:val="center"/>
          </w:tcPr>
          <w:p>
            <w:pPr>
              <w:jc w:val="center"/>
              <w:rPr>
                <w:rFonts w:ascii="宋体" w:hAnsi="宋体" w:cs="宋体"/>
                <w:color w:val="auto"/>
                <w:szCs w:val="21"/>
                <w:highlight w:val="none"/>
              </w:rPr>
            </w:pPr>
            <w:r>
              <w:rPr>
                <w:rFonts w:hint="eastAsia" w:ascii="宋体" w:hAnsi="宋体" w:cs="宋体"/>
                <w:color w:val="auto"/>
                <w:kern w:val="0"/>
                <w:szCs w:val="21"/>
                <w:highlight w:val="none"/>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8" w:hRule="atLeast"/>
        </w:trPr>
        <w:tc>
          <w:tcPr>
            <w:tcW w:w="727" w:type="dxa"/>
            <w:vMerge w:val="continue"/>
            <w:vAlign w:val="center"/>
          </w:tcPr>
          <w:p>
            <w:pPr>
              <w:rPr>
                <w:rFonts w:ascii="宋体" w:hAnsi="宋体" w:cs="宋体"/>
                <w:color w:val="auto"/>
                <w:szCs w:val="21"/>
                <w:highlight w:val="none"/>
              </w:rPr>
            </w:pPr>
          </w:p>
        </w:tc>
        <w:tc>
          <w:tcPr>
            <w:tcW w:w="1132" w:type="dxa"/>
            <w:vMerge w:val="continue"/>
            <w:vAlign w:val="center"/>
          </w:tcPr>
          <w:p>
            <w:pPr>
              <w:jc w:val="center"/>
              <w:rPr>
                <w:rFonts w:ascii="宋体" w:hAnsi="宋体" w:cs="宋体"/>
                <w:color w:val="auto"/>
                <w:szCs w:val="21"/>
                <w:highlight w:val="none"/>
              </w:rPr>
            </w:pPr>
          </w:p>
        </w:tc>
        <w:tc>
          <w:tcPr>
            <w:tcW w:w="6612" w:type="dxa"/>
            <w:vAlign w:val="center"/>
          </w:tcPr>
          <w:p>
            <w:pPr>
              <w:tabs>
                <w:tab w:val="left" w:pos="747"/>
              </w:tabs>
              <w:ind w:left="-4" w:leftChars="-2" w:firstLine="2" w:firstLineChars="1"/>
              <w:rPr>
                <w:rFonts w:ascii="宋体" w:hAnsi="宋体" w:cs="宋体"/>
                <w:color w:val="auto"/>
                <w:szCs w:val="21"/>
                <w:highlight w:val="none"/>
              </w:rPr>
            </w:pPr>
            <w:r>
              <w:rPr>
                <w:rFonts w:hint="eastAsia" w:ascii="宋体" w:hAnsi="宋体" w:cs="宋体"/>
                <w:color w:val="auto"/>
                <w:szCs w:val="21"/>
                <w:highlight w:val="none"/>
              </w:rPr>
              <w:t>根据供应商提供的国际知名连锁、国内知名连锁及其他品牌，</w:t>
            </w:r>
            <w:r>
              <w:rPr>
                <w:rFonts w:hint="eastAsia" w:ascii="宋体" w:hAnsi="宋体" w:cs="仿宋"/>
                <w:color w:val="auto"/>
                <w:szCs w:val="21"/>
                <w:highlight w:val="none"/>
              </w:rPr>
              <w:t>引入商户资格审查和准入制度，对</w:t>
            </w:r>
            <w:r>
              <w:rPr>
                <w:rFonts w:hint="eastAsia" w:ascii="宋体" w:hAnsi="宋体" w:cs="宋体"/>
                <w:color w:val="auto"/>
                <w:szCs w:val="21"/>
                <w:highlight w:val="none"/>
              </w:rPr>
              <w:t>管理方案进行综合评分：</w:t>
            </w:r>
          </w:p>
          <w:p>
            <w:pPr>
              <w:tabs>
                <w:tab w:val="left" w:pos="747"/>
              </w:tabs>
              <w:ind w:left="-4" w:leftChars="-2" w:firstLine="2" w:firstLineChars="1"/>
              <w:rPr>
                <w:rFonts w:ascii="宋体" w:hAnsi="宋体" w:cs="宋体"/>
                <w:color w:val="auto"/>
                <w:kern w:val="0"/>
                <w:szCs w:val="21"/>
                <w:highlight w:val="none"/>
              </w:rPr>
            </w:pPr>
            <w:r>
              <w:rPr>
                <w:rFonts w:hint="eastAsia" w:ascii="宋体" w:hAnsi="宋体" w:cs="宋体"/>
                <w:color w:val="auto"/>
                <w:kern w:val="0"/>
                <w:szCs w:val="21"/>
                <w:highlight w:val="none"/>
              </w:rPr>
              <w:t>方案描述清晰、详尽，措施具有可行性、可操作性的，得2分；</w:t>
            </w:r>
          </w:p>
          <w:p>
            <w:pPr>
              <w:tabs>
                <w:tab w:val="left" w:pos="747"/>
              </w:tabs>
              <w:ind w:left="-4" w:leftChars="-2" w:firstLine="2" w:firstLineChars="1"/>
              <w:rPr>
                <w:rFonts w:ascii="宋体" w:hAnsi="宋体" w:cs="宋体"/>
                <w:color w:val="auto"/>
                <w:kern w:val="0"/>
                <w:szCs w:val="21"/>
                <w:highlight w:val="none"/>
              </w:rPr>
            </w:pPr>
            <w:r>
              <w:rPr>
                <w:rFonts w:hint="eastAsia" w:ascii="宋体" w:hAnsi="宋体" w:cs="宋体"/>
                <w:color w:val="auto"/>
                <w:kern w:val="0"/>
                <w:szCs w:val="21"/>
                <w:highlight w:val="none"/>
              </w:rPr>
              <w:t>方案描述基本清晰，有措施的，得1分；</w:t>
            </w:r>
          </w:p>
          <w:p>
            <w:pPr>
              <w:tabs>
                <w:tab w:val="left" w:pos="747"/>
              </w:tabs>
              <w:ind w:left="-4" w:leftChars="-2" w:firstLine="2" w:firstLineChars="1"/>
              <w:rPr>
                <w:rFonts w:ascii="宋体" w:hAnsi="宋体" w:cs="宋体"/>
                <w:color w:val="auto"/>
                <w:kern w:val="0"/>
                <w:szCs w:val="21"/>
                <w:highlight w:val="none"/>
              </w:rPr>
            </w:pPr>
            <w:r>
              <w:rPr>
                <w:rFonts w:hint="eastAsia" w:ascii="宋体" w:hAnsi="宋体" w:cs="宋体"/>
                <w:color w:val="auto"/>
                <w:kern w:val="0"/>
                <w:szCs w:val="21"/>
                <w:highlight w:val="none"/>
              </w:rPr>
              <w:t>有方案、有措施，但描述不清晰，有明显缺陷的，得0分；</w:t>
            </w:r>
          </w:p>
          <w:p>
            <w:pPr>
              <w:tabs>
                <w:tab w:val="left" w:pos="747"/>
              </w:tabs>
              <w:ind w:left="-4" w:leftChars="-2" w:firstLine="2" w:firstLineChars="1"/>
              <w:rPr>
                <w:rFonts w:ascii="宋体" w:hAnsi="宋体" w:cs="宋体"/>
                <w:color w:val="auto"/>
                <w:szCs w:val="21"/>
                <w:highlight w:val="none"/>
              </w:rPr>
            </w:pPr>
            <w:r>
              <w:rPr>
                <w:rFonts w:hint="eastAsia" w:ascii="宋体" w:hAnsi="宋体" w:cs="宋体"/>
                <w:color w:val="auto"/>
                <w:kern w:val="0"/>
                <w:szCs w:val="21"/>
                <w:highlight w:val="none"/>
              </w:rPr>
              <w:t>未提供不得分。</w:t>
            </w:r>
          </w:p>
        </w:tc>
        <w:tc>
          <w:tcPr>
            <w:tcW w:w="707" w:type="dxa"/>
            <w:vAlign w:val="center"/>
          </w:tcPr>
          <w:p>
            <w:pPr>
              <w:jc w:val="center"/>
              <w:rPr>
                <w:rFonts w:ascii="宋体" w:hAnsi="宋体" w:cs="宋体"/>
                <w:color w:val="auto"/>
                <w:szCs w:val="21"/>
                <w:highlight w:val="none"/>
              </w:rPr>
            </w:pPr>
            <w:r>
              <w:rPr>
                <w:rFonts w:hint="eastAsia" w:ascii="宋体" w:hAnsi="宋体" w:cs="宋体"/>
                <w:color w:val="auto"/>
                <w:kern w:val="0"/>
                <w:szCs w:val="21"/>
                <w:highlight w:val="none"/>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8" w:hRule="atLeast"/>
        </w:trPr>
        <w:tc>
          <w:tcPr>
            <w:tcW w:w="727" w:type="dxa"/>
            <w:vMerge w:val="continue"/>
            <w:vAlign w:val="center"/>
          </w:tcPr>
          <w:p>
            <w:pPr>
              <w:ind w:left="-4" w:leftChars="-2" w:firstLine="2" w:firstLineChars="1"/>
              <w:rPr>
                <w:rFonts w:ascii="宋体" w:hAnsi="宋体" w:cs="宋体"/>
                <w:color w:val="auto"/>
                <w:kern w:val="0"/>
                <w:szCs w:val="21"/>
                <w:highlight w:val="none"/>
              </w:rPr>
            </w:pPr>
          </w:p>
        </w:tc>
        <w:tc>
          <w:tcPr>
            <w:tcW w:w="1132" w:type="dxa"/>
            <w:vMerge w:val="continue"/>
            <w:vAlign w:val="center"/>
          </w:tcPr>
          <w:p>
            <w:pPr>
              <w:ind w:left="-4" w:leftChars="-2" w:firstLine="2" w:firstLineChars="1"/>
              <w:jc w:val="center"/>
              <w:rPr>
                <w:rFonts w:ascii="宋体" w:hAnsi="宋体" w:cs="宋体"/>
                <w:color w:val="auto"/>
                <w:kern w:val="0"/>
                <w:szCs w:val="21"/>
                <w:highlight w:val="none"/>
              </w:rPr>
            </w:pPr>
          </w:p>
        </w:tc>
        <w:tc>
          <w:tcPr>
            <w:tcW w:w="6612" w:type="dxa"/>
            <w:vAlign w:val="center"/>
          </w:tcPr>
          <w:p>
            <w:pPr>
              <w:tabs>
                <w:tab w:val="left" w:pos="747"/>
              </w:tabs>
              <w:ind w:left="-4" w:leftChars="-2" w:firstLine="2" w:firstLineChars="1"/>
              <w:rPr>
                <w:rFonts w:ascii="宋体" w:hAnsi="宋体" w:cs="宋体"/>
                <w:color w:val="auto"/>
                <w:szCs w:val="21"/>
                <w:highlight w:val="none"/>
              </w:rPr>
            </w:pPr>
            <w:r>
              <w:rPr>
                <w:rFonts w:hint="eastAsia" w:ascii="宋体" w:hAnsi="宋体" w:cs="宋体"/>
                <w:color w:val="auto"/>
                <w:szCs w:val="21"/>
                <w:highlight w:val="none"/>
              </w:rPr>
              <w:t>根据供应商提供的</w:t>
            </w:r>
            <w:r>
              <w:rPr>
                <w:rFonts w:hint="eastAsia" w:ascii="宋体" w:hAnsi="宋体" w:cs="宋体"/>
                <w:color w:val="auto"/>
                <w:kern w:val="0"/>
                <w:szCs w:val="21"/>
                <w:highlight w:val="none"/>
              </w:rPr>
              <w:t>校企合作</w:t>
            </w:r>
            <w:r>
              <w:rPr>
                <w:rFonts w:hint="eastAsia" w:ascii="宋体" w:hAnsi="宋体" w:cs="宋体"/>
                <w:color w:val="auto"/>
                <w:szCs w:val="21"/>
                <w:highlight w:val="none"/>
              </w:rPr>
              <w:t>方案（包含但不限于贫困学生资助方案及其它惠及师生措施等）进行综合评分：</w:t>
            </w:r>
          </w:p>
          <w:p>
            <w:pPr>
              <w:tabs>
                <w:tab w:val="left" w:pos="747"/>
              </w:tabs>
              <w:ind w:left="-4" w:leftChars="-2" w:firstLine="2" w:firstLineChars="1"/>
              <w:rPr>
                <w:rFonts w:ascii="宋体" w:hAnsi="宋体" w:cs="宋体"/>
                <w:color w:val="auto"/>
                <w:kern w:val="0"/>
                <w:szCs w:val="21"/>
                <w:highlight w:val="none"/>
              </w:rPr>
            </w:pPr>
            <w:r>
              <w:rPr>
                <w:rFonts w:hint="eastAsia" w:ascii="宋体" w:hAnsi="宋体" w:cs="宋体"/>
                <w:color w:val="auto"/>
                <w:kern w:val="0"/>
                <w:szCs w:val="21"/>
                <w:highlight w:val="none"/>
              </w:rPr>
              <w:t>方案描述清晰、详尽，措施具有可行性、可操作性的，得2分；</w:t>
            </w:r>
          </w:p>
          <w:p>
            <w:pPr>
              <w:tabs>
                <w:tab w:val="left" w:pos="747"/>
              </w:tabs>
              <w:ind w:left="-4" w:leftChars="-2" w:firstLine="2" w:firstLineChars="1"/>
              <w:rPr>
                <w:rFonts w:ascii="宋体" w:hAnsi="宋体" w:cs="宋体"/>
                <w:color w:val="auto"/>
                <w:kern w:val="0"/>
                <w:szCs w:val="21"/>
                <w:highlight w:val="none"/>
              </w:rPr>
            </w:pPr>
            <w:r>
              <w:rPr>
                <w:rFonts w:hint="eastAsia" w:ascii="宋体" w:hAnsi="宋体" w:cs="宋体"/>
                <w:color w:val="auto"/>
                <w:kern w:val="0"/>
                <w:szCs w:val="21"/>
                <w:highlight w:val="none"/>
              </w:rPr>
              <w:t>方案描述基本清晰，有措施的，得1分；</w:t>
            </w:r>
          </w:p>
          <w:p>
            <w:pPr>
              <w:tabs>
                <w:tab w:val="left" w:pos="747"/>
              </w:tabs>
              <w:ind w:left="-4" w:leftChars="-2" w:firstLine="2" w:firstLineChars="1"/>
              <w:rPr>
                <w:rFonts w:ascii="宋体" w:hAnsi="宋体" w:cs="宋体"/>
                <w:color w:val="auto"/>
                <w:kern w:val="0"/>
                <w:szCs w:val="21"/>
                <w:highlight w:val="none"/>
              </w:rPr>
            </w:pPr>
            <w:r>
              <w:rPr>
                <w:rFonts w:hint="eastAsia" w:ascii="宋体" w:hAnsi="宋体" w:cs="宋体"/>
                <w:color w:val="auto"/>
                <w:kern w:val="0"/>
                <w:szCs w:val="21"/>
                <w:highlight w:val="none"/>
              </w:rPr>
              <w:t>有方案、有措施，但描述不清晰，有明显缺陷的，得0分；</w:t>
            </w:r>
          </w:p>
          <w:p>
            <w:pPr>
              <w:rPr>
                <w:rFonts w:ascii="宋体" w:hAnsi="宋体" w:cs="宋体"/>
                <w:color w:val="auto"/>
                <w:szCs w:val="21"/>
                <w:highlight w:val="none"/>
              </w:rPr>
            </w:pPr>
            <w:r>
              <w:rPr>
                <w:rFonts w:hint="eastAsia" w:ascii="宋体" w:hAnsi="宋体" w:cs="宋体"/>
                <w:color w:val="auto"/>
                <w:kern w:val="0"/>
                <w:szCs w:val="21"/>
                <w:highlight w:val="none"/>
              </w:rPr>
              <w:t>未提供不得分。</w:t>
            </w:r>
          </w:p>
        </w:tc>
        <w:tc>
          <w:tcPr>
            <w:tcW w:w="707"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7" w:hRule="atLeast"/>
        </w:trPr>
        <w:tc>
          <w:tcPr>
            <w:tcW w:w="727" w:type="dxa"/>
            <w:vMerge w:val="continue"/>
            <w:vAlign w:val="center"/>
          </w:tcPr>
          <w:p>
            <w:pPr>
              <w:ind w:left="-4" w:leftChars="-2" w:firstLine="2" w:firstLineChars="1"/>
              <w:rPr>
                <w:rFonts w:ascii="宋体" w:hAnsi="宋体" w:cs="宋体"/>
                <w:color w:val="auto"/>
                <w:kern w:val="0"/>
                <w:szCs w:val="21"/>
                <w:highlight w:val="none"/>
              </w:rPr>
            </w:pPr>
          </w:p>
        </w:tc>
        <w:tc>
          <w:tcPr>
            <w:tcW w:w="1132" w:type="dxa"/>
            <w:vAlign w:val="center"/>
          </w:tcPr>
          <w:p>
            <w:pPr>
              <w:ind w:left="-4" w:leftChars="-2" w:firstLine="2" w:firstLineChars="1"/>
              <w:jc w:val="center"/>
              <w:rPr>
                <w:rFonts w:ascii="宋体" w:hAnsi="宋体" w:cs="宋体"/>
                <w:color w:val="auto"/>
                <w:kern w:val="0"/>
                <w:szCs w:val="21"/>
                <w:highlight w:val="none"/>
              </w:rPr>
            </w:pPr>
            <w:r>
              <w:rPr>
                <w:rFonts w:hint="eastAsia" w:ascii="宋体" w:hAnsi="宋体" w:cs="宋体"/>
                <w:color w:val="auto"/>
                <w:kern w:val="0"/>
                <w:szCs w:val="21"/>
                <w:highlight w:val="none"/>
              </w:rPr>
              <w:t>设施设备维护方案</w:t>
            </w:r>
          </w:p>
        </w:tc>
        <w:tc>
          <w:tcPr>
            <w:tcW w:w="6612" w:type="dxa"/>
            <w:vAlign w:val="center"/>
          </w:tcPr>
          <w:p>
            <w:pPr>
              <w:rPr>
                <w:rFonts w:ascii="宋体" w:hAnsi="宋体" w:cs="宋体"/>
                <w:color w:val="auto"/>
                <w:szCs w:val="21"/>
                <w:highlight w:val="none"/>
              </w:rPr>
            </w:pPr>
            <w:r>
              <w:rPr>
                <w:rFonts w:hint="eastAsia" w:ascii="宋体" w:hAnsi="宋体" w:cs="宋体"/>
                <w:color w:val="auto"/>
                <w:szCs w:val="21"/>
                <w:highlight w:val="none"/>
              </w:rPr>
              <w:t>根据供应商提供的设施设备年度检修和日常保养计划（包含但不限于电梯、室内外照明、排风换气设备、消防设备、水电管网等辅助设施等）的合理性进行综合评议；</w:t>
            </w:r>
          </w:p>
          <w:p>
            <w:pPr>
              <w:rPr>
                <w:rFonts w:ascii="宋体" w:hAnsi="宋体" w:cs="宋体"/>
                <w:color w:val="auto"/>
                <w:szCs w:val="21"/>
                <w:highlight w:val="none"/>
              </w:rPr>
            </w:pPr>
            <w:r>
              <w:rPr>
                <w:rFonts w:hint="eastAsia" w:ascii="宋体" w:hAnsi="宋体" w:cs="宋体"/>
                <w:color w:val="auto"/>
                <w:szCs w:val="21"/>
                <w:highlight w:val="none"/>
              </w:rPr>
              <w:t>方案描述清晰、详尽，措施具有可行性、可操作性的，得2分；</w:t>
            </w:r>
          </w:p>
          <w:p>
            <w:pPr>
              <w:rPr>
                <w:rFonts w:ascii="宋体" w:hAnsi="宋体" w:cs="宋体"/>
                <w:color w:val="auto"/>
                <w:szCs w:val="21"/>
                <w:highlight w:val="none"/>
              </w:rPr>
            </w:pPr>
            <w:r>
              <w:rPr>
                <w:rFonts w:hint="eastAsia" w:ascii="宋体" w:hAnsi="宋体" w:cs="宋体"/>
                <w:color w:val="auto"/>
                <w:szCs w:val="21"/>
                <w:highlight w:val="none"/>
              </w:rPr>
              <w:t>方案描述基本清晰，有措施的，得1分；</w:t>
            </w:r>
          </w:p>
          <w:p>
            <w:pPr>
              <w:rPr>
                <w:rFonts w:ascii="宋体" w:hAnsi="宋体" w:cs="宋体"/>
                <w:color w:val="auto"/>
                <w:szCs w:val="21"/>
                <w:highlight w:val="none"/>
              </w:rPr>
            </w:pPr>
            <w:r>
              <w:rPr>
                <w:rFonts w:hint="eastAsia" w:ascii="宋体" w:hAnsi="宋体" w:cs="宋体"/>
                <w:color w:val="auto"/>
                <w:szCs w:val="21"/>
                <w:highlight w:val="none"/>
              </w:rPr>
              <w:t>有方案、有措施，但描述不清晰，有明显缺陷的，得0分；</w:t>
            </w:r>
          </w:p>
          <w:p>
            <w:pPr>
              <w:rPr>
                <w:rFonts w:ascii="宋体" w:hAnsi="宋体" w:cs="宋体"/>
                <w:color w:val="auto"/>
                <w:szCs w:val="21"/>
                <w:highlight w:val="none"/>
              </w:rPr>
            </w:pPr>
            <w:r>
              <w:rPr>
                <w:rFonts w:hint="eastAsia" w:ascii="宋体" w:hAnsi="宋体" w:cs="宋体"/>
                <w:color w:val="auto"/>
                <w:szCs w:val="21"/>
                <w:highlight w:val="none"/>
              </w:rPr>
              <w:t>未提供不得分。</w:t>
            </w:r>
          </w:p>
        </w:tc>
        <w:tc>
          <w:tcPr>
            <w:tcW w:w="707"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7" w:hRule="atLeast"/>
        </w:trPr>
        <w:tc>
          <w:tcPr>
            <w:tcW w:w="727" w:type="dxa"/>
            <w:vMerge w:val="continue"/>
            <w:vAlign w:val="center"/>
          </w:tcPr>
          <w:p>
            <w:pPr>
              <w:tabs>
                <w:tab w:val="left" w:pos="1467"/>
              </w:tabs>
              <w:ind w:left="-4" w:leftChars="-2" w:firstLine="2" w:firstLineChars="1"/>
              <w:rPr>
                <w:rFonts w:ascii="宋体" w:hAnsi="宋体" w:cs="宋体"/>
                <w:color w:val="auto"/>
                <w:kern w:val="0"/>
                <w:szCs w:val="21"/>
                <w:highlight w:val="none"/>
              </w:rPr>
            </w:pPr>
          </w:p>
        </w:tc>
        <w:tc>
          <w:tcPr>
            <w:tcW w:w="1132" w:type="dxa"/>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安全保障措施方案</w:t>
            </w:r>
          </w:p>
        </w:tc>
        <w:tc>
          <w:tcPr>
            <w:tcW w:w="6612" w:type="dxa"/>
            <w:vAlign w:val="center"/>
          </w:tcPr>
          <w:p>
            <w:pPr>
              <w:tabs>
                <w:tab w:val="left" w:pos="747"/>
              </w:tabs>
              <w:ind w:left="-4" w:leftChars="-2" w:firstLine="2" w:firstLineChars="1"/>
              <w:rPr>
                <w:color w:val="auto"/>
                <w:highlight w:val="none"/>
              </w:rPr>
            </w:pPr>
            <w:r>
              <w:rPr>
                <w:rFonts w:hint="eastAsia"/>
                <w:color w:val="auto"/>
                <w:highlight w:val="none"/>
              </w:rPr>
              <w:t>根据供应商提供的安全保障措施（包含但不限于食品安全、水电燃气使用安全、疫情防控、消防安全、人身财产安全等校园安全措施）的合理性进行综合评议；</w:t>
            </w:r>
          </w:p>
          <w:p>
            <w:pPr>
              <w:tabs>
                <w:tab w:val="left" w:pos="747"/>
              </w:tabs>
              <w:ind w:left="-4" w:leftChars="-2" w:firstLine="2" w:firstLineChars="1"/>
              <w:rPr>
                <w:color w:val="auto"/>
                <w:highlight w:val="none"/>
              </w:rPr>
            </w:pPr>
            <w:r>
              <w:rPr>
                <w:rFonts w:hint="eastAsia"/>
                <w:color w:val="auto"/>
                <w:highlight w:val="none"/>
              </w:rPr>
              <w:t>方案描述清晰、详尽，措施具有可行性、可操作性的，得2分；</w:t>
            </w:r>
          </w:p>
          <w:p>
            <w:pPr>
              <w:tabs>
                <w:tab w:val="left" w:pos="747"/>
              </w:tabs>
              <w:ind w:left="-4" w:leftChars="-2" w:firstLine="2" w:firstLineChars="1"/>
              <w:rPr>
                <w:color w:val="auto"/>
                <w:highlight w:val="none"/>
              </w:rPr>
            </w:pPr>
            <w:r>
              <w:rPr>
                <w:rFonts w:hint="eastAsia"/>
                <w:color w:val="auto"/>
                <w:highlight w:val="none"/>
              </w:rPr>
              <w:t>方案描述基本清晰，有措施的，得1分；</w:t>
            </w:r>
          </w:p>
          <w:p>
            <w:pPr>
              <w:tabs>
                <w:tab w:val="left" w:pos="747"/>
              </w:tabs>
              <w:ind w:left="-4" w:leftChars="-2" w:firstLine="2" w:firstLineChars="1"/>
              <w:rPr>
                <w:color w:val="auto"/>
                <w:highlight w:val="none"/>
              </w:rPr>
            </w:pPr>
            <w:r>
              <w:rPr>
                <w:rFonts w:hint="eastAsia"/>
                <w:color w:val="auto"/>
                <w:highlight w:val="none"/>
              </w:rPr>
              <w:t>有方案、有措施，但描述不清晰，有明显缺陷的，得0分；</w:t>
            </w:r>
          </w:p>
          <w:p>
            <w:pPr>
              <w:tabs>
                <w:tab w:val="left" w:pos="747"/>
              </w:tabs>
              <w:ind w:left="-4" w:leftChars="-2" w:firstLine="2" w:firstLineChars="1"/>
              <w:rPr>
                <w:color w:val="auto"/>
                <w:highlight w:val="none"/>
              </w:rPr>
            </w:pPr>
            <w:r>
              <w:rPr>
                <w:rFonts w:hint="eastAsia"/>
                <w:color w:val="auto"/>
                <w:highlight w:val="none"/>
              </w:rPr>
              <w:t>未提供不得分。</w:t>
            </w:r>
          </w:p>
        </w:tc>
        <w:tc>
          <w:tcPr>
            <w:tcW w:w="707"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8" w:hRule="atLeast"/>
        </w:trPr>
        <w:tc>
          <w:tcPr>
            <w:tcW w:w="727" w:type="dxa"/>
            <w:vMerge w:val="continue"/>
            <w:vAlign w:val="center"/>
          </w:tcPr>
          <w:p>
            <w:pPr>
              <w:tabs>
                <w:tab w:val="left" w:pos="1467"/>
              </w:tabs>
              <w:ind w:left="-4" w:leftChars="-2" w:firstLine="2" w:firstLineChars="1"/>
              <w:rPr>
                <w:rFonts w:ascii="宋体" w:hAnsi="宋体" w:cs="宋体"/>
                <w:color w:val="auto"/>
                <w:kern w:val="0"/>
                <w:szCs w:val="21"/>
                <w:highlight w:val="none"/>
              </w:rPr>
            </w:pPr>
          </w:p>
        </w:tc>
        <w:tc>
          <w:tcPr>
            <w:tcW w:w="1132" w:type="dxa"/>
            <w:vMerge w:val="restart"/>
            <w:vAlign w:val="center"/>
          </w:tcPr>
          <w:p>
            <w:pPr>
              <w:ind w:left="-4" w:leftChars="-2" w:firstLine="2" w:firstLineChars="1"/>
              <w:jc w:val="center"/>
              <w:rPr>
                <w:rFonts w:ascii="宋体" w:hAnsi="宋体" w:cs="宋体"/>
                <w:color w:val="auto"/>
                <w:kern w:val="0"/>
                <w:szCs w:val="21"/>
                <w:highlight w:val="none"/>
              </w:rPr>
            </w:pPr>
            <w:r>
              <w:rPr>
                <w:rFonts w:hint="eastAsia" w:ascii="宋体" w:hAnsi="宋体" w:cs="宋体"/>
                <w:color w:val="auto"/>
                <w:kern w:val="0"/>
                <w:szCs w:val="21"/>
                <w:highlight w:val="none"/>
              </w:rPr>
              <w:t>项目管理机构</w:t>
            </w:r>
          </w:p>
          <w:p>
            <w:pPr>
              <w:widowControl/>
              <w:jc w:val="center"/>
              <w:rPr>
                <w:rFonts w:ascii="宋体" w:hAnsi="宋体" w:cs="宋体"/>
                <w:color w:val="auto"/>
                <w:szCs w:val="21"/>
                <w:highlight w:val="none"/>
              </w:rPr>
            </w:pPr>
          </w:p>
        </w:tc>
        <w:tc>
          <w:tcPr>
            <w:tcW w:w="6612" w:type="dxa"/>
            <w:vAlign w:val="center"/>
          </w:tcPr>
          <w:p>
            <w:pPr>
              <w:rPr>
                <w:rFonts w:ascii="宋体" w:hAnsi="宋体" w:cs="宋体"/>
                <w:color w:val="auto"/>
                <w:szCs w:val="21"/>
                <w:highlight w:val="none"/>
              </w:rPr>
            </w:pPr>
            <w:r>
              <w:rPr>
                <w:rFonts w:hint="eastAsia" w:ascii="宋体" w:hAnsi="宋体" w:cs="宋体"/>
                <w:color w:val="auto"/>
                <w:szCs w:val="21"/>
                <w:highlight w:val="none"/>
              </w:rPr>
              <w:t>根据供应商提供的负责</w:t>
            </w:r>
            <w:r>
              <w:rPr>
                <w:rFonts w:ascii="宋体" w:hAnsi="宋体" w:cs="宋体"/>
                <w:color w:val="auto"/>
                <w:szCs w:val="21"/>
                <w:highlight w:val="none"/>
              </w:rPr>
              <w:t>综合体</w:t>
            </w:r>
            <w:r>
              <w:rPr>
                <w:rFonts w:hint="eastAsia" w:ascii="宋体" w:hAnsi="宋体" w:cs="宋体"/>
                <w:color w:val="auto"/>
                <w:szCs w:val="21"/>
                <w:highlight w:val="none"/>
              </w:rPr>
              <w:t>日常</w:t>
            </w:r>
            <w:r>
              <w:rPr>
                <w:rFonts w:ascii="宋体" w:hAnsi="宋体" w:cs="宋体"/>
                <w:color w:val="auto"/>
                <w:szCs w:val="21"/>
                <w:highlight w:val="none"/>
              </w:rPr>
              <w:t>运营</w:t>
            </w:r>
            <w:r>
              <w:rPr>
                <w:rFonts w:hint="eastAsia" w:ascii="宋体" w:hAnsi="宋体" w:cs="宋体"/>
                <w:color w:val="auto"/>
                <w:szCs w:val="21"/>
                <w:highlight w:val="none"/>
              </w:rPr>
              <w:t>及</w:t>
            </w:r>
            <w:r>
              <w:rPr>
                <w:rFonts w:ascii="宋体" w:hAnsi="宋体" w:cs="宋体"/>
                <w:color w:val="auto"/>
                <w:szCs w:val="21"/>
                <w:highlight w:val="none"/>
              </w:rPr>
              <w:t>管理</w:t>
            </w:r>
            <w:r>
              <w:rPr>
                <w:rFonts w:hint="eastAsia" w:ascii="宋体" w:hAnsi="宋体" w:cs="宋体"/>
                <w:color w:val="auto"/>
                <w:szCs w:val="21"/>
                <w:highlight w:val="none"/>
              </w:rPr>
              <w:t>的管理机构（包含但不限于管理机构设立、岗位职责与规范等）的合理性进行综合评议；</w:t>
            </w:r>
          </w:p>
          <w:p>
            <w:pPr>
              <w:tabs>
                <w:tab w:val="left" w:pos="747"/>
              </w:tabs>
              <w:ind w:left="-4" w:leftChars="-2" w:firstLine="2" w:firstLineChars="1"/>
              <w:rPr>
                <w:rFonts w:ascii="宋体" w:hAnsi="宋体" w:cs="宋体"/>
                <w:color w:val="auto"/>
                <w:kern w:val="0"/>
                <w:szCs w:val="21"/>
                <w:highlight w:val="none"/>
              </w:rPr>
            </w:pPr>
            <w:r>
              <w:rPr>
                <w:rFonts w:hint="eastAsia" w:ascii="宋体" w:hAnsi="宋体" w:cs="宋体"/>
                <w:color w:val="auto"/>
                <w:kern w:val="0"/>
                <w:szCs w:val="21"/>
                <w:highlight w:val="none"/>
              </w:rPr>
              <w:t>方案描述清晰、详尽，措施具有可行性、可操作性的，得2分；</w:t>
            </w:r>
          </w:p>
          <w:p>
            <w:pPr>
              <w:tabs>
                <w:tab w:val="left" w:pos="747"/>
              </w:tabs>
              <w:ind w:left="-4" w:leftChars="-2" w:firstLine="2" w:firstLineChars="1"/>
              <w:rPr>
                <w:rFonts w:ascii="宋体" w:hAnsi="宋体" w:cs="宋体"/>
                <w:color w:val="auto"/>
                <w:kern w:val="0"/>
                <w:szCs w:val="21"/>
                <w:highlight w:val="none"/>
              </w:rPr>
            </w:pPr>
            <w:r>
              <w:rPr>
                <w:rFonts w:hint="eastAsia" w:ascii="宋体" w:hAnsi="宋体" w:cs="宋体"/>
                <w:color w:val="auto"/>
                <w:kern w:val="0"/>
                <w:szCs w:val="21"/>
                <w:highlight w:val="none"/>
              </w:rPr>
              <w:t>方案描述基本清晰，有措施的，得1分；</w:t>
            </w:r>
          </w:p>
          <w:p>
            <w:pPr>
              <w:tabs>
                <w:tab w:val="left" w:pos="747"/>
              </w:tabs>
              <w:ind w:left="-4" w:leftChars="-2" w:firstLine="2" w:firstLineChars="1"/>
              <w:rPr>
                <w:rFonts w:ascii="宋体" w:hAnsi="宋体" w:cs="宋体"/>
                <w:color w:val="auto"/>
                <w:kern w:val="0"/>
                <w:szCs w:val="21"/>
                <w:highlight w:val="none"/>
              </w:rPr>
            </w:pPr>
            <w:r>
              <w:rPr>
                <w:rFonts w:hint="eastAsia" w:ascii="宋体" w:hAnsi="宋体" w:cs="宋体"/>
                <w:color w:val="auto"/>
                <w:kern w:val="0"/>
                <w:szCs w:val="21"/>
                <w:highlight w:val="none"/>
              </w:rPr>
              <w:t>有方案、有措施，但描述不清晰，有明显缺陷的，得0分；</w:t>
            </w:r>
          </w:p>
          <w:p>
            <w:pPr>
              <w:rPr>
                <w:rFonts w:ascii="宋体" w:hAnsi="宋体" w:cs="宋体"/>
                <w:color w:val="auto"/>
                <w:szCs w:val="21"/>
                <w:highlight w:val="none"/>
              </w:rPr>
            </w:pPr>
            <w:r>
              <w:rPr>
                <w:rFonts w:hint="eastAsia" w:ascii="宋体" w:hAnsi="宋体" w:cs="宋体"/>
                <w:color w:val="auto"/>
                <w:kern w:val="0"/>
                <w:szCs w:val="21"/>
                <w:highlight w:val="none"/>
              </w:rPr>
              <w:t>未提供不得分。</w:t>
            </w:r>
          </w:p>
        </w:tc>
        <w:tc>
          <w:tcPr>
            <w:tcW w:w="707"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7" w:hRule="atLeast"/>
        </w:trPr>
        <w:tc>
          <w:tcPr>
            <w:tcW w:w="727" w:type="dxa"/>
            <w:vMerge w:val="continue"/>
            <w:vAlign w:val="center"/>
          </w:tcPr>
          <w:p>
            <w:pPr>
              <w:tabs>
                <w:tab w:val="left" w:pos="1467"/>
              </w:tabs>
              <w:ind w:left="-4" w:leftChars="-2" w:firstLine="2" w:firstLineChars="1"/>
              <w:rPr>
                <w:rFonts w:ascii="宋体" w:hAnsi="宋体" w:cs="宋体"/>
                <w:color w:val="auto"/>
                <w:kern w:val="0"/>
                <w:szCs w:val="21"/>
                <w:highlight w:val="none"/>
              </w:rPr>
            </w:pPr>
          </w:p>
        </w:tc>
        <w:tc>
          <w:tcPr>
            <w:tcW w:w="1132" w:type="dxa"/>
            <w:vMerge w:val="continue"/>
            <w:vAlign w:val="center"/>
          </w:tcPr>
          <w:p>
            <w:pPr>
              <w:widowControl/>
              <w:jc w:val="center"/>
              <w:rPr>
                <w:rFonts w:ascii="宋体" w:hAnsi="宋体" w:cs="宋体"/>
                <w:color w:val="auto"/>
                <w:szCs w:val="21"/>
                <w:highlight w:val="none"/>
              </w:rPr>
            </w:pPr>
          </w:p>
        </w:tc>
        <w:tc>
          <w:tcPr>
            <w:tcW w:w="6612" w:type="dxa"/>
            <w:vAlign w:val="center"/>
          </w:tcPr>
          <w:p>
            <w:pPr>
              <w:rPr>
                <w:rFonts w:ascii="宋体" w:hAnsi="宋体" w:cs="宋体"/>
                <w:color w:val="auto"/>
                <w:szCs w:val="21"/>
                <w:highlight w:val="none"/>
              </w:rPr>
            </w:pPr>
            <w:r>
              <w:rPr>
                <w:rFonts w:hint="eastAsia" w:ascii="宋体" w:hAnsi="宋体" w:cs="宋体"/>
                <w:color w:val="auto"/>
                <w:szCs w:val="21"/>
                <w:highlight w:val="none"/>
              </w:rPr>
              <w:t>根据供应商提供的负责</w:t>
            </w:r>
            <w:r>
              <w:rPr>
                <w:rFonts w:ascii="宋体" w:hAnsi="宋体" w:cs="宋体"/>
                <w:color w:val="auto"/>
                <w:szCs w:val="21"/>
                <w:highlight w:val="none"/>
              </w:rPr>
              <w:t>综合体</w:t>
            </w:r>
            <w:r>
              <w:rPr>
                <w:rFonts w:hint="eastAsia" w:ascii="宋体" w:hAnsi="宋体" w:cs="宋体"/>
                <w:color w:val="auto"/>
                <w:szCs w:val="21"/>
                <w:highlight w:val="none"/>
              </w:rPr>
              <w:t>日常</w:t>
            </w:r>
            <w:r>
              <w:rPr>
                <w:rFonts w:ascii="宋体" w:hAnsi="宋体" w:cs="宋体"/>
                <w:color w:val="auto"/>
                <w:szCs w:val="21"/>
                <w:highlight w:val="none"/>
              </w:rPr>
              <w:t>运营</w:t>
            </w:r>
            <w:r>
              <w:rPr>
                <w:rFonts w:hint="eastAsia" w:ascii="宋体" w:hAnsi="宋体" w:cs="宋体"/>
                <w:color w:val="auto"/>
                <w:szCs w:val="21"/>
                <w:highlight w:val="none"/>
              </w:rPr>
              <w:t>及</w:t>
            </w:r>
            <w:r>
              <w:rPr>
                <w:rFonts w:ascii="宋体" w:hAnsi="宋体" w:cs="宋体"/>
                <w:color w:val="auto"/>
                <w:szCs w:val="21"/>
                <w:highlight w:val="none"/>
              </w:rPr>
              <w:t>管理</w:t>
            </w:r>
            <w:r>
              <w:rPr>
                <w:rFonts w:hint="eastAsia" w:ascii="宋体" w:hAnsi="宋体" w:cs="宋体"/>
                <w:color w:val="auto"/>
                <w:szCs w:val="21"/>
                <w:highlight w:val="none"/>
              </w:rPr>
              <w:t>的管理机构各项制度（包含但不限于运营管理制度、商户管理制度、服务质量考评制度、从业人员培训制度、责任追究制度等）合理性进行综合评议；</w:t>
            </w:r>
          </w:p>
          <w:p>
            <w:pPr>
              <w:tabs>
                <w:tab w:val="left" w:pos="747"/>
              </w:tabs>
              <w:ind w:left="-4" w:leftChars="-2" w:firstLine="2" w:firstLineChars="1"/>
              <w:rPr>
                <w:rFonts w:ascii="宋体" w:hAnsi="宋体" w:cs="宋体"/>
                <w:color w:val="auto"/>
                <w:kern w:val="0"/>
                <w:szCs w:val="21"/>
                <w:highlight w:val="none"/>
              </w:rPr>
            </w:pPr>
            <w:r>
              <w:rPr>
                <w:rFonts w:hint="eastAsia" w:ascii="宋体" w:hAnsi="宋体" w:cs="宋体"/>
                <w:color w:val="auto"/>
                <w:kern w:val="0"/>
                <w:szCs w:val="21"/>
                <w:highlight w:val="none"/>
              </w:rPr>
              <w:t>方案描述清晰、详尽，措施具有可行性、可操作性的，得2分；</w:t>
            </w:r>
          </w:p>
          <w:p>
            <w:pPr>
              <w:tabs>
                <w:tab w:val="left" w:pos="747"/>
              </w:tabs>
              <w:ind w:left="-4" w:leftChars="-2" w:firstLine="2" w:firstLineChars="1"/>
              <w:rPr>
                <w:rFonts w:ascii="宋体" w:hAnsi="宋体" w:cs="宋体"/>
                <w:color w:val="auto"/>
                <w:kern w:val="0"/>
                <w:szCs w:val="21"/>
                <w:highlight w:val="none"/>
              </w:rPr>
            </w:pPr>
            <w:r>
              <w:rPr>
                <w:rFonts w:hint="eastAsia" w:ascii="宋体" w:hAnsi="宋体" w:cs="宋体"/>
                <w:color w:val="auto"/>
                <w:kern w:val="0"/>
                <w:szCs w:val="21"/>
                <w:highlight w:val="none"/>
              </w:rPr>
              <w:t>方案描述基本清晰，有措施的，得1分；</w:t>
            </w:r>
          </w:p>
          <w:p>
            <w:pPr>
              <w:tabs>
                <w:tab w:val="left" w:pos="747"/>
              </w:tabs>
              <w:ind w:left="-4" w:leftChars="-2" w:firstLine="2" w:firstLineChars="1"/>
              <w:rPr>
                <w:rFonts w:ascii="宋体" w:hAnsi="宋体" w:cs="宋体"/>
                <w:color w:val="auto"/>
                <w:kern w:val="0"/>
                <w:szCs w:val="21"/>
                <w:highlight w:val="none"/>
              </w:rPr>
            </w:pPr>
            <w:r>
              <w:rPr>
                <w:rFonts w:hint="eastAsia" w:ascii="宋体" w:hAnsi="宋体" w:cs="宋体"/>
                <w:color w:val="auto"/>
                <w:kern w:val="0"/>
                <w:szCs w:val="21"/>
                <w:highlight w:val="none"/>
              </w:rPr>
              <w:t>有方案、有措施，但描述不清晰，有明显缺陷的，得0分；</w:t>
            </w:r>
          </w:p>
          <w:p>
            <w:pPr>
              <w:rPr>
                <w:rFonts w:ascii="宋体" w:hAnsi="宋体" w:cs="宋体"/>
                <w:color w:val="auto"/>
                <w:szCs w:val="21"/>
                <w:highlight w:val="none"/>
              </w:rPr>
            </w:pPr>
            <w:r>
              <w:rPr>
                <w:rFonts w:hint="eastAsia" w:ascii="宋体" w:hAnsi="宋体" w:cs="宋体"/>
                <w:color w:val="auto"/>
                <w:kern w:val="0"/>
                <w:szCs w:val="21"/>
                <w:highlight w:val="none"/>
              </w:rPr>
              <w:t>未提供不得分。</w:t>
            </w:r>
          </w:p>
        </w:tc>
        <w:tc>
          <w:tcPr>
            <w:tcW w:w="707"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8" w:hRule="atLeast"/>
        </w:trPr>
        <w:tc>
          <w:tcPr>
            <w:tcW w:w="727" w:type="dxa"/>
            <w:vMerge w:val="continue"/>
            <w:vAlign w:val="center"/>
          </w:tcPr>
          <w:p>
            <w:pPr>
              <w:tabs>
                <w:tab w:val="left" w:pos="1467"/>
              </w:tabs>
              <w:ind w:left="-4" w:leftChars="-2" w:firstLine="2" w:firstLineChars="1"/>
              <w:rPr>
                <w:rFonts w:ascii="宋体" w:hAnsi="宋体" w:cs="宋体"/>
                <w:color w:val="auto"/>
                <w:kern w:val="0"/>
                <w:szCs w:val="21"/>
                <w:highlight w:val="none"/>
              </w:rPr>
            </w:pPr>
          </w:p>
        </w:tc>
        <w:tc>
          <w:tcPr>
            <w:tcW w:w="1132" w:type="dxa"/>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相关承诺</w:t>
            </w:r>
          </w:p>
        </w:tc>
        <w:tc>
          <w:tcPr>
            <w:tcW w:w="6612"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服从严格“三禁止”业态进驻等学校各项管理规定，根据供应商提供的按时缴纳合作经营收益承诺书以及违约罚款承诺及罚款具体金额和条款进行综合评议；</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科学、合理，针对性强，2分；</w:t>
            </w:r>
          </w:p>
          <w:p>
            <w:pPr>
              <w:rPr>
                <w:rFonts w:ascii="宋体" w:hAnsi="宋体" w:cs="宋体"/>
                <w:color w:val="auto"/>
                <w:kern w:val="0"/>
                <w:szCs w:val="21"/>
                <w:highlight w:val="none"/>
              </w:rPr>
            </w:pPr>
            <w:r>
              <w:rPr>
                <w:rFonts w:hint="eastAsia" w:ascii="宋体" w:hAnsi="宋体" w:cs="宋体"/>
                <w:color w:val="auto"/>
                <w:kern w:val="0"/>
                <w:szCs w:val="21"/>
                <w:highlight w:val="none"/>
              </w:rPr>
              <w:t>合理，可行，1分；</w:t>
            </w:r>
          </w:p>
          <w:p>
            <w:pPr>
              <w:rPr>
                <w:rFonts w:ascii="宋体" w:hAnsi="宋体" w:cs="宋体"/>
                <w:color w:val="auto"/>
                <w:kern w:val="0"/>
                <w:szCs w:val="21"/>
                <w:highlight w:val="none"/>
              </w:rPr>
            </w:pPr>
            <w:r>
              <w:rPr>
                <w:rFonts w:hint="eastAsia" w:ascii="宋体" w:hAnsi="宋体" w:cs="宋体"/>
                <w:color w:val="auto"/>
                <w:kern w:val="0"/>
                <w:szCs w:val="21"/>
                <w:highlight w:val="none"/>
              </w:rPr>
              <w:t>欠合理，基本可行，0.5分；</w:t>
            </w:r>
          </w:p>
          <w:p>
            <w:pPr>
              <w:rPr>
                <w:rFonts w:ascii="宋体" w:hAnsi="宋体" w:cs="宋体"/>
                <w:color w:val="auto"/>
                <w:kern w:val="0"/>
                <w:szCs w:val="21"/>
                <w:highlight w:val="none"/>
              </w:rPr>
            </w:pPr>
            <w:r>
              <w:rPr>
                <w:rFonts w:hint="eastAsia" w:ascii="宋体" w:hAnsi="宋体" w:cs="宋体"/>
                <w:color w:val="auto"/>
                <w:kern w:val="0"/>
                <w:szCs w:val="21"/>
                <w:highlight w:val="none"/>
              </w:rPr>
              <w:t>未提供承诺书的本项不得分。</w:t>
            </w:r>
          </w:p>
        </w:tc>
        <w:tc>
          <w:tcPr>
            <w:tcW w:w="707"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atLeast"/>
        </w:trPr>
        <w:tc>
          <w:tcPr>
            <w:tcW w:w="727" w:type="dxa"/>
            <w:vMerge w:val="continue"/>
            <w:vAlign w:val="center"/>
          </w:tcPr>
          <w:p>
            <w:pPr>
              <w:tabs>
                <w:tab w:val="left" w:pos="1467"/>
              </w:tabs>
              <w:ind w:left="-4" w:leftChars="-2" w:firstLine="2" w:firstLineChars="1"/>
              <w:rPr>
                <w:rFonts w:ascii="宋体" w:hAnsi="宋体" w:cs="宋体"/>
                <w:color w:val="auto"/>
                <w:kern w:val="0"/>
                <w:szCs w:val="21"/>
                <w:highlight w:val="none"/>
              </w:rPr>
            </w:pPr>
          </w:p>
        </w:tc>
        <w:tc>
          <w:tcPr>
            <w:tcW w:w="1132" w:type="dxa"/>
            <w:vAlign w:val="center"/>
          </w:tcPr>
          <w:p>
            <w:pPr>
              <w:widowControl/>
              <w:jc w:val="center"/>
              <w:rPr>
                <w:rFonts w:ascii="宋体" w:hAnsi="宋体" w:cs="宋体"/>
                <w:color w:val="auto"/>
                <w:szCs w:val="21"/>
                <w:highlight w:val="none"/>
              </w:rPr>
            </w:pPr>
            <w:r>
              <w:rPr>
                <w:rFonts w:hint="eastAsia" w:ascii="宋体" w:hAnsi="宋体" w:cs="宋体"/>
                <w:color w:val="auto"/>
                <w:szCs w:val="21"/>
                <w:highlight w:val="none"/>
              </w:rPr>
              <w:t>投诉处理机制</w:t>
            </w:r>
          </w:p>
        </w:tc>
        <w:tc>
          <w:tcPr>
            <w:tcW w:w="6612"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根据供应商设立的服务中心或投诉受理点的具体管理方案进行综合评议：</w:t>
            </w:r>
            <w:r>
              <w:rPr>
                <w:rFonts w:hint="eastAsia" w:ascii="宋体" w:hAnsi="宋体" w:cs="宋体"/>
                <w:color w:val="auto"/>
                <w:kern w:val="0"/>
                <w:szCs w:val="21"/>
                <w:highlight w:val="none"/>
              </w:rPr>
              <w:br w:type="textWrapping"/>
            </w:r>
            <w:r>
              <w:rPr>
                <w:rFonts w:hint="eastAsia" w:ascii="宋体" w:hAnsi="宋体" w:cs="宋体"/>
                <w:color w:val="auto"/>
                <w:kern w:val="0"/>
                <w:szCs w:val="21"/>
                <w:highlight w:val="none"/>
              </w:rPr>
              <w:t>科学、合理，针对性强，2分；</w:t>
            </w:r>
          </w:p>
          <w:p>
            <w:pPr>
              <w:rPr>
                <w:rFonts w:ascii="宋体" w:hAnsi="宋体" w:cs="宋体"/>
                <w:color w:val="auto"/>
                <w:kern w:val="0"/>
                <w:szCs w:val="21"/>
                <w:highlight w:val="none"/>
              </w:rPr>
            </w:pPr>
            <w:r>
              <w:rPr>
                <w:rFonts w:hint="eastAsia" w:ascii="宋体" w:hAnsi="宋体" w:cs="宋体"/>
                <w:color w:val="auto"/>
                <w:kern w:val="0"/>
                <w:szCs w:val="21"/>
                <w:highlight w:val="none"/>
              </w:rPr>
              <w:t>合理，可行，1分；</w:t>
            </w:r>
          </w:p>
          <w:p>
            <w:pPr>
              <w:rPr>
                <w:rFonts w:ascii="宋体" w:hAnsi="宋体" w:cs="宋体"/>
                <w:color w:val="auto"/>
                <w:kern w:val="0"/>
                <w:szCs w:val="21"/>
                <w:highlight w:val="none"/>
              </w:rPr>
            </w:pPr>
            <w:r>
              <w:rPr>
                <w:rFonts w:hint="eastAsia" w:ascii="宋体" w:hAnsi="宋体" w:cs="宋体"/>
                <w:color w:val="auto"/>
                <w:kern w:val="0"/>
                <w:szCs w:val="21"/>
                <w:highlight w:val="none"/>
              </w:rPr>
              <w:t>欠合理，基本可行，0.5分；</w:t>
            </w:r>
          </w:p>
        </w:tc>
        <w:tc>
          <w:tcPr>
            <w:tcW w:w="707" w:type="dxa"/>
            <w:vAlign w:val="center"/>
          </w:tcPr>
          <w:p>
            <w:pPr>
              <w:rPr>
                <w:rFonts w:ascii="宋体" w:hAnsi="宋体" w:cs="宋体"/>
                <w:color w:val="auto"/>
                <w:kern w:val="0"/>
                <w:szCs w:val="21"/>
                <w:highlight w:val="none"/>
              </w:rPr>
            </w:pPr>
            <w:r>
              <w:rPr>
                <w:rFonts w:hint="eastAsia" w:ascii="宋体" w:hAnsi="宋体" w:cs="宋体"/>
                <w:color w:val="auto"/>
                <w:kern w:val="0"/>
                <w:szCs w:val="21"/>
                <w:highlight w:val="none"/>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5" w:hRule="atLeast"/>
        </w:trPr>
        <w:tc>
          <w:tcPr>
            <w:tcW w:w="727"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总分</w:t>
            </w:r>
          </w:p>
        </w:tc>
        <w:tc>
          <w:tcPr>
            <w:tcW w:w="8451" w:type="dxa"/>
            <w:gridSpan w:val="3"/>
            <w:vAlign w:val="center"/>
          </w:tcPr>
          <w:p>
            <w:pPr>
              <w:jc w:val="center"/>
              <w:rPr>
                <w:rFonts w:ascii="宋体" w:hAnsi="宋体" w:cs="宋体"/>
                <w:color w:val="auto"/>
                <w:spacing w:val="-6"/>
                <w:szCs w:val="21"/>
                <w:highlight w:val="none"/>
              </w:rPr>
            </w:pPr>
            <w:r>
              <w:rPr>
                <w:rFonts w:hint="eastAsia" w:ascii="宋体" w:hAnsi="宋体" w:cs="宋体"/>
                <w:color w:val="auto"/>
                <w:spacing w:val="-6"/>
                <w:szCs w:val="21"/>
                <w:highlight w:val="none"/>
              </w:rPr>
              <w:t>100分</w:t>
            </w:r>
          </w:p>
        </w:tc>
      </w:tr>
      <w:bookmarkEnd w:id="108"/>
    </w:tbl>
    <w:p>
      <w:pPr>
        <w:spacing w:line="360" w:lineRule="auto"/>
        <w:rPr>
          <w:rFonts w:hint="eastAsia" w:asciiTheme="minorEastAsia" w:hAnsiTheme="minorEastAsia" w:eastAsiaTheme="minorEastAsia" w:cstheme="minorEastAsia"/>
          <w:b/>
          <w:color w:val="auto"/>
          <w:szCs w:val="21"/>
          <w:highlight w:val="none"/>
        </w:rPr>
      </w:pPr>
    </w:p>
    <w:p>
      <w:pPr>
        <w:spacing w:line="360" w:lineRule="auto"/>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注：上述类似业绩证明材料是否具有类似性以及其符合性均由磋商小组判定，如果资料不全或经磋商小组认定不具有类似性的，该项业绩不计分，并由磋商小组在评审报告中记录详细原因。</w:t>
      </w:r>
    </w:p>
    <w:p>
      <w:pPr>
        <w:spacing w:line="360" w:lineRule="auto"/>
        <w:outlineLvl w:val="1"/>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br w:type="textWrapping"/>
      </w:r>
      <w:r>
        <w:rPr>
          <w:rFonts w:hint="eastAsia" w:asciiTheme="minorEastAsia" w:hAnsiTheme="minorEastAsia" w:eastAsiaTheme="minorEastAsia" w:cstheme="minorEastAsia"/>
          <w:b/>
          <w:color w:val="auto"/>
          <w:szCs w:val="21"/>
          <w:highlight w:val="none"/>
        </w:rPr>
        <w:t>四、评定办法</w:t>
      </w:r>
      <w:bookmarkEnd w:id="109"/>
    </w:p>
    <w:p>
      <w:pPr>
        <w:numPr>
          <w:ilvl w:val="3"/>
          <w:numId w:val="37"/>
        </w:numPr>
        <w:tabs>
          <w:tab w:val="left" w:pos="540"/>
        </w:tabs>
        <w:spacing w:line="360" w:lineRule="auto"/>
        <w:ind w:left="540" w:hanging="54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初步审查标准</w:t>
      </w:r>
    </w:p>
    <w:p>
      <w:pPr>
        <w:numPr>
          <w:ilvl w:val="1"/>
          <w:numId w:val="38"/>
        </w:numPr>
        <w:tabs>
          <w:tab w:val="left" w:pos="540"/>
          <w:tab w:val="clear" w:pos="360"/>
        </w:tabs>
        <w:spacing w:line="360" w:lineRule="auto"/>
        <w:ind w:left="540" w:hanging="54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资格性审查标准：见评定办法前附表。</w:t>
      </w:r>
    </w:p>
    <w:p>
      <w:pPr>
        <w:numPr>
          <w:ilvl w:val="1"/>
          <w:numId w:val="38"/>
        </w:numPr>
        <w:tabs>
          <w:tab w:val="left" w:pos="540"/>
          <w:tab w:val="clear" w:pos="360"/>
        </w:tabs>
        <w:spacing w:line="360" w:lineRule="auto"/>
        <w:ind w:left="540" w:hanging="54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符合性审查标准：见评定办法前附表。</w:t>
      </w:r>
    </w:p>
    <w:p>
      <w:pPr>
        <w:numPr>
          <w:ilvl w:val="1"/>
          <w:numId w:val="38"/>
        </w:numPr>
        <w:tabs>
          <w:tab w:val="left" w:pos="540"/>
          <w:tab w:val="clear" w:pos="360"/>
        </w:tabs>
        <w:spacing w:line="360" w:lineRule="auto"/>
        <w:ind w:left="540" w:hanging="54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确定磋商供应商进行最后报价：见评定方法前附表。</w:t>
      </w:r>
    </w:p>
    <w:p>
      <w:pPr>
        <w:numPr>
          <w:ilvl w:val="3"/>
          <w:numId w:val="37"/>
        </w:numPr>
        <w:tabs>
          <w:tab w:val="left" w:pos="540"/>
        </w:tabs>
        <w:spacing w:line="360" w:lineRule="auto"/>
        <w:ind w:left="540" w:hanging="54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评定方法：见评定办法前附表。</w:t>
      </w:r>
    </w:p>
    <w:p>
      <w:pPr>
        <w:spacing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2.1 分值构成</w:t>
      </w:r>
    </w:p>
    <w:p>
      <w:pPr>
        <w:spacing w:line="360" w:lineRule="auto"/>
        <w:ind w:firstLine="718" w:firstLineChars="342"/>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（1）技术部分：见评标办法前附表；</w:t>
      </w:r>
    </w:p>
    <w:p>
      <w:pPr>
        <w:spacing w:line="360" w:lineRule="auto"/>
        <w:ind w:firstLine="718" w:firstLineChars="342"/>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（2）商务部分：见评标办法前附表；</w:t>
      </w:r>
    </w:p>
    <w:p>
      <w:pPr>
        <w:spacing w:line="360" w:lineRule="auto"/>
        <w:ind w:firstLine="718" w:firstLineChars="342"/>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（3）竞标报价：见评标办法前附表。</w:t>
      </w:r>
    </w:p>
    <w:p>
      <w:pPr>
        <w:spacing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2.2 评标基准价计算</w:t>
      </w:r>
    </w:p>
    <w:p>
      <w:pPr>
        <w:spacing w:line="360" w:lineRule="auto"/>
        <w:ind w:firstLine="840" w:firstLineChars="4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评标基准价计算方法：见评标办法前附表。</w:t>
      </w:r>
    </w:p>
    <w:p>
      <w:pPr>
        <w:spacing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2.3 评分标准</w:t>
      </w:r>
    </w:p>
    <w:p>
      <w:pPr>
        <w:spacing w:line="360" w:lineRule="auto"/>
        <w:ind w:firstLine="718" w:firstLineChars="342"/>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（1）技术部分评分标准：见评标办法前附表；</w:t>
      </w:r>
    </w:p>
    <w:p>
      <w:pPr>
        <w:spacing w:line="360" w:lineRule="auto"/>
        <w:ind w:firstLine="718" w:firstLineChars="342"/>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（2）商务部分评分标准：见评标办法前附表；</w:t>
      </w:r>
    </w:p>
    <w:p>
      <w:pPr>
        <w:spacing w:line="360" w:lineRule="auto"/>
        <w:ind w:firstLine="718" w:firstLineChars="342"/>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（3）竞标报价评分标准：见评标办法前附表。</w:t>
      </w:r>
    </w:p>
    <w:p>
      <w:pPr>
        <w:numPr>
          <w:ilvl w:val="3"/>
          <w:numId w:val="37"/>
        </w:numPr>
        <w:tabs>
          <w:tab w:val="left" w:pos="540"/>
        </w:tabs>
        <w:spacing w:line="360" w:lineRule="auto"/>
        <w:ind w:left="540" w:hanging="54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评定结果</w:t>
      </w:r>
    </w:p>
    <w:p>
      <w:pPr>
        <w:tabs>
          <w:tab w:val="left" w:pos="540"/>
        </w:tabs>
        <w:spacing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snapToGrid w:val="0"/>
          <w:color w:val="auto"/>
          <w:kern w:val="0"/>
          <w:szCs w:val="21"/>
          <w:highlight w:val="none"/>
          <w:lang w:val="zh-CN"/>
        </w:rPr>
        <w:t>3.1</w:t>
      </w:r>
      <w:r>
        <w:rPr>
          <w:rFonts w:hint="eastAsia" w:asciiTheme="minorEastAsia" w:hAnsiTheme="minorEastAsia" w:eastAsiaTheme="minorEastAsia" w:cstheme="minorEastAsia"/>
          <w:snapToGrid w:val="0"/>
          <w:color w:val="auto"/>
          <w:kern w:val="0"/>
          <w:szCs w:val="21"/>
          <w:highlight w:val="none"/>
        </w:rPr>
        <w:t xml:space="preserve"> </w:t>
      </w:r>
      <w:r>
        <w:rPr>
          <w:rFonts w:hint="eastAsia" w:asciiTheme="minorEastAsia" w:hAnsiTheme="minorEastAsia" w:eastAsiaTheme="minorEastAsia" w:cstheme="minorEastAsia"/>
          <w:snapToGrid w:val="0"/>
          <w:color w:val="auto"/>
          <w:kern w:val="0"/>
          <w:szCs w:val="21"/>
          <w:highlight w:val="none"/>
          <w:lang w:val="zh-CN"/>
        </w:rPr>
        <w:t>磋商小组严格按照本章要求对最终报价进行评定。</w:t>
      </w:r>
    </w:p>
    <w:p>
      <w:pPr>
        <w:tabs>
          <w:tab w:val="left" w:pos="540"/>
        </w:tabs>
        <w:spacing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3.2 完成评定后，</w:t>
      </w:r>
      <w:r>
        <w:rPr>
          <w:rFonts w:hint="eastAsia" w:asciiTheme="minorEastAsia" w:hAnsiTheme="minorEastAsia" w:eastAsiaTheme="minorEastAsia" w:cstheme="minorEastAsia"/>
          <w:snapToGrid w:val="0"/>
          <w:color w:val="auto"/>
          <w:kern w:val="0"/>
          <w:szCs w:val="21"/>
          <w:highlight w:val="none"/>
          <w:lang w:val="zh-CN"/>
        </w:rPr>
        <w:t>磋商小组</w:t>
      </w:r>
      <w:r>
        <w:rPr>
          <w:rFonts w:hint="eastAsia" w:asciiTheme="minorEastAsia" w:hAnsiTheme="minorEastAsia" w:eastAsiaTheme="minorEastAsia" w:cstheme="minorEastAsia"/>
          <w:color w:val="auto"/>
          <w:szCs w:val="21"/>
          <w:highlight w:val="none"/>
        </w:rPr>
        <w:t>须在评审结果推荐意见上共同签字。</w:t>
      </w:r>
    </w:p>
    <w:p>
      <w:pPr>
        <w:spacing w:line="360" w:lineRule="auto"/>
        <w:ind w:left="420" w:left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highlight w:val="none"/>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7"/>
        </w:numPr>
        <w:tabs>
          <w:tab w:val="left" w:pos="540"/>
        </w:tabs>
        <w:spacing w:line="360" w:lineRule="auto"/>
        <w:ind w:left="540" w:hanging="54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其它</w:t>
      </w:r>
    </w:p>
    <w:p>
      <w:pPr>
        <w:spacing w:line="360" w:lineRule="auto"/>
        <w:ind w:left="420" w:leftChars="200"/>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rPr>
          <w:color w:val="auto"/>
          <w:highlight w:val="none"/>
        </w:rPr>
      </w:pPr>
    </w:p>
    <w:p>
      <w:pPr>
        <w:rPr>
          <w:color w:val="auto"/>
          <w:highlight w:val="none"/>
        </w:rPr>
      </w:pPr>
    </w:p>
    <w:p>
      <w:pPr>
        <w:rPr>
          <w:color w:val="auto"/>
          <w:highlight w:val="none"/>
        </w:rPr>
      </w:pPr>
    </w:p>
    <w:p>
      <w:pPr>
        <w:rPr>
          <w:color w:val="auto"/>
          <w:highlight w:val="none"/>
        </w:rPr>
      </w:pPr>
    </w:p>
    <w:p>
      <w:pPr>
        <w:spacing w:line="360" w:lineRule="auto"/>
        <w:outlineLvl w:val="1"/>
        <w:rPr>
          <w:rFonts w:asciiTheme="minorEastAsia" w:hAnsiTheme="minorEastAsia" w:eastAsiaTheme="minorEastAsia" w:cstheme="minorEastAsia"/>
          <w:b/>
          <w:color w:val="auto"/>
          <w:szCs w:val="21"/>
          <w:highlight w:val="none"/>
        </w:rPr>
      </w:pPr>
      <w:bookmarkStart w:id="110" w:name="_Toc12017"/>
      <w:r>
        <w:rPr>
          <w:rFonts w:hint="eastAsia" w:asciiTheme="minorEastAsia" w:hAnsiTheme="minorEastAsia" w:eastAsiaTheme="minorEastAsia" w:cstheme="minorEastAsia"/>
          <w:b/>
          <w:color w:val="auto"/>
          <w:szCs w:val="21"/>
          <w:highlight w:val="none"/>
        </w:rPr>
        <w:t>五、磋商及评审步骤</w:t>
      </w:r>
      <w:bookmarkEnd w:id="110"/>
    </w:p>
    <w:p>
      <w:pPr>
        <w:spacing w:line="360" w:lineRule="auto"/>
        <w:ind w:left="420" w:leftChars="200"/>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1.验证委托代理人身份、响应文件密封检查</w:t>
      </w:r>
    </w:p>
    <w:p>
      <w:pPr>
        <w:spacing w:line="360" w:lineRule="auto"/>
        <w:ind w:firstLine="420" w:firstLineChars="200"/>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主持人按以下程序进行：</w:t>
      </w:r>
    </w:p>
    <w:p>
      <w:pPr>
        <w:spacing w:line="360" w:lineRule="auto"/>
        <w:ind w:firstLine="420" w:firstLineChars="200"/>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①宣布会场纪律。</w:t>
      </w:r>
    </w:p>
    <w:p>
      <w:pPr>
        <w:spacing w:line="360" w:lineRule="auto"/>
        <w:ind w:left="420" w:leftChars="200"/>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asciiTheme="minorEastAsia" w:hAnsiTheme="minorEastAsia" w:eastAsiaTheme="minorEastAsia" w:cstheme="minorEastAsia"/>
          <w:b/>
          <w:color w:val="auto"/>
          <w:szCs w:val="28"/>
          <w:highlight w:val="none"/>
        </w:rPr>
      </w:pPr>
      <w:r>
        <w:rPr>
          <w:rFonts w:hint="eastAsia" w:asciiTheme="minorEastAsia" w:hAnsiTheme="minorEastAsia" w:eastAsiaTheme="minorEastAsia" w:cstheme="minorEastAsia"/>
          <w:color w:val="auto"/>
          <w:szCs w:val="28"/>
          <w:highlight w:val="none"/>
        </w:rPr>
        <w:t>③检查响应文件密封情况。</w:t>
      </w:r>
    </w:p>
    <w:p>
      <w:pPr>
        <w:spacing w:line="360" w:lineRule="auto"/>
        <w:ind w:firstLine="420" w:firstLineChars="200"/>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2.资格和符合性审查</w:t>
      </w:r>
    </w:p>
    <w:p>
      <w:pPr>
        <w:spacing w:line="360" w:lineRule="auto"/>
        <w:ind w:left="420" w:leftChars="200"/>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2.1 磋商小组审查每份响应文件是否实质上响应了采购文件的要求。磋商小组决定其是否响应只根据响应文件本身的内容，而不依据外部的证据，但响应文件有不真实不正确的内容时除外。</w:t>
      </w:r>
    </w:p>
    <w:p>
      <w:pPr>
        <w:spacing w:line="360" w:lineRule="auto"/>
        <w:ind w:left="420" w:leftChars="200"/>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2.3只有通过了资格和符合性审查的供应商才能进入详细评审阶段。</w:t>
      </w:r>
    </w:p>
    <w:p>
      <w:pPr>
        <w:spacing w:line="360" w:lineRule="auto"/>
        <w:ind w:firstLine="420" w:firstLineChars="200"/>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3.供应商的澄清</w:t>
      </w:r>
    </w:p>
    <w:p>
      <w:pPr>
        <w:spacing w:line="360" w:lineRule="auto"/>
        <w:ind w:left="420" w:leftChars="200"/>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4.磋商及最后报价</w:t>
      </w:r>
    </w:p>
    <w:p>
      <w:pPr>
        <w:spacing w:line="360" w:lineRule="auto"/>
        <w:ind w:left="420" w:leftChars="200"/>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4.1磋商小组所有成员应当集中与单一供应商分别进行磋商，并按照磋商会随机抽签的顺序给予所有参加磋商的供应商平等的磋商机会。</w:t>
      </w:r>
    </w:p>
    <w:p>
      <w:pPr>
        <w:spacing w:line="360" w:lineRule="auto"/>
        <w:ind w:left="420" w:leftChars="200"/>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4.2</w:t>
      </w:r>
      <w:r>
        <w:rPr>
          <w:rFonts w:hint="eastAsia" w:asciiTheme="minorEastAsia" w:hAnsiTheme="minorEastAsia" w:eastAsiaTheme="minorEastAsia" w:cstheme="minorEastAsia"/>
          <w:b/>
          <w:color w:val="auto"/>
          <w:szCs w:val="28"/>
          <w:highlight w:val="none"/>
        </w:rPr>
        <w:t>在磋商过程中，若磋商小组无法联系上供应商代表或者供应商代表在接到磋商小组通知后15分钟内不能抵达磋商会现场的，视为该供应商自动退出磋商。</w:t>
      </w:r>
    </w:p>
    <w:p>
      <w:pPr>
        <w:spacing w:line="360" w:lineRule="auto"/>
        <w:ind w:left="420" w:leftChars="200"/>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4.3</w:t>
      </w:r>
      <w:r>
        <w:rPr>
          <w:rFonts w:hint="eastAsia" w:asciiTheme="minorEastAsia" w:hAnsiTheme="minorEastAsia" w:eastAsiaTheme="minorEastAsia" w:cstheme="minorEastAsia"/>
          <w:b/>
          <w:color w:val="auto"/>
          <w:szCs w:val="28"/>
          <w:highlight w:val="none"/>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spacing w:line="360" w:lineRule="auto"/>
        <w:ind w:left="420" w:leftChars="200"/>
        <w:jc w:val="left"/>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4.4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spacing w:line="360" w:lineRule="auto"/>
        <w:ind w:left="420" w:leftChars="200"/>
        <w:jc w:val="left"/>
        <w:rPr>
          <w:rFonts w:asciiTheme="minorEastAsia" w:hAnsiTheme="minorEastAsia" w:eastAsiaTheme="minorEastAsia" w:cstheme="minorEastAsia"/>
          <w:bCs/>
          <w:color w:val="auto"/>
          <w:szCs w:val="28"/>
          <w:highlight w:val="none"/>
        </w:rPr>
      </w:pPr>
      <w:r>
        <w:rPr>
          <w:rFonts w:hint="eastAsia" w:asciiTheme="minorEastAsia" w:hAnsiTheme="minorEastAsia" w:eastAsiaTheme="minorEastAsia" w:cstheme="minorEastAsia"/>
          <w:color w:val="auto"/>
          <w:szCs w:val="28"/>
          <w:highlight w:val="none"/>
        </w:rPr>
        <w:t>4.5磋商结束后，磋商小组将要求所有实质性响应的供应商在规定时间内提交最后报价，最后报价是供应商响应文件的有效组成部分。</w:t>
      </w:r>
    </w:p>
    <w:p>
      <w:pPr>
        <w:spacing w:line="360" w:lineRule="auto"/>
        <w:ind w:firstLine="420" w:firstLineChars="200"/>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bCs/>
          <w:color w:val="auto"/>
          <w:szCs w:val="28"/>
          <w:highlight w:val="none"/>
        </w:rPr>
        <w:t>4.6</w:t>
      </w:r>
      <w:r>
        <w:rPr>
          <w:rFonts w:hint="eastAsia" w:asciiTheme="minorEastAsia" w:hAnsiTheme="minorEastAsia" w:eastAsiaTheme="minorEastAsia" w:cstheme="minorEastAsia"/>
          <w:color w:val="auto"/>
          <w:szCs w:val="28"/>
          <w:highlight w:val="none"/>
        </w:rPr>
        <w:t>已提交响应文件的供应商，在提交最后报价之前，可以根据磋商情况退出磋商。</w:t>
      </w:r>
    </w:p>
    <w:p>
      <w:pPr>
        <w:spacing w:line="360" w:lineRule="auto"/>
        <w:ind w:firstLine="420" w:firstLineChars="200"/>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4.7符合下列情形，在采购过程中符合要求的供应商可以为2家：</w:t>
      </w:r>
    </w:p>
    <w:p>
      <w:pPr>
        <w:spacing w:line="360" w:lineRule="auto"/>
        <w:ind w:firstLine="420" w:firstLineChars="200"/>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（1）政府购买服务项目（含政府和社会资本合作项目）；</w:t>
      </w:r>
    </w:p>
    <w:p>
      <w:pPr>
        <w:spacing w:line="360" w:lineRule="auto"/>
        <w:ind w:firstLine="420" w:firstLineChars="200"/>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（2）市场竞争不充分的科研项目，以及需要扶持的科技成果转化项目。</w:t>
      </w:r>
    </w:p>
    <w:p>
      <w:pPr>
        <w:spacing w:line="360" w:lineRule="auto"/>
        <w:ind w:firstLine="420" w:firstLineChars="200"/>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5.详细评审</w:t>
      </w:r>
    </w:p>
    <w:p>
      <w:pPr>
        <w:spacing w:line="360" w:lineRule="auto"/>
        <w:ind w:left="420" w:leftChars="200"/>
        <w:jc w:val="left"/>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5.1经磋商确定最终采购需求和提交最后报价的供应商后，由磋商小组采用综合评分法对提交最后报价的供应商的响应文件和最后报价进行综合评分。具体详见“评分细则”。</w:t>
      </w:r>
    </w:p>
    <w:p>
      <w:pPr>
        <w:spacing w:line="360" w:lineRule="auto"/>
        <w:ind w:left="420" w:leftChars="200"/>
        <w:jc w:val="left"/>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5.2评审时，磋商小组各成员应当独立对每个有效响应的文件进行评价、打分，然后汇总每个供应商每项评分因素的得分。</w:t>
      </w:r>
    </w:p>
    <w:p>
      <w:pPr>
        <w:spacing w:line="360" w:lineRule="auto"/>
        <w:ind w:left="420" w:leftChars="200"/>
        <w:jc w:val="left"/>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 xml:space="preserve">5.3采购代理机构负责对各磋商小组成员的总分进行复核和汇总。各项统计结果均精确到小数点后两位。 </w:t>
      </w:r>
    </w:p>
    <w:p>
      <w:pPr>
        <w:spacing w:line="360" w:lineRule="auto"/>
        <w:ind w:left="420" w:leftChars="200"/>
        <w:jc w:val="left"/>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spacing w:line="360" w:lineRule="auto"/>
        <w:ind w:left="420" w:leftChars="200"/>
        <w:jc w:val="left"/>
        <w:rPr>
          <w:rFonts w:asciiTheme="minorEastAsia" w:hAnsiTheme="minorEastAsia" w:eastAsiaTheme="minorEastAsia" w:cstheme="minorEastAsia"/>
          <w:color w:val="auto"/>
          <w:szCs w:val="28"/>
          <w:highlight w:val="none"/>
        </w:rPr>
      </w:pPr>
      <w:r>
        <w:rPr>
          <w:rFonts w:hint="eastAsia" w:asciiTheme="minorEastAsia" w:hAnsiTheme="minorEastAsia" w:eastAsiaTheme="minorEastAsia" w:cstheme="minorEastAsia"/>
          <w:color w:val="auto"/>
          <w:szCs w:val="28"/>
          <w:highlight w:val="none"/>
        </w:rPr>
        <w:t>5.5在评审期间，供应商不得干扰和阻碍评审工作，供应商不得向磋商小组询问评审情况，任何影响和干扰评审工作的行为都可能导致被取消本次评审的资格，并承担相应的法律责任。</w:t>
      </w:r>
    </w:p>
    <w:p>
      <w:pPr>
        <w:spacing w:line="360" w:lineRule="auto"/>
        <w:ind w:left="420" w:left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8"/>
          <w:highlight w:val="none"/>
        </w:rPr>
        <w:t>5.6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br w:type="textWrapping"/>
      </w:r>
    </w:p>
    <w:p>
      <w:pPr>
        <w:rPr>
          <w:rFonts w:asciiTheme="minorEastAsia" w:hAnsiTheme="minorEastAsia" w:eastAsiaTheme="minorEastAsia" w:cstheme="minorEastAsia"/>
          <w:color w:val="auto"/>
          <w:kern w:val="0"/>
          <w:szCs w:val="21"/>
          <w:highlight w:val="none"/>
        </w:rPr>
      </w:pPr>
      <w:bookmarkStart w:id="111" w:name="_Toc211783328"/>
      <w:bookmarkStart w:id="112" w:name="_Toc318643471"/>
      <w:r>
        <w:rPr>
          <w:rFonts w:hint="eastAsia" w:asciiTheme="minorEastAsia" w:hAnsiTheme="minorEastAsia" w:eastAsiaTheme="minorEastAsia" w:cstheme="minorEastAsia"/>
          <w:color w:val="auto"/>
          <w:sz w:val="36"/>
          <w:szCs w:val="36"/>
          <w:highlight w:val="none"/>
        </w:rPr>
        <w:br w:type="page"/>
      </w:r>
    </w:p>
    <w:p>
      <w:pPr>
        <w:pStyle w:val="3"/>
        <w:numPr>
          <w:ilvl w:val="0"/>
          <w:numId w:val="4"/>
        </w:numPr>
        <w:spacing w:line="240" w:lineRule="auto"/>
        <w:jc w:val="center"/>
        <w:rPr>
          <w:rFonts w:asciiTheme="minorEastAsia" w:hAnsiTheme="minorEastAsia" w:eastAsiaTheme="minorEastAsia" w:cstheme="minorEastAsia"/>
          <w:b w:val="0"/>
          <w:color w:val="auto"/>
          <w:kern w:val="0"/>
          <w:szCs w:val="21"/>
          <w:highlight w:val="none"/>
        </w:rPr>
      </w:pPr>
      <w:bookmarkStart w:id="113" w:name="_Toc26676"/>
      <w:r>
        <w:rPr>
          <w:rFonts w:hint="eastAsia" w:asciiTheme="minorEastAsia" w:hAnsiTheme="minorEastAsia" w:eastAsiaTheme="minorEastAsia" w:cstheme="minorEastAsia"/>
          <w:color w:val="auto"/>
          <w:sz w:val="36"/>
          <w:szCs w:val="36"/>
          <w:highlight w:val="none"/>
        </w:rPr>
        <w:t>合同书</w:t>
      </w:r>
      <w:bookmarkEnd w:id="111"/>
      <w:bookmarkEnd w:id="112"/>
      <w:r>
        <w:rPr>
          <w:rFonts w:hint="eastAsia" w:asciiTheme="minorEastAsia" w:hAnsiTheme="minorEastAsia" w:eastAsiaTheme="minorEastAsia" w:cstheme="minorEastAsia"/>
          <w:color w:val="auto"/>
          <w:sz w:val="36"/>
          <w:szCs w:val="36"/>
          <w:highlight w:val="none"/>
        </w:rPr>
        <w:t>格式</w:t>
      </w:r>
      <w:bookmarkEnd w:id="113"/>
    </w:p>
    <w:p>
      <w:pPr>
        <w:ind w:firstLine="420"/>
        <w:jc w:val="center"/>
        <w:rPr>
          <w:rFonts w:asciiTheme="minorEastAsia" w:hAnsiTheme="minorEastAsia" w:eastAsiaTheme="minorEastAsia" w:cstheme="minorEastAsia"/>
          <w:b/>
          <w:color w:val="auto"/>
          <w:kern w:val="0"/>
          <w:szCs w:val="21"/>
          <w:highlight w:val="none"/>
        </w:rPr>
      </w:pPr>
      <w:r>
        <w:rPr>
          <w:rFonts w:hint="eastAsia" w:asciiTheme="minorEastAsia" w:hAnsiTheme="minorEastAsia" w:eastAsiaTheme="minorEastAsia" w:cstheme="minorEastAsia"/>
          <w:b/>
          <w:bCs/>
          <w:color w:val="auto"/>
          <w:szCs w:val="21"/>
          <w:highlight w:val="none"/>
        </w:rPr>
        <w:t>（此合同书仅供签订正式合同时参考用）</w:t>
      </w:r>
    </w:p>
    <w:p>
      <w:pPr>
        <w:autoSpaceDE w:val="0"/>
        <w:autoSpaceDN w:val="0"/>
        <w:adjustRightInd w:val="0"/>
        <w:spacing w:line="360" w:lineRule="auto"/>
        <w:jc w:val="center"/>
        <w:rPr>
          <w:rFonts w:asciiTheme="minorEastAsia" w:hAnsiTheme="minorEastAsia" w:eastAsiaTheme="minorEastAsia" w:cstheme="minorEastAsia"/>
          <w:b/>
          <w:color w:val="auto"/>
          <w:kern w:val="0"/>
          <w:sz w:val="22"/>
          <w:szCs w:val="22"/>
          <w:highlight w:val="none"/>
        </w:rPr>
      </w:pPr>
      <w:r>
        <w:rPr>
          <w:rFonts w:hint="eastAsia" w:asciiTheme="minorEastAsia" w:hAnsiTheme="minorEastAsia" w:eastAsiaTheme="minorEastAsia" w:cstheme="minorEastAsia"/>
          <w:b/>
          <w:color w:val="auto"/>
          <w:kern w:val="0"/>
          <w:sz w:val="22"/>
          <w:szCs w:val="22"/>
          <w:highlight w:val="none"/>
        </w:rPr>
        <w:t>合　　同　　协    议   书</w:t>
      </w:r>
    </w:p>
    <w:p>
      <w:pPr>
        <w:jc w:val="center"/>
        <w:rPr>
          <w:rFonts w:ascii="宋体"/>
          <w:b/>
          <w:color w:val="auto"/>
          <w:kern w:val="0"/>
          <w:sz w:val="32"/>
          <w:szCs w:val="32"/>
          <w:highlight w:val="none"/>
        </w:rPr>
      </w:pPr>
      <w:bookmarkStart w:id="114" w:name="_Toc6614"/>
      <w:r>
        <w:rPr>
          <w:rFonts w:hint="eastAsia" w:ascii="宋体"/>
          <w:b/>
          <w:color w:val="auto"/>
          <w:kern w:val="0"/>
          <w:sz w:val="32"/>
          <w:szCs w:val="32"/>
          <w:highlight w:val="none"/>
        </w:rPr>
        <w:t>华中师范大学满江红生活服务综合体联合经营项目合作协议书</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甲方：华中师范大学</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法定代表人：</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通讯地址：湖北省武汉市洪山区珞瑜路</w:t>
      </w:r>
      <w:r>
        <w:rPr>
          <w:rFonts w:ascii="宋体"/>
          <w:color w:val="auto"/>
          <w:kern w:val="0"/>
          <w:szCs w:val="21"/>
          <w:highlight w:val="none"/>
        </w:rPr>
        <w:t>152</w:t>
      </w:r>
      <w:r>
        <w:rPr>
          <w:rFonts w:hint="eastAsia" w:ascii="宋体"/>
          <w:color w:val="auto"/>
          <w:kern w:val="0"/>
          <w:szCs w:val="21"/>
          <w:highlight w:val="none"/>
        </w:rPr>
        <w:t>号</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邮政编码：430079</w:t>
      </w:r>
    </w:p>
    <w:p>
      <w:pPr>
        <w:autoSpaceDE w:val="0"/>
        <w:autoSpaceDN w:val="0"/>
        <w:adjustRightInd w:val="0"/>
        <w:ind w:firstLine="420" w:firstLineChars="200"/>
        <w:jc w:val="left"/>
        <w:rPr>
          <w:rFonts w:ascii="宋体"/>
          <w:color w:val="auto"/>
          <w:kern w:val="0"/>
          <w:szCs w:val="21"/>
          <w:highlight w:val="none"/>
        </w:rPr>
      </w:pP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乙方：</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法定代表人：</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通讯地址：</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邮政编码：</w:t>
      </w:r>
    </w:p>
    <w:p>
      <w:pPr>
        <w:autoSpaceDE w:val="0"/>
        <w:autoSpaceDN w:val="0"/>
        <w:adjustRightInd w:val="0"/>
        <w:ind w:firstLine="420" w:firstLineChars="200"/>
        <w:jc w:val="left"/>
        <w:rPr>
          <w:rFonts w:ascii="宋体"/>
          <w:color w:val="auto"/>
          <w:kern w:val="0"/>
          <w:szCs w:val="21"/>
          <w:highlight w:val="none"/>
        </w:rPr>
      </w:pP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根据《中华人民共和国民法典》及相关法律法规规定，甲乙双方本着平等、自愿、诚实、守信的原则，就《联合经营满江红生活服务综合体项目》协商一致，订立本协议，以资共同恪守。</w:t>
      </w:r>
    </w:p>
    <w:p>
      <w:pPr>
        <w:autoSpaceDE w:val="0"/>
        <w:autoSpaceDN w:val="0"/>
        <w:adjustRightInd w:val="0"/>
        <w:ind w:firstLine="422" w:firstLineChars="200"/>
        <w:jc w:val="left"/>
        <w:rPr>
          <w:rFonts w:ascii="宋体"/>
          <w:b/>
          <w:color w:val="auto"/>
          <w:kern w:val="0"/>
          <w:szCs w:val="21"/>
          <w:highlight w:val="none"/>
        </w:rPr>
      </w:pPr>
      <w:r>
        <w:rPr>
          <w:rFonts w:hint="eastAsia" w:ascii="宋体"/>
          <w:b/>
          <w:color w:val="auto"/>
          <w:kern w:val="0"/>
          <w:szCs w:val="21"/>
          <w:highlight w:val="none"/>
        </w:rPr>
        <w:t>第一条  项目合作内容</w:t>
      </w:r>
    </w:p>
    <w:p>
      <w:pPr>
        <w:autoSpaceDE w:val="0"/>
        <w:autoSpaceDN w:val="0"/>
        <w:adjustRightInd w:val="0"/>
        <w:ind w:firstLine="420" w:firstLineChars="200"/>
        <w:jc w:val="left"/>
        <w:rPr>
          <w:rFonts w:ascii="宋体"/>
          <w:color w:val="auto"/>
          <w:kern w:val="0"/>
          <w:szCs w:val="21"/>
          <w:highlight w:val="none"/>
        </w:rPr>
      </w:pPr>
      <w:r>
        <w:rPr>
          <w:rFonts w:ascii="宋体"/>
          <w:color w:val="auto"/>
          <w:kern w:val="0"/>
          <w:szCs w:val="21"/>
          <w:highlight w:val="none"/>
        </w:rPr>
        <w:t>1</w:t>
      </w:r>
      <w:r>
        <w:rPr>
          <w:rFonts w:hint="eastAsia" w:ascii="宋体"/>
          <w:color w:val="auto"/>
          <w:kern w:val="0"/>
          <w:szCs w:val="21"/>
          <w:highlight w:val="none"/>
        </w:rPr>
        <w:t>、甲方提供位于武汉市洪山区珞瑜路</w:t>
      </w:r>
      <w:r>
        <w:rPr>
          <w:rFonts w:ascii="宋体"/>
          <w:color w:val="auto"/>
          <w:kern w:val="0"/>
          <w:szCs w:val="21"/>
          <w:highlight w:val="none"/>
        </w:rPr>
        <w:t>152</w:t>
      </w:r>
      <w:r>
        <w:rPr>
          <w:rFonts w:hint="eastAsia" w:ascii="宋体"/>
          <w:color w:val="auto"/>
          <w:kern w:val="0"/>
          <w:szCs w:val="21"/>
          <w:highlight w:val="none"/>
        </w:rPr>
        <w:t>号华中师范大学后勤保障部商贸服务中心原满江红大楼九层楼（含负一楼生活广场和三楼的满江红教育超市）的经营场地，与乙方联合经营满江红生活服务综合体。</w:t>
      </w:r>
    </w:p>
    <w:p>
      <w:pPr>
        <w:autoSpaceDE w:val="0"/>
        <w:autoSpaceDN w:val="0"/>
        <w:adjustRightInd w:val="0"/>
        <w:ind w:firstLine="420" w:firstLineChars="200"/>
        <w:jc w:val="left"/>
        <w:rPr>
          <w:rFonts w:ascii="宋体"/>
          <w:color w:val="auto"/>
          <w:kern w:val="0"/>
          <w:szCs w:val="21"/>
          <w:highlight w:val="none"/>
        </w:rPr>
      </w:pPr>
      <w:r>
        <w:rPr>
          <w:rFonts w:ascii="宋体"/>
          <w:color w:val="auto"/>
          <w:kern w:val="0"/>
          <w:szCs w:val="21"/>
          <w:highlight w:val="none"/>
        </w:rPr>
        <w:t>2</w:t>
      </w:r>
      <w:r>
        <w:rPr>
          <w:rFonts w:hint="eastAsia" w:ascii="宋体"/>
          <w:color w:val="auto"/>
          <w:kern w:val="0"/>
          <w:szCs w:val="21"/>
          <w:highlight w:val="none"/>
        </w:rPr>
        <w:t>、乙方负责满江红大楼的改造以及改造后的具体运营管理，承担改造费用、经营成本、设施设备更新、员工薪酬及经营过程中由此产生的税费支出。</w:t>
      </w:r>
    </w:p>
    <w:p>
      <w:pPr>
        <w:autoSpaceDE w:val="0"/>
        <w:autoSpaceDN w:val="0"/>
        <w:adjustRightInd w:val="0"/>
        <w:ind w:firstLine="422" w:firstLineChars="200"/>
        <w:jc w:val="left"/>
        <w:rPr>
          <w:rFonts w:ascii="宋体"/>
          <w:b/>
          <w:color w:val="auto"/>
          <w:kern w:val="0"/>
          <w:szCs w:val="21"/>
          <w:highlight w:val="none"/>
        </w:rPr>
      </w:pPr>
      <w:r>
        <w:rPr>
          <w:rFonts w:hint="eastAsia" w:ascii="宋体"/>
          <w:b/>
          <w:color w:val="auto"/>
          <w:kern w:val="0"/>
          <w:szCs w:val="21"/>
          <w:highlight w:val="none"/>
        </w:rPr>
        <w:t>第二条  协议期限</w:t>
      </w:r>
    </w:p>
    <w:p>
      <w:pPr>
        <w:autoSpaceDE w:val="0"/>
        <w:autoSpaceDN w:val="0"/>
        <w:adjustRightInd w:val="0"/>
        <w:ind w:firstLine="420" w:firstLineChars="200"/>
        <w:jc w:val="left"/>
        <w:rPr>
          <w:rFonts w:ascii="宋体"/>
          <w:color w:val="auto"/>
          <w:kern w:val="0"/>
          <w:szCs w:val="21"/>
          <w:highlight w:val="none"/>
        </w:rPr>
      </w:pPr>
      <w:r>
        <w:rPr>
          <w:rFonts w:ascii="宋体"/>
          <w:color w:val="auto"/>
          <w:kern w:val="0"/>
          <w:szCs w:val="21"/>
          <w:highlight w:val="none"/>
        </w:rPr>
        <w:t>1</w:t>
      </w:r>
      <w:r>
        <w:rPr>
          <w:rFonts w:hint="eastAsia" w:ascii="宋体"/>
          <w:color w:val="auto"/>
          <w:kern w:val="0"/>
          <w:szCs w:val="21"/>
          <w:highlight w:val="none"/>
        </w:rPr>
        <w:t>、合作项目协议期限按10年签订（不含免费改造装修期），合同一年一签。若在履行合同期间，乙方出现本项目亏损严重、不服从学校管理且拒不改正、出现重大安全管理责任事故、给学校造成重大恶劣影响等重大异常情况，甲方可单方解除合同，双方合作终止。</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在履行合同期间，若乙方与甲方合作顺利，以5年为一个经营周期，甲方对乙方实行中期考核，评估5年来经营与管理情况。乙方经考核合格后，甲方引入第三方评估公司，对项目后续5年合作经营收益进行预期评估。以第三方公司提供的评估价，作为后续5年里，学校每年应收的合作经营预期收益，与乙方继续签订第二个5年的经营权。若在中期考核中，乙方出现重大异常情况，甲方将立即终止合同。</w:t>
      </w:r>
    </w:p>
    <w:p>
      <w:pPr>
        <w:autoSpaceDE w:val="0"/>
        <w:autoSpaceDN w:val="0"/>
        <w:adjustRightInd w:val="0"/>
        <w:ind w:firstLine="420" w:firstLineChars="200"/>
        <w:jc w:val="left"/>
        <w:rPr>
          <w:rFonts w:ascii="宋体"/>
          <w:color w:val="auto"/>
          <w:kern w:val="0"/>
          <w:szCs w:val="21"/>
          <w:highlight w:val="none"/>
        </w:rPr>
      </w:pPr>
      <w:r>
        <w:rPr>
          <w:rFonts w:ascii="宋体"/>
          <w:color w:val="auto"/>
          <w:kern w:val="0"/>
          <w:szCs w:val="21"/>
          <w:highlight w:val="none"/>
        </w:rPr>
        <w:t>2</w:t>
      </w:r>
      <w:r>
        <w:rPr>
          <w:rFonts w:hint="eastAsia" w:ascii="宋体"/>
          <w:color w:val="auto"/>
          <w:kern w:val="0"/>
          <w:szCs w:val="21"/>
          <w:highlight w:val="none"/>
        </w:rPr>
        <w:t>、本协议免费改造装修期为</w:t>
      </w:r>
      <w:r>
        <w:rPr>
          <w:rFonts w:ascii="宋体"/>
          <w:color w:val="auto"/>
          <w:kern w:val="0"/>
          <w:szCs w:val="21"/>
          <w:highlight w:val="none"/>
        </w:rPr>
        <w:t>3</w:t>
      </w:r>
      <w:r>
        <w:rPr>
          <w:rFonts w:hint="eastAsia" w:ascii="宋体"/>
          <w:color w:val="auto"/>
          <w:kern w:val="0"/>
          <w:szCs w:val="21"/>
          <w:highlight w:val="none"/>
        </w:rPr>
        <w:t>个月，自</w:t>
      </w:r>
      <w:r>
        <w:rPr>
          <w:rFonts w:ascii="宋体"/>
          <w:color w:val="auto"/>
          <w:kern w:val="0"/>
          <w:szCs w:val="21"/>
          <w:highlight w:val="none"/>
        </w:rPr>
        <w:t>202</w:t>
      </w:r>
      <w:r>
        <w:rPr>
          <w:rFonts w:hint="eastAsia" w:ascii="宋体"/>
          <w:color w:val="auto"/>
          <w:kern w:val="0"/>
          <w:szCs w:val="21"/>
          <w:highlight w:val="none"/>
        </w:rPr>
        <w:t>1年</w:t>
      </w:r>
      <w:r>
        <w:rPr>
          <w:rFonts w:hint="eastAsia" w:ascii="宋体" w:hAnsi="宋体"/>
          <w:color w:val="auto"/>
          <w:kern w:val="0"/>
          <w:szCs w:val="21"/>
          <w:highlight w:val="none"/>
        </w:rPr>
        <w:t>×</w:t>
      </w:r>
      <w:r>
        <w:rPr>
          <w:rFonts w:hint="eastAsia" w:ascii="宋体"/>
          <w:color w:val="auto"/>
          <w:kern w:val="0"/>
          <w:szCs w:val="21"/>
          <w:highlight w:val="none"/>
        </w:rPr>
        <w:t>月</w:t>
      </w:r>
      <w:r>
        <w:rPr>
          <w:rFonts w:hint="eastAsia" w:ascii="宋体" w:hAnsi="宋体"/>
          <w:color w:val="auto"/>
          <w:kern w:val="0"/>
          <w:szCs w:val="21"/>
          <w:highlight w:val="none"/>
        </w:rPr>
        <w:t>×</w:t>
      </w:r>
      <w:r>
        <w:rPr>
          <w:rFonts w:hint="eastAsia" w:ascii="宋体"/>
          <w:color w:val="auto"/>
          <w:kern w:val="0"/>
          <w:szCs w:val="21"/>
          <w:highlight w:val="none"/>
        </w:rPr>
        <w:t>日起至</w:t>
      </w:r>
      <w:r>
        <w:rPr>
          <w:rFonts w:ascii="宋体"/>
          <w:color w:val="auto"/>
          <w:kern w:val="0"/>
          <w:szCs w:val="21"/>
          <w:highlight w:val="none"/>
        </w:rPr>
        <w:t>202</w:t>
      </w:r>
      <w:r>
        <w:rPr>
          <w:rFonts w:hint="eastAsia" w:ascii="宋体"/>
          <w:color w:val="auto"/>
          <w:kern w:val="0"/>
          <w:szCs w:val="21"/>
          <w:highlight w:val="none"/>
        </w:rPr>
        <w:t>1年</w:t>
      </w:r>
      <w:r>
        <w:rPr>
          <w:rFonts w:hint="eastAsia" w:ascii="宋体" w:hAnsi="宋体"/>
          <w:color w:val="auto"/>
          <w:kern w:val="0"/>
          <w:szCs w:val="21"/>
          <w:highlight w:val="none"/>
        </w:rPr>
        <w:t>×</w:t>
      </w:r>
      <w:r>
        <w:rPr>
          <w:rFonts w:hint="eastAsia" w:ascii="宋体"/>
          <w:color w:val="auto"/>
          <w:kern w:val="0"/>
          <w:szCs w:val="21"/>
          <w:highlight w:val="none"/>
        </w:rPr>
        <w:t>月</w:t>
      </w:r>
      <w:r>
        <w:rPr>
          <w:rFonts w:hint="eastAsia" w:ascii="宋体" w:hAnsi="宋体"/>
          <w:color w:val="auto"/>
          <w:kern w:val="0"/>
          <w:szCs w:val="21"/>
          <w:highlight w:val="none"/>
        </w:rPr>
        <w:t>×</w:t>
      </w:r>
      <w:r>
        <w:rPr>
          <w:rFonts w:hint="eastAsia" w:ascii="宋体"/>
          <w:color w:val="auto"/>
          <w:kern w:val="0"/>
          <w:szCs w:val="21"/>
          <w:highlight w:val="none"/>
        </w:rPr>
        <w:t>日止。</w:t>
      </w:r>
    </w:p>
    <w:p>
      <w:pPr>
        <w:autoSpaceDE w:val="0"/>
        <w:autoSpaceDN w:val="0"/>
        <w:adjustRightInd w:val="0"/>
        <w:ind w:firstLine="422" w:firstLineChars="200"/>
        <w:jc w:val="left"/>
        <w:rPr>
          <w:rFonts w:ascii="宋体"/>
          <w:b/>
          <w:color w:val="auto"/>
          <w:kern w:val="0"/>
          <w:szCs w:val="21"/>
          <w:highlight w:val="none"/>
        </w:rPr>
      </w:pPr>
      <w:r>
        <w:rPr>
          <w:rFonts w:hint="eastAsia" w:ascii="宋体"/>
          <w:b/>
          <w:color w:val="auto"/>
          <w:kern w:val="0"/>
          <w:szCs w:val="21"/>
          <w:highlight w:val="none"/>
        </w:rPr>
        <w:t>第三条  费用约定及结算方式</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一、履约保证金</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1、项目中标人在与学校签订合同前，按合作经营收益（招标产生的最终结果价作为合作经营收益）的10%向学校支付履约保证金。</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2、项目合同期满后，乙方完成相关服务工作，没有违约行为，与甲方办理完交接的相关手续，并按时退场后的10日内，由甲方将履约保证金一次性无息退还乙方。</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3、项目合同期满后，若乙方实际管理效果不理想，与国家和甲方相关管理部门考核要求的差距太大，广大师生对其“口碑”评价太差；或者在合同期限内，出现给甲方造成经济损失、社会名誉、治安稳定等重大负面影响的情况时；甲方有权立即终止合同，履约保证金不予退回。对造成重大财产等损失的，甲方将依法要求赔偿。</w:t>
      </w:r>
    </w:p>
    <w:p>
      <w:pPr>
        <w:autoSpaceDE w:val="0"/>
        <w:autoSpaceDN w:val="0"/>
        <w:adjustRightInd w:val="0"/>
        <w:ind w:firstLine="525" w:firstLineChars="250"/>
        <w:jc w:val="left"/>
        <w:rPr>
          <w:rFonts w:ascii="宋体"/>
          <w:color w:val="auto"/>
          <w:kern w:val="0"/>
          <w:szCs w:val="21"/>
          <w:highlight w:val="none"/>
        </w:rPr>
      </w:pPr>
      <w:r>
        <w:rPr>
          <w:rFonts w:hint="eastAsia" w:ascii="宋体"/>
          <w:color w:val="auto"/>
          <w:kern w:val="0"/>
          <w:szCs w:val="21"/>
          <w:highlight w:val="none"/>
        </w:rPr>
        <w:t>二、合作经营收益</w:t>
      </w:r>
    </w:p>
    <w:p>
      <w:pPr>
        <w:autoSpaceDE w:val="0"/>
        <w:autoSpaceDN w:val="0"/>
        <w:adjustRightInd w:val="0"/>
        <w:ind w:firstLine="525" w:firstLineChars="250"/>
        <w:jc w:val="left"/>
        <w:rPr>
          <w:rFonts w:ascii="宋体"/>
          <w:color w:val="auto"/>
          <w:kern w:val="0"/>
          <w:szCs w:val="21"/>
          <w:highlight w:val="none"/>
        </w:rPr>
      </w:pPr>
      <w:r>
        <w:rPr>
          <w:rFonts w:hint="eastAsia" w:ascii="宋体"/>
          <w:color w:val="auto"/>
          <w:kern w:val="0"/>
          <w:szCs w:val="21"/>
          <w:highlight w:val="none"/>
        </w:rPr>
        <w:t>1、协议期内，乙方每年按时一次性支付甲方年度合作经营收益×××万元（人民币）。协议期间，若双方协商同意调增年度合作经营收益，则乙方按照调增后的年度合作经营收益支付甲方。</w:t>
      </w:r>
    </w:p>
    <w:p>
      <w:pPr>
        <w:autoSpaceDE w:val="0"/>
        <w:autoSpaceDN w:val="0"/>
        <w:adjustRightInd w:val="0"/>
        <w:ind w:firstLine="525" w:firstLineChars="250"/>
        <w:jc w:val="left"/>
        <w:rPr>
          <w:rFonts w:ascii="宋体"/>
          <w:color w:val="auto"/>
          <w:kern w:val="0"/>
          <w:szCs w:val="21"/>
          <w:highlight w:val="none"/>
        </w:rPr>
      </w:pPr>
      <w:r>
        <w:rPr>
          <w:rFonts w:hint="eastAsia" w:ascii="宋体"/>
          <w:color w:val="auto"/>
          <w:kern w:val="0"/>
          <w:szCs w:val="21"/>
          <w:highlight w:val="none"/>
        </w:rPr>
        <w:t>2、协议期内，甲方按年收取合作经营收益。按照“先交费后使用”的原则，合作经营收益每年缴纳一次。第一年度合作经营收益在签订合同后5个工作日内，乙方一次性支付给甲方。下一年度的合作经营收益，乙方于当年的8月25日前一次性向甲方交纳，以此类推。每逾期一日，甲方有权按10年总合作经营收益的1</w:t>
      </w:r>
      <w:r>
        <w:rPr>
          <w:rFonts w:ascii="Lucida Sans Unicode" w:hAnsi="Lucida Sans Unicode" w:cs="Lucida Sans Unicode"/>
          <w:color w:val="auto"/>
          <w:kern w:val="0"/>
          <w:szCs w:val="21"/>
          <w:highlight w:val="none"/>
        </w:rPr>
        <w:t>‱</w:t>
      </w:r>
      <w:r>
        <w:rPr>
          <w:rFonts w:hint="eastAsia" w:ascii="宋体"/>
          <w:color w:val="auto"/>
          <w:kern w:val="0"/>
          <w:szCs w:val="21"/>
          <w:highlight w:val="none"/>
        </w:rPr>
        <w:t>收取违约金。</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三、水电、燃气费</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经营服务期内，乙方的水、电、天然气用量单独装表进行监管计量（在初次进场前完成计量表起码确认）。水电、燃气费采取智能卡充值方式，由乙方经营各商户自行充值。水电、燃气费计费标准，按照相关政策规定的商业用水、用电、用气价格执行。如遇政府政策性调价，则按调价后的标准核算。水电费的起算时间，从乙方进场时起算。</w:t>
      </w:r>
    </w:p>
    <w:p>
      <w:pPr>
        <w:autoSpaceDE w:val="0"/>
        <w:autoSpaceDN w:val="0"/>
        <w:adjustRightInd w:val="0"/>
        <w:ind w:firstLine="420" w:firstLineChars="200"/>
        <w:jc w:val="left"/>
        <w:rPr>
          <w:rFonts w:hint="eastAsia" w:ascii="宋体"/>
          <w:color w:val="auto"/>
          <w:kern w:val="0"/>
          <w:szCs w:val="21"/>
          <w:highlight w:val="none"/>
        </w:rPr>
      </w:pPr>
      <w:r>
        <w:rPr>
          <w:rFonts w:hint="eastAsia" w:ascii="宋体"/>
          <w:color w:val="auto"/>
          <w:kern w:val="0"/>
          <w:szCs w:val="21"/>
          <w:highlight w:val="none"/>
        </w:rPr>
        <w:t>四、管理人员岗位津贴</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所派的2名管理人员甲方负责基本工资，由乙方负责岗位津贴（岗位津贴按照学校统一岗贴标准执行）。</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五、垃圾清运费</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协议期内，按照武汉市关于城市生活垃圾清运费的有关标准，甲方收取乙方垃圾清运费，乙方向甲方按月进行支付。垃圾清运费的起算时间为协议有效期限起始日，即2021年×月×日。若乙方在本协议免费改造装修期内提前开始营业，则按实际开业时间起算。</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六、校园一卡通开通及代维费</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甲方给乙方经营各商户提供校园一卡通系统，由此产生的运营和维护费由乙方自行承担。</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七、其他费用</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1、在项目改造过程中，如因施工失误给学校造成损失，学校有权扣除相应数额的装修保证金；装修保证金不足以弥补损失的，乙方必须另外承担超出部分的损失。待项目工程完工后，在没有出现任何事故或问题情况下，该装修保证金自动转为合作经营收益。</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2、因装修改造、自建设施等情况，其产生的清理杂物、隔板拆除等垃圾清运费用，均由乙方自行承担。</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3、因设施设备维护，需学校相关部门进行协调，服务产生的相关费用由乙方自行承担。</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若再产生其他费用，由双方协商议定。</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八、校园一卡通消费的结算方式及结算时间</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1、在合同履行期间，每个月25日，由乙方提供当月师生消费账单。甲方根据校园一卡通消费情况，经与乙方提供的账单核对无误后，扣除乙方当月应交费用后，于月底前将余款进行支付。支付前三日，由乙方向甲方提供合法有效的发票。遇寒暑假及法定节假等日特殊情况顺延，一般不超过两个月。</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2、以上费用结算时，甲方应向乙方开具合法有效的增值税发票，开票税费由甲方承担；乙方应在签收票据后</w:t>
      </w:r>
      <w:r>
        <w:rPr>
          <w:rFonts w:ascii="宋体"/>
          <w:color w:val="auto"/>
          <w:kern w:val="0"/>
          <w:szCs w:val="21"/>
          <w:highlight w:val="none"/>
        </w:rPr>
        <w:t>10</w:t>
      </w:r>
      <w:r>
        <w:rPr>
          <w:rFonts w:hint="eastAsia" w:ascii="宋体"/>
          <w:color w:val="auto"/>
          <w:kern w:val="0"/>
          <w:szCs w:val="21"/>
          <w:highlight w:val="none"/>
        </w:rPr>
        <w:t>个工作日内，将对应款项转账至以下甲方对公账户：</w:t>
      </w:r>
    </w:p>
    <w:p>
      <w:pPr>
        <w:autoSpaceDE w:val="0"/>
        <w:autoSpaceDN w:val="0"/>
        <w:adjustRightInd w:val="0"/>
        <w:ind w:firstLine="422" w:firstLineChars="200"/>
        <w:jc w:val="left"/>
        <w:rPr>
          <w:rFonts w:ascii="宋体"/>
          <w:b/>
          <w:color w:val="auto"/>
          <w:kern w:val="0"/>
          <w:szCs w:val="21"/>
          <w:highlight w:val="none"/>
        </w:rPr>
      </w:pPr>
      <w:r>
        <w:rPr>
          <w:rFonts w:hint="eastAsia" w:ascii="宋体"/>
          <w:b/>
          <w:color w:val="auto"/>
          <w:kern w:val="0"/>
          <w:szCs w:val="21"/>
          <w:highlight w:val="none"/>
        </w:rPr>
        <w:t>甲方开具发票信息：</w:t>
      </w:r>
    </w:p>
    <w:p>
      <w:pPr>
        <w:autoSpaceDE w:val="0"/>
        <w:autoSpaceDN w:val="0"/>
        <w:adjustRightInd w:val="0"/>
        <w:ind w:firstLine="422" w:firstLineChars="200"/>
        <w:jc w:val="left"/>
        <w:rPr>
          <w:rFonts w:ascii="宋体"/>
          <w:b/>
          <w:color w:val="auto"/>
          <w:kern w:val="0"/>
          <w:szCs w:val="21"/>
          <w:highlight w:val="none"/>
        </w:rPr>
      </w:pPr>
      <w:r>
        <w:rPr>
          <w:rFonts w:hint="eastAsia" w:ascii="宋体"/>
          <w:b/>
          <w:color w:val="auto"/>
          <w:kern w:val="0"/>
          <w:szCs w:val="21"/>
          <w:highlight w:val="none"/>
        </w:rPr>
        <w:t>单位名称：华中师范大学</w:t>
      </w:r>
    </w:p>
    <w:p>
      <w:pPr>
        <w:autoSpaceDE w:val="0"/>
        <w:autoSpaceDN w:val="0"/>
        <w:adjustRightInd w:val="0"/>
        <w:ind w:firstLine="422" w:firstLineChars="200"/>
        <w:jc w:val="left"/>
        <w:rPr>
          <w:rFonts w:ascii="宋体"/>
          <w:b/>
          <w:color w:val="auto"/>
          <w:kern w:val="0"/>
          <w:szCs w:val="21"/>
          <w:highlight w:val="none"/>
        </w:rPr>
      </w:pPr>
      <w:r>
        <w:rPr>
          <w:rFonts w:hint="eastAsia" w:ascii="宋体"/>
          <w:b/>
          <w:color w:val="auto"/>
          <w:kern w:val="0"/>
          <w:szCs w:val="21"/>
          <w:highlight w:val="none"/>
        </w:rPr>
        <w:t>统一社会信用代码：</w:t>
      </w:r>
    </w:p>
    <w:p>
      <w:pPr>
        <w:autoSpaceDE w:val="0"/>
        <w:autoSpaceDN w:val="0"/>
        <w:adjustRightInd w:val="0"/>
        <w:ind w:firstLine="422" w:firstLineChars="200"/>
        <w:jc w:val="left"/>
        <w:rPr>
          <w:rFonts w:ascii="宋体"/>
          <w:b/>
          <w:color w:val="auto"/>
          <w:kern w:val="0"/>
          <w:szCs w:val="21"/>
          <w:highlight w:val="none"/>
        </w:rPr>
      </w:pPr>
      <w:r>
        <w:rPr>
          <w:rFonts w:hint="eastAsia" w:ascii="宋体"/>
          <w:b/>
          <w:color w:val="auto"/>
          <w:kern w:val="0"/>
          <w:szCs w:val="21"/>
          <w:highlight w:val="none"/>
        </w:rPr>
        <w:t>地址、电话：武汉市洪山区珞瑜路</w:t>
      </w:r>
      <w:r>
        <w:rPr>
          <w:rFonts w:ascii="宋体"/>
          <w:b/>
          <w:color w:val="auto"/>
          <w:kern w:val="0"/>
          <w:szCs w:val="21"/>
          <w:highlight w:val="none"/>
        </w:rPr>
        <w:t>152</w:t>
      </w:r>
      <w:r>
        <w:rPr>
          <w:rFonts w:hint="eastAsia" w:ascii="宋体"/>
          <w:b/>
          <w:color w:val="auto"/>
          <w:kern w:val="0"/>
          <w:szCs w:val="21"/>
          <w:highlight w:val="none"/>
        </w:rPr>
        <w:t xml:space="preserve">号   </w:t>
      </w:r>
    </w:p>
    <w:p>
      <w:pPr>
        <w:autoSpaceDE w:val="0"/>
        <w:autoSpaceDN w:val="0"/>
        <w:adjustRightInd w:val="0"/>
        <w:ind w:firstLine="422" w:firstLineChars="200"/>
        <w:jc w:val="left"/>
        <w:rPr>
          <w:rFonts w:ascii="宋体"/>
          <w:b/>
          <w:color w:val="auto"/>
          <w:kern w:val="0"/>
          <w:szCs w:val="21"/>
          <w:highlight w:val="none"/>
        </w:rPr>
      </w:pPr>
      <w:r>
        <w:rPr>
          <w:rFonts w:hint="eastAsia" w:ascii="宋体"/>
          <w:b/>
          <w:color w:val="auto"/>
          <w:kern w:val="0"/>
          <w:szCs w:val="21"/>
          <w:highlight w:val="none"/>
        </w:rPr>
        <w:t>开户行及账号：</w:t>
      </w:r>
    </w:p>
    <w:p>
      <w:pPr>
        <w:autoSpaceDE w:val="0"/>
        <w:autoSpaceDN w:val="0"/>
        <w:adjustRightInd w:val="0"/>
        <w:ind w:firstLine="422" w:firstLineChars="200"/>
        <w:jc w:val="left"/>
        <w:rPr>
          <w:rFonts w:ascii="宋体"/>
          <w:b/>
          <w:color w:val="auto"/>
          <w:kern w:val="0"/>
          <w:szCs w:val="21"/>
          <w:highlight w:val="none"/>
        </w:rPr>
      </w:pPr>
      <w:r>
        <w:rPr>
          <w:rFonts w:hint="eastAsia" w:ascii="宋体"/>
          <w:b/>
          <w:color w:val="auto"/>
          <w:kern w:val="0"/>
          <w:szCs w:val="21"/>
          <w:highlight w:val="none"/>
        </w:rPr>
        <w:t>行号：</w:t>
      </w:r>
    </w:p>
    <w:p>
      <w:pPr>
        <w:autoSpaceDE w:val="0"/>
        <w:autoSpaceDN w:val="0"/>
        <w:adjustRightInd w:val="0"/>
        <w:ind w:firstLine="422" w:firstLineChars="200"/>
        <w:jc w:val="left"/>
        <w:rPr>
          <w:rFonts w:ascii="宋体"/>
          <w:b/>
          <w:color w:val="auto"/>
          <w:kern w:val="0"/>
          <w:szCs w:val="21"/>
          <w:highlight w:val="none"/>
        </w:rPr>
      </w:pPr>
      <w:r>
        <w:rPr>
          <w:rFonts w:hint="eastAsia" w:ascii="宋体"/>
          <w:b/>
          <w:color w:val="auto"/>
          <w:kern w:val="0"/>
          <w:szCs w:val="21"/>
          <w:highlight w:val="none"/>
        </w:rPr>
        <w:t>第四条  经营场地的改造、装修及使用</w:t>
      </w:r>
    </w:p>
    <w:p>
      <w:pPr>
        <w:autoSpaceDE w:val="0"/>
        <w:autoSpaceDN w:val="0"/>
        <w:adjustRightInd w:val="0"/>
        <w:ind w:firstLine="420" w:firstLineChars="200"/>
        <w:jc w:val="left"/>
        <w:rPr>
          <w:rFonts w:ascii="宋体"/>
          <w:color w:val="auto"/>
          <w:kern w:val="0"/>
          <w:szCs w:val="21"/>
          <w:highlight w:val="none"/>
        </w:rPr>
      </w:pPr>
      <w:r>
        <w:rPr>
          <w:rFonts w:ascii="宋体"/>
          <w:color w:val="auto"/>
          <w:kern w:val="0"/>
          <w:szCs w:val="21"/>
          <w:highlight w:val="none"/>
        </w:rPr>
        <w:t>1</w:t>
      </w:r>
      <w:r>
        <w:rPr>
          <w:rFonts w:hint="eastAsia" w:ascii="宋体"/>
          <w:color w:val="auto"/>
          <w:kern w:val="0"/>
          <w:szCs w:val="21"/>
          <w:highlight w:val="none"/>
        </w:rPr>
        <w:t>、改造的满江红大楼可供经营面积为8240平方米。甲方对该房屋有所有权、管理权和使用权，在签订本协议时，乙方已知晓该房屋的现状（包括但不限于房屋的权属、性质、用途、布局、学校房产的特性等）。</w:t>
      </w:r>
    </w:p>
    <w:p>
      <w:pPr>
        <w:autoSpaceDE w:val="0"/>
        <w:autoSpaceDN w:val="0"/>
        <w:adjustRightInd w:val="0"/>
        <w:ind w:firstLine="420" w:firstLineChars="200"/>
        <w:jc w:val="left"/>
        <w:rPr>
          <w:rFonts w:ascii="宋体"/>
          <w:color w:val="auto"/>
          <w:kern w:val="0"/>
          <w:szCs w:val="21"/>
          <w:highlight w:val="none"/>
        </w:rPr>
      </w:pPr>
      <w:r>
        <w:rPr>
          <w:rFonts w:ascii="宋体"/>
          <w:color w:val="auto"/>
          <w:kern w:val="0"/>
          <w:szCs w:val="21"/>
          <w:highlight w:val="none"/>
        </w:rPr>
        <w:t>2</w:t>
      </w:r>
      <w:r>
        <w:rPr>
          <w:rFonts w:hint="eastAsia" w:ascii="宋体"/>
          <w:color w:val="auto"/>
          <w:kern w:val="0"/>
          <w:szCs w:val="21"/>
          <w:highlight w:val="none"/>
        </w:rPr>
        <w:t>、改造范围为九层满江红大楼（含负一楼生活广场和三楼的满江红教育超市）室内及外、立面改造，大楼室外东、南、北面广场改造和大楼楼顶改造。乙方进行改造时，满江红大楼主体结构保持不变，改造后经营场地面积为</w:t>
      </w:r>
      <w:r>
        <w:rPr>
          <w:rFonts w:hint="eastAsia" w:ascii="宋体" w:hAnsi="宋体"/>
          <w:color w:val="auto"/>
          <w:kern w:val="0"/>
          <w:szCs w:val="21"/>
          <w:highlight w:val="none"/>
        </w:rPr>
        <w:t>×××</w:t>
      </w:r>
      <w:r>
        <w:rPr>
          <w:rFonts w:hint="eastAsia" w:ascii="宋体"/>
          <w:color w:val="auto"/>
          <w:kern w:val="0"/>
          <w:szCs w:val="21"/>
          <w:highlight w:val="none"/>
        </w:rPr>
        <w:t>平方米。</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3、按照甲方相关要求，乙方进行规划设计和项目改造。大楼改造总体布局应科学合理，满足校园服务的需要。外观整体设计要立足学校特点，有明确的设计理念，形成有明显特色主题的总体风格，设计风格与学校文化、周边环境相协调。在大楼室内外的装修设计上，要有时尚风格和校园文化特色创意体现。</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4、乙方的项目建设（含引进业态设置布局）全过程必须服从甲方的监督管理，且最终设计方案必须经过甲方同意后方可实施。乙方的项目改造及装修装饰的施工图纸必须由具备相关设计资质的单位提供，还须报请甲方审核，待甲方同意后方可施工。施工改造前10日内，乙方需一次性缴纳装修保证金10万元（人民币）。经甲方相关部门同意后，再依规办理相关改造手续和消防部门的备案手续。</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5、在进行项目改造时，乙方必须建立管理责任制度。乙方工程施工必须遵守国家的法律法规，委托专业单位进行设计、施工，全过程接受甲方的监督管理。施工改造过程中，必须遵守国家建筑施工安全规定，建立施工安全管理制度。乙方要严格按照项目改造范围和内容，根据项目推进计划，按时间节点完成改造工程。施工完成后，须接受甲方的整体验收，待验收合格后方能进行招商及运营。</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6、乙方必须严格按照空间布局设计，对各楼层进行相关功能定位设置。功能布局既满足知名品牌门店进驻需要，又兼顾日常生活必需，还满足师生组织学习交流、开展文化活动和休闲目的的需要。分楼层建立便民生活服务区、商超（含生鲜类）、美食广场、数码广场、健康生活综合服务区等。</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7、乙方必须围绕校园生活需求，统筹进行业态布局。包括但不限于提供日用百货、学习文具、生活用品、零食饮料、餐饮食品、日常医疗药品等大众消费项目，包含但不限于开设生活超市、美食餐厅、运动健康场馆和休闲饮食饮品店等，涵盖但不限于洗衣理发、图文复印、数码产品、验光配镜、便民药店等服务实体门店。乙方经营业态必须明确做到“三禁止”，即禁止开设教育培训项目，禁止在校园开设经营KTV等娱乐项目，禁止开设经营网咖项目。</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8、装修工程不得损坏、危及建筑结构，装修后的建筑物必须符合消防安全等要求。乙方使用的装修材料必须符合环保要求，不得使用国家禁止使用的易燃易爆及有毒有害材料。乙方因装修改造、自建设施等产生的垃圾不得堆置校内，必须清运至校外。</w:t>
      </w:r>
    </w:p>
    <w:p>
      <w:pPr>
        <w:autoSpaceDE w:val="0"/>
        <w:autoSpaceDN w:val="0"/>
        <w:adjustRightInd w:val="0"/>
        <w:ind w:firstLine="422" w:firstLineChars="200"/>
        <w:jc w:val="left"/>
        <w:rPr>
          <w:rFonts w:ascii="宋体"/>
          <w:b/>
          <w:color w:val="auto"/>
          <w:kern w:val="0"/>
          <w:highlight w:val="none"/>
        </w:rPr>
      </w:pPr>
      <w:r>
        <w:rPr>
          <w:rFonts w:hint="eastAsia" w:ascii="宋体"/>
          <w:b/>
          <w:color w:val="auto"/>
          <w:kern w:val="0"/>
          <w:highlight w:val="none"/>
        </w:rPr>
        <w:t>第五条  双方的权利与义务</w:t>
      </w:r>
    </w:p>
    <w:p>
      <w:pPr>
        <w:autoSpaceDE w:val="0"/>
        <w:autoSpaceDN w:val="0"/>
        <w:adjustRightInd w:val="0"/>
        <w:ind w:firstLine="422" w:firstLineChars="200"/>
        <w:jc w:val="left"/>
        <w:rPr>
          <w:rFonts w:ascii="宋体"/>
          <w:b/>
          <w:color w:val="auto"/>
          <w:kern w:val="0"/>
          <w:szCs w:val="21"/>
          <w:highlight w:val="none"/>
        </w:rPr>
      </w:pPr>
      <w:r>
        <w:rPr>
          <w:rFonts w:hint="eastAsia" w:ascii="宋体"/>
          <w:b/>
          <w:color w:val="auto"/>
          <w:kern w:val="0"/>
          <w:szCs w:val="21"/>
          <w:highlight w:val="none"/>
        </w:rPr>
        <w:t>一、甲方的权利</w:t>
      </w:r>
    </w:p>
    <w:p>
      <w:pPr>
        <w:pStyle w:val="99"/>
        <w:spacing w:before="0" w:after="0" w:line="240" w:lineRule="auto"/>
        <w:ind w:firstLineChars="200"/>
        <w:rPr>
          <w:rFonts w:ascii="宋体" w:hAnsi="Calibri" w:eastAsia="宋体" w:cs="宋体"/>
          <w:color w:val="auto"/>
          <w:sz w:val="21"/>
          <w:szCs w:val="21"/>
          <w:highlight w:val="none"/>
        </w:rPr>
      </w:pPr>
      <w:r>
        <w:rPr>
          <w:rFonts w:ascii="宋体" w:hAnsi="Calibri" w:eastAsia="宋体" w:cs="宋体"/>
          <w:color w:val="auto"/>
          <w:sz w:val="21"/>
          <w:szCs w:val="21"/>
          <w:highlight w:val="none"/>
        </w:rPr>
        <w:t>1</w:t>
      </w:r>
      <w:r>
        <w:rPr>
          <w:rFonts w:hint="eastAsia" w:ascii="宋体" w:hAnsi="Calibri" w:eastAsia="宋体" w:cs="宋体"/>
          <w:color w:val="auto"/>
          <w:sz w:val="21"/>
          <w:szCs w:val="21"/>
          <w:highlight w:val="none"/>
        </w:rPr>
        <w:t>、</w:t>
      </w:r>
      <w:r>
        <w:rPr>
          <w:rFonts w:ascii="宋体" w:hAnsi="Calibri" w:eastAsia="宋体" w:cs="宋体"/>
          <w:color w:val="auto"/>
          <w:sz w:val="21"/>
          <w:szCs w:val="21"/>
          <w:highlight w:val="none"/>
        </w:rPr>
        <w:t>甲方对移交给</w:t>
      </w:r>
      <w:r>
        <w:rPr>
          <w:rFonts w:hint="eastAsia" w:ascii="宋体" w:hAnsi="Calibri" w:eastAsia="宋体" w:cs="宋体"/>
          <w:color w:val="auto"/>
          <w:sz w:val="21"/>
          <w:szCs w:val="21"/>
          <w:highlight w:val="none"/>
        </w:rPr>
        <w:t>乙方</w:t>
      </w:r>
      <w:r>
        <w:rPr>
          <w:rFonts w:ascii="宋体" w:hAnsi="Calibri" w:eastAsia="宋体" w:cs="宋体"/>
          <w:color w:val="auto"/>
          <w:sz w:val="21"/>
          <w:szCs w:val="21"/>
          <w:highlight w:val="none"/>
        </w:rPr>
        <w:t>合作经营管理的房屋、场地、设施、设备等资产享有法定所有权，享有防止国有资产流失而进行的保护和监督权力。</w:t>
      </w:r>
    </w:p>
    <w:p>
      <w:pPr>
        <w:pStyle w:val="99"/>
        <w:spacing w:before="0" w:after="0" w:line="240" w:lineRule="auto"/>
        <w:ind w:firstLineChars="200"/>
        <w:rPr>
          <w:rFonts w:ascii="宋体" w:eastAsia="宋体" w:cs="宋体"/>
          <w:color w:val="auto"/>
          <w:sz w:val="21"/>
          <w:szCs w:val="21"/>
          <w:highlight w:val="none"/>
        </w:rPr>
      </w:pPr>
      <w:r>
        <w:rPr>
          <w:rFonts w:ascii="宋体" w:hAnsi="Calibri" w:eastAsia="宋体" w:cs="宋体"/>
          <w:color w:val="auto"/>
          <w:sz w:val="21"/>
          <w:szCs w:val="21"/>
          <w:highlight w:val="none"/>
        </w:rPr>
        <w:t>2</w:t>
      </w:r>
      <w:r>
        <w:rPr>
          <w:rFonts w:hint="eastAsia" w:ascii="宋体" w:hAnsi="Calibri" w:eastAsia="宋体" w:cs="宋体"/>
          <w:color w:val="auto"/>
          <w:sz w:val="21"/>
          <w:szCs w:val="21"/>
          <w:highlight w:val="none"/>
        </w:rPr>
        <w:t>、为维护校园服务环境，</w:t>
      </w:r>
      <w:r>
        <w:rPr>
          <w:rFonts w:ascii="宋体" w:hAnsi="Calibri" w:eastAsia="宋体" w:cs="宋体"/>
          <w:color w:val="auto"/>
          <w:sz w:val="21"/>
          <w:szCs w:val="21"/>
          <w:highlight w:val="none"/>
        </w:rPr>
        <w:t>甲方有权建立监管小组</w:t>
      </w:r>
      <w:r>
        <w:rPr>
          <w:rFonts w:hint="eastAsia" w:ascii="宋体" w:hAnsi="Calibri" w:eastAsia="宋体" w:cs="宋体"/>
          <w:color w:val="auto"/>
          <w:sz w:val="21"/>
          <w:szCs w:val="21"/>
          <w:highlight w:val="none"/>
        </w:rPr>
        <w:t>。</w:t>
      </w:r>
      <w:r>
        <w:rPr>
          <w:rFonts w:ascii="宋体" w:hAnsi="Calibri" w:eastAsia="宋体" w:cs="宋体"/>
          <w:color w:val="auto"/>
          <w:sz w:val="21"/>
          <w:szCs w:val="21"/>
          <w:highlight w:val="none"/>
        </w:rPr>
        <w:t>甲方</w:t>
      </w:r>
      <w:r>
        <w:rPr>
          <w:rFonts w:hint="eastAsia" w:ascii="宋体" w:hAnsi="宋体" w:eastAsia="宋体" w:cs="宋体"/>
          <w:color w:val="auto"/>
          <w:sz w:val="21"/>
          <w:szCs w:val="21"/>
          <w:highlight w:val="none"/>
        </w:rPr>
        <w:t>专门派2名管理人员进</w:t>
      </w:r>
      <w:r>
        <w:rPr>
          <w:rFonts w:hint="eastAsia" w:ascii="宋体" w:hAnsi="宋体" w:eastAsia="宋体" w:cs="宋体"/>
          <w:color w:val="auto"/>
          <w:sz w:val="21"/>
          <w:szCs w:val="21"/>
          <w:highlight w:val="none"/>
          <w:lang w:eastAsia="zh-CN"/>
        </w:rPr>
        <w:t>入</w:t>
      </w:r>
      <w:r>
        <w:rPr>
          <w:rFonts w:ascii="宋体" w:hAnsi="Calibri" w:eastAsia="宋体" w:cs="宋体"/>
          <w:color w:val="auto"/>
          <w:sz w:val="21"/>
          <w:szCs w:val="21"/>
          <w:highlight w:val="none"/>
        </w:rPr>
        <w:t>乙方</w:t>
      </w:r>
      <w:r>
        <w:rPr>
          <w:rFonts w:hint="eastAsia" w:ascii="宋体" w:hAnsi="宋体" w:eastAsia="宋体" w:cs="宋体"/>
          <w:color w:val="auto"/>
          <w:sz w:val="21"/>
          <w:szCs w:val="21"/>
          <w:highlight w:val="none"/>
        </w:rPr>
        <w:t>管理机构，参与项目全过程管理，在改造方案、证照办理、业态设置、服务项目开设、运营管理、设施设备维修、车辆出入和制定校园安全措施等方面，为乙方进行工作协调和业务指导，行使监督和检查职能。</w:t>
      </w:r>
    </w:p>
    <w:p>
      <w:pPr>
        <w:pStyle w:val="99"/>
        <w:spacing w:before="0" w:after="0" w:line="240" w:lineRule="auto"/>
        <w:ind w:firstLineChars="200"/>
        <w:rPr>
          <w:rFonts w:ascii="宋体" w:hAnsi="Calibri" w:eastAsia="宋体" w:cs="宋体"/>
          <w:color w:val="auto"/>
          <w:sz w:val="21"/>
          <w:szCs w:val="21"/>
          <w:highlight w:val="none"/>
        </w:rPr>
      </w:pPr>
      <w:r>
        <w:rPr>
          <w:rFonts w:ascii="宋体" w:hAnsi="Calibri" w:eastAsia="宋体" w:cs="宋体"/>
          <w:color w:val="auto"/>
          <w:sz w:val="21"/>
          <w:szCs w:val="21"/>
          <w:highlight w:val="none"/>
        </w:rPr>
        <w:t>3</w:t>
      </w:r>
      <w:r>
        <w:rPr>
          <w:rFonts w:hint="eastAsia" w:ascii="宋体" w:hAnsi="Calibri" w:eastAsia="宋体" w:cs="宋体"/>
          <w:color w:val="auto"/>
          <w:sz w:val="21"/>
          <w:szCs w:val="21"/>
          <w:highlight w:val="none"/>
          <w:lang w:eastAsia="zh-CN"/>
        </w:rPr>
        <w:t>、</w:t>
      </w:r>
      <w:r>
        <w:rPr>
          <w:rFonts w:ascii="宋体" w:hAnsi="Calibri" w:eastAsia="宋体" w:cs="宋体"/>
          <w:color w:val="auto"/>
          <w:sz w:val="21"/>
          <w:szCs w:val="21"/>
          <w:highlight w:val="none"/>
        </w:rPr>
        <w:t>甲方有权对乙方</w:t>
      </w:r>
      <w:r>
        <w:rPr>
          <w:rFonts w:hint="eastAsia" w:ascii="宋体" w:hAnsi="Calibri" w:eastAsia="宋体" w:cs="宋体"/>
          <w:color w:val="auto"/>
          <w:sz w:val="21"/>
          <w:szCs w:val="21"/>
          <w:highlight w:val="none"/>
        </w:rPr>
        <w:t>经营商户及从业人员</w:t>
      </w:r>
      <w:r>
        <w:rPr>
          <w:rFonts w:ascii="宋体" w:hAnsi="Calibri" w:eastAsia="宋体" w:cs="宋体"/>
          <w:color w:val="auto"/>
          <w:sz w:val="21"/>
          <w:szCs w:val="21"/>
          <w:highlight w:val="none"/>
        </w:rPr>
        <w:t>进行资格审核，主要包括</w:t>
      </w:r>
      <w:r>
        <w:rPr>
          <w:rFonts w:hint="eastAsia" w:ascii="宋体" w:hAnsi="Calibri" w:eastAsia="宋体" w:cs="宋体"/>
          <w:color w:val="auto"/>
          <w:sz w:val="21"/>
          <w:szCs w:val="21"/>
          <w:highlight w:val="none"/>
        </w:rPr>
        <w:t>经营项目、经营范围、经营方式、支付手段、从业资格等，还包含</w:t>
      </w:r>
      <w:r>
        <w:rPr>
          <w:rFonts w:ascii="宋体" w:hAnsi="Calibri" w:eastAsia="宋体" w:cs="宋体"/>
          <w:color w:val="auto"/>
          <w:sz w:val="21"/>
          <w:szCs w:val="21"/>
          <w:highlight w:val="none"/>
        </w:rPr>
        <w:t>身份证、居住证、健康证等有效证件的审查。</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4、</w:t>
      </w:r>
      <w:r>
        <w:rPr>
          <w:rFonts w:ascii="宋体" w:hAnsi="Calibri" w:eastAsia="宋体" w:cs="宋体"/>
          <w:color w:val="auto"/>
          <w:sz w:val="21"/>
          <w:szCs w:val="21"/>
          <w:highlight w:val="none"/>
        </w:rPr>
        <w:t>甲方有权对乙方履行合同情况及贯彻执行法律法规、学校有关管理制度情况进行监督检查。对</w:t>
      </w:r>
      <w:r>
        <w:rPr>
          <w:rFonts w:hint="eastAsia" w:ascii="宋体" w:hAnsi="Calibri" w:eastAsia="宋体" w:cs="宋体"/>
          <w:color w:val="auto"/>
          <w:sz w:val="21"/>
          <w:szCs w:val="21"/>
          <w:highlight w:val="none"/>
        </w:rPr>
        <w:t>造成经济损失、社会名誉、治安稳定等重大负面影响情况时；</w:t>
      </w:r>
      <w:r>
        <w:rPr>
          <w:rFonts w:ascii="宋体" w:hAnsi="Calibri" w:eastAsia="宋体" w:cs="宋体"/>
          <w:color w:val="auto"/>
          <w:sz w:val="21"/>
          <w:szCs w:val="21"/>
          <w:highlight w:val="none"/>
        </w:rPr>
        <w:t>甲方除</w:t>
      </w:r>
      <w:r>
        <w:rPr>
          <w:rFonts w:hint="eastAsia" w:ascii="宋体" w:hAnsi="Calibri" w:eastAsia="宋体" w:cs="宋体"/>
          <w:color w:val="auto"/>
          <w:sz w:val="21"/>
          <w:szCs w:val="21"/>
          <w:highlight w:val="none"/>
        </w:rPr>
        <w:t>有权</w:t>
      </w:r>
      <w:r>
        <w:rPr>
          <w:rFonts w:ascii="宋体" w:hAnsi="Calibri" w:eastAsia="宋体" w:cs="宋体"/>
          <w:color w:val="auto"/>
          <w:sz w:val="21"/>
          <w:szCs w:val="21"/>
          <w:highlight w:val="none"/>
        </w:rPr>
        <w:t>终止合作经营合同外，还将依照国家、地方政府有关法律、法规、合作经营合同有关条款追究乙方的违约责任和赔偿责任。</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5、对乙方的重要岗位设置、人员的录用与管理以及重要的管理决策，甲方有直接参与权与审批权。在处理特殊事件和紧急、突发事故等情况下，甲方认为必要时，可对乙方管理人员有直接指挥权。</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6、</w:t>
      </w:r>
      <w:r>
        <w:rPr>
          <w:rFonts w:ascii="宋体" w:hAnsi="Calibri" w:eastAsia="宋体" w:cs="宋体"/>
          <w:color w:val="auto"/>
          <w:sz w:val="21"/>
          <w:szCs w:val="21"/>
          <w:highlight w:val="none"/>
        </w:rPr>
        <w:t>甲方有权对乙方项目经理进行考勤与工作考核，对无故缺勤或工作管理协调不力者，有权要求乙方及时调换。</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7、</w:t>
      </w:r>
      <w:r>
        <w:rPr>
          <w:rFonts w:ascii="宋体" w:hAnsi="Calibri" w:eastAsia="宋体" w:cs="宋体"/>
          <w:color w:val="auto"/>
          <w:sz w:val="21"/>
          <w:szCs w:val="21"/>
          <w:highlight w:val="none"/>
        </w:rPr>
        <w:t>乙方与顾客在服务过程中发生纠纷，甲方有权根据相关规定对乙方进行处罚；乙方员工在校发生任何违法违纪事件，除</w:t>
      </w:r>
      <w:r>
        <w:rPr>
          <w:rFonts w:hint="eastAsia" w:ascii="宋体" w:hAnsi="Calibri" w:eastAsia="宋体" w:cs="宋体"/>
          <w:color w:val="auto"/>
          <w:sz w:val="21"/>
          <w:szCs w:val="21"/>
          <w:highlight w:val="none"/>
        </w:rPr>
        <w:t>甲方</w:t>
      </w:r>
      <w:r>
        <w:rPr>
          <w:rFonts w:ascii="宋体" w:hAnsi="Calibri" w:eastAsia="宋体" w:cs="宋体"/>
          <w:color w:val="auto"/>
          <w:sz w:val="21"/>
          <w:szCs w:val="21"/>
          <w:highlight w:val="none"/>
        </w:rPr>
        <w:t>保卫、</w:t>
      </w:r>
      <w:r>
        <w:rPr>
          <w:rFonts w:hint="eastAsia" w:ascii="宋体" w:hAnsi="Calibri" w:eastAsia="宋体" w:cs="宋体"/>
          <w:color w:val="auto"/>
          <w:sz w:val="21"/>
          <w:szCs w:val="21"/>
          <w:highlight w:val="none"/>
        </w:rPr>
        <w:t>公安执法部门</w:t>
      </w:r>
      <w:r>
        <w:rPr>
          <w:rFonts w:ascii="宋体" w:hAnsi="Calibri" w:eastAsia="宋体" w:cs="宋体"/>
          <w:color w:val="auto"/>
          <w:sz w:val="21"/>
          <w:szCs w:val="21"/>
          <w:highlight w:val="none"/>
        </w:rPr>
        <w:t>等相关部门做出处理外，甲方有权另行对乙方进行处罚。</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8、</w:t>
      </w:r>
      <w:r>
        <w:rPr>
          <w:rFonts w:ascii="宋体" w:hAnsi="Calibri" w:eastAsia="宋体" w:cs="宋体"/>
          <w:color w:val="auto"/>
          <w:sz w:val="21"/>
          <w:szCs w:val="21"/>
          <w:highlight w:val="none"/>
        </w:rPr>
        <w:t>甲方</w:t>
      </w:r>
      <w:r>
        <w:rPr>
          <w:rFonts w:hint="eastAsia" w:ascii="宋体" w:hAnsi="Calibri" w:eastAsia="宋体" w:cs="宋体"/>
          <w:color w:val="auto"/>
          <w:sz w:val="21"/>
          <w:szCs w:val="21"/>
          <w:highlight w:val="none"/>
        </w:rPr>
        <w:t>拥有所有产品的</w:t>
      </w:r>
      <w:r>
        <w:rPr>
          <w:rFonts w:ascii="宋体" w:hAnsi="Calibri" w:eastAsia="宋体" w:cs="宋体"/>
          <w:color w:val="auto"/>
          <w:sz w:val="21"/>
          <w:szCs w:val="21"/>
          <w:highlight w:val="none"/>
        </w:rPr>
        <w:t>售价核定权。</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9、按照政府相关规定，</w:t>
      </w:r>
      <w:r>
        <w:rPr>
          <w:rFonts w:ascii="宋体" w:hAnsi="Calibri" w:eastAsia="宋体" w:cs="宋体"/>
          <w:color w:val="auto"/>
          <w:sz w:val="21"/>
          <w:szCs w:val="21"/>
          <w:highlight w:val="none"/>
        </w:rPr>
        <w:t>乙方在经营过程中产生的</w:t>
      </w:r>
      <w:r>
        <w:rPr>
          <w:rFonts w:hint="eastAsia" w:ascii="宋体" w:hAnsi="Calibri" w:eastAsia="宋体" w:cs="宋体"/>
          <w:color w:val="auto"/>
          <w:sz w:val="21"/>
          <w:szCs w:val="21"/>
          <w:highlight w:val="none"/>
        </w:rPr>
        <w:t>厨余</w:t>
      </w:r>
      <w:r>
        <w:rPr>
          <w:rFonts w:ascii="宋体" w:hAnsi="Calibri" w:eastAsia="宋体" w:cs="宋体"/>
          <w:color w:val="auto"/>
          <w:sz w:val="21"/>
          <w:szCs w:val="21"/>
          <w:highlight w:val="none"/>
        </w:rPr>
        <w:t>废弃物</w:t>
      </w:r>
      <w:r>
        <w:rPr>
          <w:rFonts w:hint="eastAsia" w:ascii="宋体" w:hAnsi="Calibri" w:eastAsia="宋体" w:cs="宋体"/>
          <w:color w:val="auto"/>
          <w:sz w:val="21"/>
          <w:szCs w:val="21"/>
          <w:highlight w:val="none"/>
        </w:rPr>
        <w:t>和各类垃圾，</w:t>
      </w:r>
      <w:r>
        <w:rPr>
          <w:rFonts w:ascii="宋体" w:hAnsi="Calibri" w:eastAsia="宋体" w:cs="宋体"/>
          <w:color w:val="auto"/>
          <w:sz w:val="21"/>
          <w:szCs w:val="21"/>
          <w:highlight w:val="none"/>
        </w:rPr>
        <w:t>甲方有权集中统一处理。</w:t>
      </w:r>
    </w:p>
    <w:p>
      <w:pPr>
        <w:pStyle w:val="99"/>
        <w:spacing w:before="0" w:after="0" w:line="240" w:lineRule="auto"/>
        <w:ind w:firstLineChars="200"/>
        <w:rPr>
          <w:rFonts w:ascii="宋体" w:hAnsi="Calibri" w:eastAsia="宋体" w:cs="宋体"/>
          <w:color w:val="auto"/>
          <w:sz w:val="21"/>
          <w:szCs w:val="21"/>
          <w:highlight w:val="none"/>
        </w:rPr>
      </w:pPr>
      <w:bookmarkStart w:id="115" w:name="_Hlk71545219"/>
      <w:r>
        <w:rPr>
          <w:rFonts w:hint="eastAsia" w:ascii="宋体" w:hAnsi="Calibri" w:eastAsia="宋体" w:cs="宋体"/>
          <w:color w:val="auto"/>
          <w:sz w:val="21"/>
          <w:szCs w:val="21"/>
          <w:highlight w:val="none"/>
        </w:rPr>
        <w:t>10、</w:t>
      </w:r>
      <w:r>
        <w:rPr>
          <w:rFonts w:ascii="宋体" w:hAnsi="Calibri" w:eastAsia="宋体" w:cs="宋体"/>
          <w:color w:val="auto"/>
          <w:sz w:val="21"/>
          <w:szCs w:val="21"/>
          <w:highlight w:val="none"/>
        </w:rPr>
        <w:t>甲方的校园卡结算系统，由甲方</w:t>
      </w:r>
      <w:r>
        <w:rPr>
          <w:rFonts w:hint="eastAsia" w:ascii="宋体" w:hAnsi="Calibri" w:eastAsia="宋体" w:cs="宋体"/>
          <w:color w:val="auto"/>
          <w:sz w:val="21"/>
          <w:szCs w:val="21"/>
          <w:highlight w:val="none"/>
        </w:rPr>
        <w:t>统一</w:t>
      </w:r>
      <w:r>
        <w:rPr>
          <w:rFonts w:ascii="宋体" w:hAnsi="Calibri" w:eastAsia="宋体" w:cs="宋体"/>
          <w:color w:val="auto"/>
          <w:sz w:val="21"/>
          <w:szCs w:val="21"/>
          <w:highlight w:val="none"/>
        </w:rPr>
        <w:t>管理</w:t>
      </w:r>
      <w:bookmarkEnd w:id="115"/>
      <w:r>
        <w:rPr>
          <w:rFonts w:hint="eastAsia" w:ascii="宋体" w:hAnsi="Calibri" w:eastAsia="宋体" w:cs="宋体"/>
          <w:color w:val="auto"/>
          <w:sz w:val="21"/>
          <w:szCs w:val="21"/>
          <w:highlight w:val="none"/>
        </w:rPr>
        <w:t>。甲方负责提供校园卡终端机及统一公用电子支付账号，并有权全程监督管理收银制度的执行。</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11、乙方引进品牌的特殊物资（包括独家配方的酱料、原料等）及品牌特殊的配料，确需自采的，必须向甲方提交书面申请，并附自采物资的生产商、品名、配料表及生产方的相关资质及检测报告，经甲方审核批准后方可自采。乙方必须严格执行采购管理的法律法规、行业规范及甲方制定的相关管理制度，严格执行索证制度，所有物资必须定期将相关检疫检验报告交甲方审核、存档。</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12、</w:t>
      </w:r>
      <w:r>
        <w:rPr>
          <w:rFonts w:ascii="宋体" w:hAnsi="Calibri" w:eastAsia="宋体" w:cs="宋体"/>
          <w:color w:val="auto"/>
          <w:sz w:val="21"/>
          <w:szCs w:val="21"/>
          <w:highlight w:val="none"/>
        </w:rPr>
        <w:t>甲方</w:t>
      </w:r>
      <w:r>
        <w:rPr>
          <w:rFonts w:hint="eastAsia" w:ascii="宋体" w:hAnsi="Calibri" w:eastAsia="宋体" w:cs="宋体"/>
          <w:color w:val="auto"/>
          <w:sz w:val="21"/>
          <w:szCs w:val="21"/>
          <w:highlight w:val="none"/>
        </w:rPr>
        <w:t>有权</w:t>
      </w:r>
      <w:r>
        <w:rPr>
          <w:rFonts w:ascii="宋体" w:hAnsi="Calibri" w:eastAsia="宋体" w:cs="宋体"/>
          <w:color w:val="auto"/>
          <w:sz w:val="21"/>
          <w:szCs w:val="21"/>
          <w:highlight w:val="none"/>
        </w:rPr>
        <w:t>对食品生产、销售等工作进行</w:t>
      </w:r>
      <w:r>
        <w:rPr>
          <w:rFonts w:hint="eastAsia" w:ascii="宋体" w:hAnsi="Calibri" w:eastAsia="宋体" w:cs="宋体"/>
          <w:color w:val="auto"/>
          <w:sz w:val="21"/>
          <w:szCs w:val="21"/>
          <w:highlight w:val="none"/>
        </w:rPr>
        <w:t>全程</w:t>
      </w:r>
      <w:r>
        <w:rPr>
          <w:rFonts w:ascii="宋体" w:hAnsi="Calibri" w:eastAsia="宋体" w:cs="宋体"/>
          <w:color w:val="auto"/>
          <w:sz w:val="21"/>
          <w:szCs w:val="21"/>
          <w:highlight w:val="none"/>
        </w:rPr>
        <w:t>检查、监督、指导和管理。发生食物中毒等事故</w:t>
      </w:r>
      <w:r>
        <w:rPr>
          <w:rFonts w:hint="eastAsia" w:ascii="宋体" w:hAnsi="Calibri" w:eastAsia="宋体" w:cs="宋体"/>
          <w:color w:val="auto"/>
          <w:sz w:val="21"/>
          <w:szCs w:val="21"/>
          <w:highlight w:val="none"/>
        </w:rPr>
        <w:t>时</w:t>
      </w:r>
      <w:r>
        <w:rPr>
          <w:rFonts w:ascii="宋体" w:hAnsi="Calibri" w:eastAsia="宋体" w:cs="宋体"/>
          <w:color w:val="auto"/>
          <w:sz w:val="21"/>
          <w:szCs w:val="21"/>
          <w:highlight w:val="none"/>
        </w:rPr>
        <w:t>，</w:t>
      </w:r>
      <w:r>
        <w:rPr>
          <w:rFonts w:hint="eastAsia" w:ascii="宋体" w:hAnsi="Calibri" w:eastAsia="宋体" w:cs="宋体"/>
          <w:color w:val="auto"/>
          <w:sz w:val="21"/>
          <w:szCs w:val="21"/>
          <w:highlight w:val="none"/>
        </w:rPr>
        <w:t>由此产生的食品安全责任，由乙方负责。若出现食品安全事故，甲方有权追究经济与法律责任。</w:t>
      </w:r>
    </w:p>
    <w:p>
      <w:pPr>
        <w:autoSpaceDE w:val="0"/>
        <w:autoSpaceDN w:val="0"/>
        <w:adjustRightInd w:val="0"/>
        <w:ind w:firstLine="422" w:firstLineChars="200"/>
        <w:jc w:val="left"/>
        <w:rPr>
          <w:rFonts w:ascii="宋体"/>
          <w:b/>
          <w:color w:val="auto"/>
          <w:kern w:val="0"/>
          <w:szCs w:val="21"/>
          <w:highlight w:val="none"/>
        </w:rPr>
      </w:pPr>
      <w:r>
        <w:rPr>
          <w:rFonts w:hint="eastAsia" w:ascii="宋体"/>
          <w:b/>
          <w:color w:val="auto"/>
          <w:kern w:val="0"/>
          <w:szCs w:val="21"/>
          <w:highlight w:val="none"/>
        </w:rPr>
        <w:t>二、甲方的义务</w:t>
      </w:r>
    </w:p>
    <w:p>
      <w:pPr>
        <w:pStyle w:val="99"/>
        <w:spacing w:before="0" w:after="0" w:line="240" w:lineRule="auto"/>
        <w:ind w:firstLineChars="200"/>
        <w:rPr>
          <w:rFonts w:ascii="宋体" w:hAnsi="Calibri" w:eastAsia="宋体" w:cs="宋体"/>
          <w:color w:val="auto"/>
          <w:sz w:val="21"/>
          <w:szCs w:val="21"/>
          <w:highlight w:val="none"/>
        </w:rPr>
      </w:pPr>
      <w:r>
        <w:rPr>
          <w:rFonts w:ascii="宋体" w:hAnsi="Calibri" w:eastAsia="宋体" w:cs="宋体"/>
          <w:color w:val="auto"/>
          <w:sz w:val="21"/>
          <w:szCs w:val="21"/>
          <w:highlight w:val="none"/>
        </w:rPr>
        <w:t>1</w:t>
      </w:r>
      <w:r>
        <w:rPr>
          <w:rFonts w:hint="eastAsia" w:ascii="宋体" w:hAnsi="Calibri" w:eastAsia="宋体" w:cs="宋体"/>
          <w:color w:val="auto"/>
          <w:sz w:val="21"/>
          <w:szCs w:val="21"/>
          <w:highlight w:val="none"/>
        </w:rPr>
        <w:t>、</w:t>
      </w:r>
      <w:r>
        <w:rPr>
          <w:rFonts w:ascii="宋体" w:hAnsi="Calibri" w:eastAsia="宋体" w:cs="宋体"/>
          <w:color w:val="auto"/>
          <w:sz w:val="21"/>
          <w:szCs w:val="21"/>
          <w:highlight w:val="none"/>
        </w:rPr>
        <w:t>向乙方提供</w:t>
      </w:r>
      <w:r>
        <w:rPr>
          <w:rFonts w:hint="eastAsia" w:ascii="宋体" w:hAnsi="Calibri" w:eastAsia="宋体" w:cs="宋体"/>
          <w:color w:val="auto"/>
          <w:sz w:val="21"/>
          <w:szCs w:val="21"/>
          <w:highlight w:val="none"/>
        </w:rPr>
        <w:t>经营</w:t>
      </w:r>
      <w:r>
        <w:rPr>
          <w:rFonts w:ascii="宋体" w:hAnsi="Calibri" w:eastAsia="宋体" w:cs="宋体"/>
          <w:color w:val="auto"/>
          <w:sz w:val="21"/>
          <w:szCs w:val="21"/>
          <w:highlight w:val="none"/>
        </w:rPr>
        <w:t>场地</w:t>
      </w:r>
      <w:r>
        <w:rPr>
          <w:rFonts w:hint="eastAsia" w:ascii="宋体" w:hAnsi="Calibri" w:eastAsia="宋体" w:cs="宋体"/>
          <w:color w:val="auto"/>
          <w:sz w:val="21"/>
          <w:szCs w:val="21"/>
          <w:highlight w:val="none"/>
        </w:rPr>
        <w:t>、</w:t>
      </w:r>
      <w:r>
        <w:rPr>
          <w:rFonts w:hint="eastAsia" w:ascii="宋体" w:hAnsi="宋体" w:eastAsia="宋体" w:cs="宋体"/>
          <w:color w:val="auto"/>
          <w:sz w:val="21"/>
          <w:szCs w:val="21"/>
          <w:highlight w:val="none"/>
        </w:rPr>
        <w:t>公共配套设施及相关政策支持</w:t>
      </w:r>
      <w:r>
        <w:rPr>
          <w:rFonts w:ascii="宋体" w:hAnsi="Calibri" w:eastAsia="宋体" w:cs="宋体"/>
          <w:color w:val="auto"/>
          <w:sz w:val="21"/>
          <w:szCs w:val="21"/>
          <w:highlight w:val="none"/>
        </w:rPr>
        <w:t>。</w:t>
      </w:r>
    </w:p>
    <w:p>
      <w:pPr>
        <w:pStyle w:val="99"/>
        <w:spacing w:before="0" w:after="0" w:line="240" w:lineRule="auto"/>
        <w:ind w:firstLineChars="200"/>
        <w:rPr>
          <w:rFonts w:ascii="宋体" w:eastAsia="宋体" w:cs="宋体"/>
          <w:color w:val="auto"/>
          <w:sz w:val="21"/>
          <w:szCs w:val="21"/>
          <w:highlight w:val="none"/>
        </w:rPr>
      </w:pPr>
      <w:r>
        <w:rPr>
          <w:rFonts w:hint="eastAsia" w:ascii="宋体" w:eastAsia="宋体" w:cs="宋体"/>
          <w:color w:val="auto"/>
          <w:sz w:val="21"/>
          <w:szCs w:val="21"/>
          <w:highlight w:val="none"/>
        </w:rPr>
        <w:t>2、在工程车辆、施工人员和从业人员出入校园，以及管网改造、周边环境升级等方面，为乙方进行协调。</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eastAsia="宋体" w:cs="宋体"/>
          <w:color w:val="auto"/>
          <w:sz w:val="21"/>
          <w:szCs w:val="21"/>
          <w:highlight w:val="none"/>
        </w:rPr>
        <w:t>3、为保证项目按期完成，协助出具乙方及引进商户经营办证所需的证明、资质等</w:t>
      </w:r>
      <w:r>
        <w:rPr>
          <w:rFonts w:hint="eastAsia" w:ascii="宋体" w:hAnsi="Calibri" w:eastAsia="宋体" w:cs="宋体"/>
          <w:color w:val="auto"/>
          <w:sz w:val="21"/>
          <w:szCs w:val="21"/>
          <w:highlight w:val="none"/>
        </w:rPr>
        <w:t>。</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4、</w:t>
      </w:r>
      <w:r>
        <w:rPr>
          <w:rFonts w:ascii="宋体" w:hAnsi="Calibri" w:eastAsia="宋体" w:cs="宋体"/>
          <w:color w:val="auto"/>
          <w:sz w:val="21"/>
          <w:szCs w:val="21"/>
          <w:highlight w:val="none"/>
        </w:rPr>
        <w:t>为乙方提供</w:t>
      </w:r>
      <w:r>
        <w:rPr>
          <w:rFonts w:hint="eastAsia" w:ascii="宋体" w:hAnsi="Calibri" w:eastAsia="宋体" w:cs="宋体"/>
          <w:color w:val="auto"/>
          <w:sz w:val="21"/>
          <w:szCs w:val="21"/>
          <w:highlight w:val="none"/>
        </w:rPr>
        <w:t>开设校园卡一卡通支付</w:t>
      </w:r>
      <w:r>
        <w:rPr>
          <w:rFonts w:ascii="宋体" w:hAnsi="Calibri" w:eastAsia="宋体" w:cs="宋体"/>
          <w:color w:val="auto"/>
          <w:sz w:val="21"/>
          <w:szCs w:val="21"/>
          <w:highlight w:val="none"/>
        </w:rPr>
        <w:t>系统及日常维护，确保正常运行。</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5、保障乙方正常用水、用电、用气的义务。</w:t>
      </w:r>
    </w:p>
    <w:p>
      <w:pPr>
        <w:autoSpaceDE w:val="0"/>
        <w:autoSpaceDN w:val="0"/>
        <w:adjustRightInd w:val="0"/>
        <w:ind w:firstLine="420" w:firstLineChars="200"/>
        <w:jc w:val="left"/>
        <w:rPr>
          <w:rFonts w:ascii="宋体" w:hAnsi="Arial"/>
          <w:color w:val="auto"/>
          <w:kern w:val="0"/>
          <w:szCs w:val="21"/>
          <w:highlight w:val="none"/>
        </w:rPr>
      </w:pPr>
      <w:r>
        <w:rPr>
          <w:rFonts w:hint="eastAsia" w:ascii="宋体" w:hAnsi="Arial"/>
          <w:color w:val="auto"/>
          <w:kern w:val="0"/>
          <w:szCs w:val="21"/>
          <w:highlight w:val="none"/>
        </w:rPr>
        <w:t>6、必要时</w:t>
      </w:r>
      <w:r>
        <w:rPr>
          <w:rFonts w:ascii="宋体" w:hAnsi="Arial"/>
          <w:color w:val="auto"/>
          <w:kern w:val="0"/>
          <w:szCs w:val="21"/>
          <w:highlight w:val="none"/>
        </w:rPr>
        <w:t>负责协调</w:t>
      </w:r>
      <w:r>
        <w:rPr>
          <w:rFonts w:hint="eastAsia" w:ascii="宋体" w:hAnsi="Arial"/>
          <w:color w:val="auto"/>
          <w:kern w:val="0"/>
          <w:szCs w:val="21"/>
          <w:highlight w:val="none"/>
        </w:rPr>
        <w:t>经营场地房屋及配套设施的日常维修维护。</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7、甲方有按照合同约定及时结算营业款的义务。</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8、</w:t>
      </w:r>
      <w:r>
        <w:rPr>
          <w:rFonts w:ascii="宋体" w:hAnsi="Calibri" w:eastAsia="宋体" w:cs="宋体"/>
          <w:color w:val="auto"/>
          <w:sz w:val="21"/>
          <w:szCs w:val="21"/>
          <w:highlight w:val="none"/>
        </w:rPr>
        <w:t>乙方的经营收入，按月结算，扣除乙方</w:t>
      </w:r>
      <w:r>
        <w:rPr>
          <w:rFonts w:hint="eastAsia" w:ascii="宋体" w:hAnsi="Calibri" w:eastAsia="宋体" w:cs="宋体"/>
          <w:color w:val="auto"/>
          <w:sz w:val="21"/>
          <w:szCs w:val="21"/>
          <w:highlight w:val="none"/>
        </w:rPr>
        <w:t>相关配套设施维护费、垃圾清运费等</w:t>
      </w:r>
      <w:r>
        <w:rPr>
          <w:rFonts w:ascii="宋体" w:hAnsi="Calibri" w:eastAsia="宋体" w:cs="宋体"/>
          <w:color w:val="auto"/>
          <w:sz w:val="21"/>
          <w:szCs w:val="21"/>
          <w:highlight w:val="none"/>
        </w:rPr>
        <w:t>应交的有关费用后，按月转付乙方。</w:t>
      </w:r>
    </w:p>
    <w:p>
      <w:pPr>
        <w:autoSpaceDE w:val="0"/>
        <w:autoSpaceDN w:val="0"/>
        <w:adjustRightInd w:val="0"/>
        <w:ind w:firstLine="422" w:firstLineChars="200"/>
        <w:jc w:val="left"/>
        <w:rPr>
          <w:rFonts w:ascii="宋体"/>
          <w:b/>
          <w:color w:val="auto"/>
          <w:kern w:val="0"/>
          <w:szCs w:val="21"/>
          <w:highlight w:val="none"/>
        </w:rPr>
      </w:pPr>
      <w:r>
        <w:rPr>
          <w:rFonts w:hint="eastAsia" w:ascii="宋体"/>
          <w:b/>
          <w:color w:val="auto"/>
          <w:kern w:val="0"/>
          <w:szCs w:val="21"/>
          <w:highlight w:val="none"/>
        </w:rPr>
        <w:t>三、乙方的权利</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1、乙方整体自主经营并对外承担全部责任。</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2、在合同期内，对甲方提供的设施、设备，乙方享有使用和经营管理权。在不违反国家有关禁止性规定及甲方相关规定的前提下，根据实际经营需要，乙方可对经营场所进行装修，装修方案须报经甲方书面同意后方可实施，实施过程中的安全责任及相关费用，由乙方自行负责。</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3、乙方在合同规定的范围内，有权按照管理目标和工作需要制定工作规范和规章制度，但必须符合相关法律法规及甲方的管理要求。</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4、乙方有要求按合同约定的相关条款按期结算经营款项的权利。</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5、乙方有权自主聘用和辞退员工、自主制定员工薪酬和奖惩员工的权利。</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6、乙方有权根据实际需要变更商户及业态设置，但必须报经甲方同意方可实施。</w:t>
      </w:r>
    </w:p>
    <w:p>
      <w:pPr>
        <w:autoSpaceDE w:val="0"/>
        <w:autoSpaceDN w:val="0"/>
        <w:adjustRightInd w:val="0"/>
        <w:ind w:firstLine="422" w:firstLineChars="200"/>
        <w:jc w:val="left"/>
        <w:rPr>
          <w:rFonts w:ascii="宋体"/>
          <w:b/>
          <w:color w:val="auto"/>
          <w:kern w:val="0"/>
          <w:szCs w:val="21"/>
          <w:highlight w:val="none"/>
        </w:rPr>
      </w:pPr>
      <w:r>
        <w:rPr>
          <w:rFonts w:hint="eastAsia" w:ascii="宋体"/>
          <w:b/>
          <w:color w:val="auto"/>
          <w:kern w:val="0"/>
          <w:szCs w:val="21"/>
          <w:highlight w:val="none"/>
        </w:rPr>
        <w:t>四、乙方的义务</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1、乙方负责项目建设、运营和管理的具体实施，乙方因此产生的一切债权债务与甲方无关。</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2、乙方严禁将项目转包、转借他人经营及使用，不得私自改作其他用途，用于甲方严禁经营的项目。涉及专项服务项目需分包给其它资质单位的，须事先征得甲方书面同意。</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3、乙方必须遵守国家法律法规，严格执行国家和甲方的各项管理规定和规章制度，不得从事违法犯罪活动，做到守法经营、诚信运营、文明服务，维护广大师生合法权益。</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4、结合工作目标，乙方必须制定相关的规章制度（如管理机构设立、岗位职责与规范、运营管理制度、商户管理制度、服务质量考评制度、从业人员培训制度、责任追究制度等）。所制定的规章制度，必须符合相关法律法规及甲方的管理要求。</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5、乙方必须按照甲方要求，在甲方所派管理人员的指导下进行工作，对项目运营进行日常管理，并主动接受监管。</w:t>
      </w:r>
    </w:p>
    <w:p>
      <w:pPr>
        <w:pStyle w:val="99"/>
        <w:snapToGrid w:val="0"/>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6、在经营项目、商品质量、服务态度等方面，所招商的机构和实体商户，乙方必须提出规范化要求，突出常态化考核，督促经营商户营造安全、整洁、序的服务环境。</w:t>
      </w:r>
    </w:p>
    <w:p>
      <w:pPr>
        <w:pStyle w:val="99"/>
        <w:snapToGrid w:val="0"/>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7、围绕“六型合一”生活服务综合体建设目标，乙方要以校园一卡通为载体，</w:t>
      </w:r>
      <w:r>
        <w:rPr>
          <w:rFonts w:ascii="宋体" w:hAnsi="Calibri" w:eastAsia="宋体" w:cs="宋体"/>
          <w:color w:val="auto"/>
          <w:sz w:val="21"/>
          <w:szCs w:val="21"/>
          <w:highlight w:val="none"/>
        </w:rPr>
        <w:t>结合人工智能大数据技术，实现信息化技术与生活服务内容的有机融合</w:t>
      </w:r>
      <w:r>
        <w:rPr>
          <w:rFonts w:hint="eastAsia" w:ascii="宋体" w:hAnsi="Calibri" w:eastAsia="宋体" w:cs="宋体"/>
          <w:color w:val="auto"/>
          <w:sz w:val="21"/>
          <w:szCs w:val="21"/>
          <w:highlight w:val="none"/>
        </w:rPr>
        <w:t>，给</w:t>
      </w:r>
      <w:r>
        <w:rPr>
          <w:rFonts w:ascii="宋体" w:hAnsi="Calibri" w:eastAsia="宋体" w:cs="宋体"/>
          <w:color w:val="auto"/>
          <w:sz w:val="21"/>
          <w:szCs w:val="21"/>
          <w:highlight w:val="none"/>
        </w:rPr>
        <w:t>师生</w:t>
      </w:r>
      <w:r>
        <w:rPr>
          <w:rFonts w:hint="eastAsia" w:ascii="宋体" w:hAnsi="Calibri" w:eastAsia="宋体" w:cs="宋体"/>
          <w:color w:val="auto"/>
          <w:sz w:val="21"/>
          <w:szCs w:val="21"/>
          <w:highlight w:val="none"/>
        </w:rPr>
        <w:t>提供便利快捷、优质高效的服务。</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8、乙方必须承诺对满江红大楼进行了充分的调查了解（各楼层的具体情况，具体包括实际使用面积、房屋结构、水电、燃气、消防安全等设施），同意按照其现状进行联合经营，对本次合作可能存在的风险（包括但不限于消防手续、相关营业执照等办理）有充分的理解并愿意承担一切风险，不因中标后可能产生的任何经济或民事纠纷而对学校进行追责和索赔。</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9、对大楼视频监控系统及水电、燃气等管网设施，乙方须进行全面改造升级。在改造过程中，乙方要严格按照相关管理规定和有关要求进行。在水电、燃气等使用上，要有效保证安全；在视频监控功能发挥上，要起到明显效果。在项目改造过程中，乙方要充分考虑校园的交通、电力、电信、给排水、燃气、环境卫生等现有基础设施的利用，不能影响已有管网设施的使用安全，更不能增加新的安全隐患。</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10、在进行项目改造时，乙方必须综合考虑校园及建筑物周边特殊地理、交通条件等环境因素影响，不得影响甲方正常的教学和生活秩序。</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11、在业态分布上，乙方可引进国内有一定影响的商业品牌店经营，招商的机构和实体企业要按照行业标准配置进行规划，但不得整体转让。</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12、乙方要按照甲方规定的时限要求完成招商进度。乙方所招商的机构和实体商户，必须是承租人自主经营，不得将运营服务点转包、转借他人经营及使用，不得利用运营服务点改作其他严禁经营的项目。一旦发现，甲方有权立即终止合同，且履约保证金不予退还。</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13、乙方必须接收原有的经营业态、部分商户和剩余未售商品（合作经营收益中不包含），未经甲方同意不得更改或增加经营项目。乙方必须接收甲方超市剩余商品，依据供应商签订的合同价格，乙方支付甲方货款，货款在甲方提供的首次一卡通消费金额中减除。</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14、协议期内， 乙方必须与各商户签订书面的承租合同，且承租合同必须按原件抄送甲方。在商户发生变更时，须及时将相关信息以书面形式告知甲方。与引进的品牌商户签约时，不得违反合作期限，出现超期签约。</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15、乙方及引进的商户必须服从甲方监管，遵纪守法，依法合规经营，随时接受地方各级相关行政执法部门和甲方的检查、监督。在经营范围内，持证经营，依法纳税，及时、足额结算各项费用，按照规定支付聘用人员的工资报酬和各种保险费用，并承担经营过程中全部法律责任及连带责任。</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16、乙方对经营商户及从业人员必须进行资格审核，主要包括经营项目、经营范围、经营方式、支付手段、从业资格等，还包含身份证、居住证、健康证等有效证件的审查。乙方必须遵守相关业态的职业管理规定。需持证上岗的业态，乙方要求各商户从业员工必须持有效证件方能上岗。各商户必须配备足够数量的人员，保证能及时便利、快速高效地提供优质服务。</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17、相关手续办理。项目所需的相应手续由乙方自行办理。建设及运营期间，乙方须自行处理政府相关业务管理部门（包括但不限于规划、工商、城管、消防、治安、天然气等部门）管理要求的有关事项，并独自承担由此带来的各项费用、经济损失与责任。</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18、商户和预支付消费业态的管控。必须做到及时、有效地处理经营中各类纠纷和各种矛盾，防止群体性事件和问题发生，杜绝产生不良社会影响。</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19、所有商品要实行统一采购。自有的商品有配送基地的，商品渠道实行严格的市场准入机制。不得销售“三无”产品，没有经国家有关部门检验检疫合格的商品一律禁止流通。</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20、所有商品实行“服务三保”机制。因乙方出售的商品存在质量问题或在经营过程中出现的其他问题，所造成经济、法律等一切责任均由乙方承担。凡因商品本身的质量问题，按照国家相应法律法规处理，由乙方负责，督促商户及时向师生提供退换货服务。</w:t>
      </w:r>
    </w:p>
    <w:p>
      <w:pPr>
        <w:pStyle w:val="99"/>
        <w:spacing w:before="0" w:after="0" w:line="240" w:lineRule="auto"/>
        <w:ind w:firstLineChars="200"/>
        <w:rPr>
          <w:rFonts w:ascii="宋体" w:hAnsi="Calibri" w:eastAsia="宋体" w:cs="宋体"/>
          <w:color w:val="auto"/>
          <w:sz w:val="21"/>
          <w:szCs w:val="21"/>
          <w:highlight w:val="none"/>
        </w:rPr>
      </w:pPr>
      <w:r>
        <w:rPr>
          <w:rFonts w:hint="eastAsia" w:ascii="宋体" w:hAnsi="Calibri" w:eastAsia="宋体" w:cs="宋体"/>
          <w:color w:val="auto"/>
          <w:sz w:val="21"/>
          <w:szCs w:val="21"/>
          <w:highlight w:val="none"/>
        </w:rPr>
        <w:t>21、乙方必须为甲方预留两间共约50㎡左右的办公用房，使用满江红大楼现在岗合同期未满的劳务派遣人员23人，并为其提供符合武汉市法律法规的薪资及各项保险。无正当理由，乙方必须无条件服从，并配合学校妥善做好安置工作。</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22、乙方必须向甲方无条件开放收银系统查询功能，可以查询投标人全部营业额。乙方给各承租商户增设学校一卡通系统，便于师生使用校园卡进行消费。</w:t>
      </w:r>
    </w:p>
    <w:p>
      <w:pPr>
        <w:pStyle w:val="99"/>
        <w:spacing w:before="0" w:after="0" w:line="240" w:lineRule="auto"/>
        <w:ind w:firstLineChars="200"/>
        <w:rPr>
          <w:rFonts w:ascii="宋体" w:eastAsia="宋体" w:cs="宋体"/>
          <w:color w:val="auto"/>
          <w:sz w:val="21"/>
          <w:szCs w:val="21"/>
          <w:highlight w:val="none"/>
        </w:rPr>
      </w:pPr>
      <w:r>
        <w:rPr>
          <w:rFonts w:hint="eastAsia" w:ascii="宋体" w:eastAsia="宋体" w:cs="宋体"/>
          <w:color w:val="auto"/>
          <w:sz w:val="21"/>
          <w:szCs w:val="21"/>
          <w:highlight w:val="none"/>
        </w:rPr>
        <w:t>23、乙方及引进的商户未经甲方同意，不得擅自装修改造、占用经营场地以外的部分从事经营活动；不得对经营场地造成损坏，对周围的环境造成污染。乙方进行房屋装修、悬挂招牌等，应符合学校统一要求（参考中后协商【2018】3号文《高校教育超市样板店评估检查标准》），需经甲方同意后进行。在标牌设计上，除企业机构有特殊颜色标识外，须统一使用学校的华大绿风格。在店铺外设置广告、摆放物品需征得甲方同意，严禁使用霓虹灯作为招牌广告。</w:t>
      </w:r>
    </w:p>
    <w:p>
      <w:pPr>
        <w:widowControl/>
        <w:ind w:firstLine="420" w:firstLineChars="200"/>
        <w:jc w:val="left"/>
        <w:rPr>
          <w:rFonts w:ascii="宋体"/>
          <w:color w:val="auto"/>
          <w:kern w:val="0"/>
          <w:szCs w:val="21"/>
          <w:highlight w:val="none"/>
        </w:rPr>
      </w:pPr>
      <w:r>
        <w:rPr>
          <w:rFonts w:hint="eastAsia" w:ascii="宋体"/>
          <w:color w:val="auto"/>
          <w:kern w:val="0"/>
          <w:szCs w:val="21"/>
          <w:highlight w:val="none"/>
        </w:rPr>
        <w:t>24、乙方必须设置服务中心或投诉受理点，及时处理及回复投诉或举报，专人负责接待广大师生投诉。受理师生投诉的渠道包括但不限于电话、意见簿、信件、现场接待等。一般性投诉应在2个自然天内答复，特殊投诉在 4个自然天内答复，重大投诉在7个自然天内答复，所有投诉、答复及最终解决方案均须记录。在商业机构和各商户服务地点，乙方必须悬挂服务监督电话、损失赔偿办法和投诉受理办法。</w:t>
      </w:r>
    </w:p>
    <w:p>
      <w:pPr>
        <w:widowControl/>
        <w:ind w:firstLine="420" w:firstLineChars="200"/>
        <w:jc w:val="left"/>
        <w:rPr>
          <w:rFonts w:ascii="宋体"/>
          <w:color w:val="auto"/>
          <w:kern w:val="0"/>
          <w:szCs w:val="21"/>
          <w:highlight w:val="none"/>
        </w:rPr>
      </w:pPr>
      <w:r>
        <w:rPr>
          <w:rFonts w:hint="eastAsia" w:ascii="宋体"/>
          <w:color w:val="auto"/>
          <w:kern w:val="0"/>
          <w:szCs w:val="21"/>
          <w:highlight w:val="none"/>
        </w:rPr>
        <w:t>25、乙方必须健全服务公约，对各商户实行服务承诺制，不得与服务对象发生冲突，凡属经营服务质量等原因造成投诉的，均由乙方出面负责处理并承担相应责任。</w:t>
      </w:r>
    </w:p>
    <w:p>
      <w:pPr>
        <w:widowControl/>
        <w:ind w:firstLine="420" w:firstLineChars="200"/>
        <w:jc w:val="left"/>
        <w:rPr>
          <w:rFonts w:ascii="宋体"/>
          <w:color w:val="auto"/>
          <w:kern w:val="0"/>
          <w:szCs w:val="21"/>
          <w:highlight w:val="none"/>
        </w:rPr>
      </w:pPr>
      <w:r>
        <w:rPr>
          <w:rFonts w:hint="eastAsia" w:ascii="宋体"/>
          <w:color w:val="auto"/>
          <w:kern w:val="0"/>
          <w:szCs w:val="21"/>
          <w:highlight w:val="none"/>
        </w:rPr>
        <w:t>26、为保证项目的正常运转，电梯、室内外照明、排风换气设备、消防设备、水电管网等辅助设施须常态化处于完好状态，乙方必须列入年度检修和日常保养计划。</w:t>
      </w:r>
    </w:p>
    <w:p>
      <w:pPr>
        <w:widowControl/>
        <w:ind w:firstLine="420" w:firstLineChars="200"/>
        <w:jc w:val="left"/>
        <w:rPr>
          <w:rFonts w:ascii="宋体"/>
          <w:color w:val="auto"/>
          <w:kern w:val="0"/>
          <w:szCs w:val="21"/>
          <w:highlight w:val="none"/>
        </w:rPr>
      </w:pPr>
      <w:r>
        <w:rPr>
          <w:rFonts w:hint="eastAsia" w:ascii="宋体"/>
          <w:color w:val="auto"/>
          <w:kern w:val="0"/>
          <w:szCs w:val="21"/>
          <w:highlight w:val="none"/>
        </w:rPr>
        <w:t>27、乙方必须建立安全管理制度。</w:t>
      </w:r>
    </w:p>
    <w:p>
      <w:pPr>
        <w:widowControl/>
        <w:ind w:firstLine="420" w:firstLineChars="200"/>
        <w:jc w:val="left"/>
        <w:rPr>
          <w:rFonts w:ascii="宋体"/>
          <w:color w:val="auto"/>
          <w:kern w:val="0"/>
          <w:szCs w:val="21"/>
          <w:highlight w:val="none"/>
        </w:rPr>
      </w:pPr>
      <w:r>
        <w:rPr>
          <w:rFonts w:hint="eastAsia" w:ascii="宋体"/>
          <w:color w:val="auto"/>
          <w:kern w:val="0"/>
          <w:szCs w:val="21"/>
          <w:highlight w:val="none"/>
        </w:rPr>
        <w:t>1）乙方应配合甲方建立统一的安全管理制度，切实落实公共安全管理责任，做到符合国家消防管理规定和相应国家标准的要求。乙方负责组织各商户落实各项安全管理措施，强化安全监管职能。</w:t>
      </w:r>
    </w:p>
    <w:p>
      <w:pPr>
        <w:widowControl/>
        <w:ind w:firstLine="420" w:firstLineChars="200"/>
        <w:jc w:val="left"/>
        <w:rPr>
          <w:rFonts w:ascii="宋体"/>
          <w:color w:val="auto"/>
          <w:kern w:val="0"/>
          <w:szCs w:val="21"/>
          <w:highlight w:val="none"/>
        </w:rPr>
      </w:pPr>
      <w:r>
        <w:rPr>
          <w:rFonts w:hint="eastAsia" w:ascii="宋体"/>
          <w:color w:val="auto"/>
          <w:kern w:val="0"/>
          <w:szCs w:val="21"/>
          <w:highlight w:val="none"/>
        </w:rPr>
        <w:t>2）乙方须确保消防设施设备、装备器具配置合理规范，配备与场所面积相</w:t>
      </w:r>
    </w:p>
    <w:p>
      <w:pPr>
        <w:widowControl/>
        <w:jc w:val="left"/>
        <w:rPr>
          <w:rFonts w:ascii="宋体"/>
          <w:color w:val="auto"/>
          <w:kern w:val="0"/>
          <w:szCs w:val="21"/>
          <w:highlight w:val="none"/>
        </w:rPr>
      </w:pPr>
      <w:r>
        <w:rPr>
          <w:rFonts w:hint="eastAsia" w:ascii="宋体"/>
          <w:color w:val="auto"/>
          <w:kern w:val="0"/>
          <w:szCs w:val="21"/>
          <w:highlight w:val="none"/>
        </w:rPr>
        <w:t>适应的消防设施设备。规范用水、用电、用气，符合消防部门的要求并通过消防检查，接受并及时响应消防部门提出的整改意见，接受组织的专门培训。若出现</w:t>
      </w:r>
    </w:p>
    <w:p>
      <w:pPr>
        <w:widowControl/>
        <w:jc w:val="left"/>
        <w:rPr>
          <w:rFonts w:ascii="宋体"/>
          <w:color w:val="auto"/>
          <w:kern w:val="0"/>
          <w:szCs w:val="21"/>
          <w:highlight w:val="none"/>
        </w:rPr>
      </w:pPr>
      <w:r>
        <w:rPr>
          <w:rFonts w:hint="eastAsia" w:ascii="宋体"/>
          <w:color w:val="auto"/>
          <w:kern w:val="0"/>
          <w:szCs w:val="21"/>
          <w:highlight w:val="none"/>
        </w:rPr>
        <w:t>消防安全问题及事故，乙方要承担全部责任，甲方有权视情况终止合同。</w:t>
      </w:r>
    </w:p>
    <w:p>
      <w:pPr>
        <w:widowControl/>
        <w:ind w:firstLine="420" w:firstLineChars="200"/>
        <w:jc w:val="left"/>
        <w:rPr>
          <w:rFonts w:ascii="宋体"/>
          <w:color w:val="auto"/>
          <w:kern w:val="0"/>
          <w:szCs w:val="21"/>
          <w:highlight w:val="none"/>
        </w:rPr>
      </w:pPr>
      <w:r>
        <w:rPr>
          <w:rFonts w:hint="eastAsia" w:ascii="宋体"/>
          <w:color w:val="auto"/>
          <w:kern w:val="0"/>
          <w:szCs w:val="21"/>
          <w:highlight w:val="none"/>
        </w:rPr>
        <w:t>28、在甲方统一安排下，涉及校园安全、疫情防控等有关工作时，乙方必须积极参加，由此产生的费用由乙方分摊。</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29、乙方必须健全各项安全工作制度和突发事件应急处置预案，做好经营场地内的消防安全、食品安全、生产安全、交通安全、治安安全和网络安全的宣传、培训和管理，强化疫情防控常态化要求，排除各类安全隐患，并承担全部安全事故责任。</w:t>
      </w:r>
    </w:p>
    <w:p>
      <w:pPr>
        <w:widowControl/>
        <w:ind w:firstLine="420" w:firstLineChars="200"/>
        <w:jc w:val="left"/>
        <w:rPr>
          <w:rFonts w:ascii="宋体"/>
          <w:color w:val="auto"/>
          <w:kern w:val="0"/>
          <w:szCs w:val="21"/>
          <w:highlight w:val="none"/>
        </w:rPr>
      </w:pPr>
      <w:r>
        <w:rPr>
          <w:rFonts w:hint="eastAsia" w:ascii="宋体"/>
          <w:color w:val="auto"/>
          <w:kern w:val="0"/>
          <w:szCs w:val="21"/>
          <w:highlight w:val="none"/>
        </w:rPr>
        <w:t>30、乙方经营管理区域范围内发生的人身伤害、物品被盗或丢失、人为损坏设备设施，属乙方管理不善原因造成的，由乙方负责全部赔偿。</w:t>
      </w:r>
    </w:p>
    <w:p>
      <w:pPr>
        <w:widowControl/>
        <w:ind w:firstLine="420" w:firstLineChars="200"/>
        <w:jc w:val="left"/>
        <w:rPr>
          <w:rFonts w:ascii="宋体"/>
          <w:color w:val="auto"/>
          <w:kern w:val="0"/>
          <w:szCs w:val="21"/>
          <w:highlight w:val="none"/>
        </w:rPr>
      </w:pPr>
      <w:r>
        <w:rPr>
          <w:rFonts w:hint="eastAsia" w:ascii="宋体"/>
          <w:color w:val="auto"/>
          <w:kern w:val="0"/>
          <w:szCs w:val="21"/>
          <w:highlight w:val="none"/>
        </w:rPr>
        <w:t>31</w:t>
      </w:r>
      <w:r>
        <w:rPr>
          <w:rFonts w:hint="eastAsia" w:ascii="宋体"/>
          <w:color w:val="auto"/>
          <w:kern w:val="0"/>
          <w:szCs w:val="21"/>
          <w:highlight w:val="none"/>
          <w:lang w:eastAsia="zh-CN"/>
        </w:rPr>
        <w:t>、甲方</w:t>
      </w:r>
      <w:r>
        <w:rPr>
          <w:rFonts w:hint="eastAsia" w:ascii="宋体"/>
          <w:color w:val="auto"/>
          <w:kern w:val="0"/>
          <w:szCs w:val="21"/>
          <w:highlight w:val="none"/>
        </w:rPr>
        <w:t>如认为有必要，可查阅乙方本项目的财务运作状况。</w:t>
      </w:r>
    </w:p>
    <w:p>
      <w:pPr>
        <w:widowControl/>
        <w:ind w:firstLine="420" w:firstLineChars="200"/>
        <w:jc w:val="left"/>
        <w:rPr>
          <w:rFonts w:ascii="宋体"/>
          <w:color w:val="auto"/>
          <w:kern w:val="0"/>
          <w:szCs w:val="21"/>
          <w:highlight w:val="none"/>
        </w:rPr>
      </w:pPr>
      <w:r>
        <w:rPr>
          <w:rFonts w:hint="eastAsia" w:ascii="宋体"/>
          <w:color w:val="auto"/>
          <w:kern w:val="0"/>
          <w:szCs w:val="21"/>
          <w:highlight w:val="none"/>
        </w:rPr>
        <w:t>32、乙方常态化要求各商铺必须做到外观整洁，所放物品井然有序，服务设备及设施完好。乙方负责满江红综合体的保洁工作，必须遵守经营场所“门前三包”规定，搞好清洁卫生。</w:t>
      </w:r>
    </w:p>
    <w:p>
      <w:pPr>
        <w:widowControl/>
        <w:ind w:firstLine="420" w:firstLineChars="200"/>
        <w:jc w:val="left"/>
        <w:rPr>
          <w:rFonts w:ascii="宋体"/>
          <w:color w:val="auto"/>
          <w:kern w:val="0"/>
          <w:szCs w:val="21"/>
          <w:highlight w:val="none"/>
        </w:rPr>
      </w:pPr>
      <w:r>
        <w:rPr>
          <w:rFonts w:hint="eastAsia" w:ascii="宋体"/>
          <w:color w:val="auto"/>
          <w:kern w:val="0"/>
          <w:szCs w:val="21"/>
          <w:highlight w:val="none"/>
        </w:rPr>
        <w:t>33、乙方服务业态及服务时间，必须服从甲方工作安排。</w:t>
      </w:r>
    </w:p>
    <w:p>
      <w:pPr>
        <w:widowControl/>
        <w:ind w:firstLine="420" w:firstLineChars="200"/>
        <w:jc w:val="left"/>
        <w:rPr>
          <w:rFonts w:ascii="宋体"/>
          <w:color w:val="auto"/>
          <w:kern w:val="0"/>
          <w:szCs w:val="21"/>
          <w:highlight w:val="none"/>
        </w:rPr>
      </w:pPr>
      <w:r>
        <w:rPr>
          <w:rFonts w:hint="eastAsia" w:ascii="宋体"/>
          <w:color w:val="auto"/>
          <w:kern w:val="0"/>
          <w:szCs w:val="21"/>
          <w:highlight w:val="none"/>
        </w:rPr>
        <w:t>34、对于经营场所的垃圾处理，乙方要按照武汉市垃圾分类的要求，分类处理后清运到指定地点。</w:t>
      </w:r>
    </w:p>
    <w:p>
      <w:pPr>
        <w:autoSpaceDE w:val="0"/>
        <w:autoSpaceDN w:val="0"/>
        <w:adjustRightInd w:val="0"/>
        <w:ind w:firstLine="422" w:firstLineChars="200"/>
        <w:jc w:val="left"/>
        <w:rPr>
          <w:rFonts w:hint="eastAsia" w:ascii="宋体"/>
          <w:b/>
          <w:color w:val="auto"/>
          <w:kern w:val="0"/>
          <w:highlight w:val="none"/>
        </w:rPr>
      </w:pPr>
      <w:r>
        <w:rPr>
          <w:rFonts w:hint="eastAsia" w:ascii="宋体"/>
          <w:b/>
          <w:color w:val="auto"/>
          <w:kern w:val="0"/>
          <w:highlight w:val="none"/>
        </w:rPr>
        <w:t>第六条  违约责任</w:t>
      </w:r>
    </w:p>
    <w:p>
      <w:pPr>
        <w:widowControl/>
        <w:ind w:firstLine="420" w:firstLineChars="200"/>
        <w:jc w:val="left"/>
        <w:rPr>
          <w:rFonts w:ascii="宋体"/>
          <w:color w:val="auto"/>
          <w:kern w:val="0"/>
          <w:szCs w:val="21"/>
          <w:highlight w:val="none"/>
        </w:rPr>
      </w:pPr>
      <w:r>
        <w:rPr>
          <w:rFonts w:hint="eastAsia" w:ascii="宋体"/>
          <w:color w:val="auto"/>
          <w:kern w:val="0"/>
          <w:szCs w:val="21"/>
          <w:highlight w:val="none"/>
        </w:rPr>
        <w:t>1、如甲方未按协议规定日期拖延交付合作项目经营场地达1个月以上或甲方违反本协议约定，不承担相应责任使乙方无法继续经营，乙方可单方面要求终止本协议，甲方须按乙方实际损失承担违约责任。</w:t>
      </w:r>
    </w:p>
    <w:p>
      <w:pPr>
        <w:widowControl/>
        <w:ind w:firstLine="420" w:firstLineChars="200"/>
        <w:jc w:val="left"/>
        <w:rPr>
          <w:rFonts w:ascii="宋体"/>
          <w:color w:val="auto"/>
          <w:kern w:val="0"/>
          <w:szCs w:val="21"/>
          <w:highlight w:val="none"/>
        </w:rPr>
      </w:pPr>
      <w:r>
        <w:rPr>
          <w:rFonts w:hint="eastAsia" w:ascii="宋体"/>
          <w:color w:val="auto"/>
          <w:kern w:val="0"/>
          <w:szCs w:val="21"/>
          <w:highlight w:val="none"/>
        </w:rPr>
        <w:t>2、乙方有下列情形之一的，乙方须按甲方要求整改和妥善处理。甲方有权向乙方追偿由此造成的实际损失。如乙方拒不改正和妥善处理，并赔偿甲方实际损失的，甲方有权单方面要求解除协议，收回合作经营场地。</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w:t>
      </w:r>
      <w:r>
        <w:rPr>
          <w:rFonts w:ascii="宋体"/>
          <w:color w:val="auto"/>
          <w:kern w:val="0"/>
          <w:szCs w:val="21"/>
          <w:highlight w:val="none"/>
        </w:rPr>
        <w:t>1</w:t>
      </w:r>
      <w:r>
        <w:rPr>
          <w:rFonts w:hint="eastAsia" w:ascii="宋体"/>
          <w:color w:val="auto"/>
          <w:kern w:val="0"/>
          <w:szCs w:val="21"/>
          <w:highlight w:val="none"/>
        </w:rPr>
        <w:t>）乙方不按约定足额结清合作经营收益等费用达</w:t>
      </w:r>
      <w:r>
        <w:rPr>
          <w:rFonts w:ascii="宋体"/>
          <w:color w:val="auto"/>
          <w:kern w:val="0"/>
          <w:szCs w:val="21"/>
          <w:highlight w:val="none"/>
        </w:rPr>
        <w:t>3</w:t>
      </w:r>
      <w:r>
        <w:rPr>
          <w:rFonts w:hint="eastAsia" w:ascii="宋体"/>
          <w:color w:val="auto"/>
          <w:kern w:val="0"/>
          <w:szCs w:val="21"/>
          <w:highlight w:val="none"/>
        </w:rPr>
        <w:t>个月以上；</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w:t>
      </w:r>
      <w:r>
        <w:rPr>
          <w:rFonts w:ascii="宋体"/>
          <w:color w:val="auto"/>
          <w:kern w:val="0"/>
          <w:szCs w:val="21"/>
          <w:highlight w:val="none"/>
        </w:rPr>
        <w:t>2</w:t>
      </w:r>
      <w:r>
        <w:rPr>
          <w:rFonts w:hint="eastAsia" w:ascii="宋体"/>
          <w:color w:val="auto"/>
          <w:kern w:val="0"/>
          <w:szCs w:val="21"/>
          <w:highlight w:val="none"/>
        </w:rPr>
        <w:t>）乙方未经甲方同意擅自转让合作项目经营场地或变更经营范围；</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w:t>
      </w:r>
      <w:r>
        <w:rPr>
          <w:rFonts w:ascii="宋体"/>
          <w:color w:val="auto"/>
          <w:kern w:val="0"/>
          <w:szCs w:val="21"/>
          <w:highlight w:val="none"/>
        </w:rPr>
        <w:t>3</w:t>
      </w:r>
      <w:r>
        <w:rPr>
          <w:rFonts w:hint="eastAsia" w:ascii="宋体"/>
          <w:color w:val="auto"/>
          <w:kern w:val="0"/>
          <w:szCs w:val="21"/>
          <w:highlight w:val="none"/>
        </w:rPr>
        <w:t>）乙方在经营期间有违反国家法律法规和甲方规章制度明令禁止的业态和行为，或乙方经营严重扰民，经甲方责令改正而拒不改正；</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w:t>
      </w:r>
      <w:r>
        <w:rPr>
          <w:rFonts w:ascii="宋体"/>
          <w:color w:val="auto"/>
          <w:kern w:val="0"/>
          <w:szCs w:val="21"/>
          <w:highlight w:val="none"/>
        </w:rPr>
        <w:t>4</w:t>
      </w:r>
      <w:r>
        <w:rPr>
          <w:rFonts w:hint="eastAsia" w:ascii="宋体"/>
          <w:color w:val="auto"/>
          <w:kern w:val="0"/>
          <w:szCs w:val="21"/>
          <w:highlight w:val="none"/>
        </w:rPr>
        <w:t>）乙方在经营场地进行违法犯罪活动；</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w:t>
      </w:r>
      <w:r>
        <w:rPr>
          <w:rFonts w:ascii="宋体"/>
          <w:color w:val="auto"/>
          <w:kern w:val="0"/>
          <w:szCs w:val="21"/>
          <w:highlight w:val="none"/>
        </w:rPr>
        <w:t>5</w:t>
      </w:r>
      <w:r>
        <w:rPr>
          <w:rFonts w:hint="eastAsia" w:ascii="宋体"/>
          <w:color w:val="auto"/>
          <w:kern w:val="0"/>
          <w:szCs w:val="21"/>
          <w:highlight w:val="none"/>
        </w:rPr>
        <w:t>）乙方股权结构（或投资主体）发生重大变化导致主要股东（投资人）变更，或法定代表人发生变更未及时书面通知甲方，严重影响双方合作。</w:t>
      </w:r>
    </w:p>
    <w:p>
      <w:pPr>
        <w:ind w:firstLine="420" w:firstLineChars="200"/>
        <w:jc w:val="left"/>
        <w:rPr>
          <w:rFonts w:ascii="宋体"/>
          <w:color w:val="auto"/>
          <w:kern w:val="0"/>
          <w:szCs w:val="21"/>
          <w:highlight w:val="none"/>
        </w:rPr>
      </w:pPr>
      <w:r>
        <w:rPr>
          <w:rFonts w:ascii="宋体"/>
          <w:color w:val="auto"/>
          <w:kern w:val="0"/>
          <w:szCs w:val="21"/>
          <w:highlight w:val="none"/>
        </w:rPr>
        <w:t>3</w:t>
      </w:r>
      <w:r>
        <w:rPr>
          <w:rFonts w:hint="eastAsia" w:ascii="宋体"/>
          <w:color w:val="auto"/>
          <w:kern w:val="0"/>
          <w:szCs w:val="21"/>
          <w:highlight w:val="none"/>
        </w:rPr>
        <w:t>、如乙方逾期与甲方结算合作经营收益等费用逾期在</w:t>
      </w:r>
      <w:r>
        <w:rPr>
          <w:rFonts w:ascii="宋体"/>
          <w:color w:val="auto"/>
          <w:kern w:val="0"/>
          <w:szCs w:val="21"/>
          <w:highlight w:val="none"/>
        </w:rPr>
        <w:t>3</w:t>
      </w:r>
      <w:r>
        <w:rPr>
          <w:rFonts w:hint="eastAsia" w:ascii="宋体"/>
          <w:color w:val="auto"/>
          <w:kern w:val="0"/>
          <w:szCs w:val="21"/>
          <w:highlight w:val="none"/>
        </w:rPr>
        <w:t>个月内，除应如数结清以外，每逾期</w:t>
      </w:r>
      <w:r>
        <w:rPr>
          <w:rFonts w:ascii="宋体"/>
          <w:color w:val="auto"/>
          <w:kern w:val="0"/>
          <w:szCs w:val="21"/>
          <w:highlight w:val="none"/>
        </w:rPr>
        <w:t>1</w:t>
      </w:r>
      <w:r>
        <w:rPr>
          <w:rFonts w:hint="eastAsia" w:ascii="宋体"/>
          <w:color w:val="auto"/>
          <w:kern w:val="0"/>
          <w:szCs w:val="21"/>
          <w:highlight w:val="none"/>
        </w:rPr>
        <w:t>日按协议约定的甲方10年合作经营收益的1</w:t>
      </w:r>
      <w:r>
        <w:rPr>
          <w:rFonts w:ascii="宋体"/>
          <w:color w:val="auto"/>
          <w:kern w:val="0"/>
          <w:szCs w:val="21"/>
          <w:highlight w:val="none"/>
        </w:rPr>
        <w:t>‱</w:t>
      </w:r>
      <w:r>
        <w:rPr>
          <w:rFonts w:hint="eastAsia" w:ascii="宋体"/>
          <w:color w:val="auto"/>
          <w:kern w:val="0"/>
          <w:szCs w:val="21"/>
          <w:highlight w:val="none"/>
        </w:rPr>
        <w:t>向甲方支付违约金，违约金自乙方应结款之日起算至乙方结清全部拖欠款项之日止（如遇法定节假日、学校寒暑假等，支付、结算工作可适当顺延），顺延期间乙方不承担法律责任。</w:t>
      </w:r>
    </w:p>
    <w:p>
      <w:pPr>
        <w:ind w:firstLine="420" w:firstLineChars="200"/>
        <w:jc w:val="left"/>
        <w:rPr>
          <w:rFonts w:ascii="宋体"/>
          <w:color w:val="auto"/>
          <w:kern w:val="0"/>
          <w:szCs w:val="21"/>
          <w:highlight w:val="none"/>
        </w:rPr>
      </w:pPr>
      <w:r>
        <w:rPr>
          <w:rFonts w:ascii="宋体"/>
          <w:color w:val="auto"/>
          <w:kern w:val="0"/>
          <w:szCs w:val="21"/>
          <w:highlight w:val="none"/>
        </w:rPr>
        <w:t>4</w:t>
      </w:r>
      <w:r>
        <w:rPr>
          <w:rFonts w:hint="eastAsia" w:ascii="宋体"/>
          <w:color w:val="auto"/>
          <w:kern w:val="0"/>
          <w:szCs w:val="21"/>
          <w:highlight w:val="none"/>
        </w:rPr>
        <w:t>、协议解除或期满不再续约时，如乙方未按约定履行返还经营场地义务，则从协议解除或期满次日起至乙方实际履行返还义务之日止，甲方有权按日向乙方收取场地占用费，日场地占用费按本协议年度合作经营收益/365 天计算，即 ××××元/日。</w:t>
      </w:r>
    </w:p>
    <w:p>
      <w:pPr>
        <w:ind w:firstLine="420" w:firstLineChars="200"/>
        <w:jc w:val="left"/>
        <w:rPr>
          <w:rFonts w:ascii="宋体"/>
          <w:color w:val="auto"/>
          <w:kern w:val="0"/>
          <w:szCs w:val="21"/>
          <w:highlight w:val="none"/>
        </w:rPr>
      </w:pPr>
      <w:r>
        <w:rPr>
          <w:rFonts w:hint="eastAsia" w:ascii="宋体"/>
          <w:color w:val="auto"/>
          <w:kern w:val="0"/>
          <w:szCs w:val="21"/>
          <w:highlight w:val="none"/>
        </w:rPr>
        <w:t>5、乙方因违反《食品安全法》及相关食品卫生管理规定而导致食物中毒的，每次向甲方支付5万元违约金，并视情节程度及影响追究相关责任直至解除协议。</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6、乙方经营期间，若从业人员与顾客发生口角、吵架甚至斗殴现象的，视情节每次向甲方支付0.1至0.3万元违约金，并承担由此导致的相关责任。若一学年内发生上述情形3次以上或情节特别严重，造成恶劣影响的，甲方有视情节解除本协议的权力。</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7、乙方不遵守《中华人民共和国劳动法》及《中华人民共和国劳动合同法》等，违法用工，被举报并被查办（实）的，应向甲方支付每人每次0.2万元违约金，并承担由此产生的全部经济与法律。</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8、乙方在经营过程中违反食品安全法律法规，制作、出售变质产品及国家法律法规禁止制售的产品，被甲方质监人员查实的，每出现一次或一项，应向甲方支付违约金0.1万元；因此原因被相关执法机构查实并处罚的，除接受相关部门处罚外，每次追加处罚与执法机构等额违约金。对甲方造成损害的，甲方有权追究乙方经济与法律责任。</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9、乙方违反食品安全管理制度，每次向甲方支付0.1万元违约金。</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10、乙方未按照相关法律、法规以及本协议约定，制定并公布规章制度的，每缺失一项，向甲方支付0.05万元违约金。</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11、乙方在经营中违规收取现金，每被发现一次，应向甲方支付违约金0.1万元，再次翻倍，以此类推。</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12、因乙方人为原因（擅自拆改甲方设施设备及整体建筑、因违章操作导致火灾及爆炸等）造成损失的，由乙方负全责，甲方有权追究乙方经济与法律责任。</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13、乙方有偷水、偷电或者水电表故障未计表情况的，向甲方支付0.1万元违约金。</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14、在协议期内，如发生下列情况之一的，甲方有权终止协议，没收乙方交纳的全部履约保证金，并由乙方承担由此造成的一切经济与法律责任：</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乙方因经营管理不善无法履行协议而要求终止协议；</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乙方发生重大安全事故；</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乙方发生严重食物中毒事件；</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因乙方原因，引发师生抗议等给正常教学、生活秩序带来重大损害，造成恶劣社会影响；</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乙方所进行的活动超越本协议约定；</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乙方发生违法乱纪事件；</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甲方或政府有关部门监督检查发现乙方存在重大不合格项目；</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乙方公司破产重组或因重大问题被国家相关部门责令停业或冻结资产；</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乙方不服从甲方管理，拒绝改正；</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乙方私自转包第三方；</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乙方擅自停业；</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出现员工罢工；</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因乙方原因不能正常营业的。</w:t>
      </w:r>
    </w:p>
    <w:p>
      <w:pPr>
        <w:autoSpaceDE w:val="0"/>
        <w:autoSpaceDN w:val="0"/>
        <w:adjustRightInd w:val="0"/>
        <w:ind w:firstLine="422" w:firstLineChars="200"/>
        <w:jc w:val="left"/>
        <w:rPr>
          <w:rFonts w:hint="eastAsia" w:ascii="宋体"/>
          <w:b/>
          <w:color w:val="auto"/>
          <w:kern w:val="0"/>
          <w:highlight w:val="none"/>
        </w:rPr>
      </w:pPr>
      <w:r>
        <w:rPr>
          <w:rFonts w:hint="eastAsia" w:ascii="宋体"/>
          <w:b/>
          <w:color w:val="auto"/>
          <w:kern w:val="0"/>
          <w:highlight w:val="none"/>
        </w:rPr>
        <w:t>第七条  协议的解除、终止与续签</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1、因甲方所在学校政策性规划调整，要求拆除经营场地房屋或另作他用，致本协议必须提前解除，甲方应提前6个月书面通知乙方，双方应友好协商，妥善处理相关商户问题。</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2、因不可抗力原因（指任何一方无法预见、不可避免并不能克服的客观情况）造成本协议必须提前解除，遇有不可抗力的一方应在事件发生后15日内，书面通知对方解除协议，双方共同友好协商善后事宜。因不可抗力造成本协议任何一方的损失，甲乙双方互不承担责任，但应在条件允许下釆取一切必要的补救措施，尽量减少损失。</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3、本协议期满自行终止，如甲方继续将该经营场地用于合作经营，在同等条件下乙方有优先合作权。</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4、协议期满，如乙方有意续约，乙方必须在协议期满前3个月向甲方提出书面申请，否则视为自动放弃优先续约权。如甲方同意乙方续约申请，甲乙双方必须在本协议期满前1个月进行协商，就其中包括但不限于年度合作经营收益等主要条款达成一致意见后，重新签订协议。</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5、本协议提前解除或期满不再续签，甲乙双方应在协议解除或期满后1个月内按以下要求进行经营场地移交和资产处置事宜：</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（1）甲方收回合作项目经营场地，对经营场地验收无误后，甲方向乙方开具验收交接单作为乙方返还经营场地的凭证。</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（2）乙方清理腾退经营场地，向甲方结清所有协议费用。乙方及其引进商户的一切债权债务等由乙方自行处理，与甲方无关。</w:t>
      </w: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（3）乙方在合作项目经营场地的建设装修费用甲方不予补偿，乙方可以将投入的可移动设施、设备搬走，但经营场地的不可移动工程设施应无偿留归甲方所有。</w:t>
      </w:r>
    </w:p>
    <w:p>
      <w:pPr>
        <w:autoSpaceDE w:val="0"/>
        <w:autoSpaceDN w:val="0"/>
        <w:adjustRightInd w:val="0"/>
        <w:ind w:firstLine="422" w:firstLineChars="200"/>
        <w:jc w:val="left"/>
        <w:rPr>
          <w:rFonts w:ascii="宋体"/>
          <w:b/>
          <w:color w:val="auto"/>
          <w:kern w:val="0"/>
          <w:highlight w:val="none"/>
        </w:rPr>
      </w:pPr>
      <w:r>
        <w:rPr>
          <w:rFonts w:hint="eastAsia" w:ascii="宋体"/>
          <w:b/>
          <w:color w:val="auto"/>
          <w:kern w:val="0"/>
          <w:highlight w:val="none"/>
        </w:rPr>
        <w:t>第八条  其它</w:t>
      </w:r>
    </w:p>
    <w:p>
      <w:pPr>
        <w:overflowPunct w:val="0"/>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1、本协议在订立、履行和解除、终止时，双方均应对协议内容予以保密，任何一方不得将协议内容及协议谈判中的有关事宜向第三方泄露。</w:t>
      </w:r>
    </w:p>
    <w:p>
      <w:pPr>
        <w:overflowPunct w:val="0"/>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2、凡因本协议引起的以及与本协议有关的任何争议，双方均应友好协商解决。如协商不成，可请双方认可的部门调解。调解不成时，任一方可向甲方所在地人民法院提起诉讼。</w:t>
      </w:r>
    </w:p>
    <w:p>
      <w:pPr>
        <w:overflowPunct w:val="0"/>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3、本协议一式肆份，具有同等法律效力，甲、乙双方各执贰份。</w:t>
      </w:r>
    </w:p>
    <w:p>
      <w:pPr>
        <w:overflowPunct w:val="0"/>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4、本协议未尽事宜，经甲、乙双方协商一致，可订立书面补充协议。补充协议及本协议附件(协议附件应单独签字并加盖公章)均作为本议的组成部分，与本协议具有同等法律效力。补充协议与本协议有关条款不一致时，以补充协议为准。</w:t>
      </w:r>
    </w:p>
    <w:p>
      <w:pPr>
        <w:overflowPunct w:val="0"/>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5、在本协议有效期内，如甲乙双方通讯地址、联系方式或法定代表人发生变更时，应在发生变有更后五日内书面通知对方，如未及时通知，对方向本协议所载明的通讯地址等寄发的书面文件视为有效送达。</w:t>
      </w:r>
    </w:p>
    <w:p>
      <w:pPr>
        <w:overflowPunct w:val="0"/>
        <w:autoSpaceDE w:val="0"/>
        <w:autoSpaceDN w:val="0"/>
        <w:adjustRightInd w:val="0"/>
        <w:ind w:firstLine="420" w:firstLineChars="200"/>
        <w:jc w:val="left"/>
        <w:rPr>
          <w:rFonts w:ascii="宋体"/>
          <w:color w:val="auto"/>
          <w:kern w:val="0"/>
          <w:szCs w:val="21"/>
          <w:highlight w:val="none"/>
        </w:rPr>
      </w:pPr>
    </w:p>
    <w:p>
      <w:pPr>
        <w:autoSpaceDE w:val="0"/>
        <w:autoSpaceDN w:val="0"/>
        <w:adjustRightInd w:val="0"/>
        <w:jc w:val="left"/>
        <w:rPr>
          <w:rFonts w:ascii="宋体"/>
          <w:color w:val="auto"/>
          <w:kern w:val="0"/>
          <w:szCs w:val="21"/>
          <w:highlight w:val="none"/>
        </w:rPr>
      </w:pPr>
    </w:p>
    <w:p>
      <w:pPr>
        <w:autoSpaceDE w:val="0"/>
        <w:autoSpaceDN w:val="0"/>
        <w:adjustRightInd w:val="0"/>
        <w:ind w:firstLine="420" w:firstLineChars="200"/>
        <w:jc w:val="left"/>
        <w:rPr>
          <w:rFonts w:ascii="宋体"/>
          <w:color w:val="auto"/>
          <w:kern w:val="0"/>
          <w:szCs w:val="21"/>
          <w:highlight w:val="none"/>
        </w:rPr>
      </w:pPr>
    </w:p>
    <w:p>
      <w:pPr>
        <w:autoSpaceDE w:val="0"/>
        <w:autoSpaceDN w:val="0"/>
        <w:adjustRightInd w:val="0"/>
        <w:ind w:firstLine="630" w:firstLineChars="300"/>
        <w:jc w:val="left"/>
        <w:rPr>
          <w:rFonts w:ascii="宋体"/>
          <w:color w:val="auto"/>
          <w:kern w:val="0"/>
          <w:szCs w:val="21"/>
          <w:highlight w:val="none"/>
        </w:rPr>
      </w:pPr>
      <w:r>
        <w:rPr>
          <w:rFonts w:hint="eastAsia" w:ascii="宋体"/>
          <w:color w:val="auto"/>
          <w:kern w:val="0"/>
          <w:szCs w:val="21"/>
          <w:highlight w:val="none"/>
        </w:rPr>
        <w:t>甲方：                                    乙方：</w:t>
      </w:r>
    </w:p>
    <w:p>
      <w:pPr>
        <w:autoSpaceDE w:val="0"/>
        <w:autoSpaceDN w:val="0"/>
        <w:adjustRightInd w:val="0"/>
        <w:ind w:firstLine="420" w:firstLineChars="200"/>
        <w:jc w:val="left"/>
        <w:rPr>
          <w:rFonts w:ascii="宋体"/>
          <w:color w:val="auto"/>
          <w:kern w:val="0"/>
          <w:szCs w:val="21"/>
          <w:highlight w:val="none"/>
        </w:rPr>
      </w:pPr>
    </w:p>
    <w:p>
      <w:pPr>
        <w:autoSpaceDE w:val="0"/>
        <w:autoSpaceDN w:val="0"/>
        <w:adjustRightInd w:val="0"/>
        <w:jc w:val="left"/>
        <w:rPr>
          <w:rFonts w:ascii="宋体"/>
          <w:color w:val="auto"/>
          <w:kern w:val="0"/>
          <w:szCs w:val="21"/>
          <w:highlight w:val="none"/>
        </w:rPr>
      </w:pPr>
    </w:p>
    <w:p>
      <w:pPr>
        <w:autoSpaceDE w:val="0"/>
        <w:autoSpaceDN w:val="0"/>
        <w:adjustRightInd w:val="0"/>
        <w:jc w:val="left"/>
        <w:rPr>
          <w:rFonts w:ascii="宋体"/>
          <w:color w:val="auto"/>
          <w:kern w:val="0"/>
          <w:szCs w:val="21"/>
          <w:highlight w:val="none"/>
        </w:rPr>
      </w:pPr>
    </w:p>
    <w:p>
      <w:pPr>
        <w:autoSpaceDE w:val="0"/>
        <w:autoSpaceDN w:val="0"/>
        <w:adjustRightInd w:val="0"/>
        <w:ind w:firstLine="420" w:firstLineChars="200"/>
        <w:jc w:val="left"/>
        <w:rPr>
          <w:rFonts w:ascii="宋体"/>
          <w:color w:val="auto"/>
          <w:kern w:val="0"/>
          <w:szCs w:val="21"/>
          <w:highlight w:val="none"/>
        </w:rPr>
      </w:pPr>
    </w:p>
    <w:p>
      <w:pPr>
        <w:autoSpaceDE w:val="0"/>
        <w:autoSpaceDN w:val="0"/>
        <w:adjustRightInd w:val="0"/>
        <w:ind w:firstLine="1050" w:firstLineChars="500"/>
        <w:jc w:val="left"/>
        <w:rPr>
          <w:rFonts w:ascii="宋体"/>
          <w:color w:val="auto"/>
          <w:kern w:val="0"/>
          <w:szCs w:val="21"/>
          <w:highlight w:val="none"/>
        </w:rPr>
      </w:pPr>
      <w:r>
        <w:rPr>
          <w:rFonts w:hint="eastAsia" w:ascii="宋体"/>
          <w:color w:val="auto"/>
          <w:kern w:val="0"/>
          <w:szCs w:val="21"/>
          <w:highlight w:val="none"/>
        </w:rPr>
        <w:t>（签章）                                  （签章）</w:t>
      </w:r>
    </w:p>
    <w:p>
      <w:pPr>
        <w:autoSpaceDE w:val="0"/>
        <w:autoSpaceDN w:val="0"/>
        <w:adjustRightInd w:val="0"/>
        <w:ind w:firstLine="420" w:firstLineChars="200"/>
        <w:jc w:val="left"/>
        <w:rPr>
          <w:rFonts w:ascii="宋体"/>
          <w:color w:val="auto"/>
          <w:kern w:val="0"/>
          <w:szCs w:val="21"/>
          <w:highlight w:val="none"/>
        </w:rPr>
      </w:pPr>
    </w:p>
    <w:p>
      <w:pPr>
        <w:autoSpaceDE w:val="0"/>
        <w:autoSpaceDN w:val="0"/>
        <w:adjustRightInd w:val="0"/>
        <w:ind w:firstLine="420" w:firstLineChars="200"/>
        <w:jc w:val="left"/>
        <w:rPr>
          <w:rFonts w:ascii="宋体"/>
          <w:color w:val="auto"/>
          <w:kern w:val="0"/>
          <w:szCs w:val="21"/>
          <w:highlight w:val="none"/>
        </w:rPr>
      </w:pPr>
    </w:p>
    <w:p>
      <w:pPr>
        <w:autoSpaceDE w:val="0"/>
        <w:autoSpaceDN w:val="0"/>
        <w:adjustRightInd w:val="0"/>
        <w:jc w:val="left"/>
        <w:rPr>
          <w:rFonts w:ascii="宋体"/>
          <w:color w:val="auto"/>
          <w:kern w:val="0"/>
          <w:szCs w:val="21"/>
          <w:highlight w:val="none"/>
        </w:rPr>
      </w:pPr>
    </w:p>
    <w:p>
      <w:pPr>
        <w:autoSpaceDE w:val="0"/>
        <w:autoSpaceDN w:val="0"/>
        <w:adjustRightInd w:val="0"/>
        <w:ind w:firstLine="420" w:firstLineChars="200"/>
        <w:jc w:val="left"/>
        <w:rPr>
          <w:rFonts w:ascii="宋体"/>
          <w:color w:val="auto"/>
          <w:kern w:val="0"/>
          <w:szCs w:val="21"/>
          <w:highlight w:val="none"/>
        </w:rPr>
      </w:pPr>
    </w:p>
    <w:p>
      <w:pPr>
        <w:autoSpaceDE w:val="0"/>
        <w:autoSpaceDN w:val="0"/>
        <w:adjustRightInd w:val="0"/>
        <w:ind w:firstLine="420" w:firstLineChars="200"/>
        <w:jc w:val="left"/>
        <w:rPr>
          <w:rFonts w:ascii="宋体"/>
          <w:color w:val="auto"/>
          <w:kern w:val="0"/>
          <w:szCs w:val="21"/>
          <w:highlight w:val="none"/>
        </w:rPr>
      </w:pPr>
      <w:r>
        <w:rPr>
          <w:rFonts w:hint="eastAsia" w:ascii="宋体"/>
          <w:color w:val="auto"/>
          <w:kern w:val="0"/>
          <w:szCs w:val="21"/>
          <w:highlight w:val="none"/>
        </w:rPr>
        <w:t>甲方授权代表人签字：                        乙方授权代表人签字：</w:t>
      </w:r>
    </w:p>
    <w:p>
      <w:pPr>
        <w:autoSpaceDE w:val="0"/>
        <w:autoSpaceDN w:val="0"/>
        <w:adjustRightInd w:val="0"/>
        <w:ind w:firstLine="420" w:firstLineChars="200"/>
        <w:jc w:val="left"/>
        <w:rPr>
          <w:rFonts w:ascii="宋体"/>
          <w:color w:val="auto"/>
          <w:kern w:val="0"/>
          <w:szCs w:val="21"/>
          <w:highlight w:val="none"/>
        </w:rPr>
      </w:pPr>
    </w:p>
    <w:p>
      <w:pPr>
        <w:autoSpaceDE w:val="0"/>
        <w:autoSpaceDN w:val="0"/>
        <w:adjustRightInd w:val="0"/>
        <w:ind w:firstLine="420" w:firstLineChars="200"/>
        <w:jc w:val="left"/>
        <w:rPr>
          <w:rFonts w:ascii="宋体"/>
          <w:color w:val="auto"/>
          <w:kern w:val="0"/>
          <w:szCs w:val="21"/>
          <w:highlight w:val="none"/>
        </w:rPr>
      </w:pPr>
    </w:p>
    <w:p>
      <w:pPr>
        <w:autoSpaceDE w:val="0"/>
        <w:autoSpaceDN w:val="0"/>
        <w:adjustRightInd w:val="0"/>
        <w:ind w:firstLine="420" w:firstLineChars="200"/>
        <w:jc w:val="left"/>
        <w:rPr>
          <w:rFonts w:ascii="宋体"/>
          <w:color w:val="auto"/>
          <w:kern w:val="0"/>
          <w:szCs w:val="21"/>
          <w:highlight w:val="none"/>
        </w:rPr>
      </w:pPr>
    </w:p>
    <w:p>
      <w:pPr>
        <w:autoSpaceDE w:val="0"/>
        <w:autoSpaceDN w:val="0"/>
        <w:adjustRightInd w:val="0"/>
        <w:ind w:firstLine="420" w:firstLineChars="200"/>
        <w:jc w:val="left"/>
        <w:rPr>
          <w:rFonts w:ascii="宋体"/>
          <w:color w:val="auto"/>
          <w:kern w:val="0"/>
          <w:szCs w:val="21"/>
          <w:highlight w:val="none"/>
        </w:rPr>
      </w:pPr>
    </w:p>
    <w:p>
      <w:pPr>
        <w:autoSpaceDE w:val="0"/>
        <w:autoSpaceDN w:val="0"/>
        <w:adjustRightInd w:val="0"/>
        <w:ind w:firstLine="420" w:firstLineChars="200"/>
        <w:jc w:val="left"/>
        <w:rPr>
          <w:color w:val="auto"/>
          <w:highlight w:val="none"/>
        </w:rPr>
      </w:pPr>
      <w:r>
        <w:rPr>
          <w:rFonts w:hint="eastAsia" w:ascii="宋体"/>
          <w:color w:val="auto"/>
          <w:kern w:val="0"/>
          <w:szCs w:val="21"/>
          <w:highlight w:val="none"/>
        </w:rPr>
        <w:t>签约日期：   年  月  日                     签约日期：   年  月  日</w:t>
      </w:r>
    </w:p>
    <w:p>
      <w:pPr>
        <w:rPr>
          <w:rFonts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color w:val="auto"/>
          <w:sz w:val="36"/>
          <w:szCs w:val="36"/>
          <w:highlight w:val="none"/>
        </w:rPr>
        <w:br w:type="page"/>
      </w:r>
    </w:p>
    <w:p>
      <w:pPr>
        <w:pStyle w:val="3"/>
        <w:numPr>
          <w:ilvl w:val="0"/>
          <w:numId w:val="4"/>
        </w:numPr>
        <w:jc w:val="center"/>
        <w:rPr>
          <w:rFonts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color w:val="auto"/>
          <w:sz w:val="36"/>
          <w:szCs w:val="36"/>
          <w:highlight w:val="none"/>
        </w:rPr>
        <w:t>竞争性磋商响应文件格式</w:t>
      </w:r>
      <w:bookmarkEnd w:id="114"/>
    </w:p>
    <w:p>
      <w:pPr>
        <w:autoSpaceDE w:val="0"/>
        <w:autoSpaceDN w:val="0"/>
        <w:adjustRightInd w:val="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封面：</w:t>
      </w:r>
    </w:p>
    <w:p>
      <w:pPr>
        <w:autoSpaceDE w:val="0"/>
        <w:autoSpaceDN w:val="0"/>
        <w:adjustRightInd w:val="0"/>
        <w:rPr>
          <w:rFonts w:asciiTheme="minorEastAsia" w:hAnsiTheme="minorEastAsia" w:eastAsiaTheme="minorEastAsia" w:cstheme="minorEastAsia"/>
          <w:color w:val="auto"/>
          <w:highlight w:val="none"/>
        </w:rPr>
      </w:pPr>
    </w:p>
    <w:p>
      <w:pPr>
        <w:autoSpaceDE w:val="0"/>
        <w:autoSpaceDN w:val="0"/>
        <w:adjustRightInd w:val="0"/>
        <w:rPr>
          <w:rFonts w:asciiTheme="minorEastAsia" w:hAnsiTheme="minorEastAsia" w:eastAsiaTheme="minorEastAsia" w:cstheme="minorEastAsia"/>
          <w:color w:val="auto"/>
          <w:highlight w:val="none"/>
        </w:rPr>
      </w:pPr>
    </w:p>
    <w:p>
      <w:pPr>
        <w:autoSpaceDE w:val="0"/>
        <w:autoSpaceDN w:val="0"/>
        <w:adjustRightInd w:val="0"/>
        <w:jc w:val="center"/>
        <w:rPr>
          <w:rFonts w:asciiTheme="minorEastAsia" w:hAnsiTheme="minorEastAsia" w:eastAsiaTheme="minorEastAsia" w:cstheme="minorEastAsia"/>
          <w:b/>
          <w:color w:val="auto"/>
          <w:sz w:val="84"/>
          <w:szCs w:val="84"/>
          <w:highlight w:val="none"/>
        </w:rPr>
      </w:pPr>
      <w:r>
        <w:rPr>
          <w:rFonts w:hint="eastAsia" w:asciiTheme="minorEastAsia" w:hAnsiTheme="minorEastAsia" w:eastAsiaTheme="minorEastAsia" w:cstheme="minorEastAsia"/>
          <w:b/>
          <w:color w:val="auto"/>
          <w:sz w:val="84"/>
          <w:szCs w:val="84"/>
          <w:highlight w:val="none"/>
        </w:rPr>
        <w:t>响 应 文 件</w:t>
      </w:r>
    </w:p>
    <w:p>
      <w:pPr>
        <w:autoSpaceDE w:val="0"/>
        <w:autoSpaceDN w:val="0"/>
        <w:adjustRightInd w:val="0"/>
        <w:rPr>
          <w:rFonts w:asciiTheme="minorEastAsia" w:hAnsiTheme="minorEastAsia" w:eastAsiaTheme="minorEastAsia" w:cstheme="minorEastAsia"/>
          <w:color w:val="auto"/>
          <w:szCs w:val="21"/>
          <w:highlight w:val="none"/>
        </w:rPr>
      </w:pPr>
    </w:p>
    <w:p>
      <w:pPr>
        <w:autoSpaceDE w:val="0"/>
        <w:autoSpaceDN w:val="0"/>
        <w:adjustRightInd w:val="0"/>
        <w:rPr>
          <w:rFonts w:asciiTheme="minorEastAsia" w:hAnsiTheme="minorEastAsia" w:eastAsiaTheme="minorEastAsia" w:cstheme="minorEastAsia"/>
          <w:color w:val="auto"/>
          <w:szCs w:val="21"/>
          <w:highlight w:val="none"/>
        </w:rPr>
      </w:pPr>
    </w:p>
    <w:p>
      <w:pPr>
        <w:autoSpaceDE w:val="0"/>
        <w:autoSpaceDN w:val="0"/>
        <w:adjustRightIn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（正本/副本）</w:t>
      </w:r>
    </w:p>
    <w:p>
      <w:pPr>
        <w:autoSpaceDE w:val="0"/>
        <w:autoSpaceDN w:val="0"/>
        <w:adjustRightInd w:val="0"/>
        <w:rPr>
          <w:rFonts w:asciiTheme="minorEastAsia" w:hAnsiTheme="minorEastAsia" w:eastAsiaTheme="minorEastAsia" w:cstheme="minorEastAsia"/>
          <w:color w:val="auto"/>
          <w:szCs w:val="21"/>
          <w:highlight w:val="none"/>
        </w:rPr>
      </w:pPr>
    </w:p>
    <w:p>
      <w:pPr>
        <w:autoSpaceDE w:val="0"/>
        <w:autoSpaceDN w:val="0"/>
        <w:adjustRightInd w:val="0"/>
        <w:rPr>
          <w:rFonts w:asciiTheme="minorEastAsia" w:hAnsiTheme="minorEastAsia" w:eastAsiaTheme="minorEastAsia" w:cstheme="minorEastAsia"/>
          <w:color w:val="auto"/>
          <w:szCs w:val="21"/>
          <w:highlight w:val="none"/>
        </w:rPr>
      </w:pPr>
    </w:p>
    <w:p>
      <w:pPr>
        <w:autoSpaceDE w:val="0"/>
        <w:autoSpaceDN w:val="0"/>
        <w:adjustRightInd w:val="0"/>
        <w:rPr>
          <w:rFonts w:asciiTheme="minorEastAsia" w:hAnsiTheme="minorEastAsia" w:eastAsiaTheme="minorEastAsia" w:cstheme="minorEastAsia"/>
          <w:color w:val="auto"/>
          <w:szCs w:val="21"/>
          <w:highlight w:val="none"/>
        </w:rPr>
      </w:pPr>
    </w:p>
    <w:p>
      <w:pPr>
        <w:autoSpaceDE w:val="0"/>
        <w:autoSpaceDN w:val="0"/>
        <w:adjustRightInd w:val="0"/>
        <w:rPr>
          <w:rFonts w:asciiTheme="minorEastAsia" w:hAnsiTheme="minorEastAsia" w:eastAsiaTheme="minorEastAsia" w:cstheme="minorEastAsia"/>
          <w:color w:val="auto"/>
          <w:szCs w:val="21"/>
          <w:highlight w:val="none"/>
        </w:rPr>
      </w:pPr>
    </w:p>
    <w:p>
      <w:pPr>
        <w:autoSpaceDE w:val="0"/>
        <w:autoSpaceDN w:val="0"/>
        <w:adjustRightInd w:val="0"/>
        <w:ind w:firstLine="1190" w:firstLineChars="395"/>
        <w:rPr>
          <w:rFonts w:asciiTheme="minorEastAsia" w:hAnsiTheme="minorEastAsia" w:eastAsiaTheme="minorEastAsia" w:cstheme="minorEastAsia"/>
          <w:b/>
          <w:bCs/>
          <w:color w:val="auto"/>
          <w:sz w:val="30"/>
          <w:szCs w:val="30"/>
          <w:highlight w:val="none"/>
          <w:u w:val="single"/>
        </w:rPr>
      </w:pPr>
      <w:r>
        <w:rPr>
          <w:rFonts w:hint="eastAsia" w:asciiTheme="minorEastAsia" w:hAnsiTheme="minorEastAsia" w:eastAsiaTheme="minorEastAsia" w:cstheme="minorEastAsia"/>
          <w:b/>
          <w:bCs/>
          <w:color w:val="auto"/>
          <w:sz w:val="30"/>
          <w:szCs w:val="30"/>
          <w:highlight w:val="none"/>
        </w:rPr>
        <w:t>项目编号：</w:t>
      </w:r>
      <w:r>
        <w:rPr>
          <w:rFonts w:hint="eastAsia" w:asciiTheme="minorEastAsia" w:hAnsiTheme="minorEastAsia" w:eastAsiaTheme="minorEastAsia" w:cstheme="minorEastAsia"/>
          <w:b/>
          <w:bCs/>
          <w:color w:val="auto"/>
          <w:sz w:val="30"/>
          <w:szCs w:val="30"/>
          <w:highlight w:val="none"/>
          <w:u w:val="single"/>
        </w:rPr>
        <w:t xml:space="preserve">                            </w:t>
      </w:r>
    </w:p>
    <w:p>
      <w:pPr>
        <w:tabs>
          <w:tab w:val="left" w:pos="7230"/>
        </w:tabs>
        <w:ind w:firstLine="1190" w:firstLineChars="395"/>
        <w:rPr>
          <w:rFonts w:asciiTheme="minorEastAsia" w:hAnsiTheme="minorEastAsia" w:eastAsiaTheme="minorEastAsia" w:cstheme="minorEastAsia"/>
          <w:b/>
          <w:bCs/>
          <w:color w:val="auto"/>
          <w:sz w:val="30"/>
          <w:szCs w:val="30"/>
          <w:highlight w:val="none"/>
          <w:u w:val="single"/>
        </w:rPr>
      </w:pPr>
      <w:r>
        <w:rPr>
          <w:rFonts w:hint="eastAsia" w:asciiTheme="minorEastAsia" w:hAnsiTheme="minorEastAsia" w:eastAsiaTheme="minorEastAsia" w:cstheme="minorEastAsia"/>
          <w:b/>
          <w:bCs/>
          <w:color w:val="auto"/>
          <w:sz w:val="30"/>
          <w:szCs w:val="30"/>
          <w:highlight w:val="none"/>
        </w:rPr>
        <w:t>项目名称：</w:t>
      </w:r>
      <w:r>
        <w:rPr>
          <w:rFonts w:hint="eastAsia" w:asciiTheme="minorEastAsia" w:hAnsiTheme="minorEastAsia" w:eastAsiaTheme="minorEastAsia" w:cstheme="minorEastAsia"/>
          <w:b/>
          <w:bCs/>
          <w:color w:val="auto"/>
          <w:sz w:val="30"/>
          <w:szCs w:val="30"/>
          <w:highlight w:val="none"/>
          <w:u w:val="single"/>
        </w:rPr>
        <w:t xml:space="preserve">                            </w:t>
      </w:r>
    </w:p>
    <w:p>
      <w:pPr>
        <w:autoSpaceDE w:val="0"/>
        <w:autoSpaceDN w:val="0"/>
        <w:adjustRightInd w:val="0"/>
        <w:ind w:firstLine="1190" w:firstLineChars="395"/>
        <w:rPr>
          <w:rFonts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u w:val="single"/>
        </w:rPr>
        <w:t xml:space="preserve">                        </w:t>
      </w:r>
    </w:p>
    <w:p>
      <w:pPr>
        <w:autoSpaceDE w:val="0"/>
        <w:autoSpaceDN w:val="0"/>
        <w:adjustRightInd w:val="0"/>
        <w:rPr>
          <w:rFonts w:asciiTheme="minorEastAsia" w:hAnsiTheme="minorEastAsia" w:eastAsiaTheme="minorEastAsia" w:cstheme="minorEastAsia"/>
          <w:color w:val="auto"/>
          <w:szCs w:val="21"/>
          <w:highlight w:val="none"/>
        </w:rPr>
      </w:pPr>
    </w:p>
    <w:p>
      <w:pPr>
        <w:autoSpaceDE w:val="0"/>
        <w:autoSpaceDN w:val="0"/>
        <w:adjustRightInd w:val="0"/>
        <w:rPr>
          <w:rFonts w:asciiTheme="minorEastAsia" w:hAnsiTheme="minorEastAsia" w:eastAsiaTheme="minorEastAsia" w:cstheme="minorEastAsia"/>
          <w:color w:val="auto"/>
          <w:szCs w:val="21"/>
          <w:highlight w:val="none"/>
        </w:rPr>
      </w:pPr>
    </w:p>
    <w:p>
      <w:pPr>
        <w:autoSpaceDE w:val="0"/>
        <w:autoSpaceDN w:val="0"/>
        <w:adjustRightInd w:val="0"/>
        <w:rPr>
          <w:rFonts w:asciiTheme="minorEastAsia" w:hAnsiTheme="minorEastAsia" w:eastAsiaTheme="minorEastAsia" w:cstheme="minorEastAsia"/>
          <w:color w:val="auto"/>
          <w:szCs w:val="21"/>
          <w:highlight w:val="none"/>
        </w:rPr>
      </w:pPr>
    </w:p>
    <w:p>
      <w:pPr>
        <w:autoSpaceDE w:val="0"/>
        <w:autoSpaceDN w:val="0"/>
        <w:adjustRightInd w:val="0"/>
        <w:rPr>
          <w:rFonts w:asciiTheme="minorEastAsia" w:hAnsiTheme="minorEastAsia" w:eastAsiaTheme="minorEastAsia" w:cstheme="minorEastAsia"/>
          <w:color w:val="auto"/>
          <w:szCs w:val="21"/>
          <w:highlight w:val="none"/>
        </w:rPr>
      </w:pPr>
    </w:p>
    <w:p>
      <w:pPr>
        <w:autoSpaceDE w:val="0"/>
        <w:autoSpaceDN w:val="0"/>
        <w:adjustRightInd w:val="0"/>
        <w:rPr>
          <w:rFonts w:asciiTheme="minorEastAsia" w:hAnsiTheme="minorEastAsia" w:eastAsiaTheme="minorEastAsia" w:cstheme="minorEastAsia"/>
          <w:color w:val="auto"/>
          <w:szCs w:val="21"/>
          <w:highlight w:val="none"/>
        </w:rPr>
      </w:pPr>
    </w:p>
    <w:p>
      <w:pPr>
        <w:autoSpaceDE w:val="0"/>
        <w:autoSpaceDN w:val="0"/>
        <w:adjustRightInd w:val="0"/>
        <w:rPr>
          <w:rFonts w:asciiTheme="minorEastAsia" w:hAnsiTheme="minorEastAsia" w:eastAsiaTheme="minorEastAsia" w:cstheme="minorEastAsia"/>
          <w:color w:val="auto"/>
          <w:szCs w:val="21"/>
          <w:highlight w:val="none"/>
        </w:rPr>
      </w:pPr>
    </w:p>
    <w:p>
      <w:pPr>
        <w:autoSpaceDE w:val="0"/>
        <w:autoSpaceDN w:val="0"/>
        <w:adjustRightInd w:val="0"/>
        <w:rPr>
          <w:rFonts w:asciiTheme="minorEastAsia" w:hAnsiTheme="minorEastAsia" w:eastAsiaTheme="minorEastAsia" w:cstheme="minorEastAsia"/>
          <w:color w:val="auto"/>
          <w:szCs w:val="21"/>
          <w:highlight w:val="none"/>
        </w:rPr>
      </w:pPr>
    </w:p>
    <w:p>
      <w:pPr>
        <w:autoSpaceDE w:val="0"/>
        <w:autoSpaceDN w:val="0"/>
        <w:adjustRightInd w:val="0"/>
        <w:rPr>
          <w:rFonts w:asciiTheme="minorEastAsia" w:hAnsiTheme="minorEastAsia" w:eastAsiaTheme="minorEastAsia" w:cstheme="minorEastAsia"/>
          <w:color w:val="auto"/>
          <w:szCs w:val="21"/>
          <w:highlight w:val="none"/>
        </w:rPr>
      </w:pPr>
    </w:p>
    <w:p>
      <w:pPr>
        <w:autoSpaceDE w:val="0"/>
        <w:autoSpaceDN w:val="0"/>
        <w:adjustRightInd w:val="0"/>
        <w:rPr>
          <w:rFonts w:asciiTheme="minorEastAsia" w:hAnsiTheme="minorEastAsia" w:eastAsiaTheme="minorEastAsia" w:cstheme="minorEastAsia"/>
          <w:color w:val="auto"/>
          <w:szCs w:val="21"/>
          <w:highlight w:val="none"/>
        </w:rPr>
      </w:pPr>
    </w:p>
    <w:p>
      <w:pPr>
        <w:autoSpaceDE w:val="0"/>
        <w:autoSpaceDN w:val="0"/>
        <w:adjustRightInd w:val="0"/>
        <w:rPr>
          <w:rFonts w:asciiTheme="minorEastAsia" w:hAnsiTheme="minorEastAsia" w:eastAsiaTheme="minorEastAsia" w:cstheme="minorEastAsia"/>
          <w:color w:val="auto"/>
          <w:szCs w:val="21"/>
          <w:highlight w:val="none"/>
        </w:rPr>
      </w:pPr>
    </w:p>
    <w:p>
      <w:pPr>
        <w:autoSpaceDE w:val="0"/>
        <w:autoSpaceDN w:val="0"/>
        <w:adjustRightInd w:val="0"/>
        <w:spacing w:line="360" w:lineRule="auto"/>
        <w:ind w:firstLine="1260" w:firstLineChars="450"/>
        <w:rPr>
          <w:rFonts w:asciiTheme="minorEastAsia" w:hAnsiTheme="minorEastAsia" w:eastAsiaTheme="minorEastAsia" w:cstheme="minorEastAsia"/>
          <w:b/>
          <w:bCs/>
          <w:color w:val="auto"/>
          <w:sz w:val="32"/>
          <w:highlight w:val="none"/>
          <w:u w:val="single"/>
        </w:rPr>
      </w:pPr>
      <w:r>
        <w:rPr>
          <w:rFonts w:hint="eastAsia" w:asciiTheme="minorEastAsia" w:hAnsiTheme="minorEastAsia" w:eastAsiaTheme="minorEastAsia" w:cstheme="minorEastAsia"/>
          <w:color w:val="auto"/>
          <w:sz w:val="28"/>
          <w:szCs w:val="28"/>
          <w:highlight w:val="none"/>
        </w:rPr>
        <w:t>磋商供应商名称（盖章）：</w:t>
      </w:r>
      <w:r>
        <w:rPr>
          <w:rFonts w:hint="eastAsia" w:asciiTheme="minorEastAsia" w:hAnsiTheme="minorEastAsia" w:eastAsiaTheme="minorEastAsia" w:cstheme="minorEastAsia"/>
          <w:b/>
          <w:bCs/>
          <w:color w:val="auto"/>
          <w:sz w:val="32"/>
          <w:highlight w:val="none"/>
          <w:u w:val="single"/>
        </w:rPr>
        <w:t xml:space="preserve">                       </w:t>
      </w:r>
      <w:bookmarkStart w:id="116" w:name="_Toc5751"/>
      <w:bookmarkStart w:id="117" w:name="_Toc23858"/>
    </w:p>
    <w:p>
      <w:pPr>
        <w:autoSpaceDE w:val="0"/>
        <w:autoSpaceDN w:val="0"/>
        <w:adjustRightInd w:val="0"/>
        <w:spacing w:line="360" w:lineRule="auto"/>
        <w:ind w:firstLine="1260" w:firstLineChars="450"/>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日          期：</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年</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月</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日</w:t>
      </w:r>
    </w:p>
    <w:bookmarkEnd w:id="116"/>
    <w:bookmarkEnd w:id="117"/>
    <w:p>
      <w:pPr>
        <w:autoSpaceDE w:val="0"/>
        <w:autoSpaceDN w:val="0"/>
        <w:adjustRightInd w:val="0"/>
        <w:spacing w:line="360" w:lineRule="auto"/>
        <w:jc w:val="center"/>
        <w:rPr>
          <w:rFonts w:asciiTheme="minorEastAsia" w:hAnsiTheme="minorEastAsia" w:eastAsiaTheme="minorEastAsia" w:cstheme="minorEastAsia"/>
          <w:b/>
          <w:bCs/>
          <w:color w:val="auto"/>
          <w:sz w:val="24"/>
          <w:highlight w:val="none"/>
        </w:rPr>
      </w:pPr>
      <w:bookmarkStart w:id="118" w:name="_Toc360174584"/>
      <w:bookmarkStart w:id="119" w:name="_Toc264644272"/>
      <w:bookmarkStart w:id="120" w:name="_Toc211783342"/>
      <w:bookmarkStart w:id="121" w:name="_Toc533330957"/>
      <w:bookmarkStart w:id="122" w:name="_Toc533331084"/>
      <w:bookmarkStart w:id="123" w:name="_Toc11320441"/>
      <w:r>
        <w:rPr>
          <w:rFonts w:hint="eastAsia" w:asciiTheme="minorEastAsia" w:hAnsiTheme="minorEastAsia" w:eastAsiaTheme="minorEastAsia" w:cstheme="minorEastAsia"/>
          <w:b/>
          <w:bCs/>
          <w:color w:val="auto"/>
          <w:sz w:val="24"/>
          <w:highlight w:val="none"/>
        </w:rPr>
        <w:br w:type="page"/>
      </w:r>
      <w:r>
        <w:rPr>
          <w:rFonts w:hint="eastAsia" w:asciiTheme="minorEastAsia" w:hAnsiTheme="minorEastAsia" w:eastAsiaTheme="minorEastAsia" w:cstheme="minorEastAsia"/>
          <w:b/>
          <w:bCs/>
          <w:color w:val="auto"/>
          <w:sz w:val="24"/>
          <w:highlight w:val="none"/>
        </w:rPr>
        <w:t>响应文件目录</w:t>
      </w:r>
      <w:bookmarkEnd w:id="118"/>
      <w:bookmarkEnd w:id="119"/>
    </w:p>
    <w:p>
      <w:pPr>
        <w:autoSpaceDE w:val="0"/>
        <w:autoSpaceDN w:val="0"/>
        <w:adjustRightInd w:val="0"/>
        <w:rPr>
          <w:rFonts w:asciiTheme="minorEastAsia" w:hAnsiTheme="minorEastAsia" w:eastAsiaTheme="minorEastAsia" w:cstheme="minorEastAsia"/>
          <w:b/>
          <w:bCs/>
          <w:color w:val="auto"/>
          <w:szCs w:val="21"/>
          <w:highlight w:val="none"/>
        </w:rPr>
      </w:pPr>
    </w:p>
    <w:p>
      <w:pPr>
        <w:autoSpaceDE w:val="0"/>
        <w:autoSpaceDN w:val="0"/>
        <w:adjustRightInd w:val="0"/>
        <w:spacing w:line="360" w:lineRule="auto"/>
        <w:rPr>
          <w:rFonts w:ascii="宋体" w:hAnsi="宋体" w:cs="宋体"/>
          <w:b/>
          <w:color w:val="auto"/>
          <w:szCs w:val="21"/>
          <w:highlight w:val="none"/>
        </w:rPr>
      </w:pPr>
      <w:r>
        <w:rPr>
          <w:rFonts w:hint="eastAsia" w:ascii="宋体" w:hAnsi="宋体" w:cs="宋体"/>
          <w:b/>
          <w:color w:val="auto"/>
          <w:szCs w:val="21"/>
          <w:highlight w:val="none"/>
        </w:rPr>
        <w:t>注：响应文件目录及内容每页须顺序编写页码。</w:t>
      </w:r>
    </w:p>
    <w:p>
      <w:pPr>
        <w:autoSpaceDE w:val="0"/>
        <w:autoSpaceDN w:val="0"/>
        <w:adjustRightInd w:val="0"/>
        <w:spacing w:line="360" w:lineRule="auto"/>
        <w:jc w:val="center"/>
        <w:outlineLvl w:val="1"/>
        <w:rPr>
          <w:rFonts w:ascii="宋体" w:hAnsi="宋体" w:cs="宋体"/>
          <w:b/>
          <w:color w:val="auto"/>
          <w:szCs w:val="21"/>
          <w:highlight w:val="none"/>
        </w:rPr>
      </w:pPr>
      <w:bookmarkStart w:id="124" w:name="_Toc3298"/>
      <w:r>
        <w:rPr>
          <w:rFonts w:hint="eastAsia" w:ascii="宋体" w:hAnsi="宋体" w:cs="宋体"/>
          <w:b/>
          <w:color w:val="auto"/>
          <w:szCs w:val="21"/>
          <w:highlight w:val="none"/>
        </w:rPr>
        <w:br w:type="textWrapping"/>
      </w:r>
      <w:r>
        <w:rPr>
          <w:rFonts w:hint="eastAsia" w:ascii="宋体" w:hAnsi="宋体" w:cs="宋体"/>
          <w:b/>
          <w:color w:val="auto"/>
          <w:szCs w:val="21"/>
          <w:highlight w:val="none"/>
        </w:rPr>
        <w:t>一、评分标准索引表</w:t>
      </w:r>
      <w:bookmarkEnd w:id="124"/>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vAlign w:val="center"/>
          </w:tcPr>
          <w:p>
            <w:pPr>
              <w:spacing w:line="360" w:lineRule="auto"/>
              <w:jc w:val="center"/>
              <w:rPr>
                <w:rFonts w:ascii="宋体" w:hAnsi="宋体" w:cs="宋体"/>
                <w:b/>
                <w:bCs/>
                <w:color w:val="auto"/>
                <w:spacing w:val="-6"/>
                <w:szCs w:val="21"/>
                <w:highlight w:val="none"/>
              </w:rPr>
            </w:pPr>
            <w:r>
              <w:rPr>
                <w:rFonts w:hint="eastAsia" w:ascii="宋体" w:hAnsi="宋体" w:cs="宋体"/>
                <w:b/>
                <w:bCs/>
                <w:color w:val="auto"/>
                <w:szCs w:val="21"/>
                <w:highlight w:val="none"/>
              </w:rPr>
              <w:t>类别</w:t>
            </w:r>
          </w:p>
        </w:tc>
        <w:tc>
          <w:tcPr>
            <w:tcW w:w="1285" w:type="dxa"/>
            <w:tcBorders>
              <w:top w:val="single" w:color="auto" w:sz="12" w:space="0"/>
            </w:tcBorders>
            <w:vAlign w:val="center"/>
          </w:tcPr>
          <w:p>
            <w:pPr>
              <w:spacing w:line="360" w:lineRule="auto"/>
              <w:jc w:val="center"/>
              <w:rPr>
                <w:rFonts w:ascii="宋体" w:hAnsi="宋体" w:cs="宋体"/>
                <w:b/>
                <w:bCs/>
                <w:color w:val="auto"/>
                <w:spacing w:val="-6"/>
                <w:szCs w:val="21"/>
                <w:highlight w:val="none"/>
              </w:rPr>
            </w:pPr>
            <w:r>
              <w:rPr>
                <w:rFonts w:hint="eastAsia" w:ascii="宋体" w:hAnsi="宋体" w:cs="宋体"/>
                <w:b/>
                <w:bCs/>
                <w:color w:val="auto"/>
                <w:szCs w:val="21"/>
                <w:highlight w:val="none"/>
              </w:rPr>
              <w:t>评审因素</w:t>
            </w:r>
          </w:p>
        </w:tc>
        <w:tc>
          <w:tcPr>
            <w:tcW w:w="5358" w:type="dxa"/>
            <w:tcBorders>
              <w:top w:val="single" w:color="auto" w:sz="12" w:space="0"/>
            </w:tcBorders>
            <w:vAlign w:val="center"/>
          </w:tcPr>
          <w:p>
            <w:pPr>
              <w:spacing w:line="360" w:lineRule="auto"/>
              <w:jc w:val="center"/>
              <w:rPr>
                <w:rFonts w:ascii="宋体" w:hAnsi="宋体" w:cs="宋体"/>
                <w:b/>
                <w:bCs/>
                <w:color w:val="auto"/>
                <w:spacing w:val="-6"/>
                <w:szCs w:val="21"/>
                <w:highlight w:val="none"/>
              </w:rPr>
            </w:pPr>
            <w:r>
              <w:rPr>
                <w:rFonts w:hint="eastAsia" w:ascii="宋体" w:hAnsi="宋体" w:cs="宋体"/>
                <w:b/>
                <w:bCs/>
                <w:color w:val="auto"/>
                <w:szCs w:val="21"/>
                <w:highlight w:val="none"/>
              </w:rPr>
              <w:t>评审标准</w:t>
            </w:r>
          </w:p>
        </w:tc>
        <w:tc>
          <w:tcPr>
            <w:tcW w:w="825" w:type="dxa"/>
            <w:tcBorders>
              <w:top w:val="single" w:color="auto" w:sz="12" w:space="0"/>
            </w:tcBorders>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分值</w:t>
            </w:r>
          </w:p>
        </w:tc>
        <w:tc>
          <w:tcPr>
            <w:tcW w:w="1133" w:type="dxa"/>
            <w:tcBorders>
              <w:top w:val="single" w:color="auto" w:sz="12" w:space="0"/>
            </w:tcBorders>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vAlign w:val="center"/>
          </w:tcPr>
          <w:p>
            <w:pPr>
              <w:widowControl/>
              <w:spacing w:line="360" w:lineRule="auto"/>
              <w:jc w:val="center"/>
              <w:textAlignment w:val="center"/>
              <w:rPr>
                <w:rFonts w:ascii="宋体" w:hAnsi="宋体" w:cs="宋体"/>
                <w:color w:val="auto"/>
                <w:spacing w:val="-6"/>
                <w:szCs w:val="21"/>
                <w:highlight w:val="none"/>
              </w:rPr>
            </w:pPr>
          </w:p>
        </w:tc>
        <w:tc>
          <w:tcPr>
            <w:tcW w:w="1285" w:type="dxa"/>
            <w:vAlign w:val="center"/>
          </w:tcPr>
          <w:p>
            <w:pPr>
              <w:widowControl/>
              <w:spacing w:line="360" w:lineRule="auto"/>
              <w:jc w:val="center"/>
              <w:textAlignment w:val="center"/>
              <w:rPr>
                <w:rFonts w:ascii="宋体" w:hAnsi="宋体" w:cs="宋体"/>
                <w:color w:val="auto"/>
                <w:spacing w:val="-6"/>
                <w:szCs w:val="21"/>
                <w:highlight w:val="none"/>
              </w:rPr>
            </w:pPr>
          </w:p>
        </w:tc>
        <w:tc>
          <w:tcPr>
            <w:tcW w:w="5358" w:type="dxa"/>
            <w:vAlign w:val="center"/>
          </w:tcPr>
          <w:p>
            <w:pPr>
              <w:widowControl/>
              <w:spacing w:line="360" w:lineRule="auto"/>
              <w:jc w:val="left"/>
              <w:textAlignment w:val="center"/>
              <w:rPr>
                <w:rFonts w:ascii="宋体" w:hAnsi="宋体" w:cs="宋体"/>
                <w:color w:val="auto"/>
                <w:szCs w:val="21"/>
                <w:highlight w:val="none"/>
              </w:rPr>
            </w:pPr>
          </w:p>
        </w:tc>
        <w:tc>
          <w:tcPr>
            <w:tcW w:w="825" w:type="dxa"/>
            <w:vAlign w:val="center"/>
          </w:tcPr>
          <w:p>
            <w:pPr>
              <w:widowControl/>
              <w:spacing w:line="360" w:lineRule="auto"/>
              <w:jc w:val="center"/>
              <w:textAlignment w:val="center"/>
              <w:rPr>
                <w:rFonts w:ascii="宋体" w:hAnsi="宋体" w:cs="宋体"/>
                <w:color w:val="auto"/>
                <w:szCs w:val="21"/>
                <w:highlight w:val="none"/>
              </w:rPr>
            </w:pPr>
          </w:p>
        </w:tc>
        <w:tc>
          <w:tcPr>
            <w:tcW w:w="1133" w:type="dxa"/>
            <w:vAlign w:val="center"/>
          </w:tcPr>
          <w:p>
            <w:pPr>
              <w:widowControl/>
              <w:spacing w:line="360" w:lineRule="auto"/>
              <w:jc w:val="center"/>
              <w:textAlignment w:val="center"/>
              <w:rPr>
                <w:rFonts w:ascii="宋体" w:hAnsi="宋体" w:cs="宋体"/>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spacing w:line="360" w:lineRule="auto"/>
              <w:jc w:val="center"/>
              <w:rPr>
                <w:rFonts w:ascii="宋体" w:hAnsi="宋体" w:cs="宋体"/>
                <w:color w:val="auto"/>
                <w:spacing w:val="-6"/>
                <w:szCs w:val="21"/>
                <w:highlight w:val="none"/>
              </w:rPr>
            </w:pPr>
          </w:p>
        </w:tc>
        <w:tc>
          <w:tcPr>
            <w:tcW w:w="1285" w:type="dxa"/>
            <w:vAlign w:val="center"/>
          </w:tcPr>
          <w:p>
            <w:pPr>
              <w:spacing w:line="360" w:lineRule="auto"/>
              <w:rPr>
                <w:rFonts w:ascii="宋体" w:hAnsi="宋体" w:cs="宋体"/>
                <w:color w:val="auto"/>
                <w:spacing w:val="-6"/>
                <w:kern w:val="0"/>
                <w:szCs w:val="21"/>
                <w:highlight w:val="none"/>
              </w:rPr>
            </w:pPr>
          </w:p>
        </w:tc>
        <w:tc>
          <w:tcPr>
            <w:tcW w:w="5358" w:type="dxa"/>
            <w:vAlign w:val="center"/>
          </w:tcPr>
          <w:p>
            <w:pPr>
              <w:spacing w:line="360" w:lineRule="auto"/>
              <w:rPr>
                <w:rFonts w:ascii="宋体" w:hAnsi="宋体" w:cs="宋体"/>
                <w:color w:val="auto"/>
                <w:spacing w:val="-6"/>
                <w:szCs w:val="21"/>
                <w:highlight w:val="none"/>
              </w:rPr>
            </w:pPr>
          </w:p>
        </w:tc>
        <w:tc>
          <w:tcPr>
            <w:tcW w:w="825" w:type="dxa"/>
            <w:vAlign w:val="center"/>
          </w:tcPr>
          <w:p>
            <w:pPr>
              <w:spacing w:line="360" w:lineRule="auto"/>
              <w:rPr>
                <w:rFonts w:ascii="宋体" w:hAnsi="宋体" w:cs="宋体"/>
                <w:color w:val="auto"/>
                <w:spacing w:val="-6"/>
                <w:szCs w:val="21"/>
                <w:highlight w:val="none"/>
              </w:rPr>
            </w:pPr>
          </w:p>
        </w:tc>
        <w:tc>
          <w:tcPr>
            <w:tcW w:w="1133" w:type="dxa"/>
            <w:vAlign w:val="center"/>
          </w:tcPr>
          <w:p>
            <w:pPr>
              <w:spacing w:line="360" w:lineRule="auto"/>
              <w:rPr>
                <w:rFonts w:ascii="宋体" w:hAnsi="宋体" w:cs="宋体"/>
                <w:color w:val="auto"/>
                <w:spacing w:val="-6"/>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color w:val="auto"/>
                <w:szCs w:val="21"/>
                <w:highlight w:val="none"/>
              </w:rPr>
            </w:pPr>
          </w:p>
        </w:tc>
        <w:tc>
          <w:tcPr>
            <w:tcW w:w="1285" w:type="dxa"/>
            <w:vAlign w:val="center"/>
          </w:tcPr>
          <w:p>
            <w:pPr>
              <w:spacing w:line="360" w:lineRule="auto"/>
              <w:rPr>
                <w:rFonts w:ascii="宋体" w:hAnsi="宋体" w:cs="宋体"/>
                <w:color w:val="auto"/>
                <w:spacing w:val="-6"/>
                <w:kern w:val="0"/>
                <w:szCs w:val="21"/>
                <w:highlight w:val="none"/>
              </w:rPr>
            </w:pPr>
          </w:p>
        </w:tc>
        <w:tc>
          <w:tcPr>
            <w:tcW w:w="5358" w:type="dxa"/>
            <w:vAlign w:val="center"/>
          </w:tcPr>
          <w:p>
            <w:pPr>
              <w:autoSpaceDE w:val="0"/>
              <w:autoSpaceDN w:val="0"/>
              <w:adjustRightInd w:val="0"/>
              <w:spacing w:line="360" w:lineRule="auto"/>
              <w:ind w:right="71" w:rightChars="34"/>
              <w:rPr>
                <w:rFonts w:ascii="宋体" w:hAnsi="宋体" w:cs="宋体"/>
                <w:color w:val="auto"/>
                <w:spacing w:val="-6"/>
                <w:kern w:val="0"/>
                <w:szCs w:val="21"/>
                <w:highlight w:val="none"/>
              </w:rPr>
            </w:pPr>
          </w:p>
        </w:tc>
        <w:tc>
          <w:tcPr>
            <w:tcW w:w="825" w:type="dxa"/>
            <w:vAlign w:val="center"/>
          </w:tcPr>
          <w:p>
            <w:pPr>
              <w:autoSpaceDE w:val="0"/>
              <w:autoSpaceDN w:val="0"/>
              <w:adjustRightInd w:val="0"/>
              <w:spacing w:line="360" w:lineRule="auto"/>
              <w:ind w:right="71" w:rightChars="34"/>
              <w:rPr>
                <w:rFonts w:ascii="宋体" w:hAnsi="宋体" w:cs="宋体"/>
                <w:color w:val="auto"/>
                <w:spacing w:val="-6"/>
                <w:kern w:val="0"/>
                <w:szCs w:val="21"/>
                <w:highlight w:val="none"/>
              </w:rPr>
            </w:pPr>
          </w:p>
        </w:tc>
        <w:tc>
          <w:tcPr>
            <w:tcW w:w="1133" w:type="dxa"/>
            <w:vAlign w:val="center"/>
          </w:tcPr>
          <w:p>
            <w:pPr>
              <w:autoSpaceDE w:val="0"/>
              <w:autoSpaceDN w:val="0"/>
              <w:adjustRightInd w:val="0"/>
              <w:spacing w:line="360" w:lineRule="auto"/>
              <w:ind w:right="71" w:rightChars="34"/>
              <w:rPr>
                <w:rFonts w:ascii="宋体" w:hAnsi="宋体" w:cs="宋体"/>
                <w:color w:val="auto"/>
                <w:spacing w:val="-6"/>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color w:val="auto"/>
                <w:szCs w:val="21"/>
                <w:highlight w:val="none"/>
              </w:rPr>
            </w:pPr>
          </w:p>
        </w:tc>
        <w:tc>
          <w:tcPr>
            <w:tcW w:w="1285" w:type="dxa"/>
            <w:vAlign w:val="center"/>
          </w:tcPr>
          <w:p>
            <w:pPr>
              <w:spacing w:line="360" w:lineRule="auto"/>
              <w:rPr>
                <w:rFonts w:ascii="宋体" w:hAnsi="宋体" w:cs="宋体"/>
                <w:color w:val="auto"/>
                <w:spacing w:val="-6"/>
                <w:szCs w:val="21"/>
                <w:highlight w:val="none"/>
              </w:rPr>
            </w:pPr>
          </w:p>
        </w:tc>
        <w:tc>
          <w:tcPr>
            <w:tcW w:w="5358" w:type="dxa"/>
            <w:vAlign w:val="center"/>
          </w:tcPr>
          <w:p>
            <w:pPr>
              <w:autoSpaceDE w:val="0"/>
              <w:autoSpaceDN w:val="0"/>
              <w:adjustRightInd w:val="0"/>
              <w:spacing w:line="360" w:lineRule="auto"/>
              <w:ind w:right="71" w:rightChars="34"/>
              <w:rPr>
                <w:rFonts w:ascii="宋体" w:hAnsi="宋体" w:cs="宋体"/>
                <w:color w:val="auto"/>
                <w:spacing w:val="-6"/>
                <w:szCs w:val="21"/>
                <w:highlight w:val="none"/>
              </w:rPr>
            </w:pPr>
          </w:p>
        </w:tc>
        <w:tc>
          <w:tcPr>
            <w:tcW w:w="825" w:type="dxa"/>
            <w:vAlign w:val="center"/>
          </w:tcPr>
          <w:p>
            <w:pPr>
              <w:autoSpaceDE w:val="0"/>
              <w:autoSpaceDN w:val="0"/>
              <w:adjustRightInd w:val="0"/>
              <w:spacing w:line="360" w:lineRule="auto"/>
              <w:ind w:right="71" w:rightChars="34"/>
              <w:rPr>
                <w:rFonts w:ascii="宋体" w:hAnsi="宋体" w:cs="宋体"/>
                <w:color w:val="auto"/>
                <w:spacing w:val="-6"/>
                <w:szCs w:val="21"/>
                <w:highlight w:val="none"/>
              </w:rPr>
            </w:pPr>
          </w:p>
        </w:tc>
        <w:tc>
          <w:tcPr>
            <w:tcW w:w="1133" w:type="dxa"/>
            <w:vAlign w:val="center"/>
          </w:tcPr>
          <w:p>
            <w:pPr>
              <w:autoSpaceDE w:val="0"/>
              <w:autoSpaceDN w:val="0"/>
              <w:adjustRightInd w:val="0"/>
              <w:spacing w:line="360" w:lineRule="auto"/>
              <w:ind w:right="71" w:rightChars="34"/>
              <w:rPr>
                <w:rFonts w:ascii="宋体" w:hAnsi="宋体" w:cs="宋体"/>
                <w:color w:val="auto"/>
                <w:spacing w:val="-6"/>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color w:val="auto"/>
                <w:szCs w:val="21"/>
                <w:highlight w:val="none"/>
              </w:rPr>
            </w:pPr>
          </w:p>
        </w:tc>
        <w:tc>
          <w:tcPr>
            <w:tcW w:w="1285" w:type="dxa"/>
            <w:tcBorders>
              <w:bottom w:val="single" w:color="auto" w:sz="4" w:space="0"/>
            </w:tcBorders>
            <w:vAlign w:val="center"/>
          </w:tcPr>
          <w:p>
            <w:pPr>
              <w:spacing w:line="360" w:lineRule="auto"/>
              <w:rPr>
                <w:rFonts w:ascii="宋体" w:hAnsi="宋体" w:cs="宋体"/>
                <w:color w:val="auto"/>
                <w:spacing w:val="-6"/>
                <w:kern w:val="0"/>
                <w:szCs w:val="21"/>
                <w:highlight w:val="none"/>
              </w:rPr>
            </w:pPr>
          </w:p>
        </w:tc>
        <w:tc>
          <w:tcPr>
            <w:tcW w:w="5358" w:type="dxa"/>
            <w:tcBorders>
              <w:bottom w:val="single" w:color="auto" w:sz="4" w:space="0"/>
            </w:tcBorders>
            <w:vAlign w:val="center"/>
          </w:tcPr>
          <w:p>
            <w:pPr>
              <w:autoSpaceDE w:val="0"/>
              <w:autoSpaceDN w:val="0"/>
              <w:adjustRightInd w:val="0"/>
              <w:spacing w:line="360" w:lineRule="auto"/>
              <w:ind w:right="71" w:rightChars="34"/>
              <w:rPr>
                <w:rFonts w:ascii="宋体" w:hAnsi="宋体" w:cs="宋体"/>
                <w:color w:val="auto"/>
                <w:spacing w:val="-6"/>
                <w:kern w:val="0"/>
                <w:szCs w:val="21"/>
                <w:highlight w:val="none"/>
              </w:rPr>
            </w:pPr>
          </w:p>
        </w:tc>
        <w:tc>
          <w:tcPr>
            <w:tcW w:w="825" w:type="dxa"/>
            <w:tcBorders>
              <w:bottom w:val="single" w:color="auto" w:sz="4" w:space="0"/>
            </w:tcBorders>
            <w:vAlign w:val="center"/>
          </w:tcPr>
          <w:p>
            <w:pPr>
              <w:autoSpaceDE w:val="0"/>
              <w:autoSpaceDN w:val="0"/>
              <w:adjustRightInd w:val="0"/>
              <w:spacing w:line="360" w:lineRule="auto"/>
              <w:ind w:right="71" w:rightChars="34"/>
              <w:rPr>
                <w:rFonts w:ascii="宋体" w:hAnsi="宋体" w:cs="宋体"/>
                <w:color w:val="auto"/>
                <w:spacing w:val="-6"/>
                <w:kern w:val="0"/>
                <w:szCs w:val="21"/>
                <w:highlight w:val="none"/>
              </w:rPr>
            </w:pPr>
          </w:p>
        </w:tc>
        <w:tc>
          <w:tcPr>
            <w:tcW w:w="1133" w:type="dxa"/>
            <w:tcBorders>
              <w:bottom w:val="single" w:color="auto" w:sz="4" w:space="0"/>
            </w:tcBorders>
            <w:vAlign w:val="center"/>
          </w:tcPr>
          <w:p>
            <w:pPr>
              <w:autoSpaceDE w:val="0"/>
              <w:autoSpaceDN w:val="0"/>
              <w:adjustRightInd w:val="0"/>
              <w:spacing w:line="360" w:lineRule="auto"/>
              <w:ind w:right="71" w:rightChars="34"/>
              <w:rPr>
                <w:rFonts w:ascii="宋体" w:hAnsi="宋体" w:cs="宋体"/>
                <w:color w:val="auto"/>
                <w:spacing w:val="-6"/>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color w:val="auto"/>
                <w:szCs w:val="21"/>
                <w:highlight w:val="none"/>
              </w:rPr>
            </w:pPr>
          </w:p>
        </w:tc>
        <w:tc>
          <w:tcPr>
            <w:tcW w:w="1285" w:type="dxa"/>
            <w:tcBorders>
              <w:top w:val="single" w:color="auto" w:sz="4" w:space="0"/>
            </w:tcBorders>
            <w:vAlign w:val="center"/>
          </w:tcPr>
          <w:p>
            <w:pPr>
              <w:spacing w:line="360" w:lineRule="auto"/>
              <w:rPr>
                <w:rFonts w:ascii="宋体" w:hAnsi="宋体" w:cs="宋体"/>
                <w:color w:val="auto"/>
                <w:spacing w:val="-6"/>
                <w:kern w:val="0"/>
                <w:szCs w:val="21"/>
                <w:highlight w:val="none"/>
              </w:rPr>
            </w:pPr>
          </w:p>
        </w:tc>
        <w:tc>
          <w:tcPr>
            <w:tcW w:w="5358" w:type="dxa"/>
            <w:tcBorders>
              <w:top w:val="single" w:color="auto" w:sz="4" w:space="0"/>
            </w:tcBorders>
            <w:vAlign w:val="center"/>
          </w:tcPr>
          <w:p>
            <w:pPr>
              <w:autoSpaceDE w:val="0"/>
              <w:autoSpaceDN w:val="0"/>
              <w:adjustRightInd w:val="0"/>
              <w:spacing w:line="360" w:lineRule="auto"/>
              <w:ind w:right="71" w:rightChars="34"/>
              <w:rPr>
                <w:rFonts w:ascii="宋体" w:hAnsi="宋体" w:cs="宋体"/>
                <w:color w:val="auto"/>
                <w:spacing w:val="-6"/>
                <w:kern w:val="0"/>
                <w:szCs w:val="21"/>
                <w:highlight w:val="none"/>
              </w:rPr>
            </w:pPr>
          </w:p>
        </w:tc>
        <w:tc>
          <w:tcPr>
            <w:tcW w:w="825" w:type="dxa"/>
            <w:tcBorders>
              <w:top w:val="single" w:color="auto" w:sz="4" w:space="0"/>
            </w:tcBorders>
            <w:vAlign w:val="center"/>
          </w:tcPr>
          <w:p>
            <w:pPr>
              <w:autoSpaceDE w:val="0"/>
              <w:autoSpaceDN w:val="0"/>
              <w:adjustRightInd w:val="0"/>
              <w:spacing w:line="360" w:lineRule="auto"/>
              <w:ind w:right="71" w:rightChars="34"/>
              <w:rPr>
                <w:rFonts w:ascii="宋体" w:hAnsi="宋体" w:cs="宋体"/>
                <w:color w:val="auto"/>
                <w:spacing w:val="-6"/>
                <w:kern w:val="0"/>
                <w:szCs w:val="21"/>
                <w:highlight w:val="none"/>
              </w:rPr>
            </w:pPr>
          </w:p>
        </w:tc>
        <w:tc>
          <w:tcPr>
            <w:tcW w:w="1133" w:type="dxa"/>
            <w:tcBorders>
              <w:top w:val="single" w:color="auto" w:sz="4" w:space="0"/>
            </w:tcBorders>
            <w:vAlign w:val="center"/>
          </w:tcPr>
          <w:p>
            <w:pPr>
              <w:autoSpaceDE w:val="0"/>
              <w:autoSpaceDN w:val="0"/>
              <w:adjustRightInd w:val="0"/>
              <w:spacing w:line="360" w:lineRule="auto"/>
              <w:ind w:right="71" w:rightChars="34"/>
              <w:rPr>
                <w:rFonts w:ascii="宋体" w:hAnsi="宋体" w:cs="宋体"/>
                <w:color w:val="auto"/>
                <w:spacing w:val="-6"/>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vAlign w:val="center"/>
          </w:tcPr>
          <w:p>
            <w:pPr>
              <w:spacing w:line="360" w:lineRule="auto"/>
              <w:jc w:val="center"/>
              <w:rPr>
                <w:rFonts w:ascii="宋体" w:hAnsi="宋体" w:cs="宋体"/>
                <w:color w:val="auto"/>
                <w:spacing w:val="-6"/>
                <w:szCs w:val="21"/>
                <w:highlight w:val="none"/>
              </w:rPr>
            </w:pPr>
          </w:p>
        </w:tc>
        <w:tc>
          <w:tcPr>
            <w:tcW w:w="1285" w:type="dxa"/>
            <w:vAlign w:val="center"/>
          </w:tcPr>
          <w:p>
            <w:pPr>
              <w:spacing w:line="360" w:lineRule="auto"/>
              <w:rPr>
                <w:rFonts w:ascii="宋体" w:hAnsi="宋体" w:cs="宋体"/>
                <w:color w:val="auto"/>
                <w:spacing w:val="-6"/>
                <w:szCs w:val="21"/>
                <w:highlight w:val="none"/>
              </w:rPr>
            </w:pPr>
          </w:p>
        </w:tc>
        <w:tc>
          <w:tcPr>
            <w:tcW w:w="5358" w:type="dxa"/>
            <w:vAlign w:val="center"/>
          </w:tcPr>
          <w:p>
            <w:pPr>
              <w:spacing w:line="360" w:lineRule="auto"/>
              <w:ind w:left="-4" w:leftChars="-2" w:firstLine="1" w:firstLineChars="1"/>
              <w:rPr>
                <w:rFonts w:ascii="宋体" w:hAnsi="宋体" w:cs="宋体"/>
                <w:color w:val="auto"/>
                <w:spacing w:val="-6"/>
                <w:szCs w:val="21"/>
                <w:highlight w:val="none"/>
              </w:rPr>
            </w:pPr>
          </w:p>
        </w:tc>
        <w:tc>
          <w:tcPr>
            <w:tcW w:w="825" w:type="dxa"/>
            <w:vAlign w:val="center"/>
          </w:tcPr>
          <w:p>
            <w:pPr>
              <w:spacing w:line="360" w:lineRule="auto"/>
              <w:ind w:left="-4" w:leftChars="-2" w:firstLine="1" w:firstLineChars="1"/>
              <w:rPr>
                <w:rFonts w:ascii="宋体" w:hAnsi="宋体" w:cs="宋体"/>
                <w:color w:val="auto"/>
                <w:spacing w:val="-6"/>
                <w:szCs w:val="21"/>
                <w:highlight w:val="none"/>
              </w:rPr>
            </w:pPr>
          </w:p>
        </w:tc>
        <w:tc>
          <w:tcPr>
            <w:tcW w:w="1133" w:type="dxa"/>
            <w:vAlign w:val="center"/>
          </w:tcPr>
          <w:p>
            <w:pPr>
              <w:spacing w:line="360" w:lineRule="auto"/>
              <w:ind w:left="-4" w:leftChars="-2" w:firstLine="1" w:firstLineChars="1"/>
              <w:rPr>
                <w:rFonts w:ascii="宋体" w:hAnsi="宋体" w:cs="宋体"/>
                <w:color w:val="auto"/>
                <w:spacing w:val="-6"/>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ind w:left="-4" w:leftChars="-2" w:firstLine="2" w:firstLineChars="1"/>
              <w:rPr>
                <w:rFonts w:ascii="宋体" w:hAnsi="宋体" w:cs="宋体"/>
                <w:color w:val="auto"/>
                <w:szCs w:val="21"/>
                <w:highlight w:val="none"/>
              </w:rPr>
            </w:pPr>
          </w:p>
        </w:tc>
        <w:tc>
          <w:tcPr>
            <w:tcW w:w="1285" w:type="dxa"/>
            <w:vAlign w:val="center"/>
          </w:tcPr>
          <w:p>
            <w:pPr>
              <w:spacing w:line="360" w:lineRule="auto"/>
              <w:ind w:left="-4" w:leftChars="-2" w:firstLine="2" w:firstLineChars="1"/>
              <w:rPr>
                <w:rFonts w:ascii="宋体" w:hAnsi="宋体" w:cs="宋体"/>
                <w:color w:val="auto"/>
                <w:szCs w:val="21"/>
                <w:highlight w:val="none"/>
              </w:rPr>
            </w:pPr>
          </w:p>
        </w:tc>
        <w:tc>
          <w:tcPr>
            <w:tcW w:w="5358" w:type="dxa"/>
            <w:vAlign w:val="center"/>
          </w:tcPr>
          <w:p>
            <w:pPr>
              <w:spacing w:line="360" w:lineRule="auto"/>
              <w:ind w:left="-4" w:leftChars="-2" w:firstLine="2" w:firstLineChars="1"/>
              <w:rPr>
                <w:rFonts w:ascii="宋体" w:hAnsi="宋体" w:cs="宋体"/>
                <w:color w:val="auto"/>
                <w:szCs w:val="21"/>
                <w:highlight w:val="none"/>
              </w:rPr>
            </w:pPr>
          </w:p>
        </w:tc>
        <w:tc>
          <w:tcPr>
            <w:tcW w:w="825" w:type="dxa"/>
            <w:vAlign w:val="center"/>
          </w:tcPr>
          <w:p>
            <w:pPr>
              <w:spacing w:line="360" w:lineRule="auto"/>
              <w:ind w:left="-4" w:leftChars="-2" w:firstLine="2" w:firstLineChars="1"/>
              <w:rPr>
                <w:rFonts w:ascii="宋体" w:hAnsi="宋体" w:cs="宋体"/>
                <w:color w:val="auto"/>
                <w:szCs w:val="21"/>
                <w:highlight w:val="none"/>
              </w:rPr>
            </w:pPr>
          </w:p>
        </w:tc>
        <w:tc>
          <w:tcPr>
            <w:tcW w:w="1133" w:type="dxa"/>
            <w:vAlign w:val="center"/>
          </w:tcPr>
          <w:p>
            <w:pPr>
              <w:spacing w:line="360" w:lineRule="auto"/>
              <w:ind w:left="-4" w:leftChars="-2" w:firstLine="2" w:firstLineChars="1"/>
              <w:rPr>
                <w:rFonts w:ascii="宋体" w:hAnsi="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color w:val="auto"/>
                <w:szCs w:val="21"/>
                <w:highlight w:val="none"/>
              </w:rPr>
            </w:pPr>
          </w:p>
        </w:tc>
        <w:tc>
          <w:tcPr>
            <w:tcW w:w="1285" w:type="dxa"/>
            <w:vAlign w:val="center"/>
          </w:tcPr>
          <w:p>
            <w:pPr>
              <w:spacing w:line="360" w:lineRule="auto"/>
              <w:rPr>
                <w:rFonts w:ascii="宋体" w:hAnsi="宋体" w:cs="宋体"/>
                <w:color w:val="auto"/>
                <w:spacing w:val="-6"/>
                <w:kern w:val="0"/>
                <w:szCs w:val="21"/>
                <w:highlight w:val="none"/>
              </w:rPr>
            </w:pPr>
          </w:p>
        </w:tc>
        <w:tc>
          <w:tcPr>
            <w:tcW w:w="5358" w:type="dxa"/>
            <w:vAlign w:val="center"/>
          </w:tcPr>
          <w:p>
            <w:pPr>
              <w:autoSpaceDE w:val="0"/>
              <w:autoSpaceDN w:val="0"/>
              <w:adjustRightInd w:val="0"/>
              <w:spacing w:line="360" w:lineRule="auto"/>
              <w:rPr>
                <w:rFonts w:ascii="宋体" w:hAnsi="宋体" w:cs="宋体"/>
                <w:color w:val="auto"/>
                <w:spacing w:val="-6"/>
                <w:kern w:val="0"/>
                <w:szCs w:val="21"/>
                <w:highlight w:val="none"/>
              </w:rPr>
            </w:pPr>
          </w:p>
        </w:tc>
        <w:tc>
          <w:tcPr>
            <w:tcW w:w="825" w:type="dxa"/>
            <w:vAlign w:val="center"/>
          </w:tcPr>
          <w:p>
            <w:pPr>
              <w:autoSpaceDE w:val="0"/>
              <w:autoSpaceDN w:val="0"/>
              <w:adjustRightInd w:val="0"/>
              <w:spacing w:line="360" w:lineRule="auto"/>
              <w:rPr>
                <w:rFonts w:ascii="宋体" w:hAnsi="宋体" w:cs="宋体"/>
                <w:color w:val="auto"/>
                <w:spacing w:val="-6"/>
                <w:kern w:val="0"/>
                <w:szCs w:val="21"/>
                <w:highlight w:val="none"/>
              </w:rPr>
            </w:pPr>
          </w:p>
        </w:tc>
        <w:tc>
          <w:tcPr>
            <w:tcW w:w="1133" w:type="dxa"/>
            <w:vAlign w:val="center"/>
          </w:tcPr>
          <w:p>
            <w:pPr>
              <w:autoSpaceDE w:val="0"/>
              <w:autoSpaceDN w:val="0"/>
              <w:adjustRightInd w:val="0"/>
              <w:spacing w:line="360" w:lineRule="auto"/>
              <w:rPr>
                <w:rFonts w:ascii="宋体" w:hAnsi="宋体" w:cs="宋体"/>
                <w:color w:val="auto"/>
                <w:spacing w:val="-6"/>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color w:val="auto"/>
                <w:szCs w:val="21"/>
                <w:highlight w:val="none"/>
              </w:rPr>
            </w:pPr>
          </w:p>
        </w:tc>
        <w:tc>
          <w:tcPr>
            <w:tcW w:w="1285" w:type="dxa"/>
            <w:vAlign w:val="center"/>
          </w:tcPr>
          <w:p>
            <w:pPr>
              <w:spacing w:line="360" w:lineRule="auto"/>
              <w:rPr>
                <w:rFonts w:ascii="宋体" w:hAnsi="宋体" w:cs="宋体"/>
                <w:color w:val="auto"/>
                <w:spacing w:val="-6"/>
                <w:szCs w:val="21"/>
                <w:highlight w:val="none"/>
              </w:rPr>
            </w:pPr>
          </w:p>
        </w:tc>
        <w:tc>
          <w:tcPr>
            <w:tcW w:w="5358" w:type="dxa"/>
            <w:vAlign w:val="center"/>
          </w:tcPr>
          <w:p>
            <w:pPr>
              <w:spacing w:line="360" w:lineRule="auto"/>
              <w:ind w:left="-4" w:leftChars="-2" w:firstLine="1" w:firstLineChars="1"/>
              <w:rPr>
                <w:rFonts w:ascii="宋体" w:hAnsi="宋体" w:cs="宋体"/>
                <w:color w:val="auto"/>
                <w:spacing w:val="-6"/>
                <w:szCs w:val="21"/>
                <w:highlight w:val="none"/>
              </w:rPr>
            </w:pPr>
          </w:p>
        </w:tc>
        <w:tc>
          <w:tcPr>
            <w:tcW w:w="825" w:type="dxa"/>
            <w:vAlign w:val="center"/>
          </w:tcPr>
          <w:p>
            <w:pPr>
              <w:spacing w:line="360" w:lineRule="auto"/>
              <w:ind w:left="-4" w:leftChars="-2" w:firstLine="1" w:firstLineChars="1"/>
              <w:rPr>
                <w:rFonts w:ascii="宋体" w:hAnsi="宋体" w:cs="宋体"/>
                <w:color w:val="auto"/>
                <w:spacing w:val="-6"/>
                <w:szCs w:val="21"/>
                <w:highlight w:val="none"/>
              </w:rPr>
            </w:pPr>
          </w:p>
        </w:tc>
        <w:tc>
          <w:tcPr>
            <w:tcW w:w="1133" w:type="dxa"/>
            <w:vAlign w:val="center"/>
          </w:tcPr>
          <w:p>
            <w:pPr>
              <w:spacing w:line="360" w:lineRule="auto"/>
              <w:ind w:left="-4" w:leftChars="-2" w:firstLine="1" w:firstLineChars="1"/>
              <w:rPr>
                <w:rFonts w:ascii="宋体" w:hAnsi="宋体" w:cs="宋体"/>
                <w:color w:val="auto"/>
                <w:spacing w:val="-6"/>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vAlign w:val="center"/>
          </w:tcPr>
          <w:p>
            <w:pPr>
              <w:spacing w:line="360" w:lineRule="auto"/>
              <w:rPr>
                <w:rFonts w:ascii="宋体" w:hAnsi="宋体" w:cs="宋体"/>
                <w:color w:val="auto"/>
                <w:szCs w:val="21"/>
                <w:highlight w:val="none"/>
              </w:rPr>
            </w:pPr>
          </w:p>
        </w:tc>
        <w:tc>
          <w:tcPr>
            <w:tcW w:w="1285" w:type="dxa"/>
            <w:vAlign w:val="center"/>
          </w:tcPr>
          <w:p>
            <w:pPr>
              <w:spacing w:line="360" w:lineRule="auto"/>
              <w:rPr>
                <w:rFonts w:ascii="宋体" w:hAnsi="宋体" w:cs="宋体"/>
                <w:color w:val="auto"/>
                <w:spacing w:val="-6"/>
                <w:szCs w:val="21"/>
                <w:highlight w:val="none"/>
              </w:rPr>
            </w:pPr>
          </w:p>
        </w:tc>
        <w:tc>
          <w:tcPr>
            <w:tcW w:w="5358" w:type="dxa"/>
            <w:vAlign w:val="center"/>
          </w:tcPr>
          <w:p>
            <w:pPr>
              <w:spacing w:line="360" w:lineRule="auto"/>
              <w:rPr>
                <w:rFonts w:ascii="宋体" w:hAnsi="宋体" w:cs="宋体"/>
                <w:color w:val="auto"/>
                <w:spacing w:val="-6"/>
                <w:szCs w:val="21"/>
                <w:highlight w:val="none"/>
              </w:rPr>
            </w:pPr>
          </w:p>
        </w:tc>
        <w:tc>
          <w:tcPr>
            <w:tcW w:w="825" w:type="dxa"/>
            <w:vAlign w:val="center"/>
          </w:tcPr>
          <w:p>
            <w:pPr>
              <w:spacing w:line="360" w:lineRule="auto"/>
              <w:rPr>
                <w:rFonts w:ascii="宋体" w:hAnsi="宋体" w:cs="宋体"/>
                <w:color w:val="auto"/>
                <w:spacing w:val="-6"/>
                <w:szCs w:val="21"/>
                <w:highlight w:val="none"/>
              </w:rPr>
            </w:pPr>
          </w:p>
        </w:tc>
        <w:tc>
          <w:tcPr>
            <w:tcW w:w="1133" w:type="dxa"/>
            <w:vAlign w:val="center"/>
          </w:tcPr>
          <w:p>
            <w:pPr>
              <w:spacing w:line="360" w:lineRule="auto"/>
              <w:rPr>
                <w:rFonts w:ascii="宋体" w:hAnsi="宋体" w:cs="宋体"/>
                <w:color w:val="auto"/>
                <w:spacing w:val="-6"/>
                <w:szCs w:val="21"/>
                <w:highlight w:val="none"/>
              </w:rPr>
            </w:pPr>
          </w:p>
        </w:tc>
      </w:tr>
    </w:tbl>
    <w:p>
      <w:pPr>
        <w:autoSpaceDE w:val="0"/>
        <w:autoSpaceDN w:val="0"/>
        <w:adjustRightInd w:val="0"/>
        <w:spacing w:line="480" w:lineRule="auto"/>
        <w:rPr>
          <w:rFonts w:asciiTheme="minorEastAsia" w:hAnsiTheme="minorEastAsia" w:eastAsiaTheme="minorEastAsia" w:cstheme="minorEastAsia"/>
          <w:b/>
          <w:color w:val="auto"/>
          <w:highlight w:val="none"/>
        </w:rPr>
      </w:pPr>
    </w:p>
    <w:p>
      <w:pPr>
        <w:adjustRightInd w:val="0"/>
        <w:snapToGrid w:val="0"/>
        <w:spacing w:line="48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highlight w:val="none"/>
        </w:rPr>
        <w:br w:type="textWrapping"/>
      </w:r>
    </w:p>
    <w:p>
      <w:pPr>
        <w:adjustRightInd w:val="0"/>
        <w:snapToGrid w:val="0"/>
        <w:spacing w:line="480" w:lineRule="auto"/>
        <w:jc w:val="center"/>
        <w:outlineLvl w:val="1"/>
        <w:rPr>
          <w:rFonts w:asciiTheme="minorEastAsia" w:hAnsiTheme="minorEastAsia" w:eastAsiaTheme="minorEastAsia" w:cstheme="minorEastAsia"/>
          <w:b/>
          <w:color w:val="auto"/>
          <w:highlight w:val="none"/>
        </w:rPr>
      </w:pPr>
      <w:bookmarkStart w:id="125" w:name="_Toc15789"/>
      <w:bookmarkStart w:id="126" w:name="_Toc30144"/>
      <w:bookmarkStart w:id="127" w:name="_Toc31578"/>
      <w:bookmarkStart w:id="128" w:name="_Toc479184125"/>
      <w:r>
        <w:rPr>
          <w:rFonts w:hint="eastAsia" w:asciiTheme="minorEastAsia" w:hAnsiTheme="minorEastAsia" w:eastAsiaTheme="minorEastAsia" w:cstheme="minorEastAsia"/>
          <w:b/>
          <w:color w:val="auto"/>
          <w:highlight w:val="none"/>
        </w:rPr>
        <w:t>二、磋商书</w:t>
      </w:r>
      <w:bookmarkEnd w:id="125"/>
      <w:bookmarkEnd w:id="126"/>
      <w:bookmarkEnd w:id="127"/>
      <w:bookmarkEnd w:id="128"/>
    </w:p>
    <w:p>
      <w:pPr>
        <w:pStyle w:val="20"/>
        <w:rPr>
          <w:rFonts w:asciiTheme="minorEastAsia" w:hAnsiTheme="minorEastAsia" w:eastAsiaTheme="minorEastAsia" w:cstheme="minorEastAsia"/>
          <w:b/>
          <w:color w:val="auto"/>
          <w:szCs w:val="21"/>
          <w:highlight w:val="none"/>
        </w:rPr>
      </w:pPr>
    </w:p>
    <w:p>
      <w:pPr>
        <w:autoSpaceDE w:val="0"/>
        <w:autoSpaceDN w:val="0"/>
        <w:adjustRightInd w:val="0"/>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bCs/>
          <w:color w:val="auto"/>
          <w:szCs w:val="21"/>
          <w:highlight w:val="none"/>
          <w:u w:val="single"/>
        </w:rPr>
        <w:t>（政府采购代理机构）：</w:t>
      </w:r>
    </w:p>
    <w:p>
      <w:pPr>
        <w:autoSpaceDE w:val="0"/>
        <w:autoSpaceDN w:val="0"/>
        <w:adjustRightInd w:val="0"/>
        <w:ind w:left="2" w:firstLine="462" w:firstLineChars="22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依据贵方（项目名称/项目编号）项目第</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包服务的磋商邀请，我方代表（姓名、职务）经正式授权并代表供应商（供应商的名称、地址）提交下述文件正本一份，副本</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份。</w:t>
      </w:r>
    </w:p>
    <w:p>
      <w:pPr>
        <w:numPr>
          <w:ilvl w:val="1"/>
          <w:numId w:val="39"/>
        </w:numPr>
        <w:tabs>
          <w:tab w:val="left" w:pos="840"/>
          <w:tab w:val="clear" w:pos="360"/>
        </w:tabs>
        <w:autoSpaceDE w:val="0"/>
        <w:autoSpaceDN w:val="0"/>
        <w:adjustRightInd w:val="0"/>
        <w:ind w:left="840" w:hanging="42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竞争性磋商响应文件；</w:t>
      </w:r>
    </w:p>
    <w:p>
      <w:pPr>
        <w:numPr>
          <w:ilvl w:val="1"/>
          <w:numId w:val="39"/>
        </w:numPr>
        <w:tabs>
          <w:tab w:val="left" w:pos="840"/>
          <w:tab w:val="clear" w:pos="360"/>
        </w:tabs>
        <w:autoSpaceDE w:val="0"/>
        <w:autoSpaceDN w:val="0"/>
        <w:adjustRightInd w:val="0"/>
        <w:ind w:left="840" w:hanging="42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资格证明文件；</w:t>
      </w:r>
    </w:p>
    <w:p>
      <w:pPr>
        <w:numPr>
          <w:ilvl w:val="1"/>
          <w:numId w:val="39"/>
        </w:numPr>
        <w:tabs>
          <w:tab w:val="left" w:pos="840"/>
          <w:tab w:val="clear" w:pos="360"/>
        </w:tabs>
        <w:autoSpaceDE w:val="0"/>
        <w:autoSpaceDN w:val="0"/>
        <w:adjustRightInd w:val="0"/>
        <w:ind w:left="840" w:hanging="42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按采购的规定递交</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元（人民币大写）的保证金（如有）。</w:t>
      </w:r>
    </w:p>
    <w:p>
      <w:pPr>
        <w:autoSpaceDE w:val="0"/>
        <w:autoSpaceDN w:val="0"/>
        <w:adjustRightInd w:val="0"/>
        <w:ind w:firstLine="422" w:firstLineChars="200"/>
        <w:rPr>
          <w:rFonts w:asciiTheme="minorEastAsia" w:hAnsiTheme="minorEastAsia" w:eastAsiaTheme="minorEastAsia" w:cstheme="minorEastAsia"/>
          <w:b/>
          <w:bCs/>
          <w:color w:val="auto"/>
          <w:kern w:val="0"/>
          <w:szCs w:val="21"/>
          <w:highlight w:val="none"/>
        </w:rPr>
      </w:pPr>
      <w:r>
        <w:rPr>
          <w:rFonts w:hint="eastAsia" w:asciiTheme="minorEastAsia" w:hAnsiTheme="minorEastAsia" w:eastAsiaTheme="minorEastAsia" w:cstheme="minorEastAsia"/>
          <w:b/>
          <w:bCs/>
          <w:color w:val="auto"/>
          <w:kern w:val="0"/>
          <w:szCs w:val="21"/>
          <w:highlight w:val="none"/>
        </w:rPr>
        <w:t>并进行如下承诺声明：</w:t>
      </w:r>
    </w:p>
    <w:p>
      <w:pPr>
        <w:numPr>
          <w:ilvl w:val="0"/>
          <w:numId w:val="40"/>
        </w:numPr>
        <w:tabs>
          <w:tab w:val="left" w:pos="840"/>
        </w:tabs>
        <w:autoSpaceDE w:val="0"/>
        <w:autoSpaceDN w:val="0"/>
        <w:adjustRightInd w:val="0"/>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lang w:val="zh-CN"/>
        </w:rPr>
        <w:t>我公司在参加本次政府采购活动前</w:t>
      </w:r>
      <w:r>
        <w:rPr>
          <w:rFonts w:hint="eastAsia" w:asciiTheme="minorEastAsia" w:hAnsiTheme="minorEastAsia" w:eastAsiaTheme="minorEastAsia" w:cstheme="minorEastAsia"/>
          <w:color w:val="auto"/>
          <w:kern w:val="0"/>
          <w:szCs w:val="21"/>
          <w:highlight w:val="none"/>
        </w:rPr>
        <w:t>3年内在经营活动中没有重大违法记录；</w:t>
      </w:r>
    </w:p>
    <w:p>
      <w:pPr>
        <w:numPr>
          <w:ilvl w:val="0"/>
          <w:numId w:val="40"/>
        </w:numPr>
        <w:tabs>
          <w:tab w:val="left" w:pos="840"/>
        </w:tabs>
        <w:autoSpaceDE w:val="0"/>
        <w:autoSpaceDN w:val="0"/>
        <w:adjustRightInd w:val="0"/>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我公司在本响应文件中所提供的全部资格证明文件均真实有效，我方承诺对其真实性负责并承担相应后果；</w:t>
      </w:r>
    </w:p>
    <w:p>
      <w:pPr>
        <w:numPr>
          <w:ilvl w:val="0"/>
          <w:numId w:val="40"/>
        </w:numPr>
        <w:tabs>
          <w:tab w:val="left" w:pos="840"/>
        </w:tabs>
        <w:autoSpaceDE w:val="0"/>
        <w:autoSpaceDN w:val="0"/>
        <w:adjustRightInd w:val="0"/>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我公司在本响应文件中所响应的内容均将成为签订合同的依据，并承诺按响应内容提供相应服务；</w:t>
      </w:r>
    </w:p>
    <w:p>
      <w:pPr>
        <w:numPr>
          <w:ilvl w:val="0"/>
          <w:numId w:val="40"/>
        </w:numPr>
        <w:tabs>
          <w:tab w:val="left" w:pos="840"/>
        </w:tabs>
        <w:autoSpaceDE w:val="0"/>
        <w:autoSpaceDN w:val="0"/>
        <w:adjustRightInd w:val="0"/>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Cs w:val="21"/>
          <w:highlight w:val="none"/>
        </w:rPr>
        <w:t>重要声明：</w:t>
      </w:r>
    </w:p>
    <w:p>
      <w:pPr>
        <w:tabs>
          <w:tab w:val="left" w:pos="840"/>
        </w:tabs>
        <w:autoSpaceDE w:val="0"/>
        <w:autoSpaceDN w:val="0"/>
        <w:adjustRightInd w:val="0"/>
        <w:ind w:left="420" w:left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Cs w:val="21"/>
          <w:highlight w:val="none"/>
        </w:rPr>
        <w:t>4.1</w:t>
      </w:r>
      <w:r>
        <w:rPr>
          <w:rFonts w:hint="eastAsia" w:asciiTheme="minorEastAsia" w:hAnsiTheme="minorEastAsia" w:eastAsiaTheme="minorEastAsia" w:cstheme="minorEastAsia"/>
          <w:color w:val="auto"/>
          <w:highlight w:val="none"/>
        </w:rPr>
        <w:t>与我方单位负责人为同一人的其他单位名称：□无；□有，具体单位名称为：</w:t>
      </w:r>
      <w:r>
        <w:rPr>
          <w:rFonts w:hint="eastAsia" w:asciiTheme="minorEastAsia" w:hAnsiTheme="minorEastAsia" w:eastAsiaTheme="minorEastAsia" w:cstheme="minorEastAsia"/>
          <w:color w:val="auto"/>
          <w:highlight w:val="none"/>
          <w:u w:val="single"/>
        </w:rPr>
        <w:t>     </w:t>
      </w:r>
      <w:r>
        <w:rPr>
          <w:rFonts w:hint="eastAsia" w:asciiTheme="minorEastAsia" w:hAnsiTheme="minorEastAsia" w:eastAsiaTheme="minorEastAsia" w:cstheme="minorEastAsia"/>
          <w:color w:val="auto"/>
          <w:highlight w:val="none"/>
        </w:rPr>
        <w:t xml:space="preserve">      </w:t>
      </w:r>
    </w:p>
    <w:p>
      <w:pPr>
        <w:tabs>
          <w:tab w:val="left" w:pos="840"/>
        </w:tabs>
        <w:autoSpaceDE w:val="0"/>
        <w:autoSpaceDN w:val="0"/>
        <w:adjustRightInd w:val="0"/>
        <w:ind w:left="420" w:left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4.2与我方存在控股、管理关系的其他单位的名称：□无；□有，具体单位名称为：</w:t>
      </w:r>
      <w:r>
        <w:rPr>
          <w:rFonts w:hint="eastAsia" w:asciiTheme="minorEastAsia" w:hAnsiTheme="minorEastAsia" w:eastAsiaTheme="minorEastAsia" w:cstheme="minorEastAsia"/>
          <w:color w:val="auto"/>
          <w:highlight w:val="none"/>
          <w:u w:val="single"/>
        </w:rPr>
        <w:t>     </w:t>
      </w:r>
    </w:p>
    <w:p>
      <w:pPr>
        <w:tabs>
          <w:tab w:val="left" w:pos="840"/>
        </w:tabs>
        <w:autoSpaceDE w:val="0"/>
        <w:autoSpaceDN w:val="0"/>
        <w:adjustRightInd w:val="0"/>
        <w:ind w:left="420" w:left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color w:val="auto"/>
          <w:highlight w:val="none"/>
          <w:u w:val="single"/>
        </w:rPr>
        <w:t>     </w:t>
      </w:r>
    </w:p>
    <w:p>
      <w:pPr>
        <w:rPr>
          <w:color w:val="auto"/>
          <w:highlight w:val="none"/>
        </w:rPr>
      </w:pPr>
      <w:r>
        <w:rPr>
          <w:rFonts w:hint="eastAsia" w:asciiTheme="minorEastAsia" w:hAnsiTheme="minorEastAsia" w:eastAsiaTheme="minorEastAsia" w:cstheme="minorEastAsia"/>
          <w:b/>
          <w:bCs/>
          <w:color w:val="auto"/>
          <w:highlight w:val="none"/>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在此，我方宣布同意如下：</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所附《报价一览表》中规定的应提交和交付的货物报价总价为</w:t>
      </w:r>
      <w:r>
        <w:rPr>
          <w:rFonts w:hint="eastAsia" w:asciiTheme="minorEastAsia" w:hAnsiTheme="minorEastAsia" w:eastAsiaTheme="minorEastAsia" w:cstheme="minorEastAsia"/>
          <w:color w:val="auto"/>
          <w:kern w:val="0"/>
          <w:szCs w:val="21"/>
          <w:highlight w:val="none"/>
          <w:u w:val="single"/>
        </w:rPr>
        <w:t>（注明币种，并用文字和数字表示的报价总价）</w:t>
      </w:r>
      <w:r>
        <w:rPr>
          <w:rFonts w:hint="eastAsia" w:asciiTheme="minorEastAsia" w:hAnsiTheme="minorEastAsia" w:eastAsiaTheme="minorEastAsia" w:cstheme="minorEastAsia"/>
          <w:color w:val="auto"/>
          <w:kern w:val="0"/>
          <w:szCs w:val="21"/>
          <w:highlight w:val="none"/>
        </w:rPr>
        <w:t>。</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将按竞争性磋商采购文件的约定履行合同责任和义务。</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已详细审查全部竞争性磋商采购文件，包括</w:t>
      </w:r>
      <w:r>
        <w:rPr>
          <w:rFonts w:hint="eastAsia" w:asciiTheme="minorEastAsia" w:hAnsiTheme="minorEastAsia" w:eastAsiaTheme="minorEastAsia" w:cstheme="minorEastAsia"/>
          <w:color w:val="auto"/>
          <w:kern w:val="0"/>
          <w:szCs w:val="21"/>
          <w:highlight w:val="none"/>
          <w:u w:val="single"/>
        </w:rPr>
        <w:t>（补充文件等）</w:t>
      </w:r>
      <w:r>
        <w:rPr>
          <w:rFonts w:hint="eastAsia" w:asciiTheme="minorEastAsia" w:hAnsiTheme="minorEastAsia" w:eastAsiaTheme="minorEastAsia" w:cstheme="minorEastAsia"/>
          <w:color w:val="auto"/>
          <w:kern w:val="0"/>
          <w:szCs w:val="21"/>
          <w:highlight w:val="none"/>
        </w:rPr>
        <w:t>，对此无异议。</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本竞争性磋商响应文件的有效期自磋商截止时间起共</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日历天。</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接收竞争性磋商采购文件中关于没收保证金的约定。</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同意提供按照贵方可能要求的与其报价有关的一切数据或资料。</w:t>
      </w:r>
    </w:p>
    <w:p>
      <w:pPr>
        <w:numPr>
          <w:ilvl w:val="6"/>
          <w:numId w:val="41"/>
        </w:numPr>
        <w:tabs>
          <w:tab w:val="left" w:pos="840"/>
        </w:tabs>
        <w:autoSpaceDE w:val="0"/>
        <w:autoSpaceDN w:val="0"/>
        <w:adjustRightInd w:val="0"/>
        <w:ind w:left="0"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与本报价有关的一切正式往来信函请寄：</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w:t>
      </w:r>
      <w:r>
        <w:rPr>
          <w:rFonts w:hint="eastAsia" w:asciiTheme="minorEastAsia" w:hAnsiTheme="minorEastAsia" w:eastAsiaTheme="minorEastAsia" w:cstheme="minorEastAsia"/>
          <w:color w:val="auto"/>
          <w:kern w:val="0"/>
          <w:szCs w:val="21"/>
          <w:highlight w:val="none"/>
        </w:rPr>
        <w:br w:type="textWrapping"/>
      </w:r>
      <w:r>
        <w:rPr>
          <w:rFonts w:hint="eastAsia" w:asciiTheme="minorEastAsia" w:hAnsiTheme="minorEastAsia" w:eastAsiaTheme="minorEastAsia" w:cstheme="minorEastAsia"/>
          <w:color w:val="auto"/>
          <w:kern w:val="0"/>
          <w:szCs w:val="21"/>
          <w:highlight w:val="none"/>
        </w:rPr>
        <w:t xml:space="preserve">    8.  我公司若有幸成为本项目的成交供应商，则我公司承诺按照采购文件及成交结果公告规定的方式、时间和金额向采购代理机构交纳成交服务费。</w:t>
      </w:r>
    </w:p>
    <w:p>
      <w:pPr>
        <w:autoSpaceDE w:val="0"/>
        <w:autoSpaceDN w:val="0"/>
        <w:adjustRightInd w:val="0"/>
        <w:ind w:firstLine="420" w:firstLineChars="200"/>
        <w:jc w:val="left"/>
        <w:rPr>
          <w:rFonts w:asciiTheme="minorEastAsia" w:hAnsiTheme="minorEastAsia" w:eastAsiaTheme="minorEastAsia" w:cstheme="minorEastAsia"/>
          <w:color w:val="auto"/>
          <w:kern w:val="0"/>
          <w:szCs w:val="21"/>
          <w:highlight w:val="none"/>
        </w:rPr>
      </w:pPr>
    </w:p>
    <w:p>
      <w:pPr>
        <w:autoSpaceDE w:val="0"/>
        <w:autoSpaceDN w:val="0"/>
        <w:adjustRightInd w:val="0"/>
        <w:ind w:firstLine="420" w:firstLineChars="200"/>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供    应    商：（盖章）</w:t>
      </w:r>
    </w:p>
    <w:p>
      <w:pPr>
        <w:autoSpaceDE w:val="0"/>
        <w:autoSpaceDN w:val="0"/>
        <w:adjustRightInd w:val="0"/>
        <w:ind w:firstLine="420" w:firstLineChars="200"/>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法定代表人（签字或盖章）：</w:t>
      </w:r>
    </w:p>
    <w:p>
      <w:pPr>
        <w:autoSpaceDE w:val="0"/>
        <w:autoSpaceDN w:val="0"/>
        <w:adjustRightInd w:val="0"/>
        <w:ind w:firstLine="420" w:firstLineChars="200"/>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通  讯  地  址：</w:t>
      </w:r>
    </w:p>
    <w:p>
      <w:pPr>
        <w:autoSpaceDE w:val="0"/>
        <w:autoSpaceDN w:val="0"/>
        <w:adjustRightInd w:val="0"/>
        <w:ind w:firstLine="420" w:firstLineChars="200"/>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传        　真：</w:t>
      </w:r>
    </w:p>
    <w:p>
      <w:pPr>
        <w:autoSpaceDE w:val="0"/>
        <w:autoSpaceDN w:val="0"/>
        <w:adjustRightInd w:val="0"/>
        <w:ind w:firstLine="420" w:firstLineChars="200"/>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电          话：</w:t>
      </w:r>
    </w:p>
    <w:p>
      <w:pPr>
        <w:autoSpaceDE w:val="0"/>
        <w:autoSpaceDN w:val="0"/>
        <w:adjustRightInd w:val="0"/>
        <w:ind w:firstLine="420" w:firstLineChars="200"/>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电  子  函  件：</w:t>
      </w:r>
    </w:p>
    <w:p>
      <w:pPr>
        <w:autoSpaceDE w:val="0"/>
        <w:autoSpaceDN w:val="0"/>
        <w:adjustRightInd w:val="0"/>
        <w:ind w:firstLine="420" w:firstLineChars="200"/>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授权代表（签字）：</w:t>
      </w:r>
    </w:p>
    <w:p>
      <w:pPr>
        <w:autoSpaceDE w:val="0"/>
        <w:autoSpaceDN w:val="0"/>
        <w:adjustRightInd w:val="0"/>
        <w:ind w:firstLine="420" w:firstLineChars="200"/>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日         期：</w:t>
      </w:r>
    </w:p>
    <w:p>
      <w:pPr>
        <w:tabs>
          <w:tab w:val="left" w:pos="540"/>
        </w:tabs>
        <w:autoSpaceDE w:val="0"/>
        <w:autoSpaceDN w:val="0"/>
        <w:adjustRightInd w:val="0"/>
        <w:jc w:val="center"/>
        <w:outlineLvl w:val="1"/>
        <w:rPr>
          <w:rFonts w:asciiTheme="minorEastAsia" w:hAnsiTheme="minorEastAsia" w:eastAsiaTheme="minorEastAsia" w:cstheme="minorEastAsia"/>
          <w:b/>
          <w:color w:val="auto"/>
          <w:highlight w:val="none"/>
        </w:rPr>
      </w:pPr>
      <w:bookmarkStart w:id="129" w:name="_Toc24205"/>
      <w:bookmarkStart w:id="130" w:name="_Toc13969"/>
      <w:bookmarkStart w:id="131" w:name="_Toc31434"/>
      <w:bookmarkStart w:id="132" w:name="_Toc479184126"/>
      <w:r>
        <w:rPr>
          <w:rFonts w:hint="eastAsia" w:asciiTheme="minorEastAsia" w:hAnsiTheme="minorEastAsia" w:eastAsiaTheme="minorEastAsia" w:cstheme="minorEastAsia"/>
          <w:b/>
          <w:color w:val="auto"/>
          <w:highlight w:val="none"/>
        </w:rPr>
        <w:br w:type="textWrapping"/>
      </w:r>
      <w:r>
        <w:rPr>
          <w:rFonts w:hint="eastAsia" w:asciiTheme="minorEastAsia" w:hAnsiTheme="minorEastAsia" w:eastAsiaTheme="minorEastAsia" w:cstheme="minorEastAsia"/>
          <w:b/>
          <w:color w:val="auto"/>
          <w:highlight w:val="none"/>
        </w:rPr>
        <w:t>三、法定代表人授权书</w:t>
      </w:r>
      <w:bookmarkEnd w:id="129"/>
      <w:bookmarkEnd w:id="130"/>
      <w:bookmarkEnd w:id="131"/>
      <w:bookmarkEnd w:id="132"/>
    </w:p>
    <w:p>
      <w:pPr>
        <w:rPr>
          <w:rFonts w:asciiTheme="minorEastAsia" w:hAnsiTheme="minorEastAsia" w:eastAsiaTheme="minorEastAsia" w:cstheme="minorEastAsia"/>
          <w:color w:val="auto"/>
          <w:kern w:val="0"/>
          <w:szCs w:val="21"/>
          <w:highlight w:val="none"/>
        </w:rPr>
      </w:pPr>
    </w:p>
    <w:p>
      <w:pPr>
        <w:rPr>
          <w:rFonts w:asciiTheme="minorEastAsia" w:hAnsiTheme="minorEastAsia" w:eastAsiaTheme="minorEastAsia" w:cstheme="minorEastAsia"/>
          <w:color w:val="auto"/>
          <w:kern w:val="0"/>
          <w:szCs w:val="21"/>
          <w:highlight w:val="none"/>
        </w:rPr>
      </w:pPr>
    </w:p>
    <w:p>
      <w:pPr>
        <w:autoSpaceDE w:val="0"/>
        <w:autoSpaceDN w:val="0"/>
        <w:adjustRightInd w:val="0"/>
        <w:spacing w:line="360" w:lineRule="auto"/>
        <w:ind w:firstLine="697"/>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兹授权</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同志为我公司参加贵单位组织的</w:t>
      </w:r>
      <w:r>
        <w:rPr>
          <w:rFonts w:hint="eastAsia" w:asciiTheme="minorEastAsia" w:hAnsiTheme="minorEastAsia" w:eastAsiaTheme="minorEastAsia" w:cstheme="minorEastAsia"/>
          <w:color w:val="auto"/>
          <w:kern w:val="0"/>
          <w:szCs w:val="21"/>
          <w:highlight w:val="none"/>
          <w:u w:val="single"/>
        </w:rPr>
        <w:t>（项目名称）</w:t>
      </w:r>
      <w:r>
        <w:rPr>
          <w:rFonts w:hint="eastAsia" w:asciiTheme="minorEastAsia" w:hAnsiTheme="minorEastAsia" w:eastAsiaTheme="minorEastAsia" w:cstheme="minorEastAsia"/>
          <w:color w:val="auto"/>
          <w:kern w:val="0"/>
          <w:szCs w:val="21"/>
          <w:highlight w:val="none"/>
        </w:rPr>
        <w:t>采购活动的供应商代表人（磋商代表），全权代表我公司处理在该项目采购活动中的一切事宜。代理期限从</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 xml:space="preserve">年 </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月</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日起至</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 xml:space="preserve">年 </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月</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日止。</w:t>
      </w:r>
    </w:p>
    <w:p>
      <w:pPr>
        <w:autoSpaceDE w:val="0"/>
        <w:autoSpaceDN w:val="0"/>
        <w:adjustRightInd w:val="0"/>
        <w:spacing w:line="360" w:lineRule="auto"/>
        <w:ind w:firstLine="697"/>
        <w:jc w:val="left"/>
        <w:rPr>
          <w:rFonts w:asciiTheme="minorEastAsia" w:hAnsiTheme="minorEastAsia" w:eastAsiaTheme="minorEastAsia" w:cstheme="minorEastAsia"/>
          <w:color w:val="auto"/>
          <w:kern w:val="0"/>
          <w:szCs w:val="21"/>
          <w:highlight w:val="none"/>
        </w:rPr>
      </w:pPr>
    </w:p>
    <w:p>
      <w:pPr>
        <w:autoSpaceDE w:val="0"/>
        <w:autoSpaceDN w:val="0"/>
        <w:adjustRightInd w:val="0"/>
        <w:spacing w:line="360" w:lineRule="auto"/>
        <w:ind w:firstLine="697"/>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授权单位（盖章）：</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法定代表人（签字或盖章）：</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签发日期：</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 xml:space="preserve">年 </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月</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 xml:space="preserve">日         </w:t>
      </w:r>
    </w:p>
    <w:p>
      <w:pPr>
        <w:autoSpaceDE w:val="0"/>
        <w:autoSpaceDN w:val="0"/>
        <w:adjustRightInd w:val="0"/>
        <w:spacing w:line="360" w:lineRule="auto"/>
        <w:ind w:firstLine="697"/>
        <w:jc w:val="left"/>
        <w:rPr>
          <w:rFonts w:asciiTheme="minorEastAsia" w:hAnsiTheme="minorEastAsia" w:eastAsiaTheme="minorEastAsia" w:cstheme="minorEastAsia"/>
          <w:color w:val="auto"/>
          <w:kern w:val="0"/>
          <w:szCs w:val="21"/>
          <w:highlight w:val="none"/>
        </w:rPr>
      </w:pPr>
    </w:p>
    <w:p>
      <w:pPr>
        <w:autoSpaceDE w:val="0"/>
        <w:autoSpaceDN w:val="0"/>
        <w:adjustRightInd w:val="0"/>
        <w:spacing w:line="360" w:lineRule="auto"/>
        <w:ind w:firstLine="697"/>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附：</w:t>
      </w:r>
      <w:r>
        <w:rPr>
          <w:rFonts w:hint="eastAsia" w:asciiTheme="minorEastAsia" w:hAnsiTheme="minorEastAsia" w:eastAsiaTheme="minorEastAsia" w:cstheme="minorEastAsia"/>
          <w:color w:val="auto"/>
          <w:kern w:val="0"/>
          <w:szCs w:val="21"/>
          <w:highlight w:val="none"/>
          <w:u w:val="single"/>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color w:val="auto"/>
          <w:kern w:val="0"/>
          <w:szCs w:val="21"/>
          <w:highlight w:val="none"/>
          <w:u w:val="single"/>
        </w:rPr>
      </w:pPr>
      <w:r>
        <w:rPr>
          <w:rFonts w:hint="eastAsia" w:asciiTheme="minorEastAsia" w:hAnsiTheme="minorEastAsia" w:eastAsiaTheme="minorEastAsia" w:cstheme="minorEastAsia"/>
          <w:color w:val="auto"/>
          <w:kern w:val="0"/>
          <w:szCs w:val="21"/>
          <w:highlight w:val="none"/>
        </w:rPr>
        <w:t>授权代表职务：</w:t>
      </w:r>
      <w:r>
        <w:rPr>
          <w:rFonts w:hint="eastAsia" w:asciiTheme="minorEastAsia" w:hAnsiTheme="minorEastAsia" w:eastAsiaTheme="minorEastAsia" w:cstheme="minorEastAsia"/>
          <w:color w:val="auto"/>
          <w:kern w:val="0"/>
          <w:szCs w:val="21"/>
          <w:highlight w:val="none"/>
          <w:u w:val="single"/>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性别：</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 xml:space="preserve">  </w:t>
      </w:r>
    </w:p>
    <w:p>
      <w:pPr>
        <w:autoSpaceDE w:val="0"/>
        <w:autoSpaceDN w:val="0"/>
        <w:adjustRightInd w:val="0"/>
        <w:spacing w:line="360" w:lineRule="auto"/>
        <w:ind w:firstLine="697"/>
        <w:jc w:val="left"/>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授权代表身份证号码：</w:t>
      </w:r>
      <w:r>
        <w:rPr>
          <w:rFonts w:hint="eastAsia" w:asciiTheme="minorEastAsia" w:hAnsiTheme="minorEastAsia" w:eastAsiaTheme="minorEastAsia" w:cstheme="minorEastAsia"/>
          <w:color w:val="auto"/>
          <w:kern w:val="0"/>
          <w:szCs w:val="21"/>
          <w:highlight w:val="none"/>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color w:val="auto"/>
                <w:highlight w:val="none"/>
              </w:rPr>
            </w:pPr>
            <w:r>
              <w:rPr>
                <w:rFonts w:hint="eastAsia"/>
                <w:color w:val="auto"/>
                <w:highlight w:val="none"/>
              </w:rPr>
              <w:t>授权代表身份证正反面（真彩扫描件）：</w:t>
            </w:r>
          </w:p>
          <w:p>
            <w:pPr>
              <w:autoSpaceDE w:val="0"/>
              <w:autoSpaceDN w:val="0"/>
              <w:adjustRightInd w:val="0"/>
              <w:spacing w:line="360" w:lineRule="auto"/>
              <w:jc w:val="left"/>
              <w:rPr>
                <w:color w:val="auto"/>
                <w:highlight w:val="none"/>
              </w:rPr>
            </w:pPr>
            <w:r>
              <w:rPr>
                <w:rFonts w:hint="eastAsia"/>
                <w:color w:val="auto"/>
                <w:highlight w:val="none"/>
              </w:rPr>
              <w:t>法定代表人身份证正反面（真彩扫描件）：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color w:val="auto"/>
                <w:highlight w:val="none"/>
              </w:rPr>
            </w:pPr>
            <w:r>
              <w:rPr>
                <w:rFonts w:hint="eastAsia"/>
                <w:b/>
                <w:bCs/>
                <w:color w:val="auto"/>
                <w:highlight w:val="none"/>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auto"/>
          <w:szCs w:val="21"/>
          <w:highlight w:val="none"/>
        </w:rPr>
      </w:pPr>
      <w:bookmarkStart w:id="133" w:name="_Toc479184127"/>
      <w:bookmarkStart w:id="134" w:name="_Toc29904"/>
      <w:bookmarkStart w:id="135" w:name="_Toc12123"/>
      <w:bookmarkStart w:id="136" w:name="_Toc30428"/>
      <w:bookmarkStart w:id="137" w:name="_Toc424832832"/>
      <w:bookmarkStart w:id="138" w:name="_Toc30245"/>
      <w:bookmarkStart w:id="139" w:name="_Toc432149008"/>
      <w:bookmarkStart w:id="140" w:name="_Toc360120184"/>
      <w:r>
        <w:rPr>
          <w:rFonts w:hint="eastAsia" w:asciiTheme="minorEastAsia" w:hAnsiTheme="minorEastAsia" w:eastAsiaTheme="minorEastAsia" w:cstheme="minorEastAsia"/>
          <w:b/>
          <w:bCs/>
          <w:color w:val="auto"/>
          <w:kern w:val="0"/>
          <w:szCs w:val="21"/>
          <w:highlight w:val="none"/>
        </w:rPr>
        <w:br w:type="textWrapping"/>
      </w:r>
      <w:r>
        <w:rPr>
          <w:rFonts w:hint="eastAsia" w:asciiTheme="minorEastAsia" w:hAnsiTheme="minorEastAsia" w:eastAsiaTheme="minorEastAsia" w:cstheme="minorEastAsia"/>
          <w:b/>
          <w:bCs/>
          <w:color w:val="auto"/>
          <w:kern w:val="0"/>
          <w:szCs w:val="21"/>
          <w:highlight w:val="none"/>
        </w:rPr>
        <w:br w:type="textWrapping"/>
      </w:r>
      <w:r>
        <w:rPr>
          <w:rFonts w:hint="eastAsia" w:asciiTheme="minorEastAsia" w:hAnsiTheme="minorEastAsia" w:eastAsiaTheme="minorEastAsia" w:cstheme="minorEastAsia"/>
          <w:b/>
          <w:bCs/>
          <w:color w:val="auto"/>
          <w:kern w:val="0"/>
          <w:szCs w:val="21"/>
          <w:highlight w:val="none"/>
        </w:rPr>
        <w:t>四、</w:t>
      </w:r>
      <w:r>
        <w:rPr>
          <w:rFonts w:hint="eastAsia" w:asciiTheme="minorEastAsia" w:hAnsiTheme="minorEastAsia" w:eastAsiaTheme="minorEastAsia" w:cstheme="minorEastAsia"/>
          <w:b/>
          <w:bCs/>
          <w:color w:val="auto"/>
          <w:szCs w:val="21"/>
          <w:highlight w:val="none"/>
        </w:rPr>
        <w:t>法定代表人身份证明书</w:t>
      </w:r>
      <w:bookmarkEnd w:id="133"/>
      <w:bookmarkEnd w:id="134"/>
      <w:bookmarkEnd w:id="135"/>
      <w:bookmarkEnd w:id="136"/>
      <w:bookmarkEnd w:id="137"/>
      <w:bookmarkEnd w:id="138"/>
      <w:bookmarkEnd w:id="139"/>
      <w:bookmarkEnd w:id="140"/>
    </w:p>
    <w:p>
      <w:pPr>
        <w:spacing w:line="360" w:lineRule="auto"/>
        <w:rPr>
          <w:rFonts w:asciiTheme="minorEastAsia" w:hAnsiTheme="minorEastAsia" w:eastAsiaTheme="minorEastAsia" w:cstheme="minorEastAsia"/>
          <w:color w:val="auto"/>
          <w:kern w:val="0"/>
          <w:szCs w:val="21"/>
          <w:highlight w:val="none"/>
        </w:rPr>
      </w:pPr>
    </w:p>
    <w:p>
      <w:pPr>
        <w:spacing w:line="360" w:lineRule="auto"/>
        <w:ind w:firstLine="630" w:firstLineChars="3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兹证明</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（姓名）</w:t>
      </w:r>
      <w:r>
        <w:rPr>
          <w:rFonts w:hint="eastAsia" w:asciiTheme="minorEastAsia" w:hAnsiTheme="minorEastAsia" w:eastAsiaTheme="minorEastAsia" w:cstheme="minorEastAsia"/>
          <w:color w:val="auto"/>
          <w:szCs w:val="21"/>
          <w:highlight w:val="none"/>
        </w:rPr>
        <w:t>在我单位任</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职务</w:t>
      </w:r>
      <w:r>
        <w:rPr>
          <w:rFonts w:hint="eastAsia" w:asciiTheme="minorEastAsia" w:hAnsiTheme="minorEastAsia" w:eastAsiaTheme="minorEastAsia" w:cstheme="minorEastAsia"/>
          <w:color w:val="auto"/>
          <w:kern w:val="0"/>
          <w:szCs w:val="21"/>
          <w:highlight w:val="none"/>
        </w:rPr>
        <w:t>，系</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（供应商）的法定代表人。</w:t>
      </w:r>
    </w:p>
    <w:p>
      <w:pPr>
        <w:spacing w:line="360" w:lineRule="auto"/>
        <w:ind w:firstLine="630" w:firstLineChars="300"/>
        <w:rPr>
          <w:rFonts w:asciiTheme="minorEastAsia" w:hAnsiTheme="minorEastAsia" w:eastAsiaTheme="minorEastAsia" w:cstheme="minorEastAsia"/>
          <w:color w:val="auto"/>
          <w:kern w:val="0"/>
          <w:szCs w:val="21"/>
          <w:highlight w:val="none"/>
        </w:rPr>
      </w:pPr>
    </w:p>
    <w:p>
      <w:pPr>
        <w:spacing w:line="360" w:lineRule="auto"/>
        <w:ind w:firstLine="630" w:firstLineChars="3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供应商（盖章）：</w:t>
      </w:r>
      <w:r>
        <w:rPr>
          <w:rFonts w:hint="eastAsia" w:asciiTheme="minorEastAsia" w:hAnsiTheme="minorEastAsia" w:eastAsiaTheme="minorEastAsia" w:cstheme="minorEastAsia"/>
          <w:color w:val="auto"/>
          <w:kern w:val="0"/>
          <w:szCs w:val="21"/>
          <w:highlight w:val="none"/>
          <w:u w:val="single"/>
        </w:rPr>
        <w:t xml:space="preserve">                             </w:t>
      </w:r>
    </w:p>
    <w:p>
      <w:pPr>
        <w:spacing w:line="360" w:lineRule="auto"/>
        <w:ind w:firstLine="630" w:firstLineChars="3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法定代表人（签字或盖章）：</w:t>
      </w:r>
      <w:r>
        <w:rPr>
          <w:rFonts w:hint="eastAsia" w:asciiTheme="minorEastAsia" w:hAnsiTheme="minorEastAsia" w:eastAsiaTheme="minorEastAsia" w:cstheme="minorEastAsia"/>
          <w:color w:val="auto"/>
          <w:kern w:val="0"/>
          <w:szCs w:val="21"/>
          <w:highlight w:val="none"/>
          <w:u w:val="single"/>
        </w:rPr>
        <w:t xml:space="preserve">                         </w:t>
      </w:r>
    </w:p>
    <w:p>
      <w:pPr>
        <w:spacing w:line="360" w:lineRule="auto"/>
        <w:ind w:firstLine="630" w:firstLineChars="3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性别：</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年龄：</w:t>
      </w:r>
      <w:r>
        <w:rPr>
          <w:rFonts w:hint="eastAsia" w:asciiTheme="minorEastAsia" w:hAnsiTheme="minorEastAsia" w:eastAsiaTheme="minorEastAsia" w:cstheme="minorEastAsia"/>
          <w:color w:val="auto"/>
          <w:kern w:val="0"/>
          <w:szCs w:val="21"/>
          <w:highlight w:val="none"/>
          <w:u w:val="single"/>
        </w:rPr>
        <w:t xml:space="preserve">        </w:t>
      </w:r>
    </w:p>
    <w:p>
      <w:pPr>
        <w:spacing w:line="360" w:lineRule="auto"/>
        <w:ind w:firstLine="630" w:firstLineChars="3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身份证号码：</w:t>
      </w:r>
      <w:r>
        <w:rPr>
          <w:rFonts w:hint="eastAsia" w:asciiTheme="minorEastAsia" w:hAnsiTheme="minorEastAsia" w:eastAsiaTheme="minorEastAsia" w:cstheme="minorEastAsia"/>
          <w:color w:val="auto"/>
          <w:kern w:val="0"/>
          <w:szCs w:val="21"/>
          <w:highlight w:val="none"/>
          <w:u w:val="single"/>
        </w:rPr>
        <w:t xml:space="preserve">                  </w:t>
      </w:r>
    </w:p>
    <w:p>
      <w:pPr>
        <w:spacing w:line="360" w:lineRule="auto"/>
        <w:ind w:firstLine="5985" w:firstLineChars="285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年</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月</w:t>
      </w:r>
      <w:r>
        <w:rPr>
          <w:rFonts w:hint="eastAsia" w:asciiTheme="minorEastAsia" w:hAnsiTheme="minorEastAsia" w:eastAsiaTheme="minorEastAsia" w:cstheme="minorEastAsia"/>
          <w:color w:val="auto"/>
          <w:kern w:val="0"/>
          <w:szCs w:val="21"/>
          <w:highlight w:val="none"/>
          <w:u w:val="single"/>
        </w:rPr>
        <w:t xml:space="preserve">    </w:t>
      </w:r>
      <w:r>
        <w:rPr>
          <w:rFonts w:hint="eastAsia" w:asciiTheme="minorEastAsia" w:hAnsiTheme="minorEastAsia" w:eastAsiaTheme="minorEastAsia" w:cstheme="minorEastAsia"/>
          <w:color w:val="auto"/>
          <w:kern w:val="0"/>
          <w:szCs w:val="21"/>
          <w:highlight w:val="none"/>
        </w:rPr>
        <w:t>日</w:t>
      </w:r>
    </w:p>
    <w:p>
      <w:pPr>
        <w:autoSpaceDE w:val="0"/>
        <w:autoSpaceDN w:val="0"/>
        <w:adjustRightInd w:val="0"/>
        <w:spacing w:line="360" w:lineRule="auto"/>
        <w:rPr>
          <w:rFonts w:asciiTheme="minorEastAsia" w:hAnsiTheme="minorEastAsia" w:eastAsiaTheme="minorEastAsia" w:cstheme="minorEastAsia"/>
          <w:color w:val="auto"/>
          <w:kern w:val="0"/>
          <w:szCs w:val="21"/>
          <w:highlight w:val="none"/>
        </w:rPr>
      </w:pPr>
    </w:p>
    <w:p>
      <w:pPr>
        <w:autoSpaceDE w:val="0"/>
        <w:autoSpaceDN w:val="0"/>
        <w:adjustRightInd w:val="0"/>
        <w:spacing w:line="360" w:lineRule="auto"/>
        <w:rPr>
          <w:rFonts w:asciiTheme="minorEastAsia" w:hAnsiTheme="minorEastAsia" w:eastAsiaTheme="minorEastAsia" w:cstheme="minorEastAsia"/>
          <w:color w:val="auto"/>
          <w:kern w:val="0"/>
          <w:szCs w:val="21"/>
          <w:highlight w:val="none"/>
        </w:rPr>
      </w:pPr>
    </w:p>
    <w:p>
      <w:pPr>
        <w:autoSpaceDE w:val="0"/>
        <w:autoSpaceDN w:val="0"/>
        <w:adjustRightInd w:val="0"/>
        <w:spacing w:line="360" w:lineRule="auto"/>
        <w:rPr>
          <w:rFonts w:asciiTheme="minorEastAsia" w:hAnsiTheme="minorEastAsia" w:eastAsiaTheme="minorEastAsia" w:cstheme="minorEastAsia"/>
          <w:color w:val="auto"/>
          <w:kern w:val="0"/>
          <w:szCs w:val="21"/>
          <w:highlight w:val="none"/>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asciiTheme="minorEastAsia" w:hAnsiTheme="minorEastAsia" w:eastAsiaTheme="minorEastAsia" w:cstheme="minorEastAsia"/>
                <w:color w:val="auto"/>
                <w:kern w:val="0"/>
                <w:szCs w:val="21"/>
                <w:highlight w:val="none"/>
              </w:rPr>
            </w:pPr>
          </w:p>
          <w:p>
            <w:pPr>
              <w:spacing w:line="360" w:lineRule="auto"/>
              <w:rPr>
                <w:rFonts w:asciiTheme="minorEastAsia" w:hAnsiTheme="minorEastAsia" w:eastAsiaTheme="minorEastAsia" w:cstheme="minorEastAsia"/>
                <w:color w:val="auto"/>
                <w:kern w:val="0"/>
                <w:szCs w:val="21"/>
                <w:highlight w:val="none"/>
              </w:rPr>
            </w:pPr>
            <w:r>
              <w:rPr>
                <w:rFonts w:hint="eastAsia"/>
                <w:color w:val="auto"/>
                <w:highlight w:val="none"/>
              </w:rPr>
              <w:t>法定代表人身份证正反面（真彩扫描件）：</w:t>
            </w:r>
          </w:p>
        </w:tc>
      </w:tr>
    </w:tbl>
    <w:p>
      <w:pPr>
        <w:spacing w:line="360" w:lineRule="auto"/>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注：本表适用于供应商不授权代理人，而由法定代表人直接参加磋商并签署响应文件的情况；</w:t>
      </w:r>
    </w:p>
    <w:p>
      <w:pPr>
        <w:rPr>
          <w:rFonts w:asciiTheme="minorEastAsia" w:hAnsiTheme="minorEastAsia" w:eastAsiaTheme="minorEastAsia" w:cstheme="minorEastAsia"/>
          <w:b/>
          <w:color w:val="auto"/>
          <w:kern w:val="0"/>
          <w:szCs w:val="21"/>
          <w:highlight w:val="none"/>
        </w:rPr>
      </w:pPr>
    </w:p>
    <w:p>
      <w:pPr>
        <w:spacing w:line="360" w:lineRule="auto"/>
        <w:rPr>
          <w:rFonts w:asciiTheme="minorEastAsia" w:hAnsiTheme="minorEastAsia" w:eastAsiaTheme="minorEastAsia" w:cstheme="minorEastAsia"/>
          <w:color w:val="auto"/>
          <w:szCs w:val="21"/>
          <w:highlight w:val="none"/>
        </w:rPr>
      </w:pPr>
    </w:p>
    <w:p>
      <w:pPr>
        <w:spacing w:line="360" w:lineRule="auto"/>
        <w:rPr>
          <w:rFonts w:asciiTheme="minorEastAsia" w:hAnsiTheme="minorEastAsia" w:eastAsiaTheme="minorEastAsia" w:cstheme="minorEastAsia"/>
          <w:bCs/>
          <w:color w:val="auto"/>
          <w:szCs w:val="21"/>
          <w:highlight w:val="none"/>
        </w:rPr>
      </w:pPr>
    </w:p>
    <w:p>
      <w:pPr>
        <w:tabs>
          <w:tab w:val="left" w:pos="3969"/>
        </w:tabs>
        <w:spacing w:line="500" w:lineRule="exact"/>
        <w:rPr>
          <w:rFonts w:asciiTheme="minorEastAsia" w:hAnsiTheme="minorEastAsia" w:eastAsiaTheme="minorEastAsia" w:cstheme="minorEastAsia"/>
          <w:color w:val="auto"/>
          <w:szCs w:val="21"/>
          <w:highlight w:val="none"/>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auto"/>
          <w:szCs w:val="21"/>
          <w:highlight w:val="none"/>
        </w:rPr>
      </w:pPr>
      <w:bookmarkStart w:id="141" w:name="_Toc432149006"/>
      <w:bookmarkStart w:id="142" w:name="_Toc422466732"/>
      <w:r>
        <w:rPr>
          <w:rFonts w:hint="eastAsia" w:asciiTheme="minorEastAsia" w:hAnsiTheme="minorEastAsia" w:eastAsiaTheme="minorEastAsia" w:cstheme="minorEastAsia"/>
          <w:b/>
          <w:bCs/>
          <w:color w:val="auto"/>
          <w:sz w:val="24"/>
          <w:highlight w:val="none"/>
        </w:rPr>
        <w:br w:type="page"/>
      </w:r>
      <w:bookmarkStart w:id="143" w:name="_Toc4301"/>
      <w:bookmarkStart w:id="144" w:name="_Toc17074"/>
      <w:bookmarkStart w:id="145" w:name="_Toc479184128"/>
      <w:bookmarkStart w:id="146" w:name="_Toc4741"/>
      <w:r>
        <w:rPr>
          <w:rFonts w:hint="eastAsia" w:asciiTheme="minorEastAsia" w:hAnsiTheme="minorEastAsia" w:eastAsiaTheme="minorEastAsia" w:cstheme="minorEastAsia"/>
          <w:b/>
          <w:bCs/>
          <w:color w:val="auto"/>
          <w:szCs w:val="21"/>
          <w:highlight w:val="none"/>
        </w:rPr>
        <w:t>五、报价一览表</w:t>
      </w:r>
      <w:bookmarkEnd w:id="141"/>
      <w:bookmarkEnd w:id="142"/>
      <w:bookmarkEnd w:id="143"/>
      <w:bookmarkEnd w:id="144"/>
      <w:bookmarkEnd w:id="145"/>
      <w:bookmarkEnd w:id="146"/>
    </w:p>
    <w:p>
      <w:pPr>
        <w:adjustRightInd w:val="0"/>
        <w:snapToGrid w:val="0"/>
        <w:ind w:left="-88" w:leftChars="-42"/>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highlight w:val="none"/>
        </w:rPr>
        <w:t xml:space="preserve">            </w:t>
      </w:r>
    </w:p>
    <w:p>
      <w:pPr>
        <w:adjustRightInd w:val="0"/>
        <w:snapToGrid w:val="0"/>
        <w:spacing w:line="360" w:lineRule="auto"/>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项目名称：</w:t>
      </w:r>
      <w:r>
        <w:rPr>
          <w:rFonts w:hint="eastAsia" w:asciiTheme="minorEastAsia" w:hAnsiTheme="minorEastAsia" w:eastAsiaTheme="minorEastAsia" w:cstheme="minorEastAsia"/>
          <w:color w:val="auto"/>
          <w:szCs w:val="21"/>
          <w:highlight w:val="none"/>
          <w:u w:val="single"/>
        </w:rPr>
        <w:t xml:space="preserve">                         </w:t>
      </w:r>
    </w:p>
    <w:p>
      <w:pPr>
        <w:adjustRightInd w:val="0"/>
        <w:snapToGrid w:val="0"/>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项目编号：</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highlight w:val="none"/>
              </w:rPr>
            </w:pPr>
            <w:r>
              <w:rPr>
                <w:rFonts w:hint="eastAsia" w:ascii="宋体" w:hAnsi="宋体"/>
                <w:color w:val="auto"/>
                <w:szCs w:val="21"/>
                <w:highlight w:val="none"/>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rPr>
              <w:t>竞标报价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eastAsiaTheme="minorEastAsia"/>
                <w:color w:val="auto"/>
                <w:highlight w:val="none"/>
                <w:lang w:eastAsia="zh-CN"/>
              </w:rPr>
            </w:pPr>
            <w:r>
              <w:rPr>
                <w:rFonts w:hint="eastAsia"/>
                <w:color w:val="auto"/>
                <w:highlight w:val="none"/>
              </w:rPr>
              <w:t xml:space="preserve">大写：      </w:t>
            </w:r>
            <w:r>
              <w:rPr>
                <w:rFonts w:hint="eastAsia"/>
                <w:color w:val="auto"/>
                <w:highlight w:val="none"/>
              </w:rPr>
              <w:br w:type="textWrapping"/>
            </w:r>
            <w:r>
              <w:rPr>
                <w:rFonts w:hint="eastAsia"/>
                <w:color w:val="auto"/>
                <w:highlight w:val="none"/>
              </w:rPr>
              <w:t>小写：</w:t>
            </w:r>
            <w:r>
              <w:rPr>
                <w:rFonts w:hint="eastAsia"/>
                <w:color w:val="auto"/>
                <w:highlight w:val="none"/>
                <w:u w:val="single"/>
              </w:rPr>
              <w:t xml:space="preserve">      </w:t>
            </w:r>
            <w:r>
              <w:rPr>
                <w:rFonts w:hint="eastAsia"/>
                <w:color w:val="auto"/>
                <w:highlight w:val="none"/>
              </w:rPr>
              <w:t>万</w:t>
            </w:r>
            <w:r>
              <w:rPr>
                <w:rFonts w:hint="eastAsia" w:asciiTheme="minorEastAsia" w:hAnsiTheme="minorEastAsia" w:eastAsiaTheme="minorEastAsia" w:cstheme="minorEastAsia"/>
                <w:color w:val="auto"/>
                <w:highlight w:val="none"/>
              </w:rPr>
              <w:t>元/年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服务期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优惠声明</w:t>
            </w: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highlight w:val="none"/>
              </w:rPr>
            </w:pPr>
            <w:r>
              <w:rPr>
                <w:rFonts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rPr>
              <w:t xml:space="preserve">有；      </w:t>
            </w:r>
            <w:r>
              <w:rPr>
                <w:rFonts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eastAsiaTheme="minorEastAsia" w:cstheme="minorEastAsia"/>
                <w:color w:val="auto"/>
                <w:highlight w:val="none"/>
                <w:lang w:eastAsia="zh-CN"/>
              </w:rPr>
              <w:t>承诺</w:t>
            </w:r>
            <w:r>
              <w:rPr>
                <w:rFonts w:hint="eastAsia" w:asciiTheme="minorEastAsia" w:hAnsiTheme="minorEastAsia" w:eastAsiaTheme="minorEastAsia" w:cstheme="minorEastAsia"/>
                <w:color w:val="auto"/>
                <w:szCs w:val="21"/>
                <w:highlight w:val="none"/>
                <w:lang w:val="zh-CN"/>
              </w:rPr>
              <w:t>改造预算经费：</w:t>
            </w:r>
            <w:r>
              <w:rPr>
                <w:rFonts w:hint="eastAsia"/>
                <w:color w:val="auto"/>
                <w:highlight w:val="none"/>
                <w:u w:val="single"/>
              </w:rPr>
              <w:t xml:space="preserve">      </w:t>
            </w:r>
            <w:r>
              <w:rPr>
                <w:rFonts w:hint="eastAsia"/>
                <w:color w:val="auto"/>
                <w:highlight w:val="none"/>
              </w:rPr>
              <w:t>万</w:t>
            </w:r>
            <w:r>
              <w:rPr>
                <w:rFonts w:hint="eastAsia" w:asciiTheme="minorEastAsia" w:hAnsiTheme="minorEastAsia" w:eastAsiaTheme="minorEastAsia" w:cstheme="minorEastAsia"/>
                <w:color w:val="auto"/>
                <w:highlight w:val="none"/>
              </w:rPr>
              <w:t>元</w:t>
            </w:r>
          </w:p>
        </w:tc>
      </w:tr>
    </w:tbl>
    <w:p>
      <w:p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1"/>
          <w:highlight w:val="none"/>
        </w:rPr>
        <w:t>说明</w:t>
      </w:r>
      <w:r>
        <w:rPr>
          <w:rFonts w:hint="eastAsia" w:asciiTheme="minorEastAsia" w:hAnsiTheme="minorEastAsia" w:eastAsiaTheme="minorEastAsia" w:cstheme="minorEastAsia"/>
          <w:bCs/>
          <w:color w:val="auto"/>
          <w:szCs w:val="21"/>
          <w:highlight w:val="none"/>
        </w:rPr>
        <w:t>：</w:t>
      </w: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highlight w:val="none"/>
        </w:rPr>
        <w:t>人民币报价,且须精确到小数点后两位。</w:t>
      </w:r>
    </w:p>
    <w:p>
      <w:pPr>
        <w:spacing w:line="360" w:lineRule="auto"/>
        <w:ind w:firstLine="525" w:firstLineChars="25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（2）价格应按照“供应商须知” 的要求报价。</w:t>
      </w:r>
    </w:p>
    <w:p>
      <w:pPr>
        <w:spacing w:line="360" w:lineRule="auto"/>
        <w:rPr>
          <w:rFonts w:asciiTheme="minorEastAsia" w:hAnsiTheme="minorEastAsia" w:eastAsiaTheme="minorEastAsia" w:cstheme="minorEastAsia"/>
          <w:color w:val="auto"/>
          <w:szCs w:val="21"/>
          <w:highlight w:val="none"/>
        </w:rPr>
      </w:pP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磋商供应商法定代表人（签字）：</w:t>
      </w: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磋商供应商授权代表（签字）：</w:t>
      </w:r>
      <w:r>
        <w:rPr>
          <w:rFonts w:hint="eastAsia" w:asciiTheme="minorEastAsia" w:hAnsiTheme="minorEastAsia" w:eastAsiaTheme="minorEastAsia" w:cstheme="minorEastAsia"/>
          <w:color w:val="auto"/>
          <w:szCs w:val="21"/>
          <w:highlight w:val="none"/>
          <w:u w:val="single"/>
        </w:rPr>
        <w:t xml:space="preserve">                        </w:t>
      </w:r>
    </w:p>
    <w:p>
      <w:pPr>
        <w:spacing w:line="360" w:lineRule="auto"/>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磋商供应商名称（盖章）：</w:t>
      </w:r>
      <w:r>
        <w:rPr>
          <w:rFonts w:hint="eastAsia" w:asciiTheme="minorEastAsia" w:hAnsiTheme="minorEastAsia" w:eastAsiaTheme="minorEastAsia" w:cstheme="minorEastAsia"/>
          <w:color w:val="auto"/>
          <w:szCs w:val="21"/>
          <w:highlight w:val="none"/>
          <w:u w:val="single"/>
        </w:rPr>
        <w:t xml:space="preserve">                                     </w:t>
      </w: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时                 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color w:val="auto"/>
          <w:szCs w:val="21"/>
          <w:highlight w:val="none"/>
          <w:u w:val="single"/>
        </w:rPr>
      </w:pPr>
      <w:bookmarkStart w:id="147" w:name="_Toc259028723"/>
      <w:bookmarkStart w:id="148" w:name="_Toc460258117"/>
      <w:bookmarkStart w:id="149" w:name="_Toc424832831"/>
      <w:bookmarkStart w:id="150" w:name="_Toc432149007"/>
      <w:r>
        <w:rPr>
          <w:rFonts w:hint="eastAsia" w:asciiTheme="minorEastAsia" w:hAnsiTheme="minorEastAsia" w:eastAsiaTheme="minorEastAsia" w:cstheme="minorEastAsia"/>
          <w:b/>
          <w:bCs/>
          <w:color w:val="auto"/>
          <w:sz w:val="24"/>
          <w:highlight w:val="none"/>
        </w:rPr>
        <w:br w:type="page"/>
      </w:r>
      <w:bookmarkStart w:id="151" w:name="_Toc479184129"/>
      <w:bookmarkStart w:id="152" w:name="_Toc18559"/>
      <w:bookmarkStart w:id="153" w:name="_Toc1079"/>
      <w:bookmarkStart w:id="154" w:name="_Toc20867"/>
      <w:r>
        <w:rPr>
          <w:rFonts w:hint="eastAsia" w:asciiTheme="minorEastAsia" w:hAnsiTheme="minorEastAsia" w:eastAsiaTheme="minorEastAsia" w:cstheme="minorEastAsia"/>
          <w:b/>
          <w:bCs/>
          <w:color w:val="auto"/>
          <w:szCs w:val="21"/>
          <w:highlight w:val="none"/>
        </w:rPr>
        <w:t>六、</w:t>
      </w:r>
      <w:bookmarkEnd w:id="147"/>
      <w:bookmarkEnd w:id="148"/>
      <w:bookmarkEnd w:id="151"/>
      <w:bookmarkEnd w:id="152"/>
      <w:bookmarkEnd w:id="153"/>
      <w:r>
        <w:rPr>
          <w:rFonts w:hint="eastAsia" w:asciiTheme="minorEastAsia" w:hAnsiTheme="minorEastAsia" w:eastAsiaTheme="minorEastAsia" w:cstheme="minorEastAsia"/>
          <w:b/>
          <w:bCs/>
          <w:color w:val="auto"/>
          <w:szCs w:val="21"/>
          <w:highlight w:val="none"/>
        </w:rPr>
        <w:t>报价费用构成表</w:t>
      </w:r>
      <w:bookmarkEnd w:id="154"/>
      <w:r>
        <w:rPr>
          <w:rFonts w:hint="eastAsia" w:asciiTheme="minorEastAsia" w:hAnsiTheme="minorEastAsia" w:eastAsiaTheme="minorEastAsia" w:cstheme="minorEastAsia"/>
          <w:color w:val="auto"/>
          <w:szCs w:val="21"/>
          <w:highlight w:val="none"/>
          <w:u w:val="single"/>
        </w:rPr>
        <w:t xml:space="preserve">        </w:t>
      </w:r>
    </w:p>
    <w:p>
      <w:pPr>
        <w:adjustRightInd w:val="0"/>
        <w:snapToGrid w:val="0"/>
        <w:spacing w:line="360" w:lineRule="auto"/>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项目名称：</w:t>
      </w:r>
      <w:r>
        <w:rPr>
          <w:rFonts w:hint="eastAsia" w:asciiTheme="minorEastAsia" w:hAnsiTheme="minorEastAsia" w:eastAsiaTheme="minorEastAsia" w:cstheme="minorEastAsia"/>
          <w:color w:val="auto"/>
          <w:szCs w:val="21"/>
          <w:highlight w:val="none"/>
          <w:u w:val="single"/>
        </w:rPr>
        <w:t xml:space="preserve">                         </w:t>
      </w:r>
    </w:p>
    <w:p>
      <w:pPr>
        <w:adjustRightInd w:val="0"/>
        <w:snapToGrid w:val="0"/>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项目编号：</w:t>
      </w:r>
      <w:r>
        <w:rPr>
          <w:rFonts w:hint="eastAsia" w:asciiTheme="minorEastAsia" w:hAnsiTheme="minorEastAsia" w:eastAsiaTheme="minorEastAsia" w:cstheme="minorEastAsia"/>
          <w:color w:val="auto"/>
          <w:szCs w:val="21"/>
          <w:highlight w:val="none"/>
          <w:u w:val="single"/>
        </w:rPr>
        <w:t xml:space="preserve">                         </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630"/>
        <w:gridCol w:w="936"/>
        <w:gridCol w:w="1118"/>
        <w:gridCol w:w="1248"/>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3630" w:type="dxa"/>
            <w:vAlign w:val="center"/>
          </w:tcPr>
          <w:p>
            <w:pPr>
              <w:adjustRightInd w:val="0"/>
              <w:snapToGri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名称</w:t>
            </w:r>
          </w:p>
        </w:tc>
        <w:tc>
          <w:tcPr>
            <w:tcW w:w="936" w:type="dxa"/>
            <w:vAlign w:val="center"/>
          </w:tcPr>
          <w:p>
            <w:pPr>
              <w:adjustRightInd w:val="0"/>
              <w:snapToGri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数量</w:t>
            </w:r>
          </w:p>
        </w:tc>
        <w:tc>
          <w:tcPr>
            <w:tcW w:w="1118" w:type="dxa"/>
            <w:vAlign w:val="center"/>
          </w:tcPr>
          <w:p>
            <w:pPr>
              <w:adjustRightInd w:val="0"/>
              <w:snapToGri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单价</w:t>
            </w:r>
          </w:p>
        </w:tc>
        <w:tc>
          <w:tcPr>
            <w:tcW w:w="1248" w:type="dxa"/>
            <w:vAlign w:val="center"/>
          </w:tcPr>
          <w:p>
            <w:pPr>
              <w:adjustRightInd w:val="0"/>
              <w:snapToGri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总价</w:t>
            </w:r>
          </w:p>
        </w:tc>
        <w:tc>
          <w:tcPr>
            <w:tcW w:w="1109" w:type="dxa"/>
            <w:vAlign w:val="center"/>
          </w:tcPr>
          <w:p>
            <w:pPr>
              <w:adjustRightInd w:val="0"/>
              <w:snapToGri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3630"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936"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118"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248"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109" w:type="dxa"/>
            <w:vAlign w:val="center"/>
          </w:tcPr>
          <w:p>
            <w:pPr>
              <w:adjustRightInd w:val="0"/>
              <w:snapToGrid w:val="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3630"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936"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118"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248"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109" w:type="dxa"/>
            <w:vAlign w:val="center"/>
          </w:tcPr>
          <w:p>
            <w:pPr>
              <w:adjustRightInd w:val="0"/>
              <w:snapToGrid w:val="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3630"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936"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118"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248"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109" w:type="dxa"/>
            <w:vAlign w:val="center"/>
          </w:tcPr>
          <w:p>
            <w:pPr>
              <w:adjustRightInd w:val="0"/>
              <w:snapToGrid w:val="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p>
        </w:tc>
        <w:tc>
          <w:tcPr>
            <w:tcW w:w="3630"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936"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118"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248"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109" w:type="dxa"/>
            <w:vAlign w:val="center"/>
          </w:tcPr>
          <w:p>
            <w:pPr>
              <w:adjustRightInd w:val="0"/>
              <w:snapToGrid w:val="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w:t>
            </w:r>
          </w:p>
        </w:tc>
        <w:tc>
          <w:tcPr>
            <w:tcW w:w="3630"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936"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118"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248"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109" w:type="dxa"/>
            <w:vAlign w:val="center"/>
          </w:tcPr>
          <w:p>
            <w:pPr>
              <w:adjustRightInd w:val="0"/>
              <w:snapToGrid w:val="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w:t>
            </w:r>
          </w:p>
        </w:tc>
        <w:tc>
          <w:tcPr>
            <w:tcW w:w="3630"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936"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118"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248"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109" w:type="dxa"/>
            <w:vAlign w:val="center"/>
          </w:tcPr>
          <w:p>
            <w:pPr>
              <w:adjustRightInd w:val="0"/>
              <w:snapToGrid w:val="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w:t>
            </w:r>
          </w:p>
        </w:tc>
        <w:tc>
          <w:tcPr>
            <w:tcW w:w="3630"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936"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118"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248"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109" w:type="dxa"/>
            <w:vAlign w:val="center"/>
          </w:tcPr>
          <w:p>
            <w:pPr>
              <w:adjustRightInd w:val="0"/>
              <w:snapToGrid w:val="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w:t>
            </w:r>
          </w:p>
        </w:tc>
        <w:tc>
          <w:tcPr>
            <w:tcW w:w="3630"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936"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118"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248"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109" w:type="dxa"/>
            <w:vAlign w:val="center"/>
          </w:tcPr>
          <w:p>
            <w:pPr>
              <w:adjustRightInd w:val="0"/>
              <w:snapToGrid w:val="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w:t>
            </w:r>
          </w:p>
        </w:tc>
        <w:tc>
          <w:tcPr>
            <w:tcW w:w="3630"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936"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118"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248"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109" w:type="dxa"/>
            <w:vAlign w:val="center"/>
          </w:tcPr>
          <w:p>
            <w:pPr>
              <w:adjustRightInd w:val="0"/>
              <w:snapToGrid w:val="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7" w:type="dxa"/>
            <w:vAlign w:val="center"/>
          </w:tcPr>
          <w:p>
            <w:pPr>
              <w:adjustRightInd w:val="0"/>
              <w:snapToGri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3630" w:type="dxa"/>
            <w:vAlign w:val="center"/>
          </w:tcPr>
          <w:p>
            <w:pPr>
              <w:adjustRightInd w:val="0"/>
              <w:snapToGri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936"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118"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248"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109" w:type="dxa"/>
            <w:vAlign w:val="center"/>
          </w:tcPr>
          <w:p>
            <w:pPr>
              <w:adjustRightInd w:val="0"/>
              <w:snapToGrid w:val="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931" w:type="dxa"/>
            <w:gridSpan w:val="4"/>
            <w:vAlign w:val="center"/>
          </w:tcPr>
          <w:p>
            <w:pPr>
              <w:adjustRightInd w:val="0"/>
              <w:snapToGrid w:val="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总计</w:t>
            </w:r>
          </w:p>
        </w:tc>
        <w:tc>
          <w:tcPr>
            <w:tcW w:w="1248" w:type="dxa"/>
            <w:vAlign w:val="center"/>
          </w:tcPr>
          <w:p>
            <w:pPr>
              <w:adjustRightInd w:val="0"/>
              <w:snapToGrid w:val="0"/>
              <w:jc w:val="center"/>
              <w:rPr>
                <w:rFonts w:asciiTheme="minorEastAsia" w:hAnsiTheme="minorEastAsia" w:eastAsiaTheme="minorEastAsia" w:cstheme="minorEastAsia"/>
                <w:color w:val="auto"/>
                <w:szCs w:val="21"/>
                <w:highlight w:val="none"/>
              </w:rPr>
            </w:pPr>
          </w:p>
        </w:tc>
        <w:tc>
          <w:tcPr>
            <w:tcW w:w="1109" w:type="dxa"/>
            <w:vAlign w:val="center"/>
          </w:tcPr>
          <w:p>
            <w:pPr>
              <w:adjustRightInd w:val="0"/>
              <w:snapToGrid w:val="0"/>
              <w:jc w:val="center"/>
              <w:rPr>
                <w:rFonts w:asciiTheme="minorEastAsia" w:hAnsiTheme="minorEastAsia" w:eastAsiaTheme="minorEastAsia" w:cstheme="minorEastAsia"/>
                <w:color w:val="auto"/>
                <w:szCs w:val="21"/>
                <w:highlight w:val="none"/>
              </w:rPr>
            </w:pPr>
          </w:p>
        </w:tc>
      </w:tr>
    </w:tbl>
    <w:p>
      <w:pPr>
        <w:adjustRightInd w:val="0"/>
        <w:snapToGrid w:val="0"/>
        <w:rPr>
          <w:rFonts w:asciiTheme="minorEastAsia" w:hAnsiTheme="minorEastAsia" w:eastAsiaTheme="minorEastAsia" w:cstheme="minorEastAsia"/>
          <w:color w:val="auto"/>
          <w:szCs w:val="21"/>
          <w:highlight w:val="none"/>
        </w:rPr>
      </w:pPr>
    </w:p>
    <w:p>
      <w:pPr>
        <w:adjustRightInd w:val="0"/>
        <w:snapToGrid w:val="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说明：</w:t>
      </w:r>
    </w:p>
    <w:p>
      <w:pPr>
        <w:numPr>
          <w:ilvl w:val="0"/>
          <w:numId w:val="42"/>
        </w:numPr>
        <w:adjustRightInd w:val="0"/>
        <w:snapToGrid w:val="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所有价格按照“供应商须知”要求执行，</w:t>
      </w:r>
      <w:r>
        <w:rPr>
          <w:rFonts w:hint="eastAsia" w:asciiTheme="minorEastAsia" w:hAnsiTheme="minorEastAsia" w:cstheme="minorEastAsia"/>
          <w:color w:val="auto"/>
          <w:szCs w:val="21"/>
          <w:highlight w:val="none"/>
        </w:rPr>
        <w:t>且需</w:t>
      </w:r>
      <w:r>
        <w:rPr>
          <w:rFonts w:hint="eastAsia" w:asciiTheme="minorEastAsia" w:hAnsiTheme="minorEastAsia" w:eastAsiaTheme="minorEastAsia" w:cstheme="minorEastAsia"/>
          <w:color w:val="auto"/>
          <w:szCs w:val="21"/>
          <w:highlight w:val="none"/>
        </w:rPr>
        <w:t>精确到小数点后两位。</w:t>
      </w:r>
    </w:p>
    <w:p>
      <w:pPr>
        <w:numPr>
          <w:ilvl w:val="0"/>
          <w:numId w:val="42"/>
        </w:numPr>
        <w:adjustRightInd w:val="0"/>
        <w:snapToGrid w:val="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分项报价总计价格必须与《报价一览表》报价一致。</w:t>
      </w:r>
    </w:p>
    <w:p>
      <w:pPr>
        <w:numPr>
          <w:ilvl w:val="0"/>
          <w:numId w:val="42"/>
        </w:numPr>
        <w:adjustRightInd w:val="0"/>
        <w:snapToGrid w:val="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如果不提供详细的报价费用构成可能将被视为没有实质性响应磋商文件。</w:t>
      </w:r>
    </w:p>
    <w:p>
      <w:pPr>
        <w:adjustRightInd w:val="0"/>
        <w:snapToGrid w:val="0"/>
        <w:spacing w:line="360" w:lineRule="auto"/>
        <w:ind w:left="-88" w:leftChars="-42"/>
        <w:rPr>
          <w:rFonts w:asciiTheme="minorEastAsia" w:hAnsiTheme="minorEastAsia" w:eastAsiaTheme="minorEastAsia" w:cstheme="minorEastAsia"/>
          <w:b/>
          <w:bCs/>
          <w:color w:val="auto"/>
          <w:szCs w:val="21"/>
          <w:highlight w:val="none"/>
        </w:rPr>
      </w:pPr>
    </w:p>
    <w:p>
      <w:pPr>
        <w:spacing w:line="360" w:lineRule="auto"/>
        <w:rPr>
          <w:rFonts w:asciiTheme="minorEastAsia" w:hAnsiTheme="minorEastAsia" w:eastAsiaTheme="minorEastAsia" w:cstheme="minorEastAsia"/>
          <w:color w:val="auto"/>
          <w:szCs w:val="21"/>
          <w:highlight w:val="none"/>
        </w:rPr>
      </w:pP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磋商供应商法定代表人（签字）：</w:t>
      </w: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磋商供应商授权代表（签字）：</w:t>
      </w:r>
      <w:r>
        <w:rPr>
          <w:rFonts w:hint="eastAsia" w:asciiTheme="minorEastAsia" w:hAnsiTheme="minorEastAsia" w:eastAsiaTheme="minorEastAsia" w:cstheme="minorEastAsia"/>
          <w:color w:val="auto"/>
          <w:szCs w:val="21"/>
          <w:highlight w:val="none"/>
          <w:u w:val="single"/>
        </w:rPr>
        <w:t xml:space="preserve">                        </w:t>
      </w:r>
    </w:p>
    <w:p>
      <w:pPr>
        <w:spacing w:line="360" w:lineRule="auto"/>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磋商供应商名称（盖章）：</w:t>
      </w:r>
      <w:r>
        <w:rPr>
          <w:rFonts w:hint="eastAsia" w:asciiTheme="minorEastAsia" w:hAnsiTheme="minorEastAsia" w:eastAsiaTheme="minorEastAsia" w:cstheme="minorEastAsia"/>
          <w:color w:val="auto"/>
          <w:szCs w:val="21"/>
          <w:highlight w:val="none"/>
          <w:u w:val="single"/>
        </w:rPr>
        <w:t xml:space="preserve">                                     </w:t>
      </w: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时                 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w:t>
      </w:r>
    </w:p>
    <w:p>
      <w:pPr>
        <w:spacing w:line="360" w:lineRule="auto"/>
        <w:rPr>
          <w:rFonts w:asciiTheme="minorEastAsia" w:hAnsiTheme="minorEastAsia" w:eastAsiaTheme="minorEastAsia" w:cstheme="minorEastAsia"/>
          <w:color w:val="auto"/>
          <w:szCs w:val="21"/>
          <w:highlight w:val="none"/>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szCs w:val="21"/>
          <w:highlight w:val="none"/>
        </w:rPr>
        <w:br w:type="page"/>
      </w:r>
      <w:bookmarkStart w:id="155" w:name="_Toc26825"/>
      <w:bookmarkStart w:id="156" w:name="_Toc28656"/>
      <w:bookmarkStart w:id="157" w:name="_Toc479184130"/>
      <w:bookmarkStart w:id="158" w:name="_Toc30408"/>
      <w:r>
        <w:rPr>
          <w:rFonts w:hint="eastAsia" w:asciiTheme="minorEastAsia" w:hAnsiTheme="minorEastAsia" w:eastAsiaTheme="minorEastAsia" w:cstheme="minorEastAsia"/>
          <w:b/>
          <w:bCs/>
          <w:color w:val="auto"/>
          <w:szCs w:val="21"/>
          <w:highlight w:val="none"/>
        </w:rPr>
        <w:t>七、耗材清单</w:t>
      </w:r>
      <w:bookmarkEnd w:id="155"/>
      <w:bookmarkEnd w:id="156"/>
      <w:bookmarkEnd w:id="157"/>
      <w:r>
        <w:rPr>
          <w:rFonts w:hint="eastAsia" w:asciiTheme="minorEastAsia" w:hAnsiTheme="minorEastAsia" w:eastAsiaTheme="minorEastAsia" w:cstheme="minorEastAsia"/>
          <w:b/>
          <w:bCs/>
          <w:color w:val="auto"/>
          <w:szCs w:val="21"/>
          <w:highlight w:val="none"/>
        </w:rPr>
        <w:t>（如有）</w:t>
      </w:r>
      <w:bookmarkEnd w:id="158"/>
    </w:p>
    <w:p>
      <w:pPr>
        <w:adjustRightInd w:val="0"/>
        <w:snapToGrid w:val="0"/>
        <w:rPr>
          <w:rFonts w:asciiTheme="minorEastAsia" w:hAnsiTheme="minorEastAsia" w:eastAsiaTheme="minorEastAsia" w:cstheme="minorEastAsia"/>
          <w:b/>
          <w:color w:val="auto"/>
          <w:szCs w:val="21"/>
          <w:highlight w:val="none"/>
        </w:rPr>
      </w:pPr>
    </w:p>
    <w:p>
      <w:pPr>
        <w:adjustRightInd w:val="0"/>
        <w:snapToGrid w:val="0"/>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项目名称：                         </w:t>
      </w:r>
    </w:p>
    <w:p>
      <w:pPr>
        <w:adjustRightInd w:val="0"/>
        <w:snapToGrid w:val="0"/>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序号</w:t>
            </w:r>
          </w:p>
        </w:tc>
        <w:tc>
          <w:tcPr>
            <w:tcW w:w="2295" w:type="dxa"/>
            <w:vAlign w:val="center"/>
          </w:tcPr>
          <w:p>
            <w:pPr>
              <w:widowControl/>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耗材名称</w:t>
            </w:r>
          </w:p>
        </w:tc>
        <w:tc>
          <w:tcPr>
            <w:tcW w:w="1512" w:type="dxa"/>
            <w:vAlign w:val="center"/>
          </w:tcPr>
          <w:p>
            <w:pPr>
              <w:widowControl/>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规格型号</w:t>
            </w:r>
          </w:p>
        </w:tc>
        <w:tc>
          <w:tcPr>
            <w:tcW w:w="1512" w:type="dxa"/>
          </w:tcPr>
          <w:p>
            <w:pPr>
              <w:widowControl/>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制造商名称</w:t>
            </w:r>
          </w:p>
        </w:tc>
        <w:tc>
          <w:tcPr>
            <w:tcW w:w="1513" w:type="dxa"/>
          </w:tcPr>
          <w:p>
            <w:pPr>
              <w:widowControl/>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产地</w:t>
            </w:r>
          </w:p>
        </w:tc>
        <w:tc>
          <w:tcPr>
            <w:tcW w:w="709" w:type="dxa"/>
            <w:vAlign w:val="center"/>
          </w:tcPr>
          <w:p>
            <w:pPr>
              <w:widowControl/>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数量</w:t>
            </w:r>
          </w:p>
        </w:tc>
        <w:tc>
          <w:tcPr>
            <w:tcW w:w="958" w:type="dxa"/>
            <w:vAlign w:val="center"/>
          </w:tcPr>
          <w:p>
            <w:pPr>
              <w:widowControl/>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widowControl/>
              <w:jc w:val="center"/>
              <w:rPr>
                <w:rFonts w:asciiTheme="minorEastAsia" w:hAnsiTheme="minorEastAsia" w:eastAsiaTheme="minorEastAsia" w:cstheme="minorEastAsia"/>
                <w:color w:val="auto"/>
                <w:szCs w:val="21"/>
                <w:highlight w:val="none"/>
              </w:rPr>
            </w:pPr>
          </w:p>
        </w:tc>
        <w:tc>
          <w:tcPr>
            <w:tcW w:w="1513" w:type="dxa"/>
          </w:tcPr>
          <w:p>
            <w:pPr>
              <w:widowControl/>
              <w:jc w:val="center"/>
              <w:rPr>
                <w:rFonts w:asciiTheme="minorEastAsia" w:hAnsiTheme="minorEastAsia" w:eastAsiaTheme="minorEastAsia" w:cstheme="minorEastAsia"/>
                <w:color w:val="auto"/>
                <w:szCs w:val="21"/>
                <w:highlight w:val="none"/>
              </w:rPr>
            </w:pPr>
          </w:p>
        </w:tc>
        <w:tc>
          <w:tcPr>
            <w:tcW w:w="709" w:type="dxa"/>
            <w:vAlign w:val="center"/>
          </w:tcPr>
          <w:p>
            <w:pPr>
              <w:widowControl/>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widowControl/>
              <w:jc w:val="center"/>
              <w:rPr>
                <w:rFonts w:asciiTheme="minorEastAsia" w:hAnsiTheme="minorEastAsia" w:eastAsiaTheme="minorEastAsia" w:cstheme="minorEastAsia"/>
                <w:color w:val="auto"/>
                <w:szCs w:val="21"/>
                <w:highlight w:val="none"/>
              </w:rPr>
            </w:pPr>
          </w:p>
        </w:tc>
        <w:tc>
          <w:tcPr>
            <w:tcW w:w="1513" w:type="dxa"/>
          </w:tcPr>
          <w:p>
            <w:pPr>
              <w:widowControl/>
              <w:jc w:val="center"/>
              <w:rPr>
                <w:rFonts w:asciiTheme="minorEastAsia" w:hAnsiTheme="minorEastAsia" w:eastAsiaTheme="minorEastAsia" w:cstheme="minorEastAsia"/>
                <w:color w:val="auto"/>
                <w:szCs w:val="21"/>
                <w:highlight w:val="none"/>
              </w:rPr>
            </w:pPr>
          </w:p>
        </w:tc>
        <w:tc>
          <w:tcPr>
            <w:tcW w:w="709" w:type="dxa"/>
            <w:vAlign w:val="center"/>
          </w:tcPr>
          <w:p>
            <w:pPr>
              <w:widowControl/>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widowControl/>
              <w:jc w:val="center"/>
              <w:rPr>
                <w:rFonts w:asciiTheme="minorEastAsia" w:hAnsiTheme="minorEastAsia" w:eastAsiaTheme="minorEastAsia" w:cstheme="minorEastAsia"/>
                <w:color w:val="auto"/>
                <w:szCs w:val="21"/>
                <w:highlight w:val="none"/>
              </w:rPr>
            </w:pPr>
          </w:p>
        </w:tc>
        <w:tc>
          <w:tcPr>
            <w:tcW w:w="1513" w:type="dxa"/>
          </w:tcPr>
          <w:p>
            <w:pPr>
              <w:widowControl/>
              <w:jc w:val="center"/>
              <w:rPr>
                <w:rFonts w:asciiTheme="minorEastAsia" w:hAnsiTheme="minorEastAsia" w:eastAsiaTheme="minorEastAsia" w:cstheme="minorEastAsia"/>
                <w:color w:val="auto"/>
                <w:szCs w:val="21"/>
                <w:highlight w:val="none"/>
              </w:rPr>
            </w:pPr>
          </w:p>
        </w:tc>
        <w:tc>
          <w:tcPr>
            <w:tcW w:w="709" w:type="dxa"/>
            <w:vAlign w:val="center"/>
          </w:tcPr>
          <w:p>
            <w:pPr>
              <w:widowControl/>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left"/>
              <w:rPr>
                <w:rFonts w:asciiTheme="minorEastAsia" w:hAnsiTheme="minorEastAsia" w:eastAsiaTheme="minorEastAsia" w:cstheme="minorEastAsia"/>
                <w:color w:val="auto"/>
                <w:kern w:val="0"/>
                <w:szCs w:val="21"/>
                <w:highlight w:val="none"/>
              </w:rPr>
            </w:pPr>
          </w:p>
        </w:tc>
        <w:tc>
          <w:tcPr>
            <w:tcW w:w="1512" w:type="dxa"/>
          </w:tcPr>
          <w:p>
            <w:pPr>
              <w:widowControl/>
              <w:jc w:val="center"/>
              <w:rPr>
                <w:rFonts w:asciiTheme="minorEastAsia" w:hAnsiTheme="minorEastAsia" w:eastAsiaTheme="minorEastAsia" w:cstheme="minorEastAsia"/>
                <w:color w:val="auto"/>
                <w:szCs w:val="21"/>
                <w:highlight w:val="none"/>
              </w:rPr>
            </w:pPr>
          </w:p>
        </w:tc>
        <w:tc>
          <w:tcPr>
            <w:tcW w:w="1513" w:type="dxa"/>
          </w:tcPr>
          <w:p>
            <w:pPr>
              <w:widowControl/>
              <w:jc w:val="center"/>
              <w:rPr>
                <w:rFonts w:asciiTheme="minorEastAsia" w:hAnsiTheme="minorEastAsia" w:eastAsiaTheme="minorEastAsia" w:cstheme="minorEastAsia"/>
                <w:color w:val="auto"/>
                <w:szCs w:val="21"/>
                <w:highlight w:val="none"/>
              </w:rPr>
            </w:pPr>
          </w:p>
        </w:tc>
        <w:tc>
          <w:tcPr>
            <w:tcW w:w="709" w:type="dxa"/>
            <w:vAlign w:val="center"/>
          </w:tcPr>
          <w:p>
            <w:pPr>
              <w:widowControl/>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jc w:val="center"/>
              <w:rPr>
                <w:rFonts w:asciiTheme="minorEastAsia" w:hAnsiTheme="minorEastAsia" w:eastAsiaTheme="minorEastAsia" w:cstheme="minorEastAsia"/>
                <w:color w:val="auto"/>
                <w:szCs w:val="21"/>
                <w:highlight w:val="none"/>
              </w:rPr>
            </w:pPr>
          </w:p>
        </w:tc>
        <w:tc>
          <w:tcPr>
            <w:tcW w:w="1513" w:type="dxa"/>
          </w:tcPr>
          <w:p>
            <w:pPr>
              <w:jc w:val="center"/>
              <w:rPr>
                <w:rFonts w:asciiTheme="minorEastAsia" w:hAnsiTheme="minorEastAsia" w:eastAsiaTheme="minorEastAsia" w:cstheme="minorEastAsia"/>
                <w:color w:val="auto"/>
                <w:szCs w:val="21"/>
                <w:highlight w:val="none"/>
              </w:rPr>
            </w:pPr>
          </w:p>
        </w:tc>
        <w:tc>
          <w:tcPr>
            <w:tcW w:w="709" w:type="dxa"/>
            <w:vAlign w:val="center"/>
          </w:tcPr>
          <w:p>
            <w:pPr>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jc w:val="center"/>
              <w:rPr>
                <w:rFonts w:asciiTheme="minorEastAsia" w:hAnsiTheme="minorEastAsia" w:eastAsiaTheme="minorEastAsia" w:cstheme="minorEastAsia"/>
                <w:color w:val="auto"/>
                <w:szCs w:val="21"/>
                <w:highlight w:val="none"/>
              </w:rPr>
            </w:pPr>
          </w:p>
        </w:tc>
        <w:tc>
          <w:tcPr>
            <w:tcW w:w="1513" w:type="dxa"/>
          </w:tcPr>
          <w:p>
            <w:pPr>
              <w:jc w:val="center"/>
              <w:rPr>
                <w:rFonts w:asciiTheme="minorEastAsia" w:hAnsiTheme="minorEastAsia" w:eastAsiaTheme="minorEastAsia" w:cstheme="minorEastAsia"/>
                <w:color w:val="auto"/>
                <w:szCs w:val="21"/>
                <w:highlight w:val="none"/>
              </w:rPr>
            </w:pPr>
          </w:p>
        </w:tc>
        <w:tc>
          <w:tcPr>
            <w:tcW w:w="709" w:type="dxa"/>
            <w:vAlign w:val="center"/>
          </w:tcPr>
          <w:p>
            <w:pPr>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jc w:val="center"/>
              <w:rPr>
                <w:rFonts w:asciiTheme="minorEastAsia" w:hAnsiTheme="minorEastAsia" w:eastAsiaTheme="minorEastAsia" w:cstheme="minorEastAsia"/>
                <w:color w:val="auto"/>
                <w:szCs w:val="21"/>
                <w:highlight w:val="none"/>
              </w:rPr>
            </w:pPr>
          </w:p>
        </w:tc>
        <w:tc>
          <w:tcPr>
            <w:tcW w:w="1513" w:type="dxa"/>
          </w:tcPr>
          <w:p>
            <w:pPr>
              <w:jc w:val="center"/>
              <w:rPr>
                <w:rFonts w:asciiTheme="minorEastAsia" w:hAnsiTheme="minorEastAsia" w:eastAsiaTheme="minorEastAsia" w:cstheme="minorEastAsia"/>
                <w:color w:val="auto"/>
                <w:szCs w:val="21"/>
                <w:highlight w:val="none"/>
              </w:rPr>
            </w:pPr>
          </w:p>
        </w:tc>
        <w:tc>
          <w:tcPr>
            <w:tcW w:w="709" w:type="dxa"/>
            <w:vAlign w:val="center"/>
          </w:tcPr>
          <w:p>
            <w:pPr>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jc w:val="center"/>
              <w:rPr>
                <w:rFonts w:asciiTheme="minorEastAsia" w:hAnsiTheme="minorEastAsia" w:eastAsiaTheme="minorEastAsia" w:cstheme="minorEastAsia"/>
                <w:color w:val="auto"/>
                <w:szCs w:val="21"/>
                <w:highlight w:val="none"/>
              </w:rPr>
            </w:pPr>
          </w:p>
        </w:tc>
        <w:tc>
          <w:tcPr>
            <w:tcW w:w="1513" w:type="dxa"/>
          </w:tcPr>
          <w:p>
            <w:pPr>
              <w:jc w:val="center"/>
              <w:rPr>
                <w:rFonts w:asciiTheme="minorEastAsia" w:hAnsiTheme="minorEastAsia" w:eastAsiaTheme="minorEastAsia" w:cstheme="minorEastAsia"/>
                <w:color w:val="auto"/>
                <w:szCs w:val="21"/>
                <w:highlight w:val="none"/>
              </w:rPr>
            </w:pPr>
          </w:p>
        </w:tc>
        <w:tc>
          <w:tcPr>
            <w:tcW w:w="709" w:type="dxa"/>
            <w:vAlign w:val="center"/>
          </w:tcPr>
          <w:p>
            <w:pPr>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jc w:val="center"/>
              <w:rPr>
                <w:rFonts w:asciiTheme="minorEastAsia" w:hAnsiTheme="minorEastAsia" w:eastAsiaTheme="minorEastAsia" w:cstheme="minorEastAsia"/>
                <w:color w:val="auto"/>
                <w:szCs w:val="21"/>
                <w:highlight w:val="none"/>
              </w:rPr>
            </w:pPr>
          </w:p>
        </w:tc>
        <w:tc>
          <w:tcPr>
            <w:tcW w:w="1513" w:type="dxa"/>
          </w:tcPr>
          <w:p>
            <w:pPr>
              <w:jc w:val="center"/>
              <w:rPr>
                <w:rFonts w:asciiTheme="minorEastAsia" w:hAnsiTheme="minorEastAsia" w:eastAsiaTheme="minorEastAsia" w:cstheme="minorEastAsia"/>
                <w:color w:val="auto"/>
                <w:szCs w:val="21"/>
                <w:highlight w:val="none"/>
              </w:rPr>
            </w:pPr>
          </w:p>
        </w:tc>
        <w:tc>
          <w:tcPr>
            <w:tcW w:w="709" w:type="dxa"/>
            <w:vAlign w:val="center"/>
          </w:tcPr>
          <w:p>
            <w:pPr>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jc w:val="center"/>
              <w:rPr>
                <w:rFonts w:asciiTheme="minorEastAsia" w:hAnsiTheme="minorEastAsia" w:eastAsiaTheme="minorEastAsia" w:cstheme="minorEastAsia"/>
                <w:color w:val="auto"/>
                <w:szCs w:val="21"/>
                <w:highlight w:val="none"/>
              </w:rPr>
            </w:pPr>
          </w:p>
        </w:tc>
        <w:tc>
          <w:tcPr>
            <w:tcW w:w="1513" w:type="dxa"/>
          </w:tcPr>
          <w:p>
            <w:pPr>
              <w:jc w:val="center"/>
              <w:rPr>
                <w:rFonts w:asciiTheme="minorEastAsia" w:hAnsiTheme="minorEastAsia" w:eastAsiaTheme="minorEastAsia" w:cstheme="minorEastAsia"/>
                <w:color w:val="auto"/>
                <w:szCs w:val="21"/>
                <w:highlight w:val="none"/>
              </w:rPr>
            </w:pPr>
          </w:p>
        </w:tc>
        <w:tc>
          <w:tcPr>
            <w:tcW w:w="709" w:type="dxa"/>
            <w:vAlign w:val="center"/>
          </w:tcPr>
          <w:p>
            <w:pPr>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jc w:val="center"/>
              <w:rPr>
                <w:rFonts w:asciiTheme="minorEastAsia" w:hAnsiTheme="minorEastAsia" w:eastAsiaTheme="minorEastAsia" w:cstheme="minorEastAsia"/>
                <w:color w:val="auto"/>
                <w:szCs w:val="21"/>
                <w:highlight w:val="none"/>
              </w:rPr>
            </w:pPr>
          </w:p>
        </w:tc>
        <w:tc>
          <w:tcPr>
            <w:tcW w:w="1513" w:type="dxa"/>
          </w:tcPr>
          <w:p>
            <w:pPr>
              <w:jc w:val="center"/>
              <w:rPr>
                <w:rFonts w:asciiTheme="minorEastAsia" w:hAnsiTheme="minorEastAsia" w:eastAsiaTheme="minorEastAsia" w:cstheme="minorEastAsia"/>
                <w:color w:val="auto"/>
                <w:szCs w:val="21"/>
                <w:highlight w:val="none"/>
              </w:rPr>
            </w:pPr>
          </w:p>
        </w:tc>
        <w:tc>
          <w:tcPr>
            <w:tcW w:w="709" w:type="dxa"/>
            <w:vAlign w:val="center"/>
          </w:tcPr>
          <w:p>
            <w:pPr>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jc w:val="center"/>
              <w:rPr>
                <w:rFonts w:asciiTheme="minorEastAsia" w:hAnsiTheme="minorEastAsia" w:eastAsiaTheme="minorEastAsia" w:cstheme="minorEastAsia"/>
                <w:color w:val="auto"/>
                <w:szCs w:val="21"/>
                <w:highlight w:val="none"/>
              </w:rPr>
            </w:pPr>
          </w:p>
        </w:tc>
        <w:tc>
          <w:tcPr>
            <w:tcW w:w="1513" w:type="dxa"/>
          </w:tcPr>
          <w:p>
            <w:pPr>
              <w:jc w:val="center"/>
              <w:rPr>
                <w:rFonts w:asciiTheme="minorEastAsia" w:hAnsiTheme="minorEastAsia" w:eastAsiaTheme="minorEastAsia" w:cstheme="minorEastAsia"/>
                <w:color w:val="auto"/>
                <w:szCs w:val="21"/>
                <w:highlight w:val="none"/>
              </w:rPr>
            </w:pPr>
          </w:p>
        </w:tc>
        <w:tc>
          <w:tcPr>
            <w:tcW w:w="709" w:type="dxa"/>
            <w:vAlign w:val="center"/>
          </w:tcPr>
          <w:p>
            <w:pPr>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jc w:val="center"/>
              <w:rPr>
                <w:rFonts w:asciiTheme="minorEastAsia" w:hAnsiTheme="minorEastAsia" w:eastAsiaTheme="minorEastAsia" w:cstheme="minorEastAsia"/>
                <w:color w:val="auto"/>
                <w:szCs w:val="21"/>
                <w:highlight w:val="none"/>
              </w:rPr>
            </w:pPr>
          </w:p>
        </w:tc>
        <w:tc>
          <w:tcPr>
            <w:tcW w:w="1513" w:type="dxa"/>
          </w:tcPr>
          <w:p>
            <w:pPr>
              <w:jc w:val="center"/>
              <w:rPr>
                <w:rFonts w:asciiTheme="minorEastAsia" w:hAnsiTheme="minorEastAsia" w:eastAsiaTheme="minorEastAsia" w:cstheme="minorEastAsia"/>
                <w:color w:val="auto"/>
                <w:szCs w:val="21"/>
                <w:highlight w:val="none"/>
              </w:rPr>
            </w:pPr>
          </w:p>
        </w:tc>
        <w:tc>
          <w:tcPr>
            <w:tcW w:w="709" w:type="dxa"/>
            <w:vAlign w:val="center"/>
          </w:tcPr>
          <w:p>
            <w:pPr>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bl>
    <w:p>
      <w:pPr>
        <w:spacing w:line="360" w:lineRule="auto"/>
        <w:rPr>
          <w:rFonts w:asciiTheme="minorEastAsia" w:hAnsiTheme="minorEastAsia" w:eastAsiaTheme="minorEastAsia" w:cstheme="minorEastAsia"/>
          <w:color w:val="auto"/>
          <w:szCs w:val="21"/>
          <w:highlight w:val="none"/>
        </w:rPr>
      </w:pP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磋商供应商授权代表（签字）：</w:t>
      </w:r>
      <w:r>
        <w:rPr>
          <w:rFonts w:hint="eastAsia" w:asciiTheme="minorEastAsia" w:hAnsiTheme="minorEastAsia" w:eastAsiaTheme="minorEastAsia" w:cstheme="minorEastAsia"/>
          <w:color w:val="auto"/>
          <w:szCs w:val="21"/>
          <w:highlight w:val="none"/>
          <w:u w:val="single"/>
        </w:rPr>
        <w:t xml:space="preserve">                        </w:t>
      </w:r>
    </w:p>
    <w:p>
      <w:pPr>
        <w:spacing w:line="360" w:lineRule="auto"/>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磋商供应商名称（盖章）：</w:t>
      </w:r>
      <w:r>
        <w:rPr>
          <w:rFonts w:hint="eastAsia" w:asciiTheme="minorEastAsia" w:hAnsiTheme="minorEastAsia" w:eastAsiaTheme="minorEastAsia" w:cstheme="minorEastAsia"/>
          <w:color w:val="auto"/>
          <w:szCs w:val="21"/>
          <w:highlight w:val="none"/>
          <w:u w:val="single"/>
        </w:rPr>
        <w:t xml:space="preserve">                                     </w:t>
      </w: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时                 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w:t>
      </w:r>
    </w:p>
    <w:p>
      <w:pPr>
        <w:tabs>
          <w:tab w:val="left" w:pos="540"/>
        </w:tabs>
        <w:autoSpaceDE w:val="0"/>
        <w:autoSpaceDN w:val="0"/>
        <w:adjustRightInd w:val="0"/>
        <w:spacing w:line="360" w:lineRule="auto"/>
        <w:jc w:val="left"/>
        <w:rPr>
          <w:rFonts w:asciiTheme="minorEastAsia" w:hAnsiTheme="minorEastAsia" w:eastAsiaTheme="minorEastAsia" w:cstheme="minorEastAsia"/>
          <w:color w:val="auto"/>
          <w:szCs w:val="21"/>
          <w:highlight w:val="none"/>
        </w:rPr>
      </w:pPr>
    </w:p>
    <w:p>
      <w:pPr>
        <w:rPr>
          <w:color w:val="auto"/>
          <w:highlight w:val="none"/>
        </w:rPr>
      </w:pPr>
    </w:p>
    <w:p>
      <w:pPr>
        <w:tabs>
          <w:tab w:val="left" w:pos="540"/>
        </w:tabs>
        <w:autoSpaceDE w:val="0"/>
        <w:autoSpaceDN w:val="0"/>
        <w:adjustRightInd w:val="0"/>
        <w:spacing w:line="360" w:lineRule="auto"/>
        <w:jc w:val="left"/>
        <w:rPr>
          <w:rFonts w:asciiTheme="minorEastAsia" w:hAnsiTheme="minorEastAsia" w:eastAsiaTheme="minorEastAsia" w:cstheme="minorEastAsia"/>
          <w:color w:val="auto"/>
          <w:szCs w:val="21"/>
          <w:highlight w:val="none"/>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szCs w:val="21"/>
          <w:highlight w:val="none"/>
        </w:rPr>
        <w:br w:type="page"/>
      </w:r>
      <w:bookmarkStart w:id="159" w:name="_Toc479184131"/>
      <w:bookmarkStart w:id="160" w:name="_Toc32726"/>
      <w:bookmarkStart w:id="161" w:name="_Toc7535"/>
      <w:bookmarkStart w:id="162" w:name="_Toc22463"/>
      <w:r>
        <w:rPr>
          <w:rFonts w:hint="eastAsia" w:asciiTheme="minorEastAsia" w:hAnsiTheme="minorEastAsia" w:eastAsiaTheme="minorEastAsia" w:cstheme="minorEastAsia"/>
          <w:b/>
          <w:bCs/>
          <w:color w:val="auto"/>
          <w:szCs w:val="21"/>
          <w:highlight w:val="none"/>
        </w:rPr>
        <w:t>八、拟投入设备/备件、工具情况</w:t>
      </w:r>
      <w:bookmarkEnd w:id="159"/>
      <w:bookmarkEnd w:id="160"/>
      <w:bookmarkEnd w:id="161"/>
      <w:r>
        <w:rPr>
          <w:rFonts w:hint="eastAsia" w:asciiTheme="minorEastAsia" w:hAnsiTheme="minorEastAsia" w:eastAsiaTheme="minorEastAsia" w:cstheme="minorEastAsia"/>
          <w:b/>
          <w:bCs/>
          <w:color w:val="auto"/>
          <w:szCs w:val="21"/>
          <w:highlight w:val="none"/>
        </w:rPr>
        <w:t>（如有）</w:t>
      </w:r>
      <w:bookmarkEnd w:id="162"/>
    </w:p>
    <w:p>
      <w:pPr>
        <w:spacing w:line="360" w:lineRule="auto"/>
        <w:rPr>
          <w:rFonts w:asciiTheme="minorEastAsia" w:hAnsiTheme="minorEastAsia" w:eastAsiaTheme="minorEastAsia" w:cstheme="minorEastAsia"/>
          <w:color w:val="auto"/>
          <w:szCs w:val="21"/>
          <w:highlight w:val="none"/>
        </w:rPr>
      </w:pPr>
    </w:p>
    <w:p>
      <w:pPr>
        <w:adjustRightInd w:val="0"/>
        <w:snapToGrid w:val="0"/>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项目名称：                         </w:t>
      </w:r>
    </w:p>
    <w:p>
      <w:pPr>
        <w:adjustRightInd w:val="0"/>
        <w:snapToGrid w:val="0"/>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序号</w:t>
            </w:r>
          </w:p>
        </w:tc>
        <w:tc>
          <w:tcPr>
            <w:tcW w:w="2295" w:type="dxa"/>
            <w:vAlign w:val="center"/>
          </w:tcPr>
          <w:p>
            <w:pPr>
              <w:widowControl/>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设备</w:t>
            </w:r>
            <w:r>
              <w:rPr>
                <w:rFonts w:hint="eastAsia" w:asciiTheme="minorEastAsia" w:hAnsiTheme="minorEastAsia" w:eastAsiaTheme="minorEastAsia" w:cstheme="minorEastAsia"/>
                <w:b/>
                <w:bCs/>
                <w:color w:val="auto"/>
                <w:szCs w:val="21"/>
                <w:highlight w:val="none"/>
              </w:rPr>
              <w:t>/备件</w:t>
            </w:r>
            <w:r>
              <w:rPr>
                <w:rFonts w:hint="eastAsia" w:asciiTheme="minorEastAsia" w:hAnsiTheme="minorEastAsia" w:eastAsiaTheme="minorEastAsia" w:cstheme="minorEastAsia"/>
                <w:b/>
                <w:color w:val="auto"/>
                <w:szCs w:val="21"/>
                <w:highlight w:val="none"/>
              </w:rPr>
              <w:t>名称</w:t>
            </w:r>
          </w:p>
        </w:tc>
        <w:tc>
          <w:tcPr>
            <w:tcW w:w="1512" w:type="dxa"/>
            <w:vAlign w:val="center"/>
          </w:tcPr>
          <w:p>
            <w:pPr>
              <w:widowControl/>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规格型号</w:t>
            </w:r>
          </w:p>
        </w:tc>
        <w:tc>
          <w:tcPr>
            <w:tcW w:w="1512" w:type="dxa"/>
          </w:tcPr>
          <w:p>
            <w:pPr>
              <w:widowControl/>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制造商名称</w:t>
            </w:r>
          </w:p>
        </w:tc>
        <w:tc>
          <w:tcPr>
            <w:tcW w:w="1513" w:type="dxa"/>
          </w:tcPr>
          <w:p>
            <w:pPr>
              <w:widowControl/>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产地</w:t>
            </w:r>
          </w:p>
        </w:tc>
        <w:tc>
          <w:tcPr>
            <w:tcW w:w="709" w:type="dxa"/>
            <w:vAlign w:val="center"/>
          </w:tcPr>
          <w:p>
            <w:pPr>
              <w:widowControl/>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数量</w:t>
            </w:r>
          </w:p>
        </w:tc>
        <w:tc>
          <w:tcPr>
            <w:tcW w:w="958" w:type="dxa"/>
            <w:vAlign w:val="center"/>
          </w:tcPr>
          <w:p>
            <w:pPr>
              <w:widowControl/>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widowControl/>
              <w:jc w:val="center"/>
              <w:rPr>
                <w:rFonts w:asciiTheme="minorEastAsia" w:hAnsiTheme="minorEastAsia" w:eastAsiaTheme="minorEastAsia" w:cstheme="minorEastAsia"/>
                <w:color w:val="auto"/>
                <w:szCs w:val="21"/>
                <w:highlight w:val="none"/>
              </w:rPr>
            </w:pPr>
          </w:p>
        </w:tc>
        <w:tc>
          <w:tcPr>
            <w:tcW w:w="1513" w:type="dxa"/>
          </w:tcPr>
          <w:p>
            <w:pPr>
              <w:widowControl/>
              <w:jc w:val="center"/>
              <w:rPr>
                <w:rFonts w:asciiTheme="minorEastAsia" w:hAnsiTheme="minorEastAsia" w:eastAsiaTheme="minorEastAsia" w:cstheme="minorEastAsia"/>
                <w:color w:val="auto"/>
                <w:szCs w:val="21"/>
                <w:highlight w:val="none"/>
              </w:rPr>
            </w:pPr>
          </w:p>
        </w:tc>
        <w:tc>
          <w:tcPr>
            <w:tcW w:w="709" w:type="dxa"/>
            <w:vAlign w:val="center"/>
          </w:tcPr>
          <w:p>
            <w:pPr>
              <w:widowControl/>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widowControl/>
              <w:jc w:val="center"/>
              <w:rPr>
                <w:rFonts w:asciiTheme="minorEastAsia" w:hAnsiTheme="minorEastAsia" w:eastAsiaTheme="minorEastAsia" w:cstheme="minorEastAsia"/>
                <w:color w:val="auto"/>
                <w:szCs w:val="21"/>
                <w:highlight w:val="none"/>
              </w:rPr>
            </w:pPr>
          </w:p>
        </w:tc>
        <w:tc>
          <w:tcPr>
            <w:tcW w:w="1513" w:type="dxa"/>
          </w:tcPr>
          <w:p>
            <w:pPr>
              <w:widowControl/>
              <w:jc w:val="center"/>
              <w:rPr>
                <w:rFonts w:asciiTheme="minorEastAsia" w:hAnsiTheme="minorEastAsia" w:eastAsiaTheme="minorEastAsia" w:cstheme="minorEastAsia"/>
                <w:color w:val="auto"/>
                <w:szCs w:val="21"/>
                <w:highlight w:val="none"/>
              </w:rPr>
            </w:pPr>
          </w:p>
        </w:tc>
        <w:tc>
          <w:tcPr>
            <w:tcW w:w="709" w:type="dxa"/>
            <w:vAlign w:val="center"/>
          </w:tcPr>
          <w:p>
            <w:pPr>
              <w:widowControl/>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widowControl/>
              <w:jc w:val="center"/>
              <w:rPr>
                <w:rFonts w:asciiTheme="minorEastAsia" w:hAnsiTheme="minorEastAsia" w:eastAsiaTheme="minorEastAsia" w:cstheme="minorEastAsia"/>
                <w:color w:val="auto"/>
                <w:szCs w:val="21"/>
                <w:highlight w:val="none"/>
              </w:rPr>
            </w:pPr>
          </w:p>
        </w:tc>
        <w:tc>
          <w:tcPr>
            <w:tcW w:w="1513" w:type="dxa"/>
          </w:tcPr>
          <w:p>
            <w:pPr>
              <w:widowControl/>
              <w:jc w:val="center"/>
              <w:rPr>
                <w:rFonts w:asciiTheme="minorEastAsia" w:hAnsiTheme="minorEastAsia" w:eastAsiaTheme="minorEastAsia" w:cstheme="minorEastAsia"/>
                <w:color w:val="auto"/>
                <w:szCs w:val="21"/>
                <w:highlight w:val="none"/>
              </w:rPr>
            </w:pPr>
          </w:p>
        </w:tc>
        <w:tc>
          <w:tcPr>
            <w:tcW w:w="709" w:type="dxa"/>
            <w:vAlign w:val="center"/>
          </w:tcPr>
          <w:p>
            <w:pPr>
              <w:widowControl/>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left"/>
              <w:rPr>
                <w:rFonts w:asciiTheme="minorEastAsia" w:hAnsiTheme="minorEastAsia" w:eastAsiaTheme="minorEastAsia" w:cstheme="minorEastAsia"/>
                <w:color w:val="auto"/>
                <w:kern w:val="0"/>
                <w:szCs w:val="21"/>
                <w:highlight w:val="none"/>
              </w:rPr>
            </w:pPr>
          </w:p>
        </w:tc>
        <w:tc>
          <w:tcPr>
            <w:tcW w:w="1512" w:type="dxa"/>
          </w:tcPr>
          <w:p>
            <w:pPr>
              <w:widowControl/>
              <w:jc w:val="center"/>
              <w:rPr>
                <w:rFonts w:asciiTheme="minorEastAsia" w:hAnsiTheme="minorEastAsia" w:eastAsiaTheme="minorEastAsia" w:cstheme="minorEastAsia"/>
                <w:color w:val="auto"/>
                <w:szCs w:val="21"/>
                <w:highlight w:val="none"/>
              </w:rPr>
            </w:pPr>
          </w:p>
        </w:tc>
        <w:tc>
          <w:tcPr>
            <w:tcW w:w="1513" w:type="dxa"/>
          </w:tcPr>
          <w:p>
            <w:pPr>
              <w:widowControl/>
              <w:jc w:val="center"/>
              <w:rPr>
                <w:rFonts w:asciiTheme="minorEastAsia" w:hAnsiTheme="minorEastAsia" w:eastAsiaTheme="minorEastAsia" w:cstheme="minorEastAsia"/>
                <w:color w:val="auto"/>
                <w:szCs w:val="21"/>
                <w:highlight w:val="none"/>
              </w:rPr>
            </w:pPr>
          </w:p>
        </w:tc>
        <w:tc>
          <w:tcPr>
            <w:tcW w:w="709" w:type="dxa"/>
            <w:vAlign w:val="center"/>
          </w:tcPr>
          <w:p>
            <w:pPr>
              <w:widowControl/>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jc w:val="center"/>
              <w:rPr>
                <w:rFonts w:asciiTheme="minorEastAsia" w:hAnsiTheme="minorEastAsia" w:eastAsiaTheme="minorEastAsia" w:cstheme="minorEastAsia"/>
                <w:color w:val="auto"/>
                <w:szCs w:val="21"/>
                <w:highlight w:val="none"/>
              </w:rPr>
            </w:pPr>
          </w:p>
        </w:tc>
        <w:tc>
          <w:tcPr>
            <w:tcW w:w="1513" w:type="dxa"/>
          </w:tcPr>
          <w:p>
            <w:pPr>
              <w:jc w:val="center"/>
              <w:rPr>
                <w:rFonts w:asciiTheme="minorEastAsia" w:hAnsiTheme="minorEastAsia" w:eastAsiaTheme="minorEastAsia" w:cstheme="minorEastAsia"/>
                <w:color w:val="auto"/>
                <w:szCs w:val="21"/>
                <w:highlight w:val="none"/>
              </w:rPr>
            </w:pPr>
          </w:p>
        </w:tc>
        <w:tc>
          <w:tcPr>
            <w:tcW w:w="709" w:type="dxa"/>
            <w:vAlign w:val="center"/>
          </w:tcPr>
          <w:p>
            <w:pPr>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jc w:val="center"/>
              <w:rPr>
                <w:rFonts w:asciiTheme="minorEastAsia" w:hAnsiTheme="minorEastAsia" w:eastAsiaTheme="minorEastAsia" w:cstheme="minorEastAsia"/>
                <w:color w:val="auto"/>
                <w:szCs w:val="21"/>
                <w:highlight w:val="none"/>
              </w:rPr>
            </w:pPr>
          </w:p>
        </w:tc>
        <w:tc>
          <w:tcPr>
            <w:tcW w:w="1513" w:type="dxa"/>
          </w:tcPr>
          <w:p>
            <w:pPr>
              <w:jc w:val="center"/>
              <w:rPr>
                <w:rFonts w:asciiTheme="minorEastAsia" w:hAnsiTheme="minorEastAsia" w:eastAsiaTheme="minorEastAsia" w:cstheme="minorEastAsia"/>
                <w:color w:val="auto"/>
                <w:szCs w:val="21"/>
                <w:highlight w:val="none"/>
              </w:rPr>
            </w:pPr>
          </w:p>
        </w:tc>
        <w:tc>
          <w:tcPr>
            <w:tcW w:w="709" w:type="dxa"/>
            <w:vAlign w:val="center"/>
          </w:tcPr>
          <w:p>
            <w:pPr>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jc w:val="center"/>
              <w:rPr>
                <w:rFonts w:asciiTheme="minorEastAsia" w:hAnsiTheme="minorEastAsia" w:eastAsiaTheme="minorEastAsia" w:cstheme="minorEastAsia"/>
                <w:color w:val="auto"/>
                <w:szCs w:val="21"/>
                <w:highlight w:val="none"/>
              </w:rPr>
            </w:pPr>
          </w:p>
        </w:tc>
        <w:tc>
          <w:tcPr>
            <w:tcW w:w="1513" w:type="dxa"/>
          </w:tcPr>
          <w:p>
            <w:pPr>
              <w:jc w:val="center"/>
              <w:rPr>
                <w:rFonts w:asciiTheme="minorEastAsia" w:hAnsiTheme="minorEastAsia" w:eastAsiaTheme="minorEastAsia" w:cstheme="minorEastAsia"/>
                <w:color w:val="auto"/>
                <w:szCs w:val="21"/>
                <w:highlight w:val="none"/>
              </w:rPr>
            </w:pPr>
          </w:p>
        </w:tc>
        <w:tc>
          <w:tcPr>
            <w:tcW w:w="709" w:type="dxa"/>
            <w:vAlign w:val="center"/>
          </w:tcPr>
          <w:p>
            <w:pPr>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jc w:val="center"/>
              <w:rPr>
                <w:rFonts w:asciiTheme="minorEastAsia" w:hAnsiTheme="minorEastAsia" w:eastAsiaTheme="minorEastAsia" w:cstheme="minorEastAsia"/>
                <w:color w:val="auto"/>
                <w:szCs w:val="21"/>
                <w:highlight w:val="none"/>
              </w:rPr>
            </w:pPr>
          </w:p>
        </w:tc>
        <w:tc>
          <w:tcPr>
            <w:tcW w:w="1513" w:type="dxa"/>
          </w:tcPr>
          <w:p>
            <w:pPr>
              <w:jc w:val="center"/>
              <w:rPr>
                <w:rFonts w:asciiTheme="minorEastAsia" w:hAnsiTheme="minorEastAsia" w:eastAsiaTheme="minorEastAsia" w:cstheme="minorEastAsia"/>
                <w:color w:val="auto"/>
                <w:szCs w:val="21"/>
                <w:highlight w:val="none"/>
              </w:rPr>
            </w:pPr>
          </w:p>
        </w:tc>
        <w:tc>
          <w:tcPr>
            <w:tcW w:w="709" w:type="dxa"/>
            <w:vAlign w:val="center"/>
          </w:tcPr>
          <w:p>
            <w:pPr>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jc w:val="center"/>
              <w:rPr>
                <w:rFonts w:asciiTheme="minorEastAsia" w:hAnsiTheme="minorEastAsia" w:eastAsiaTheme="minorEastAsia" w:cstheme="minorEastAsia"/>
                <w:color w:val="auto"/>
                <w:szCs w:val="21"/>
                <w:highlight w:val="none"/>
              </w:rPr>
            </w:pPr>
          </w:p>
        </w:tc>
        <w:tc>
          <w:tcPr>
            <w:tcW w:w="1513" w:type="dxa"/>
          </w:tcPr>
          <w:p>
            <w:pPr>
              <w:jc w:val="center"/>
              <w:rPr>
                <w:rFonts w:asciiTheme="minorEastAsia" w:hAnsiTheme="minorEastAsia" w:eastAsiaTheme="minorEastAsia" w:cstheme="minorEastAsia"/>
                <w:color w:val="auto"/>
                <w:szCs w:val="21"/>
                <w:highlight w:val="none"/>
              </w:rPr>
            </w:pPr>
          </w:p>
        </w:tc>
        <w:tc>
          <w:tcPr>
            <w:tcW w:w="709" w:type="dxa"/>
            <w:vAlign w:val="center"/>
          </w:tcPr>
          <w:p>
            <w:pPr>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jc w:val="center"/>
              <w:rPr>
                <w:rFonts w:asciiTheme="minorEastAsia" w:hAnsiTheme="minorEastAsia" w:eastAsiaTheme="minorEastAsia" w:cstheme="minorEastAsia"/>
                <w:color w:val="auto"/>
                <w:szCs w:val="21"/>
                <w:highlight w:val="none"/>
              </w:rPr>
            </w:pPr>
          </w:p>
        </w:tc>
        <w:tc>
          <w:tcPr>
            <w:tcW w:w="1513" w:type="dxa"/>
          </w:tcPr>
          <w:p>
            <w:pPr>
              <w:jc w:val="center"/>
              <w:rPr>
                <w:rFonts w:asciiTheme="minorEastAsia" w:hAnsiTheme="minorEastAsia" w:eastAsiaTheme="minorEastAsia" w:cstheme="minorEastAsia"/>
                <w:color w:val="auto"/>
                <w:szCs w:val="21"/>
                <w:highlight w:val="none"/>
              </w:rPr>
            </w:pPr>
          </w:p>
        </w:tc>
        <w:tc>
          <w:tcPr>
            <w:tcW w:w="709" w:type="dxa"/>
            <w:vAlign w:val="center"/>
          </w:tcPr>
          <w:p>
            <w:pPr>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jc w:val="center"/>
              <w:rPr>
                <w:rFonts w:asciiTheme="minorEastAsia" w:hAnsiTheme="minorEastAsia" w:eastAsiaTheme="minorEastAsia" w:cstheme="minorEastAsia"/>
                <w:color w:val="auto"/>
                <w:szCs w:val="21"/>
                <w:highlight w:val="none"/>
              </w:rPr>
            </w:pPr>
          </w:p>
        </w:tc>
        <w:tc>
          <w:tcPr>
            <w:tcW w:w="1513" w:type="dxa"/>
          </w:tcPr>
          <w:p>
            <w:pPr>
              <w:jc w:val="center"/>
              <w:rPr>
                <w:rFonts w:asciiTheme="minorEastAsia" w:hAnsiTheme="minorEastAsia" w:eastAsiaTheme="minorEastAsia" w:cstheme="minorEastAsia"/>
                <w:color w:val="auto"/>
                <w:szCs w:val="21"/>
                <w:highlight w:val="none"/>
              </w:rPr>
            </w:pPr>
          </w:p>
        </w:tc>
        <w:tc>
          <w:tcPr>
            <w:tcW w:w="709" w:type="dxa"/>
            <w:vAlign w:val="center"/>
          </w:tcPr>
          <w:p>
            <w:pPr>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jc w:val="center"/>
              <w:rPr>
                <w:rFonts w:asciiTheme="minorEastAsia" w:hAnsiTheme="minorEastAsia" w:eastAsiaTheme="minorEastAsia" w:cstheme="minorEastAsia"/>
                <w:color w:val="auto"/>
                <w:szCs w:val="21"/>
                <w:highlight w:val="none"/>
              </w:rPr>
            </w:pPr>
          </w:p>
        </w:tc>
        <w:tc>
          <w:tcPr>
            <w:tcW w:w="1513" w:type="dxa"/>
          </w:tcPr>
          <w:p>
            <w:pPr>
              <w:jc w:val="center"/>
              <w:rPr>
                <w:rFonts w:asciiTheme="minorEastAsia" w:hAnsiTheme="minorEastAsia" w:eastAsiaTheme="minorEastAsia" w:cstheme="minorEastAsia"/>
                <w:color w:val="auto"/>
                <w:szCs w:val="21"/>
                <w:highlight w:val="none"/>
              </w:rPr>
            </w:pPr>
          </w:p>
        </w:tc>
        <w:tc>
          <w:tcPr>
            <w:tcW w:w="709" w:type="dxa"/>
            <w:vAlign w:val="center"/>
          </w:tcPr>
          <w:p>
            <w:pPr>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2295"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vAlign w:val="center"/>
          </w:tcPr>
          <w:p>
            <w:pPr>
              <w:widowControl/>
              <w:jc w:val="center"/>
              <w:rPr>
                <w:rFonts w:asciiTheme="minorEastAsia" w:hAnsiTheme="minorEastAsia" w:eastAsiaTheme="minorEastAsia" w:cstheme="minorEastAsia"/>
                <w:color w:val="auto"/>
                <w:szCs w:val="21"/>
                <w:highlight w:val="none"/>
              </w:rPr>
            </w:pPr>
          </w:p>
        </w:tc>
        <w:tc>
          <w:tcPr>
            <w:tcW w:w="1512" w:type="dxa"/>
          </w:tcPr>
          <w:p>
            <w:pPr>
              <w:jc w:val="center"/>
              <w:rPr>
                <w:rFonts w:asciiTheme="minorEastAsia" w:hAnsiTheme="minorEastAsia" w:eastAsiaTheme="minorEastAsia" w:cstheme="minorEastAsia"/>
                <w:color w:val="auto"/>
                <w:szCs w:val="21"/>
                <w:highlight w:val="none"/>
              </w:rPr>
            </w:pPr>
          </w:p>
        </w:tc>
        <w:tc>
          <w:tcPr>
            <w:tcW w:w="1513" w:type="dxa"/>
          </w:tcPr>
          <w:p>
            <w:pPr>
              <w:jc w:val="center"/>
              <w:rPr>
                <w:rFonts w:asciiTheme="minorEastAsia" w:hAnsiTheme="minorEastAsia" w:eastAsiaTheme="minorEastAsia" w:cstheme="minorEastAsia"/>
                <w:color w:val="auto"/>
                <w:szCs w:val="21"/>
                <w:highlight w:val="none"/>
              </w:rPr>
            </w:pPr>
          </w:p>
        </w:tc>
        <w:tc>
          <w:tcPr>
            <w:tcW w:w="709" w:type="dxa"/>
            <w:vAlign w:val="center"/>
          </w:tcPr>
          <w:p>
            <w:pPr>
              <w:jc w:val="center"/>
              <w:rPr>
                <w:rFonts w:asciiTheme="minorEastAsia" w:hAnsiTheme="minorEastAsia" w:eastAsiaTheme="minorEastAsia" w:cstheme="minorEastAsia"/>
                <w:color w:val="auto"/>
                <w:szCs w:val="21"/>
                <w:highlight w:val="none"/>
              </w:rPr>
            </w:pPr>
          </w:p>
        </w:tc>
        <w:tc>
          <w:tcPr>
            <w:tcW w:w="958" w:type="dxa"/>
            <w:vAlign w:val="center"/>
          </w:tcPr>
          <w:p>
            <w:pPr>
              <w:widowControl/>
              <w:jc w:val="center"/>
              <w:rPr>
                <w:rFonts w:asciiTheme="minorEastAsia" w:hAnsiTheme="minorEastAsia" w:eastAsiaTheme="minorEastAsia" w:cstheme="minorEastAsia"/>
                <w:color w:val="auto"/>
                <w:szCs w:val="21"/>
                <w:highlight w:val="none"/>
              </w:rPr>
            </w:pPr>
          </w:p>
        </w:tc>
      </w:tr>
    </w:tbl>
    <w:p>
      <w:pPr>
        <w:spacing w:line="360" w:lineRule="auto"/>
        <w:rPr>
          <w:rFonts w:asciiTheme="minorEastAsia" w:hAnsiTheme="minorEastAsia" w:eastAsiaTheme="minorEastAsia" w:cstheme="minorEastAsia"/>
          <w:color w:val="auto"/>
          <w:szCs w:val="21"/>
          <w:highlight w:val="none"/>
        </w:rPr>
      </w:pPr>
    </w:p>
    <w:p>
      <w:pPr>
        <w:rPr>
          <w:color w:val="auto"/>
          <w:highlight w:val="none"/>
        </w:rPr>
      </w:pP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磋商供应商授权代表（签字）：</w:t>
      </w:r>
      <w:r>
        <w:rPr>
          <w:rFonts w:hint="eastAsia" w:asciiTheme="minorEastAsia" w:hAnsiTheme="minorEastAsia" w:eastAsiaTheme="minorEastAsia" w:cstheme="minorEastAsia"/>
          <w:color w:val="auto"/>
          <w:szCs w:val="21"/>
          <w:highlight w:val="none"/>
          <w:u w:val="single"/>
        </w:rPr>
        <w:t xml:space="preserve">                        </w:t>
      </w:r>
    </w:p>
    <w:p>
      <w:pPr>
        <w:spacing w:line="360" w:lineRule="auto"/>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磋商供应商名称（盖章）：</w:t>
      </w:r>
      <w:r>
        <w:rPr>
          <w:rFonts w:hint="eastAsia" w:asciiTheme="minorEastAsia" w:hAnsiTheme="minorEastAsia" w:eastAsiaTheme="minorEastAsia" w:cstheme="minorEastAsia"/>
          <w:color w:val="auto"/>
          <w:szCs w:val="21"/>
          <w:highlight w:val="none"/>
          <w:u w:val="single"/>
        </w:rPr>
        <w:t xml:space="preserve">                                     </w:t>
      </w: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时                 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szCs w:val="21"/>
          <w:highlight w:val="none"/>
        </w:rPr>
        <w:br w:type="page"/>
      </w:r>
      <w:bookmarkStart w:id="163" w:name="_Toc10449"/>
      <w:bookmarkStart w:id="164" w:name="_Toc27053"/>
      <w:bookmarkStart w:id="165" w:name="_Toc479184132"/>
      <w:bookmarkStart w:id="166" w:name="_Toc450827818"/>
      <w:bookmarkStart w:id="167" w:name="_Toc12473"/>
      <w:r>
        <w:rPr>
          <w:rFonts w:hint="eastAsia" w:asciiTheme="minorEastAsia" w:hAnsiTheme="minorEastAsia" w:eastAsiaTheme="minorEastAsia" w:cstheme="minorEastAsia"/>
          <w:b/>
          <w:bCs/>
          <w:color w:val="auto"/>
          <w:szCs w:val="21"/>
          <w:highlight w:val="none"/>
        </w:rPr>
        <w:t>九、缴纳保证金的银行凭证</w:t>
      </w:r>
      <w:bookmarkEnd w:id="163"/>
      <w:bookmarkEnd w:id="164"/>
      <w:bookmarkEnd w:id="165"/>
      <w:bookmarkEnd w:id="166"/>
      <w:r>
        <w:rPr>
          <w:rFonts w:hint="eastAsia" w:asciiTheme="minorEastAsia" w:hAnsiTheme="minorEastAsia" w:eastAsiaTheme="minorEastAsia" w:cstheme="minorEastAsia"/>
          <w:b/>
          <w:bCs/>
          <w:color w:val="auto"/>
          <w:szCs w:val="21"/>
          <w:highlight w:val="none"/>
        </w:rPr>
        <w:t>（如有）</w:t>
      </w:r>
      <w:bookmarkEnd w:id="167"/>
    </w:p>
    <w:p>
      <w:pPr>
        <w:spacing w:line="360" w:lineRule="auto"/>
        <w:jc w:val="center"/>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ab/>
      </w:r>
      <w:r>
        <w:rPr>
          <w:rFonts w:hint="eastAsia" w:asciiTheme="minorEastAsia" w:hAnsiTheme="minorEastAsia" w:eastAsiaTheme="minorEastAsia" w:cstheme="minorEastAsia"/>
          <w:bCs/>
          <w:color w:val="auto"/>
          <w:szCs w:val="21"/>
          <w:highlight w:val="none"/>
        </w:rPr>
        <w:tab/>
      </w:r>
      <w:r>
        <w:rPr>
          <w:rFonts w:hint="eastAsia" w:asciiTheme="minorEastAsia" w:hAnsiTheme="minorEastAsia" w:eastAsiaTheme="minorEastAsia" w:cstheme="minorEastAsia"/>
          <w:bCs/>
          <w:color w:val="auto"/>
          <w:szCs w:val="21"/>
          <w:highlight w:val="none"/>
        </w:rPr>
        <w:tab/>
      </w:r>
      <w:r>
        <w:rPr>
          <w:rFonts w:hint="eastAsia" w:asciiTheme="minorEastAsia" w:hAnsiTheme="minorEastAsia" w:eastAsiaTheme="minorEastAsia" w:cstheme="minorEastAsia"/>
          <w:bCs/>
          <w:color w:val="auto"/>
          <w:szCs w:val="21"/>
          <w:highlight w:val="none"/>
        </w:rPr>
        <w:tab/>
      </w:r>
      <w:r>
        <w:rPr>
          <w:rFonts w:hint="eastAsia" w:asciiTheme="minorEastAsia" w:hAnsiTheme="minorEastAsia" w:eastAsiaTheme="minorEastAsia" w:cstheme="minorEastAsia"/>
          <w:bCs/>
          <w:color w:val="auto"/>
          <w:szCs w:val="21"/>
          <w:highlight w:val="none"/>
        </w:rPr>
        <w:tab/>
      </w:r>
      <w:r>
        <w:rPr>
          <w:rFonts w:hint="eastAsia" w:asciiTheme="minorEastAsia" w:hAnsiTheme="minorEastAsia" w:eastAsiaTheme="minorEastAsia" w:cstheme="minorEastAsia"/>
          <w:bCs/>
          <w:color w:val="auto"/>
          <w:szCs w:val="21"/>
          <w:highlight w:val="none"/>
        </w:rPr>
        <w:tab/>
      </w:r>
      <w:r>
        <w:rPr>
          <w:rFonts w:hint="eastAsia" w:asciiTheme="minorEastAsia" w:hAnsiTheme="minorEastAsia" w:eastAsiaTheme="minorEastAsia" w:cstheme="minorEastAsia"/>
          <w:bCs/>
          <w:color w:val="auto"/>
          <w:szCs w:val="21"/>
          <w:highlight w:val="none"/>
        </w:rPr>
        <w:tab/>
      </w:r>
      <w:r>
        <w:rPr>
          <w:rFonts w:hint="eastAsia" w:asciiTheme="minorEastAsia" w:hAnsiTheme="minorEastAsia" w:eastAsiaTheme="minorEastAsia" w:cstheme="minorEastAsia"/>
          <w:bCs/>
          <w:color w:val="auto"/>
          <w:szCs w:val="21"/>
          <w:highlight w:val="none"/>
        </w:rPr>
        <w:tab/>
      </w:r>
      <w:r>
        <w:rPr>
          <w:rFonts w:hint="eastAsia" w:asciiTheme="minorEastAsia" w:hAnsiTheme="minorEastAsia" w:eastAsiaTheme="minorEastAsia" w:cstheme="minorEastAsia"/>
          <w:bCs/>
          <w:color w:val="auto"/>
          <w:szCs w:val="21"/>
          <w:highlight w:val="none"/>
        </w:rPr>
        <w:tab/>
      </w:r>
      <w:r>
        <w:rPr>
          <w:rFonts w:hint="eastAsia" w:asciiTheme="minorEastAsia" w:hAnsiTheme="minorEastAsia" w:eastAsiaTheme="minorEastAsia" w:cstheme="minorEastAsia"/>
          <w:bCs/>
          <w:color w:val="auto"/>
          <w:szCs w:val="21"/>
          <w:highlight w:val="none"/>
        </w:rPr>
        <w:t xml:space="preserve">         </w:t>
      </w:r>
    </w:p>
    <w:p>
      <w:pPr>
        <w:spacing w:line="360" w:lineRule="auto"/>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中经国际招标集团有限公司：</w:t>
      </w: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rPr>
        <w:t xml:space="preserve">      </w:t>
      </w:r>
      <w:r>
        <w:rPr>
          <w:rFonts w:hint="eastAsia" w:asciiTheme="minorEastAsia" w:hAnsiTheme="minorEastAsia" w:eastAsiaTheme="minorEastAsia" w:cstheme="minorEastAsia"/>
          <w:bCs/>
          <w:color w:val="auto"/>
          <w:szCs w:val="21"/>
          <w:highlight w:val="none"/>
          <w:u w:val="single"/>
        </w:rPr>
        <w:t xml:space="preserve">                       (供应商全称)</w:t>
      </w:r>
      <w:r>
        <w:rPr>
          <w:rFonts w:hint="eastAsia" w:asciiTheme="minorEastAsia" w:hAnsiTheme="minorEastAsia" w:eastAsiaTheme="minorEastAsia" w:cstheme="minorEastAsia"/>
          <w:bCs/>
          <w:color w:val="auto"/>
          <w:szCs w:val="21"/>
          <w:highlight w:val="none"/>
        </w:rPr>
        <w:t xml:space="preserve"> 参加贵方组织的，采购编号为</w:t>
      </w:r>
      <w:r>
        <w:rPr>
          <w:rFonts w:hint="eastAsia" w:asciiTheme="minorEastAsia" w:hAnsiTheme="minorEastAsia" w:eastAsiaTheme="minorEastAsia" w:cstheme="minorEastAsia"/>
          <w:bCs/>
          <w:color w:val="auto"/>
          <w:szCs w:val="21"/>
          <w:highlight w:val="none"/>
          <w:u w:val="single"/>
        </w:rPr>
        <w:t xml:space="preserve">           </w:t>
      </w:r>
      <w:r>
        <w:rPr>
          <w:rFonts w:hint="eastAsia" w:asciiTheme="minorEastAsia" w:hAnsiTheme="minorEastAsia" w:eastAsiaTheme="minorEastAsia" w:cstheme="minorEastAsia"/>
          <w:bCs/>
          <w:color w:val="auto"/>
          <w:szCs w:val="21"/>
          <w:highlight w:val="none"/>
        </w:rPr>
        <w:t>的采购活动。</w:t>
      </w:r>
      <w:r>
        <w:rPr>
          <w:rFonts w:hint="eastAsia" w:asciiTheme="minorEastAsia" w:hAnsiTheme="minorEastAsia" w:eastAsiaTheme="minorEastAsia" w:cstheme="minorEastAsia"/>
          <w:color w:val="auto"/>
          <w:szCs w:val="21"/>
          <w:highlight w:val="none"/>
        </w:rPr>
        <w:t>按竞争性磋商文件的规定，已递交人民币</w:t>
      </w:r>
      <w:r>
        <w:rPr>
          <w:rFonts w:hint="eastAsia" w:asciiTheme="minorEastAsia" w:hAnsiTheme="minorEastAsia" w:eastAsiaTheme="minorEastAsia" w:cstheme="minorEastAsia"/>
          <w:color w:val="auto"/>
          <w:szCs w:val="21"/>
          <w:highlight w:val="none"/>
          <w:u w:val="single"/>
        </w:rPr>
        <w:t xml:space="preserve">（大写）  　　 </w:t>
      </w:r>
      <w:r>
        <w:rPr>
          <w:rFonts w:hint="eastAsia" w:asciiTheme="minorEastAsia" w:hAnsiTheme="minorEastAsia" w:eastAsiaTheme="minorEastAsia" w:cstheme="minorEastAsia"/>
          <w:color w:val="auto"/>
          <w:szCs w:val="21"/>
          <w:highlight w:val="none"/>
        </w:rPr>
        <w:t xml:space="preserve"> 元的保证金。</w:t>
      </w: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 应 商 名 称 ：</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供应商开户银行：</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供应商银行账号：</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p>
    <w:p>
      <w:pPr>
        <w:spacing w:line="360" w:lineRule="auto"/>
        <w:rPr>
          <w:rFonts w:asciiTheme="minorEastAsia" w:hAnsiTheme="minorEastAsia" w:eastAsiaTheme="minorEastAsia" w:cstheme="minorEastAsia"/>
          <w:color w:val="auto"/>
          <w:szCs w:val="21"/>
          <w:highlight w:val="none"/>
        </w:rPr>
      </w:pPr>
    </w:p>
    <w:p>
      <w:pPr>
        <w:spacing w:line="360" w:lineRule="auto"/>
        <w:rPr>
          <w:rFonts w:asciiTheme="minorEastAsia" w:hAnsiTheme="minorEastAsia" w:eastAsiaTheme="minorEastAsia" w:cstheme="minorEastAsia"/>
          <w:color w:val="auto"/>
          <w:szCs w:val="21"/>
          <w:highlight w:val="none"/>
        </w:rPr>
      </w:pP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磋商供应商法定代表人（签字）：</w:t>
      </w: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磋商供应商授权代表（签字）：</w:t>
      </w:r>
      <w:r>
        <w:rPr>
          <w:rFonts w:hint="eastAsia" w:asciiTheme="minorEastAsia" w:hAnsiTheme="minorEastAsia" w:eastAsiaTheme="minorEastAsia" w:cstheme="minorEastAsia"/>
          <w:color w:val="auto"/>
          <w:szCs w:val="21"/>
          <w:highlight w:val="none"/>
          <w:u w:val="single"/>
        </w:rPr>
        <w:t xml:space="preserve">                       </w:t>
      </w:r>
    </w:p>
    <w:p>
      <w:pPr>
        <w:spacing w:line="360" w:lineRule="auto"/>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磋商供应商名称（盖章）：</w:t>
      </w:r>
      <w:r>
        <w:rPr>
          <w:rFonts w:hint="eastAsia" w:asciiTheme="minorEastAsia" w:hAnsiTheme="minorEastAsia" w:eastAsiaTheme="minorEastAsia" w:cstheme="minorEastAsia"/>
          <w:color w:val="auto"/>
          <w:szCs w:val="21"/>
          <w:highlight w:val="none"/>
          <w:u w:val="single"/>
        </w:rPr>
        <w:t xml:space="preserve">                                     </w:t>
      </w:r>
    </w:p>
    <w:p>
      <w:pPr>
        <w:spacing w:line="360" w:lineRule="auto"/>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时                 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w:t>
      </w:r>
    </w:p>
    <w:p>
      <w:pPr>
        <w:spacing w:line="360" w:lineRule="auto"/>
        <w:rPr>
          <w:rFonts w:asciiTheme="minorEastAsia" w:hAnsiTheme="minorEastAsia" w:eastAsiaTheme="minorEastAsia" w:cstheme="minorEastAsia"/>
          <w:bCs/>
          <w:color w:val="auto"/>
          <w:szCs w:val="21"/>
          <w:highlight w:val="none"/>
        </w:rPr>
      </w:pPr>
    </w:p>
    <w:p>
      <w:pPr>
        <w:spacing w:line="360" w:lineRule="auto"/>
        <w:rPr>
          <w:rFonts w:asciiTheme="minorEastAsia" w:hAnsiTheme="minorEastAsia" w:eastAsiaTheme="minorEastAsia" w:cstheme="minorEastAsia"/>
          <w:bCs/>
          <w:color w:val="auto"/>
          <w:szCs w:val="21"/>
          <w:highlight w:val="none"/>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粘贴转账或电汇银行凭证（复印件）</w:t>
            </w:r>
          </w:p>
          <w:p>
            <w:pPr>
              <w:spacing w:line="360" w:lineRule="auto"/>
              <w:rPr>
                <w:rFonts w:asciiTheme="minorEastAsia" w:hAnsiTheme="minorEastAsia" w:eastAsiaTheme="minorEastAsia" w:cstheme="minorEastAsia"/>
                <w:bCs/>
                <w:color w:val="auto"/>
                <w:szCs w:val="21"/>
                <w:highlight w:val="none"/>
              </w:rPr>
            </w:pPr>
          </w:p>
          <w:p>
            <w:pPr>
              <w:spacing w:line="360" w:lineRule="auto"/>
              <w:rPr>
                <w:rFonts w:asciiTheme="minorEastAsia" w:hAnsiTheme="minorEastAsia" w:eastAsiaTheme="minorEastAsia" w:cstheme="minorEastAsia"/>
                <w:bCs/>
                <w:color w:val="auto"/>
                <w:szCs w:val="21"/>
                <w:highlight w:val="none"/>
              </w:rPr>
            </w:pPr>
          </w:p>
          <w:p>
            <w:pPr>
              <w:spacing w:line="360" w:lineRule="auto"/>
              <w:rPr>
                <w:rFonts w:asciiTheme="minorEastAsia" w:hAnsiTheme="minorEastAsia" w:eastAsiaTheme="minorEastAsia" w:cstheme="minorEastAsia"/>
                <w:bCs/>
                <w:color w:val="auto"/>
                <w:szCs w:val="21"/>
                <w:highlight w:val="none"/>
              </w:rPr>
            </w:pPr>
          </w:p>
          <w:p>
            <w:pPr>
              <w:spacing w:line="360" w:lineRule="auto"/>
              <w:rPr>
                <w:rFonts w:asciiTheme="minorEastAsia" w:hAnsiTheme="minorEastAsia" w:eastAsiaTheme="minorEastAsia" w:cstheme="minorEastAsia"/>
                <w:bCs/>
                <w:color w:val="auto"/>
                <w:szCs w:val="21"/>
                <w:highlight w:val="none"/>
              </w:rPr>
            </w:pPr>
          </w:p>
          <w:p>
            <w:pPr>
              <w:spacing w:line="360" w:lineRule="auto"/>
              <w:rPr>
                <w:rFonts w:asciiTheme="minorEastAsia" w:hAnsiTheme="minorEastAsia" w:eastAsiaTheme="minorEastAsia" w:cstheme="minorEastAsia"/>
                <w:bCs/>
                <w:color w:val="auto"/>
                <w:szCs w:val="21"/>
                <w:highlight w:val="none"/>
              </w:rPr>
            </w:pPr>
          </w:p>
          <w:p>
            <w:pPr>
              <w:spacing w:line="360" w:lineRule="auto"/>
              <w:rPr>
                <w:rFonts w:asciiTheme="minorEastAsia" w:hAnsiTheme="minorEastAsia" w:eastAsiaTheme="minorEastAsia" w:cstheme="minorEastAsia"/>
                <w:bCs/>
                <w:color w:val="auto"/>
                <w:szCs w:val="21"/>
                <w:highlight w:val="none"/>
              </w:rPr>
            </w:pPr>
          </w:p>
          <w:p>
            <w:pPr>
              <w:spacing w:line="360" w:lineRule="auto"/>
              <w:rPr>
                <w:rFonts w:asciiTheme="minorEastAsia" w:hAnsiTheme="minorEastAsia" w:eastAsiaTheme="minorEastAsia" w:cstheme="minorEastAsia"/>
                <w:bCs/>
                <w:color w:val="auto"/>
                <w:szCs w:val="21"/>
                <w:highlight w:val="none"/>
              </w:rPr>
            </w:pPr>
          </w:p>
        </w:tc>
      </w:tr>
    </w:tbl>
    <w:p>
      <w:pPr>
        <w:adjustRightInd w:val="0"/>
        <w:snapToGrid w:val="0"/>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rPr>
        <w:t>注： 请供应商认真填写银行信息，并要求与粘贴转账或电汇银行凭证的相关信息一致，采购代理机构将依据此凭证信息退还保证金。</w:t>
      </w:r>
    </w:p>
    <w:bookmarkEnd w:id="149"/>
    <w:bookmarkEnd w:id="150"/>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 w:val="24"/>
          <w:highlight w:val="none"/>
        </w:rPr>
        <w:br w:type="page"/>
      </w:r>
      <w:bookmarkStart w:id="168" w:name="_Toc479184133"/>
      <w:bookmarkStart w:id="169" w:name="_Toc1591"/>
      <w:bookmarkStart w:id="170" w:name="_Toc28200"/>
      <w:bookmarkStart w:id="171" w:name="_Toc422466736"/>
      <w:bookmarkStart w:id="172" w:name="_Toc432149012"/>
      <w:bookmarkStart w:id="173" w:name="_Toc10142"/>
      <w:r>
        <w:rPr>
          <w:rFonts w:hint="eastAsia" w:asciiTheme="minorEastAsia" w:hAnsiTheme="minorEastAsia" w:eastAsiaTheme="minorEastAsia" w:cstheme="minorEastAsia"/>
          <w:b/>
          <w:bCs/>
          <w:color w:val="auto"/>
          <w:szCs w:val="21"/>
          <w:highlight w:val="none"/>
        </w:rPr>
        <w:t>十、偏离说明表</w:t>
      </w:r>
      <w:bookmarkEnd w:id="168"/>
      <w:bookmarkEnd w:id="169"/>
      <w:bookmarkEnd w:id="170"/>
      <w:bookmarkEnd w:id="171"/>
      <w:bookmarkEnd w:id="172"/>
      <w:bookmarkEnd w:id="173"/>
    </w:p>
    <w:p>
      <w:pPr>
        <w:adjustRightInd w:val="0"/>
        <w:snapToGrid w:val="0"/>
        <w:rPr>
          <w:rFonts w:asciiTheme="minorEastAsia" w:hAnsiTheme="minorEastAsia" w:eastAsiaTheme="minorEastAsia" w:cstheme="minorEastAsia"/>
          <w:color w:val="auto"/>
          <w:szCs w:val="21"/>
          <w:highlight w:val="none"/>
        </w:rPr>
      </w:pPr>
    </w:p>
    <w:p>
      <w:pPr>
        <w:adjustRightInd w:val="0"/>
        <w:snapToGrid w:val="0"/>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项目名称：                         </w:t>
      </w:r>
    </w:p>
    <w:p>
      <w:pPr>
        <w:adjustRightInd w:val="0"/>
        <w:snapToGrid w:val="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序号</w:t>
            </w:r>
          </w:p>
        </w:tc>
        <w:tc>
          <w:tcPr>
            <w:tcW w:w="2874"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采购需求</w:t>
            </w:r>
          </w:p>
        </w:tc>
        <w:tc>
          <w:tcPr>
            <w:tcW w:w="3449"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报价响应</w:t>
            </w:r>
          </w:p>
        </w:tc>
        <w:tc>
          <w:tcPr>
            <w:tcW w:w="1675" w:type="dxa"/>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资格性要求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shd w:val="clear" w:color="auto" w:fill="D7D7D7" w:themeFill="background1" w:themeFillShade="D8"/>
              </w:rPr>
              <w:t>符合性要求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287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3449"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67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bl>
    <w:p>
      <w:pPr>
        <w:adjustRightInd w:val="0"/>
        <w:snapToGrid w:val="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说明：</w:t>
      </w:r>
    </w:p>
    <w:p>
      <w:pPr>
        <w:numPr>
          <w:ilvl w:val="7"/>
          <w:numId w:val="43"/>
        </w:numPr>
        <w:tabs>
          <w:tab w:val="left" w:pos="540"/>
        </w:tabs>
        <w:adjustRightInd w:val="0"/>
        <w:snapToGrid w:val="0"/>
        <w:ind w:left="540" w:hanging="54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3"/>
        </w:numPr>
        <w:tabs>
          <w:tab w:val="left" w:pos="540"/>
        </w:tabs>
        <w:adjustRightInd w:val="0"/>
        <w:snapToGrid w:val="0"/>
        <w:ind w:left="540" w:hanging="54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asciiTheme="minorEastAsia" w:hAnsiTheme="minorEastAsia" w:eastAsiaTheme="minorEastAsia" w:cstheme="minorEastAsia"/>
          <w:color w:val="auto"/>
          <w:szCs w:val="21"/>
          <w:highlight w:val="none"/>
        </w:rPr>
      </w:pPr>
    </w:p>
    <w:p>
      <w:pPr>
        <w:adjustRightInd w:val="0"/>
        <w:snapToGrid w:val="0"/>
        <w:rPr>
          <w:rFonts w:asciiTheme="minorEastAsia" w:hAnsiTheme="minorEastAsia" w:eastAsiaTheme="minorEastAsia" w:cstheme="minorEastAsia"/>
          <w:color w:val="auto"/>
          <w:szCs w:val="21"/>
          <w:highlight w:val="none"/>
        </w:rPr>
      </w:pP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磋商供应商授权代表（签字）：</w:t>
      </w:r>
      <w:r>
        <w:rPr>
          <w:rFonts w:hint="eastAsia" w:asciiTheme="minorEastAsia" w:hAnsiTheme="minorEastAsia" w:eastAsiaTheme="minorEastAsia" w:cstheme="minorEastAsia"/>
          <w:color w:val="auto"/>
          <w:szCs w:val="21"/>
          <w:highlight w:val="none"/>
          <w:u w:val="single"/>
        </w:rPr>
        <w:t xml:space="preserve">                        </w:t>
      </w:r>
    </w:p>
    <w:p>
      <w:pPr>
        <w:spacing w:line="360" w:lineRule="auto"/>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磋商</w:t>
      </w:r>
      <w:r>
        <w:rPr>
          <w:rFonts w:hint="eastAsia" w:asciiTheme="minorEastAsia" w:hAnsiTheme="minorEastAsia" w:eastAsiaTheme="minorEastAsia" w:cstheme="minorEastAsia"/>
          <w:bCs/>
          <w:color w:val="auto"/>
          <w:szCs w:val="21"/>
          <w:highlight w:val="none"/>
        </w:rPr>
        <w:t>供应商</w:t>
      </w:r>
      <w:r>
        <w:rPr>
          <w:rFonts w:hint="eastAsia" w:asciiTheme="minorEastAsia" w:hAnsiTheme="minorEastAsia" w:eastAsiaTheme="minorEastAsia" w:cstheme="minorEastAsia"/>
          <w:color w:val="auto"/>
          <w:szCs w:val="21"/>
          <w:highlight w:val="none"/>
        </w:rPr>
        <w:t>名称（盖章 ）：</w:t>
      </w:r>
      <w:r>
        <w:rPr>
          <w:rFonts w:hint="eastAsia" w:asciiTheme="minorEastAsia" w:hAnsiTheme="minorEastAsia" w:eastAsiaTheme="minorEastAsia" w:cstheme="minorEastAsia"/>
          <w:color w:val="auto"/>
          <w:szCs w:val="21"/>
          <w:highlight w:val="none"/>
          <w:u w:val="single"/>
        </w:rPr>
        <w:t xml:space="preserve">                                     </w:t>
      </w: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rPr>
        <w:t xml:space="preserve">时                 </w:t>
      </w:r>
      <w:r>
        <w:rPr>
          <w:rFonts w:hint="eastAsia" w:asciiTheme="minorEastAsia" w:hAnsiTheme="minorEastAsia" w:eastAsiaTheme="minorEastAsia" w:cstheme="minorEastAsia"/>
          <w:color w:val="auto"/>
          <w:szCs w:val="21"/>
          <w:highlight w:val="none"/>
        </w:rPr>
        <w:t>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w:t>
      </w:r>
    </w:p>
    <w:p>
      <w:pPr>
        <w:rPr>
          <w:rFonts w:asciiTheme="minorEastAsia" w:hAnsiTheme="minorEastAsia" w:eastAsiaTheme="minorEastAsia" w:cstheme="minorEastAsia"/>
          <w:b/>
          <w:color w:val="auto"/>
          <w:kern w:val="0"/>
          <w:szCs w:val="21"/>
          <w:highlight w:val="none"/>
        </w:rPr>
      </w:pP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color w:val="auto"/>
          <w:kern w:val="0"/>
          <w:szCs w:val="21"/>
          <w:highlight w:val="none"/>
        </w:rPr>
        <w:br w:type="page"/>
      </w:r>
      <w:bookmarkStart w:id="174" w:name="_Toc28283"/>
      <w:bookmarkStart w:id="175" w:name="_Toc432149013"/>
      <w:bookmarkStart w:id="176" w:name="_Toc32060"/>
      <w:bookmarkStart w:id="177" w:name="_Toc479184134"/>
      <w:bookmarkStart w:id="178" w:name="_Toc362935521"/>
      <w:bookmarkStart w:id="179" w:name="_Toc7457"/>
      <w:r>
        <w:rPr>
          <w:rFonts w:hint="eastAsia" w:asciiTheme="minorEastAsia" w:hAnsiTheme="minorEastAsia" w:eastAsiaTheme="minorEastAsia" w:cstheme="minorEastAsia"/>
          <w:b/>
          <w:color w:val="auto"/>
          <w:kern w:val="0"/>
          <w:szCs w:val="21"/>
          <w:highlight w:val="none"/>
        </w:rPr>
        <w:t>十一、</w:t>
      </w:r>
      <w:r>
        <w:rPr>
          <w:rFonts w:hint="eastAsia" w:asciiTheme="minorEastAsia" w:hAnsiTheme="minorEastAsia" w:eastAsiaTheme="minorEastAsia" w:cstheme="minorEastAsia"/>
          <w:b/>
          <w:bCs/>
          <w:color w:val="auto"/>
          <w:szCs w:val="21"/>
          <w:highlight w:val="none"/>
        </w:rPr>
        <w:t>类似业绩一览表</w:t>
      </w:r>
      <w:bookmarkEnd w:id="174"/>
      <w:bookmarkEnd w:id="175"/>
      <w:bookmarkEnd w:id="176"/>
      <w:bookmarkEnd w:id="177"/>
      <w:bookmarkEnd w:id="178"/>
      <w:r>
        <w:rPr>
          <w:rFonts w:hint="eastAsia" w:asciiTheme="minorEastAsia" w:hAnsiTheme="minorEastAsia" w:eastAsiaTheme="minorEastAsia" w:cstheme="minorEastAsia"/>
          <w:b/>
          <w:bCs/>
          <w:color w:val="auto"/>
          <w:szCs w:val="21"/>
          <w:highlight w:val="none"/>
        </w:rPr>
        <w:br w:type="textWrapping"/>
      </w:r>
      <w:bookmarkEnd w:id="179"/>
    </w:p>
    <w:p>
      <w:pPr>
        <w:adjustRightInd w:val="0"/>
        <w:snapToGrid w:val="0"/>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项目名称：                         </w:t>
      </w:r>
    </w:p>
    <w:p>
      <w:pPr>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项目编号：</w:t>
      </w:r>
    </w:p>
    <w:tbl>
      <w:tblPr>
        <w:tblStyle w:val="26"/>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22"/>
        <w:gridCol w:w="824"/>
        <w:gridCol w:w="1237"/>
        <w:gridCol w:w="971"/>
        <w:gridCol w:w="912"/>
        <w:gridCol w:w="1345"/>
        <w:gridCol w:w="1192"/>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pacing w:val="-6"/>
                <w:szCs w:val="21"/>
                <w:highlight w:val="none"/>
              </w:rPr>
            </w:pPr>
            <w:r>
              <w:rPr>
                <w:rFonts w:hint="eastAsia" w:asciiTheme="minorEastAsia" w:hAnsiTheme="minorEastAsia" w:eastAsiaTheme="minorEastAsia" w:cstheme="minorEastAsia"/>
                <w:color w:val="auto"/>
                <w:spacing w:val="-6"/>
                <w:szCs w:val="21"/>
                <w:highlight w:val="none"/>
              </w:rPr>
              <w:t>序号</w:t>
            </w:r>
          </w:p>
        </w:tc>
        <w:tc>
          <w:tcPr>
            <w:tcW w:w="142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项目名称</w:t>
            </w:r>
          </w:p>
        </w:tc>
        <w:tc>
          <w:tcPr>
            <w:tcW w:w="824"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业主单位</w:t>
            </w:r>
          </w:p>
        </w:tc>
        <w:tc>
          <w:tcPr>
            <w:tcW w:w="123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pacing w:val="-6"/>
                <w:szCs w:val="21"/>
                <w:highlight w:val="none"/>
              </w:rPr>
            </w:pPr>
            <w:r>
              <w:rPr>
                <w:rFonts w:hint="eastAsia" w:asciiTheme="minorEastAsia" w:hAnsiTheme="minorEastAsia" w:eastAsiaTheme="minorEastAsia" w:cstheme="minorEastAsia"/>
                <w:color w:val="auto"/>
                <w:spacing w:val="-6"/>
                <w:szCs w:val="21"/>
                <w:highlight w:val="none"/>
              </w:rPr>
              <w:t>合同签订</w:t>
            </w:r>
          </w:p>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6"/>
                <w:szCs w:val="21"/>
                <w:highlight w:val="none"/>
              </w:rPr>
              <w:t>时间</w:t>
            </w:r>
          </w:p>
        </w:tc>
        <w:tc>
          <w:tcPr>
            <w:tcW w:w="971"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合同金额</w:t>
            </w:r>
          </w:p>
        </w:tc>
        <w:tc>
          <w:tcPr>
            <w:tcW w:w="91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项目负责人</w:t>
            </w:r>
          </w:p>
        </w:tc>
        <w:tc>
          <w:tcPr>
            <w:tcW w:w="1345"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业主单位联系人及电话</w:t>
            </w:r>
          </w:p>
        </w:tc>
        <w:tc>
          <w:tcPr>
            <w:tcW w:w="1192"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中标公告网页链接（如有）</w:t>
            </w:r>
          </w:p>
        </w:tc>
        <w:tc>
          <w:tcPr>
            <w:tcW w:w="646"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w:t>
            </w:r>
          </w:p>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142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824"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237"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971"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91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345"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1192"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c>
          <w:tcPr>
            <w:tcW w:w="646" w:type="dxa"/>
          </w:tcPr>
          <w:p>
            <w:pPr>
              <w:adjustRightInd w:val="0"/>
              <w:snapToGrid w:val="0"/>
              <w:spacing w:beforeLines="10" w:afterLines="10"/>
              <w:ind w:left="21" w:leftChars="10" w:right="21" w:rightChars="10"/>
              <w:jc w:val="center"/>
              <w:rPr>
                <w:rFonts w:asciiTheme="minorEastAsia" w:hAnsiTheme="minorEastAsia" w:eastAsiaTheme="minorEastAsia" w:cstheme="minorEastAsia"/>
                <w:color w:val="auto"/>
                <w:szCs w:val="21"/>
                <w:highlight w:val="none"/>
              </w:rPr>
            </w:pPr>
          </w:p>
        </w:tc>
      </w:tr>
    </w:tbl>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说明：</w:t>
      </w: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1.附磋商供应商承担类似项目的情况填入本表中，提供业绩合同等评分标准要求的相关证明材料。 无证明材料的内容评审时将不予考虑。</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2.公开竞标成交的类似业绩，还应提供成交/中标公告网页链接。</w:t>
      </w:r>
    </w:p>
    <w:p>
      <w:pPr>
        <w:spacing w:line="360" w:lineRule="auto"/>
        <w:rPr>
          <w:rFonts w:asciiTheme="minorEastAsia" w:hAnsiTheme="minorEastAsia" w:eastAsiaTheme="minorEastAsia" w:cstheme="minorEastAsia"/>
          <w:color w:val="auto"/>
          <w:szCs w:val="21"/>
          <w:highlight w:val="none"/>
        </w:rPr>
      </w:pPr>
      <w:bookmarkStart w:id="180" w:name="_Toc460258118"/>
      <w:bookmarkStart w:id="181" w:name="_Toc454806053"/>
      <w:r>
        <w:rPr>
          <w:rFonts w:hint="eastAsia" w:asciiTheme="minorEastAsia" w:hAnsiTheme="minorEastAsia" w:eastAsiaTheme="minorEastAsia" w:cstheme="minorEastAsia"/>
          <w:b/>
          <w:bCs/>
          <w:color w:val="auto"/>
          <w:sz w:val="24"/>
          <w:highlight w:val="none"/>
        </w:rPr>
        <w:br w:type="textWrapping"/>
      </w:r>
      <w:r>
        <w:rPr>
          <w:rFonts w:hint="eastAsia" w:asciiTheme="minorEastAsia" w:hAnsiTheme="minorEastAsia" w:eastAsiaTheme="minorEastAsia" w:cstheme="minorEastAsia"/>
          <w:b/>
          <w:bCs/>
          <w:color w:val="auto"/>
          <w:sz w:val="24"/>
          <w:highlight w:val="none"/>
        </w:rPr>
        <w:br w:type="textWrapping"/>
      </w:r>
      <w:r>
        <w:rPr>
          <w:rFonts w:hint="eastAsia" w:asciiTheme="minorEastAsia" w:hAnsiTheme="minorEastAsia" w:eastAsiaTheme="minorEastAsia" w:cstheme="minorEastAsia"/>
          <w:color w:val="auto"/>
          <w:szCs w:val="21"/>
          <w:highlight w:val="none"/>
        </w:rPr>
        <w:t>磋商供应商授权代表（签字）：</w:t>
      </w:r>
      <w:r>
        <w:rPr>
          <w:rFonts w:hint="eastAsia" w:asciiTheme="minorEastAsia" w:hAnsiTheme="minorEastAsia" w:eastAsiaTheme="minorEastAsia" w:cstheme="minorEastAsia"/>
          <w:color w:val="auto"/>
          <w:szCs w:val="21"/>
          <w:highlight w:val="none"/>
          <w:u w:val="single"/>
        </w:rPr>
        <w:t xml:space="preserve">                        </w:t>
      </w:r>
    </w:p>
    <w:p>
      <w:pPr>
        <w:spacing w:line="360" w:lineRule="auto"/>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磋商</w:t>
      </w:r>
      <w:r>
        <w:rPr>
          <w:rFonts w:hint="eastAsia" w:asciiTheme="minorEastAsia" w:hAnsiTheme="minorEastAsia" w:eastAsiaTheme="minorEastAsia" w:cstheme="minorEastAsia"/>
          <w:bCs/>
          <w:color w:val="auto"/>
          <w:szCs w:val="21"/>
          <w:highlight w:val="none"/>
        </w:rPr>
        <w:t>供应商</w:t>
      </w:r>
      <w:r>
        <w:rPr>
          <w:rFonts w:hint="eastAsia" w:asciiTheme="minorEastAsia" w:hAnsiTheme="minorEastAsia" w:eastAsiaTheme="minorEastAsia" w:cstheme="minorEastAsia"/>
          <w:color w:val="auto"/>
          <w:szCs w:val="21"/>
          <w:highlight w:val="none"/>
        </w:rPr>
        <w:t>名称（盖章 ）：</w:t>
      </w:r>
      <w:r>
        <w:rPr>
          <w:rFonts w:hint="eastAsia" w:asciiTheme="minorEastAsia" w:hAnsiTheme="minorEastAsia" w:eastAsiaTheme="minorEastAsia" w:cstheme="minorEastAsia"/>
          <w:color w:val="auto"/>
          <w:szCs w:val="21"/>
          <w:highlight w:val="none"/>
          <w:u w:val="single"/>
        </w:rPr>
        <w:t xml:space="preserve">                                     </w:t>
      </w: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rPr>
        <w:t xml:space="preserve">时                 </w:t>
      </w:r>
      <w:r>
        <w:rPr>
          <w:rFonts w:hint="eastAsia" w:asciiTheme="minorEastAsia" w:hAnsiTheme="minorEastAsia" w:eastAsiaTheme="minorEastAsia" w:cstheme="minorEastAsia"/>
          <w:color w:val="auto"/>
          <w:szCs w:val="21"/>
          <w:highlight w:val="none"/>
        </w:rPr>
        <w:t>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 w:val="24"/>
          <w:highlight w:val="none"/>
        </w:rPr>
        <w:br w:type="page"/>
      </w:r>
      <w:bookmarkStart w:id="182" w:name="_Toc4834"/>
      <w:bookmarkStart w:id="183" w:name="_Toc20207"/>
      <w:bookmarkStart w:id="184" w:name="_Toc479184135"/>
      <w:bookmarkStart w:id="185" w:name="_Toc30455"/>
      <w:r>
        <w:rPr>
          <w:rFonts w:hint="eastAsia" w:asciiTheme="minorEastAsia" w:hAnsiTheme="minorEastAsia" w:eastAsiaTheme="minorEastAsia" w:cstheme="minorEastAsia"/>
          <w:b/>
          <w:bCs/>
          <w:color w:val="auto"/>
          <w:szCs w:val="21"/>
          <w:highlight w:val="none"/>
        </w:rPr>
        <w:t>十二、拟投入项目组人员一览表</w:t>
      </w:r>
      <w:bookmarkEnd w:id="180"/>
      <w:bookmarkEnd w:id="181"/>
      <w:bookmarkEnd w:id="182"/>
      <w:bookmarkEnd w:id="183"/>
      <w:bookmarkEnd w:id="184"/>
      <w:bookmarkEnd w:id="185"/>
    </w:p>
    <w:p>
      <w:pPr>
        <w:adjustRightInd w:val="0"/>
        <w:snapToGrid w:val="0"/>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项目名称：                         </w:t>
      </w:r>
    </w:p>
    <w:p>
      <w:pPr>
        <w:adjustRightInd w:val="0"/>
        <w:snapToGrid w:val="0"/>
        <w:spacing w:line="360" w:lineRule="auto"/>
        <w:ind w:left="-181" w:leftChars="-86" w:firstLine="180" w:firstLineChars="8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姓名</w:t>
            </w: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在本项目中担当职位</w:t>
            </w: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年龄</w:t>
            </w: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学历</w:t>
            </w: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职务</w:t>
            </w: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职称</w:t>
            </w: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从业经历</w:t>
            </w: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项目负责人</w:t>
            </w: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834"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2208"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5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69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7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71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r>
    </w:tbl>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说明：附拟投入项目组人员身份证、劳动合同、社保证明、</w:t>
      </w:r>
      <w:r>
        <w:rPr>
          <w:rFonts w:hint="eastAsia"/>
          <w:color w:val="auto"/>
          <w:highlight w:val="none"/>
        </w:rPr>
        <w:t>职称证书、学历证书</w:t>
      </w:r>
      <w:r>
        <w:rPr>
          <w:rFonts w:hint="eastAsia" w:asciiTheme="minorEastAsia" w:hAnsiTheme="minorEastAsia" w:eastAsiaTheme="minorEastAsia" w:cstheme="minorEastAsia"/>
          <w:color w:val="auto"/>
          <w:szCs w:val="21"/>
          <w:highlight w:val="none"/>
        </w:rPr>
        <w:t>等评分标准要求的其他相关证明材料。无证明材料的内容评审时将不予考虑。</w:t>
      </w:r>
    </w:p>
    <w:p>
      <w:pPr>
        <w:spacing w:line="360" w:lineRule="auto"/>
        <w:rPr>
          <w:rFonts w:asciiTheme="minorEastAsia" w:hAnsiTheme="minorEastAsia" w:eastAsiaTheme="minorEastAsia" w:cstheme="minorEastAsia"/>
          <w:color w:val="auto"/>
          <w:szCs w:val="21"/>
          <w:highlight w:val="none"/>
        </w:rPr>
      </w:pP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br w:type="textWrapping"/>
      </w:r>
      <w:r>
        <w:rPr>
          <w:rFonts w:hint="eastAsia" w:asciiTheme="minorEastAsia" w:hAnsiTheme="minorEastAsia" w:eastAsiaTheme="minorEastAsia" w:cstheme="minorEastAsia"/>
          <w:color w:val="auto"/>
          <w:kern w:val="0"/>
          <w:szCs w:val="21"/>
          <w:highlight w:val="none"/>
        </w:rPr>
        <w:br w:type="textWrapping"/>
      </w:r>
      <w:r>
        <w:rPr>
          <w:rFonts w:hint="eastAsia" w:asciiTheme="minorEastAsia" w:hAnsiTheme="minorEastAsia" w:eastAsiaTheme="minorEastAsia" w:cstheme="minorEastAsia"/>
          <w:color w:val="auto"/>
          <w:szCs w:val="21"/>
          <w:highlight w:val="none"/>
        </w:rPr>
        <w:t>磋商供应商授权代表（签字）：</w:t>
      </w:r>
      <w:r>
        <w:rPr>
          <w:rFonts w:hint="eastAsia" w:asciiTheme="minorEastAsia" w:hAnsiTheme="minorEastAsia" w:eastAsiaTheme="minorEastAsia" w:cstheme="minorEastAsia"/>
          <w:color w:val="auto"/>
          <w:szCs w:val="21"/>
          <w:highlight w:val="none"/>
          <w:u w:val="single"/>
        </w:rPr>
        <w:t xml:space="preserve">                        </w:t>
      </w:r>
    </w:p>
    <w:p>
      <w:pPr>
        <w:spacing w:line="360" w:lineRule="auto"/>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磋商</w:t>
      </w:r>
      <w:r>
        <w:rPr>
          <w:rFonts w:hint="eastAsia" w:asciiTheme="minorEastAsia" w:hAnsiTheme="minorEastAsia" w:eastAsiaTheme="minorEastAsia" w:cstheme="minorEastAsia"/>
          <w:bCs/>
          <w:color w:val="auto"/>
          <w:szCs w:val="21"/>
          <w:highlight w:val="none"/>
        </w:rPr>
        <w:t>供应商</w:t>
      </w:r>
      <w:r>
        <w:rPr>
          <w:rFonts w:hint="eastAsia" w:asciiTheme="minorEastAsia" w:hAnsiTheme="minorEastAsia" w:eastAsiaTheme="minorEastAsia" w:cstheme="minorEastAsia"/>
          <w:color w:val="auto"/>
          <w:szCs w:val="21"/>
          <w:highlight w:val="none"/>
        </w:rPr>
        <w:t>名称（盖章 ）：</w:t>
      </w:r>
      <w:r>
        <w:rPr>
          <w:rFonts w:hint="eastAsia" w:asciiTheme="minorEastAsia" w:hAnsiTheme="minorEastAsia" w:eastAsiaTheme="minorEastAsia" w:cstheme="minorEastAsia"/>
          <w:color w:val="auto"/>
          <w:szCs w:val="21"/>
          <w:highlight w:val="none"/>
          <w:u w:val="single"/>
        </w:rPr>
        <w:t xml:space="preserve">                                     </w:t>
      </w: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rPr>
        <w:t xml:space="preserve">时                 </w:t>
      </w:r>
      <w:r>
        <w:rPr>
          <w:rFonts w:hint="eastAsia" w:asciiTheme="minorEastAsia" w:hAnsiTheme="minorEastAsia" w:eastAsiaTheme="minorEastAsia" w:cstheme="minorEastAsia"/>
          <w:color w:val="auto"/>
          <w:szCs w:val="21"/>
          <w:highlight w:val="none"/>
        </w:rPr>
        <w:t>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kern w:val="0"/>
          <w:szCs w:val="21"/>
          <w:highlight w:val="none"/>
        </w:rPr>
        <w:br w:type="page"/>
      </w:r>
      <w:bookmarkStart w:id="186" w:name="_Toc24501"/>
      <w:bookmarkStart w:id="187" w:name="_Toc10429"/>
      <w:bookmarkStart w:id="188" w:name="_Toc432149014"/>
      <w:bookmarkStart w:id="189" w:name="_Toc422466737"/>
      <w:bookmarkStart w:id="190" w:name="_Toc26838"/>
      <w:bookmarkStart w:id="191" w:name="_Toc479184136"/>
      <w:r>
        <w:rPr>
          <w:rFonts w:hint="eastAsia" w:asciiTheme="minorEastAsia" w:hAnsiTheme="minorEastAsia" w:eastAsiaTheme="minorEastAsia" w:cstheme="minorEastAsia"/>
          <w:b/>
          <w:bCs/>
          <w:color w:val="auto"/>
          <w:kern w:val="0"/>
          <w:szCs w:val="21"/>
          <w:highlight w:val="none"/>
        </w:rPr>
        <w:t>十三、</w:t>
      </w:r>
      <w:r>
        <w:rPr>
          <w:rFonts w:hint="eastAsia" w:asciiTheme="minorEastAsia" w:hAnsiTheme="minorEastAsia" w:eastAsiaTheme="minorEastAsia" w:cstheme="minorEastAsia"/>
          <w:b/>
          <w:bCs/>
          <w:color w:val="auto"/>
          <w:szCs w:val="21"/>
          <w:highlight w:val="none"/>
        </w:rPr>
        <w:t>供应商的资格声明</w:t>
      </w:r>
      <w:bookmarkEnd w:id="186"/>
      <w:bookmarkEnd w:id="187"/>
      <w:bookmarkEnd w:id="188"/>
      <w:bookmarkEnd w:id="189"/>
      <w:bookmarkEnd w:id="190"/>
      <w:bookmarkEnd w:id="191"/>
    </w:p>
    <w:p>
      <w:pPr>
        <w:rPr>
          <w:rFonts w:asciiTheme="minorEastAsia" w:hAnsiTheme="minorEastAsia" w:eastAsiaTheme="minorEastAsia" w:cstheme="minorEastAsia"/>
          <w:color w:val="auto"/>
          <w:szCs w:val="21"/>
          <w:highlight w:val="none"/>
        </w:rPr>
      </w:pP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1.名称及基本情况：</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（1）供应商名称：</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（2）地址：</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邮箱：</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电话：</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传真：</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（3）成立或注册日期：</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（4）公司性质：</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（5）法定代表人或主要负责人：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（6）员工人数：</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（7）注册资本：</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（8）实收资本：</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（9）上年末资产负债率：</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1）固定资产</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原值：</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净值：</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2）流动资产：</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3）长期负债：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4）短期负债：</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2．与报价服务内容有关的情况：</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（1）供应商提供此响应服务内容的经验（包括年限、项目业主、额定能力、商业运营的起始日期等）；</w:t>
      </w: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服务网点名称和地址</w:t>
            </w:r>
          </w:p>
        </w:tc>
        <w:tc>
          <w:tcPr>
            <w:tcW w:w="1737" w:type="dxa"/>
            <w:vAlign w:val="center"/>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主要服务范围</w:t>
            </w:r>
          </w:p>
        </w:tc>
        <w:tc>
          <w:tcPr>
            <w:tcW w:w="2269" w:type="dxa"/>
            <w:vAlign w:val="center"/>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服务人员数</w:t>
            </w:r>
          </w:p>
        </w:tc>
        <w:tc>
          <w:tcPr>
            <w:tcW w:w="2268" w:type="dxa"/>
            <w:vAlign w:val="center"/>
          </w:tcPr>
          <w:p>
            <w:pPr>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color w:val="auto"/>
                <w:szCs w:val="21"/>
                <w:highlight w:val="none"/>
              </w:rPr>
            </w:pPr>
          </w:p>
        </w:tc>
        <w:tc>
          <w:tcPr>
            <w:tcW w:w="1737" w:type="dxa"/>
            <w:vAlign w:val="center"/>
          </w:tcPr>
          <w:p>
            <w:pPr>
              <w:spacing w:line="360" w:lineRule="auto"/>
              <w:jc w:val="center"/>
              <w:rPr>
                <w:rFonts w:asciiTheme="minorEastAsia" w:hAnsiTheme="minorEastAsia" w:eastAsiaTheme="minorEastAsia" w:cstheme="minorEastAsia"/>
                <w:color w:val="auto"/>
                <w:szCs w:val="21"/>
                <w:highlight w:val="none"/>
              </w:rPr>
            </w:pPr>
          </w:p>
        </w:tc>
        <w:tc>
          <w:tcPr>
            <w:tcW w:w="2269" w:type="dxa"/>
            <w:vAlign w:val="center"/>
          </w:tcPr>
          <w:p>
            <w:pPr>
              <w:spacing w:line="360" w:lineRule="auto"/>
              <w:jc w:val="center"/>
              <w:rPr>
                <w:rFonts w:asciiTheme="minorEastAsia" w:hAnsiTheme="minorEastAsia" w:eastAsiaTheme="minorEastAsia" w:cstheme="minorEastAsia"/>
                <w:color w:val="auto"/>
                <w:szCs w:val="21"/>
                <w:highlight w:val="none"/>
              </w:rPr>
            </w:pPr>
          </w:p>
        </w:tc>
        <w:tc>
          <w:tcPr>
            <w:tcW w:w="2268" w:type="dxa"/>
            <w:vAlign w:val="center"/>
          </w:tcPr>
          <w:p>
            <w:pPr>
              <w:spacing w:line="360" w:lineRule="auto"/>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asciiTheme="minorEastAsia" w:hAnsiTheme="minorEastAsia" w:eastAsiaTheme="minorEastAsia" w:cstheme="minorEastAsia"/>
                <w:color w:val="auto"/>
                <w:szCs w:val="21"/>
                <w:highlight w:val="none"/>
              </w:rPr>
            </w:pPr>
          </w:p>
        </w:tc>
        <w:tc>
          <w:tcPr>
            <w:tcW w:w="1737" w:type="dxa"/>
            <w:vAlign w:val="center"/>
          </w:tcPr>
          <w:p>
            <w:pPr>
              <w:spacing w:line="360" w:lineRule="auto"/>
              <w:jc w:val="center"/>
              <w:rPr>
                <w:rFonts w:asciiTheme="minorEastAsia" w:hAnsiTheme="minorEastAsia" w:eastAsiaTheme="minorEastAsia" w:cstheme="minorEastAsia"/>
                <w:color w:val="auto"/>
                <w:szCs w:val="21"/>
                <w:highlight w:val="none"/>
              </w:rPr>
            </w:pPr>
          </w:p>
        </w:tc>
        <w:tc>
          <w:tcPr>
            <w:tcW w:w="2269" w:type="dxa"/>
            <w:vAlign w:val="center"/>
          </w:tcPr>
          <w:p>
            <w:pPr>
              <w:spacing w:line="360" w:lineRule="auto"/>
              <w:jc w:val="center"/>
              <w:rPr>
                <w:rFonts w:asciiTheme="minorEastAsia" w:hAnsiTheme="minorEastAsia" w:eastAsiaTheme="minorEastAsia" w:cstheme="minorEastAsia"/>
                <w:color w:val="auto"/>
                <w:szCs w:val="21"/>
                <w:highlight w:val="none"/>
              </w:rPr>
            </w:pPr>
          </w:p>
        </w:tc>
        <w:tc>
          <w:tcPr>
            <w:tcW w:w="2268" w:type="dxa"/>
            <w:vAlign w:val="center"/>
          </w:tcPr>
          <w:p>
            <w:pPr>
              <w:spacing w:line="360" w:lineRule="auto"/>
              <w:jc w:val="center"/>
              <w:rPr>
                <w:rFonts w:asciiTheme="minorEastAsia" w:hAnsiTheme="minorEastAsia" w:eastAsiaTheme="minorEastAsia" w:cstheme="minorEastAsia"/>
                <w:color w:val="auto"/>
                <w:szCs w:val="21"/>
                <w:highlight w:val="none"/>
              </w:rPr>
            </w:pPr>
          </w:p>
        </w:tc>
      </w:tr>
    </w:tbl>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3．供应商认为需要声明的其他情况：</w:t>
      </w:r>
    </w:p>
    <w:p>
      <w:pPr>
        <w:ind w:firstLine="210" w:firstLineChars="1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兹证明上述声明是真实的、正确的，并提供了全部能提供的资料和数据，我们同意遵照</w:t>
      </w:r>
      <w:r>
        <w:rPr>
          <w:rFonts w:hint="eastAsia" w:asciiTheme="minorEastAsia" w:hAnsiTheme="minorEastAsia" w:eastAsiaTheme="minorEastAsia" w:cstheme="minorEastAsia"/>
          <w:bCs/>
          <w:color w:val="auto"/>
          <w:szCs w:val="21"/>
          <w:highlight w:val="none"/>
          <w:u w:val="single"/>
        </w:rPr>
        <w:t>采购代理机构</w:t>
      </w:r>
      <w:r>
        <w:rPr>
          <w:rFonts w:hint="eastAsia" w:asciiTheme="minorEastAsia" w:hAnsiTheme="minorEastAsia" w:eastAsiaTheme="minorEastAsia" w:cstheme="minorEastAsia"/>
          <w:bCs/>
          <w:color w:val="auto"/>
          <w:szCs w:val="21"/>
          <w:highlight w:val="none"/>
        </w:rPr>
        <w:t>要求出示的有关证明文件。</w:t>
      </w:r>
    </w:p>
    <w:p>
      <w:pPr>
        <w:spacing w:line="360" w:lineRule="auto"/>
        <w:ind w:firstLine="210" w:firstLineChars="100"/>
        <w:rPr>
          <w:rFonts w:asciiTheme="minorEastAsia" w:hAnsiTheme="minorEastAsia" w:eastAsiaTheme="minorEastAsia" w:cstheme="minorEastAsia"/>
          <w:bCs/>
          <w:color w:val="auto"/>
          <w:szCs w:val="21"/>
          <w:highlight w:val="none"/>
        </w:rPr>
      </w:pP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电      话：                     </w:t>
      </w: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传      真：</w:t>
      </w: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磋商供应商授权代表（签字）：</w:t>
      </w:r>
      <w:r>
        <w:rPr>
          <w:rFonts w:hint="eastAsia" w:asciiTheme="minorEastAsia" w:hAnsiTheme="minorEastAsia" w:eastAsiaTheme="minorEastAsia" w:cstheme="minorEastAsia"/>
          <w:color w:val="auto"/>
          <w:szCs w:val="21"/>
          <w:highlight w:val="none"/>
          <w:u w:val="single"/>
        </w:rPr>
        <w:t xml:space="preserve">                        </w:t>
      </w:r>
    </w:p>
    <w:p>
      <w:pPr>
        <w:spacing w:line="360" w:lineRule="auto"/>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磋商</w:t>
      </w:r>
      <w:r>
        <w:rPr>
          <w:rFonts w:hint="eastAsia" w:asciiTheme="minorEastAsia" w:hAnsiTheme="minorEastAsia" w:eastAsiaTheme="minorEastAsia" w:cstheme="minorEastAsia"/>
          <w:bCs/>
          <w:color w:val="auto"/>
          <w:szCs w:val="21"/>
          <w:highlight w:val="none"/>
        </w:rPr>
        <w:t>供应商</w:t>
      </w:r>
      <w:r>
        <w:rPr>
          <w:rFonts w:hint="eastAsia" w:asciiTheme="minorEastAsia" w:hAnsiTheme="minorEastAsia" w:eastAsiaTheme="minorEastAsia" w:cstheme="minorEastAsia"/>
          <w:color w:val="auto"/>
          <w:szCs w:val="21"/>
          <w:highlight w:val="none"/>
        </w:rPr>
        <w:t>名称（盖章 ）：</w:t>
      </w:r>
      <w:r>
        <w:rPr>
          <w:rFonts w:hint="eastAsia" w:asciiTheme="minorEastAsia" w:hAnsiTheme="minorEastAsia" w:eastAsiaTheme="minorEastAsia" w:cstheme="minorEastAsia"/>
          <w:color w:val="auto"/>
          <w:szCs w:val="21"/>
          <w:highlight w:val="none"/>
          <w:u w:val="single"/>
        </w:rPr>
        <w:t xml:space="preserve">                                     </w:t>
      </w: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rPr>
        <w:t xml:space="preserve">时                 </w:t>
      </w:r>
      <w:r>
        <w:rPr>
          <w:rFonts w:hint="eastAsia" w:asciiTheme="minorEastAsia" w:hAnsiTheme="minorEastAsia" w:eastAsiaTheme="minorEastAsia" w:cstheme="minorEastAsia"/>
          <w:color w:val="auto"/>
          <w:szCs w:val="21"/>
          <w:highlight w:val="none"/>
        </w:rPr>
        <w:t>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color w:val="auto"/>
          <w:kern w:val="0"/>
          <w:szCs w:val="21"/>
          <w:highlight w:val="none"/>
        </w:rPr>
        <w:br w:type="page"/>
      </w:r>
      <w:bookmarkStart w:id="192" w:name="_Toc479184137"/>
      <w:bookmarkStart w:id="193" w:name="_Toc259028731"/>
      <w:bookmarkStart w:id="194" w:name="_Toc17331"/>
      <w:bookmarkStart w:id="195" w:name="_Toc17527"/>
      <w:bookmarkStart w:id="196" w:name="_Toc450827823"/>
      <w:bookmarkStart w:id="197" w:name="_Toc25412"/>
      <w:r>
        <w:rPr>
          <w:rFonts w:hint="eastAsia" w:asciiTheme="minorEastAsia" w:hAnsiTheme="minorEastAsia" w:eastAsiaTheme="minorEastAsia" w:cstheme="minorEastAsia"/>
          <w:b/>
          <w:bCs/>
          <w:color w:val="auto"/>
          <w:kern w:val="0"/>
          <w:szCs w:val="21"/>
          <w:highlight w:val="none"/>
        </w:rPr>
        <w:t>十四、</w:t>
      </w:r>
      <w:r>
        <w:rPr>
          <w:rFonts w:hint="eastAsia" w:asciiTheme="minorEastAsia" w:hAnsiTheme="minorEastAsia" w:eastAsiaTheme="minorEastAsia" w:cstheme="minorEastAsia"/>
          <w:b/>
          <w:bCs/>
          <w:color w:val="auto"/>
          <w:szCs w:val="21"/>
          <w:highlight w:val="none"/>
        </w:rPr>
        <w:t>资格证明文件</w:t>
      </w:r>
      <w:bookmarkEnd w:id="192"/>
      <w:bookmarkEnd w:id="193"/>
      <w:bookmarkEnd w:id="194"/>
      <w:bookmarkEnd w:id="195"/>
      <w:bookmarkEnd w:id="196"/>
      <w:bookmarkEnd w:id="197"/>
    </w:p>
    <w:p>
      <w:pPr>
        <w:rPr>
          <w:rFonts w:asciiTheme="minorEastAsia" w:hAnsiTheme="minorEastAsia" w:eastAsiaTheme="minorEastAsia" w:cstheme="minorEastAsia"/>
          <w:color w:val="auto"/>
          <w:szCs w:val="21"/>
          <w:highlight w:val="none"/>
        </w:rPr>
      </w:pPr>
    </w:p>
    <w:p>
      <w:pP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提供第一章第二款资格要求的资格证明文件的真彩扫描件。</w:t>
      </w:r>
    </w:p>
    <w:p>
      <w:pPr>
        <w:rPr>
          <w:rFonts w:asciiTheme="minorEastAsia" w:hAnsiTheme="minorEastAsia" w:eastAsiaTheme="minorEastAsia" w:cstheme="minorEastAsia"/>
          <w:color w:val="auto"/>
          <w:szCs w:val="21"/>
          <w:highlight w:val="none"/>
        </w:rPr>
      </w:pPr>
    </w:p>
    <w:p>
      <w:pPr>
        <w:adjustRightInd w:val="0"/>
        <w:snapToGrid w:val="0"/>
        <w:spacing w:line="360" w:lineRule="auto"/>
        <w:ind w:left="-88" w:leftChars="-42"/>
        <w:jc w:val="center"/>
        <w:rPr>
          <w:rFonts w:asciiTheme="minorEastAsia" w:hAnsiTheme="minorEastAsia" w:eastAsiaTheme="minorEastAsia" w:cstheme="minorEastAsia"/>
          <w:color w:val="auto"/>
          <w:szCs w:val="21"/>
          <w:highlight w:val="none"/>
        </w:rPr>
      </w:pPr>
    </w:p>
    <w:p>
      <w:pPr>
        <w:spacing w:line="360" w:lineRule="auto"/>
        <w:ind w:left="168" w:leftChars="80"/>
        <w:jc w:val="center"/>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p>
    <w:p>
      <w:pPr>
        <w:spacing w:line="360" w:lineRule="auto"/>
        <w:ind w:left="168" w:leftChars="80"/>
        <w:jc w:val="center"/>
        <w:outlineLvl w:val="1"/>
        <w:rPr>
          <w:rFonts w:asciiTheme="minorEastAsia" w:hAnsiTheme="minorEastAsia" w:eastAsiaTheme="minorEastAsia" w:cstheme="minorEastAsia"/>
          <w:b/>
          <w:bCs/>
          <w:color w:val="auto"/>
          <w:szCs w:val="21"/>
          <w:highlight w:val="none"/>
        </w:rPr>
      </w:pPr>
      <w:bookmarkStart w:id="198" w:name="_Toc32162"/>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r>
        <w:rPr>
          <w:rFonts w:hint="eastAsia" w:asciiTheme="minorEastAsia" w:hAnsiTheme="minorEastAsia" w:eastAsiaTheme="minorEastAsia" w:cstheme="minorEastAsia"/>
          <w:bCs/>
          <w:color w:val="auto"/>
          <w:szCs w:val="21"/>
          <w:highlight w:val="none"/>
        </w:rPr>
        <w:br w:type="textWrapping"/>
      </w:r>
      <w:bookmarkStart w:id="199" w:name="_Toc358447587"/>
      <w:bookmarkStart w:id="200" w:name="_Toc364868916"/>
      <w:bookmarkStart w:id="201" w:name="_Toc290207179"/>
      <w:bookmarkStart w:id="202" w:name="_Toc427239751"/>
      <w:bookmarkStart w:id="203" w:name="_Toc32187"/>
      <w:bookmarkStart w:id="204" w:name="_Toc5793"/>
      <w:bookmarkStart w:id="205" w:name="_Toc18555"/>
      <w:r>
        <w:rPr>
          <w:rFonts w:hint="eastAsia" w:asciiTheme="minorEastAsia" w:hAnsiTheme="minorEastAsia" w:eastAsiaTheme="minorEastAsia" w:cstheme="minorEastAsia"/>
          <w:b/>
          <w:bCs/>
          <w:color w:val="auto"/>
          <w:kern w:val="0"/>
          <w:szCs w:val="21"/>
          <w:highlight w:val="none"/>
        </w:rPr>
        <w:t>十五、</w:t>
      </w:r>
      <w:bookmarkEnd w:id="199"/>
      <w:bookmarkEnd w:id="200"/>
      <w:bookmarkEnd w:id="201"/>
      <w:bookmarkEnd w:id="202"/>
      <w:bookmarkEnd w:id="203"/>
      <w:bookmarkEnd w:id="204"/>
      <w:bookmarkEnd w:id="205"/>
      <w:bookmarkStart w:id="206" w:name="_Toc29785"/>
      <w:bookmarkStart w:id="207" w:name="_Toc479184138"/>
      <w:bookmarkStart w:id="208" w:name="_Toc27229"/>
      <w:bookmarkStart w:id="209" w:name="_Toc460258123"/>
      <w:r>
        <w:rPr>
          <w:rFonts w:hint="eastAsia" w:asciiTheme="minorEastAsia" w:hAnsiTheme="minorEastAsia" w:eastAsiaTheme="minorEastAsia" w:cstheme="minorEastAsia"/>
          <w:b/>
          <w:color w:val="auto"/>
          <w:highlight w:val="none"/>
        </w:rPr>
        <w:t>报价技术文件</w:t>
      </w:r>
      <w:bookmarkEnd w:id="198"/>
      <w:bookmarkEnd w:id="206"/>
      <w:bookmarkEnd w:id="207"/>
      <w:bookmarkEnd w:id="208"/>
      <w:bookmarkEnd w:id="209"/>
    </w:p>
    <w:p>
      <w:pPr>
        <w:rPr>
          <w:rFonts w:asciiTheme="minorEastAsia" w:hAnsiTheme="minorEastAsia" w:eastAsiaTheme="minorEastAsia" w:cstheme="minorEastAsia"/>
          <w:color w:val="auto"/>
          <w:szCs w:val="21"/>
          <w:highlight w:val="none"/>
        </w:rPr>
      </w:pPr>
    </w:p>
    <w:p>
      <w:pPr>
        <w:pStyle w:val="97"/>
        <w:spacing w:line="360" w:lineRule="auto"/>
        <w:ind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由供应商自行编制，目录清晰、内容详尽、易于理解和评审并富有建设性的技术方案将在评审时具有优势。</w:t>
      </w:r>
    </w:p>
    <w:p>
      <w:pPr>
        <w:adjustRightInd w:val="0"/>
        <w:snapToGrid w:val="0"/>
        <w:spacing w:line="360" w:lineRule="auto"/>
        <w:ind w:left="-88" w:leftChars="-42" w:firstLine="422" w:firstLineChars="200"/>
        <w:jc w:val="left"/>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以下内容仅供参考，格式自拟。</w:t>
      </w:r>
    </w:p>
    <w:p>
      <w:pPr>
        <w:numPr>
          <w:ilvl w:val="1"/>
          <w:numId w:val="44"/>
        </w:numPr>
        <w:tabs>
          <w:tab w:val="left" w:pos="640"/>
          <w:tab w:val="clear" w:pos="0"/>
        </w:tabs>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项目概况及对本项目总体要求的理解</w:t>
      </w:r>
    </w:p>
    <w:p>
      <w:pPr>
        <w:numPr>
          <w:ilvl w:val="1"/>
          <w:numId w:val="44"/>
        </w:numPr>
        <w:tabs>
          <w:tab w:val="left" w:pos="640"/>
          <w:tab w:val="clear" w:pos="0"/>
        </w:tabs>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项目实施方案</w:t>
      </w:r>
    </w:p>
    <w:p>
      <w:pPr>
        <w:numPr>
          <w:ilvl w:val="1"/>
          <w:numId w:val="44"/>
        </w:numPr>
        <w:tabs>
          <w:tab w:val="left" w:pos="640"/>
          <w:tab w:val="clear" w:pos="0"/>
        </w:tabs>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项目重点及难点解析</w:t>
      </w:r>
    </w:p>
    <w:p>
      <w:pPr>
        <w:numPr>
          <w:ilvl w:val="1"/>
          <w:numId w:val="44"/>
        </w:numPr>
        <w:tabs>
          <w:tab w:val="left" w:pos="640"/>
          <w:tab w:val="clear" w:pos="0"/>
        </w:tabs>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质量控制措施</w:t>
      </w:r>
    </w:p>
    <w:p>
      <w:pPr>
        <w:numPr>
          <w:ilvl w:val="1"/>
          <w:numId w:val="44"/>
        </w:numPr>
        <w:tabs>
          <w:tab w:val="left" w:pos="640"/>
          <w:tab w:val="clear" w:pos="0"/>
        </w:tabs>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进度控制措施</w:t>
      </w:r>
    </w:p>
    <w:p>
      <w:pPr>
        <w:numPr>
          <w:ilvl w:val="1"/>
          <w:numId w:val="44"/>
        </w:numPr>
        <w:tabs>
          <w:tab w:val="left" w:pos="640"/>
          <w:tab w:val="clear" w:pos="0"/>
        </w:tabs>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对本项目的合理化建议</w:t>
      </w:r>
    </w:p>
    <w:p>
      <w:pPr>
        <w:tabs>
          <w:tab w:val="left" w:pos="540"/>
        </w:tabs>
        <w:autoSpaceDE w:val="0"/>
        <w:autoSpaceDN w:val="0"/>
        <w:adjustRightInd w:val="0"/>
        <w:spacing w:line="360" w:lineRule="auto"/>
        <w:jc w:val="center"/>
        <w:outlineLvl w:val="1"/>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highlight w:val="none"/>
        </w:rPr>
        <w:br w:type="page"/>
      </w:r>
      <w:bookmarkStart w:id="210" w:name="_Toc479184140"/>
      <w:bookmarkStart w:id="211" w:name="_Toc12119"/>
      <w:bookmarkStart w:id="212" w:name="_Toc355802499"/>
      <w:bookmarkStart w:id="213" w:name="_Toc2101"/>
      <w:bookmarkStart w:id="214" w:name="_Toc422466739"/>
      <w:bookmarkStart w:id="215" w:name="_Toc356836516"/>
      <w:bookmarkStart w:id="216" w:name="_Toc432149016"/>
      <w:bookmarkStart w:id="217" w:name="_Toc8098"/>
      <w:bookmarkStart w:id="218" w:name="_Toc22465"/>
      <w:bookmarkStart w:id="219" w:name="_Toc11098"/>
      <w:r>
        <w:rPr>
          <w:rFonts w:hint="eastAsia" w:asciiTheme="minorEastAsia" w:hAnsiTheme="minorEastAsia" w:eastAsiaTheme="minorEastAsia" w:cstheme="minorEastAsia"/>
          <w:b/>
          <w:color w:val="auto"/>
          <w:highlight w:val="none"/>
        </w:rPr>
        <w:t>十六、</w:t>
      </w:r>
      <w:bookmarkEnd w:id="210"/>
      <w:bookmarkEnd w:id="211"/>
      <w:bookmarkEnd w:id="212"/>
      <w:bookmarkEnd w:id="213"/>
      <w:bookmarkEnd w:id="214"/>
      <w:bookmarkEnd w:id="215"/>
      <w:bookmarkEnd w:id="216"/>
      <w:bookmarkEnd w:id="217"/>
      <w:bookmarkEnd w:id="218"/>
      <w:r>
        <w:rPr>
          <w:rFonts w:hint="eastAsia" w:asciiTheme="minorEastAsia" w:hAnsiTheme="minorEastAsia" w:eastAsiaTheme="minorEastAsia" w:cstheme="minorEastAsia"/>
          <w:b/>
          <w:color w:val="auto"/>
          <w:highlight w:val="none"/>
          <w:lang w:val="zh-CN"/>
        </w:rPr>
        <w:t>中小企业声明函（工程、服务）（若</w:t>
      </w:r>
      <w:r>
        <w:rPr>
          <w:rFonts w:hint="eastAsia" w:asciiTheme="minorEastAsia" w:hAnsiTheme="minorEastAsia" w:eastAsiaTheme="minorEastAsia" w:cstheme="minorEastAsia"/>
          <w:b/>
          <w:color w:val="auto"/>
          <w:highlight w:val="none"/>
        </w:rPr>
        <w:t>符合</w:t>
      </w:r>
      <w:r>
        <w:rPr>
          <w:rFonts w:hint="eastAsia" w:asciiTheme="minorEastAsia" w:hAnsiTheme="minorEastAsia" w:eastAsiaTheme="minorEastAsia" w:cstheme="minorEastAsia"/>
          <w:b/>
          <w:color w:val="auto"/>
          <w:highlight w:val="none"/>
          <w:lang w:val="zh-CN"/>
        </w:rPr>
        <w:t>）</w:t>
      </w:r>
      <w:bookmarkEnd w:id="219"/>
    </w:p>
    <w:p>
      <w:pPr>
        <w:spacing w:line="360" w:lineRule="auto"/>
        <w:jc w:val="center"/>
        <w:rPr>
          <w:rFonts w:ascii="宋体" w:hAnsi="宋体" w:cs="宋体"/>
          <w:color w:val="auto"/>
          <w:szCs w:val="21"/>
          <w:highlight w:val="none"/>
        </w:rPr>
      </w:pPr>
      <w:r>
        <w:rPr>
          <w:rFonts w:hint="eastAsia" w:asciiTheme="minorEastAsia" w:hAnsiTheme="minorEastAsia" w:eastAsiaTheme="minorEastAsia" w:cstheme="minorEastAsia"/>
          <w:color w:val="auto"/>
          <w:spacing w:val="6"/>
          <w:szCs w:val="21"/>
          <w:highlight w:val="none"/>
        </w:rPr>
        <w:t xml:space="preserve"> </w:t>
      </w:r>
      <w:r>
        <w:rPr>
          <w:rFonts w:ascii="宋体" w:hAnsi="宋体" w:cs="宋体"/>
          <w:color w:val="auto"/>
          <w:szCs w:val="21"/>
          <w:highlight w:val="none"/>
        </w:rPr>
        <w:t>中小企业声明函（</w:t>
      </w:r>
      <w:r>
        <w:rPr>
          <w:rFonts w:hint="eastAsia" w:ascii="宋体" w:hAnsi="宋体" w:cs="宋体"/>
          <w:color w:val="auto"/>
          <w:szCs w:val="21"/>
          <w:highlight w:val="none"/>
        </w:rPr>
        <w:t>工程、服务</w:t>
      </w:r>
      <w:r>
        <w:rPr>
          <w:rFonts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本公司（联合体）郑重声明，根据《政府采购促进中小企业发展管理办法》（财库﹝2020﹞46 号）的规定，本公司（联合体）参加</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（单位名称）</w:t>
      </w:r>
      <w:r>
        <w:rPr>
          <w:rFonts w:ascii="宋体" w:hAnsi="宋体" w:cs="宋体"/>
          <w:color w:val="auto"/>
          <w:szCs w:val="21"/>
          <w:highlight w:val="none"/>
        </w:rPr>
        <w:t>的</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（项目名称）</w:t>
      </w:r>
      <w:r>
        <w:rPr>
          <w:rFonts w:ascii="宋体" w:hAnsi="宋体" w:cs="宋体"/>
          <w:color w:val="auto"/>
          <w:szCs w:val="21"/>
          <w:highlight w:val="none"/>
        </w:rPr>
        <w:t>采购活动，</w:t>
      </w:r>
      <w:r>
        <w:rPr>
          <w:rFonts w:hint="eastAsia" w:ascii="宋体" w:hAnsi="宋体" w:cs="宋体"/>
          <w:color w:val="auto"/>
          <w:szCs w:val="21"/>
          <w:highlight w:val="none"/>
        </w:rPr>
        <w:t>工程的施工单位全部为符合政策要求的中小企业（或者：服务全部由符合政策要求的中小企业承接）。相关企业（含联合体中的中小企业、签订分包意向协议的中小企业）的具体情况如下：</w:t>
      </w:r>
      <w:r>
        <w:rPr>
          <w:rFonts w:ascii="宋体" w:hAnsi="宋体" w:cs="宋体"/>
          <w:color w:val="auto"/>
          <w:szCs w:val="21"/>
          <w:highlight w:val="none"/>
        </w:rPr>
        <w:br w:type="textWrapping"/>
      </w:r>
      <w:r>
        <w:rPr>
          <w:rFonts w:hint="eastAsia" w:ascii="宋体" w:hAnsi="宋体" w:cs="宋体"/>
          <w:color w:val="auto"/>
          <w:szCs w:val="21"/>
          <w:highlight w:val="none"/>
        </w:rPr>
        <w:t xml:space="preserve">    </w:t>
      </w:r>
      <w:r>
        <w:rPr>
          <w:rFonts w:ascii="宋体" w:hAnsi="宋体" w:cs="宋体"/>
          <w:color w:val="auto"/>
          <w:szCs w:val="21"/>
          <w:highlight w:val="none"/>
        </w:rPr>
        <w:t xml:space="preserve">1. </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（标的名称）</w:t>
      </w:r>
      <w:r>
        <w:rPr>
          <w:rFonts w:ascii="宋体" w:hAnsi="宋体" w:cs="宋体"/>
          <w:color w:val="auto"/>
          <w:szCs w:val="21"/>
          <w:highlight w:val="none"/>
        </w:rPr>
        <w:t xml:space="preserve"> ，属于</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（采购文件中明确的所属行业）</w:t>
      </w:r>
      <w:r>
        <w:rPr>
          <w:rFonts w:ascii="宋体" w:hAnsi="宋体" w:cs="宋体"/>
          <w:color w:val="auto"/>
          <w:szCs w:val="21"/>
          <w:highlight w:val="none"/>
        </w:rPr>
        <w:t xml:space="preserve"> 行业；</w:t>
      </w:r>
      <w:r>
        <w:rPr>
          <w:rFonts w:hint="eastAsia" w:ascii="宋体" w:hAnsi="宋体" w:cs="宋体"/>
          <w:color w:val="auto"/>
          <w:szCs w:val="21"/>
          <w:highlight w:val="none"/>
        </w:rPr>
        <w:t>承建（承接）企业为</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（企业名称）</w:t>
      </w:r>
      <w:r>
        <w:rPr>
          <w:rFonts w:ascii="宋体" w:hAnsi="宋体" w:cs="宋体"/>
          <w:color w:val="auto"/>
          <w:szCs w:val="21"/>
          <w:highlight w:val="none"/>
        </w:rPr>
        <w:t>，从业人员</w:t>
      </w:r>
      <w:r>
        <w:rPr>
          <w:rFonts w:hint="eastAsia" w:ascii="宋体" w:hAnsi="宋体" w:cs="宋体"/>
          <w:color w:val="auto"/>
          <w:szCs w:val="21"/>
          <w:highlight w:val="none"/>
          <w:u w:val="single"/>
        </w:rPr>
        <w:t xml:space="preserve">        </w:t>
      </w:r>
      <w:r>
        <w:rPr>
          <w:rFonts w:ascii="宋体" w:hAnsi="宋体" w:cs="宋体"/>
          <w:color w:val="auto"/>
          <w:szCs w:val="21"/>
          <w:highlight w:val="none"/>
        </w:rPr>
        <w:t>人，营业收入为</w:t>
      </w:r>
      <w:r>
        <w:rPr>
          <w:rFonts w:hint="eastAsia" w:ascii="宋体" w:hAnsi="宋体" w:cs="宋体"/>
          <w:color w:val="auto"/>
          <w:szCs w:val="21"/>
          <w:highlight w:val="none"/>
          <w:u w:val="single"/>
        </w:rPr>
        <w:t xml:space="preserve">        </w:t>
      </w:r>
      <w:r>
        <w:rPr>
          <w:rFonts w:ascii="宋体" w:hAnsi="宋体" w:cs="宋体"/>
          <w:color w:val="auto"/>
          <w:szCs w:val="21"/>
          <w:highlight w:val="none"/>
        </w:rPr>
        <w:t>万元，资产总额为</w:t>
      </w:r>
      <w:r>
        <w:rPr>
          <w:rFonts w:hint="eastAsia" w:ascii="宋体" w:hAnsi="宋体" w:cs="宋体"/>
          <w:color w:val="auto"/>
          <w:szCs w:val="21"/>
          <w:highlight w:val="none"/>
          <w:u w:val="single"/>
        </w:rPr>
        <w:t xml:space="preserve">        </w:t>
      </w:r>
      <w:r>
        <w:rPr>
          <w:rFonts w:ascii="宋体" w:hAnsi="宋体" w:cs="宋体"/>
          <w:color w:val="auto"/>
          <w:szCs w:val="21"/>
          <w:highlight w:val="none"/>
        </w:rPr>
        <w:t>万元，属于</w:t>
      </w:r>
      <w:r>
        <w:rPr>
          <w:rFonts w:ascii="宋体" w:hAnsi="宋体" w:cs="宋体"/>
          <w:color w:val="auto"/>
          <w:szCs w:val="21"/>
          <w:highlight w:val="none"/>
          <w:u w:val="single"/>
        </w:rPr>
        <w:t>（中型企业、小型企业、微型企业）；</w:t>
      </w:r>
      <w:r>
        <w:rPr>
          <w:rFonts w:ascii="宋体" w:hAnsi="宋体" w:cs="宋体"/>
          <w:color w:val="auto"/>
          <w:szCs w:val="21"/>
          <w:highlight w:val="none"/>
        </w:rPr>
        <w:t xml:space="preserve"> </w:t>
      </w:r>
      <w:r>
        <w:rPr>
          <w:rFonts w:ascii="宋体" w:hAnsi="宋体" w:cs="宋体"/>
          <w:color w:val="auto"/>
          <w:szCs w:val="21"/>
          <w:highlight w:val="none"/>
        </w:rPr>
        <w:br w:type="textWrapping"/>
      </w:r>
      <w:r>
        <w:rPr>
          <w:rFonts w:hint="eastAsia" w:ascii="宋体" w:hAnsi="宋体" w:cs="宋体"/>
          <w:color w:val="auto"/>
          <w:szCs w:val="21"/>
          <w:highlight w:val="none"/>
        </w:rPr>
        <w:t xml:space="preserve">    </w:t>
      </w:r>
      <w:r>
        <w:rPr>
          <w:rFonts w:ascii="宋体" w:hAnsi="宋体" w:cs="宋体"/>
          <w:color w:val="auto"/>
          <w:szCs w:val="21"/>
          <w:highlight w:val="none"/>
        </w:rPr>
        <w:t xml:space="preserve">2. </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（标的名称）</w:t>
      </w:r>
      <w:r>
        <w:rPr>
          <w:rFonts w:ascii="宋体" w:hAnsi="宋体" w:cs="宋体"/>
          <w:color w:val="auto"/>
          <w:szCs w:val="21"/>
          <w:highlight w:val="none"/>
        </w:rPr>
        <w:t xml:space="preserve"> ，属于</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（采购文件中明确的所属行业）</w:t>
      </w:r>
      <w:r>
        <w:rPr>
          <w:rFonts w:ascii="宋体" w:hAnsi="宋体" w:cs="宋体"/>
          <w:color w:val="auto"/>
          <w:szCs w:val="21"/>
          <w:highlight w:val="none"/>
        </w:rPr>
        <w:t>行业；</w:t>
      </w:r>
      <w:r>
        <w:rPr>
          <w:rFonts w:hint="eastAsia" w:ascii="宋体" w:hAnsi="宋体" w:cs="宋体"/>
          <w:color w:val="auto"/>
          <w:szCs w:val="21"/>
          <w:highlight w:val="none"/>
        </w:rPr>
        <w:t>承建（承接）企业为</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（企业名称）</w:t>
      </w:r>
      <w:r>
        <w:rPr>
          <w:rFonts w:ascii="宋体" w:hAnsi="宋体" w:cs="宋体"/>
          <w:color w:val="auto"/>
          <w:szCs w:val="21"/>
          <w:highlight w:val="none"/>
        </w:rPr>
        <w:t>，从业人员</w:t>
      </w:r>
      <w:r>
        <w:rPr>
          <w:rFonts w:hint="eastAsia" w:ascii="宋体" w:hAnsi="宋体" w:cs="宋体"/>
          <w:color w:val="auto"/>
          <w:szCs w:val="21"/>
          <w:highlight w:val="none"/>
          <w:u w:val="single"/>
        </w:rPr>
        <w:t xml:space="preserve">        </w:t>
      </w:r>
      <w:r>
        <w:rPr>
          <w:rFonts w:ascii="宋体" w:hAnsi="宋体" w:cs="宋体"/>
          <w:color w:val="auto"/>
          <w:szCs w:val="21"/>
          <w:highlight w:val="none"/>
        </w:rPr>
        <w:t>人，营业收入为</w:t>
      </w:r>
      <w:r>
        <w:rPr>
          <w:rFonts w:hint="eastAsia" w:ascii="宋体" w:hAnsi="宋体" w:cs="宋体"/>
          <w:color w:val="auto"/>
          <w:szCs w:val="21"/>
          <w:highlight w:val="none"/>
          <w:u w:val="single"/>
        </w:rPr>
        <w:t xml:space="preserve">        </w:t>
      </w:r>
      <w:r>
        <w:rPr>
          <w:rFonts w:ascii="宋体" w:hAnsi="宋体" w:cs="宋体"/>
          <w:color w:val="auto"/>
          <w:szCs w:val="21"/>
          <w:highlight w:val="none"/>
        </w:rPr>
        <w:t>万元，资产总额为</w:t>
      </w:r>
      <w:r>
        <w:rPr>
          <w:rFonts w:hint="eastAsia" w:ascii="宋体" w:hAnsi="宋体" w:cs="宋体"/>
          <w:color w:val="auto"/>
          <w:szCs w:val="21"/>
          <w:highlight w:val="none"/>
          <w:u w:val="single"/>
        </w:rPr>
        <w:t xml:space="preserve">        </w:t>
      </w:r>
      <w:r>
        <w:rPr>
          <w:rFonts w:ascii="宋体" w:hAnsi="宋体" w:cs="宋体"/>
          <w:color w:val="auto"/>
          <w:szCs w:val="21"/>
          <w:highlight w:val="none"/>
        </w:rPr>
        <w:t>万元，属于</w:t>
      </w:r>
      <w:r>
        <w:rPr>
          <w:rFonts w:ascii="宋体" w:hAnsi="宋体" w:cs="宋体"/>
          <w:color w:val="auto"/>
          <w:szCs w:val="21"/>
          <w:highlight w:val="none"/>
          <w:u w:val="single"/>
        </w:rPr>
        <w:t>（中型企业、小型企业、微型企业）</w:t>
      </w:r>
      <w:r>
        <w:rPr>
          <w:rFonts w:ascii="宋体" w:hAnsi="宋体" w:cs="宋体"/>
          <w:color w:val="auto"/>
          <w:szCs w:val="21"/>
          <w:highlight w:val="none"/>
        </w:rPr>
        <w:t xml:space="preserve">； </w:t>
      </w:r>
      <w:r>
        <w:rPr>
          <w:rFonts w:ascii="宋体" w:hAnsi="宋体" w:cs="宋体"/>
          <w:color w:val="auto"/>
          <w:szCs w:val="21"/>
          <w:highlight w:val="none"/>
        </w:rPr>
        <w:br w:type="textWrapping"/>
      </w:r>
      <w:r>
        <w:rPr>
          <w:rFonts w:hint="eastAsia" w:ascii="宋体" w:hAnsi="宋体" w:cs="宋体"/>
          <w:color w:val="auto"/>
          <w:szCs w:val="21"/>
          <w:highlight w:val="none"/>
        </w:rPr>
        <w:t xml:space="preserve">    </w:t>
      </w:r>
      <w:r>
        <w:rPr>
          <w:rFonts w:ascii="宋体" w:hAnsi="宋体" w:cs="宋体"/>
          <w:color w:val="auto"/>
          <w:szCs w:val="21"/>
          <w:highlight w:val="none"/>
        </w:rPr>
        <w:t xml:space="preserve">…… </w:t>
      </w:r>
      <w:r>
        <w:rPr>
          <w:rFonts w:ascii="宋体" w:hAnsi="宋体" w:cs="宋体"/>
          <w:color w:val="auto"/>
          <w:szCs w:val="21"/>
          <w:highlight w:val="none"/>
        </w:rPr>
        <w:br w:type="textWrapping"/>
      </w:r>
      <w:r>
        <w:rPr>
          <w:rFonts w:hint="eastAsia" w:ascii="宋体" w:hAnsi="宋体" w:cs="宋体"/>
          <w:color w:val="auto"/>
          <w:szCs w:val="21"/>
          <w:highlight w:val="none"/>
        </w:rPr>
        <w:t xml:space="preserve">    </w:t>
      </w:r>
      <w:r>
        <w:rPr>
          <w:rFonts w:ascii="宋体" w:hAnsi="宋体" w:cs="宋体"/>
          <w:color w:val="auto"/>
          <w:szCs w:val="21"/>
          <w:highlight w:val="none"/>
        </w:rPr>
        <w:t xml:space="preserve">以上企业，不属于大企业的分支机构，不存在控股股东为大企业的情形，也不存在与大企业的负责人为同一人的情形。 </w:t>
      </w:r>
      <w:r>
        <w:rPr>
          <w:rFonts w:ascii="宋体" w:hAnsi="宋体" w:cs="宋体"/>
          <w:color w:val="auto"/>
          <w:szCs w:val="21"/>
          <w:highlight w:val="none"/>
        </w:rPr>
        <w:br w:type="textWrapping"/>
      </w:r>
      <w:r>
        <w:rPr>
          <w:rFonts w:hint="eastAsia" w:ascii="宋体" w:hAnsi="宋体" w:cs="宋体"/>
          <w:color w:val="auto"/>
          <w:szCs w:val="21"/>
          <w:highlight w:val="none"/>
        </w:rPr>
        <w:t xml:space="preserve">    </w:t>
      </w:r>
      <w:r>
        <w:rPr>
          <w:rFonts w:ascii="宋体" w:hAnsi="宋体" w:cs="宋体"/>
          <w:color w:val="auto"/>
          <w:szCs w:val="21"/>
          <w:highlight w:val="none"/>
        </w:rPr>
        <w:t xml:space="preserve">本企业对上述声明内容的真实性负责。如有虚假，将依法承担相应责任。 </w:t>
      </w:r>
    </w:p>
    <w:p>
      <w:pPr>
        <w:spacing w:line="360" w:lineRule="auto"/>
        <w:ind w:firstLine="6930" w:firstLineChars="3300"/>
        <w:rPr>
          <w:rFonts w:ascii="宋体" w:hAnsi="宋体" w:cs="宋体"/>
          <w:color w:val="auto"/>
          <w:szCs w:val="21"/>
          <w:highlight w:val="none"/>
        </w:rPr>
      </w:pPr>
      <w:r>
        <w:rPr>
          <w:rFonts w:ascii="宋体" w:hAnsi="宋体" w:cs="宋体"/>
          <w:color w:val="auto"/>
          <w:szCs w:val="21"/>
          <w:highlight w:val="none"/>
        </w:rPr>
        <w:t xml:space="preserve">企业名称（盖章）： </w:t>
      </w:r>
    </w:p>
    <w:p>
      <w:pPr>
        <w:spacing w:line="360" w:lineRule="auto"/>
        <w:ind w:firstLine="420" w:firstLineChars="200"/>
        <w:jc w:val="center"/>
        <w:rPr>
          <w:rFonts w:ascii="宋体" w:hAnsi="宋体" w:cs="宋体"/>
          <w:color w:val="auto"/>
          <w:szCs w:val="21"/>
          <w:highlight w:val="none"/>
        </w:rPr>
      </w:pPr>
      <w:r>
        <w:rPr>
          <w:rFonts w:hint="eastAsia" w:ascii="宋体" w:hAnsi="宋体" w:cs="宋体"/>
          <w:color w:val="auto"/>
          <w:szCs w:val="21"/>
          <w:highlight w:val="none"/>
        </w:rPr>
        <w:t xml:space="preserve">                                                </w:t>
      </w:r>
      <w:r>
        <w:rPr>
          <w:rFonts w:ascii="宋体" w:hAnsi="宋体" w:cs="宋体"/>
          <w:color w:val="auto"/>
          <w:szCs w:val="21"/>
          <w:highlight w:val="none"/>
        </w:rPr>
        <w:t>日 期：</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ind w:firstLine="420" w:firstLineChars="200"/>
        <w:rPr>
          <w:color w:val="auto"/>
          <w:szCs w:val="21"/>
          <w:highlight w:val="none"/>
        </w:rPr>
      </w:pPr>
      <w:r>
        <w:rPr>
          <w:rFonts w:ascii="宋体" w:hAnsi="宋体" w:cs="宋体"/>
          <w:color w:val="auto"/>
          <w:szCs w:val="21"/>
          <w:highlight w:val="none"/>
        </w:rPr>
        <w:t>从业人员、营业收入、资产总额填报上一年度数据，无上一年度数据的新成立企业可不填报。</w:t>
      </w:r>
    </w:p>
    <w:p>
      <w:pPr>
        <w:spacing w:line="360" w:lineRule="auto"/>
        <w:ind w:firstLine="444"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6"/>
          <w:szCs w:val="21"/>
          <w:highlight w:val="none"/>
        </w:rPr>
        <w:br w:type="textWrapping"/>
      </w:r>
      <w:r>
        <w:rPr>
          <w:rFonts w:hint="eastAsia" w:asciiTheme="minorEastAsia" w:hAnsiTheme="minorEastAsia" w:eastAsiaTheme="minorEastAsia" w:cstheme="minorEastAsia"/>
          <w:color w:val="auto"/>
          <w:spacing w:val="6"/>
          <w:szCs w:val="21"/>
          <w:highlight w:val="none"/>
        </w:rPr>
        <w:br w:type="textWrapping"/>
      </w:r>
      <w:r>
        <w:rPr>
          <w:rFonts w:hint="eastAsia" w:asciiTheme="minorEastAsia" w:hAnsiTheme="minorEastAsia" w:eastAsiaTheme="minorEastAsia" w:cstheme="minorEastAsia"/>
          <w:color w:val="auto"/>
          <w:spacing w:val="6"/>
          <w:szCs w:val="21"/>
          <w:highlight w:val="none"/>
        </w:rPr>
        <w:br w:type="textWrapping"/>
      </w:r>
      <w:r>
        <w:rPr>
          <w:rFonts w:hint="eastAsia" w:asciiTheme="minorEastAsia" w:hAnsiTheme="minorEastAsia" w:eastAsiaTheme="minorEastAsia" w:cstheme="minorEastAsia"/>
          <w:color w:val="auto"/>
          <w:szCs w:val="21"/>
          <w:highlight w:val="none"/>
        </w:rPr>
        <w:t>磋商供应商授权代表（签字）：</w:t>
      </w:r>
      <w:r>
        <w:rPr>
          <w:rFonts w:hint="eastAsia" w:asciiTheme="minorEastAsia" w:hAnsiTheme="minorEastAsia" w:eastAsiaTheme="minorEastAsia" w:cstheme="minorEastAsia"/>
          <w:color w:val="auto"/>
          <w:szCs w:val="21"/>
          <w:highlight w:val="none"/>
          <w:u w:val="single"/>
        </w:rPr>
        <w:t xml:space="preserve">                        </w:t>
      </w:r>
    </w:p>
    <w:p>
      <w:pPr>
        <w:spacing w:line="360" w:lineRule="auto"/>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磋商</w:t>
      </w:r>
      <w:r>
        <w:rPr>
          <w:rFonts w:hint="eastAsia" w:asciiTheme="minorEastAsia" w:hAnsiTheme="minorEastAsia" w:eastAsiaTheme="minorEastAsia" w:cstheme="minorEastAsia"/>
          <w:bCs/>
          <w:color w:val="auto"/>
          <w:szCs w:val="21"/>
          <w:highlight w:val="none"/>
        </w:rPr>
        <w:t>供应商</w:t>
      </w:r>
      <w:r>
        <w:rPr>
          <w:rFonts w:hint="eastAsia" w:asciiTheme="minorEastAsia" w:hAnsiTheme="minorEastAsia" w:eastAsiaTheme="minorEastAsia" w:cstheme="minorEastAsia"/>
          <w:color w:val="auto"/>
          <w:szCs w:val="21"/>
          <w:highlight w:val="none"/>
        </w:rPr>
        <w:t>名称（盖章 ）：</w:t>
      </w:r>
      <w:r>
        <w:rPr>
          <w:rFonts w:hint="eastAsia" w:asciiTheme="minorEastAsia" w:hAnsiTheme="minorEastAsia" w:eastAsiaTheme="minorEastAsia" w:cstheme="minorEastAsia"/>
          <w:color w:val="auto"/>
          <w:szCs w:val="21"/>
          <w:highlight w:val="none"/>
          <w:u w:val="single"/>
        </w:rPr>
        <w:t xml:space="preserve">                                     </w:t>
      </w:r>
    </w:p>
    <w:p>
      <w:pPr>
        <w:spacing w:line="360" w:lineRule="auto"/>
        <w:rPr>
          <w:rFonts w:asciiTheme="minorEastAsia" w:hAnsiTheme="minorEastAsia" w:eastAsiaTheme="minorEastAsia" w:cstheme="minorEastAsia"/>
          <w:color w:val="auto"/>
          <w:spacing w:val="6"/>
          <w:szCs w:val="21"/>
          <w:highlight w:val="none"/>
        </w:rPr>
      </w:pPr>
      <w:r>
        <w:rPr>
          <w:rFonts w:hint="eastAsia" w:asciiTheme="minorEastAsia" w:hAnsiTheme="minorEastAsia" w:eastAsiaTheme="minorEastAsia" w:cstheme="minorEastAsia"/>
          <w:bCs/>
          <w:color w:val="auto"/>
          <w:szCs w:val="21"/>
          <w:highlight w:val="none"/>
        </w:rPr>
        <w:t xml:space="preserve">时                 </w:t>
      </w:r>
      <w:r>
        <w:rPr>
          <w:rFonts w:hint="eastAsia" w:asciiTheme="minorEastAsia" w:hAnsiTheme="minorEastAsia" w:eastAsiaTheme="minorEastAsia" w:cstheme="minorEastAsia"/>
          <w:color w:val="auto"/>
          <w:szCs w:val="21"/>
          <w:highlight w:val="none"/>
        </w:rPr>
        <w:t>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w:t>
      </w:r>
    </w:p>
    <w:p>
      <w:pPr>
        <w:spacing w:line="360" w:lineRule="auto"/>
        <w:ind w:firstLine="444" w:firstLineChars="200"/>
        <w:rPr>
          <w:rFonts w:asciiTheme="minorEastAsia" w:hAnsiTheme="minorEastAsia" w:eastAsiaTheme="minorEastAsia" w:cstheme="minorEastAsia"/>
          <w:color w:val="auto"/>
          <w:spacing w:val="6"/>
          <w:szCs w:val="21"/>
          <w:highlight w:val="none"/>
        </w:rPr>
      </w:pPr>
    </w:p>
    <w:bookmarkEnd w:id="120"/>
    <w:bookmarkEnd w:id="121"/>
    <w:bookmarkEnd w:id="122"/>
    <w:bookmarkEnd w:id="123"/>
    <w:p>
      <w:pPr>
        <w:adjustRightInd w:val="0"/>
        <w:snapToGrid w:val="0"/>
        <w:jc w:val="center"/>
        <w:outlineLvl w:val="1"/>
        <w:rPr>
          <w:rFonts w:asciiTheme="minorEastAsia" w:hAnsiTheme="minorEastAsia" w:eastAsiaTheme="minorEastAsia" w:cstheme="minorEastAsia"/>
          <w:b/>
          <w:color w:val="auto"/>
          <w:highlight w:val="none"/>
        </w:rPr>
      </w:pPr>
      <w:bookmarkStart w:id="220" w:name="_Toc10220"/>
      <w:bookmarkStart w:id="221" w:name="_Toc479184141"/>
      <w:bookmarkStart w:id="222" w:name="_Toc7229"/>
      <w:bookmarkStart w:id="223" w:name="_Toc476839034"/>
      <w:bookmarkStart w:id="224" w:name="_Toc4320"/>
      <w:bookmarkStart w:id="225" w:name="_Toc30406"/>
      <w:r>
        <w:rPr>
          <w:rFonts w:hint="eastAsia" w:asciiTheme="minorEastAsia" w:hAnsiTheme="minorEastAsia" w:eastAsiaTheme="minorEastAsia" w:cstheme="minorEastAsia"/>
          <w:b/>
          <w:bCs/>
          <w:color w:val="auto"/>
          <w:spacing w:val="6"/>
          <w:szCs w:val="21"/>
          <w:highlight w:val="none"/>
        </w:rPr>
        <w:t>十七、</w:t>
      </w:r>
      <w:r>
        <w:rPr>
          <w:rFonts w:hint="eastAsia" w:asciiTheme="minorEastAsia" w:hAnsiTheme="minorEastAsia" w:eastAsiaTheme="minorEastAsia" w:cstheme="minorEastAsia"/>
          <w:b/>
          <w:bCs/>
          <w:color w:val="auto"/>
          <w:highlight w:val="none"/>
          <w:lang w:val="zh-CN"/>
        </w:rPr>
        <w:t>监狱企业证</w:t>
      </w:r>
      <w:r>
        <w:rPr>
          <w:rFonts w:hint="eastAsia" w:asciiTheme="minorEastAsia" w:hAnsiTheme="minorEastAsia" w:eastAsiaTheme="minorEastAsia" w:cstheme="minorEastAsia"/>
          <w:b/>
          <w:color w:val="auto"/>
          <w:highlight w:val="none"/>
          <w:lang w:val="zh-CN"/>
        </w:rPr>
        <w:t>明文</w:t>
      </w:r>
      <w:r>
        <w:rPr>
          <w:rFonts w:hint="eastAsia" w:asciiTheme="minorEastAsia" w:hAnsiTheme="minorEastAsia" w:eastAsiaTheme="minorEastAsia" w:cstheme="minorEastAsia"/>
          <w:b/>
          <w:color w:val="auto"/>
          <w:highlight w:val="none"/>
        </w:rPr>
        <w:t>件</w:t>
      </w:r>
      <w:r>
        <w:rPr>
          <w:rFonts w:hint="eastAsia" w:asciiTheme="minorEastAsia" w:hAnsiTheme="minorEastAsia" w:eastAsiaTheme="minorEastAsia" w:cstheme="minorEastAsia"/>
          <w:b/>
          <w:color w:val="auto"/>
          <w:highlight w:val="none"/>
          <w:lang w:val="zh-CN"/>
        </w:rPr>
        <w:t>（若</w:t>
      </w:r>
      <w:r>
        <w:rPr>
          <w:rFonts w:hint="eastAsia" w:asciiTheme="minorEastAsia" w:hAnsiTheme="minorEastAsia" w:eastAsiaTheme="minorEastAsia" w:cstheme="minorEastAsia"/>
          <w:b/>
          <w:color w:val="auto"/>
          <w:highlight w:val="none"/>
        </w:rPr>
        <w:t>符合</w:t>
      </w:r>
      <w:r>
        <w:rPr>
          <w:rFonts w:hint="eastAsia" w:asciiTheme="minorEastAsia" w:hAnsiTheme="minorEastAsia" w:eastAsiaTheme="minorEastAsia" w:cstheme="minorEastAsia"/>
          <w:b/>
          <w:color w:val="auto"/>
          <w:highlight w:val="none"/>
          <w:lang w:val="zh-CN"/>
        </w:rPr>
        <w:t>）</w:t>
      </w:r>
      <w:bookmarkEnd w:id="220"/>
    </w:p>
    <w:p>
      <w:pPr>
        <w:adjustRightInd w:val="0"/>
        <w:snapToGrid w:val="0"/>
        <w:jc w:val="center"/>
        <w:rPr>
          <w:rFonts w:asciiTheme="minorEastAsia" w:hAnsiTheme="minorEastAsia" w:eastAsiaTheme="minorEastAsia" w:cstheme="minorEastAsia"/>
          <w:color w:val="auto"/>
          <w:spacing w:val="6"/>
          <w:szCs w:val="21"/>
          <w:highlight w:val="none"/>
        </w:rPr>
      </w:pPr>
    </w:p>
    <w:p>
      <w:pPr>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6"/>
          <w:szCs w:val="21"/>
          <w:highlight w:val="none"/>
        </w:rPr>
        <w:br w:type="textWrapping"/>
      </w:r>
      <w:r>
        <w:rPr>
          <w:rFonts w:hint="eastAsia" w:asciiTheme="minorEastAsia" w:hAnsiTheme="minorEastAsia" w:eastAsiaTheme="minorEastAsia" w:cstheme="minorEastAsia"/>
          <w:color w:val="auto"/>
          <w:spacing w:val="6"/>
          <w:szCs w:val="21"/>
          <w:highlight w:val="none"/>
        </w:rPr>
        <w:br w:type="textWrapping"/>
      </w:r>
      <w:r>
        <w:rPr>
          <w:rFonts w:hint="eastAsia" w:asciiTheme="minorEastAsia" w:hAnsiTheme="minorEastAsia" w:eastAsiaTheme="minorEastAsia" w:cstheme="minorEastAsia"/>
          <w:color w:val="auto"/>
          <w:spacing w:val="6"/>
          <w:szCs w:val="21"/>
          <w:highlight w:val="none"/>
        </w:rPr>
        <w:t>供应商如是监狱企业，提供相关证明文件。</w:t>
      </w:r>
      <w:r>
        <w:rPr>
          <w:rFonts w:hint="eastAsia" w:asciiTheme="minorEastAsia" w:hAnsiTheme="minorEastAsia" w:eastAsiaTheme="minorEastAsia" w:cstheme="minorEastAsia"/>
          <w:color w:val="auto"/>
          <w:spacing w:val="6"/>
          <w:szCs w:val="21"/>
          <w:highlight w:val="none"/>
        </w:rPr>
        <w:br w:type="textWrapping"/>
      </w:r>
      <w:r>
        <w:rPr>
          <w:rFonts w:hint="eastAsia" w:asciiTheme="minorEastAsia" w:hAnsiTheme="minorEastAsia" w:eastAsiaTheme="minorEastAsia" w:cstheme="minorEastAsia"/>
          <w:color w:val="auto"/>
          <w:spacing w:val="6"/>
          <w:szCs w:val="21"/>
          <w:highlight w:val="none"/>
        </w:rPr>
        <w:br w:type="textWrapping"/>
      </w:r>
      <w:r>
        <w:rPr>
          <w:rFonts w:hint="eastAsia" w:asciiTheme="minorEastAsia" w:hAnsiTheme="minorEastAsia" w:eastAsiaTheme="minorEastAsia" w:cstheme="minorEastAsia"/>
          <w:color w:val="auto"/>
          <w:szCs w:val="21"/>
          <w:highlight w:val="none"/>
        </w:rPr>
        <w:t>磋商供应商授权代表（签字）：</w:t>
      </w:r>
      <w:r>
        <w:rPr>
          <w:rFonts w:hint="eastAsia" w:asciiTheme="minorEastAsia" w:hAnsiTheme="minorEastAsia" w:eastAsiaTheme="minorEastAsia" w:cstheme="minorEastAsia"/>
          <w:color w:val="auto"/>
          <w:szCs w:val="21"/>
          <w:highlight w:val="none"/>
          <w:u w:val="single"/>
        </w:rPr>
        <w:t xml:space="preserve">                        </w:t>
      </w:r>
    </w:p>
    <w:p>
      <w:pPr>
        <w:spacing w:line="360" w:lineRule="auto"/>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磋商</w:t>
      </w:r>
      <w:r>
        <w:rPr>
          <w:rFonts w:hint="eastAsia" w:asciiTheme="minorEastAsia" w:hAnsiTheme="minorEastAsia" w:eastAsiaTheme="minorEastAsia" w:cstheme="minorEastAsia"/>
          <w:bCs/>
          <w:color w:val="auto"/>
          <w:szCs w:val="21"/>
          <w:highlight w:val="none"/>
        </w:rPr>
        <w:t>供应商</w:t>
      </w:r>
      <w:r>
        <w:rPr>
          <w:rFonts w:hint="eastAsia" w:asciiTheme="minorEastAsia" w:hAnsiTheme="minorEastAsia" w:eastAsiaTheme="minorEastAsia" w:cstheme="minorEastAsia"/>
          <w:color w:val="auto"/>
          <w:szCs w:val="21"/>
          <w:highlight w:val="none"/>
        </w:rPr>
        <w:t>名称（盖章 ）：</w:t>
      </w:r>
      <w:r>
        <w:rPr>
          <w:rFonts w:hint="eastAsia" w:asciiTheme="minorEastAsia" w:hAnsiTheme="minorEastAsia" w:eastAsiaTheme="minorEastAsia" w:cstheme="minorEastAsia"/>
          <w:color w:val="auto"/>
          <w:szCs w:val="21"/>
          <w:highlight w:val="none"/>
          <w:u w:val="single"/>
        </w:rPr>
        <w:t xml:space="preserve">                                     </w:t>
      </w:r>
    </w:p>
    <w:p>
      <w:pPr>
        <w:adjustRightInd w:val="0"/>
        <w:snapToGrid w:val="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rPr>
        <w:t xml:space="preserve">时                 </w:t>
      </w:r>
      <w:r>
        <w:rPr>
          <w:rFonts w:hint="eastAsia" w:asciiTheme="minorEastAsia" w:hAnsiTheme="minorEastAsia" w:eastAsiaTheme="minorEastAsia" w:cstheme="minorEastAsia"/>
          <w:color w:val="auto"/>
          <w:szCs w:val="21"/>
          <w:highlight w:val="none"/>
        </w:rPr>
        <w:t>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w:t>
      </w:r>
    </w:p>
    <w:p>
      <w:pPr>
        <w:adjustRightInd w:val="0"/>
        <w:snapToGrid w:val="0"/>
        <w:rPr>
          <w:rFonts w:asciiTheme="minorEastAsia" w:hAnsiTheme="minorEastAsia" w:eastAsiaTheme="minorEastAsia" w:cstheme="minorEastAsia"/>
          <w:color w:val="auto"/>
          <w:spacing w:val="6"/>
          <w:szCs w:val="21"/>
          <w:highlight w:val="none"/>
        </w:rPr>
      </w:pPr>
    </w:p>
    <w:p>
      <w:pPr>
        <w:adjustRightInd w:val="0"/>
        <w:snapToGrid w:val="0"/>
        <w:rPr>
          <w:rFonts w:asciiTheme="minorEastAsia" w:hAnsiTheme="minorEastAsia" w:eastAsiaTheme="minorEastAsia" w:cstheme="minorEastAsia"/>
          <w:color w:val="auto"/>
          <w:spacing w:val="6"/>
          <w:szCs w:val="21"/>
          <w:highlight w:val="none"/>
        </w:rPr>
      </w:pPr>
    </w:p>
    <w:p>
      <w:pPr>
        <w:rPr>
          <w:color w:val="auto"/>
          <w:highlight w:val="none"/>
        </w:rPr>
      </w:pP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r>
        <w:rPr>
          <w:rFonts w:hint="eastAsia"/>
          <w:color w:val="auto"/>
          <w:highlight w:val="none"/>
        </w:rPr>
        <w:br w:type="textWrapping"/>
      </w:r>
    </w:p>
    <w:p>
      <w:pPr>
        <w:adjustRightInd w:val="0"/>
        <w:snapToGrid w:val="0"/>
        <w:jc w:val="center"/>
        <w:outlineLvl w:val="1"/>
        <w:rPr>
          <w:rFonts w:asciiTheme="minorEastAsia" w:hAnsiTheme="minorEastAsia" w:eastAsiaTheme="minorEastAsia" w:cstheme="minorEastAsia"/>
          <w:b/>
          <w:color w:val="auto"/>
          <w:highlight w:val="none"/>
          <w:lang w:val="zh-CN"/>
        </w:rPr>
      </w:pPr>
      <w:bookmarkStart w:id="226" w:name="_Toc27762"/>
      <w:r>
        <w:rPr>
          <w:rFonts w:hint="eastAsia" w:asciiTheme="minorEastAsia" w:hAnsiTheme="minorEastAsia" w:eastAsiaTheme="minorEastAsia" w:cstheme="minorEastAsia"/>
          <w:color w:val="auto"/>
          <w:spacing w:val="6"/>
          <w:szCs w:val="21"/>
          <w:highlight w:val="none"/>
        </w:rPr>
        <w:br w:type="textWrapping"/>
      </w:r>
      <w:r>
        <w:rPr>
          <w:rFonts w:hint="eastAsia" w:asciiTheme="minorEastAsia" w:hAnsiTheme="minorEastAsia" w:eastAsiaTheme="minorEastAsia" w:cstheme="minorEastAsia"/>
          <w:b/>
          <w:color w:val="auto"/>
          <w:highlight w:val="none"/>
        </w:rPr>
        <w:t>十八、</w:t>
      </w:r>
      <w:r>
        <w:rPr>
          <w:rFonts w:hint="eastAsia" w:asciiTheme="minorEastAsia" w:hAnsiTheme="minorEastAsia" w:eastAsiaTheme="minorEastAsia" w:cstheme="minorEastAsia"/>
          <w:b/>
          <w:color w:val="auto"/>
          <w:highlight w:val="none"/>
          <w:lang w:val="zh-CN"/>
        </w:rPr>
        <w:t>残疾人福利性单位声明函（若</w:t>
      </w:r>
      <w:r>
        <w:rPr>
          <w:rFonts w:hint="eastAsia" w:asciiTheme="minorEastAsia" w:hAnsiTheme="minorEastAsia" w:eastAsiaTheme="minorEastAsia" w:cstheme="minorEastAsia"/>
          <w:b/>
          <w:color w:val="auto"/>
          <w:highlight w:val="none"/>
        </w:rPr>
        <w:t>符合</w:t>
      </w:r>
      <w:r>
        <w:rPr>
          <w:rFonts w:hint="eastAsia" w:asciiTheme="minorEastAsia" w:hAnsiTheme="minorEastAsia" w:eastAsiaTheme="minorEastAsia" w:cstheme="minorEastAsia"/>
          <w:b/>
          <w:color w:val="auto"/>
          <w:highlight w:val="none"/>
          <w:lang w:val="zh-CN"/>
        </w:rPr>
        <w:t>）</w:t>
      </w:r>
      <w:bookmarkEnd w:id="226"/>
    </w:p>
    <w:p>
      <w:pPr>
        <w:pStyle w:val="14"/>
        <w:spacing w:line="360" w:lineRule="auto"/>
        <w:ind w:firstLine="415" w:firstLineChars="198"/>
        <w:jc w:val="left"/>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本单位授权</w:t>
      </w:r>
      <w:r>
        <w:rPr>
          <w:rFonts w:hint="eastAsia" w:asciiTheme="minorEastAsia" w:hAnsiTheme="minorEastAsia" w:eastAsiaTheme="minorEastAsia" w:cstheme="minorEastAsia"/>
          <w:color w:val="auto"/>
          <w:sz w:val="21"/>
          <w:highlight w:val="none"/>
          <w:u w:val="single"/>
        </w:rPr>
        <w:t xml:space="preserve">     （供应商） </w:t>
      </w:r>
      <w:r>
        <w:rPr>
          <w:rFonts w:hint="eastAsia" w:asciiTheme="minorEastAsia" w:hAnsiTheme="minorEastAsia" w:eastAsiaTheme="minorEastAsia" w:cstheme="minorEastAsia"/>
          <w:color w:val="auto"/>
          <w:sz w:val="21"/>
          <w:highlight w:val="none"/>
        </w:rPr>
        <w:t>参加</w:t>
      </w:r>
      <w:r>
        <w:rPr>
          <w:rFonts w:hint="eastAsia" w:asciiTheme="minorEastAsia" w:hAnsiTheme="minorEastAsia" w:eastAsiaTheme="minorEastAsia" w:cstheme="minorEastAsia"/>
          <w:color w:val="auto"/>
          <w:sz w:val="21"/>
          <w:highlight w:val="none"/>
          <w:u w:val="single"/>
        </w:rPr>
        <w:t xml:space="preserve">     （采购人）</w:t>
      </w:r>
      <w:r>
        <w:rPr>
          <w:rFonts w:hint="eastAsia" w:asciiTheme="minorEastAsia" w:hAnsiTheme="minorEastAsia" w:eastAsiaTheme="minorEastAsia" w:cstheme="minorEastAsia"/>
          <w:color w:val="auto"/>
          <w:sz w:val="21"/>
          <w:highlight w:val="none"/>
        </w:rPr>
        <w:t>的</w:t>
      </w:r>
      <w:r>
        <w:rPr>
          <w:rFonts w:hint="eastAsia" w:asciiTheme="minorEastAsia" w:hAnsiTheme="minorEastAsia" w:eastAsiaTheme="minorEastAsia" w:cstheme="minorEastAsia"/>
          <w:color w:val="auto"/>
          <w:sz w:val="21"/>
          <w:highlight w:val="none"/>
          <w:u w:val="single"/>
        </w:rPr>
        <w:t>    </w:t>
      </w:r>
      <w:r>
        <w:rPr>
          <w:rFonts w:hint="eastAsia" w:asciiTheme="minorEastAsia" w:hAnsiTheme="minorEastAsia" w:eastAsiaTheme="minorEastAsia" w:cstheme="minorEastAsia"/>
          <w:color w:val="auto"/>
          <w:sz w:val="21"/>
          <w:highlight w:val="none"/>
        </w:rPr>
        <w:t>项目（项目编号：_____）采购活动提供本单位制造的货物（由本单位承担工程/提供服务）。或者提供其他残疾人福利性单位制造的货物（不包括使用非残疾人福利性单位注册商标的货物）。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本单位对上述声明的真实性负责。如有虚假，将依法承担相应责任。</w:t>
      </w:r>
    </w:p>
    <w:p>
      <w:pPr>
        <w:pStyle w:val="14"/>
        <w:spacing w:line="360" w:lineRule="auto"/>
        <w:jc w:val="left"/>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bCs/>
          <w:color w:val="auto"/>
          <w:sz w:val="21"/>
          <w:highlight w:val="none"/>
        </w:rPr>
        <w:t>说明：</w:t>
      </w:r>
      <w:r>
        <w:rPr>
          <w:rFonts w:hint="eastAsia" w:asciiTheme="minorEastAsia" w:hAnsiTheme="minorEastAsia" w:eastAsiaTheme="minorEastAsia" w:cstheme="minorEastAsia"/>
          <w:color w:val="auto"/>
          <w:sz w:val="21"/>
          <w:highlight w:val="none"/>
        </w:rPr>
        <w:t>1、供应商所投货物为自己制造的，也应按本声明函格式填写。</w:t>
      </w:r>
    </w:p>
    <w:p>
      <w:pPr>
        <w:pStyle w:val="14"/>
        <w:spacing w:line="360" w:lineRule="auto"/>
        <w:ind w:left="1033" w:leftChars="342" w:hanging="315" w:hangingChars="150"/>
        <w:jc w:val="left"/>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1"/>
          <w:highlight w:val="none"/>
        </w:rPr>
        <w:t>3、如以联合体方式参与本项目响应的供应商，则应由联合体双方签字盖章。</w:t>
      </w:r>
    </w:p>
    <w:p>
      <w:pPr>
        <w:spacing w:before="100" w:beforeAutospacing="1" w:after="100" w:afterAutospacing="1"/>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制造商（</w:t>
      </w:r>
      <w:r>
        <w:rPr>
          <w:rFonts w:hint="eastAsia" w:asciiTheme="minorEastAsia" w:hAnsiTheme="minorEastAsia" w:eastAsiaTheme="minorEastAsia" w:cstheme="minorEastAsia"/>
          <w:color w:val="auto"/>
          <w:szCs w:val="21"/>
          <w:highlight w:val="none"/>
        </w:rPr>
        <w:t>盖章</w:t>
      </w:r>
      <w:r>
        <w:rPr>
          <w:rFonts w:hint="eastAsia" w:asciiTheme="minorEastAsia" w:hAnsiTheme="minorEastAsia" w:eastAsiaTheme="minorEastAsia" w:cstheme="minorEastAsia"/>
          <w:color w:val="auto"/>
          <w:szCs w:val="21"/>
          <w:highlight w:val="none"/>
          <w:lang w:val="zh-CN"/>
        </w:rPr>
        <w:t>）：</w:t>
      </w:r>
    </w:p>
    <w:p>
      <w:pPr>
        <w:spacing w:before="100" w:beforeAutospacing="1" w:after="100" w:afterAutospacing="1"/>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制造商法定代表人（签字）：</w:t>
      </w:r>
    </w:p>
    <w:p>
      <w:pPr>
        <w:spacing w:before="100" w:beforeAutospacing="1" w:after="100" w:afterAutospacing="1"/>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磋商供应商法定代表人（签字）：</w:t>
      </w:r>
    </w:p>
    <w:p>
      <w:pPr>
        <w:spacing w:before="100" w:beforeAutospacing="1" w:after="100" w:afterAutospacing="1"/>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磋商供应商名称（</w:t>
      </w:r>
      <w:r>
        <w:rPr>
          <w:rFonts w:hint="eastAsia" w:asciiTheme="minorEastAsia" w:hAnsiTheme="minorEastAsia" w:eastAsiaTheme="minorEastAsia" w:cstheme="minorEastAsia"/>
          <w:color w:val="auto"/>
          <w:szCs w:val="21"/>
          <w:highlight w:val="none"/>
        </w:rPr>
        <w:t>盖章</w:t>
      </w:r>
      <w:r>
        <w:rPr>
          <w:rFonts w:hint="eastAsia" w:asciiTheme="minorEastAsia" w:hAnsiTheme="minorEastAsia" w:eastAsiaTheme="minorEastAsia" w:cstheme="minorEastAsia"/>
          <w:color w:val="auto"/>
          <w:szCs w:val="21"/>
          <w:highlight w:val="none"/>
          <w:lang w:val="zh-CN"/>
        </w:rPr>
        <w:t xml:space="preserve">）：                                     </w:t>
      </w:r>
    </w:p>
    <w:p>
      <w:pPr>
        <w:spacing w:before="100" w:beforeAutospacing="1" w:after="100" w:afterAutospacing="1"/>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时                 间：           年          月          日</w:t>
      </w:r>
    </w:p>
    <w:p>
      <w:pPr>
        <w:spacing w:before="100" w:beforeAutospacing="1" w:after="100" w:afterAutospacing="1"/>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br w:type="textWrapping"/>
      </w:r>
      <w:r>
        <w:rPr>
          <w:rFonts w:hint="eastAsia" w:asciiTheme="minorEastAsia" w:hAnsiTheme="minorEastAsia" w:eastAsiaTheme="minorEastAsia" w:cstheme="minorEastAsia"/>
          <w:color w:val="auto"/>
          <w:szCs w:val="21"/>
          <w:highlight w:val="none"/>
          <w:lang w:val="zh-CN"/>
        </w:rPr>
        <w:t>备注：享受政府采购支持政策的残疾人福利性单位应当同时满足以下条件：</w:t>
      </w:r>
    </w:p>
    <w:p>
      <w:pPr>
        <w:numPr>
          <w:ilvl w:val="0"/>
          <w:numId w:val="45"/>
        </w:numPr>
        <w:spacing w:before="100" w:beforeAutospacing="1" w:after="100" w:afterAutospacing="1"/>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安置的残疾人占本单位在职职工人数的比例不低于 25%（含 25%），并且安置的残疾人人数不少于 10 人（含 10 人）；</w:t>
      </w:r>
    </w:p>
    <w:p>
      <w:pPr>
        <w:numPr>
          <w:ilvl w:val="0"/>
          <w:numId w:val="45"/>
        </w:numPr>
        <w:spacing w:before="100" w:beforeAutospacing="1" w:after="100" w:afterAutospacing="1"/>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依法与安置的每位残疾人签订了一年以上（含一年）的劳动合同或服务协议；</w:t>
      </w:r>
    </w:p>
    <w:p>
      <w:pPr>
        <w:numPr>
          <w:ilvl w:val="0"/>
          <w:numId w:val="45"/>
        </w:numPr>
        <w:spacing w:before="100" w:beforeAutospacing="1" w:after="100" w:afterAutospacing="1"/>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为安置的每位残疾人按月足额缴纳了基本养老保险、基本医疗保险、失业保险、工伤保险和生育保险等社会保险费；</w:t>
      </w:r>
    </w:p>
    <w:p>
      <w:pPr>
        <w:numPr>
          <w:ilvl w:val="0"/>
          <w:numId w:val="45"/>
        </w:numPr>
        <w:spacing w:before="100" w:beforeAutospacing="1" w:after="100" w:afterAutospacing="1"/>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通过银行等金融机构向安置的每位残疾人，按月支付了不低于单位所在区县适用的经省级人民政府批准的月最低工资标准的工资；</w:t>
      </w:r>
    </w:p>
    <w:p>
      <w:pPr>
        <w:numPr>
          <w:ilvl w:val="0"/>
          <w:numId w:val="45"/>
        </w:numPr>
        <w:spacing w:before="100" w:beforeAutospacing="1" w:after="100" w:afterAutospacing="1"/>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spacing w:before="100" w:beforeAutospacing="1" w:after="100" w:afterAutospacing="1" w:line="360" w:lineRule="auto"/>
        <w:jc w:val="center"/>
        <w:outlineLvl w:val="1"/>
        <w:rPr>
          <w:rFonts w:asciiTheme="minorEastAsia" w:hAnsiTheme="minorEastAsia" w:eastAsiaTheme="minorEastAsia" w:cstheme="minorEastAsia"/>
          <w:bCs/>
          <w:color w:val="auto"/>
          <w:szCs w:val="21"/>
          <w:highlight w:val="none"/>
          <w:u w:val="single"/>
        </w:rPr>
      </w:pPr>
      <w:bookmarkStart w:id="227" w:name="_Toc19935"/>
      <w:r>
        <w:rPr>
          <w:rFonts w:hint="eastAsia" w:asciiTheme="minorEastAsia" w:hAnsiTheme="minorEastAsia" w:eastAsiaTheme="minorEastAsia" w:cstheme="minorEastAsia"/>
          <w:b/>
          <w:color w:val="auto"/>
          <w:highlight w:val="none"/>
        </w:rPr>
        <w:t>十九、节能环保产品证明材料（若符合）</w:t>
      </w:r>
      <w:bookmarkEnd w:id="227"/>
    </w:p>
    <w:p>
      <w:pPr>
        <w:adjustRightInd w:val="0"/>
        <w:snapToGrid w:val="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项目名称：                         </w:t>
      </w:r>
    </w:p>
    <w:p>
      <w:pPr>
        <w:spacing w:before="100" w:beforeAutospacing="1" w:after="100" w:afterAutospacing="1"/>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项目编号：</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（1）节能产品：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110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设备名称</w:t>
            </w:r>
          </w:p>
        </w:tc>
        <w:tc>
          <w:tcPr>
            <w:tcW w:w="137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制造商名称</w:t>
            </w: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品牌</w:t>
            </w: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型号</w:t>
            </w: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数量</w:t>
            </w: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单价（万元）</w:t>
            </w:r>
          </w:p>
        </w:tc>
        <w:tc>
          <w:tcPr>
            <w:tcW w:w="1304"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总价（万元）</w:t>
            </w:r>
          </w:p>
        </w:tc>
        <w:tc>
          <w:tcPr>
            <w:tcW w:w="134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10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110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70"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63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8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04"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4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r>
    </w:tbl>
    <w:p>
      <w:pPr>
        <w:spacing w:before="100" w:beforeAutospacing="1" w:after="100" w:afterAutospacing="1"/>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序号</w:t>
            </w:r>
          </w:p>
        </w:tc>
        <w:tc>
          <w:tcPr>
            <w:tcW w:w="1306"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设备名称</w:t>
            </w:r>
          </w:p>
        </w:tc>
        <w:tc>
          <w:tcPr>
            <w:tcW w:w="161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制造商名称</w:t>
            </w: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品牌</w:t>
            </w: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型号</w:t>
            </w: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数量</w:t>
            </w:r>
          </w:p>
        </w:tc>
        <w:tc>
          <w:tcPr>
            <w:tcW w:w="148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单价（万元）</w:t>
            </w:r>
          </w:p>
        </w:tc>
        <w:tc>
          <w:tcPr>
            <w:tcW w:w="138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06"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p>
        </w:tc>
        <w:tc>
          <w:tcPr>
            <w:tcW w:w="1306"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613"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84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487"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c>
          <w:tcPr>
            <w:tcW w:w="1389" w:type="dxa"/>
            <w:vAlign w:val="center"/>
          </w:tcPr>
          <w:p>
            <w:pPr>
              <w:adjustRightInd w:val="0"/>
              <w:snapToGrid w:val="0"/>
              <w:spacing w:line="360" w:lineRule="auto"/>
              <w:jc w:val="center"/>
              <w:rPr>
                <w:rFonts w:asciiTheme="minorEastAsia" w:hAnsiTheme="minorEastAsia" w:eastAsiaTheme="minorEastAsia" w:cstheme="minorEastAsia"/>
                <w:color w:val="auto"/>
                <w:szCs w:val="21"/>
                <w:highlight w:val="none"/>
              </w:rPr>
            </w:pPr>
          </w:p>
        </w:tc>
      </w:tr>
    </w:tbl>
    <w:p>
      <w:pPr>
        <w:spacing w:before="100" w:beforeAutospacing="1" w:after="100" w:afterAutospacing="1" w:line="360" w:lineRule="auto"/>
        <w:rPr>
          <w:rFonts w:asciiTheme="minorEastAsia" w:hAnsiTheme="minorEastAsia" w:eastAsiaTheme="minorEastAsia" w:cstheme="minorEastAsia"/>
          <w:bCs/>
          <w:color w:val="auto"/>
          <w:szCs w:val="21"/>
          <w:highlight w:val="none"/>
          <w:u w:val="single"/>
        </w:rPr>
      </w:pPr>
      <w:r>
        <w:rPr>
          <w:rFonts w:hint="eastAsia" w:asciiTheme="minorEastAsia" w:hAnsiTheme="minorEastAsia" w:eastAsiaTheme="minorEastAsia" w:cstheme="minorEastAsia"/>
          <w:color w:val="auto"/>
          <w:szCs w:val="21"/>
          <w:highlight w:val="none"/>
        </w:rPr>
        <w:t>注：供应商所提供产品如为节能环保产品，则应按本磋商文件第四章“政策支持”提供相关证明材料，并将节能、环保产品分别列入上表中，未填写本表或未提供有效认证证书的不给予价格扣除。</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br w:type="textWrapping"/>
      </w:r>
    </w:p>
    <w:p>
      <w:pPr>
        <w:spacing w:before="100" w:beforeAutospacing="1" w:after="100" w:afterAutospacing="1"/>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磋商供应商名称（</w:t>
      </w:r>
      <w:r>
        <w:rPr>
          <w:rFonts w:hint="eastAsia" w:asciiTheme="minorEastAsia" w:hAnsiTheme="minorEastAsia" w:eastAsiaTheme="minorEastAsia" w:cstheme="minorEastAsia"/>
          <w:color w:val="auto"/>
          <w:szCs w:val="21"/>
          <w:highlight w:val="none"/>
        </w:rPr>
        <w:t>盖章</w:t>
      </w:r>
      <w:r>
        <w:rPr>
          <w:rFonts w:hint="eastAsia" w:asciiTheme="minorEastAsia" w:hAnsiTheme="minorEastAsia" w:eastAsiaTheme="minorEastAsia" w:cstheme="minorEastAsia"/>
          <w:color w:val="auto"/>
          <w:szCs w:val="21"/>
          <w:highlight w:val="none"/>
          <w:lang w:val="zh-CN"/>
        </w:rPr>
        <w:t xml:space="preserve">）：                                     </w:t>
      </w:r>
    </w:p>
    <w:p>
      <w:pPr>
        <w:spacing w:before="100" w:beforeAutospacing="1" w:after="100" w:afterAutospacing="1" w:line="360" w:lineRule="auto"/>
        <w:rPr>
          <w:rFonts w:asciiTheme="minorEastAsia" w:hAnsiTheme="minorEastAsia" w:eastAsiaTheme="minorEastAsia" w:cstheme="minorEastAsia"/>
          <w:bCs/>
          <w:color w:val="auto"/>
          <w:szCs w:val="21"/>
          <w:highlight w:val="none"/>
          <w:u w:val="single"/>
        </w:rPr>
      </w:pPr>
      <w:r>
        <w:rPr>
          <w:rFonts w:hint="eastAsia" w:asciiTheme="minorEastAsia" w:hAnsiTheme="minorEastAsia" w:eastAsiaTheme="minorEastAsia" w:cstheme="minorEastAsia"/>
          <w:color w:val="auto"/>
          <w:szCs w:val="21"/>
          <w:highlight w:val="none"/>
          <w:lang w:val="zh-CN"/>
        </w:rPr>
        <w:t>时                 间：           年          月          日</w:t>
      </w:r>
      <w:r>
        <w:rPr>
          <w:rFonts w:hint="eastAsia" w:asciiTheme="minorEastAsia" w:hAnsiTheme="minorEastAsia" w:eastAsiaTheme="minorEastAsia" w:cstheme="minorEastAsia"/>
          <w:color w:val="auto"/>
          <w:szCs w:val="21"/>
          <w:highlight w:val="none"/>
        </w:rPr>
        <w:t xml:space="preserve"> </w:t>
      </w:r>
    </w:p>
    <w:p>
      <w:pPr>
        <w:spacing w:before="100" w:beforeAutospacing="1" w:after="100" w:afterAutospacing="1"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u w:val="single"/>
        </w:rPr>
        <w:br w:type="textWrapping"/>
      </w:r>
    </w:p>
    <w:p>
      <w:pPr>
        <w:adjustRightInd w:val="0"/>
        <w:snapToGrid w:val="0"/>
        <w:spacing w:line="360" w:lineRule="auto"/>
        <w:jc w:val="center"/>
        <w:outlineLvl w:val="1"/>
        <w:rPr>
          <w:rFonts w:asciiTheme="minorEastAsia" w:hAnsiTheme="minorEastAsia" w:eastAsiaTheme="minorEastAsia" w:cstheme="minorEastAsia"/>
          <w:b/>
          <w:color w:val="auto"/>
          <w:highlight w:val="none"/>
        </w:rPr>
      </w:pPr>
      <w:bookmarkStart w:id="228" w:name="_Toc17296"/>
      <w:r>
        <w:rPr>
          <w:rFonts w:hint="eastAsia" w:asciiTheme="minorEastAsia" w:hAnsiTheme="minorEastAsia" w:eastAsiaTheme="minorEastAsia" w:cstheme="minorEastAsia"/>
          <w:b/>
          <w:bCs/>
          <w:color w:val="auto"/>
          <w:spacing w:val="6"/>
          <w:szCs w:val="21"/>
          <w:highlight w:val="none"/>
        </w:rPr>
        <w:t>二十、</w:t>
      </w:r>
      <w:r>
        <w:rPr>
          <w:rFonts w:hint="eastAsia" w:asciiTheme="minorEastAsia" w:hAnsiTheme="minorEastAsia" w:eastAsiaTheme="minorEastAsia" w:cstheme="minorEastAsia"/>
          <w:b/>
          <w:color w:val="auto"/>
          <w:highlight w:val="none"/>
        </w:rPr>
        <w:t>无重大违法记录声明</w:t>
      </w:r>
      <w:bookmarkEnd w:id="221"/>
      <w:bookmarkEnd w:id="222"/>
      <w:bookmarkEnd w:id="223"/>
      <w:bookmarkEnd w:id="224"/>
      <w:bookmarkEnd w:id="225"/>
      <w:bookmarkEnd w:id="228"/>
    </w:p>
    <w:p>
      <w:pPr>
        <w:spacing w:line="480" w:lineRule="auto"/>
        <w:jc w:val="center"/>
        <w:rPr>
          <w:rFonts w:asciiTheme="minorEastAsia" w:hAnsiTheme="minorEastAsia" w:eastAsiaTheme="minorEastAsia" w:cstheme="minorEastAsia"/>
          <w:b/>
          <w:bCs/>
          <w:color w:val="auto"/>
          <w:kern w:val="0"/>
          <w:sz w:val="24"/>
          <w:highlight w:val="none"/>
        </w:rPr>
      </w:pPr>
      <w:r>
        <w:rPr>
          <w:rFonts w:hint="eastAsia" w:asciiTheme="minorEastAsia" w:hAnsiTheme="minorEastAsia" w:eastAsiaTheme="minorEastAsia" w:cstheme="minorEastAsia"/>
          <w:b/>
          <w:bCs/>
          <w:color w:val="auto"/>
          <w:kern w:val="0"/>
          <w:sz w:val="24"/>
          <w:highlight w:val="none"/>
        </w:rPr>
        <w:t>（磋商供应商应在此基础上，根据本单位实际情况进行声明）</w:t>
      </w:r>
    </w:p>
    <w:p>
      <w:pPr>
        <w:spacing w:line="48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采购人和采购代理机构：</w:t>
      </w:r>
    </w:p>
    <w:p>
      <w:pPr>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我方在此声明，我方在参加本</w:t>
      </w:r>
      <w:r>
        <w:rPr>
          <w:rFonts w:hint="eastAsia" w:asciiTheme="minorEastAsia" w:hAnsiTheme="minorEastAsia" w:eastAsiaTheme="minorEastAsia" w:cstheme="minorEastAsia"/>
          <w:color w:val="auto"/>
          <w:kern w:val="0"/>
          <w:szCs w:val="21"/>
          <w:highlight w:val="none"/>
          <w:shd w:val="clear" w:color="auto" w:fill="FFFFFF"/>
        </w:rPr>
        <w:t>次政府采购活动前三年内，在经营活动中没有以下重大违法记录：</w:t>
      </w:r>
    </w:p>
    <w:p>
      <w:pPr>
        <w:spacing w:line="48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shd w:val="clear" w:color="auto" w:fill="FFFFFF"/>
        </w:rPr>
        <w:t>1.我方因违法经营被追究过刑事责任；</w:t>
      </w:r>
    </w:p>
    <w:p>
      <w:pPr>
        <w:spacing w:line="48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shd w:val="clear" w:color="auto" w:fill="FFFFFF"/>
        </w:rPr>
        <w:t>2.我方因违法经营被责令停产停业、吊销许可证或者执照；</w:t>
      </w:r>
    </w:p>
    <w:p>
      <w:pPr>
        <w:spacing w:line="480" w:lineRule="auto"/>
        <w:rPr>
          <w:rFonts w:asciiTheme="minorEastAsia" w:hAnsiTheme="minorEastAsia" w:eastAsiaTheme="minorEastAsia" w:cstheme="minorEastAsia"/>
          <w:color w:val="auto"/>
          <w:kern w:val="0"/>
          <w:szCs w:val="21"/>
          <w:highlight w:val="none"/>
          <w:shd w:val="clear" w:color="auto" w:fill="FFFFFF"/>
        </w:rPr>
      </w:pPr>
      <w:r>
        <w:rPr>
          <w:rFonts w:hint="eastAsia" w:asciiTheme="minorEastAsia" w:hAnsiTheme="minorEastAsia" w:eastAsiaTheme="minorEastAsia" w:cstheme="minorEastAsia"/>
          <w:color w:val="auto"/>
          <w:kern w:val="0"/>
          <w:szCs w:val="21"/>
          <w:highlight w:val="none"/>
          <w:shd w:val="clear" w:color="auto" w:fill="FFFFFF"/>
        </w:rPr>
        <w:t>3.我方因违法经营被处以较大数额罚款等行政处罚；</w:t>
      </w:r>
    </w:p>
    <w:p>
      <w:pPr>
        <w:spacing w:line="48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shd w:val="clear" w:color="auto" w:fill="FFFFFF"/>
        </w:rPr>
        <w:t>4.不良经济纠纷记录和违法行为。</w:t>
      </w:r>
    </w:p>
    <w:p>
      <w:pPr>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shd w:val="clear" w:color="auto" w:fill="FFFFFF"/>
        </w:rPr>
        <w:t>特此声明！</w:t>
      </w:r>
    </w:p>
    <w:p>
      <w:pPr>
        <w:spacing w:line="48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shd w:val="clear" w:color="auto" w:fill="FFFFFF"/>
        </w:rPr>
        <w:t> </w:t>
      </w:r>
    </w:p>
    <w:p>
      <w:pPr>
        <w:spacing w:line="48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shd w:val="clear" w:color="auto" w:fill="FFFFFF"/>
        </w:rPr>
        <w:t> </w:t>
      </w:r>
    </w:p>
    <w:p>
      <w:pPr>
        <w:spacing w:before="100" w:beforeAutospacing="1" w:after="100" w:afterAutospacing="1"/>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磋商供应商法定代表人（签字）：</w:t>
      </w:r>
    </w:p>
    <w:p>
      <w:pPr>
        <w:spacing w:before="100" w:beforeAutospacing="1" w:after="100" w:afterAutospacing="1"/>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 xml:space="preserve">磋商供应商授权代表（签字）：                        </w:t>
      </w:r>
    </w:p>
    <w:p>
      <w:pPr>
        <w:spacing w:before="100" w:beforeAutospacing="1" w:after="100" w:afterAutospacing="1"/>
        <w:jc w:val="left"/>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lang w:val="zh-CN"/>
        </w:rPr>
        <w:t>磋商供应商名称（</w:t>
      </w:r>
      <w:r>
        <w:rPr>
          <w:rFonts w:hint="eastAsia" w:asciiTheme="minorEastAsia" w:hAnsiTheme="minorEastAsia" w:eastAsiaTheme="minorEastAsia" w:cstheme="minorEastAsia"/>
          <w:color w:val="auto"/>
          <w:szCs w:val="21"/>
          <w:highlight w:val="none"/>
        </w:rPr>
        <w:t>盖章</w:t>
      </w:r>
      <w:r>
        <w:rPr>
          <w:rFonts w:hint="eastAsia" w:asciiTheme="minorEastAsia" w:hAnsiTheme="minorEastAsia" w:eastAsiaTheme="minorEastAsia" w:cstheme="minorEastAsia"/>
          <w:color w:val="auto"/>
          <w:szCs w:val="21"/>
          <w:highlight w:val="none"/>
          <w:lang w:val="zh-CN"/>
        </w:rPr>
        <w:t xml:space="preserve">）：                                     </w:t>
      </w:r>
    </w:p>
    <w:p>
      <w:pPr>
        <w:ind w:firstLine="420" w:firstLineChars="200"/>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zh-CN"/>
        </w:rPr>
        <w:t>时                 间：           年          月          日</w:t>
      </w:r>
      <w:r>
        <w:rPr>
          <w:rFonts w:hint="eastAsia" w:asciiTheme="minorEastAsia" w:hAnsiTheme="minorEastAsia" w:eastAsiaTheme="minorEastAsia" w:cstheme="minorEastAsia"/>
          <w:color w:val="auto"/>
          <w:szCs w:val="21"/>
          <w:highlight w:val="none"/>
        </w:rPr>
        <w:t xml:space="preserve"> </w:t>
      </w:r>
    </w:p>
    <w:p>
      <w:pPr>
        <w:ind w:firstLine="420" w:firstLineChars="200"/>
        <w:jc w:val="center"/>
        <w:outlineLvl w:val="1"/>
        <w:rPr>
          <w:rFonts w:asciiTheme="minorEastAsia" w:hAnsiTheme="minorEastAsia" w:eastAsiaTheme="minorEastAsia" w:cstheme="minorEastAsia"/>
          <w:b/>
          <w:bCs/>
          <w:color w:val="auto"/>
          <w:spacing w:val="6"/>
          <w:szCs w:val="21"/>
          <w:highlight w:val="none"/>
        </w:rPr>
        <w:sectPr>
          <w:footerReference r:id="rId7" w:type="default"/>
          <w:type w:val="continuous"/>
          <w:pgSz w:w="11906" w:h="16838"/>
          <w:pgMar w:top="1417" w:right="1417" w:bottom="1417" w:left="1417" w:header="851" w:footer="992" w:gutter="0"/>
          <w:cols w:space="720" w:num="1"/>
          <w:docGrid w:type="lines" w:linePitch="312" w:charSpace="0"/>
        </w:sectPr>
      </w:pPr>
      <w:bookmarkStart w:id="229" w:name="_Toc5812"/>
      <w:bookmarkStart w:id="230" w:name="_Toc24513"/>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kern w:val="0"/>
          <w:szCs w:val="21"/>
          <w:highlight w:val="none"/>
          <w:shd w:val="clear" w:color="auto" w:fill="FFFFFF"/>
        </w:rPr>
        <w:br w:type="textWrapping"/>
      </w:r>
      <w:r>
        <w:rPr>
          <w:rFonts w:hint="eastAsia" w:asciiTheme="minorEastAsia" w:hAnsiTheme="minorEastAsia" w:eastAsiaTheme="minorEastAsia" w:cstheme="minorEastAsia"/>
          <w:b/>
          <w:bCs/>
          <w:color w:val="auto"/>
          <w:spacing w:val="6"/>
          <w:szCs w:val="21"/>
          <w:highlight w:val="none"/>
        </w:rPr>
        <w:t>二十一、磋商供应商认为应该提交的其它文件（格式自拟）</w:t>
      </w:r>
      <w:bookmarkEnd w:id="229"/>
      <w:r>
        <w:rPr>
          <w:rFonts w:hint="eastAsia" w:asciiTheme="minorEastAsia" w:hAnsiTheme="minorEastAsia" w:eastAsiaTheme="minorEastAsia" w:cstheme="minorEastAsia"/>
          <w:b/>
          <w:bCs/>
          <w:color w:val="auto"/>
          <w:spacing w:val="6"/>
          <w:szCs w:val="21"/>
          <w:highlight w:val="none"/>
        </w:rPr>
        <w:br w:type="textWrapping"/>
      </w:r>
      <w:r>
        <w:rPr>
          <w:rFonts w:hint="eastAsia" w:asciiTheme="minorEastAsia" w:hAnsiTheme="minorEastAsia" w:eastAsiaTheme="minorEastAsia" w:cstheme="minorEastAsia"/>
          <w:b/>
          <w:bCs/>
          <w:color w:val="auto"/>
          <w:spacing w:val="6"/>
          <w:szCs w:val="21"/>
          <w:highlight w:val="none"/>
        </w:rPr>
        <w:br w:type="textWrapping"/>
      </w:r>
      <w:r>
        <w:rPr>
          <w:rFonts w:hint="eastAsia" w:asciiTheme="minorEastAsia" w:hAnsiTheme="minorEastAsia" w:eastAsiaTheme="minorEastAsia" w:cstheme="minorEastAsia"/>
          <w:b/>
          <w:bCs/>
          <w:color w:val="auto"/>
          <w:spacing w:val="6"/>
          <w:szCs w:val="21"/>
          <w:highlight w:val="none"/>
        </w:rPr>
        <w:br w:type="textWrapping"/>
      </w:r>
      <w:r>
        <w:rPr>
          <w:rFonts w:hint="eastAsia" w:asciiTheme="minorEastAsia" w:hAnsiTheme="minorEastAsia" w:eastAsiaTheme="minorEastAsia" w:cstheme="minorEastAsia"/>
          <w:b/>
          <w:bCs/>
          <w:color w:val="auto"/>
          <w:spacing w:val="6"/>
          <w:szCs w:val="21"/>
          <w:highlight w:val="none"/>
        </w:rPr>
        <w:br w:type="textWrapping"/>
      </w:r>
      <w:r>
        <w:rPr>
          <w:rFonts w:hint="eastAsia" w:asciiTheme="minorEastAsia" w:hAnsiTheme="minorEastAsia" w:eastAsiaTheme="minorEastAsia" w:cstheme="minorEastAsia"/>
          <w:b/>
          <w:bCs/>
          <w:color w:val="auto"/>
          <w:spacing w:val="6"/>
          <w:szCs w:val="21"/>
          <w:highlight w:val="none"/>
        </w:rPr>
        <w:br w:type="textWrapping"/>
      </w:r>
      <w:r>
        <w:rPr>
          <w:rFonts w:hint="eastAsia" w:asciiTheme="minorEastAsia" w:hAnsiTheme="minorEastAsia" w:eastAsiaTheme="minorEastAsia" w:cstheme="minorEastAsia"/>
          <w:b/>
          <w:bCs/>
          <w:color w:val="auto"/>
          <w:spacing w:val="6"/>
          <w:szCs w:val="21"/>
          <w:highlight w:val="none"/>
        </w:rPr>
        <w:br w:type="textWrapping"/>
      </w:r>
      <w:r>
        <w:rPr>
          <w:rFonts w:hint="eastAsia" w:asciiTheme="minorEastAsia" w:hAnsiTheme="minorEastAsia" w:eastAsiaTheme="minorEastAsia" w:cstheme="minorEastAsia"/>
          <w:b/>
          <w:bCs/>
          <w:color w:val="auto"/>
          <w:spacing w:val="6"/>
          <w:szCs w:val="21"/>
          <w:highlight w:val="none"/>
        </w:rPr>
        <w:br w:type="textWrapping"/>
      </w:r>
      <w:bookmarkEnd w:id="230"/>
    </w:p>
    <w:tbl>
      <w:tblPr>
        <w:tblStyle w:val="26"/>
        <w:tblW w:w="9983" w:type="dxa"/>
        <w:tblInd w:w="-466" w:type="dxa"/>
        <w:tblLayout w:type="fixed"/>
        <w:tblCellMar>
          <w:top w:w="0" w:type="dxa"/>
          <w:left w:w="0" w:type="dxa"/>
          <w:bottom w:w="0" w:type="dxa"/>
          <w:right w:w="0" w:type="dxa"/>
        </w:tblCellMar>
      </w:tblPr>
      <w:tblGrid>
        <w:gridCol w:w="1163"/>
        <w:gridCol w:w="662"/>
        <w:gridCol w:w="760"/>
        <w:gridCol w:w="819"/>
        <w:gridCol w:w="665"/>
        <w:gridCol w:w="783"/>
        <w:gridCol w:w="783"/>
        <w:gridCol w:w="657"/>
        <w:gridCol w:w="767"/>
        <w:gridCol w:w="747"/>
        <w:gridCol w:w="793"/>
        <w:gridCol w:w="685"/>
        <w:gridCol w:w="699"/>
      </w:tblGrid>
      <w:tr>
        <w:tblPrEx>
          <w:tblCellMar>
            <w:top w:w="0" w:type="dxa"/>
            <w:left w:w="0" w:type="dxa"/>
            <w:bottom w:w="0" w:type="dxa"/>
            <w:right w:w="0" w:type="dxa"/>
          </w:tblCellMar>
        </w:tblPrEx>
        <w:trPr>
          <w:trHeight w:val="720" w:hRule="atLeast"/>
          <w:tblHeader/>
        </w:trPr>
        <w:tc>
          <w:tcPr>
            <w:tcW w:w="9983" w:type="dxa"/>
            <w:gridSpan w:val="1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b/>
                <w:color w:val="auto"/>
                <w:sz w:val="40"/>
                <w:szCs w:val="40"/>
                <w:highlight w:val="none"/>
              </w:rPr>
            </w:pPr>
            <w:r>
              <w:rPr>
                <w:rFonts w:hint="eastAsia" w:ascii="黑体" w:hAnsi="宋体" w:eastAsia="黑体" w:cs="黑体"/>
                <w:b/>
                <w:color w:val="auto"/>
                <w:kern w:val="0"/>
                <w:sz w:val="40"/>
                <w:szCs w:val="40"/>
                <w:highlight w:val="none"/>
              </w:rPr>
              <w:t>中小企业划型标准规定（工信部联企业[2011]300号）</w:t>
            </w:r>
          </w:p>
        </w:tc>
      </w:tr>
      <w:tr>
        <w:tblPrEx>
          <w:tblCellMar>
            <w:top w:w="0" w:type="dxa"/>
            <w:left w:w="0" w:type="dxa"/>
            <w:bottom w:w="0" w:type="dxa"/>
            <w:right w:w="0" w:type="dxa"/>
          </w:tblCellMar>
        </w:tblPrEx>
        <w:trPr>
          <w:trHeight w:val="270" w:hRule="atLeast"/>
          <w:tblHeader/>
        </w:trPr>
        <w:tc>
          <w:tcPr>
            <w:tcW w:w="1163" w:type="dxa"/>
            <w:vMerge w:val="restart"/>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行业</w:t>
            </w:r>
          </w:p>
        </w:tc>
        <w:tc>
          <w:tcPr>
            <w:tcW w:w="2241"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中小微型企业（</w:t>
            </w:r>
            <w:r>
              <w:rPr>
                <w:rFonts w:hint="eastAsia" w:ascii="宋体" w:hAnsi="宋体" w:cs="宋体"/>
                <w:b/>
                <w:color w:val="auto"/>
                <w:kern w:val="0"/>
                <w:szCs w:val="21"/>
                <w:highlight w:val="none"/>
              </w:rPr>
              <w:t>或</w:t>
            </w:r>
            <w:r>
              <w:rPr>
                <w:rFonts w:hint="eastAsia" w:ascii="宋体" w:hAnsi="宋体" w:cs="宋体"/>
                <w:color w:val="auto"/>
                <w:kern w:val="0"/>
                <w:szCs w:val="21"/>
                <w:highlight w:val="none"/>
              </w:rPr>
              <w:t>）</w:t>
            </w:r>
          </w:p>
        </w:tc>
        <w:tc>
          <w:tcPr>
            <w:tcW w:w="2231"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中型企业（</w:t>
            </w:r>
            <w:r>
              <w:rPr>
                <w:rFonts w:hint="eastAsia" w:ascii="宋体" w:hAnsi="宋体" w:cs="宋体"/>
                <w:b/>
                <w:color w:val="auto"/>
                <w:kern w:val="0"/>
                <w:szCs w:val="21"/>
                <w:highlight w:val="none"/>
              </w:rPr>
              <w:t>且</w:t>
            </w:r>
            <w:r>
              <w:rPr>
                <w:rFonts w:hint="eastAsia" w:ascii="宋体" w:hAnsi="宋体" w:cs="宋体"/>
                <w:color w:val="auto"/>
                <w:kern w:val="0"/>
                <w:szCs w:val="21"/>
                <w:highlight w:val="none"/>
              </w:rPr>
              <w:t>）</w:t>
            </w:r>
          </w:p>
        </w:tc>
        <w:tc>
          <w:tcPr>
            <w:tcW w:w="2171"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小型企业（</w:t>
            </w:r>
            <w:r>
              <w:rPr>
                <w:rFonts w:hint="eastAsia" w:ascii="宋体" w:hAnsi="宋体" w:cs="宋体"/>
                <w:b/>
                <w:color w:val="auto"/>
                <w:kern w:val="0"/>
                <w:szCs w:val="21"/>
                <w:highlight w:val="none"/>
              </w:rPr>
              <w:t>且</w:t>
            </w:r>
            <w:r>
              <w:rPr>
                <w:rFonts w:hint="eastAsia" w:ascii="宋体" w:hAnsi="宋体" w:cs="宋体"/>
                <w:color w:val="auto"/>
                <w:kern w:val="0"/>
                <w:szCs w:val="21"/>
                <w:highlight w:val="none"/>
              </w:rPr>
              <w:t>）</w:t>
            </w:r>
          </w:p>
        </w:tc>
        <w:tc>
          <w:tcPr>
            <w:tcW w:w="2177" w:type="dxa"/>
            <w:gridSpan w:val="3"/>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微型企业（</w:t>
            </w:r>
            <w:r>
              <w:rPr>
                <w:rFonts w:hint="eastAsia" w:ascii="宋体" w:hAnsi="宋体" w:cs="宋体"/>
                <w:b/>
                <w:color w:val="auto"/>
                <w:kern w:val="0"/>
                <w:szCs w:val="21"/>
                <w:highlight w:val="none"/>
              </w:rPr>
              <w:t>或</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270" w:hRule="atLeast"/>
          <w:tblHeader/>
        </w:trPr>
        <w:tc>
          <w:tcPr>
            <w:tcW w:w="1163" w:type="dxa"/>
            <w:vMerge w:val="continue"/>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从业人员</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营业收入</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资产总额</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从业人员</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营业收入</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资产总额</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从业人员</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营业收入</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资产总额</w:t>
            </w: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从业人员</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营业收入</w:t>
            </w:r>
          </w:p>
        </w:tc>
        <w:tc>
          <w:tcPr>
            <w:tcW w:w="69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资产总额</w:t>
            </w:r>
          </w:p>
        </w:tc>
      </w:tr>
      <w:tr>
        <w:tblPrEx>
          <w:tblCellMar>
            <w:top w:w="0" w:type="dxa"/>
            <w:left w:w="0" w:type="dxa"/>
            <w:bottom w:w="0" w:type="dxa"/>
            <w:right w:w="0" w:type="dxa"/>
          </w:tblCellMar>
        </w:tblPrEx>
        <w:trPr>
          <w:trHeight w:val="420" w:hRule="atLeast"/>
        </w:trPr>
        <w:tc>
          <w:tcPr>
            <w:tcW w:w="116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农、林、牧、渔业</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20000万元以下</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500万元及以上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50万元及以上</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50万元以下</w:t>
            </w:r>
          </w:p>
        </w:tc>
        <w:tc>
          <w:tcPr>
            <w:tcW w:w="69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trPr>
        <w:tc>
          <w:tcPr>
            <w:tcW w:w="116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工业（包括采矿业，制造业，电力、热力、燃气及水生产和供应业）</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1000人以下</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40000万元以下</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300人及以上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2000万元及以上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20人及以上</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300万元及以上</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20人以下</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300万元以下</w:t>
            </w:r>
          </w:p>
        </w:tc>
        <w:tc>
          <w:tcPr>
            <w:tcW w:w="69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trPr>
        <w:tc>
          <w:tcPr>
            <w:tcW w:w="116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建筑业</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80000万元以下</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80000万元以下</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6000万元及以上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5000万元及以上</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300万元及以上</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300万元及以上</w:t>
            </w: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300万元以下</w:t>
            </w:r>
          </w:p>
        </w:tc>
        <w:tc>
          <w:tcPr>
            <w:tcW w:w="69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300万元以下</w:t>
            </w:r>
          </w:p>
        </w:tc>
      </w:tr>
      <w:tr>
        <w:tblPrEx>
          <w:tblCellMar>
            <w:top w:w="0" w:type="dxa"/>
            <w:left w:w="0" w:type="dxa"/>
            <w:bottom w:w="0" w:type="dxa"/>
            <w:right w:w="0" w:type="dxa"/>
          </w:tblCellMar>
        </w:tblPrEx>
        <w:trPr>
          <w:trHeight w:val="420" w:hRule="atLeast"/>
        </w:trPr>
        <w:tc>
          <w:tcPr>
            <w:tcW w:w="116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批发业</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200人以下</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40000万元以下</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20人及以上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5000万元及以上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5人及以上</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1000万元及以上</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5人以下</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1000万元以下</w:t>
            </w:r>
          </w:p>
        </w:tc>
        <w:tc>
          <w:tcPr>
            <w:tcW w:w="69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trPr>
        <w:tc>
          <w:tcPr>
            <w:tcW w:w="116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零售业</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300人以下</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20000万元以下</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50人及以上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500万元及以上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10人及以上</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100万元及以上</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10人以下</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100万元以下</w:t>
            </w:r>
          </w:p>
        </w:tc>
        <w:tc>
          <w:tcPr>
            <w:tcW w:w="69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trPr>
        <w:tc>
          <w:tcPr>
            <w:tcW w:w="116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交通运输业（不含铁路运输业）</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1000人以下</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30000万元以下</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300人及以上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3000万元及以上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20人及以上</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200万元及以上</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20人以下</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200万元以下</w:t>
            </w:r>
          </w:p>
        </w:tc>
        <w:tc>
          <w:tcPr>
            <w:tcW w:w="69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trPr>
        <w:tc>
          <w:tcPr>
            <w:tcW w:w="116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仓储业</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200人以下</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30000万元以下</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100人及以上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1000万元及以上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20人及以上</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100万元及以上</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20人以下</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100万元以下</w:t>
            </w:r>
          </w:p>
        </w:tc>
        <w:tc>
          <w:tcPr>
            <w:tcW w:w="69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trPr>
        <w:tc>
          <w:tcPr>
            <w:tcW w:w="116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邮政业</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1000人以下</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30000万元以下</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300人及以上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2000万元及以上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20人及以上</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100万元及以上</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20人以下</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100万元以下</w:t>
            </w:r>
          </w:p>
        </w:tc>
        <w:tc>
          <w:tcPr>
            <w:tcW w:w="69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trPr>
        <w:tc>
          <w:tcPr>
            <w:tcW w:w="116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住宿业</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300人以下</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10000万元以下</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100人及以上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2000万元及以上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10人及以上</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100万元及以上</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10人以下</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100万元以下</w:t>
            </w:r>
          </w:p>
        </w:tc>
        <w:tc>
          <w:tcPr>
            <w:tcW w:w="69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trPr>
        <w:tc>
          <w:tcPr>
            <w:tcW w:w="116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餐饮业</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300人以下</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10000万元以下</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100人及以上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2000万元及以上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10人及以上</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100万元及以上</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10人以下</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100万元以下</w:t>
            </w:r>
          </w:p>
        </w:tc>
        <w:tc>
          <w:tcPr>
            <w:tcW w:w="69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trPr>
        <w:tc>
          <w:tcPr>
            <w:tcW w:w="116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信息传输业（包括电信、互联网和相关服务）</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2000人以下</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100000万元以下</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100人及以上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1000万元及以上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10人及以上</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100万元及以上</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10人以下</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100万元以下</w:t>
            </w:r>
          </w:p>
        </w:tc>
        <w:tc>
          <w:tcPr>
            <w:tcW w:w="69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trPr>
        <w:tc>
          <w:tcPr>
            <w:tcW w:w="116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软件和信息技术服务业</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300人以下</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10000万元以下</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100人及以上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1000万元及以上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10人及以上</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50万元及以上</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10人以下</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50万元以下</w:t>
            </w:r>
          </w:p>
        </w:tc>
        <w:tc>
          <w:tcPr>
            <w:tcW w:w="69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trPr>
        <w:tc>
          <w:tcPr>
            <w:tcW w:w="116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房地产开发经营</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200000万元以下</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10000万元以下</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1000万元及以上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5000万元及以上</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100万元及以上</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2000万元及以上</w:t>
            </w: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100万元以下</w:t>
            </w:r>
          </w:p>
        </w:tc>
        <w:tc>
          <w:tcPr>
            <w:tcW w:w="69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2000万元以下</w:t>
            </w:r>
          </w:p>
        </w:tc>
      </w:tr>
      <w:tr>
        <w:tblPrEx>
          <w:tblCellMar>
            <w:top w:w="0" w:type="dxa"/>
            <w:left w:w="0" w:type="dxa"/>
            <w:bottom w:w="0" w:type="dxa"/>
            <w:right w:w="0" w:type="dxa"/>
          </w:tblCellMar>
        </w:tblPrEx>
        <w:trPr>
          <w:trHeight w:val="420" w:hRule="atLeast"/>
        </w:trPr>
        <w:tc>
          <w:tcPr>
            <w:tcW w:w="116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物业管理</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1000人以下</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5000万元以下</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300人及以上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1000万元及以上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100人及以上</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500万元及以上</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100人以下</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500万元以下</w:t>
            </w:r>
          </w:p>
        </w:tc>
        <w:tc>
          <w:tcPr>
            <w:tcW w:w="69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r>
      <w:tr>
        <w:tblPrEx>
          <w:tblCellMar>
            <w:top w:w="0" w:type="dxa"/>
            <w:left w:w="0" w:type="dxa"/>
            <w:bottom w:w="0" w:type="dxa"/>
            <w:right w:w="0" w:type="dxa"/>
          </w:tblCellMar>
        </w:tblPrEx>
        <w:trPr>
          <w:trHeight w:val="420" w:hRule="atLeast"/>
        </w:trPr>
        <w:tc>
          <w:tcPr>
            <w:tcW w:w="1163"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租赁和商务服务业</w:t>
            </w:r>
          </w:p>
        </w:tc>
        <w:tc>
          <w:tcPr>
            <w:tcW w:w="6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300人以下</w:t>
            </w:r>
          </w:p>
        </w:tc>
        <w:tc>
          <w:tcPr>
            <w:tcW w:w="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120000万元以下</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100人及以上</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8000万元及以上</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10人及以上</w:t>
            </w:r>
          </w:p>
        </w:tc>
        <w:tc>
          <w:tcPr>
            <w:tcW w:w="7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100万元及以上</w:t>
            </w:r>
          </w:p>
        </w:tc>
        <w:tc>
          <w:tcPr>
            <w:tcW w:w="7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10人以下</w:t>
            </w:r>
          </w:p>
        </w:tc>
        <w:tc>
          <w:tcPr>
            <w:tcW w:w="6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99"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100万元以下</w:t>
            </w:r>
          </w:p>
        </w:tc>
      </w:tr>
      <w:tr>
        <w:tblPrEx>
          <w:tblCellMar>
            <w:top w:w="0" w:type="dxa"/>
            <w:left w:w="0" w:type="dxa"/>
            <w:bottom w:w="0" w:type="dxa"/>
            <w:right w:w="0" w:type="dxa"/>
          </w:tblCellMar>
        </w:tblPrEx>
        <w:trPr>
          <w:trHeight w:val="1065" w:hRule="atLeast"/>
        </w:trPr>
        <w:tc>
          <w:tcPr>
            <w:tcW w:w="1163"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其他未列明行业（包括科学研究和技术服务业，水利、环境和公共设施管理业，居民服务、修理和其他服务业，社会工作，文化、体育和娱乐业等）</w:t>
            </w:r>
          </w:p>
        </w:tc>
        <w:tc>
          <w:tcPr>
            <w:tcW w:w="662"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300人以下</w:t>
            </w:r>
          </w:p>
        </w:tc>
        <w:tc>
          <w:tcPr>
            <w:tcW w:w="76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819"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6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100人及以上</w:t>
            </w:r>
          </w:p>
        </w:tc>
        <w:tc>
          <w:tcPr>
            <w:tcW w:w="783"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83"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57"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10人及以上</w:t>
            </w:r>
          </w:p>
        </w:tc>
        <w:tc>
          <w:tcPr>
            <w:tcW w:w="767"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47"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793"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10人以下</w:t>
            </w:r>
          </w:p>
        </w:tc>
        <w:tc>
          <w:tcPr>
            <w:tcW w:w="68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c>
          <w:tcPr>
            <w:tcW w:w="699"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rPr>
                <w:rFonts w:ascii="宋体" w:hAnsi="宋体" w:cs="宋体"/>
                <w:color w:val="auto"/>
                <w:szCs w:val="21"/>
                <w:highlight w:val="none"/>
              </w:rPr>
            </w:pPr>
          </w:p>
        </w:tc>
      </w:tr>
      <w:tr>
        <w:tblPrEx>
          <w:tblCellMar>
            <w:top w:w="0" w:type="dxa"/>
            <w:left w:w="0" w:type="dxa"/>
            <w:bottom w:w="0" w:type="dxa"/>
            <w:right w:w="0" w:type="dxa"/>
          </w:tblCellMar>
        </w:tblPrEx>
        <w:trPr>
          <w:trHeight w:val="270" w:hRule="atLeast"/>
        </w:trPr>
        <w:tc>
          <w:tcPr>
            <w:tcW w:w="9983" w:type="dxa"/>
            <w:gridSpan w:val="13"/>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auto"/>
                <w:szCs w:val="21"/>
                <w:highlight w:val="none"/>
              </w:rPr>
            </w:pPr>
            <w:r>
              <w:rPr>
                <w:rFonts w:hint="eastAsia" w:ascii="宋体" w:hAnsi="宋体" w:cs="宋体"/>
                <w:color w:val="auto"/>
                <w:kern w:val="0"/>
                <w:szCs w:val="21"/>
                <w:highlight w:val="none"/>
              </w:rPr>
              <w:t>本规定适用于在中华人民共和国境内依法设立的各类所有制和各种组织形式的企业。</w:t>
            </w:r>
            <w:r>
              <w:rPr>
                <w:rFonts w:hint="eastAsia" w:ascii="宋体" w:hAnsi="宋体" w:cs="宋体"/>
                <w:b/>
                <w:color w:val="auto"/>
                <w:kern w:val="0"/>
                <w:szCs w:val="21"/>
                <w:highlight w:val="none"/>
              </w:rPr>
              <w:t>个体工商户</w:t>
            </w:r>
            <w:r>
              <w:rPr>
                <w:rFonts w:hint="eastAsia" w:ascii="宋体" w:hAnsi="宋体" w:cs="宋体"/>
                <w:color w:val="auto"/>
                <w:kern w:val="0"/>
                <w:szCs w:val="21"/>
                <w:highlight w:val="none"/>
              </w:rPr>
              <w:t>和本规定以外的行业，参照本规定进行划型。</w:t>
            </w:r>
          </w:p>
        </w:tc>
      </w:tr>
      <w:tr>
        <w:tblPrEx>
          <w:tblCellMar>
            <w:top w:w="0" w:type="dxa"/>
            <w:left w:w="0" w:type="dxa"/>
            <w:bottom w:w="0" w:type="dxa"/>
            <w:right w:w="0" w:type="dxa"/>
          </w:tblCellMar>
        </w:tblPrEx>
        <w:trPr>
          <w:trHeight w:val="270" w:hRule="atLeast"/>
        </w:trPr>
        <w:tc>
          <w:tcPr>
            <w:tcW w:w="9983" w:type="dxa"/>
            <w:gridSpan w:val="13"/>
            <w:tcBorders>
              <w:top w:val="nil"/>
              <w:left w:val="nil"/>
              <w:bottom w:val="nil"/>
              <w:right w:val="nil"/>
            </w:tcBorders>
            <w:shd w:val="clear" w:color="auto" w:fill="auto"/>
            <w:tcMar>
              <w:top w:w="15" w:type="dxa"/>
              <w:left w:w="15" w:type="dxa"/>
              <w:right w:w="15" w:type="dxa"/>
            </w:tcMar>
            <w:vAlign w:val="center"/>
          </w:tcPr>
          <w:p>
            <w:pPr>
              <w:rPr>
                <w:rFonts w:ascii="宋体" w:hAnsi="宋体" w:cs="宋体"/>
                <w:color w:val="auto"/>
                <w:szCs w:val="21"/>
                <w:highlight w:val="none"/>
              </w:rPr>
            </w:pPr>
            <w:r>
              <w:rPr>
                <w:rFonts w:hint="eastAsia" w:ascii="宋体" w:hAnsi="宋体" w:cs="宋体"/>
                <w:color w:val="auto"/>
                <w:kern w:val="0"/>
                <w:szCs w:val="21"/>
                <w:highlight w:val="none"/>
              </w:rPr>
              <w:t>本规定的中型企业标准上限即为大型企业标准的下限，国家统计部门据此制定大中小微型企业的统计分类。国务院有关部门据此进行相关数据分析，不得制定与本规定不一致的企业划型标准。</w:t>
            </w:r>
          </w:p>
        </w:tc>
      </w:tr>
    </w:tbl>
    <w:p>
      <w:pPr>
        <w:pStyle w:val="4"/>
        <w:rPr>
          <w:color w:val="auto"/>
          <w:highlight w:val="none"/>
        </w:rPr>
      </w:pP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Microsoft Sans Serif">
    <w:panose1 w:val="020B0604020202020204"/>
    <w:charset w:val="00"/>
    <w:family w:val="auto"/>
    <w:pitch w:val="default"/>
    <w:sig w:usb0="E1002AFF" w:usb1="C0000002" w:usb2="00000008" w:usb3="00000000" w:csb0="200101FF" w:csb1="20280000"/>
  </w:font>
  <w:font w:name="Lucida Sans Unicode">
    <w:panose1 w:val="020B0602030504020204"/>
    <w:charset w:val="00"/>
    <w:family w:val="swiss"/>
    <w:pitch w:val="default"/>
    <w:sig w:usb0="80001AFF" w:usb1="0000396B" w:usb2="00000000" w:usb3="00000000" w:csb0="200000BF" w:csb1="D7F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28</w:t>
    </w:r>
    <w:r>
      <w:rPr>
        <w:lang w:val="zh-CN"/>
      </w:rP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7216;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7"/>
      <w:numFmt w:val="decimal"/>
      <w:suff w:val="nothing"/>
      <w:lvlText w:val="（%1）"/>
      <w:lvlJc w:val="left"/>
    </w:lvl>
  </w:abstractNum>
  <w:abstractNum w:abstractNumId="1">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2">
    <w:nsid w:val="0053208E"/>
    <w:multiLevelType w:val="singleLevel"/>
    <w:tmpl w:val="0053208E"/>
    <w:lvl w:ilvl="0" w:tentative="0">
      <w:start w:val="2"/>
      <w:numFmt w:val="decimal"/>
      <w:suff w:val="nothing"/>
      <w:lvlText w:val="%1）"/>
      <w:lvlJc w:val="left"/>
    </w:lvl>
  </w:abstractNum>
  <w:abstractNum w:abstractNumId="3">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
    <w:nsid w:val="044F5BAD"/>
    <w:multiLevelType w:val="singleLevel"/>
    <w:tmpl w:val="044F5BAD"/>
    <w:lvl w:ilvl="0" w:tentative="0">
      <w:start w:val="1"/>
      <w:numFmt w:val="decimal"/>
      <w:suff w:val="nothing"/>
      <w:lvlText w:val="（%1）"/>
      <w:lvlJc w:val="left"/>
    </w:lvl>
  </w:abstractNum>
  <w:abstractNum w:abstractNumId="5">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8">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2">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20BA2AF0"/>
    <w:multiLevelType w:val="singleLevel"/>
    <w:tmpl w:val="20BA2AF0"/>
    <w:lvl w:ilvl="0" w:tentative="0">
      <w:start w:val="1"/>
      <w:numFmt w:val="decimal"/>
      <w:suff w:val="space"/>
      <w:lvlText w:val="%1）"/>
      <w:lvlJc w:val="left"/>
    </w:lvl>
  </w:abstractNum>
  <w:abstractNum w:abstractNumId="16">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7">
    <w:nsid w:val="277F6DC9"/>
    <w:multiLevelType w:val="multilevel"/>
    <w:tmpl w:val="277F6DC9"/>
    <w:lvl w:ilvl="0" w:tentative="0">
      <w:start w:val="1"/>
      <w:numFmt w:val="decimal"/>
      <w:lvlText w:val="%1."/>
      <w:lvlJc w:val="left"/>
      <w:pPr>
        <w:tabs>
          <w:tab w:val="left" w:pos="990"/>
        </w:tabs>
        <w:ind w:left="990" w:hanging="36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8">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9">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0">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1">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2">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3">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4">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5">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6">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7">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9">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0">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1">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2">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5">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6">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7">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8">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9">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0">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2">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4">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7"/>
  </w:num>
  <w:num w:numId="2">
    <w:abstractNumId w:val="10"/>
  </w:num>
  <w:num w:numId="3">
    <w:abstractNumId w:val="18"/>
  </w:num>
  <w:num w:numId="4">
    <w:abstractNumId w:val="27"/>
  </w:num>
  <w:num w:numId="5">
    <w:abstractNumId w:val="13"/>
  </w:num>
  <w:num w:numId="6">
    <w:abstractNumId w:val="12"/>
  </w:num>
  <w:num w:numId="7">
    <w:abstractNumId w:val="31"/>
  </w:num>
  <w:num w:numId="8">
    <w:abstractNumId w:val="8"/>
  </w:num>
  <w:num w:numId="9">
    <w:abstractNumId w:val="14"/>
  </w:num>
  <w:num w:numId="10">
    <w:abstractNumId w:val="33"/>
  </w:num>
  <w:num w:numId="11">
    <w:abstractNumId w:val="43"/>
  </w:num>
  <w:num w:numId="12">
    <w:abstractNumId w:val="44"/>
  </w:num>
  <w:num w:numId="13">
    <w:abstractNumId w:val="26"/>
  </w:num>
  <w:num w:numId="14">
    <w:abstractNumId w:val="29"/>
  </w:num>
  <w:num w:numId="15">
    <w:abstractNumId w:val="32"/>
  </w:num>
  <w:num w:numId="16">
    <w:abstractNumId w:val="34"/>
  </w:num>
  <w:num w:numId="17">
    <w:abstractNumId w:val="3"/>
  </w:num>
  <w:num w:numId="18">
    <w:abstractNumId w:val="36"/>
  </w:num>
  <w:num w:numId="19">
    <w:abstractNumId w:val="5"/>
  </w:num>
  <w:num w:numId="20">
    <w:abstractNumId w:val="24"/>
  </w:num>
  <w:num w:numId="21">
    <w:abstractNumId w:val="20"/>
  </w:num>
  <w:num w:numId="22">
    <w:abstractNumId w:val="39"/>
  </w:num>
  <w:num w:numId="23">
    <w:abstractNumId w:val="11"/>
  </w:num>
  <w:num w:numId="24">
    <w:abstractNumId w:val="25"/>
  </w:num>
  <w:num w:numId="25">
    <w:abstractNumId w:val="7"/>
  </w:num>
  <w:num w:numId="26">
    <w:abstractNumId w:val="38"/>
  </w:num>
  <w:num w:numId="27">
    <w:abstractNumId w:val="42"/>
  </w:num>
  <w:num w:numId="28">
    <w:abstractNumId w:val="28"/>
  </w:num>
  <w:num w:numId="29">
    <w:abstractNumId w:val="22"/>
  </w:num>
  <w:num w:numId="30">
    <w:abstractNumId w:val="9"/>
  </w:num>
  <w:num w:numId="31">
    <w:abstractNumId w:val="19"/>
  </w:num>
  <w:num w:numId="32">
    <w:abstractNumId w:val="41"/>
  </w:num>
  <w:num w:numId="33">
    <w:abstractNumId w:val="23"/>
  </w:num>
  <w:num w:numId="34">
    <w:abstractNumId w:val="15"/>
  </w:num>
  <w:num w:numId="35">
    <w:abstractNumId w:val="2"/>
  </w:num>
  <w:num w:numId="36">
    <w:abstractNumId w:val="0"/>
  </w:num>
  <w:num w:numId="37">
    <w:abstractNumId w:val="40"/>
  </w:num>
  <w:num w:numId="38">
    <w:abstractNumId w:val="35"/>
  </w:num>
  <w:num w:numId="39">
    <w:abstractNumId w:val="16"/>
  </w:num>
  <w:num w:numId="40">
    <w:abstractNumId w:val="30"/>
  </w:num>
  <w:num w:numId="41">
    <w:abstractNumId w:val="1"/>
  </w:num>
  <w:num w:numId="42">
    <w:abstractNumId w:val="17"/>
  </w:num>
  <w:num w:numId="43">
    <w:abstractNumId w:val="21"/>
  </w:num>
  <w:num w:numId="44">
    <w:abstractNumId w:val="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01F820AC"/>
    <w:rsid w:val="022350A0"/>
    <w:rsid w:val="02937A65"/>
    <w:rsid w:val="09755218"/>
    <w:rsid w:val="1641370C"/>
    <w:rsid w:val="1AC326EF"/>
    <w:rsid w:val="1DF9518A"/>
    <w:rsid w:val="1E770B4E"/>
    <w:rsid w:val="25AA7619"/>
    <w:rsid w:val="2CA4716D"/>
    <w:rsid w:val="31CB703E"/>
    <w:rsid w:val="396D3A9A"/>
    <w:rsid w:val="3E771661"/>
    <w:rsid w:val="402F2DEA"/>
    <w:rsid w:val="49B85B2C"/>
    <w:rsid w:val="49EF78E0"/>
    <w:rsid w:val="4C726214"/>
    <w:rsid w:val="545446FE"/>
    <w:rsid w:val="55AE3706"/>
    <w:rsid w:val="58420CC2"/>
    <w:rsid w:val="5A72456B"/>
    <w:rsid w:val="62B24855"/>
    <w:rsid w:val="65667F3C"/>
    <w:rsid w:val="705B4543"/>
    <w:rsid w:val="71BF66B3"/>
    <w:rsid w:val="7797001C"/>
    <w:rsid w:val="7A3970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next w:val="12"/>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Char"/>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Char"/>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Char"/>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Char"/>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spacing w:before="156"/>
      <w:outlineLvl w:val="4"/>
    </w:pPr>
    <w:rPr>
      <w:rFonts w:ascii="MS Shell Dlg" w:hAnsi="MS Shell Dlg"/>
    </w:rPr>
  </w:style>
  <w:style w:type="paragraph" w:customStyle="1"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8">
    <w:name w:val="列出段落2"/>
    <w:basedOn w:val="1"/>
    <w:qFormat/>
    <w:uiPriority w:val="0"/>
    <w:pPr>
      <w:ind w:firstLine="420"/>
    </w:pPr>
    <w:rPr>
      <w:szCs w:val="21"/>
    </w:rPr>
  </w:style>
  <w:style w:type="paragraph" w:customStyle="1" w:styleId="99">
    <w:name w:val="样式 首行缩进: 0.74 厘米"/>
    <w:basedOn w:val="1"/>
    <w:qFormat/>
    <w:uiPriority w:val="99"/>
    <w:pPr>
      <w:widowControl/>
      <w:spacing w:before="100" w:after="200" w:line="273" w:lineRule="auto"/>
      <w:ind w:firstLine="420"/>
      <w:jc w:val="left"/>
    </w:pPr>
    <w:rPr>
      <w:rFonts w:ascii="Arial" w:hAnsi="Arial" w:eastAsia="仿宋_GB2312"/>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78</Pages>
  <Words>9303</Words>
  <Characters>53030</Characters>
  <Lines>441</Lines>
  <Paragraphs>124</Paragraphs>
  <TotalTime>0</TotalTime>
  <ScaleCrop>false</ScaleCrop>
  <LinksUpToDate>false</LinksUpToDate>
  <CharactersWithSpaces>62209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2021-07-19T10:46:00Z</dcterms:created>
  <dc:creator>风之客</dc:creator>
  <cp:lastModifiedBy>盼盼</cp:lastModifiedBy>
  <cp:lastPrinted>2020-07-23T17:32:00Z</cp:lastPrinted>
  <dcterms:modified xsi:type="dcterms:W3CDTF">2021-08-09T00:41:59Z</dcterms:modified>
  <dc:title>湖 北  招 标</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57366225EF78415A9D42DD1FC97469D6</vt:lpwstr>
  </property>
</Properties>
</file>