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2"/>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jc w:val="center"/>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spacing w:before="2" w:after="1"/>
        <w:rPr>
          <w:rFonts w:hint="eastAsia" w:asciiTheme="minorEastAsia" w:hAnsiTheme="minorEastAsia" w:eastAsiaTheme="minorEastAsia" w:cstheme="minorEastAsia"/>
          <w:color w:val="auto"/>
          <w:sz w:val="11"/>
        </w:rPr>
      </w:pPr>
    </w:p>
    <w:tbl>
      <w:tblPr>
        <w:tblStyle w:val="26"/>
        <w:tblW w:w="8528"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line="242" w:lineRule="auto"/>
              <w:ind w:left="55" w:leftChars="0" w:right="136" w:rightChars="0"/>
              <w:jc w:val="both"/>
              <w:rPr>
                <w:rFonts w:hint="eastAsia" w:ascii="宋体" w:hAnsi="宋体" w:eastAsia="宋体" w:cs="宋体"/>
                <w:b/>
                <w:color w:val="auto"/>
                <w:sz w:val="28"/>
                <w:lang w:eastAsia="zh-CN"/>
              </w:rPr>
            </w:pPr>
            <w:r>
              <w:rPr>
                <w:rFonts w:hint="eastAsia" w:ascii="宋体" w:hAnsi="宋体" w:eastAsia="宋体" w:cs="宋体"/>
                <w:b/>
                <w:color w:val="auto"/>
                <w:sz w:val="28"/>
                <w:lang w:eastAsia="zh-CN"/>
              </w:rPr>
              <w:t>项</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目</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编</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号：</w:t>
            </w:r>
          </w:p>
        </w:tc>
        <w:tc>
          <w:tcPr>
            <w:tcW w:w="6435" w:type="dxa"/>
            <w:tcBorders>
              <w:top w:val="nil"/>
              <w:left w:val="nil"/>
              <w:bottom w:val="nil"/>
              <w:right w:val="nil"/>
              <w:tl2br w:val="nil"/>
              <w:tr2bl w:val="nil"/>
            </w:tcBorders>
            <w:vAlign w:val="center"/>
          </w:tcPr>
          <w:p>
            <w:pPr>
              <w:pStyle w:val="95"/>
              <w:kinsoku w:val="0"/>
              <w:overflowPunct w:val="0"/>
              <w:spacing w:before="122"/>
              <w:ind w:left="55" w:leftChars="0"/>
              <w:jc w:val="both"/>
              <w:rPr>
                <w:rFonts w:hint="eastAsia" w:asciiTheme="minorEastAsia" w:hAnsiTheme="minorEastAsia" w:eastAsiaTheme="minorEastAsia" w:cstheme="minorEastAsia"/>
                <w:b/>
                <w:color w:val="auto"/>
                <w:sz w:val="28"/>
              </w:rPr>
            </w:pPr>
            <w:r>
              <w:rPr>
                <w:rFonts w:hint="eastAsia" w:ascii="宋体" w:hAnsi="宋体" w:eastAsia="宋体" w:cs="宋体"/>
                <w:b/>
                <w:color w:val="auto"/>
                <w:sz w:val="28"/>
                <w:lang w:eastAsia="zh-CN"/>
              </w:rPr>
              <w:t>ZJZB-ZC-202106-187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line="242" w:lineRule="auto"/>
              <w:ind w:left="55" w:leftChars="0" w:right="136" w:rightChars="0"/>
              <w:jc w:val="both"/>
              <w:rPr>
                <w:rFonts w:hint="eastAsia" w:ascii="宋体" w:hAnsi="宋体" w:eastAsia="宋体" w:cs="宋体"/>
                <w:b/>
                <w:color w:val="auto"/>
                <w:sz w:val="28"/>
                <w:lang w:eastAsia="zh-CN"/>
              </w:rPr>
            </w:pPr>
            <w:r>
              <w:rPr>
                <w:rFonts w:hint="eastAsia" w:ascii="宋体" w:hAnsi="宋体" w:eastAsia="宋体" w:cs="宋体"/>
                <w:b/>
                <w:color w:val="auto"/>
                <w:sz w:val="28"/>
                <w:lang w:eastAsia="zh-CN"/>
              </w:rPr>
              <w:t>项</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目</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名</w:t>
            </w:r>
            <w:r>
              <w:rPr>
                <w:rFonts w:hint="eastAsia" w:ascii="宋体" w:hAnsi="宋体" w:eastAsia="宋体" w:cs="宋体"/>
                <w:b/>
                <w:color w:val="auto"/>
                <w:sz w:val="28"/>
                <w:lang w:val="en-US" w:eastAsia="zh-CN"/>
              </w:rPr>
              <w:t xml:space="preserve"> </w:t>
            </w:r>
            <w:r>
              <w:rPr>
                <w:rFonts w:hint="eastAsia" w:ascii="宋体" w:hAnsi="宋体" w:eastAsia="宋体" w:cs="宋体"/>
                <w:b/>
                <w:color w:val="auto"/>
                <w:sz w:val="28"/>
                <w:lang w:eastAsia="zh-CN"/>
              </w:rPr>
              <w:t>称：</w:t>
            </w:r>
          </w:p>
        </w:tc>
        <w:tc>
          <w:tcPr>
            <w:tcW w:w="6435" w:type="dxa"/>
            <w:tcBorders>
              <w:top w:val="nil"/>
              <w:left w:val="nil"/>
              <w:bottom w:val="nil"/>
              <w:right w:val="nil"/>
              <w:tl2br w:val="nil"/>
              <w:tr2bl w:val="nil"/>
            </w:tcBorders>
            <w:vAlign w:val="center"/>
          </w:tcPr>
          <w:p>
            <w:pPr>
              <w:pStyle w:val="95"/>
              <w:kinsoku w:val="0"/>
              <w:overflowPunct w:val="0"/>
              <w:spacing w:before="123" w:line="242" w:lineRule="auto"/>
              <w:ind w:left="55" w:leftChars="0" w:right="136" w:rightChars="0"/>
              <w:jc w:val="both"/>
              <w:rPr>
                <w:rFonts w:hint="eastAsia" w:asciiTheme="minorEastAsia" w:hAnsiTheme="minorEastAsia" w:eastAsiaTheme="minorEastAsia" w:cstheme="minorEastAsia"/>
                <w:b/>
                <w:color w:val="auto"/>
                <w:sz w:val="28"/>
              </w:rPr>
            </w:pPr>
            <w:r>
              <w:rPr>
                <w:rFonts w:hint="eastAsia" w:ascii="宋体" w:hAnsi="宋体" w:eastAsia="宋体" w:cs="宋体"/>
                <w:b/>
                <w:color w:val="auto"/>
                <w:sz w:val="28"/>
                <w:lang w:eastAsia="zh-CN"/>
              </w:rPr>
              <w:t>华中师范大学近红外二区荧光光谱仪设备采购项目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435"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435"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rPr>
          <w:rFonts w:hint="eastAsia" w:asciiTheme="minorEastAsia" w:hAnsiTheme="minorEastAsia" w:eastAsiaTheme="minorEastAsia" w:cstheme="minorEastAsia"/>
          <w:color w:val="auto"/>
          <w:sz w:val="20"/>
        </w:rPr>
      </w:pPr>
    </w:p>
    <w:p>
      <w:pPr>
        <w:pStyle w:val="12"/>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宋体" w:hAnsi="宋体" w:eastAsia="宋体" w:cs="宋体"/>
                <w:b/>
                <w:color w:val="auto"/>
                <w:sz w:val="28"/>
                <w:lang w:eastAsia="zh-CN"/>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2021年7月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spacing w:line="36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44"/>
          <w:szCs w:val="44"/>
          <w:lang w:val="zh-CN"/>
        </w:rPr>
        <w:tab/>
      </w:r>
      <w:r>
        <w:rPr>
          <w:rFonts w:hint="eastAsia" w:asciiTheme="minorEastAsia" w:hAnsiTheme="minorEastAsia" w:eastAsiaTheme="minorEastAsia" w:cstheme="minorEastAsia"/>
          <w:b/>
          <w:bCs/>
          <w:color w:val="auto"/>
          <w:sz w:val="24"/>
          <w:szCs w:val="24"/>
          <w:lang w:val="zh-CN"/>
        </w:rPr>
        <w:t>目  录</w:t>
      </w:r>
      <w:r>
        <w:rPr>
          <w:rFonts w:hint="eastAsia" w:asciiTheme="minorEastAsia" w:hAnsiTheme="minorEastAsia" w:eastAsiaTheme="minorEastAsia" w:cstheme="minorEastAsia"/>
          <w:b/>
          <w:bCs/>
          <w:color w:val="auto"/>
          <w:sz w:val="21"/>
          <w:szCs w:val="21"/>
          <w:lang w:val="zh-CN"/>
        </w:rPr>
        <w:tab/>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TOC \o "1-3" \h \z \u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_Toc25194 </w:instrText>
      </w:r>
      <w:r>
        <w:rPr>
          <w:rFonts w:hint="eastAsia" w:asciiTheme="minorEastAsia" w:hAnsiTheme="minorEastAsia" w:eastAsiaTheme="minorEastAsia" w:cstheme="minorEastAsia"/>
          <w:color w:val="auto"/>
          <w:szCs w:val="21"/>
        </w:rPr>
        <w:fldChar w:fldCharType="separate"/>
      </w:r>
      <w:r>
        <w:rPr>
          <w:rFonts w:hint="default"/>
          <w:bCs/>
          <w:color w:val="auto"/>
          <w:szCs w:val="36"/>
        </w:rPr>
        <w:t xml:space="preserve">第一章 </w:t>
      </w:r>
      <w:r>
        <w:rPr>
          <w:rFonts w:hint="eastAsia" w:ascii="宋体" w:hAnsi="宋体" w:cs="宋体"/>
          <w:color w:val="auto"/>
          <w:szCs w:val="36"/>
        </w:rPr>
        <w:t>竞争性磋商公告</w:t>
      </w:r>
      <w:r>
        <w:rPr>
          <w:color w:val="auto"/>
        </w:rPr>
        <w:tab/>
      </w:r>
      <w:r>
        <w:rPr>
          <w:color w:val="auto"/>
        </w:rPr>
        <w:fldChar w:fldCharType="begin"/>
      </w:r>
      <w:r>
        <w:rPr>
          <w:color w:val="auto"/>
        </w:rPr>
        <w:instrText xml:space="preserve"> PAGEREF _Toc25194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_Toc29388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一、 项目基本情况</w:t>
      </w:r>
      <w:r>
        <w:rPr>
          <w:color w:val="auto"/>
        </w:rPr>
        <w:tab/>
      </w:r>
      <w:r>
        <w:rPr>
          <w:color w:val="auto"/>
        </w:rPr>
        <w:fldChar w:fldCharType="begin"/>
      </w:r>
      <w:r>
        <w:rPr>
          <w:color w:val="auto"/>
        </w:rPr>
        <w:instrText xml:space="preserve"> PAGEREF _Toc29388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_Toc32323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二、 申请人的资格要求</w:t>
      </w:r>
      <w:r>
        <w:rPr>
          <w:color w:val="auto"/>
        </w:rPr>
        <w:tab/>
      </w:r>
      <w:r>
        <w:rPr>
          <w:color w:val="auto"/>
        </w:rPr>
        <w:fldChar w:fldCharType="begin"/>
      </w:r>
      <w:r>
        <w:rPr>
          <w:color w:val="auto"/>
        </w:rPr>
        <w:instrText xml:space="preserve"> PAGEREF _Toc32323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_Toc31037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三、 获取</w:t>
      </w:r>
      <w:r>
        <w:rPr>
          <w:rFonts w:hint="eastAsia" w:ascii="宋体" w:hAnsi="宋体" w:eastAsia="宋体" w:cs="宋体"/>
          <w:color w:val="auto"/>
          <w:szCs w:val="21"/>
          <w:lang w:eastAsia="zh-CN"/>
        </w:rPr>
        <w:t>采购</w:t>
      </w:r>
      <w:r>
        <w:rPr>
          <w:rFonts w:hint="eastAsia" w:ascii="宋体" w:hAnsi="宋体" w:eastAsia="宋体" w:cs="宋体"/>
          <w:color w:val="auto"/>
          <w:szCs w:val="21"/>
        </w:rPr>
        <w:t>文件</w:t>
      </w:r>
      <w:r>
        <w:rPr>
          <w:color w:val="auto"/>
        </w:rPr>
        <w:tab/>
      </w:r>
      <w:r>
        <w:rPr>
          <w:color w:val="auto"/>
        </w:rPr>
        <w:fldChar w:fldCharType="begin"/>
      </w:r>
      <w:r>
        <w:rPr>
          <w:color w:val="auto"/>
        </w:rPr>
        <w:instrText xml:space="preserve"> PAGEREF _Toc31037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_Toc30368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 xml:space="preserve">四、 </w:t>
      </w:r>
      <w:r>
        <w:rPr>
          <w:rFonts w:hint="eastAsia" w:ascii="宋体" w:hAnsi="宋体" w:eastAsia="宋体" w:cs="宋体"/>
          <w:color w:val="auto"/>
          <w:szCs w:val="21"/>
          <w:lang w:eastAsia="zh-CN"/>
        </w:rPr>
        <w:t>响应文件提交</w:t>
      </w:r>
      <w:r>
        <w:rPr>
          <w:color w:val="auto"/>
        </w:rPr>
        <w:tab/>
      </w:r>
      <w:r>
        <w:rPr>
          <w:color w:val="auto"/>
        </w:rPr>
        <w:fldChar w:fldCharType="begin"/>
      </w:r>
      <w:r>
        <w:rPr>
          <w:color w:val="auto"/>
        </w:rPr>
        <w:instrText xml:space="preserve"> PAGEREF _Toc30368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_Toc8237 </w:instrText>
      </w:r>
      <w:r>
        <w:rPr>
          <w:rFonts w:hint="eastAsia" w:asciiTheme="minorEastAsia" w:hAnsiTheme="minorEastAsia" w:eastAsiaTheme="minorEastAsia" w:cstheme="minorEastAsia"/>
          <w:color w:val="auto"/>
          <w:szCs w:val="21"/>
        </w:rPr>
        <w:fldChar w:fldCharType="separate"/>
      </w:r>
      <w:r>
        <w:rPr>
          <w:rFonts w:hint="eastAsia" w:eastAsia="宋体"/>
          <w:color w:val="auto"/>
          <w:szCs w:val="21"/>
          <w:lang w:eastAsia="zh-CN"/>
        </w:rPr>
        <w:t xml:space="preserve">五、 </w:t>
      </w:r>
      <w:r>
        <w:rPr>
          <w:rFonts w:hint="eastAsia" w:ascii="宋体" w:hAnsi="宋体" w:eastAsia="宋体" w:cs="宋体"/>
          <w:color w:val="auto"/>
          <w:szCs w:val="21"/>
          <w:lang w:eastAsia="zh-CN"/>
        </w:rPr>
        <w:t>开启</w:t>
      </w:r>
      <w:r>
        <w:rPr>
          <w:color w:val="auto"/>
        </w:rPr>
        <w:tab/>
      </w:r>
      <w:r>
        <w:rPr>
          <w:color w:val="auto"/>
        </w:rPr>
        <w:fldChar w:fldCharType="begin"/>
      </w:r>
      <w:r>
        <w:rPr>
          <w:color w:val="auto"/>
        </w:rPr>
        <w:instrText xml:space="preserve"> PAGEREF _Toc8237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_Toc14422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六、 公告期限</w:t>
      </w:r>
      <w:r>
        <w:rPr>
          <w:color w:val="auto"/>
        </w:rPr>
        <w:tab/>
      </w:r>
      <w:r>
        <w:rPr>
          <w:color w:val="auto"/>
        </w:rPr>
        <w:fldChar w:fldCharType="begin"/>
      </w:r>
      <w:r>
        <w:rPr>
          <w:color w:val="auto"/>
        </w:rPr>
        <w:instrText xml:space="preserve"> PAGEREF _Toc14422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_Toc925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七、 其他补充事宜</w:t>
      </w:r>
      <w:r>
        <w:rPr>
          <w:color w:val="auto"/>
        </w:rPr>
        <w:tab/>
      </w:r>
      <w:r>
        <w:rPr>
          <w:color w:val="auto"/>
        </w:rPr>
        <w:fldChar w:fldCharType="begin"/>
      </w:r>
      <w:r>
        <w:rPr>
          <w:color w:val="auto"/>
        </w:rPr>
        <w:instrText xml:space="preserve"> PAGEREF _Toc925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_Toc12269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八、 凡对本次采购提出询问，请按以下方式联系</w:t>
      </w:r>
      <w:r>
        <w:rPr>
          <w:color w:val="auto"/>
        </w:rPr>
        <w:tab/>
      </w:r>
      <w:r>
        <w:rPr>
          <w:color w:val="auto"/>
        </w:rPr>
        <w:fldChar w:fldCharType="begin"/>
      </w:r>
      <w:r>
        <w:rPr>
          <w:color w:val="auto"/>
        </w:rPr>
        <w:instrText xml:space="preserve"> PAGEREF _Toc12269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_Toc25662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九、 注意事项</w:t>
      </w:r>
      <w:r>
        <w:rPr>
          <w:color w:val="auto"/>
        </w:rPr>
        <w:tab/>
      </w:r>
      <w:r>
        <w:rPr>
          <w:color w:val="auto"/>
        </w:rPr>
        <w:fldChar w:fldCharType="begin"/>
      </w:r>
      <w:r>
        <w:rPr>
          <w:color w:val="auto"/>
        </w:rPr>
        <w:instrText xml:space="preserve"> PAGEREF _Toc25662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_Toc12411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_Toc12411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_Toc4456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_Toc4456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_Toc23075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_Toc23075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_Toc18457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_Toc18457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_Toc17841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_Toc17841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_Toc22187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_Toc22187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_Toc9707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_Toc9707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_Toc4948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_Toc4948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_Toc21644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_Toc21644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_Toc25534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_Toc25534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_Toc12297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_Toc12297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_Toc17968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_Toc17968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_Toc6290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_Toc6290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_Toc4380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_Toc4380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_Toc3554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_Toc3554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_Toc1043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_Toc1043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_Toc15588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_Toc15588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_Toc23921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_Toc23921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_Toc827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_Toc827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_Toc569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_Toc569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_Toc24609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_Toc24609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_Toc29173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_Toc29173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_Toc17731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_Toc17731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_Toc20134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_Toc20134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_Toc3975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_Toc3975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_Toc16633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_Toc16633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_Toc28372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_Toc28372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_Toc863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_Toc863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_Toc32091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_Toc32091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_Toc29375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_Toc29375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_Toc2550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_Toc2550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_Toc14809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_Toc14809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_Toc30347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_Toc30347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_Toc5263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_Toc5263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_Toc21157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_Toc21157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_Toc21170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_Toc21170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_Toc23443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_Toc23443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_Toc15879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_Toc15879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_Toc5844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_Toc5844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_Toc26015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_Toc26015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_Toc8349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_Toc8349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_Toc8371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_Toc8371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_Toc22449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_Toc22449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_Toc28070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_Toc28070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_Toc6380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bCs/>
          <w:color w:val="auto"/>
          <w:szCs w:val="36"/>
        </w:rPr>
        <w:t>采购需求</w:t>
      </w:r>
      <w:r>
        <w:rPr>
          <w:color w:val="auto"/>
        </w:rPr>
        <w:tab/>
      </w:r>
      <w:r>
        <w:rPr>
          <w:color w:val="auto"/>
        </w:rPr>
        <w:fldChar w:fldCharType="begin"/>
      </w:r>
      <w:r>
        <w:rPr>
          <w:color w:val="auto"/>
        </w:rPr>
        <w:instrText xml:space="preserve"> PAGEREF _Toc6380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_Toc13790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_Toc13790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_Toc4139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_Toc4139 </w:instrText>
      </w:r>
      <w:r>
        <w:rPr>
          <w:color w:val="auto"/>
        </w:rPr>
        <w:fldChar w:fldCharType="separate"/>
      </w:r>
      <w:r>
        <w:rPr>
          <w:color w:val="auto"/>
        </w:rPr>
        <w:t>27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_Toc1421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_Toc1421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_Toc4474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_Toc4474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_Toc32423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lang w:val="en-US" w:eastAsia="zh-CN"/>
        </w:rPr>
        <w:t xml:space="preserve">  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_Toc32423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_Toc18578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kern w:val="2"/>
          <w:szCs w:val="21"/>
          <w:lang w:val="en-US" w:eastAsia="zh-CN" w:bidi="ar-SA"/>
        </w:rPr>
        <w:t>三、评分细则</w:t>
      </w:r>
      <w:r>
        <w:rPr>
          <w:color w:val="auto"/>
        </w:rPr>
        <w:tab/>
      </w:r>
      <w:r>
        <w:rPr>
          <w:color w:val="auto"/>
        </w:rPr>
        <w:fldChar w:fldCharType="begin"/>
      </w:r>
      <w:r>
        <w:rPr>
          <w:color w:val="auto"/>
        </w:rPr>
        <w:instrText xml:space="preserve"> PAGEREF _Toc18578 </w:instrText>
      </w:r>
      <w:r>
        <w:rPr>
          <w:color w:val="auto"/>
        </w:rPr>
        <w:fldChar w:fldCharType="separate"/>
      </w:r>
      <w:r>
        <w:rPr>
          <w:color w:val="auto"/>
        </w:rPr>
        <w:t>32</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_Toc32480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_Toc32480 </w:instrText>
      </w:r>
      <w:r>
        <w:rPr>
          <w:color w:val="auto"/>
        </w:rPr>
        <w:fldChar w:fldCharType="separate"/>
      </w:r>
      <w:r>
        <w:rPr>
          <w:color w:val="auto"/>
        </w:rPr>
        <w:t>34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_Toc2647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_Toc2647 </w:instrText>
      </w:r>
      <w:r>
        <w:rPr>
          <w:color w:val="auto"/>
        </w:rPr>
        <w:fldChar w:fldCharType="separate"/>
      </w:r>
      <w:r>
        <w:rPr>
          <w:color w:val="auto"/>
        </w:rPr>
        <w:t>35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_Toc11100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_Toc11100 </w:instrText>
      </w:r>
      <w:r>
        <w:rPr>
          <w:color w:val="auto"/>
        </w:rPr>
        <w:fldChar w:fldCharType="separate"/>
      </w:r>
      <w:r>
        <w:rPr>
          <w:color w:val="auto"/>
        </w:rPr>
        <w:t>37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_Toc17015 </w:instrText>
      </w:r>
      <w:r>
        <w:rPr>
          <w:rFonts w:hint="eastAsia" w:asciiTheme="minorEastAsia" w:hAnsiTheme="minorEastAsia" w:eastAsiaTheme="minorEastAsia" w:cstheme="minorEastAsia"/>
          <w:color w:val="auto"/>
          <w:szCs w:val="21"/>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_Toc17015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_Toc14065 </w:instrText>
      </w:r>
      <w:r>
        <w:rPr>
          <w:rFonts w:hint="eastAsia" w:asciiTheme="minorEastAsia" w:hAnsiTheme="minorEastAsia" w:eastAsiaTheme="minorEastAsia" w:cstheme="minorEastAsia"/>
          <w:color w:val="auto"/>
          <w:szCs w:val="21"/>
        </w:rPr>
        <w:fldChar w:fldCharType="separate"/>
      </w:r>
      <w:r>
        <w:rPr>
          <w:rFonts w:hint="eastAsia" w:ascii="宋体" w:hAnsi="宋体" w:eastAsia="宋体" w:cs="宋体"/>
          <w:color w:val="auto"/>
          <w:szCs w:val="21"/>
        </w:rPr>
        <w:t xml:space="preserve"> 一</w:t>
      </w:r>
      <w:r>
        <w:rPr>
          <w:rFonts w:hint="eastAsia" w:ascii="宋体" w:hAnsi="宋体" w:eastAsia="宋体" w:cs="宋体"/>
          <w:color w:val="auto"/>
          <w:szCs w:val="21"/>
          <w:lang w:eastAsia="zh-CN"/>
        </w:rPr>
        <w:t>、</w:t>
      </w:r>
      <w:r>
        <w:rPr>
          <w:rFonts w:hint="eastAsia" w:ascii="宋体" w:hAnsi="宋体" w:eastAsia="宋体" w:cs="宋体"/>
          <w:color w:val="auto"/>
          <w:szCs w:val="21"/>
        </w:rPr>
        <w:t>评分标准索引表</w:t>
      </w:r>
      <w:r>
        <w:rPr>
          <w:color w:val="auto"/>
        </w:rPr>
        <w:tab/>
      </w:r>
      <w:r>
        <w:rPr>
          <w:color w:val="auto"/>
        </w:rPr>
        <w:fldChar w:fldCharType="begin"/>
      </w:r>
      <w:r>
        <w:rPr>
          <w:color w:val="auto"/>
        </w:rPr>
        <w:instrText xml:space="preserve"> PAGEREF _Toc14065 </w:instrText>
      </w:r>
      <w:r>
        <w:rPr>
          <w:color w:val="auto"/>
        </w:rPr>
        <w:fldChar w:fldCharType="separate"/>
      </w:r>
      <w:r>
        <w:rPr>
          <w:color w:val="auto"/>
        </w:rPr>
        <w:t>40</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_Toc8850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_Toc8850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_Toc24882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_Toc24882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_Toc19133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_Toc19133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_Toc24587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_Toc24587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_Toc9154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_Toc9154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_Toc8555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七</w:t>
      </w:r>
      <w:r>
        <w:rPr>
          <w:rFonts w:hint="eastAsia" w:asciiTheme="minorEastAsia" w:hAnsiTheme="minorEastAsia" w:eastAsiaTheme="minorEastAsia" w:cstheme="minorEastAsia"/>
          <w:bCs/>
          <w:color w:val="auto"/>
          <w:szCs w:val="21"/>
        </w:rPr>
        <w:t>、耗材清单</w:t>
      </w:r>
      <w:r>
        <w:rPr>
          <w:color w:val="auto"/>
        </w:rPr>
        <w:tab/>
      </w:r>
      <w:r>
        <w:rPr>
          <w:color w:val="auto"/>
        </w:rPr>
        <w:fldChar w:fldCharType="begin"/>
      </w:r>
      <w:r>
        <w:rPr>
          <w:color w:val="auto"/>
        </w:rPr>
        <w:instrText xml:space="preserve"> PAGEREF _Toc8555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_Toc4858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八、拟投入设备/备件、工具情况</w:t>
      </w:r>
      <w:r>
        <w:rPr>
          <w:color w:val="auto"/>
        </w:rPr>
        <w:tab/>
      </w:r>
      <w:r>
        <w:rPr>
          <w:color w:val="auto"/>
        </w:rPr>
        <w:fldChar w:fldCharType="begin"/>
      </w:r>
      <w:r>
        <w:rPr>
          <w:color w:val="auto"/>
        </w:rPr>
        <w:instrText xml:space="preserve"> PAGEREF _Toc4858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_Toc28637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_Toc28637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_Toc12530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lang w:val="en-US" w:eastAsia="zh-CN"/>
        </w:rPr>
        <w:t>十</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_Toc12530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_Toc24869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color w:val="auto"/>
          <w:kern w:val="0"/>
          <w:szCs w:val="21"/>
          <w:lang w:eastAsia="zh-CN"/>
        </w:rPr>
        <w:t>一</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_Toc24869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_Toc17955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二</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_Toc17955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_Toc1688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_Toc1688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_Toc18017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_Toc18017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_Toc21818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kern w:val="0"/>
          <w:szCs w:val="21"/>
          <w:lang w:val="en-US" w:eastAsia="zh-CN"/>
        </w:rPr>
        <w:t>十五、</w:t>
      </w:r>
      <w:r>
        <w:rPr>
          <w:rFonts w:hint="eastAsia" w:asciiTheme="minorEastAsia" w:hAnsiTheme="minorEastAsia" w:eastAsiaTheme="minorEastAsia" w:cstheme="minorEastAsia"/>
          <w:bCs/>
          <w:color w:val="auto"/>
          <w:kern w:val="0"/>
          <w:szCs w:val="21"/>
        </w:rPr>
        <w:t>报价技术文件</w:t>
      </w:r>
      <w:r>
        <w:rPr>
          <w:color w:val="auto"/>
        </w:rPr>
        <w:tab/>
      </w:r>
      <w:r>
        <w:rPr>
          <w:color w:val="auto"/>
        </w:rPr>
        <w:fldChar w:fldCharType="begin"/>
      </w:r>
      <w:r>
        <w:rPr>
          <w:color w:val="auto"/>
        </w:rPr>
        <w:instrText xml:space="preserve"> PAGEREF _Toc21818 </w:instrText>
      </w:r>
      <w:r>
        <w:rPr>
          <w:color w:val="auto"/>
        </w:rPr>
        <w:fldChar w:fldCharType="separate"/>
      </w:r>
      <w:r>
        <w:rPr>
          <w:color w:val="auto"/>
        </w:rPr>
        <w:t>54</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_Toc2302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六</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中小企业声明函（</w:t>
      </w:r>
      <w:r>
        <w:rPr>
          <w:rFonts w:hint="eastAsia" w:asciiTheme="minorEastAsia" w:hAnsiTheme="minorEastAsia" w:eastAsiaTheme="minorEastAsia" w:cstheme="minorEastAsia"/>
          <w:color w:val="auto"/>
          <w:lang w:val="en-US" w:eastAsia="zh-CN"/>
        </w:rPr>
        <w:t>货物</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_Toc2302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_Toc11257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pacing w:val="6"/>
          <w:szCs w:val="21"/>
          <w:lang w:val="en-US" w:eastAsia="zh-CN"/>
        </w:rPr>
        <w:t>十七、</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_Toc11257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_Toc10919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pacing w:val="6"/>
          <w:szCs w:val="21"/>
        </w:rPr>
        <w:t xml:space="preserve"> </w:t>
      </w:r>
      <w:r>
        <w:rPr>
          <w:rFonts w:hint="eastAsia" w:asciiTheme="minorEastAsia" w:hAnsiTheme="minorEastAsia" w:eastAsiaTheme="minorEastAsia" w:cstheme="minorEastAsia"/>
          <w:color w:val="auto"/>
          <w:lang w:val="en-US" w:eastAsia="zh-CN"/>
        </w:rPr>
        <w:t>十八</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_Toc10919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_Toc20592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lang w:val="en-US" w:eastAsia="zh-CN"/>
        </w:rPr>
        <w:t>十九、节能环保产品证明材料（若符合）</w:t>
      </w:r>
      <w:r>
        <w:rPr>
          <w:color w:val="auto"/>
        </w:rPr>
        <w:tab/>
      </w:r>
      <w:r>
        <w:rPr>
          <w:color w:val="auto"/>
        </w:rPr>
        <w:fldChar w:fldCharType="begin"/>
      </w:r>
      <w:r>
        <w:rPr>
          <w:color w:val="auto"/>
        </w:rPr>
        <w:instrText xml:space="preserve"> PAGEREF _Toc20592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_Toc12167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bCs/>
          <w:color w:val="auto"/>
          <w:spacing w:val="6"/>
          <w:szCs w:val="21"/>
          <w:lang w:val="en-US" w:eastAsia="zh-CN"/>
        </w:rPr>
        <w:t>二十</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_Toc12167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HYPERLINK \l _Toc16157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kern w:val="0"/>
          <w:szCs w:val="21"/>
          <w:shd w:val="clear" w:color="auto" w:fill="FFFFFF"/>
        </w:rPr>
        <w:t xml:space="preserve"> </w:t>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 xml:space="preserve">、磋商供应商认为应该提交的其它文件（格式自拟）    </w:t>
      </w:r>
      <w:r>
        <w:rPr>
          <w:color w:val="auto"/>
        </w:rPr>
        <w:tab/>
      </w:r>
      <w:r>
        <w:rPr>
          <w:color w:val="auto"/>
        </w:rPr>
        <w:fldChar w:fldCharType="begin"/>
      </w:r>
      <w:r>
        <w:rPr>
          <w:color w:val="auto"/>
        </w:rPr>
        <w:instrText xml:space="preserve"> PAGEREF _Toc16157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szCs w:val="21"/>
        </w:rPr>
        <w:fldChar w:fldCharType="end"/>
      </w:r>
    </w:p>
    <w:p>
      <w:pPr>
        <w:spacing w:line="360" w:lineRule="auto"/>
        <w:jc w:val="left"/>
        <w:rPr>
          <w:rFonts w:hint="eastAsia" w:asciiTheme="minorEastAsia" w:hAnsiTheme="minorEastAsia" w:eastAsiaTheme="minorEastAsia" w:cstheme="minorEastAsia"/>
          <w:color w:val="auto"/>
          <w:sz w:val="21"/>
          <w:szCs w:val="21"/>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szCs w:val="21"/>
        </w:rPr>
        <w:fldChar w:fldCharType="end"/>
      </w:r>
    </w:p>
    <w:p>
      <w:pPr>
        <w:spacing w:line="360" w:lineRule="auto"/>
        <w:jc w:val="both"/>
        <w:rPr>
          <w:rFonts w:hint="eastAsia" w:asciiTheme="minorEastAsia" w:hAnsiTheme="minorEastAsia" w:eastAsiaTheme="minorEastAsia" w:cstheme="minorEastAsia"/>
          <w:color w:val="auto"/>
          <w:szCs w:val="21"/>
        </w:rPr>
      </w:pPr>
    </w:p>
    <w:p>
      <w:pPr>
        <w:pStyle w:val="3"/>
        <w:rPr>
          <w:rFonts w:hint="eastAsia"/>
          <w:color w:val="auto"/>
        </w:rPr>
      </w:pPr>
    </w:p>
    <w:p>
      <w:pPr>
        <w:numPr>
          <w:ilvl w:val="0"/>
          <w:numId w:val="5"/>
        </w:numPr>
        <w:spacing w:line="360" w:lineRule="auto"/>
        <w:jc w:val="center"/>
        <w:outlineLvl w:val="0"/>
        <w:rPr>
          <w:rFonts w:hint="eastAsia"/>
          <w:b/>
          <w:bCs/>
          <w:color w:val="auto"/>
          <w:sz w:val="24"/>
          <w:szCs w:val="24"/>
        </w:rPr>
      </w:pPr>
      <w:bookmarkStart w:id="0" w:name="_Toc6866"/>
      <w:bookmarkStart w:id="1" w:name="_Toc25194"/>
      <w:r>
        <w:rPr>
          <w:rFonts w:hint="eastAsia" w:ascii="宋体" w:hAnsi="宋体" w:cs="宋体"/>
          <w:b/>
          <w:color w:val="auto"/>
          <w:sz w:val="36"/>
          <w:szCs w:val="36"/>
        </w:rPr>
        <w:t>竞争性磋商公告</w:t>
      </w:r>
      <w:bookmarkEnd w:id="0"/>
      <w:bookmarkEnd w:id="1"/>
      <w:bookmarkStart w:id="2" w:name="_Toc524908844"/>
      <w:bookmarkStart w:id="3" w:name="_Toc179632528"/>
      <w:bookmarkStart w:id="4" w:name="_Toc144974480"/>
      <w:bookmarkStart w:id="5" w:name="_Toc9976"/>
      <w:bookmarkStart w:id="6" w:name="_Toc152042288"/>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eastAsia="zh-CN"/>
        </w:rPr>
        <w:t>华中师范大学近红外二区荧光光谱仪设备采购项目</w:t>
      </w:r>
      <w:r>
        <w:rPr>
          <w:rFonts w:hint="eastAsia" w:ascii="宋体" w:hAnsi="宋体" w:eastAsia="宋体" w:cs="宋体"/>
          <w:color w:val="auto"/>
          <w:sz w:val="21"/>
          <w:szCs w:val="21"/>
          <w:u w:val="none"/>
          <w:lang w:val="en-US" w:eastAsia="zh-CN"/>
        </w:rPr>
        <w:t>采购项目的潜在供应商应在</w:t>
      </w:r>
      <w:r>
        <w:rPr>
          <w:rFonts w:hint="eastAsia" w:ascii="宋体" w:hAnsi="宋体" w:cs="宋体"/>
          <w:color w:val="auto"/>
          <w:sz w:val="21"/>
          <w:szCs w:val="21"/>
          <w:u w:val="single"/>
          <w:lang w:eastAsia="zh-CN"/>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2021年7月21日09点30分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5"/>
        <w:numPr>
          <w:ilvl w:val="0"/>
          <w:numId w:val="6"/>
        </w:numPr>
        <w:spacing w:line="360" w:lineRule="auto"/>
        <w:jc w:val="left"/>
        <w:rPr>
          <w:rFonts w:hint="eastAsia" w:ascii="宋体" w:hAnsi="宋体" w:eastAsia="宋体" w:cs="宋体"/>
          <w:color w:val="auto"/>
          <w:sz w:val="21"/>
          <w:szCs w:val="21"/>
        </w:rPr>
      </w:pPr>
      <w:bookmarkStart w:id="8" w:name="_Toc29388"/>
      <w:r>
        <w:rPr>
          <w:rFonts w:hint="eastAsia" w:ascii="宋体" w:hAnsi="宋体" w:eastAsia="宋体" w:cs="宋体"/>
          <w:color w:val="auto"/>
          <w:sz w:val="21"/>
          <w:szCs w:val="21"/>
        </w:rPr>
        <w:t>项目基本情况</w:t>
      </w:r>
      <w:bookmarkEnd w:id="8"/>
    </w:p>
    <w:p>
      <w:pPr>
        <w:numPr>
          <w:ilvl w:val="0"/>
          <w:numId w:val="0"/>
        </w:num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项目编号：</w:t>
      </w:r>
      <w:r>
        <w:rPr>
          <w:rFonts w:hint="eastAsia" w:ascii="宋体" w:hAnsi="宋体" w:eastAsia="宋体" w:cs="宋体"/>
          <w:color w:val="auto"/>
          <w:sz w:val="21"/>
          <w:szCs w:val="21"/>
          <w:highlight w:val="none"/>
        </w:rPr>
        <w:t>ZJZB-ZC-202106-187</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项目名称：</w:t>
      </w:r>
      <w:r>
        <w:rPr>
          <w:rFonts w:hint="eastAsia" w:ascii="宋体" w:hAnsi="宋体" w:eastAsia="宋体" w:cs="宋体"/>
          <w:color w:val="auto"/>
          <w:sz w:val="21"/>
          <w:szCs w:val="21"/>
          <w:highlight w:val="none"/>
          <w:lang w:eastAsia="zh-CN"/>
        </w:rPr>
        <w:t>华中师范大学近红外二区荧光光谱仪设备采购项目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45</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45</w:t>
      </w:r>
      <w:r>
        <w:rPr>
          <w:rFonts w:hint="eastAsia" w:asciiTheme="minorEastAsia" w:hAnsiTheme="minorEastAsia" w:eastAsiaTheme="minorEastAsia" w:cstheme="minorEastAsia"/>
          <w:color w:val="auto"/>
          <w:sz w:val="21"/>
          <w:szCs w:val="21"/>
        </w:rPr>
        <w:t>万元</w:t>
      </w:r>
    </w:p>
    <w:p>
      <w:pPr>
        <w:spacing w:line="360" w:lineRule="auto"/>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lang w:val="en-US" w:eastAsia="zh-CN"/>
        </w:rPr>
        <w:t>6.采购需求：</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采购近红外二区荧光光谱仪一套，</w:t>
      </w:r>
      <w:r>
        <w:rPr>
          <w:rFonts w:hint="eastAsia" w:ascii="宋体" w:hAnsi="宋体" w:eastAsia="宋体" w:cs="宋体"/>
          <w:color w:val="auto"/>
          <w:sz w:val="21"/>
          <w:szCs w:val="21"/>
          <w:highlight w:val="none"/>
        </w:rPr>
        <w:t>用于科研为主兼作实验教学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(详见采购文件第三章“项目采购需求”）</w:t>
      </w:r>
    </w:p>
    <w:p>
      <w:pPr>
        <w:numPr>
          <w:ilvl w:val="0"/>
          <w:numId w:val="0"/>
        </w:numPr>
        <w:spacing w:line="360" w:lineRule="auto"/>
        <w:ind w:firstLine="630" w:firstLineChars="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类别：</w:t>
      </w:r>
      <w:r>
        <w:rPr>
          <w:rFonts w:hint="eastAsia" w:ascii="宋体" w:hAnsi="宋体" w:eastAsia="宋体" w:cs="宋体"/>
          <w:b w:val="0"/>
          <w:bCs w:val="0"/>
          <w:color w:val="auto"/>
          <w:kern w:val="2"/>
          <w:sz w:val="21"/>
          <w:szCs w:val="21"/>
          <w:highlight w:val="none"/>
          <w:lang w:val="en-US" w:eastAsia="zh-CN" w:bidi="ar-SA"/>
        </w:rPr>
        <w:t>货物</w:t>
      </w:r>
    </w:p>
    <w:p>
      <w:pPr>
        <w:numPr>
          <w:ilvl w:val="0"/>
          <w:numId w:val="0"/>
        </w:numPr>
        <w:spacing w:line="360" w:lineRule="auto"/>
        <w:ind w:firstLine="630" w:firstLineChars="300"/>
        <w:jc w:val="left"/>
        <w:rPr>
          <w:rFonts w:hint="eastAsia" w:ascii="宋体" w:hAnsi="宋体" w:eastAsia="宋体" w:cs="宋体"/>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（2）交货期：合同签订后</w:t>
      </w:r>
      <w:r>
        <w:rPr>
          <w:rFonts w:hint="eastAsia" w:ascii="宋体" w:hAnsi="宋体" w:eastAsia="宋体" w:cs="宋体"/>
          <w:b w:val="0"/>
          <w:bCs w:val="0"/>
          <w:color w:val="auto"/>
          <w:kern w:val="2"/>
          <w:sz w:val="21"/>
          <w:szCs w:val="21"/>
          <w:highlight w:val="none"/>
          <w:u w:val="single"/>
          <w:lang w:val="en-US" w:eastAsia="zh-CN" w:bidi="ar-SA"/>
        </w:rPr>
        <w:t>90</w:t>
      </w:r>
      <w:r>
        <w:rPr>
          <w:rFonts w:hint="eastAsia" w:ascii="宋体" w:hAnsi="宋体" w:eastAsia="宋体" w:cs="宋体"/>
          <w:b w:val="0"/>
          <w:bCs w:val="0"/>
          <w:color w:val="auto"/>
          <w:kern w:val="2"/>
          <w:sz w:val="21"/>
          <w:szCs w:val="21"/>
          <w:highlight w:val="none"/>
          <w:lang w:val="en-US" w:eastAsia="zh-CN" w:bidi="ar-SA"/>
        </w:rPr>
        <w:t>日历天内供货，并完成安装调试</w:t>
      </w:r>
    </w:p>
    <w:p>
      <w:pPr>
        <w:numPr>
          <w:ilvl w:val="0"/>
          <w:numId w:val="0"/>
        </w:numPr>
        <w:spacing w:line="360" w:lineRule="auto"/>
        <w:ind w:firstLine="630" w:firstLineChars="300"/>
        <w:jc w:val="left"/>
        <w:rPr>
          <w:rFonts w:hint="eastAsia" w:ascii="宋体" w:hAnsi="宋体" w:eastAsia="宋体" w:cs="宋体"/>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（3）质保期/保修期：验收合格之日起质保两年，保修期后，厂家提供终身维修，并保证零配件的供应。</w:t>
      </w:r>
    </w:p>
    <w:p>
      <w:pPr>
        <w:numPr>
          <w:ilvl w:val="0"/>
          <w:numId w:val="0"/>
        </w:numPr>
        <w:spacing w:line="360" w:lineRule="auto"/>
        <w:ind w:firstLine="630" w:firstLineChars="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质量标准：达到国家或行业颁布的其他现行各项技术标准和验收规范规定</w:t>
      </w:r>
    </w:p>
    <w:p>
      <w:pPr>
        <w:spacing w:line="360" w:lineRule="auto"/>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：投标人参加投标的报价超过该包采购最高限价的，该包投标无效；投标人报价须包含该采购</w:t>
      </w:r>
      <w:r>
        <w:rPr>
          <w:rFonts w:hint="eastAsia" w:ascii="宋体" w:hAnsi="宋体" w:eastAsia="宋体" w:cs="宋体"/>
          <w:color w:val="auto"/>
          <w:sz w:val="21"/>
          <w:szCs w:val="21"/>
          <w:highlight w:val="none"/>
          <w:lang w:eastAsia="zh-CN"/>
        </w:rPr>
        <w:t>需求</w:t>
      </w:r>
      <w:r>
        <w:rPr>
          <w:rFonts w:hint="eastAsia" w:ascii="宋体" w:hAnsi="宋体" w:eastAsia="宋体" w:cs="宋体"/>
          <w:color w:val="auto"/>
          <w:sz w:val="21"/>
          <w:szCs w:val="21"/>
          <w:highlight w:val="none"/>
        </w:rPr>
        <w:t>的全部内容。多包投标的相关规定：同一投标人可参与多个标包竞标，也可同时中多个标包。</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见交货期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highlight w:val="yellow"/>
        </w:rPr>
      </w:pPr>
      <w:r>
        <w:rPr>
          <w:rFonts w:hint="eastAsia" w:ascii="宋体" w:hAnsi="宋体" w:cs="宋体"/>
          <w:color w:val="auto"/>
          <w:sz w:val="21"/>
          <w:szCs w:val="21"/>
          <w:lang w:val="en-US" w:eastAsia="zh-CN"/>
        </w:rPr>
        <w:t>8.本项目（是/否）接受联合体投标：否</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是否可采购进口产品：</w:t>
      </w:r>
      <w:r>
        <w:rPr>
          <w:rFonts w:hint="eastAsia" w:asciiTheme="minorEastAsia" w:hAnsiTheme="minorEastAsia" w:eastAsiaTheme="minorEastAsia" w:cstheme="minorEastAsia"/>
          <w:color w:val="auto"/>
          <w:sz w:val="21"/>
          <w:szCs w:val="21"/>
          <w:highlight w:val="none"/>
          <w:lang w:eastAsia="zh-CN"/>
        </w:rPr>
        <w:t>是</w:t>
      </w:r>
    </w:p>
    <w:p>
      <w:pPr>
        <w:numPr>
          <w:ilvl w:val="0"/>
          <w:numId w:val="0"/>
        </w:numPr>
        <w:spacing w:line="360" w:lineRule="auto"/>
        <w:jc w:val="left"/>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本项目（是/否）专门面向中小微企业：否</w:t>
      </w:r>
    </w:p>
    <w:p>
      <w:pPr>
        <w:pStyle w:val="5"/>
        <w:numPr>
          <w:ilvl w:val="0"/>
          <w:numId w:val="6"/>
        </w:numPr>
        <w:spacing w:line="360" w:lineRule="auto"/>
        <w:jc w:val="left"/>
        <w:rPr>
          <w:rFonts w:hint="eastAsia" w:ascii="宋体" w:hAnsi="宋体" w:eastAsia="宋体" w:cs="宋体"/>
          <w:color w:val="auto"/>
          <w:sz w:val="21"/>
          <w:szCs w:val="21"/>
        </w:rPr>
      </w:pPr>
      <w:bookmarkStart w:id="9" w:name="_Toc32323"/>
      <w:r>
        <w:rPr>
          <w:rFonts w:hint="eastAsia" w:ascii="宋体" w:hAnsi="宋体" w:eastAsia="宋体" w:cs="宋体"/>
          <w:color w:val="auto"/>
          <w:sz w:val="21"/>
          <w:szCs w:val="21"/>
        </w:rPr>
        <w:t>申请人的资格要求</w:t>
      </w:r>
      <w:bookmarkEnd w:id="9"/>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具有独立承担民事责任的能力；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具有良好的商业信誉和健全的财务会计制度；</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具有履行合同所必需的设备和专业技术能力；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有依法缴纳税收和社会保障资金的良好记录；</w:t>
      </w:r>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，不得参加本项目同一合同项下的政府采购活动。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 xml:space="preserve">    5.</w:t>
      </w:r>
      <w:r>
        <w:rPr>
          <w:rFonts w:hint="eastAsia" w:ascii="宋体" w:hAnsi="宋体" w:eastAsia="宋体" w:cs="宋体"/>
          <w:color w:val="auto"/>
          <w:sz w:val="21"/>
          <w:szCs w:val="21"/>
          <w:highlight w:val="none"/>
        </w:rPr>
        <w:t>落实政府采购政策需满足的资格要求：本项目整体非专门面向中小企业，即小微企业参与本项目可享受政府采购中小企业扶持政策，本项目企业划分标准所属行业为“</w:t>
      </w:r>
      <w:r>
        <w:rPr>
          <w:rFonts w:hint="eastAsia" w:ascii="宋体" w:hAnsi="宋体" w:eastAsia="宋体" w:cs="宋体"/>
          <w:color w:val="auto"/>
          <w:sz w:val="21"/>
          <w:szCs w:val="21"/>
          <w:highlight w:val="none"/>
          <w:lang w:eastAsia="zh-CN"/>
        </w:rPr>
        <w:t>批发业</w:t>
      </w:r>
      <w:r>
        <w:rPr>
          <w:rFonts w:hint="eastAsia" w:ascii="宋体" w:hAnsi="宋体" w:eastAsia="宋体" w:cs="宋体"/>
          <w:color w:val="auto"/>
          <w:sz w:val="21"/>
          <w:szCs w:val="21"/>
          <w:highlight w:val="none"/>
        </w:rPr>
        <w:t>”。</w:t>
      </w:r>
    </w:p>
    <w:p>
      <w:pPr>
        <w:pStyle w:val="5"/>
        <w:numPr>
          <w:ilvl w:val="0"/>
          <w:numId w:val="6"/>
        </w:numPr>
        <w:spacing w:line="360" w:lineRule="auto"/>
        <w:jc w:val="left"/>
        <w:rPr>
          <w:rFonts w:hint="eastAsia" w:ascii="宋体" w:hAnsi="宋体" w:eastAsia="宋体" w:cs="宋体"/>
          <w:color w:val="auto"/>
          <w:sz w:val="21"/>
          <w:szCs w:val="21"/>
        </w:rPr>
      </w:pPr>
      <w:bookmarkStart w:id="10" w:name="_Toc31037"/>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7</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6</w:t>
      </w:r>
      <w:r>
        <w:rPr>
          <w:rFonts w:hint="eastAsia" w:ascii="宋体" w:hAnsi="宋体" w:eastAsia="宋体" w:cs="宋体"/>
          <w:color w:val="auto"/>
          <w:sz w:val="21"/>
          <w:szCs w:val="21"/>
          <w:u w:val="single"/>
        </w:rPr>
        <w:t>日至</w:t>
      </w:r>
      <w:r>
        <w:rPr>
          <w:rFonts w:hint="eastAsia" w:ascii="宋体" w:hAnsi="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7</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12</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，每天上午</w:t>
      </w:r>
      <w:r>
        <w:rPr>
          <w:rFonts w:hint="eastAsia" w:ascii="宋体" w:hAnsi="宋体" w:eastAsia="宋体" w:cs="宋体"/>
          <w:color w:val="auto"/>
          <w:sz w:val="21"/>
          <w:szCs w:val="21"/>
          <w:lang w:val="en-US" w:eastAsia="zh-CN"/>
        </w:rPr>
        <w:t>09:00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12:00</w:t>
      </w:r>
      <w:r>
        <w:rPr>
          <w:rFonts w:hint="eastAsia" w:ascii="宋体" w:hAnsi="宋体" w:eastAsia="宋体" w:cs="宋体"/>
          <w:color w:val="auto"/>
          <w:sz w:val="21"/>
          <w:szCs w:val="21"/>
        </w:rPr>
        <w:t>，下午</w:t>
      </w:r>
      <w:r>
        <w:rPr>
          <w:rFonts w:hint="eastAsia" w:ascii="宋体" w:hAnsi="宋体" w:eastAsia="宋体" w:cs="宋体"/>
          <w:color w:val="auto"/>
          <w:sz w:val="21"/>
          <w:szCs w:val="21"/>
          <w:lang w:val="en-US" w:eastAsia="zh-CN"/>
        </w:rPr>
        <w:t>14:30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（北京时间，法定节假日除外）</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地点：武昌区中北路岳家嘴立交山河企业大厦</w:t>
      </w:r>
      <w:r>
        <w:rPr>
          <w:rFonts w:hint="eastAsia" w:ascii="宋体" w:hAnsi="宋体" w:eastAsia="宋体" w:cs="宋体"/>
          <w:color w:val="auto"/>
          <w:sz w:val="21"/>
          <w:szCs w:val="21"/>
          <w:lang w:val="en-US" w:eastAsia="zh-CN"/>
        </w:rPr>
        <w:t>48楼</w:t>
      </w:r>
      <w:r>
        <w:rPr>
          <w:rFonts w:hint="eastAsia" w:ascii="宋体" w:hAnsi="宋体" w:eastAsia="宋体" w:cs="宋体"/>
          <w:color w:val="auto"/>
          <w:sz w:val="21"/>
          <w:szCs w:val="21"/>
        </w:rPr>
        <w:t>4805室；</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、供应商信用承诺书（格式见附件）、《中小企业声明函》扫描件（如项目非专门面向中小微企业，则不需要中小企业声明函）；磋商文件售后不退，不办理邮寄；</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售价：400</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元</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w:t>
      </w:r>
    </w:p>
    <w:p>
      <w:pPr>
        <w:pStyle w:val="5"/>
        <w:numPr>
          <w:ilvl w:val="0"/>
          <w:numId w:val="6"/>
        </w:numPr>
        <w:spacing w:line="360" w:lineRule="auto"/>
        <w:jc w:val="left"/>
        <w:rPr>
          <w:rFonts w:hint="eastAsia" w:ascii="宋体" w:hAnsi="宋体" w:eastAsia="宋体" w:cs="宋体"/>
          <w:color w:val="auto"/>
          <w:sz w:val="21"/>
          <w:szCs w:val="21"/>
        </w:rPr>
      </w:pPr>
      <w:bookmarkStart w:id="12" w:name="_Toc30368"/>
      <w:r>
        <w:rPr>
          <w:rFonts w:hint="eastAsia" w:ascii="宋体" w:hAnsi="宋体" w:eastAsia="宋体" w:cs="宋体"/>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开始时间：2021年7月21日08点30分（北京时间）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截止时间：2021年7月21日09点30分（北京时间）</w:t>
      </w:r>
    </w:p>
    <w:p>
      <w:pPr>
        <w:numPr>
          <w:ilvl w:val="0"/>
          <w:numId w:val="0"/>
        </w:numPr>
        <w:spacing w:line="360" w:lineRule="auto"/>
        <w:ind w:firstLine="420" w:firstLineChars="200"/>
        <w:jc w:val="left"/>
        <w:outlineLvl w:val="9"/>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lang w:val="en-US" w:eastAsia="zh-CN"/>
        </w:rPr>
        <w:t>地点：武昌区中北路岳家嘴立交山河企业大厦4806室，凡是购买了磋商文件且已回复确定参加竞标的潜在供应商，于竞标当日临时放弃竞标的，应及时以电话告知形式通知采购代理机构。</w:t>
      </w:r>
    </w:p>
    <w:p>
      <w:pPr>
        <w:pStyle w:val="5"/>
        <w:numPr>
          <w:ilvl w:val="0"/>
          <w:numId w:val="6"/>
        </w:numPr>
        <w:spacing w:line="360" w:lineRule="auto"/>
        <w:jc w:val="left"/>
        <w:rPr>
          <w:rFonts w:hint="eastAsia" w:eastAsia="宋体"/>
          <w:color w:val="auto"/>
          <w:sz w:val="21"/>
          <w:szCs w:val="21"/>
          <w:lang w:eastAsia="zh-CN"/>
        </w:rPr>
      </w:pPr>
      <w:bookmarkStart w:id="13" w:name="_Toc8237"/>
      <w:r>
        <w:rPr>
          <w:rFonts w:hint="eastAsia" w:ascii="宋体" w:hAnsi="宋体" w:eastAsia="宋体" w:cs="宋体"/>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color w:val="auto"/>
          <w:sz w:val="21"/>
          <w:szCs w:val="21"/>
          <w:lang w:eastAsia="zh-CN"/>
        </w:rPr>
      </w:pPr>
      <w:r>
        <w:rPr>
          <w:rFonts w:hint="eastAsia" w:ascii="宋体" w:hAnsi="宋体" w:eastAsia="宋体" w:cs="宋体"/>
          <w:color w:val="auto"/>
          <w:sz w:val="21"/>
          <w:szCs w:val="21"/>
          <w:lang w:val="en-US" w:eastAsia="zh-CN"/>
        </w:rPr>
        <w:t>时间：</w:t>
      </w:r>
      <w:r>
        <w:rPr>
          <w:rFonts w:hint="eastAsia" w:asciiTheme="minorEastAsia" w:hAnsiTheme="minorEastAsia" w:eastAsiaTheme="minorEastAsia" w:cstheme="minorEastAsia"/>
          <w:color w:val="auto"/>
          <w:sz w:val="21"/>
          <w:szCs w:val="21"/>
          <w:lang w:val="en-US" w:eastAsia="zh-CN"/>
        </w:rPr>
        <w:t>2021年7月21日09点30分</w:t>
      </w:r>
      <w:r>
        <w:rPr>
          <w:rFonts w:hint="eastAsia" w:ascii="宋体" w:hAnsi="宋体" w:eastAsia="宋体" w:cs="宋体"/>
          <w:color w:val="auto"/>
          <w:sz w:val="21"/>
          <w:szCs w:val="21"/>
          <w:lang w:eastAsia="zh-CN"/>
        </w:rPr>
        <w:t>（北京时间）</w:t>
      </w:r>
    </w:p>
    <w:p>
      <w:pPr>
        <w:pStyle w:val="5"/>
        <w:numPr>
          <w:ilvl w:val="0"/>
          <w:numId w:val="6"/>
        </w:numPr>
        <w:spacing w:line="360" w:lineRule="auto"/>
        <w:jc w:val="left"/>
        <w:rPr>
          <w:rFonts w:hint="eastAsia" w:ascii="宋体" w:hAnsi="宋体" w:eastAsia="宋体" w:cs="宋体"/>
          <w:color w:val="auto"/>
          <w:sz w:val="21"/>
          <w:szCs w:val="21"/>
        </w:rPr>
      </w:pPr>
      <w:bookmarkStart w:id="14" w:name="_Toc14422"/>
      <w:r>
        <w:rPr>
          <w:rFonts w:hint="eastAsia" w:ascii="宋体" w:hAnsi="宋体" w:eastAsia="宋体" w:cs="宋体"/>
          <w:color w:val="auto"/>
          <w:sz w:val="21"/>
          <w:szCs w:val="21"/>
        </w:rPr>
        <w:t>公告期限</w:t>
      </w:r>
      <w:bookmarkEnd w:id="14"/>
    </w:p>
    <w:p>
      <w:pPr>
        <w:spacing w:line="360" w:lineRule="auto"/>
        <w:ind w:firstLine="420" w:firstLineChars="200"/>
        <w:jc w:val="left"/>
        <w:rPr>
          <w:rFonts w:hint="eastAsia" w:ascii="宋体" w:hAnsi="宋体" w:eastAsia="宋体" w:cs="宋体"/>
          <w:color w:val="auto"/>
          <w:sz w:val="21"/>
          <w:szCs w:val="21"/>
          <w:lang w:eastAsia="zh-CN"/>
        </w:rPr>
      </w:pPr>
      <w:bookmarkStart w:id="15" w:name="_Toc320898024"/>
      <w:bookmarkStart w:id="16" w:name="_Toc334539188"/>
      <w:bookmarkStart w:id="17" w:name="_Toc276368888"/>
      <w:bookmarkStart w:id="18" w:name="_Toc6021"/>
      <w:bookmarkStart w:id="19" w:name="_Toc259607751"/>
      <w:bookmarkStart w:id="20" w:name="_Toc317262251"/>
      <w:r>
        <w:rPr>
          <w:rFonts w:hint="eastAsia" w:ascii="宋体" w:hAnsi="宋体" w:eastAsia="宋体" w:cs="宋体"/>
          <w:color w:val="auto"/>
          <w:sz w:val="21"/>
          <w:szCs w:val="21"/>
          <w:lang w:val="en-US" w:eastAsia="zh-CN"/>
        </w:rPr>
        <w:t>自本公告发布之日起</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个工作日</w:t>
      </w:r>
    </w:p>
    <w:bookmarkEnd w:id="15"/>
    <w:bookmarkEnd w:id="16"/>
    <w:bookmarkEnd w:id="17"/>
    <w:bookmarkEnd w:id="18"/>
    <w:bookmarkEnd w:id="19"/>
    <w:bookmarkEnd w:id="20"/>
    <w:p>
      <w:pPr>
        <w:pStyle w:val="5"/>
        <w:numPr>
          <w:ilvl w:val="0"/>
          <w:numId w:val="6"/>
        </w:numPr>
        <w:spacing w:line="360" w:lineRule="auto"/>
        <w:jc w:val="left"/>
        <w:rPr>
          <w:rFonts w:hint="eastAsia" w:ascii="宋体" w:hAnsi="宋体" w:eastAsia="宋体" w:cs="宋体"/>
          <w:color w:val="auto"/>
          <w:sz w:val="21"/>
          <w:szCs w:val="21"/>
        </w:rPr>
      </w:pPr>
      <w:bookmarkStart w:id="21" w:name="_Toc925"/>
      <w:r>
        <w:rPr>
          <w:rFonts w:hint="eastAsia" w:ascii="宋体" w:hAnsi="宋体" w:eastAsia="宋体" w:cs="宋体"/>
          <w:color w:val="auto"/>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w:t>
      </w:r>
      <w:r>
        <w:rPr>
          <w:rFonts w:hint="eastAsia" w:asciiTheme="minorEastAsia" w:hAnsiTheme="minorEastAsia" w:eastAsiaTheme="minorEastAsia" w:cstheme="minorEastAsia"/>
          <w:color w:val="auto"/>
          <w:sz w:val="21"/>
          <w:szCs w:val="21"/>
          <w:lang w:val="en-US" w:eastAsia="zh-CN"/>
        </w:rPr>
        <w:t>本项目资金性质为：</w:t>
      </w:r>
      <w:r>
        <w:rPr>
          <w:rFonts w:hint="eastAsia" w:ascii="宋体" w:hAnsi="宋体" w:eastAsia="宋体" w:cs="宋体"/>
          <w:color w:val="auto"/>
          <w:sz w:val="21"/>
          <w:szCs w:val="21"/>
          <w:highlight w:val="none"/>
          <w:lang w:val="en-US" w:eastAsia="zh-CN"/>
        </w:rPr>
        <w:t>财政资金</w:t>
      </w:r>
    </w:p>
    <w:p>
      <w:p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2.供应商如需查询技术要求可到我处查阅采购文件第三章相关内容。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.本项目将在以下网站发布所有信息，请参加本项目竞标的供应商密切关注。</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lang w:val="en-US" w:eastAsia="zh-CN"/>
        </w:rPr>
        <w:t>（1）《中国招标投标公共服务平台》（网址：http://www.cebpubservice.com/）</w:t>
      </w:r>
    </w:p>
    <w:p>
      <w:p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（2）《华中师范大学招标信息网》（网址：http://zb.ccnu.edu.cn/）</w:t>
      </w:r>
    </w:p>
    <w:p>
      <w:pPr>
        <w:spacing w:line="360" w:lineRule="auto"/>
        <w:ind w:firstLine="420" w:firstLineChars="200"/>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（3）《中经国际招标集团有限公司官网》（网址：http://www.ceitcl.com/）</w:t>
      </w:r>
    </w:p>
    <w:bookmarkEnd w:id="22"/>
    <w:p>
      <w:pPr>
        <w:pStyle w:val="5"/>
        <w:numPr>
          <w:ilvl w:val="0"/>
          <w:numId w:val="6"/>
        </w:numPr>
        <w:spacing w:line="360" w:lineRule="auto"/>
        <w:jc w:val="left"/>
        <w:rPr>
          <w:rFonts w:hint="eastAsia" w:ascii="宋体" w:hAnsi="宋体" w:eastAsia="宋体" w:cs="宋体"/>
          <w:color w:val="auto"/>
          <w:sz w:val="21"/>
          <w:szCs w:val="21"/>
        </w:rPr>
      </w:pPr>
      <w:bookmarkStart w:id="23" w:name="_Toc12269"/>
      <w:r>
        <w:rPr>
          <w:rFonts w:hint="eastAsia" w:ascii="宋体" w:hAnsi="宋体" w:eastAsia="宋体" w:cs="宋体"/>
          <w:color w:val="auto"/>
          <w:sz w:val="21"/>
          <w:szCs w:val="21"/>
        </w:rPr>
        <w:t>凡对本次采购提出询问，请按以下方式联系</w:t>
      </w:r>
      <w:bookmarkEnd w:id="23"/>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1.采购人信息</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名 称：华中师范大学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 址：湖北省武汉市珞喻路152号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联系方式：张老师　027-67862880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2.采购代理机构信息</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名  称：中经国际招标集团有限公司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　址：武昌区中北路岳家嘴立交山河企业大厦48楼4805、4806室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联系方式：027-87820788　　　　　　　　　　　　</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3.项目联系方式</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项目联系人：张梦、彭盼明</w:t>
      </w:r>
    </w:p>
    <w:p>
      <w:pPr>
        <w:numPr>
          <w:ilvl w:val="0"/>
          <w:numId w:val="0"/>
        </w:num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电    　话：027-87820788　</w:t>
      </w:r>
    </w:p>
    <w:p>
      <w:pPr>
        <w:pStyle w:val="5"/>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25662"/>
      <w:r>
        <w:rPr>
          <w:rFonts w:hint="eastAsia" w:asciiTheme="minorEastAsia" w:hAnsiTheme="minorEastAsia" w:eastAsiaTheme="minorEastAsia" w:cstheme="minorEastAsia"/>
          <w:color w:val="auto"/>
          <w:sz w:val="21"/>
          <w:szCs w:val="21"/>
        </w:rPr>
        <w:t>注意事项</w:t>
      </w:r>
      <w:bookmarkEnd w:id="24"/>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1.供应商在获取本项目竞争性磋商文件前须仔细阅读资格要求内容，并按磋商文件规定要求在响应文件中递交合格有效的资格证明文件，资格审查资料不合格将导致竞标失败。</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中经国际招标集团有限公司</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2021</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日</w:t>
      </w:r>
    </w:p>
    <w:p>
      <w:pPr>
        <w:numPr>
          <w:ilvl w:val="0"/>
          <w:numId w:val="4"/>
        </w:numPr>
        <w:jc w:val="center"/>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4"/>
        <w:numPr>
          <w:ilvl w:val="0"/>
          <w:numId w:val="4"/>
        </w:numPr>
        <w:jc w:val="center"/>
        <w:rPr>
          <w:rFonts w:hint="eastAsia" w:asciiTheme="minorEastAsia" w:hAnsiTheme="minorEastAsia" w:eastAsiaTheme="minorEastAsia" w:cstheme="minorEastAsia"/>
          <w:color w:val="auto"/>
          <w:sz w:val="32"/>
          <w:szCs w:val="32"/>
        </w:rPr>
      </w:pPr>
      <w:bookmarkStart w:id="25" w:name="_Toc12411"/>
      <w:r>
        <w:rPr>
          <w:rFonts w:hint="eastAsia" w:asciiTheme="minorEastAsia" w:hAnsiTheme="minorEastAsia" w:eastAsiaTheme="minorEastAsia" w:cstheme="minorEastAsia"/>
          <w:color w:val="auto"/>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6" w:name="_Toc4456"/>
      <w:r>
        <w:rPr>
          <w:rFonts w:hint="eastAsia" w:asciiTheme="minorEastAsia" w:hAnsiTheme="minorEastAsia" w:eastAsiaTheme="minorEastAsia" w:cstheme="minorEastAsia"/>
          <w:b/>
          <w:color w:val="auto"/>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宋体" w:hAnsi="宋体" w:eastAsia="宋体" w:cs="宋体"/>
                <w:snapToGrid w:val="0"/>
                <w:color w:val="auto"/>
                <w:kern w:val="0"/>
                <w:sz w:val="21"/>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宋体" w:hAnsi="宋体" w:eastAsia="宋体" w:cs="宋体"/>
                <w:snapToGrid w:val="0"/>
                <w:color w:val="auto"/>
                <w:kern w:val="0"/>
                <w:sz w:val="21"/>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w:t>
            </w:r>
            <w:r>
              <w:rPr>
                <w:rFonts w:hint="eastAsia" w:ascii="宋体" w:hAnsi="宋体" w:eastAsia="宋体" w:cs="宋体"/>
                <w:color w:val="auto"/>
                <w:sz w:val="21"/>
                <w:szCs w:val="21"/>
                <w:lang w:val="en-US" w:eastAsia="zh-CN"/>
              </w:rPr>
              <w:t>60%</w:t>
            </w:r>
            <w:r>
              <w:rPr>
                <w:rFonts w:hint="eastAsia" w:asciiTheme="minorEastAsia" w:hAnsiTheme="minorEastAsia" w:eastAsiaTheme="minorEastAsia" w:cstheme="minorEastAsia"/>
                <w:color w:val="auto"/>
                <w:sz w:val="21"/>
                <w:szCs w:val="21"/>
              </w:rPr>
              <w:t>向采购代理机构支付</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代理服务费。</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代理服务费由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w:t>
            </w:r>
            <w:r>
              <w:rPr>
                <w:rFonts w:hint="eastAsia" w:asciiTheme="minorEastAsia" w:hAnsiTheme="minorEastAsia" w:eastAsiaTheme="minorEastAsia" w:cstheme="minorEastAsia"/>
                <w:b w:val="0"/>
                <w:bCs w:val="0"/>
                <w:snapToGrid w:val="0"/>
                <w:color w:val="auto"/>
                <w:kern w:val="0"/>
                <w:sz w:val="21"/>
                <w:szCs w:val="21"/>
                <w:lang w:val="en-US" w:eastAsia="zh-CN"/>
              </w:rPr>
              <w:t>质疑</w:t>
            </w:r>
            <w:r>
              <w:rPr>
                <w:rFonts w:hint="eastAsia" w:asciiTheme="minorEastAsia" w:hAnsiTheme="minorEastAsia" w:eastAsiaTheme="minorEastAsia" w:cstheme="minorEastAsia"/>
                <w:b w:val="0"/>
                <w:bCs w:val="0"/>
                <w:snapToGrid w:val="0"/>
                <w:color w:val="auto"/>
                <w:kern w:val="0"/>
                <w:sz w:val="21"/>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b w:val="0"/>
                <w:bCs w:val="0"/>
                <w:color w:val="auto"/>
                <w:sz w:val="21"/>
                <w:szCs w:val="21"/>
                <w:u w:val="single"/>
                <w:lang w:val="zh-CN"/>
              </w:rPr>
              <w:t xml:space="preserve">不接受 </w:t>
            </w:r>
            <w:r>
              <w:rPr>
                <w:rFonts w:hint="eastAsia" w:asciiTheme="minorEastAsia" w:hAnsiTheme="minorEastAsia" w:eastAsiaTheme="minorEastAsia" w:cstheme="minorEastAsia"/>
                <w:color w:val="auto"/>
                <w:sz w:val="21"/>
                <w:szCs w:val="21"/>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color w:val="auto"/>
                <w:sz w:val="21"/>
                <w:szCs w:val="21"/>
                <w:lang w:val="en-US" w:eastAsia="zh-CN"/>
              </w:rPr>
              <w:t>可以</w:t>
            </w:r>
            <w:r>
              <w:rPr>
                <w:rFonts w:hint="eastAsia" w:asciiTheme="minorEastAsia" w:hAnsiTheme="minorEastAsia" w:eastAsiaTheme="minorEastAsia" w:cstheme="minorEastAsia"/>
                <w:color w:val="auto"/>
                <w:sz w:val="21"/>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 w:val="21"/>
                <w:szCs w:val="21"/>
                <w:lang w:val="en-US" w:eastAsia="zh-CN"/>
              </w:rPr>
              <w:t>财务会计制度对应的相关内容</w:t>
            </w:r>
            <w:r>
              <w:rPr>
                <w:rFonts w:hint="eastAsia" w:asciiTheme="minorEastAsia" w:hAnsiTheme="minorEastAsia" w:eastAsiaTheme="minorEastAsia" w:cstheme="minorEastAsia"/>
                <w:color w:val="auto"/>
                <w:sz w:val="21"/>
                <w:szCs w:val="21"/>
                <w:lang w:val="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w:t>
            </w: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lang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lang w:val="en-US" w:eastAsia="zh-CN"/>
              </w:rPr>
              <w:t>WORD</w:t>
            </w:r>
            <w:r>
              <w:rPr>
                <w:rFonts w:hint="eastAsia" w:asciiTheme="minorEastAsia" w:hAnsiTheme="minorEastAsia" w:eastAsiaTheme="minorEastAsia" w:cstheme="minorEastAsia"/>
                <w:color w:val="auto"/>
                <w:sz w:val="21"/>
                <w:szCs w:val="21"/>
              </w:rPr>
              <w:t>格式</w:t>
            </w:r>
            <w:r>
              <w:rPr>
                <w:rFonts w:hint="eastAsia" w:asciiTheme="minorEastAsia" w:hAnsiTheme="minorEastAsia" w:eastAsiaTheme="minorEastAsia" w:cstheme="minorEastAsia"/>
                <w:color w:val="auto"/>
                <w:sz w:val="21"/>
                <w:szCs w:val="21"/>
                <w:lang w:val="en-US" w:eastAsia="zh-CN"/>
              </w:rPr>
              <w:t>和加</w:t>
            </w:r>
            <w:r>
              <w:rPr>
                <w:rFonts w:hint="eastAsia" w:asciiTheme="minorEastAsia" w:hAnsiTheme="minorEastAsia" w:eastAsiaTheme="minorEastAsia" w:cstheme="minorEastAsia"/>
                <w:color w:val="auto"/>
                <w:sz w:val="21"/>
                <w:szCs w:val="21"/>
                <w:u w:val="single"/>
                <w:lang w:val="en-US" w:eastAsia="zh-CN"/>
              </w:rPr>
              <w:t>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 xml:space="preserve"> U盘1份，需贴标签并注明公司名称；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lang w:val="en-US" w:eastAsia="zh-CN"/>
              </w:rPr>
              <w:t>3</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为磋商小组详细介绍供应商公司情况及项目了解情况的人员，</w:t>
            </w:r>
            <w:r>
              <w:rPr>
                <w:rFonts w:hint="eastAsia" w:asciiTheme="minorEastAsia" w:hAnsiTheme="minorEastAsia" w:eastAsiaTheme="minorEastAsia" w:cstheme="minorEastAsia"/>
                <w:b/>
                <w:bCs/>
                <w:color w:val="auto"/>
                <w:sz w:val="21"/>
                <w:szCs w:val="21"/>
                <w:lang w:val="zh-CN" w:eastAsia="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成交通知书的领取</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w:t>
            </w:r>
            <w:r>
              <w:rPr>
                <w:rFonts w:hint="eastAsia" w:asciiTheme="minorEastAsia" w:hAnsiTheme="minorEastAsia" w:eastAsiaTheme="minorEastAsia" w:cstheme="minorEastAsia"/>
                <w:color w:val="auto"/>
                <w:sz w:val="21"/>
                <w:szCs w:val="21"/>
                <w:lang w:val="zh-CN" w:eastAsia="zh-CN"/>
              </w:rPr>
              <w:t>且须精确到小数点后两位</w:t>
            </w:r>
            <w:r>
              <w:rPr>
                <w:rFonts w:hint="eastAsia" w:asciiTheme="minorEastAsia" w:hAnsiTheme="minorEastAsia" w:eastAsiaTheme="minorEastAsia" w:cstheme="minorEastAsia"/>
                <w:color w:val="auto"/>
                <w:sz w:val="21"/>
                <w:szCs w:val="21"/>
                <w:lang w:val="zh-CN"/>
              </w:rPr>
              <w:t>。竞标报价应包括完成该项目的货物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color w:val="auto"/>
                <w:lang w:eastAsia="zh-CN"/>
              </w:rPr>
            </w:pPr>
            <w:r>
              <w:rPr>
                <w:rFonts w:hint="eastAsia" w:asciiTheme="minorEastAsia" w:hAnsiTheme="minorEastAsia" w:eastAsiaTheme="minorEastAsia" w:cstheme="minorEastAsia"/>
                <w:color w:val="auto"/>
                <w:sz w:val="21"/>
                <w:szCs w:val="21"/>
              </w:rPr>
              <w:t>本项目核心产品：</w:t>
            </w:r>
            <w:r>
              <w:rPr>
                <w:rFonts w:hint="eastAsia" w:ascii="宋体" w:hAnsi="宋体" w:eastAsia="宋体" w:cs="宋体"/>
                <w:color w:val="auto"/>
                <w:sz w:val="21"/>
                <w:szCs w:val="21"/>
                <w:u w:val="single"/>
                <w:lang w:eastAsia="zh-CN"/>
              </w:rPr>
              <w:t>近红外二区荧光光谱仪</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提供相同品牌</w:t>
            </w:r>
            <w:r>
              <w:rPr>
                <w:rFonts w:hint="eastAsia" w:asciiTheme="minorEastAsia" w:hAnsiTheme="minorEastAsia" w:eastAsiaTheme="minorEastAsia" w:cstheme="minorEastAsia"/>
                <w:color w:val="auto"/>
                <w:sz w:val="21"/>
                <w:szCs w:val="21"/>
                <w:lang w:val="en-US" w:eastAsia="zh-CN"/>
              </w:rPr>
              <w:t>核心</w:t>
            </w:r>
            <w:r>
              <w:rPr>
                <w:rFonts w:hint="eastAsia" w:asciiTheme="minorEastAsia" w:hAnsiTheme="minorEastAsia" w:eastAsiaTheme="minorEastAsia" w:cstheme="minorEastAsia"/>
                <w:color w:val="auto"/>
                <w:sz w:val="21"/>
                <w:szCs w:val="21"/>
              </w:rPr>
              <w:t>产品且通过资格审查、符合性审查的不同供应商参加同一合同项下</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rPr>
              <w:t>的，按一家供应商计算，评审后得分最高的同品牌供应商获得成交供应商推荐资格；评审得分相同的，采取随机抽取方式确定，其他同品牌供应商不作为中标候选人。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若核心产品不止 1 个，各供应商所投任一核心产品的品牌相同，则按一家供应商计算。</w:t>
            </w:r>
          </w:p>
        </w:tc>
      </w:tr>
    </w:tbl>
    <w:p>
      <w:pPr>
        <w:rPr>
          <w:rFonts w:hint="eastAsia" w:asciiTheme="minorEastAsia" w:hAnsiTheme="minorEastAsia" w:eastAsiaTheme="minorEastAsia" w:cstheme="minorEastAsia"/>
          <w:b/>
          <w:color w:val="auto"/>
          <w:szCs w:val="21"/>
        </w:rPr>
      </w:pPr>
      <w:bookmarkStart w:id="27" w:name="_Toc23075"/>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w:t>
      </w:r>
      <w:bookmarkEnd w:id="27"/>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8" w:name="_Toc18457"/>
      <w:r>
        <w:rPr>
          <w:rFonts w:hint="eastAsia" w:asciiTheme="minorEastAsia" w:hAnsiTheme="minorEastAsia" w:eastAsiaTheme="minorEastAsia" w:cstheme="minorEastAsia"/>
          <w:b/>
          <w:color w:val="auto"/>
          <w:szCs w:val="21"/>
        </w:rPr>
        <w:t>总则</w:t>
      </w:r>
      <w:bookmarkEnd w:id="28"/>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29" w:name="_Toc17841"/>
      <w:bookmarkStart w:id="30" w:name="_Toc27243"/>
      <w:r>
        <w:rPr>
          <w:rFonts w:hint="eastAsia" w:asciiTheme="minorEastAsia" w:hAnsiTheme="minorEastAsia" w:eastAsiaTheme="minorEastAsia" w:cstheme="minorEastAsia"/>
          <w:b/>
          <w:color w:val="auto"/>
          <w:szCs w:val="21"/>
        </w:rPr>
        <w:t>适用法律及范围</w:t>
      </w:r>
      <w:bookmarkEnd w:id="29"/>
      <w:bookmarkEnd w:id="30"/>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31" w:name="_Toc22187"/>
      <w:bookmarkStart w:id="32" w:name="_Toc30547"/>
      <w:r>
        <w:rPr>
          <w:rFonts w:hint="eastAsia" w:asciiTheme="minorEastAsia" w:hAnsiTheme="minorEastAsia" w:eastAsiaTheme="minorEastAsia" w:cstheme="minorEastAsia"/>
          <w:b/>
          <w:color w:val="auto"/>
          <w:szCs w:val="21"/>
        </w:rPr>
        <w:t>定义</w:t>
      </w:r>
      <w:bookmarkEnd w:id="31"/>
      <w:bookmarkEnd w:id="32"/>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33" w:name="_Toc9707"/>
      <w:bookmarkStart w:id="34" w:name="_Toc30503"/>
      <w:r>
        <w:rPr>
          <w:rFonts w:hint="eastAsia" w:asciiTheme="minorEastAsia" w:hAnsiTheme="minorEastAsia" w:eastAsiaTheme="minorEastAsia" w:cstheme="minorEastAsia"/>
          <w:b/>
          <w:snapToGrid w:val="0"/>
          <w:color w:val="auto"/>
          <w:kern w:val="0"/>
          <w:szCs w:val="21"/>
          <w:lang w:val="zh-CN"/>
        </w:rPr>
        <w:t>工程、货物及服务</w:t>
      </w:r>
      <w:bookmarkEnd w:id="33"/>
      <w:bookmarkEnd w:id="34"/>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35" w:name="_Toc4948"/>
      <w:bookmarkStart w:id="36" w:name="_Toc9974"/>
      <w:r>
        <w:rPr>
          <w:rFonts w:hint="eastAsia" w:asciiTheme="minorEastAsia" w:hAnsiTheme="minorEastAsia" w:eastAsiaTheme="minorEastAsia" w:cstheme="minorEastAsia"/>
          <w:b/>
          <w:color w:val="auto"/>
          <w:szCs w:val="21"/>
        </w:rPr>
        <w:t>费用</w:t>
      </w:r>
      <w:bookmarkEnd w:id="35"/>
      <w:bookmarkEnd w:id="36"/>
      <w:r>
        <w:rPr>
          <w:rFonts w:hint="eastAsia" w:asciiTheme="minorEastAsia" w:hAnsiTheme="minorEastAsia" w:eastAsiaTheme="minorEastAsia" w:cstheme="minorEastAsia"/>
          <w:b/>
          <w:color w:val="auto"/>
          <w:szCs w:val="21"/>
        </w:rPr>
        <w:t xml:space="preserve">  </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磋商代理服务费：成交供应商须在收到成交通知书时向采购代理机构支付磋商代理服务费。服务费支付标准和方法详见《供应商须知前附表》。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注：磋商代理服务收费按差额定率累进法计算。例如：某货物磋商代理业务中标金额为6000万元，计算磋商代理服务收费额如下：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合计收费=324000.000元</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7" w:name="_Toc21644"/>
      <w:r>
        <w:rPr>
          <w:rFonts w:hint="eastAsia" w:asciiTheme="minorEastAsia" w:hAnsiTheme="minorEastAsia" w:eastAsiaTheme="minorEastAsia" w:cstheme="minorEastAsia"/>
          <w:b/>
          <w:color w:val="auto"/>
          <w:szCs w:val="21"/>
        </w:rPr>
        <w:t>竞争性磋商采购文件</w:t>
      </w:r>
      <w:bookmarkEnd w:id="37"/>
    </w:p>
    <w:p>
      <w:pPr>
        <w:numPr>
          <w:ilvl w:val="0"/>
          <w:numId w:val="9"/>
        </w:numPr>
        <w:spacing w:line="360" w:lineRule="auto"/>
        <w:ind w:hanging="540"/>
        <w:outlineLvl w:val="1"/>
        <w:rPr>
          <w:rFonts w:hint="eastAsia" w:asciiTheme="minorEastAsia" w:hAnsiTheme="minorEastAsia" w:eastAsiaTheme="minorEastAsia" w:cstheme="minorEastAsia"/>
          <w:b/>
          <w:color w:val="auto"/>
          <w:szCs w:val="21"/>
        </w:rPr>
      </w:pPr>
      <w:bookmarkStart w:id="38" w:name="_Toc25534"/>
      <w:bookmarkStart w:id="39" w:name="_Toc4547"/>
      <w:r>
        <w:rPr>
          <w:rFonts w:hint="eastAsia" w:asciiTheme="minorEastAsia" w:hAnsiTheme="minorEastAsia" w:eastAsiaTheme="minorEastAsia" w:cstheme="minorEastAsia"/>
          <w:b/>
          <w:color w:val="auto"/>
          <w:szCs w:val="21"/>
        </w:rPr>
        <w:t>竞争性磋商采购文件的构成</w:t>
      </w:r>
      <w:bookmarkEnd w:id="38"/>
      <w:bookmarkEnd w:id="39"/>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0" w:name="_Toc29700"/>
      <w:bookmarkStart w:id="41" w:name="_Toc12297"/>
      <w:r>
        <w:rPr>
          <w:rFonts w:hint="eastAsia" w:asciiTheme="minorEastAsia" w:hAnsiTheme="minorEastAsia" w:eastAsiaTheme="minorEastAsia" w:cstheme="minorEastAsia"/>
          <w:b/>
          <w:snapToGrid w:val="0"/>
          <w:color w:val="auto"/>
          <w:kern w:val="0"/>
          <w:szCs w:val="21"/>
          <w:lang w:val="zh-CN"/>
        </w:rPr>
        <w:t>竞争性磋商采购文件的澄清</w:t>
      </w:r>
      <w:bookmarkEnd w:id="40"/>
      <w:bookmarkEnd w:id="41"/>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2" w:name="_Toc31761"/>
      <w:bookmarkStart w:id="43" w:name="_Toc17968"/>
      <w:r>
        <w:rPr>
          <w:rFonts w:hint="eastAsia" w:asciiTheme="minorEastAsia" w:hAnsiTheme="minorEastAsia" w:eastAsiaTheme="minorEastAsia" w:cstheme="minorEastAsia"/>
          <w:b/>
          <w:snapToGrid w:val="0"/>
          <w:color w:val="auto"/>
          <w:kern w:val="0"/>
          <w:szCs w:val="21"/>
          <w:lang w:val="zh-CN"/>
        </w:rPr>
        <w:t>竞争性磋商采购文件的修改</w:t>
      </w:r>
      <w:bookmarkEnd w:id="42"/>
      <w:bookmarkEnd w:id="43"/>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4" w:name="_Toc6290"/>
      <w:r>
        <w:rPr>
          <w:rFonts w:hint="eastAsia" w:asciiTheme="minorEastAsia" w:hAnsiTheme="minorEastAsia" w:eastAsiaTheme="minorEastAsia" w:cstheme="minorEastAsia"/>
          <w:b/>
          <w:color w:val="auto"/>
          <w:szCs w:val="21"/>
        </w:rPr>
        <w:t>竞争性磋商响应文件</w:t>
      </w:r>
      <w:bookmarkEnd w:id="44"/>
    </w:p>
    <w:p>
      <w:pPr>
        <w:numPr>
          <w:ilvl w:val="0"/>
          <w:numId w:val="9"/>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5" w:name="_Toc4380"/>
      <w:bookmarkStart w:id="46" w:name="_Toc30987"/>
      <w:r>
        <w:rPr>
          <w:rFonts w:hint="eastAsia" w:asciiTheme="minorEastAsia" w:hAnsiTheme="minorEastAsia" w:eastAsiaTheme="minorEastAsia" w:cstheme="minorEastAsia"/>
          <w:b/>
          <w:snapToGrid w:val="0"/>
          <w:color w:val="auto"/>
          <w:kern w:val="0"/>
          <w:szCs w:val="21"/>
          <w:lang w:val="zh-CN"/>
        </w:rPr>
        <w:t>语言和计量单位</w:t>
      </w:r>
      <w:bookmarkEnd w:id="45"/>
      <w:bookmarkEnd w:id="46"/>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7" w:name="_Toc3554"/>
      <w:bookmarkStart w:id="48"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7"/>
      <w:bookmarkEnd w:id="48"/>
    </w:p>
    <w:p>
      <w:pPr>
        <w:numPr>
          <w:ilvl w:val="1"/>
          <w:numId w:val="18"/>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9" w:name="_Toc1043"/>
      <w:bookmarkStart w:id="50" w:name="_Toc25217"/>
      <w:r>
        <w:rPr>
          <w:rFonts w:hint="eastAsia" w:asciiTheme="minorEastAsia" w:hAnsiTheme="minorEastAsia" w:eastAsiaTheme="minorEastAsia" w:cstheme="minorEastAsia"/>
          <w:b/>
          <w:snapToGrid w:val="0"/>
          <w:color w:val="auto"/>
          <w:kern w:val="0"/>
          <w:szCs w:val="21"/>
          <w:lang w:val="zh-CN"/>
        </w:rPr>
        <w:t>竞争性磋商响应文件的编制</w:t>
      </w:r>
      <w:bookmarkEnd w:id="49"/>
      <w:bookmarkEnd w:id="50"/>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1" w:name="_Toc24544"/>
      <w:bookmarkStart w:id="52" w:name="_Toc15588"/>
      <w:r>
        <w:rPr>
          <w:rFonts w:hint="eastAsia" w:asciiTheme="minorEastAsia" w:hAnsiTheme="minorEastAsia" w:eastAsiaTheme="minorEastAsia" w:cstheme="minorEastAsia"/>
          <w:b/>
          <w:snapToGrid w:val="0"/>
          <w:color w:val="auto"/>
          <w:kern w:val="0"/>
          <w:szCs w:val="21"/>
          <w:lang w:val="zh-CN"/>
        </w:rPr>
        <w:t>磋商报价</w:t>
      </w:r>
      <w:bookmarkEnd w:id="51"/>
      <w:bookmarkEnd w:id="52"/>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6176"/>
      <w:bookmarkStart w:id="54" w:name="_Toc23921"/>
      <w:r>
        <w:rPr>
          <w:rFonts w:hint="eastAsia" w:asciiTheme="minorEastAsia" w:hAnsiTheme="minorEastAsia" w:eastAsiaTheme="minorEastAsia" w:cstheme="minorEastAsia"/>
          <w:b/>
          <w:snapToGrid w:val="0"/>
          <w:color w:val="auto"/>
          <w:kern w:val="0"/>
          <w:szCs w:val="21"/>
          <w:lang w:val="zh-CN"/>
        </w:rPr>
        <w:t>备选方案</w:t>
      </w:r>
      <w:bookmarkEnd w:id="53"/>
      <w:bookmarkEnd w:id="54"/>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827"/>
      <w:bookmarkStart w:id="56" w:name="_Toc3324"/>
      <w:r>
        <w:rPr>
          <w:rFonts w:hint="eastAsia" w:asciiTheme="minorEastAsia" w:hAnsiTheme="minorEastAsia" w:eastAsiaTheme="minorEastAsia" w:cstheme="minorEastAsia"/>
          <w:b/>
          <w:snapToGrid w:val="0"/>
          <w:color w:val="auto"/>
          <w:kern w:val="0"/>
          <w:szCs w:val="21"/>
          <w:lang w:val="zh-CN"/>
        </w:rPr>
        <w:t>联合体</w:t>
      </w:r>
      <w:bookmarkEnd w:id="55"/>
      <w:bookmarkEnd w:id="56"/>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7" w:name="_Toc569"/>
      <w:bookmarkStart w:id="58" w:name="_Toc2434"/>
      <w:r>
        <w:rPr>
          <w:rFonts w:hint="eastAsia" w:asciiTheme="minorEastAsia" w:hAnsiTheme="minorEastAsia" w:eastAsiaTheme="minorEastAsia" w:cstheme="minorEastAsia"/>
          <w:b/>
          <w:snapToGrid w:val="0"/>
          <w:color w:val="auto"/>
          <w:kern w:val="0"/>
          <w:szCs w:val="21"/>
          <w:lang w:val="zh-CN"/>
        </w:rPr>
        <w:t>供应商资格证明文件</w:t>
      </w:r>
      <w:bookmarkEnd w:id="57"/>
      <w:bookmarkEnd w:id="58"/>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9" w:name="_Toc9935"/>
      <w:bookmarkStart w:id="60" w:name="_Toc24609"/>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59"/>
      <w:bookmarkEnd w:id="60"/>
    </w:p>
    <w:p>
      <w:pPr>
        <w:numPr>
          <w:ilvl w:val="1"/>
          <w:numId w:val="25"/>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9173"/>
      <w:bookmarkStart w:id="62" w:name="_Toc27068"/>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6"/>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3" w:name="_Toc5668"/>
      <w:bookmarkStart w:id="64" w:name="_Toc17731"/>
      <w:r>
        <w:rPr>
          <w:rFonts w:hint="eastAsia" w:asciiTheme="minorEastAsia" w:hAnsiTheme="minorEastAsia" w:eastAsiaTheme="minorEastAsia" w:cstheme="minorEastAsia"/>
          <w:b/>
          <w:snapToGrid w:val="0"/>
          <w:color w:val="auto"/>
          <w:kern w:val="0"/>
          <w:szCs w:val="21"/>
          <w:lang w:val="zh-CN"/>
        </w:rPr>
        <w:t>磋商有效期</w:t>
      </w:r>
      <w:bookmarkEnd w:id="63"/>
      <w:bookmarkEnd w:id="64"/>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5" w:name="_Toc20134"/>
      <w:bookmarkStart w:id="66" w:name="_Toc8272"/>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5"/>
      <w:bookmarkEnd w:id="66"/>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与响应文件正本不符，以正本为准。电子文档与纸质文件不符，以纸质文件为准。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7" w:name="_Toc3975"/>
      <w:r>
        <w:rPr>
          <w:rFonts w:hint="eastAsia" w:asciiTheme="minorEastAsia" w:hAnsiTheme="minorEastAsia" w:eastAsiaTheme="minorEastAsia" w:cstheme="minorEastAsia"/>
          <w:b/>
          <w:color w:val="auto"/>
          <w:szCs w:val="21"/>
        </w:rPr>
        <w:t>竞争性磋商响应文件的递交</w:t>
      </w:r>
      <w:bookmarkEnd w:id="6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16633"/>
      <w:bookmarkStart w:id="69"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8"/>
      <w:bookmarkEnd w:id="69"/>
    </w:p>
    <w:p>
      <w:pPr>
        <w:numPr>
          <w:ilvl w:val="1"/>
          <w:numId w:val="3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要求在磋商时提交样品的，是否在样品上标明磋商供应商名称，有关提交及退还样品的相关规定。见《供应商须知前附表》。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7857"/>
      <w:bookmarkStart w:id="71" w:name="_Toc28372"/>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b/>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31376"/>
      <w:bookmarkStart w:id="73" w:name="_Toc863"/>
      <w:r>
        <w:rPr>
          <w:rFonts w:hint="eastAsia" w:asciiTheme="minorEastAsia" w:hAnsiTheme="minorEastAsia" w:eastAsiaTheme="minorEastAsia" w:cstheme="minorEastAsia"/>
          <w:b/>
          <w:snapToGrid w:val="0"/>
          <w:color w:val="auto"/>
          <w:kern w:val="0"/>
          <w:szCs w:val="21"/>
          <w:lang w:val="zh-CN"/>
        </w:rPr>
        <w:t>迟交的竞争性磋商响应文件</w:t>
      </w:r>
      <w:bookmarkEnd w:id="72"/>
      <w:bookmarkEnd w:id="73"/>
    </w:p>
    <w:p>
      <w:pPr>
        <w:numPr>
          <w:ilvl w:val="1"/>
          <w:numId w:val="31"/>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31760"/>
      <w:bookmarkStart w:id="75" w:name="_Toc32091"/>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4"/>
      <w:bookmarkEnd w:id="75"/>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6" w:name="_Toc29375"/>
      <w:r>
        <w:rPr>
          <w:rFonts w:hint="eastAsia" w:asciiTheme="minorEastAsia" w:hAnsiTheme="minorEastAsia" w:eastAsiaTheme="minorEastAsia" w:cstheme="minorEastAsia"/>
          <w:b/>
          <w:color w:val="auto"/>
          <w:szCs w:val="21"/>
        </w:rPr>
        <w:t>磋商程序及步骤</w:t>
      </w:r>
      <w:bookmarkEnd w:id="76"/>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7" w:name="_Toc2550"/>
      <w:bookmarkStart w:id="78" w:name="_Toc22624"/>
      <w:r>
        <w:rPr>
          <w:rFonts w:hint="eastAsia" w:asciiTheme="minorEastAsia" w:hAnsiTheme="minorEastAsia" w:eastAsiaTheme="minorEastAsia" w:cstheme="minorEastAsia"/>
          <w:b/>
          <w:color w:val="auto"/>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9" w:name="_Toc14809"/>
      <w:bookmarkStart w:id="80" w:name="_Toc21483"/>
      <w:r>
        <w:rPr>
          <w:rFonts w:hint="eastAsia" w:asciiTheme="minorEastAsia" w:hAnsiTheme="minorEastAsia" w:eastAsiaTheme="minorEastAsia" w:cstheme="minorEastAsia"/>
          <w:b/>
          <w:color w:val="auto"/>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bookmarkStart w:id="81" w:name="_Toc32662"/>
      <w:bookmarkStart w:id="82"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3" w:name="_Toc30347"/>
      <w:r>
        <w:rPr>
          <w:rFonts w:hint="eastAsia" w:asciiTheme="minorEastAsia" w:hAnsiTheme="minorEastAsia" w:eastAsiaTheme="minorEastAsia" w:cstheme="minorEastAsia"/>
          <w:b/>
          <w:color w:val="auto"/>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5263"/>
      <w:r>
        <w:rPr>
          <w:rFonts w:hint="eastAsia" w:asciiTheme="minorEastAsia" w:hAnsiTheme="minorEastAsia" w:eastAsiaTheme="minorEastAsia" w:cstheme="minorEastAsia"/>
          <w:b/>
          <w:color w:val="auto"/>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26.4  竞标报价有算术错误的，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按照以下原则对磋商报价进行修正，修正的价格经供应商书面确认后具有约束力。供应商不接受修正价格的，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应当否决其</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 xml:space="preserve">     （2）总价金额与根据单价计算出的结果不一致的，以单价金额为准修正总价，但单价金额小数点有明显错误的除外。</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w:t>
      </w:r>
      <w:r>
        <w:rPr>
          <w:rFonts w:hint="eastAsia" w:asciiTheme="minorEastAsia" w:hAnsiTheme="minorEastAsia" w:eastAsiaTheme="minorEastAsia" w:cstheme="minorEastAsia"/>
          <w:bCs/>
          <w:color w:val="auto"/>
          <w:kern w:val="44"/>
          <w:szCs w:val="21"/>
          <w:lang w:val="en-US" w:eastAsia="zh-CN"/>
        </w:rPr>
        <w:t>8</w:t>
      </w:r>
      <w:r>
        <w:rPr>
          <w:rFonts w:hint="eastAsia" w:asciiTheme="minorEastAsia" w:hAnsiTheme="minorEastAsia" w:eastAsiaTheme="minorEastAsia" w:cstheme="minorEastAsia"/>
          <w:bCs/>
          <w:color w:val="auto"/>
          <w:kern w:val="44"/>
          <w:szCs w:val="21"/>
        </w:rPr>
        <w:t>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5" w:name="_Toc21157"/>
      <w:r>
        <w:rPr>
          <w:rFonts w:hint="eastAsia" w:asciiTheme="minorEastAsia" w:hAnsiTheme="minorEastAsia" w:eastAsiaTheme="minorEastAsia" w:cstheme="minorEastAsia"/>
          <w:b/>
          <w:color w:val="auto"/>
          <w:lang w:val="zh-CN"/>
        </w:rPr>
        <w:t>保密</w:t>
      </w:r>
      <w:bookmarkEnd w:id="85"/>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3"/>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6" w:name="_Toc21170"/>
      <w:bookmarkStart w:id="87" w:name="_Toc15936"/>
      <w:r>
        <w:rPr>
          <w:rFonts w:hint="eastAsia" w:asciiTheme="minorEastAsia" w:hAnsiTheme="minorEastAsia" w:eastAsiaTheme="minorEastAsia" w:cstheme="minorEastAsia"/>
          <w:b/>
          <w:color w:val="auto"/>
          <w:szCs w:val="21"/>
        </w:rPr>
        <w:t>成交与签订合同</w:t>
      </w:r>
      <w:bookmarkEnd w:id="86"/>
      <w:bookmarkEnd w:id="8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21514"/>
      <w:bookmarkStart w:id="89" w:name="_Toc23443"/>
      <w:r>
        <w:rPr>
          <w:rFonts w:hint="eastAsia" w:asciiTheme="minorEastAsia" w:hAnsiTheme="minorEastAsia" w:eastAsiaTheme="minorEastAsia" w:cstheme="minorEastAsia"/>
          <w:b/>
          <w:color w:val="auto"/>
          <w:lang w:val="zh-CN"/>
        </w:rPr>
        <w:t>合同授予标准</w:t>
      </w:r>
      <w:bookmarkEnd w:id="88"/>
      <w:bookmarkEnd w:id="8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 w:val="21"/>
          <w:szCs w:val="21"/>
          <w:lang w:val="zh-CN"/>
        </w:rPr>
        <w:t>采购人将把合同授予排名</w:t>
      </w:r>
      <w:r>
        <w:rPr>
          <w:rFonts w:hint="eastAsia" w:asciiTheme="minorEastAsia" w:hAnsiTheme="minorEastAsia" w:eastAsiaTheme="minorEastAsia" w:cstheme="minorEastAsia"/>
          <w:iCs/>
          <w:snapToGrid w:val="0"/>
          <w:color w:val="auto"/>
          <w:kern w:val="0"/>
          <w:sz w:val="21"/>
          <w:szCs w:val="21"/>
          <w:lang w:val="en-US" w:eastAsia="zh-CN"/>
        </w:rPr>
        <w:t>推荐数量</w:t>
      </w:r>
      <w:r>
        <w:rPr>
          <w:rFonts w:hint="eastAsia" w:asciiTheme="minorEastAsia" w:hAnsiTheme="minorEastAsia" w:eastAsiaTheme="minorEastAsia" w:cstheme="minorEastAsia"/>
          <w:iCs/>
          <w:snapToGrid w:val="0"/>
          <w:color w:val="auto"/>
          <w:kern w:val="0"/>
          <w:sz w:val="21"/>
          <w:szCs w:val="21"/>
          <w:lang w:val="zh-CN"/>
        </w:rPr>
        <w:t>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color w:val="auto"/>
          <w:sz w:val="21"/>
          <w:szCs w:val="21"/>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2  </w:t>
      </w:r>
      <w:r>
        <w:rPr>
          <w:rFonts w:hint="eastAsia" w:asciiTheme="minorEastAsia" w:hAnsiTheme="minorEastAsia" w:eastAsiaTheme="minorEastAsia" w:cstheme="minorEastAsia"/>
          <w:iCs/>
          <w:snapToGrid w:val="0"/>
          <w:color w:val="auto"/>
          <w:kern w:val="0"/>
          <w:sz w:val="21"/>
          <w:szCs w:val="21"/>
          <w:lang w:val="zh-CN"/>
        </w:rPr>
        <w:t>采购代理机构应当在评审结束后2个工作日内将评审报告送采购人确认。</w:t>
      </w:r>
      <w:r>
        <w:rPr>
          <w:rFonts w:ascii="宋体" w:hAnsi="宋体" w:eastAsia="宋体" w:cs="宋体"/>
          <w:color w:val="auto"/>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4  </w:t>
      </w:r>
      <w:r>
        <w:rPr>
          <w:rFonts w:hint="eastAsia" w:asciiTheme="minorEastAsia" w:hAnsiTheme="minorEastAsia" w:eastAsiaTheme="minorEastAsia" w:cstheme="minorEastAsia"/>
          <w:iCs/>
          <w:snapToGrid w:val="0"/>
          <w:color w:val="auto"/>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5  </w:t>
      </w:r>
      <w:r>
        <w:rPr>
          <w:rFonts w:hint="eastAsia" w:asciiTheme="minorEastAsia" w:hAnsiTheme="minorEastAsia" w:eastAsiaTheme="minorEastAsia" w:cstheme="minorEastAsia"/>
          <w:iCs/>
          <w:snapToGrid w:val="0"/>
          <w:color w:val="auto"/>
          <w:kern w:val="0"/>
          <w:sz w:val="21"/>
          <w:szCs w:val="21"/>
          <w:lang w:val="zh-CN"/>
        </w:rPr>
        <w:t>成交通知书的领取时间详见《供应商须知前附表》。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0" w:name="_Toc15879"/>
      <w:bookmarkStart w:id="91" w:name="_Toc15727"/>
      <w:r>
        <w:rPr>
          <w:rFonts w:hint="eastAsia" w:asciiTheme="minorEastAsia" w:hAnsiTheme="minorEastAsia" w:eastAsiaTheme="minorEastAsia" w:cstheme="minorEastAsia"/>
          <w:b/>
          <w:color w:val="auto"/>
          <w:lang w:val="zh-CN"/>
        </w:rPr>
        <w:t>签订合同</w:t>
      </w:r>
      <w:bookmarkEnd w:id="90"/>
      <w:bookmarkEnd w:id="91"/>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29.1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 xml:space="preserve">29.2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29.5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 xml:space="preserve">29.6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8"/>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szCs w:val="21"/>
          <w:lang w:val="zh-CN"/>
        </w:rPr>
      </w:pPr>
      <w:bookmarkStart w:id="92" w:name="_Toc4883"/>
      <w:bookmarkStart w:id="93" w:name="_Toc14510"/>
      <w:bookmarkStart w:id="94" w:name="_Toc13988"/>
      <w:r>
        <w:rPr>
          <w:rFonts w:hint="eastAsia" w:asciiTheme="minorEastAsia" w:hAnsiTheme="minorEastAsia" w:eastAsiaTheme="minorEastAsia" w:cstheme="minorEastAsia"/>
          <w:b/>
          <w:color w:val="auto"/>
          <w:szCs w:val="21"/>
          <w:lang w:val="zh-CN"/>
        </w:rPr>
        <w:t>质疑和投诉</w:t>
      </w:r>
      <w:bookmarkEnd w:id="92"/>
      <w:bookmarkEnd w:id="93"/>
      <w:bookmarkEnd w:id="94"/>
    </w:p>
    <w:p>
      <w:pPr>
        <w:keepNext w:val="0"/>
        <w:keepLines w:val="0"/>
        <w:pageBreakBefore w:val="0"/>
        <w:widowControl w:val="0"/>
        <w:numPr>
          <w:ilvl w:val="0"/>
          <w:numId w:val="9"/>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lang w:val="zh-CN"/>
        </w:rPr>
      </w:pPr>
      <w:r>
        <w:rPr>
          <w:rFonts w:hint="eastAsia" w:asciiTheme="minorEastAsia" w:hAnsiTheme="minorEastAsia" w:eastAsiaTheme="minorEastAsia" w:cstheme="minorEastAsia"/>
          <w:b/>
          <w:color w:val="auto"/>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5" w:name="_Toc20387"/>
      <w:bookmarkStart w:id="96" w:name="_Toc5844"/>
      <w:r>
        <w:rPr>
          <w:rFonts w:hint="eastAsia" w:asciiTheme="minorEastAsia" w:hAnsiTheme="minorEastAsia" w:eastAsiaTheme="minorEastAsia" w:cstheme="minorEastAsia"/>
          <w:b/>
          <w:color w:val="auto"/>
          <w:lang w:val="zh-CN"/>
        </w:rPr>
        <w:t>质疑回复</w:t>
      </w:r>
      <w:bookmarkEnd w:id="95"/>
      <w:bookmarkEnd w:id="96"/>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7" w:name="_Toc26015"/>
      <w:bookmarkStart w:id="98" w:name="_Toc459"/>
      <w:r>
        <w:rPr>
          <w:rFonts w:hint="eastAsia" w:asciiTheme="minorEastAsia" w:hAnsiTheme="minorEastAsia" w:eastAsiaTheme="minorEastAsia" w:cstheme="minorEastAsia"/>
          <w:b/>
          <w:color w:val="auto"/>
          <w:lang w:val="zh-CN"/>
        </w:rPr>
        <w:t>投诉</w:t>
      </w:r>
      <w:bookmarkEnd w:id="97"/>
      <w:bookmarkEnd w:id="9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9" w:name="_Toc30010"/>
      <w:bookmarkStart w:id="100" w:name="_Toc14767"/>
      <w:bookmarkStart w:id="101" w:name="_Toc8349"/>
      <w:bookmarkStart w:id="102" w:name="_Toc28705"/>
      <w:bookmarkStart w:id="103" w:name="_Toc5571"/>
      <w:r>
        <w:rPr>
          <w:rFonts w:hint="eastAsia" w:asciiTheme="minorEastAsia" w:hAnsiTheme="minorEastAsia" w:eastAsiaTheme="minorEastAsia" w:cstheme="minorEastAsia"/>
          <w:b/>
          <w:color w:val="auto"/>
          <w:szCs w:val="21"/>
          <w:lang w:val="zh-CN"/>
        </w:rPr>
        <w:t>政策</w:t>
      </w:r>
      <w:bookmarkEnd w:id="99"/>
      <w:bookmarkEnd w:id="100"/>
      <w:bookmarkEnd w:id="101"/>
      <w:bookmarkEnd w:id="102"/>
      <w:bookmarkEnd w:id="103"/>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4" w:name="_Toc28842"/>
      <w:bookmarkStart w:id="105" w:name="_Toc8371"/>
      <w:r>
        <w:rPr>
          <w:rFonts w:hint="eastAsia" w:asciiTheme="minorEastAsia" w:hAnsiTheme="minorEastAsia" w:eastAsiaTheme="minorEastAsia" w:cstheme="minorEastAsia"/>
          <w:b/>
          <w:color w:val="auto"/>
          <w:lang w:val="en-US" w:eastAsia="zh-CN"/>
        </w:rPr>
        <w:t>政府采购政策</w:t>
      </w:r>
      <w:bookmarkEnd w:id="104"/>
      <w:bookmarkEnd w:id="105"/>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w:t>
      </w:r>
      <w:r>
        <w:rPr>
          <w:rFonts w:hint="eastAsia" w:ascii="宋体" w:hAnsi="宋体" w:cs="宋体"/>
          <w:snapToGrid w:val="0"/>
          <w:color w:val="auto"/>
          <w:spacing w:val="-2"/>
          <w:kern w:val="0"/>
          <w:szCs w:val="21"/>
          <w:lang w:val="en-US" w:eastAsia="zh-CN"/>
        </w:rPr>
        <w:t>或服务或工程</w:t>
      </w:r>
      <w:r>
        <w:rPr>
          <w:rFonts w:hint="eastAsia" w:ascii="宋体" w:hAnsi="宋体" w:cs="宋体"/>
          <w:snapToGrid w:val="0"/>
          <w:color w:val="auto"/>
          <w:spacing w:val="-2"/>
          <w:kern w:val="0"/>
          <w:szCs w:val="21"/>
          <w:lang w:val="zh-CN"/>
        </w:rPr>
        <w:t>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6" w:name="_Toc25296"/>
      <w:bookmarkStart w:id="107" w:name="_Toc22449"/>
      <w:r>
        <w:rPr>
          <w:rFonts w:hint="eastAsia" w:asciiTheme="minorEastAsia" w:hAnsiTheme="minorEastAsia" w:eastAsiaTheme="minorEastAsia" w:cstheme="minorEastAsia"/>
          <w:b/>
          <w:color w:val="auto"/>
          <w:szCs w:val="21"/>
          <w:lang w:val="zh-CN"/>
        </w:rPr>
        <w:t>其他要求</w:t>
      </w:r>
      <w:bookmarkEnd w:id="106"/>
      <w:bookmarkEnd w:id="10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8" w:name="_Toc28070"/>
      <w:bookmarkStart w:id="109" w:name="_Toc28137"/>
      <w:r>
        <w:rPr>
          <w:rFonts w:hint="eastAsia" w:asciiTheme="minorEastAsia" w:hAnsiTheme="minorEastAsia" w:eastAsiaTheme="minorEastAsia" w:cstheme="minorEastAsia"/>
          <w:b/>
          <w:color w:val="auto"/>
          <w:szCs w:val="21"/>
          <w:lang w:val="zh-CN"/>
        </w:rPr>
        <w:t>适用法律</w:t>
      </w:r>
      <w:bookmarkEnd w:id="108"/>
      <w:bookmarkEnd w:id="109"/>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5"/>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sectPr>
          <w:type w:val="continuous"/>
          <w:pgSz w:w="11906" w:h="16838"/>
          <w:pgMar w:top="1247" w:right="1417" w:bottom="1247" w:left="1247" w:header="851" w:footer="992" w:gutter="0"/>
          <w:pgNumType w:fmt="decimal"/>
          <w:cols w:space="720" w:num="1"/>
          <w:rtlGutter w:val="0"/>
          <w:docGrid w:type="lines" w:linePitch="312" w:charSpace="0"/>
        </w:sect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p>
    <w:p>
      <w:pPr>
        <w:rPr>
          <w:rFonts w:hint="eastAsia" w:asciiTheme="minorEastAsia" w:hAnsiTheme="minorEastAsia" w:eastAsiaTheme="minorEastAsia" w:cstheme="minorEastAsia"/>
          <w:b/>
          <w:bCs/>
          <w:color w:val="auto"/>
          <w:sz w:val="36"/>
          <w:szCs w:val="36"/>
        </w:rPr>
        <w:sectPr>
          <w:footerReference r:id="rId7" w:type="default"/>
          <w:type w:val="continuous"/>
          <w:pgSz w:w="11906" w:h="16838"/>
          <w:pgMar w:top="1417" w:right="1417" w:bottom="1417" w:left="1417" w:header="851" w:footer="992" w:gutter="0"/>
          <w:cols w:space="720" w:num="1"/>
          <w:docGrid w:type="lines" w:linePitch="312" w:charSpace="0"/>
        </w:sectPr>
      </w:pPr>
      <w:bookmarkStart w:id="110" w:name="_Toc6380"/>
      <w:r>
        <w:rPr>
          <w:rFonts w:hint="eastAsia" w:asciiTheme="minorEastAsia" w:hAnsiTheme="minorEastAsia" w:eastAsiaTheme="minorEastAsia" w:cstheme="minorEastAsia"/>
          <w:b/>
          <w:bCs/>
          <w:color w:val="auto"/>
          <w:sz w:val="36"/>
          <w:szCs w:val="36"/>
        </w:rPr>
        <w:br w:type="page"/>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 w:val="36"/>
          <w:szCs w:val="36"/>
        </w:rPr>
        <w:t>采购需求</w:t>
      </w:r>
      <w:bookmarkEnd w:id="110"/>
    </w:p>
    <w:p>
      <w:pPr>
        <w:pStyle w:val="5"/>
        <w:numPr>
          <w:ilvl w:val="0"/>
          <w:numId w:val="36"/>
        </w:numPr>
        <w:bidi w:val="0"/>
        <w:spacing w:line="360" w:lineRule="auto"/>
        <w:jc w:val="left"/>
        <w:rPr>
          <w:rFonts w:hint="eastAsia" w:ascii="宋体" w:hAnsi="宋体" w:eastAsia="宋体" w:cs="宋体"/>
          <w:b/>
          <w:bCs/>
          <w:color w:val="auto"/>
          <w:sz w:val="21"/>
          <w:szCs w:val="21"/>
          <w:lang w:val="en-US" w:eastAsia="zh-CN"/>
        </w:rPr>
      </w:pPr>
      <w:bookmarkStart w:id="111" w:name="_Toc12156"/>
      <w:r>
        <w:rPr>
          <w:rFonts w:hint="eastAsia" w:ascii="宋体" w:hAnsi="宋体" w:eastAsia="宋体" w:cs="宋体"/>
          <w:b/>
          <w:bCs/>
          <w:color w:val="auto"/>
          <w:sz w:val="21"/>
          <w:szCs w:val="21"/>
          <w:lang w:val="en-US" w:eastAsia="zh-CN"/>
        </w:rPr>
        <w:t>技术需求</w:t>
      </w:r>
      <w:bookmarkEnd w:id="111"/>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1.项目概况：采购近红外二区荧光光谱仪一套，用于科研为主兼作实验教学；</w:t>
      </w:r>
    </w:p>
    <w:p>
      <w:pPr>
        <w:autoSpaceDE w:val="0"/>
        <w:autoSpaceDN w:val="0"/>
        <w:adjustRightInd w:val="0"/>
        <w:spacing w:line="360" w:lineRule="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lang w:val="en-US" w:eastAsia="zh-CN"/>
        </w:rPr>
        <w:t>2.设备/货物清单</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1"/>
        <w:gridCol w:w="11193"/>
        <w:gridCol w:w="709"/>
        <w:gridCol w:w="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6" w:type="dxa"/>
            <w:noWrap w:val="0"/>
            <w:vAlign w:val="center"/>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序号</w:t>
            </w:r>
          </w:p>
        </w:tc>
        <w:tc>
          <w:tcPr>
            <w:tcW w:w="1131" w:type="dxa"/>
            <w:noWrap w:val="0"/>
            <w:vAlign w:val="center"/>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设备名称</w:t>
            </w:r>
          </w:p>
        </w:tc>
        <w:tc>
          <w:tcPr>
            <w:tcW w:w="11193" w:type="dxa"/>
            <w:noWrap w:val="0"/>
            <w:vAlign w:val="center"/>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主要技术参数</w:t>
            </w:r>
          </w:p>
        </w:tc>
        <w:tc>
          <w:tcPr>
            <w:tcW w:w="709" w:type="dxa"/>
            <w:noWrap w:val="0"/>
            <w:vAlign w:val="center"/>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数量</w:t>
            </w:r>
          </w:p>
        </w:tc>
        <w:tc>
          <w:tcPr>
            <w:tcW w:w="759" w:type="dxa"/>
            <w:noWrap w:val="0"/>
            <w:vAlign w:val="center"/>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706" w:type="dxa"/>
            <w:noWrap w:val="0"/>
            <w:vAlign w:val="top"/>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131" w:type="dxa"/>
            <w:noWrap w:val="0"/>
            <w:vAlign w:val="top"/>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近红外二区荧光光谱仪</w:t>
            </w:r>
          </w:p>
        </w:tc>
        <w:tc>
          <w:tcPr>
            <w:tcW w:w="11193" w:type="dxa"/>
            <w:noWrap w:val="0"/>
            <w:vAlign w:val="top"/>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主机要求</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系统由光源、参比检测器、反射光路、样品架、单色仪、荧光检测器等部分组成</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全反射光学系统：包括灯室和样品仓，无透镜导致的色差；</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校正的激发光谱、发射光谱、三维光谱、同步扫描光谱、光度计定量</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※单点测试功能：固定激发，固定发射，进行浓度的定量分析，可以做标准曲线。</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1.5</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测试对象：液体、粉末和薄膜</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1.6</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※信噪比≥6000:1（FSD法），且≥16,000:1 （RMS法），（两种方法同时验收，室温R928P，5nm带宽，1s响应时间，水拉曼信号，无滤光片辅助）</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※稳态荧光动力学采集速度≤5ms/point</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光源</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稳态光源：150W 无臭氧氙灯，垂直安装；</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光谱仪</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光谱带宽：0-30nm 0.05nm 步进</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波长分辨率：0.02-200nm</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波长准确度：±0.1nm</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检测器</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紫外可见检测器波长范围：200~850nm，光子计数模式</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液氮制冷近红外InGaAs检测器</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 xml:space="preserve">波长范围800-1550nm </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制冷温度：-196℃；</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开机稳定时间：&lt; 20分钟</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4.2.4</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镀金反射检测器室，高反射效率</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样品仓</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大样品仓设计，样品仓配有专用的隔离板，有效隔离光学器件，避免了样品对光学元件的污染和腐蚀</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控制器及软件功能</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 xml:space="preserve">※多波长对动态扫描（不少于6对），独立参数设置； </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可批量执行测试方法文件，可以暂停和继续测试过程；</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附赠Origin正版软件及密钥</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自动绘制标准曲线，直接获得未知样品浓度</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附件</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固体样品支架</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7.1.1</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360可旋转，带角度刻度盘</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7.1.2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※前表面测量，保证样品前表面始终处于焦平面，无需前后调节样品支架位置</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滤光片套组≥5片</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7.3</w:t>
            </w:r>
            <w:r>
              <w:rPr>
                <w:rFonts w:hint="eastAsia" w:ascii="宋体" w:hAnsi="宋体" w:eastAsia="宋体" w:cs="宋体"/>
                <w:b w:val="0"/>
                <w:bCs w:val="0"/>
                <w:color w:val="auto"/>
                <w:sz w:val="21"/>
                <w:szCs w:val="21"/>
                <w:lang w:val="en-US" w:eastAsia="zh-CN"/>
              </w:rPr>
              <w:tab/>
            </w:r>
            <w:r>
              <w:rPr>
                <w:rFonts w:hint="eastAsia" w:ascii="宋体" w:hAnsi="宋体" w:eastAsia="宋体" w:cs="宋体"/>
                <w:b w:val="0"/>
                <w:bCs w:val="0"/>
                <w:color w:val="auto"/>
                <w:sz w:val="21"/>
                <w:szCs w:val="21"/>
                <w:lang w:val="en-US" w:eastAsia="zh-CN"/>
              </w:rPr>
              <w:t>石英比色皿，4mL，1个</w:t>
            </w:r>
          </w:p>
        </w:tc>
        <w:tc>
          <w:tcPr>
            <w:tcW w:w="709" w:type="dxa"/>
            <w:noWrap w:val="0"/>
            <w:vAlign w:val="top"/>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759" w:type="dxa"/>
            <w:noWrap w:val="0"/>
            <w:vAlign w:val="top"/>
          </w:tcPr>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套</w:t>
            </w:r>
          </w:p>
        </w:tc>
      </w:tr>
    </w:tbl>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bookmarkStart w:id="112" w:name="_Toc10200"/>
      <w:r>
        <w:rPr>
          <w:rFonts w:hint="eastAsia" w:ascii="宋体" w:hAnsi="宋体" w:eastAsia="宋体" w:cs="宋体"/>
          <w:b w:val="0"/>
          <w:bCs w:val="0"/>
          <w:color w:val="auto"/>
          <w:sz w:val="21"/>
          <w:szCs w:val="21"/>
          <w:lang w:val="en-US" w:eastAsia="zh-CN"/>
        </w:rPr>
        <w:t>注：以上清单需求表中如出现固定尺寸及重量等量化数值的均可认为参考，允许略有误差，但投标人投标报价的产品必须符合采购人实际使用功能及质量要求，并提供相应技术参数证明其符合采购需求或优于采购需求，否则可视其为不满足采购需求。</w:t>
      </w:r>
    </w:p>
    <w:p>
      <w:pPr>
        <w:autoSpaceDE w:val="0"/>
        <w:autoSpaceDN w:val="0"/>
        <w:adjustRightInd w:val="0"/>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如涉及固定厂家品牌或规格型号的均可认为推荐，并不要求其唯一性，投标人可提供同等质量标准或更高标准产品，并提供相应技术参数证明其符合采购需求或优于采购需求，否则可视其为不满足采购需求。</w:t>
      </w:r>
    </w:p>
    <w:p>
      <w:pPr>
        <w:rPr>
          <w:rFonts w:hint="eastAsia" w:ascii="宋体" w:hAnsi="宋体" w:cs="宋体"/>
          <w:color w:val="auto"/>
          <w:sz w:val="21"/>
          <w:szCs w:val="21"/>
          <w:highlight w:val="none"/>
        </w:rPr>
        <w:sectPr>
          <w:pgSz w:w="16838" w:h="11906" w:orient="landscape"/>
          <w:pgMar w:top="1417" w:right="1417" w:bottom="1417" w:left="1417" w:header="851" w:footer="992" w:gutter="0"/>
          <w:cols w:space="720" w:num="1"/>
          <w:docGrid w:type="lines" w:linePitch="312" w:charSpace="0"/>
        </w:sectPr>
      </w:pP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进口设备：提供生产厂商出具针对本项目的授权书（加盖生产厂商公章的真彩扫描件）和售后服务承诺函（加盖生产厂商公章的真彩扫描件）。</w:t>
      </w:r>
    </w:p>
    <w:p>
      <w:pPr>
        <w:pStyle w:val="5"/>
        <w:pageBreakBefore w:val="0"/>
        <w:widowControl w:val="0"/>
        <w:numPr>
          <w:ilvl w:val="0"/>
          <w:numId w:val="36"/>
        </w:numPr>
        <w:kinsoku/>
        <w:wordWrap/>
        <w:overflowPunct/>
        <w:topLinePunct w:val="0"/>
        <w:bidi w:val="0"/>
        <w:spacing w:before="0" w:after="0" w:line="360" w:lineRule="auto"/>
        <w:ind w:left="0" w:leftChars="0"/>
        <w:jc w:val="left"/>
        <w:textAlignment w:val="auto"/>
        <w:rPr>
          <w:rFonts w:hint="eastAsia" w:ascii="宋体" w:hAnsi="宋体" w:eastAsia="宋体" w:cs="宋体"/>
          <w:color w:val="auto"/>
          <w:sz w:val="21"/>
          <w:szCs w:val="21"/>
        </w:rPr>
      </w:pPr>
      <w:r>
        <w:rPr>
          <w:rFonts w:hint="eastAsia" w:ascii="宋体" w:hAnsi="宋体" w:eastAsia="宋体" w:cs="宋体"/>
          <w:b/>
          <w:bCs/>
          <w:color w:val="auto"/>
          <w:kern w:val="2"/>
          <w:sz w:val="21"/>
          <w:szCs w:val="21"/>
          <w:lang w:val="en-US" w:eastAsia="zh-CN" w:bidi="ar-SA"/>
        </w:rPr>
        <w:t>商务</w:t>
      </w:r>
      <w:r>
        <w:rPr>
          <w:rFonts w:hint="eastAsia" w:ascii="宋体" w:hAnsi="宋体" w:eastAsia="宋体" w:cs="宋体"/>
          <w:b/>
          <w:bCs/>
          <w:color w:val="auto"/>
          <w:sz w:val="21"/>
          <w:szCs w:val="21"/>
          <w:lang w:val="en-US" w:eastAsia="zh-CN"/>
        </w:rPr>
        <w:t>要求</w:t>
      </w:r>
      <w:bookmarkEnd w:id="112"/>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1.违约责任：</w:t>
      </w:r>
    </w:p>
    <w:p>
      <w:pPr>
        <w:keepNext w:val="0"/>
        <w:keepLines w:val="0"/>
        <w:pageBreakBefore w:val="0"/>
        <w:widowControl w:val="0"/>
        <w:kinsoku/>
        <w:wordWrap/>
        <w:overflowPunct/>
        <w:topLinePunct w:val="0"/>
        <w:autoSpaceDE w:val="0"/>
        <w:autoSpaceDN w:val="0"/>
        <w:bidi w:val="0"/>
        <w:adjustRightInd w:val="0"/>
        <w:spacing w:line="360" w:lineRule="auto"/>
        <w:ind w:left="210" w:leftChars="0" w:hanging="210" w:hangingChars="1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1.1</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违约责任：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1.1.1本合同生效后，若按本合同规定，</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拖延产品货款一个月后，</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负责每天按合同总额的千分之一赔偿</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1.1.2非</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供货质量问题，</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中途不得退货，否则，</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应按合同总额的百分之十赔偿</w:t>
      </w:r>
      <w:r>
        <w:rPr>
          <w:rFonts w:hint="eastAsia" w:ascii="宋体" w:hAnsi="宋体" w:eastAsia="宋体" w:cs="宋体"/>
          <w:color w:val="auto"/>
          <w:sz w:val="21"/>
          <w:szCs w:val="21"/>
          <w:lang w:eastAsia="zh-CN"/>
        </w:rPr>
        <w:t>成交供应商</w:t>
      </w:r>
    </w:p>
    <w:p>
      <w:pPr>
        <w:keepNext w:val="0"/>
        <w:keepLines w:val="0"/>
        <w:pageBreakBefore w:val="0"/>
        <w:widowControl w:val="0"/>
        <w:kinsoku/>
        <w:wordWrap/>
        <w:overflowPunct/>
        <w:topLinePunct w:val="0"/>
        <w:autoSpaceDE w:val="0"/>
        <w:autoSpaceDN w:val="0"/>
        <w:bidi w:val="0"/>
        <w:adjustRightInd w:val="0"/>
        <w:spacing w:line="360" w:lineRule="auto"/>
        <w:ind w:left="210" w:leftChars="0" w:hanging="210" w:hangingChars="100"/>
        <w:jc w:val="lef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1.2</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违约责任：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1.2.1若</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不按合同规定时间交付产品，并进行产品安装调试，则由</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负责每天按合同总额的千分之一赔偿</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1.2.2</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中途停止供货或，</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应按合同总额的百分之十赔偿</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1.2.3</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所供货物无法通过验收，</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将拒绝支付货款，</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应赔偿</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相应的损失</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val="0"/>
        <w:spacing w:line="360" w:lineRule="auto"/>
        <w:ind w:left="210" w:leftChars="0" w:hanging="210" w:hangingChars="1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2.产品质量要求：</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2.1.项目的产品和安装必须完全满足中华人民共和国国家质量标准及现行规范要求， </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 xml:space="preserve">应根据企业实际能力在响应文件中对项目质量予以承诺，中标后在合同中加以确认。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2.2.所有设备和配件均要求是经过实际运行验证、性能稳定的全新产品。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在中标后，发生侵犯专利权的行为时，其侵权责任与</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无关， 应由</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承担相应的责任，并不得影响</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的利益。 </w:t>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3.产品进场安装、调试及验收：</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须提供全新的设备，所有设备均须由</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送货到指定地点并安装调试，</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不再支付任何费用。 提供免费现场安装、调试和现场操作培训，确保仪器硬件和软件工作正常，并达到规定的各项指标。</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所提供设备到达目的地后，</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按</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提供的设备清单及检验产品合格证、使用说明书和其他的技术资料负责开箱检验、检查设备及随机附件是否完整无损，技术资料是否与</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的要求相符，如有损坏、缺件等情况，</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应在 5 日内更换新产品，相应的费用及责任由</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 xml:space="preserve">自行负担。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3.3、</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应提供设备所带专用工具清单，并标明其种类、用途和生产厂，并在货物到货时同时提供给</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3.4、</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 xml:space="preserve">须免费提供调试专用工具，直到项目质保期满。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必须提供产品安装的详细实施建议方案和产品安装实施过程的工作内容、工作日程表、工作方法，并征得</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认可后严格按照日程表执行。日程表内容至少应包括到货日期、现场安装、验收等。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3.6、</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应允许</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的工作人员参与项目的安装、测试、等各项工作。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3.7、安装过程中，</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供给</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的产品及自己使用的工具，进入</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使用现场后的保管由</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负责；</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在</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使用现场安装人员的安全、保险、 食宿、交通由</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 xml:space="preserve">负责。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3.8、</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在验收前必须递交书面的验收方案，并报</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认可后以其为依据，方可开始验收工作。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3.9、</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 xml:space="preserve">确认下列条款后进行验收签字：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（1）响应文件中提供的产品技术数据经核验证实是真实的； </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（2）所要求的资料、备件等已按规定数量移交完毕。</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4.售后服务要求：</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应设有专门售后服务点，至少有2名专职工程师，方便及时高效的为</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提供及时有效的技术和配件支持；</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在接到</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故障反馈后2小时内给予响应，给出简单的诊断和解决方法，指导需方排除故障。如无法排除故障，技术服务工程师在两个工作日内到达现场解决问题。仪器安装启动后仪器公司每年不少于1次免费现场检修和回访。</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4.2</w:t>
      </w:r>
      <w:r>
        <w:rPr>
          <w:rFonts w:hint="eastAsia" w:ascii="宋体" w:hAnsi="宋体" w:eastAsia="宋体" w:cs="宋体"/>
          <w:color w:val="auto"/>
          <w:sz w:val="21"/>
          <w:szCs w:val="21"/>
        </w:rPr>
        <w:t>配件供应：</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应保证仪器维修、升级等所需的零配件供应至少10年，以保证仪器正常运转。质保期后若需要上门维修，只收取必要的材料费，需更换的部件和耗材以优惠价提供。</w:t>
      </w:r>
      <w:r>
        <w:rPr>
          <w:rFonts w:hint="eastAsia" w:ascii="宋体" w:hAnsi="宋体" w:eastAsia="宋体" w:cs="宋体"/>
          <w:color w:val="auto"/>
          <w:sz w:val="21"/>
          <w:szCs w:val="21"/>
          <w:lang w:eastAsia="zh-CN"/>
        </w:rPr>
        <w:t>（需提供承诺书，格式自拟。）</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4.3</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需承诺终身提供对仪器的维修、终身提供仪器的软件升级、终身提供对操作人员的培训。</w:t>
      </w:r>
      <w:r>
        <w:rPr>
          <w:rFonts w:hint="eastAsia" w:ascii="宋体" w:hAnsi="宋体" w:eastAsia="宋体" w:cs="宋体"/>
          <w:color w:val="auto"/>
          <w:sz w:val="21"/>
          <w:szCs w:val="21"/>
          <w:lang w:eastAsia="zh-CN"/>
        </w:rPr>
        <w:t>（需提供承诺书，格式自拟。）</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4.4</w:t>
      </w:r>
      <w:r>
        <w:rPr>
          <w:rFonts w:hint="eastAsia" w:ascii="宋体" w:hAnsi="宋体" w:eastAsia="宋体" w:cs="宋体"/>
          <w:color w:val="auto"/>
          <w:sz w:val="21"/>
          <w:szCs w:val="21"/>
        </w:rPr>
        <w:t>应用支持：</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应向</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提供全面的技术支持，包括但不限于定期的资料赠送和应用交流，为</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提供疑难解答、使用交流、复杂样品检测方法开发等方面的应用支持。</w:t>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5.培训要求：安装人员在安装调试仪器现场，免费对仪器操作人员进行仪器操作、调试、维护和常见故障检测等技术的现场培训，直至达到独立操作。</w:t>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6.交货地点：</w:t>
      </w:r>
      <w:r>
        <w:rPr>
          <w:rFonts w:hint="eastAsia" w:ascii="宋体" w:hAnsi="宋体" w:cs="宋体"/>
          <w:color w:val="auto"/>
          <w:sz w:val="21"/>
          <w:szCs w:val="21"/>
          <w:lang w:eastAsia="zh-CN"/>
        </w:rPr>
        <w:t>采购人</w:t>
      </w:r>
      <w:r>
        <w:rPr>
          <w:rFonts w:hint="eastAsia" w:ascii="宋体" w:hAnsi="宋体" w:eastAsia="宋体" w:cs="宋体"/>
          <w:color w:val="auto"/>
          <w:sz w:val="21"/>
          <w:szCs w:val="21"/>
        </w:rPr>
        <w:t>指定地点</w:t>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.履约保证金：</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在合同签订后支付合同总金额的5%给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作为履约保证金，验收合格一年后无质量问题，</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将全额无息退还。签订合同前5个工作日递交，以支票、汇票、本票或者金融机构、担保机构出具的保函等非现金形式提交。</w:t>
      </w:r>
    </w:p>
    <w:p>
      <w:pPr>
        <w:pStyle w:val="92"/>
        <w:keepNext w:val="0"/>
        <w:keepLines w:val="0"/>
        <w:pageBreakBefore w:val="0"/>
        <w:widowControl w:val="0"/>
        <w:kinsoku/>
        <w:wordWrap/>
        <w:overflowPunct/>
        <w:topLinePunct w:val="0"/>
        <w:bidi w:val="0"/>
        <w:snapToGrid w:val="0"/>
        <w:spacing w:line="360" w:lineRule="auto"/>
        <w:ind w:left="0" w:leftChars="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.付款方式：合同签订后开具100%不可撤销信用证：凭装运单议付90%，凭验收报告议付10%。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.其它：其他未尽事宜由</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和</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按合同进行约定。</w:t>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br w:type="textWrapping"/>
      </w:r>
    </w:p>
    <w:p>
      <w:pPr>
        <w:keepNext w:val="0"/>
        <w:keepLines w:val="0"/>
        <w:pageBreakBefore w:val="0"/>
        <w:widowControl w:val="0"/>
        <w:kinsoku/>
        <w:wordWrap/>
        <w:overflowPunct/>
        <w:topLinePunct w:val="0"/>
        <w:autoSpaceDE w:val="0"/>
        <w:autoSpaceDN w:val="0"/>
        <w:bidi w:val="0"/>
        <w:adjustRightInd w:val="0"/>
        <w:spacing w:line="360" w:lineRule="auto"/>
        <w:ind w:left="0" w:leftChars="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注：</w:t>
      </w:r>
    </w:p>
    <w:p>
      <w:pPr>
        <w:keepNext w:val="0"/>
        <w:keepLines w:val="0"/>
        <w:pageBreakBefore w:val="0"/>
        <w:widowControl w:val="0"/>
        <w:kinsoku/>
        <w:wordWrap/>
        <w:overflowPunct/>
        <w:topLinePunct w:val="0"/>
        <w:autoSpaceDE w:val="0"/>
        <w:autoSpaceDN w:val="0"/>
        <w:bidi w:val="0"/>
        <w:adjustRightInd w:val="0"/>
        <w:spacing w:line="360" w:lineRule="auto"/>
        <w:ind w:left="0" w:leftChars="0"/>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（1）资格审查因素等证明材料须提供网上查询页及查询方式以供评标委员会核查，投标文件正本内附相关证书真彩扫描件。</w:t>
      </w:r>
    </w:p>
    <w:p>
      <w:pPr>
        <w:pStyle w:val="101"/>
        <w:keepNext w:val="0"/>
        <w:keepLines w:val="0"/>
        <w:pageBreakBefore w:val="0"/>
        <w:widowControl w:val="0"/>
        <w:kinsoku/>
        <w:wordWrap/>
        <w:overflowPunct/>
        <w:topLinePunct w:val="0"/>
        <w:bidi w:val="0"/>
        <w:spacing w:after="0" w:line="360" w:lineRule="auto"/>
        <w:ind w:left="0" w:leftChars="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如发现供应商的投标报价明显低于其他通过资格审查及符合性审查的供应商的投标报价，评标委员会认为有可能影响项目实施及服务质量或者不能诚信履约的，可启用澄清程序，有权要求供应商在合理的时间内出具投标报价的合理分析，供应商不能合理说明或者不能提供相关证明材料的，评标委员会可认定该供应商以低于成本报价投标，有权将其报价作无效处理。</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bCs/>
          <w:color w:val="auto"/>
          <w:szCs w:val="21"/>
          <w:lang w:val="en-US" w:eastAsia="zh-CN"/>
        </w:rPr>
      </w:pPr>
      <w:r>
        <w:rPr>
          <w:rFonts w:hint="eastAsia" w:ascii="宋体" w:hAnsi="宋体" w:eastAsia="宋体" w:cs="宋体"/>
          <w:color w:val="auto"/>
          <w:sz w:val="21"/>
          <w:szCs w:val="21"/>
        </w:rPr>
        <w:br w:type="textWrapping"/>
      </w:r>
    </w:p>
    <w:p>
      <w:pPr>
        <w:rPr>
          <w:rFonts w:hint="eastAsia" w:asciiTheme="minorEastAsia" w:hAnsiTheme="minorEastAsia" w:eastAsiaTheme="minorEastAsia" w:cstheme="minorEastAsia"/>
          <w:color w:val="auto"/>
          <w:szCs w:val="21"/>
        </w:rPr>
      </w:pPr>
      <w:bookmarkStart w:id="113" w:name="_Toc1421"/>
      <w:r>
        <w:rPr>
          <w:rFonts w:hint="eastAsia" w:asciiTheme="minorEastAsia" w:hAnsiTheme="minorEastAsia" w:eastAsiaTheme="minorEastAsia" w:cstheme="minorEastAsia"/>
          <w:color w:val="auto"/>
          <w:sz w:val="36"/>
          <w:szCs w:val="36"/>
          <w:lang w:val="en-US" w:eastAsia="zh-CN"/>
        </w:rPr>
        <w:br w:type="page"/>
      </w:r>
    </w:p>
    <w:p>
      <w:pPr>
        <w:pStyle w:val="4"/>
        <w:numPr>
          <w:ilvl w:val="0"/>
          <w:numId w:val="4"/>
        </w:num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13"/>
    </w:p>
    <w:p>
      <w:pPr>
        <w:spacing w:line="360" w:lineRule="auto"/>
        <w:outlineLvl w:val="1"/>
        <w:rPr>
          <w:rFonts w:hint="eastAsia" w:asciiTheme="minorEastAsia" w:hAnsiTheme="minorEastAsia" w:eastAsiaTheme="minorEastAsia" w:cstheme="minorEastAsia"/>
          <w:b/>
          <w:color w:val="auto"/>
          <w:szCs w:val="21"/>
        </w:rPr>
      </w:pPr>
      <w:bookmarkStart w:id="114" w:name="_Toc4474"/>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14"/>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268"/>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2268"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5563"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2268"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满足《中华人民共和国政府采购法》第二十二条规定</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（1）具有独立承担民事责任的能力；</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（2）具有良好的商业信誉和健全的财务会计制度；</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（3）具有履行合同所必需的设备和专业技术能力；</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（4）有依法缴纳税收和社会保障资金的良好记录；</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（5）参加政府采购活动前三年内，在经营活动中没有重大违法记录；</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268" w:type="dxa"/>
            <w:vMerge w:val="restart"/>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不得存在的情形</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单位负责人为同一人或者存在直接控股、管理关系的不同供应商，不得参加本项目同一合同项下的政府采购活动。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按在采购代理机构获取文件的顺次序选择供应商参加本项目</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1"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268" w:type="dxa"/>
            <w:vMerge w:val="continue"/>
            <w:vAlign w:val="center"/>
          </w:tcPr>
          <w:p>
            <w:pPr>
              <w:widowControl/>
              <w:spacing w:line="280" w:lineRule="exact"/>
              <w:jc w:val="center"/>
              <w:rPr>
                <w:rFonts w:hint="eastAsia" w:asciiTheme="minorEastAsia" w:hAnsiTheme="minorEastAsia" w:eastAsiaTheme="minorEastAsia" w:cstheme="minorEastAsia"/>
                <w:color w:val="auto"/>
                <w:szCs w:val="21"/>
                <w:lang w:val="zh-CN"/>
              </w:rPr>
            </w:pP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为本采购项目提供整体设计、规范编制或者项目管理、监理、检测等服务的，不得再参加本项目的其他磋商采购活动。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268" w:type="dxa"/>
            <w:vMerge w:val="continue"/>
            <w:vAlign w:val="center"/>
          </w:tcPr>
          <w:p>
            <w:pPr>
              <w:widowControl/>
              <w:spacing w:line="280" w:lineRule="exact"/>
              <w:jc w:val="center"/>
              <w:rPr>
                <w:rFonts w:hint="eastAsia" w:asciiTheme="minorEastAsia" w:hAnsiTheme="minorEastAsia" w:eastAsiaTheme="minorEastAsia" w:cstheme="minorEastAsia"/>
                <w:color w:val="auto"/>
                <w:szCs w:val="21"/>
                <w:lang w:val="zh-CN"/>
              </w:rPr>
            </w:pP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未被列入失信被执行人、重大税收违法案件当事人名单（</w:t>
            </w:r>
            <w:r>
              <w:rPr>
                <w:rFonts w:hint="eastAsia" w:asciiTheme="minorEastAsia" w:hAnsiTheme="minorEastAsia" w:eastAsiaTheme="minorEastAsia" w:cstheme="minorEastAsia"/>
                <w:color w:val="auto"/>
                <w:szCs w:val="21"/>
                <w:lang w:val="en-US" w:eastAsia="zh-CN"/>
              </w:rPr>
              <w:t>链接：https://www.creditchina.gov.cn/</w:t>
            </w:r>
            <w:r>
              <w:rPr>
                <w:rFonts w:hint="eastAsia" w:asciiTheme="minorEastAsia" w:hAnsiTheme="minorEastAsia" w:eastAsiaTheme="minorEastAsia" w:cstheme="minorEastAsia"/>
                <w:b w:val="0"/>
                <w:bCs w:val="0"/>
                <w:color w:val="auto"/>
                <w:szCs w:val="21"/>
                <w:lang w:val="en-US" w:eastAsia="zh-CN"/>
              </w:rPr>
              <w:t>），未被列入政府采购严重违法失信行为记录名单（</w:t>
            </w:r>
            <w:r>
              <w:rPr>
                <w:rFonts w:hint="eastAsia" w:asciiTheme="minorEastAsia" w:hAnsiTheme="minorEastAsia" w:eastAsiaTheme="minorEastAsia" w:cstheme="minorEastAsia"/>
                <w:color w:val="auto"/>
                <w:szCs w:val="21"/>
                <w:lang w:val="en-US" w:eastAsia="zh-CN"/>
              </w:rPr>
              <w:t>链接：http://www.ccgp.gov.cn/search/cr/</w:t>
            </w:r>
            <w:r>
              <w:rPr>
                <w:rFonts w:hint="eastAsia" w:asciiTheme="minorEastAsia" w:hAnsiTheme="minorEastAsia" w:eastAsiaTheme="minorEastAsia" w:cstheme="minorEastAsia"/>
                <w:b w:val="0"/>
                <w:bCs w:val="0"/>
                <w:color w:val="auto"/>
                <w:szCs w:val="21"/>
                <w:lang w:val="en-US" w:eastAsia="zh-CN"/>
              </w:rPr>
              <w:t>）。</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以递交响应文件截止之日，采购代理机构现场网络查询并打印存档。</w:t>
            </w:r>
            <w:r>
              <w:rPr>
                <w:rFonts w:hint="eastAsia" w:asciiTheme="minorEastAsia" w:hAnsiTheme="minorEastAsia" w:eastAsiaTheme="minorEastAsia" w:cstheme="minorEastAsia"/>
                <w:b w:val="0"/>
                <w:bCs w:val="0"/>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268"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落实政府采购政策需满足的资格要求</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268" w:type="dxa"/>
            <w:vAlign w:val="center"/>
          </w:tcPr>
          <w:p>
            <w:pPr>
              <w:widowControl/>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特定资格要求</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符合本采购文件第一章第二款第六条要求，并提供合格有效的证明材料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2268"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5563"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5563"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5563"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Cs w:val="21"/>
                <w:shd w:val="clear" w:color="auto" w:fill="FFFFFF"/>
                <w:lang w:val="en-US" w:eastAsia="zh-CN"/>
              </w:rPr>
              <w:t>带“★”号条款（如有）</w:t>
            </w:r>
            <w:r>
              <w:rPr>
                <w:rFonts w:hint="eastAsia" w:ascii="宋体" w:hAnsi="宋体" w:cs="宋体"/>
                <w:color w:val="auto"/>
                <w:kern w:val="0"/>
                <w:szCs w:val="21"/>
                <w:shd w:val="clear" w:color="auto" w:fill="FFFFFF"/>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2"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5563"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268"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val="en-US" w:eastAsia="zh-CN"/>
              </w:rPr>
              <w:t>2</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2268"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5563"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2268"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5563"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2268"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5563"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4</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lang w:val="en-US" w:eastAsia="zh-CN"/>
              </w:rPr>
              <w:t>核心产品</w:t>
            </w:r>
            <w:r>
              <w:rPr>
                <w:rFonts w:hint="eastAsia" w:asciiTheme="minorEastAsia" w:hAnsiTheme="minorEastAsia" w:eastAsiaTheme="minorEastAsia" w:cstheme="minorEastAsia"/>
                <w:bCs/>
                <w:color w:val="auto"/>
                <w:kern w:val="0"/>
                <w:szCs w:val="21"/>
              </w:rPr>
              <w:t>相同品牌</w:t>
            </w:r>
          </w:p>
        </w:tc>
        <w:tc>
          <w:tcPr>
            <w:tcW w:w="2268"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lang w:val="en-US" w:eastAsia="zh-CN"/>
              </w:rPr>
              <w:t>核心产品</w:t>
            </w:r>
            <w:r>
              <w:rPr>
                <w:rFonts w:hint="eastAsia" w:asciiTheme="minorEastAsia" w:hAnsiTheme="minorEastAsia" w:eastAsiaTheme="minorEastAsia" w:cstheme="minorEastAsia"/>
                <w:bCs/>
                <w:color w:val="auto"/>
                <w:kern w:val="0"/>
                <w:szCs w:val="21"/>
              </w:rPr>
              <w:t>相同品牌处理原则</w:t>
            </w:r>
          </w:p>
        </w:tc>
        <w:tc>
          <w:tcPr>
            <w:tcW w:w="5563"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提供相同品牌</w:t>
            </w:r>
            <w:r>
              <w:rPr>
                <w:rFonts w:hint="eastAsia" w:asciiTheme="minorEastAsia" w:hAnsiTheme="minorEastAsia" w:eastAsiaTheme="minorEastAsia" w:cstheme="minorEastAsia"/>
                <w:color w:val="auto"/>
                <w:szCs w:val="21"/>
                <w:lang w:val="en-US" w:eastAsia="zh-CN"/>
              </w:rPr>
              <w:t>核心</w:t>
            </w:r>
            <w:r>
              <w:rPr>
                <w:rFonts w:hint="eastAsia" w:asciiTheme="minorEastAsia" w:hAnsiTheme="minorEastAsia" w:eastAsiaTheme="minorEastAsia" w:cstheme="minorEastAsia"/>
                <w:color w:val="auto"/>
                <w:szCs w:val="21"/>
              </w:rPr>
              <w:t xml:space="preserve">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w:t>
            </w:r>
            <w:r>
              <w:rPr>
                <w:rFonts w:hint="eastAsia" w:asciiTheme="minorEastAsia" w:hAnsiTheme="minorEastAsia" w:eastAsiaTheme="minorEastAsia" w:cstheme="minorEastAsia"/>
                <w:color w:val="auto"/>
                <w:szCs w:val="21"/>
                <w:lang w:val="en-US" w:eastAsia="zh-CN"/>
              </w:rPr>
              <w:t>可以不明确核心产品，也可以</w:t>
            </w:r>
            <w:r>
              <w:rPr>
                <w:rFonts w:hint="eastAsia" w:asciiTheme="minorEastAsia" w:hAnsiTheme="minorEastAsia" w:eastAsiaTheme="minorEastAsia" w:cstheme="minorEastAsia"/>
                <w:color w:val="auto"/>
                <w:szCs w:val="21"/>
              </w:rPr>
              <w:t>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24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spacing w:line="240" w:lineRule="auto"/>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rPr>
              <w:t>类型</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strike w:val="0"/>
                <w:dstrike w:val="0"/>
                <w:color w:val="auto"/>
                <w:kern w:val="0"/>
                <w:szCs w:val="21"/>
                <w:highlight w:val="none"/>
                <w:lang w:eastAsia="zh-CN"/>
              </w:rPr>
              <w:t>批发业</w:t>
            </w:r>
          </w:p>
          <w:p>
            <w:pPr>
              <w:widowControl/>
              <w:spacing w:line="240" w:lineRule="auto"/>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小型：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highlight w:val="none"/>
              </w:rPr>
              <w:t>微型：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24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spacing w:line="24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审核确认供应商投标产品符合以上政府采购政策的，给予该项</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产品所占价格的1%的价格扣除，用扣除后的价格参与评审。上述政府采购政策优惠须</w:t>
            </w:r>
            <w:r>
              <w:rPr>
                <w:rFonts w:hint="eastAsia" w:asciiTheme="minorEastAsia" w:hAnsiTheme="minorEastAsia" w:eastAsiaTheme="minorEastAsia" w:cstheme="minorEastAsia"/>
                <w:color w:val="auto"/>
                <w:kern w:val="0"/>
                <w:szCs w:val="21"/>
                <w:lang w:val="en-US" w:eastAsia="zh-CN"/>
              </w:rPr>
              <w:t>经磋商小组</w:t>
            </w:r>
            <w:r>
              <w:rPr>
                <w:rFonts w:hint="eastAsia" w:asciiTheme="minorEastAsia" w:hAnsiTheme="minorEastAsia" w:eastAsiaTheme="minorEastAsia" w:cstheme="minorEastAsia"/>
                <w:color w:val="auto"/>
                <w:kern w:val="0"/>
                <w:szCs w:val="21"/>
              </w:rPr>
              <w:t>评审后执行，未提供单独分项报价或证明资料不全的不给予价格扣除。同一项目包内的节能产品价格扣除只对属于节能产品政府清单内的非强制类产品进行，强制类产品已作为</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15" w:name="_Toc32423"/>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15"/>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pStyle w:val="20"/>
        <w:outlineLvl w:val="1"/>
        <w:rPr>
          <w:rFonts w:hint="eastAsia" w:asciiTheme="minorEastAsia" w:hAnsiTheme="minorEastAsia" w:eastAsiaTheme="minorEastAsia" w:cstheme="minorEastAsia"/>
          <w:color w:val="auto"/>
        </w:rPr>
        <w:sectPr>
          <w:pgSz w:w="11906" w:h="16838"/>
          <w:pgMar w:top="1417" w:right="1417" w:bottom="1417" w:left="1417" w:header="851" w:footer="992" w:gutter="0"/>
          <w:cols w:space="720" w:num="1"/>
          <w:docGrid w:type="lines" w:linePitch="312" w:charSpace="0"/>
        </w:sectPr>
      </w:pPr>
      <w:bookmarkStart w:id="116" w:name="_Toc17585"/>
      <w:bookmarkStart w:id="117" w:name="_Toc8676"/>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br w:type="textWrapping"/>
      </w:r>
      <w:bookmarkEnd w:id="116"/>
      <w:bookmarkEnd w:id="117"/>
    </w:p>
    <w:p>
      <w:pPr>
        <w:spacing w:line="400" w:lineRule="exact"/>
        <w:outlineLvl w:val="1"/>
        <w:rPr>
          <w:rFonts w:hint="eastAsia" w:ascii="宋体" w:hAnsi="宋体" w:cs="宋体"/>
          <w:b/>
          <w:bCs/>
          <w:snapToGrid w:val="0"/>
          <w:color w:val="auto"/>
          <w:kern w:val="0"/>
          <w:sz w:val="21"/>
          <w:szCs w:val="21"/>
        </w:rPr>
      </w:pPr>
      <w:r>
        <w:rPr>
          <w:rFonts w:hint="eastAsia" w:ascii="宋体" w:hAnsi="宋体" w:cs="宋体"/>
          <w:b/>
          <w:bCs/>
          <w:snapToGrid w:val="0"/>
          <w:color w:val="auto"/>
          <w:kern w:val="0"/>
          <w:sz w:val="21"/>
          <w:szCs w:val="21"/>
          <w:lang w:val="en-US" w:eastAsia="zh-CN"/>
        </w:rPr>
        <w:t>三</w:t>
      </w:r>
      <w:r>
        <w:rPr>
          <w:rFonts w:hint="eastAsia" w:ascii="宋体" w:hAnsi="宋体" w:cs="宋体"/>
          <w:b/>
          <w:bCs/>
          <w:snapToGrid w:val="0"/>
          <w:color w:val="auto"/>
          <w:kern w:val="0"/>
          <w:sz w:val="21"/>
          <w:szCs w:val="21"/>
        </w:rPr>
        <w:t>、评分细则</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blHeader/>
        </w:trPr>
        <w:tc>
          <w:tcPr>
            <w:tcW w:w="736" w:type="dxa"/>
            <w:tcBorders>
              <w:top w:val="single" w:color="auto" w:sz="12" w:space="0"/>
            </w:tcBorders>
            <w:noWrap w:val="0"/>
            <w:vAlign w:val="center"/>
          </w:tcPr>
          <w:p>
            <w:pPr>
              <w:jc w:val="center"/>
              <w:rPr>
                <w:rFonts w:hint="eastAsia" w:ascii="宋体" w:hAnsi="宋体" w:eastAsia="宋体" w:cs="宋体"/>
                <w:b/>
                <w:bCs/>
                <w:color w:val="auto"/>
                <w:spacing w:val="-6"/>
                <w:sz w:val="21"/>
                <w:szCs w:val="21"/>
                <w:highlight w:val="none"/>
              </w:rPr>
            </w:pPr>
            <w:bookmarkStart w:id="118" w:name="_Toc144974567"/>
            <w:bookmarkStart w:id="119" w:name="_Toc152042377"/>
            <w:bookmarkStart w:id="120" w:name="_Toc179632618"/>
            <w:bookmarkStart w:id="121" w:name="_Toc152045600"/>
            <w:r>
              <w:rPr>
                <w:rFonts w:hint="eastAsia" w:ascii="宋体" w:hAnsi="宋体" w:eastAsia="宋体" w:cs="宋体"/>
                <w:b/>
                <w:bCs/>
                <w:color w:val="auto"/>
                <w:sz w:val="21"/>
                <w:szCs w:val="21"/>
                <w:highlight w:val="none"/>
              </w:rPr>
              <w:t>类别</w:t>
            </w:r>
          </w:p>
        </w:tc>
        <w:tc>
          <w:tcPr>
            <w:tcW w:w="1376" w:type="dxa"/>
            <w:tcBorders>
              <w:top w:val="single" w:color="auto" w:sz="12" w:space="0"/>
            </w:tcBorders>
            <w:noWrap w:val="0"/>
            <w:vAlign w:val="center"/>
          </w:tcPr>
          <w:p>
            <w:pPr>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z w:val="21"/>
                <w:szCs w:val="21"/>
                <w:highlight w:val="none"/>
              </w:rPr>
              <w:t>评标因素</w:t>
            </w:r>
          </w:p>
        </w:tc>
        <w:tc>
          <w:tcPr>
            <w:tcW w:w="6512" w:type="dxa"/>
            <w:tcBorders>
              <w:top w:val="single" w:color="auto" w:sz="12" w:space="0"/>
            </w:tcBorders>
            <w:noWrap w:val="0"/>
            <w:vAlign w:val="center"/>
          </w:tcPr>
          <w:p>
            <w:pPr>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z w:val="21"/>
                <w:szCs w:val="21"/>
                <w:highlight w:val="none"/>
              </w:rPr>
              <w:t>评审标准</w:t>
            </w:r>
          </w:p>
        </w:tc>
        <w:tc>
          <w:tcPr>
            <w:tcW w:w="664" w:type="dxa"/>
            <w:tcBorders>
              <w:top w:val="single" w:color="auto" w:sz="12"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noWrap w:val="0"/>
            <w:vAlign w:val="center"/>
          </w:tcPr>
          <w:p>
            <w:pPr>
              <w:widowControl/>
              <w:jc w:val="center"/>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lang w:bidi="ar"/>
              </w:rPr>
              <w:t>投标报价</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30分</w:t>
            </w:r>
          </w:p>
        </w:tc>
        <w:tc>
          <w:tcPr>
            <w:tcW w:w="1376" w:type="dxa"/>
            <w:noWrap w:val="0"/>
            <w:vAlign w:val="center"/>
          </w:tcPr>
          <w:p>
            <w:pPr>
              <w:widowControl/>
              <w:jc w:val="center"/>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lang w:bidi="ar"/>
              </w:rPr>
              <w:t>投标报价</w:t>
            </w:r>
          </w:p>
        </w:tc>
        <w:tc>
          <w:tcPr>
            <w:tcW w:w="6512" w:type="dxa"/>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1、报价采用低价优先法计算，即满足</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文件要求且报价最低的报价为评标基准价，其报价分为满分30分；</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的报价分按照下列公式计算：</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报价分=（评标基准价/投标报价）×30</w:t>
            </w:r>
          </w:p>
          <w:p>
            <w:pPr>
              <w:widowControl/>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备注：1、如发现</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的最后报价明显低于其他通过资格审查及符合性审查的</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的投标报价，评标委员会认为有可能影响项目实施及服务质量或者不能诚信履约的，可启用澄清程序，有权要求</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在合理的时间内出具投标报价的合理分析，</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不能合理说明或者不能提供相关证明材料的，评标委员会可认定该</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以低于成本报价投标，有权将其报价作无效处理。</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2、符合本</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文件第四章“政策支持”条件的，在评标时予以价格扣除，用扣除后的价格参与评标。</w:t>
            </w:r>
          </w:p>
        </w:tc>
        <w:tc>
          <w:tcPr>
            <w:tcW w:w="664"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noWrap w:val="0"/>
            <w:vAlign w:val="center"/>
          </w:tcPr>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商务</w:t>
            </w:r>
          </w:p>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15分</w:t>
            </w:r>
          </w:p>
        </w:tc>
        <w:tc>
          <w:tcPr>
            <w:tcW w:w="1376" w:type="dxa"/>
            <w:noWrap w:val="0"/>
            <w:vAlign w:val="center"/>
          </w:tcPr>
          <w:p>
            <w:pPr>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体系认证</w:t>
            </w:r>
          </w:p>
        </w:tc>
        <w:tc>
          <w:tcPr>
            <w:tcW w:w="6512" w:type="dxa"/>
            <w:noWrap w:val="0"/>
            <w:vAlign w:val="center"/>
          </w:tcPr>
          <w:p>
            <w:pP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提供职业健康安全管理体系认证证书、质量管理体系认证证书、环境管理体系认证。每提供1个证书得1分，不提供的不得分。</w:t>
            </w:r>
          </w:p>
        </w:tc>
        <w:tc>
          <w:tcPr>
            <w:tcW w:w="664" w:type="dxa"/>
            <w:noWrap w:val="0"/>
            <w:vAlign w:val="center"/>
          </w:tcPr>
          <w:p>
            <w:pP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noWrap w:val="0"/>
            <w:vAlign w:val="center"/>
          </w:tcPr>
          <w:p>
            <w:pPr>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类似业绩</w:t>
            </w:r>
          </w:p>
        </w:tc>
        <w:tc>
          <w:tcPr>
            <w:tcW w:w="6512" w:type="dxa"/>
            <w:noWrap w:val="0"/>
            <w:vAlign w:val="center"/>
          </w:tcPr>
          <w:p>
            <w:pPr>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rPr>
              <w:t>近三年（</w:t>
            </w:r>
            <w:r>
              <w:rPr>
                <w:rFonts w:hint="eastAsia" w:ascii="宋体" w:hAnsi="宋体" w:eastAsia="宋体" w:cs="宋体"/>
                <w:color w:val="auto"/>
                <w:sz w:val="21"/>
                <w:szCs w:val="21"/>
                <w:highlight w:val="none"/>
                <w:lang w:eastAsia="zh-CN"/>
              </w:rPr>
              <w:t>磋商截止时间往前推算36个月</w:t>
            </w:r>
            <w:r>
              <w:rPr>
                <w:rFonts w:hint="eastAsia" w:ascii="宋体" w:hAnsi="宋体" w:eastAsia="宋体" w:cs="宋体"/>
                <w:color w:val="auto"/>
                <w:sz w:val="21"/>
                <w:szCs w:val="21"/>
                <w:highlight w:val="none"/>
              </w:rPr>
              <w:t>）具有类似采购业绩的，每个得2分，最多得6分；（需提供中标通知书及合同真彩扫描件）</w:t>
            </w:r>
          </w:p>
        </w:tc>
        <w:tc>
          <w:tcPr>
            <w:tcW w:w="664" w:type="dxa"/>
            <w:noWrap w:val="0"/>
            <w:vAlign w:val="center"/>
          </w:tcPr>
          <w:p>
            <w:pPr>
              <w:autoSpaceDE w:val="0"/>
              <w:autoSpaceDN w:val="0"/>
              <w:adjustRightInd w:val="0"/>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noWrap w:val="0"/>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zh-CN"/>
              </w:rPr>
              <w:t>用户</w:t>
            </w:r>
            <w:r>
              <w:rPr>
                <w:rFonts w:hint="eastAsia" w:ascii="宋体" w:hAnsi="宋体" w:eastAsia="宋体" w:cs="宋体"/>
                <w:color w:val="auto"/>
                <w:sz w:val="21"/>
                <w:szCs w:val="21"/>
                <w:highlight w:val="none"/>
                <w:lang w:val="zh-CN"/>
              </w:rPr>
              <w:t>反馈</w:t>
            </w:r>
          </w:p>
        </w:tc>
        <w:tc>
          <w:tcPr>
            <w:tcW w:w="6512"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zh-CN"/>
              </w:rPr>
              <w:t>提供近三年（磋商截止时间往前推算36个月）</w:t>
            </w:r>
            <w:r>
              <w:rPr>
                <w:rFonts w:hint="eastAsia" w:ascii="宋体" w:hAnsi="宋体" w:cs="宋体"/>
                <w:color w:val="auto"/>
                <w:sz w:val="21"/>
                <w:szCs w:val="21"/>
                <w:highlight w:val="none"/>
                <w:lang w:val="zh-CN"/>
              </w:rPr>
              <w:t>用户</w:t>
            </w:r>
            <w:r>
              <w:rPr>
                <w:rFonts w:hint="eastAsia" w:ascii="宋体" w:hAnsi="宋体" w:eastAsia="宋体" w:cs="宋体"/>
                <w:color w:val="auto"/>
                <w:sz w:val="21"/>
                <w:szCs w:val="21"/>
                <w:highlight w:val="none"/>
                <w:lang w:val="zh-CN"/>
              </w:rPr>
              <w:t>出具的满意评价证明（盖</w:t>
            </w:r>
            <w:r>
              <w:rPr>
                <w:rFonts w:hint="eastAsia" w:ascii="宋体" w:hAnsi="宋体" w:cs="宋体"/>
                <w:color w:val="auto"/>
                <w:sz w:val="21"/>
                <w:szCs w:val="21"/>
                <w:highlight w:val="none"/>
                <w:lang w:val="zh-CN"/>
              </w:rPr>
              <w:t>采购人</w:t>
            </w:r>
            <w:r>
              <w:rPr>
                <w:rFonts w:hint="eastAsia" w:ascii="宋体" w:hAnsi="宋体" w:eastAsia="宋体" w:cs="宋体"/>
                <w:color w:val="auto"/>
                <w:sz w:val="21"/>
                <w:szCs w:val="21"/>
                <w:highlight w:val="none"/>
                <w:lang w:val="zh-CN"/>
              </w:rPr>
              <w:t>单位公章），每提供一个得</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分，最高得</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zh-CN"/>
              </w:rPr>
              <w:t>分。（需提供不同单位出具加盖公章的满意评价证明）</w:t>
            </w:r>
          </w:p>
        </w:tc>
        <w:tc>
          <w:tcPr>
            <w:tcW w:w="664" w:type="dxa"/>
            <w:noWrap w:val="0"/>
            <w:vAlign w:val="center"/>
          </w:tcPr>
          <w:p>
            <w:pPr>
              <w:autoSpaceDE w:val="0"/>
              <w:autoSpaceDN w:val="0"/>
              <w:adjustRightInd w:val="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tcBorders>
              <w:bottom w:val="single" w:color="auto" w:sz="4" w:space="0"/>
            </w:tcBorders>
            <w:noWrap w:val="0"/>
            <w:vAlign w:val="center"/>
          </w:tcPr>
          <w:p>
            <w:pPr>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质保期</w:t>
            </w:r>
          </w:p>
        </w:tc>
        <w:tc>
          <w:tcPr>
            <w:tcW w:w="6512" w:type="dxa"/>
            <w:tcBorders>
              <w:bottom w:val="single" w:color="auto" w:sz="4" w:space="0"/>
            </w:tcBorders>
            <w:noWrap w:val="0"/>
            <w:vAlign w:val="center"/>
          </w:tcPr>
          <w:p>
            <w:pPr>
              <w:widowControl/>
              <w:jc w:val="left"/>
              <w:rPr>
                <w:rFonts w:hint="eastAsia" w:ascii="宋体" w:hAnsi="宋体" w:eastAsia="宋体" w:cs="宋体"/>
                <w:color w:val="auto"/>
                <w:spacing w:val="-6"/>
                <w:kern w:val="0"/>
                <w:sz w:val="21"/>
                <w:szCs w:val="21"/>
                <w:highlight w:val="none"/>
              </w:rPr>
            </w:pPr>
            <w:r>
              <w:rPr>
                <w:rFonts w:hint="eastAsia" w:ascii="宋体" w:hAnsi="宋体" w:eastAsia="宋体" w:cs="宋体"/>
                <w:color w:val="auto"/>
                <w:kern w:val="0"/>
                <w:sz w:val="21"/>
                <w:szCs w:val="21"/>
                <w:highlight w:val="none"/>
                <w:lang w:eastAsia="zh-CN" w:bidi="ar"/>
              </w:rPr>
              <w:t>供应商</w:t>
            </w:r>
            <w:r>
              <w:rPr>
                <w:rFonts w:hint="eastAsia" w:ascii="宋体" w:hAnsi="宋体" w:eastAsia="宋体" w:cs="宋体"/>
                <w:color w:val="auto"/>
                <w:kern w:val="0"/>
                <w:sz w:val="21"/>
                <w:szCs w:val="21"/>
                <w:highlight w:val="none"/>
                <w:lang w:bidi="ar"/>
              </w:rPr>
              <w:t>所投设备质保期在满足</w:t>
            </w:r>
            <w:r>
              <w:rPr>
                <w:rFonts w:hint="eastAsia" w:ascii="宋体" w:hAnsi="宋体" w:cs="宋体"/>
                <w:color w:val="auto"/>
                <w:kern w:val="0"/>
                <w:sz w:val="21"/>
                <w:szCs w:val="21"/>
                <w:highlight w:val="none"/>
                <w:lang w:eastAsia="zh-CN" w:bidi="ar"/>
              </w:rPr>
              <w:t>采购人</w:t>
            </w:r>
            <w:r>
              <w:rPr>
                <w:rFonts w:hint="eastAsia" w:ascii="宋体" w:hAnsi="宋体" w:eastAsia="宋体" w:cs="宋体"/>
                <w:color w:val="auto"/>
                <w:kern w:val="0"/>
                <w:sz w:val="21"/>
                <w:szCs w:val="21"/>
                <w:highlight w:val="none"/>
                <w:lang w:bidi="ar"/>
              </w:rPr>
              <w:t>需求的基础上，每增加一年得 1.5分，最多得3分。</w:t>
            </w:r>
          </w:p>
        </w:tc>
        <w:tc>
          <w:tcPr>
            <w:tcW w:w="664" w:type="dxa"/>
            <w:tcBorders>
              <w:bottom w:val="single" w:color="auto" w:sz="4" w:space="0"/>
            </w:tcBorders>
            <w:noWrap w:val="0"/>
            <w:vAlign w:val="center"/>
          </w:tcPr>
          <w:p>
            <w:pPr>
              <w:autoSpaceDE w:val="0"/>
              <w:autoSpaceDN w:val="0"/>
              <w:adjustRightInd w:val="0"/>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noWrap w:val="0"/>
            <w:vAlign w:val="center"/>
          </w:tcPr>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技术服务</w:t>
            </w:r>
          </w:p>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55分</w:t>
            </w:r>
          </w:p>
        </w:tc>
        <w:tc>
          <w:tcPr>
            <w:tcW w:w="1376" w:type="dxa"/>
            <w:noWrap w:val="0"/>
            <w:vAlign w:val="center"/>
          </w:tcPr>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设备技术响应</w:t>
            </w:r>
          </w:p>
        </w:tc>
        <w:tc>
          <w:tcPr>
            <w:tcW w:w="6512"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设备技术性能及参数完全满足</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要求的得35分，具体由评标委员会根据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的投标文件中产品情况、《技术响应、偏离说明表》等有关资料打分。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其中：完全满足</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技术参数要求的得35分；在此基础上，标注 “</w:t>
            </w:r>
            <w:r>
              <w:rPr>
                <w:rFonts w:hint="eastAsia" w:ascii="宋体" w:hAnsi="宋体" w:eastAsia="宋体" w:cs="宋体"/>
                <w:color w:val="auto"/>
                <w:sz w:val="21"/>
                <w:szCs w:val="21"/>
                <w:highlight w:val="none"/>
                <w:lang w:val="en-GB"/>
              </w:rPr>
              <w:t>※</w:t>
            </w:r>
            <w:r>
              <w:rPr>
                <w:rFonts w:hint="eastAsia" w:ascii="宋体" w:hAnsi="宋体" w:eastAsia="宋体" w:cs="宋体"/>
                <w:color w:val="auto"/>
                <w:sz w:val="21"/>
                <w:szCs w:val="21"/>
                <w:highlight w:val="none"/>
              </w:rPr>
              <w:t>”的内容为重要条款，一项不满足扣2分；</w:t>
            </w:r>
            <w:r>
              <w:rPr>
                <w:rFonts w:hint="eastAsia" w:ascii="宋体" w:hAnsi="宋体" w:eastAsia="宋体" w:cs="宋体"/>
                <w:color w:val="auto"/>
                <w:sz w:val="21"/>
                <w:szCs w:val="21"/>
                <w:highlight w:val="none"/>
                <w:lang w:eastAsia="zh-CN"/>
              </w:rPr>
              <w:t>未</w:t>
            </w:r>
            <w:r>
              <w:rPr>
                <w:rFonts w:hint="eastAsia" w:ascii="宋体" w:hAnsi="宋体" w:eastAsia="宋体" w:cs="宋体"/>
                <w:color w:val="auto"/>
                <w:sz w:val="21"/>
                <w:szCs w:val="21"/>
                <w:highlight w:val="none"/>
              </w:rPr>
              <w:t>标注“</w:t>
            </w:r>
            <w:r>
              <w:rPr>
                <w:rFonts w:hint="eastAsia" w:ascii="宋体" w:hAnsi="宋体" w:eastAsia="宋体" w:cs="宋体"/>
                <w:color w:val="auto"/>
                <w:sz w:val="21"/>
                <w:szCs w:val="21"/>
                <w:highlight w:val="none"/>
                <w:lang w:val="en-GB"/>
              </w:rPr>
              <w:t>※</w:t>
            </w:r>
            <w:r>
              <w:rPr>
                <w:rFonts w:hint="eastAsia" w:ascii="宋体" w:hAnsi="宋体" w:eastAsia="宋体" w:cs="宋体"/>
                <w:color w:val="auto"/>
                <w:sz w:val="21"/>
                <w:szCs w:val="21"/>
                <w:highlight w:val="none"/>
              </w:rPr>
              <w:t>”的内容有一项不符合的则每项扣1分；扣完为止。</w:t>
            </w:r>
          </w:p>
          <w:p>
            <w:pPr>
              <w:ind w:firstLine="2" w:firstLineChars="1"/>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rPr>
              <w:t>备注：复制</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文件技术要求作为实际响应数据或投标响应数据无对应支持文件的，其技术响应将可能按负偏离处理。</w:t>
            </w:r>
          </w:p>
        </w:tc>
        <w:tc>
          <w:tcPr>
            <w:tcW w:w="664" w:type="dxa"/>
            <w:noWrap w:val="0"/>
            <w:vAlign w:val="center"/>
          </w:tcPr>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ind w:firstLine="2" w:firstLineChars="1"/>
              <w:rPr>
                <w:rFonts w:hint="eastAsia" w:ascii="宋体" w:hAnsi="宋体" w:eastAsia="宋体" w:cs="宋体"/>
                <w:color w:val="auto"/>
                <w:sz w:val="21"/>
                <w:szCs w:val="21"/>
                <w:highlight w:val="none"/>
              </w:rPr>
            </w:pPr>
          </w:p>
        </w:tc>
        <w:tc>
          <w:tcPr>
            <w:tcW w:w="1376"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供货方案</w:t>
            </w:r>
          </w:p>
        </w:tc>
        <w:tc>
          <w:tcPr>
            <w:tcW w:w="6512" w:type="dxa"/>
            <w:noWrap w:val="0"/>
            <w:vAlign w:val="center"/>
          </w:tcPr>
          <w:p>
            <w:pPr>
              <w:spacing w:line="24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提供的供货方案</w:t>
            </w:r>
            <w:r>
              <w:rPr>
                <w:rFonts w:hint="eastAsia" w:ascii="宋体" w:hAnsi="宋体" w:eastAsia="宋体" w:cs="宋体"/>
                <w:color w:val="auto"/>
                <w:sz w:val="21"/>
                <w:szCs w:val="21"/>
                <w:lang w:eastAsia="zh-CN"/>
              </w:rPr>
              <w:t>，包括人员组织、交货期、质量保证措施</w:t>
            </w:r>
            <w:r>
              <w:rPr>
                <w:rFonts w:hint="eastAsia" w:ascii="宋体" w:hAnsi="宋体" w:eastAsia="宋体" w:cs="宋体"/>
                <w:color w:val="auto"/>
                <w:sz w:val="21"/>
                <w:szCs w:val="21"/>
              </w:rPr>
              <w:t>的合理性和可行性进行综合</w:t>
            </w:r>
            <w:r>
              <w:rPr>
                <w:rFonts w:hint="eastAsia" w:ascii="宋体" w:hAnsi="宋体" w:eastAsia="宋体" w:cs="宋体"/>
                <w:color w:val="auto"/>
                <w:sz w:val="21"/>
                <w:szCs w:val="21"/>
                <w:lang w:eastAsia="zh-CN"/>
              </w:rPr>
              <w:t>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科学、合理，针对性强，</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合理，可行，</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欠合理，基本可行，1 分；</w:t>
            </w:r>
          </w:p>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不可行，0 分。</w:t>
            </w:r>
          </w:p>
        </w:tc>
        <w:tc>
          <w:tcPr>
            <w:tcW w:w="664" w:type="dxa"/>
            <w:noWrap w:val="0"/>
            <w:vAlign w:val="center"/>
          </w:tcPr>
          <w:p>
            <w:pPr>
              <w:spacing w:line="24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noWrap w:val="0"/>
            <w:vAlign w:val="center"/>
          </w:tcPr>
          <w:p>
            <w:pPr>
              <w:keepNext w:val="0"/>
              <w:keepLines w:val="0"/>
              <w:pageBreakBefore w:val="0"/>
              <w:kinsoku/>
              <w:wordWrap/>
              <w:overflowPunct/>
              <w:topLinePunct w:val="0"/>
              <w:bidi w:val="0"/>
              <w:snapToGrid/>
              <w:spacing w:line="240" w:lineRule="auto"/>
              <w:ind w:left="0" w:leftChars="0" w:right="0" w:rightChars="0"/>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rPr>
              <w:t>售后服务</w:t>
            </w:r>
          </w:p>
        </w:tc>
        <w:tc>
          <w:tcPr>
            <w:tcW w:w="6512" w:type="dxa"/>
            <w:noWrap w:val="0"/>
            <w:vAlign w:val="center"/>
          </w:tcPr>
          <w:p>
            <w:pPr>
              <w:keepNext w:val="0"/>
              <w:keepLines w:val="0"/>
              <w:pageBreakBefore w:val="0"/>
              <w:kinsoku/>
              <w:wordWrap/>
              <w:overflowPunct/>
              <w:topLinePunct w:val="0"/>
              <w:bidi w:val="0"/>
              <w:snapToGrid/>
              <w:spacing w:line="240" w:lineRule="auto"/>
              <w:ind w:left="0" w:leftChars="0" w:right="0" w:rightChars="0" w:firstLine="2" w:firstLine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提供的售后服务方案</w:t>
            </w:r>
            <w:r>
              <w:rPr>
                <w:rFonts w:hint="eastAsia" w:ascii="宋体" w:hAnsi="宋体" w:eastAsia="宋体" w:cs="宋体"/>
                <w:color w:val="auto"/>
                <w:sz w:val="21"/>
                <w:szCs w:val="21"/>
                <w:highlight w:val="none"/>
                <w:lang w:eastAsia="zh-CN"/>
              </w:rPr>
              <w:t>、售后服务团队</w:t>
            </w:r>
            <w:r>
              <w:rPr>
                <w:rFonts w:hint="eastAsia" w:ascii="宋体" w:hAnsi="宋体" w:eastAsia="宋体" w:cs="宋体"/>
                <w:color w:val="auto"/>
                <w:sz w:val="21"/>
                <w:szCs w:val="21"/>
                <w:highlight w:val="none"/>
              </w:rPr>
              <w:t>的完整性、可行性等进行综合评分：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科学、合理，针对性强，</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合理，可行，</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欠合理，基本可行，1 分；</w:t>
            </w:r>
          </w:p>
          <w:p>
            <w:pPr>
              <w:keepNext w:val="0"/>
              <w:keepLines w:val="0"/>
              <w:pageBreakBefore w:val="0"/>
              <w:kinsoku/>
              <w:wordWrap/>
              <w:overflowPunct/>
              <w:topLinePunct w:val="0"/>
              <w:bidi w:val="0"/>
              <w:snapToGrid/>
              <w:spacing w:line="240" w:lineRule="auto"/>
              <w:ind w:left="0" w:leftChars="0" w:right="0" w:rightChars="0" w:firstLine="2" w:firstLineChars="1"/>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rPr>
              <w:t>不可行，0 分。</w:t>
            </w:r>
          </w:p>
        </w:tc>
        <w:tc>
          <w:tcPr>
            <w:tcW w:w="664" w:type="dxa"/>
            <w:noWrap w:val="0"/>
            <w:vAlign w:val="center"/>
          </w:tcPr>
          <w:p>
            <w:pPr>
              <w:keepNext w:val="0"/>
              <w:keepLines w:val="0"/>
              <w:pageBreakBefore w:val="0"/>
              <w:kinsoku/>
              <w:wordWrap/>
              <w:overflowPunct/>
              <w:topLinePunct w:val="0"/>
              <w:bidi w:val="0"/>
              <w:snapToGrid/>
              <w:spacing w:line="240" w:lineRule="auto"/>
              <w:ind w:left="0" w:leftChars="0" w:right="0" w:rightChars="0" w:firstLine="2" w:firstLineChars="1"/>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noWrap w:val="0"/>
            <w:vAlign w:val="center"/>
          </w:tcPr>
          <w:p>
            <w:pPr>
              <w:keepNext w:val="0"/>
              <w:keepLines w:val="0"/>
              <w:pageBreakBefore w:val="0"/>
              <w:kinsoku/>
              <w:wordWrap/>
              <w:overflowPunct/>
              <w:topLinePunct w:val="0"/>
              <w:bidi w:val="0"/>
              <w:snapToGrid/>
              <w:spacing w:line="240" w:lineRule="auto"/>
              <w:ind w:left="0" w:leftChars="0" w:right="0" w:rightChars="0" w:firstLine="2" w:firstLineChars="1"/>
              <w:jc w:val="center"/>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z w:val="21"/>
                <w:szCs w:val="21"/>
                <w:highlight w:val="none"/>
              </w:rPr>
              <w:t>安装调试及验收</w:t>
            </w:r>
          </w:p>
        </w:tc>
        <w:tc>
          <w:tcPr>
            <w:tcW w:w="6512" w:type="dxa"/>
            <w:noWrap w:val="0"/>
            <w:vAlign w:val="center"/>
          </w:tcPr>
          <w:p>
            <w:pPr>
              <w:keepNext w:val="0"/>
              <w:keepLines w:val="0"/>
              <w:pageBreakBefore w:val="0"/>
              <w:kinsoku/>
              <w:wordWrap/>
              <w:overflowPunct/>
              <w:topLinePunct w:val="0"/>
              <w:bidi w:val="0"/>
              <w:snapToGrid/>
              <w:spacing w:line="240" w:lineRule="auto"/>
              <w:ind w:left="0" w:leftChars="0" w:right="0" w:rightChars="0" w:firstLine="2" w:firstLine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提供的安装及验收方案的合理性及完整性进行评分：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科学、合理，针对性强，</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合理，可行，</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欠合理，基本可行，1 分；</w:t>
            </w:r>
          </w:p>
          <w:p>
            <w:pPr>
              <w:keepNext w:val="0"/>
              <w:keepLines w:val="0"/>
              <w:pageBreakBefore w:val="0"/>
              <w:kinsoku/>
              <w:wordWrap/>
              <w:overflowPunct/>
              <w:topLinePunct w:val="0"/>
              <w:bidi w:val="0"/>
              <w:snapToGrid/>
              <w:spacing w:line="240" w:lineRule="auto"/>
              <w:ind w:left="0" w:leftChars="0" w:right="0" w:rightChars="0" w:firstLine="2" w:firstLineChars="1"/>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不可行，0 分。</w:t>
            </w:r>
          </w:p>
        </w:tc>
        <w:tc>
          <w:tcPr>
            <w:tcW w:w="664"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noWrap w:val="0"/>
            <w:vAlign w:val="center"/>
          </w:tcPr>
          <w:p>
            <w:pPr>
              <w:rPr>
                <w:rFonts w:hint="eastAsia" w:ascii="宋体" w:hAnsi="宋体" w:eastAsia="宋体" w:cs="宋体"/>
                <w:color w:val="auto"/>
                <w:sz w:val="21"/>
                <w:szCs w:val="21"/>
                <w:highlight w:val="none"/>
              </w:rPr>
            </w:pPr>
          </w:p>
        </w:tc>
        <w:tc>
          <w:tcPr>
            <w:tcW w:w="1376" w:type="dxa"/>
            <w:noWrap w:val="0"/>
            <w:vAlign w:val="center"/>
          </w:tcPr>
          <w:p>
            <w:pPr>
              <w:ind w:firstLine="2" w:firstLineChars="1"/>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技术培训</w:t>
            </w:r>
            <w:r>
              <w:rPr>
                <w:rFonts w:hint="eastAsia" w:ascii="宋体" w:hAnsi="宋体" w:eastAsia="宋体" w:cs="宋体"/>
                <w:color w:val="auto"/>
                <w:sz w:val="21"/>
                <w:szCs w:val="21"/>
                <w:highlight w:val="none"/>
                <w:lang w:eastAsia="zh-CN"/>
              </w:rPr>
              <w:t>和应急方案</w:t>
            </w:r>
          </w:p>
        </w:tc>
        <w:tc>
          <w:tcPr>
            <w:tcW w:w="6512" w:type="dxa"/>
            <w:noWrap w:val="0"/>
            <w:vAlign w:val="center"/>
          </w:tcPr>
          <w:p>
            <w:pPr>
              <w:ind w:firstLine="2" w:firstLine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提供的现场技术培训方案</w:t>
            </w:r>
            <w:r>
              <w:rPr>
                <w:rFonts w:hint="eastAsia" w:ascii="宋体" w:hAnsi="宋体" w:eastAsia="宋体" w:cs="宋体"/>
                <w:color w:val="auto"/>
                <w:sz w:val="21"/>
                <w:szCs w:val="21"/>
                <w:highlight w:val="none"/>
                <w:lang w:eastAsia="zh-CN"/>
              </w:rPr>
              <w:t>和</w:t>
            </w:r>
            <w:r>
              <w:rPr>
                <w:rFonts w:hint="eastAsia" w:ascii="宋体" w:hAnsi="宋体" w:eastAsia="宋体" w:cs="宋体"/>
                <w:color w:val="auto"/>
                <w:sz w:val="21"/>
                <w:szCs w:val="21"/>
                <w:highlight w:val="none"/>
              </w:rPr>
              <w:t>应急方案等进行综合评分：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科学、合理，针对性强，</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合理，可行，</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欠合理，基本可行，1 分；</w:t>
            </w:r>
          </w:p>
          <w:p>
            <w:pPr>
              <w:ind w:firstLine="2" w:firstLineChars="1"/>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不可行，0 分。</w:t>
            </w:r>
          </w:p>
        </w:tc>
        <w:tc>
          <w:tcPr>
            <w:tcW w:w="664" w:type="dxa"/>
            <w:noWrap w:val="0"/>
            <w:vAlign w:val="center"/>
          </w:tcPr>
          <w:p>
            <w:pP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总分</w:t>
            </w:r>
          </w:p>
        </w:tc>
        <w:tc>
          <w:tcPr>
            <w:tcW w:w="8552" w:type="dxa"/>
            <w:gridSpan w:val="3"/>
            <w:noWrap w:val="0"/>
            <w:vAlign w:val="center"/>
          </w:tcPr>
          <w:p>
            <w:pPr>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100</w:t>
            </w:r>
          </w:p>
        </w:tc>
      </w:tr>
    </w:tbl>
    <w:p>
      <w:pPr>
        <w:spacing w:line="360" w:lineRule="auto"/>
        <w:jc w:val="left"/>
        <w:rPr>
          <w:rFonts w:hint="eastAsia" w:ascii="宋体" w:hAnsi="宋体" w:cs="宋体"/>
          <w:color w:val="auto"/>
          <w:sz w:val="21"/>
          <w:szCs w:val="21"/>
        </w:rPr>
      </w:pPr>
      <w:r>
        <w:rPr>
          <w:rFonts w:hint="eastAsia" w:ascii="宋体" w:hAnsi="宋体" w:cs="宋体"/>
          <w:color w:val="auto"/>
          <w:sz w:val="21"/>
          <w:szCs w:val="21"/>
        </w:rPr>
        <w:br w:type="textWrapping"/>
      </w:r>
      <w:r>
        <w:rPr>
          <w:rFonts w:hint="eastAsia" w:ascii="宋体" w:hAnsi="宋体" w:cs="宋体"/>
          <w:b/>
          <w:bCs/>
          <w:color w:val="auto"/>
          <w:sz w:val="21"/>
          <w:szCs w:val="21"/>
        </w:rPr>
        <w:t>注：上述类似业绩证明材料是否具有类似性以及其符合性均由</w:t>
      </w:r>
      <w:r>
        <w:rPr>
          <w:rFonts w:hint="eastAsia" w:ascii="宋体" w:hAnsi="宋体" w:cs="宋体"/>
          <w:b/>
          <w:bCs/>
          <w:color w:val="auto"/>
          <w:sz w:val="21"/>
          <w:szCs w:val="21"/>
          <w:lang w:val="en-US" w:eastAsia="zh-CN"/>
        </w:rPr>
        <w:t>评标委员会</w:t>
      </w:r>
      <w:r>
        <w:rPr>
          <w:rFonts w:hint="eastAsia" w:ascii="宋体" w:hAnsi="宋体" w:cs="宋体"/>
          <w:b/>
          <w:bCs/>
          <w:color w:val="auto"/>
          <w:sz w:val="21"/>
          <w:szCs w:val="21"/>
        </w:rPr>
        <w:t>判定，如果资料不全或经评标委员会认定不具有类似性的，该项业绩不计分，并由</w:t>
      </w:r>
      <w:r>
        <w:rPr>
          <w:rFonts w:hint="eastAsia" w:ascii="宋体" w:hAnsi="宋体" w:cs="宋体"/>
          <w:b/>
          <w:bCs/>
          <w:color w:val="auto"/>
          <w:sz w:val="21"/>
          <w:szCs w:val="21"/>
          <w:lang w:val="en-US" w:eastAsia="zh-CN"/>
        </w:rPr>
        <w:t>评标委员会</w:t>
      </w:r>
      <w:r>
        <w:rPr>
          <w:rFonts w:hint="eastAsia" w:ascii="宋体" w:hAnsi="宋体" w:cs="宋体"/>
          <w:b/>
          <w:bCs/>
          <w:color w:val="auto"/>
          <w:sz w:val="21"/>
          <w:szCs w:val="21"/>
        </w:rPr>
        <w:t>在</w:t>
      </w:r>
      <w:r>
        <w:rPr>
          <w:rFonts w:hint="eastAsia" w:ascii="宋体" w:hAnsi="宋体" w:cs="宋体"/>
          <w:b/>
          <w:bCs/>
          <w:color w:val="auto"/>
          <w:sz w:val="21"/>
          <w:szCs w:val="21"/>
          <w:lang w:val="en-US" w:eastAsia="zh-CN"/>
        </w:rPr>
        <w:t>评标</w:t>
      </w:r>
      <w:r>
        <w:rPr>
          <w:rFonts w:hint="eastAsia" w:ascii="宋体" w:hAnsi="宋体" w:cs="宋体"/>
          <w:b/>
          <w:bCs/>
          <w:color w:val="auto"/>
          <w:sz w:val="21"/>
          <w:szCs w:val="21"/>
        </w:rPr>
        <w:t>报告中记录详细原因。</w:t>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r>
        <w:rPr>
          <w:rFonts w:hint="eastAsia" w:ascii="宋体" w:hAnsi="宋体" w:cs="宋体"/>
          <w:color w:val="auto"/>
          <w:sz w:val="21"/>
          <w:szCs w:val="21"/>
        </w:rPr>
        <w:br w:type="textWrapping"/>
      </w:r>
    </w:p>
    <w:p>
      <w:pPr>
        <w:spacing w:line="360" w:lineRule="auto"/>
        <w:jc w:val="left"/>
        <w:rPr>
          <w:rFonts w:hint="eastAsia" w:ascii="宋体" w:hAnsi="宋体" w:cs="宋体"/>
          <w:color w:val="auto"/>
          <w:sz w:val="21"/>
          <w:szCs w:val="21"/>
        </w:rPr>
      </w:pPr>
      <w:r>
        <w:rPr>
          <w:rFonts w:hint="eastAsia" w:ascii="宋体" w:hAnsi="宋体" w:cs="宋体"/>
          <w:color w:val="auto"/>
          <w:sz w:val="21"/>
          <w:szCs w:val="21"/>
        </w:rPr>
        <w:br w:type="page"/>
      </w:r>
      <w:r>
        <w:rPr>
          <w:rFonts w:hint="eastAsia" w:ascii="宋体" w:hAnsi="宋体" w:cs="宋体"/>
          <w:color w:val="auto"/>
          <w:sz w:val="21"/>
          <w:szCs w:val="21"/>
        </w:rPr>
        <w:t>1. 评标方法</w:t>
      </w:r>
      <w:bookmarkEnd w:id="118"/>
      <w:bookmarkEnd w:id="119"/>
      <w:bookmarkEnd w:id="120"/>
      <w:bookmarkEnd w:id="121"/>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本次评标采用综合评分法。评标委员会对满足</w:t>
      </w:r>
      <w:r>
        <w:rPr>
          <w:rFonts w:hint="eastAsia" w:ascii="宋体" w:hAnsi="宋体" w:cs="宋体"/>
          <w:color w:val="auto"/>
          <w:sz w:val="21"/>
          <w:szCs w:val="21"/>
          <w:lang w:eastAsia="zh-CN"/>
        </w:rPr>
        <w:t>磋商</w:t>
      </w:r>
      <w:r>
        <w:rPr>
          <w:rFonts w:hint="eastAsia" w:ascii="宋体" w:hAnsi="宋体" w:cs="宋体"/>
          <w:color w:val="auto"/>
          <w:sz w:val="21"/>
          <w:szCs w:val="21"/>
        </w:rPr>
        <w:t>文件实质性要求的投标文件，按照本章第2.2款规定的评分标准进行打分，并按得分由高到低顺序推荐中标候选人。如</w:t>
      </w:r>
      <w:r>
        <w:rPr>
          <w:rFonts w:hint="eastAsia" w:ascii="宋体" w:hAnsi="宋体" w:cs="宋体"/>
          <w:color w:val="auto"/>
          <w:sz w:val="21"/>
          <w:szCs w:val="21"/>
          <w:lang w:eastAsia="zh-CN"/>
        </w:rPr>
        <w:t>供应商</w:t>
      </w:r>
      <w:r>
        <w:rPr>
          <w:rFonts w:hint="eastAsia" w:ascii="宋体" w:hAnsi="宋体" w:cs="宋体"/>
          <w:color w:val="auto"/>
          <w:sz w:val="21"/>
          <w:szCs w:val="21"/>
        </w:rPr>
        <w:t>最后得分相同时，按照本章第3.4.1款规定的办法对</w:t>
      </w:r>
      <w:r>
        <w:rPr>
          <w:rFonts w:hint="eastAsia" w:ascii="宋体" w:hAnsi="宋体" w:cs="宋体"/>
          <w:color w:val="auto"/>
          <w:sz w:val="21"/>
          <w:szCs w:val="21"/>
          <w:lang w:eastAsia="zh-CN"/>
        </w:rPr>
        <w:t>供应商</w:t>
      </w:r>
      <w:r>
        <w:rPr>
          <w:rFonts w:hint="eastAsia" w:ascii="宋体" w:hAnsi="宋体" w:cs="宋体"/>
          <w:color w:val="auto"/>
          <w:sz w:val="21"/>
          <w:szCs w:val="21"/>
        </w:rPr>
        <w:t>进行排序推荐中标候选人。</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评标活动遵循“公平、公正、科学、择优”的原则。</w:t>
      </w:r>
      <w:r>
        <w:rPr>
          <w:rFonts w:hint="eastAsia" w:ascii="宋体" w:hAnsi="宋体" w:cs="宋体"/>
          <w:snapToGrid w:val="0"/>
          <w:color w:val="auto"/>
          <w:kern w:val="0"/>
          <w:sz w:val="21"/>
          <w:szCs w:val="21"/>
          <w:lang w:val="zh-CN"/>
        </w:rPr>
        <w:t>在评标期间，任何人不得非法干预、影响评标过程。</w:t>
      </w:r>
    </w:p>
    <w:p>
      <w:pPr>
        <w:spacing w:line="360" w:lineRule="auto"/>
        <w:jc w:val="left"/>
        <w:rPr>
          <w:rFonts w:hint="eastAsia" w:ascii="宋体" w:hAnsi="宋体" w:cs="宋体"/>
          <w:color w:val="auto"/>
          <w:sz w:val="21"/>
          <w:szCs w:val="21"/>
        </w:rPr>
      </w:pPr>
      <w:bookmarkStart w:id="122" w:name="_Toc179632619"/>
      <w:bookmarkStart w:id="123" w:name="_Toc144974568"/>
      <w:bookmarkStart w:id="124" w:name="_Toc152042378"/>
      <w:bookmarkStart w:id="125" w:name="_Toc152045601"/>
      <w:r>
        <w:rPr>
          <w:rFonts w:hint="eastAsia" w:ascii="宋体" w:hAnsi="宋体" w:cs="宋体"/>
          <w:color w:val="auto"/>
          <w:sz w:val="21"/>
          <w:szCs w:val="21"/>
        </w:rPr>
        <w:t>2. 评审标准</w:t>
      </w:r>
      <w:bookmarkEnd w:id="122"/>
      <w:bookmarkEnd w:id="123"/>
      <w:bookmarkEnd w:id="124"/>
      <w:bookmarkEnd w:id="125"/>
    </w:p>
    <w:p>
      <w:pPr>
        <w:spacing w:line="360" w:lineRule="auto"/>
        <w:jc w:val="left"/>
        <w:rPr>
          <w:rFonts w:hint="eastAsia" w:ascii="宋体" w:hAnsi="宋体" w:cs="宋体"/>
          <w:color w:val="auto"/>
          <w:sz w:val="21"/>
          <w:szCs w:val="21"/>
        </w:rPr>
      </w:pPr>
      <w:bookmarkStart w:id="126" w:name="_Toc144974569"/>
      <w:bookmarkStart w:id="127" w:name="_Toc152042379"/>
      <w:bookmarkStart w:id="128" w:name="_Toc179632620"/>
      <w:bookmarkStart w:id="129" w:name="_Toc152045602"/>
      <w:r>
        <w:rPr>
          <w:rFonts w:hint="eastAsia" w:ascii="宋体" w:hAnsi="宋体" w:cs="宋体"/>
          <w:color w:val="auto"/>
          <w:sz w:val="21"/>
          <w:szCs w:val="21"/>
        </w:rPr>
        <w:t>2.1 初步评审标准</w:t>
      </w:r>
      <w:bookmarkEnd w:id="126"/>
      <w:bookmarkEnd w:id="127"/>
      <w:bookmarkEnd w:id="128"/>
      <w:bookmarkEnd w:id="129"/>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2.1.1 资格性审查标准：见评标办法前附表。</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2.1.2 符合性审查标准：见评标办法前附表。</w:t>
      </w:r>
    </w:p>
    <w:p>
      <w:pPr>
        <w:spacing w:line="360" w:lineRule="auto"/>
        <w:jc w:val="left"/>
        <w:rPr>
          <w:rFonts w:hint="eastAsia" w:ascii="宋体" w:hAnsi="宋体" w:cs="宋体"/>
          <w:color w:val="auto"/>
          <w:sz w:val="21"/>
          <w:szCs w:val="21"/>
        </w:rPr>
      </w:pPr>
      <w:bookmarkStart w:id="130" w:name="_Toc152045603"/>
      <w:bookmarkStart w:id="131" w:name="_Toc144974570"/>
      <w:bookmarkStart w:id="132" w:name="_Toc152042380"/>
      <w:bookmarkStart w:id="133" w:name="_Toc179632621"/>
      <w:r>
        <w:rPr>
          <w:rFonts w:hint="eastAsia" w:ascii="宋体" w:hAnsi="宋体" w:cs="宋体"/>
          <w:color w:val="auto"/>
          <w:sz w:val="21"/>
          <w:szCs w:val="21"/>
        </w:rPr>
        <w:t>2.2 分值构成与评分标准</w:t>
      </w:r>
      <w:bookmarkEnd w:id="130"/>
      <w:bookmarkEnd w:id="131"/>
      <w:bookmarkEnd w:id="132"/>
      <w:bookmarkEnd w:id="133"/>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2.2.1 分值构成</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（1）技术部分：见评标办法前附表；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（2）商务部分：见评标办法前附表；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（3）投标报价：见评标办法前附表；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（4）其他评分因素：见评标办法前附表。</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2.2.2 评标基准价计算</w:t>
      </w:r>
    </w:p>
    <w:p>
      <w:pPr>
        <w:spacing w:line="360" w:lineRule="auto"/>
        <w:ind w:firstLine="840" w:firstLineChars="400"/>
        <w:jc w:val="left"/>
        <w:rPr>
          <w:rFonts w:hint="eastAsia" w:ascii="宋体" w:hAnsi="宋体" w:cs="宋体"/>
          <w:color w:val="auto"/>
          <w:sz w:val="21"/>
          <w:szCs w:val="21"/>
        </w:rPr>
      </w:pPr>
      <w:r>
        <w:rPr>
          <w:rFonts w:hint="eastAsia" w:ascii="宋体" w:hAnsi="宋体" w:cs="宋体"/>
          <w:color w:val="auto"/>
          <w:sz w:val="21"/>
          <w:szCs w:val="21"/>
        </w:rPr>
        <w:t>评标基准价计算方法：见评标办法前附表。</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2.2.3 评分标准</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（1）技术部分评分标准：见评标办法前附表；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（2）商务部分评分标准：见评标办法前附表；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（3）投标报价评分标准：见评标办法前附表；</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（4）其他因素评分标准：见评标办法前附表。</w:t>
      </w:r>
    </w:p>
    <w:p>
      <w:pPr>
        <w:spacing w:line="360" w:lineRule="auto"/>
        <w:jc w:val="left"/>
        <w:rPr>
          <w:rFonts w:hint="eastAsia" w:ascii="宋体" w:hAnsi="宋体" w:cs="宋体"/>
          <w:color w:val="auto"/>
          <w:sz w:val="21"/>
          <w:szCs w:val="21"/>
        </w:rPr>
      </w:pPr>
      <w:bookmarkStart w:id="134" w:name="_Toc144974571"/>
      <w:bookmarkStart w:id="135" w:name="_Toc179632622"/>
      <w:bookmarkStart w:id="136" w:name="_Toc152045604"/>
      <w:bookmarkStart w:id="137" w:name="_Toc152042381"/>
      <w:r>
        <w:rPr>
          <w:rFonts w:hint="eastAsia" w:ascii="宋体" w:hAnsi="宋体" w:cs="宋体"/>
          <w:color w:val="auto"/>
          <w:sz w:val="21"/>
          <w:szCs w:val="21"/>
        </w:rPr>
        <w:t>3. 评标程序</w:t>
      </w:r>
      <w:bookmarkEnd w:id="134"/>
      <w:bookmarkEnd w:id="135"/>
      <w:bookmarkEnd w:id="136"/>
      <w:bookmarkEnd w:id="137"/>
    </w:p>
    <w:p>
      <w:pPr>
        <w:spacing w:line="360" w:lineRule="auto"/>
        <w:jc w:val="left"/>
        <w:rPr>
          <w:rFonts w:hint="eastAsia" w:ascii="宋体" w:hAnsi="宋体" w:cs="宋体"/>
          <w:color w:val="auto"/>
          <w:sz w:val="21"/>
          <w:szCs w:val="21"/>
        </w:rPr>
      </w:pPr>
      <w:bookmarkStart w:id="138" w:name="_Toc179632623"/>
      <w:bookmarkStart w:id="139" w:name="_Toc152045605"/>
      <w:bookmarkStart w:id="140" w:name="_Toc152042382"/>
      <w:bookmarkStart w:id="141" w:name="_Toc144974572"/>
      <w:r>
        <w:rPr>
          <w:rFonts w:hint="eastAsia" w:ascii="宋体" w:hAnsi="宋体" w:cs="宋体"/>
          <w:color w:val="auto"/>
          <w:sz w:val="21"/>
          <w:szCs w:val="21"/>
        </w:rPr>
        <w:t>3.1 初步评审</w:t>
      </w:r>
      <w:bookmarkEnd w:id="138"/>
      <w:bookmarkEnd w:id="139"/>
      <w:bookmarkEnd w:id="140"/>
      <w:bookmarkEnd w:id="141"/>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3.1.1 评标委员会可以要求</w:t>
      </w:r>
      <w:r>
        <w:rPr>
          <w:rFonts w:hint="eastAsia" w:ascii="宋体" w:hAnsi="宋体" w:cs="宋体"/>
          <w:color w:val="auto"/>
          <w:sz w:val="21"/>
          <w:szCs w:val="21"/>
          <w:lang w:eastAsia="zh-CN"/>
        </w:rPr>
        <w:t>供应商</w:t>
      </w:r>
      <w:r>
        <w:rPr>
          <w:rFonts w:hint="eastAsia" w:ascii="宋体" w:hAnsi="宋体" w:cs="宋体"/>
          <w:color w:val="auto"/>
          <w:sz w:val="21"/>
          <w:szCs w:val="21"/>
        </w:rPr>
        <w:t>提交第二章</w:t>
      </w:r>
      <w:r>
        <w:rPr>
          <w:rFonts w:hint="eastAsia" w:ascii="宋体" w:hAnsi="宋体" w:cs="宋体"/>
          <w:color w:val="auto"/>
          <w:sz w:val="21"/>
          <w:szCs w:val="21"/>
          <w:lang w:eastAsia="zh-CN"/>
        </w:rPr>
        <w:t>供应商</w:t>
      </w:r>
      <w:r>
        <w:rPr>
          <w:rFonts w:hint="eastAsia" w:ascii="宋体" w:hAnsi="宋体" w:cs="宋体"/>
          <w:color w:val="auto"/>
          <w:sz w:val="21"/>
          <w:szCs w:val="21"/>
        </w:rPr>
        <w:t>须知第2.5条规定的有关证明和证件。评标委员会依据本章第2.1.1款规定的标准对投标文件进行初步评审。有一项不符合评审标准的，其投标按照无效投标处理。</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 xml:space="preserve">3.1.2 </w:t>
      </w:r>
      <w:r>
        <w:rPr>
          <w:rFonts w:hint="eastAsia" w:ascii="宋体" w:hAnsi="宋体" w:cs="宋体"/>
          <w:color w:val="auto"/>
          <w:sz w:val="21"/>
          <w:szCs w:val="21"/>
          <w:lang w:eastAsia="zh-CN"/>
        </w:rPr>
        <w:t>供应商</w:t>
      </w:r>
      <w:r>
        <w:rPr>
          <w:rFonts w:hint="eastAsia" w:ascii="宋体" w:hAnsi="宋体" w:cs="宋体"/>
          <w:color w:val="auto"/>
          <w:sz w:val="21"/>
          <w:szCs w:val="21"/>
        </w:rPr>
        <w:t>有以下情形之一的，其投标按照无效投标处理：</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（1）违反本章第2.1款规定的任何一种情形的；</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（2）串通投标或弄虚作假或有其他违法行为的；</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（3）不按评标委员会要求澄清、说明或补正的。</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3.1.3在</w:t>
      </w:r>
      <w:r>
        <w:rPr>
          <w:rFonts w:hint="eastAsia" w:ascii="宋体" w:hAnsi="宋体" w:cs="宋体"/>
          <w:color w:val="auto"/>
          <w:sz w:val="21"/>
          <w:szCs w:val="21"/>
          <w:lang w:eastAsia="zh-CN"/>
        </w:rPr>
        <w:t>磋商</w:t>
      </w:r>
      <w:r>
        <w:rPr>
          <w:rFonts w:hint="eastAsia" w:ascii="宋体" w:hAnsi="宋体" w:cs="宋体"/>
          <w:color w:val="auto"/>
          <w:sz w:val="21"/>
          <w:szCs w:val="21"/>
        </w:rPr>
        <w:t>采购中，出现下列情形之一的，应予废标：</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（1）符合专业条件的</w:t>
      </w:r>
      <w:r>
        <w:rPr>
          <w:rFonts w:hint="eastAsia" w:ascii="宋体" w:hAnsi="宋体" w:cs="宋体"/>
          <w:color w:val="auto"/>
          <w:sz w:val="21"/>
          <w:szCs w:val="21"/>
          <w:lang w:eastAsia="zh-CN"/>
        </w:rPr>
        <w:t>供应商</w:t>
      </w:r>
      <w:r>
        <w:rPr>
          <w:rFonts w:hint="eastAsia" w:ascii="宋体" w:hAnsi="宋体" w:cs="宋体"/>
          <w:color w:val="auto"/>
          <w:sz w:val="21"/>
          <w:szCs w:val="21"/>
        </w:rPr>
        <w:t>或者对</w:t>
      </w:r>
      <w:r>
        <w:rPr>
          <w:rFonts w:hint="eastAsia" w:ascii="宋体" w:hAnsi="宋体" w:cs="宋体"/>
          <w:color w:val="auto"/>
          <w:sz w:val="21"/>
          <w:szCs w:val="21"/>
          <w:lang w:eastAsia="zh-CN"/>
        </w:rPr>
        <w:t>磋商</w:t>
      </w:r>
      <w:r>
        <w:rPr>
          <w:rFonts w:hint="eastAsia" w:ascii="宋体" w:hAnsi="宋体" w:cs="宋体"/>
          <w:color w:val="auto"/>
          <w:sz w:val="21"/>
          <w:szCs w:val="21"/>
        </w:rPr>
        <w:t>文件作实质响应的</w:t>
      </w:r>
      <w:r>
        <w:rPr>
          <w:rFonts w:hint="eastAsia" w:ascii="宋体" w:hAnsi="宋体" w:cs="宋体"/>
          <w:color w:val="auto"/>
          <w:sz w:val="21"/>
          <w:szCs w:val="21"/>
          <w:lang w:eastAsia="zh-CN"/>
        </w:rPr>
        <w:t>供应商</w:t>
      </w:r>
      <w:r>
        <w:rPr>
          <w:rFonts w:hint="eastAsia" w:ascii="宋体" w:hAnsi="宋体" w:cs="宋体"/>
          <w:color w:val="auto"/>
          <w:sz w:val="21"/>
          <w:szCs w:val="21"/>
        </w:rPr>
        <w:t>不足三家的；</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（2）出现影响采购公正的违法、违规行为的；</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（3）</w:t>
      </w:r>
      <w:r>
        <w:rPr>
          <w:rFonts w:hint="eastAsia" w:ascii="宋体" w:hAnsi="宋体" w:cs="宋体"/>
          <w:color w:val="auto"/>
          <w:sz w:val="21"/>
          <w:szCs w:val="21"/>
          <w:lang w:eastAsia="zh-CN"/>
        </w:rPr>
        <w:t>供应商</w:t>
      </w:r>
      <w:r>
        <w:rPr>
          <w:rFonts w:hint="eastAsia" w:ascii="宋体" w:hAnsi="宋体" w:cs="宋体"/>
          <w:color w:val="auto"/>
          <w:sz w:val="21"/>
          <w:szCs w:val="21"/>
        </w:rPr>
        <w:t>的报价均超过了采购预算，</w:t>
      </w:r>
      <w:r>
        <w:rPr>
          <w:rFonts w:hint="eastAsia" w:ascii="宋体" w:hAnsi="宋体" w:cs="宋体"/>
          <w:color w:val="auto"/>
          <w:sz w:val="21"/>
          <w:szCs w:val="21"/>
          <w:lang w:eastAsia="zh-CN"/>
        </w:rPr>
        <w:t>采购人</w:t>
      </w:r>
      <w:r>
        <w:rPr>
          <w:rFonts w:hint="eastAsia" w:ascii="宋体" w:hAnsi="宋体" w:cs="宋体"/>
          <w:color w:val="auto"/>
          <w:sz w:val="21"/>
          <w:szCs w:val="21"/>
        </w:rPr>
        <w:t>不能支付的； </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（4）因重大变故，采购任务取消的。</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废标后，</w:t>
      </w:r>
      <w:r>
        <w:rPr>
          <w:rFonts w:hint="eastAsia" w:ascii="宋体" w:hAnsi="宋体" w:cs="宋体"/>
          <w:color w:val="auto"/>
          <w:sz w:val="21"/>
          <w:szCs w:val="21"/>
          <w:lang w:eastAsia="zh-CN"/>
        </w:rPr>
        <w:t>采购人</w:t>
      </w:r>
      <w:r>
        <w:rPr>
          <w:rFonts w:hint="eastAsia" w:ascii="宋体" w:hAnsi="宋体" w:cs="宋体"/>
          <w:color w:val="auto"/>
          <w:sz w:val="21"/>
          <w:szCs w:val="21"/>
        </w:rPr>
        <w:t>应当将废标理由通知所有</w:t>
      </w:r>
      <w:r>
        <w:rPr>
          <w:rFonts w:hint="eastAsia" w:ascii="宋体" w:hAnsi="宋体" w:cs="宋体"/>
          <w:color w:val="auto"/>
          <w:sz w:val="21"/>
          <w:szCs w:val="21"/>
          <w:lang w:eastAsia="zh-CN"/>
        </w:rPr>
        <w:t>供应商</w:t>
      </w:r>
      <w:r>
        <w:rPr>
          <w:rFonts w:hint="eastAsia" w:ascii="宋体" w:hAnsi="宋体" w:cs="宋体"/>
          <w:color w:val="auto"/>
          <w:sz w:val="21"/>
          <w:szCs w:val="21"/>
        </w:rPr>
        <w:t>。</w:t>
      </w:r>
    </w:p>
    <w:p>
      <w:pPr>
        <w:spacing w:line="360" w:lineRule="auto"/>
        <w:jc w:val="left"/>
        <w:rPr>
          <w:rFonts w:hint="eastAsia" w:ascii="宋体" w:hAnsi="宋体" w:cs="宋体"/>
          <w:color w:val="auto"/>
          <w:sz w:val="21"/>
          <w:szCs w:val="21"/>
        </w:rPr>
      </w:pPr>
      <w:bookmarkStart w:id="142" w:name="_Toc144974573"/>
      <w:bookmarkStart w:id="143" w:name="_Toc152045606"/>
      <w:bookmarkStart w:id="144" w:name="_Toc152042384"/>
      <w:bookmarkStart w:id="145" w:name="_Toc179632624"/>
      <w:r>
        <w:rPr>
          <w:rFonts w:hint="eastAsia" w:ascii="宋体" w:hAnsi="宋体" w:cs="宋体"/>
          <w:color w:val="auto"/>
          <w:sz w:val="21"/>
          <w:szCs w:val="21"/>
        </w:rPr>
        <w:t>3.2 详细评审</w:t>
      </w:r>
      <w:bookmarkEnd w:id="142"/>
      <w:bookmarkEnd w:id="143"/>
      <w:bookmarkEnd w:id="144"/>
      <w:bookmarkEnd w:id="145"/>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3.2.1 评标委员会按本章第2.2款规定的量化因素和分值进行打分，并计算出综合评估得分。</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（1）按本章第2.2.3（1）目规定的评审因素和分值对技术部分计算出得分A；</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（2）按本章第2.2.3（2）目规定的评审因素和分值对商务部分计算出得分B；</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（3）按本章第2.2.3（3）目规定的评审因素和分值对投标报价计算出得分C；</w:t>
      </w:r>
    </w:p>
    <w:p>
      <w:pPr>
        <w:spacing w:line="360" w:lineRule="auto"/>
        <w:ind w:firstLine="718" w:firstLineChars="342"/>
        <w:jc w:val="left"/>
        <w:rPr>
          <w:rFonts w:hint="eastAsia" w:ascii="宋体" w:hAnsi="宋体" w:cs="宋体"/>
          <w:color w:val="auto"/>
          <w:sz w:val="21"/>
          <w:szCs w:val="21"/>
        </w:rPr>
      </w:pPr>
      <w:r>
        <w:rPr>
          <w:rFonts w:hint="eastAsia" w:ascii="宋体" w:hAnsi="宋体" w:cs="宋体"/>
          <w:color w:val="auto"/>
          <w:sz w:val="21"/>
          <w:szCs w:val="21"/>
        </w:rPr>
        <w:t>（4）按本章第2.2.3（4）目规定的评审因素和分值对其他部分计算出得分D。</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3.2.2 评分分值计算保留小数点后两位，小数点后第三位“四舍五入”。</w:t>
      </w:r>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 xml:space="preserve">3.2.3 </w:t>
      </w:r>
      <w:r>
        <w:rPr>
          <w:rFonts w:hint="eastAsia" w:ascii="宋体" w:hAnsi="宋体" w:cs="宋体"/>
          <w:color w:val="auto"/>
          <w:sz w:val="21"/>
          <w:szCs w:val="21"/>
          <w:lang w:eastAsia="zh-CN"/>
        </w:rPr>
        <w:t>供应商</w:t>
      </w:r>
      <w:r>
        <w:rPr>
          <w:rFonts w:hint="eastAsia" w:ascii="宋体" w:hAnsi="宋体" w:cs="宋体"/>
          <w:color w:val="auto"/>
          <w:sz w:val="21"/>
          <w:szCs w:val="21"/>
        </w:rPr>
        <w:t>得分=A+B+C+D。</w:t>
      </w:r>
    </w:p>
    <w:p>
      <w:pPr>
        <w:spacing w:line="360" w:lineRule="auto"/>
        <w:jc w:val="left"/>
        <w:rPr>
          <w:rFonts w:hint="eastAsia" w:ascii="宋体" w:hAnsi="宋体" w:cs="宋体"/>
          <w:color w:val="auto"/>
          <w:sz w:val="21"/>
          <w:szCs w:val="21"/>
        </w:rPr>
      </w:pPr>
      <w:bookmarkStart w:id="146" w:name="_Toc144974575"/>
      <w:bookmarkStart w:id="147" w:name="_Toc179632625"/>
      <w:bookmarkStart w:id="148" w:name="_Toc152045607"/>
      <w:bookmarkStart w:id="149" w:name="_Toc152042385"/>
      <w:r>
        <w:rPr>
          <w:rFonts w:hint="eastAsia" w:ascii="宋体" w:hAnsi="宋体" w:cs="宋体"/>
          <w:color w:val="auto"/>
          <w:sz w:val="21"/>
          <w:szCs w:val="21"/>
        </w:rPr>
        <w:t>3.3 投标文件的澄清</w:t>
      </w:r>
      <w:bookmarkEnd w:id="146"/>
      <w:r>
        <w:rPr>
          <w:rFonts w:hint="eastAsia" w:ascii="宋体" w:hAnsi="宋体" w:cs="宋体"/>
          <w:color w:val="auto"/>
          <w:sz w:val="21"/>
          <w:szCs w:val="21"/>
        </w:rPr>
        <w:t>和补正</w:t>
      </w:r>
      <w:bookmarkEnd w:id="147"/>
      <w:bookmarkEnd w:id="148"/>
      <w:bookmarkEnd w:id="149"/>
    </w:p>
    <w:p>
      <w:pPr>
        <w:spacing w:line="360" w:lineRule="auto"/>
        <w:ind w:firstLine="420" w:firstLineChars="200"/>
        <w:jc w:val="left"/>
        <w:rPr>
          <w:rFonts w:hint="eastAsia" w:ascii="宋体" w:hAnsi="宋体" w:cs="宋体"/>
          <w:color w:val="auto"/>
          <w:sz w:val="21"/>
          <w:szCs w:val="21"/>
        </w:rPr>
      </w:pPr>
      <w:r>
        <w:rPr>
          <w:rFonts w:hint="eastAsia" w:ascii="宋体" w:hAnsi="宋体" w:cs="宋体"/>
          <w:snapToGrid w:val="0"/>
          <w:color w:val="auto"/>
          <w:kern w:val="0"/>
          <w:sz w:val="21"/>
          <w:szCs w:val="21"/>
          <w:lang w:val="zh-CN"/>
        </w:rPr>
        <w:t>评标期间，评标委员会有权要求供应商对其投标文件中含义不明确、同类问题表述不一致或者有明显文字和计算错误的内容等作必要的澄清、说明或者补正。供应商必须按照评标委员会要求的澄清内容和时间做出澄清。除按本章第3.1.3款规定改正算术错误外，供应商对投标文件的澄清不得超出投标文件的范围或者改变投标文件的实质性内容。在评标期间，评标委员会可要求供应商对其投标文件进行澄清，但不得寻求、提供或允许供应商对投标报价等实质性内容做任何更改。有关澄清的答复均应由供应商的法定代表人或委托代理人签字的书面形式作出。供应商的澄清文件是其投标文件的组成部分。</w:t>
      </w:r>
    </w:p>
    <w:p>
      <w:pPr>
        <w:spacing w:line="360" w:lineRule="auto"/>
        <w:jc w:val="left"/>
        <w:rPr>
          <w:rFonts w:hint="eastAsia" w:ascii="宋体" w:hAnsi="宋体" w:cs="宋体"/>
          <w:color w:val="auto"/>
          <w:sz w:val="21"/>
          <w:szCs w:val="21"/>
        </w:rPr>
      </w:pPr>
      <w:bookmarkStart w:id="150" w:name="_Toc152045608"/>
      <w:bookmarkStart w:id="151" w:name="_Toc179632626"/>
      <w:bookmarkStart w:id="152" w:name="_Toc152042386"/>
      <w:bookmarkStart w:id="153" w:name="_Toc144974576"/>
      <w:r>
        <w:rPr>
          <w:rFonts w:hint="eastAsia" w:ascii="宋体" w:hAnsi="宋体" w:cs="宋体"/>
          <w:color w:val="auto"/>
          <w:sz w:val="21"/>
          <w:szCs w:val="21"/>
        </w:rPr>
        <w:t>3.4 评标结果</w:t>
      </w:r>
      <w:bookmarkEnd w:id="150"/>
      <w:bookmarkEnd w:id="151"/>
      <w:bookmarkEnd w:id="152"/>
      <w:bookmarkEnd w:id="153"/>
    </w:p>
    <w:p>
      <w:pPr>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3.4.1</w:t>
      </w:r>
      <w:r>
        <w:rPr>
          <w:rFonts w:hint="eastAsia" w:ascii="宋体" w:hAnsi="宋体" w:cs="宋体"/>
          <w:snapToGrid w:val="0"/>
          <w:color w:val="auto"/>
          <w:kern w:val="0"/>
          <w:sz w:val="21"/>
          <w:szCs w:val="21"/>
          <w:lang w:val="zh-CN"/>
        </w:rPr>
        <w:t>各评委严格按照本章要求对实质上响应磋商文件要求的投标文件进行独立评分。全体评委评分完成后再进行汇总。由采购代理机构负责打分统计工作，评标委员会</w:t>
      </w:r>
      <w:r>
        <w:rPr>
          <w:rFonts w:hint="eastAsia" w:ascii="宋体" w:hAnsi="宋体" w:cs="宋体"/>
          <w:color w:val="auto"/>
          <w:sz w:val="21"/>
          <w:szCs w:val="21"/>
        </w:rPr>
        <w:t>组长</w:t>
      </w:r>
      <w:r>
        <w:rPr>
          <w:rFonts w:hint="eastAsia" w:ascii="宋体" w:hAnsi="宋体" w:cs="宋体"/>
          <w:snapToGrid w:val="0"/>
          <w:color w:val="auto"/>
          <w:kern w:val="0"/>
          <w:sz w:val="21"/>
          <w:szCs w:val="21"/>
          <w:lang w:val="zh-CN"/>
        </w:rPr>
        <w:t>负责审核。</w:t>
      </w:r>
      <w:r>
        <w:rPr>
          <w:rFonts w:hint="eastAsia" w:ascii="宋体" w:hAnsi="宋体" w:cs="宋体"/>
          <w:color w:val="auto"/>
          <w:sz w:val="21"/>
          <w:szCs w:val="21"/>
        </w:rPr>
        <w:t>各</w:t>
      </w:r>
      <w:r>
        <w:rPr>
          <w:rFonts w:hint="eastAsia" w:ascii="宋体" w:hAnsi="宋体" w:cs="宋体"/>
          <w:color w:val="auto"/>
          <w:sz w:val="21"/>
          <w:szCs w:val="21"/>
          <w:lang w:eastAsia="zh-CN"/>
        </w:rPr>
        <w:t>供应商</w:t>
      </w:r>
      <w:r>
        <w:rPr>
          <w:rFonts w:hint="eastAsia" w:ascii="宋体" w:hAnsi="宋体" w:cs="宋体"/>
          <w:color w:val="auto"/>
          <w:sz w:val="21"/>
          <w:szCs w:val="21"/>
        </w:rPr>
        <w:t>的最终得分计算办法见评标办法前附表。评标委员会按照得分由高到低的顺序推荐中标候选人，由</w:t>
      </w:r>
      <w:r>
        <w:rPr>
          <w:rFonts w:hint="eastAsia" w:ascii="宋体" w:hAnsi="宋体" w:cs="宋体"/>
          <w:color w:val="auto"/>
          <w:sz w:val="21"/>
          <w:szCs w:val="21"/>
          <w:lang w:eastAsia="zh-CN"/>
        </w:rPr>
        <w:t>采购人</w:t>
      </w:r>
      <w:r>
        <w:rPr>
          <w:rFonts w:hint="eastAsia" w:ascii="宋体" w:hAnsi="宋体" w:cs="宋体"/>
          <w:color w:val="auto"/>
          <w:sz w:val="21"/>
          <w:szCs w:val="21"/>
        </w:rPr>
        <w:t>按照法律法规的有关规定确定</w:t>
      </w:r>
      <w:r>
        <w:rPr>
          <w:rFonts w:hint="eastAsia" w:ascii="宋体" w:hAnsi="宋体" w:cs="宋体"/>
          <w:color w:val="auto"/>
          <w:sz w:val="21"/>
          <w:szCs w:val="21"/>
          <w:lang w:eastAsia="zh-CN"/>
        </w:rPr>
        <w:t>中标供应商</w:t>
      </w:r>
      <w:r>
        <w:rPr>
          <w:rFonts w:hint="eastAsia"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b w:val="0"/>
          <w:color w:val="auto"/>
          <w:kern w:val="0"/>
          <w:szCs w:val="21"/>
        </w:rPr>
        <w:sectPr>
          <w:pgSz w:w="11906" w:h="16838"/>
          <w:pgMar w:top="1417" w:right="1417" w:bottom="1417" w:left="1417" w:header="851" w:footer="992" w:gutter="0"/>
          <w:cols w:space="720" w:num="1"/>
          <w:docGrid w:type="lines" w:linePitch="312" w:charSpace="0"/>
        </w:sectPr>
      </w:pPr>
      <w:r>
        <w:rPr>
          <w:rFonts w:hint="eastAsia" w:ascii="宋体" w:hAnsi="宋体" w:cs="宋体"/>
          <w:color w:val="auto"/>
          <w:sz w:val="21"/>
          <w:szCs w:val="21"/>
        </w:rPr>
        <w:t>3.4.2 完成评标后，全体评委须在评标结果推荐意见上共同签字。</w:t>
      </w:r>
      <w:r>
        <w:rPr>
          <w:rFonts w:hint="eastAsia" w:ascii="宋体" w:hAnsi="宋体" w:cs="宋体"/>
          <w:color w:val="auto"/>
          <w:sz w:val="21"/>
          <w:szCs w:val="21"/>
        </w:rPr>
        <w:br w:type="textWrapping"/>
      </w:r>
      <w:bookmarkStart w:id="154" w:name="_Toc211783328"/>
      <w:bookmarkStart w:id="155" w:name="_Toc318643471"/>
    </w:p>
    <w:bookmarkEnd w:id="154"/>
    <w:bookmarkEnd w:id="155"/>
    <w:p>
      <w:pPr>
        <w:numPr>
          <w:ilvl w:val="0"/>
          <w:numId w:val="0"/>
        </w:numPr>
        <w:spacing w:line="360" w:lineRule="auto"/>
        <w:ind w:leftChars="0"/>
        <w:jc w:val="center"/>
        <w:outlineLvl w:val="0"/>
        <w:rPr>
          <w:rFonts w:hint="eastAsia" w:asciiTheme="minorEastAsia" w:hAnsiTheme="minorEastAsia" w:eastAsiaTheme="minorEastAsia" w:cstheme="minorEastAsia"/>
          <w:b/>
          <w:color w:val="auto"/>
          <w:sz w:val="36"/>
          <w:szCs w:val="36"/>
        </w:rPr>
      </w:pPr>
      <w:bookmarkStart w:id="156" w:name="_Toc21433"/>
      <w:r>
        <w:rPr>
          <w:rFonts w:hint="eastAsia" w:asciiTheme="minorEastAsia" w:hAnsiTheme="minorEastAsia" w:eastAsiaTheme="minorEastAsia" w:cstheme="minorEastAsia"/>
          <w:b/>
          <w:color w:val="auto"/>
          <w:sz w:val="36"/>
          <w:szCs w:val="36"/>
          <w:lang w:eastAsia="zh-CN"/>
        </w:rPr>
        <w:t>第五章</w:t>
      </w:r>
      <w:r>
        <w:rPr>
          <w:rFonts w:hint="eastAsia" w:asciiTheme="minorEastAsia" w:hAnsiTheme="minorEastAsia" w:eastAsiaTheme="minorEastAsia" w:cstheme="minorEastAsia"/>
          <w:b/>
          <w:color w:val="auto"/>
          <w:sz w:val="36"/>
          <w:szCs w:val="36"/>
          <w:lang w:val="en-US" w:eastAsia="zh-CN"/>
        </w:rPr>
        <w:t xml:space="preserve"> </w:t>
      </w:r>
      <w:r>
        <w:rPr>
          <w:rFonts w:hint="eastAsia" w:asciiTheme="minorEastAsia" w:hAnsiTheme="minorEastAsia" w:eastAsiaTheme="minorEastAsia" w:cstheme="minorEastAsia"/>
          <w:b/>
          <w:color w:val="auto"/>
          <w:sz w:val="36"/>
          <w:szCs w:val="36"/>
        </w:rPr>
        <w:t>合同书</w:t>
      </w:r>
      <w:bookmarkEnd w:id="156"/>
    </w:p>
    <w:p>
      <w:pPr>
        <w:spacing w:line="360" w:lineRule="auto"/>
        <w:ind w:firstLine="420"/>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bCs/>
          <w:color w:val="auto"/>
          <w:sz w:val="21"/>
          <w:szCs w:val="21"/>
        </w:rPr>
        <w:t>（此合同书仅供签订正式合同时参考用）</w:t>
      </w:r>
    </w:p>
    <w:p>
      <w:pPr>
        <w:spacing w:line="360" w:lineRule="auto"/>
        <w:ind w:firstLine="417" w:firstLineChars="198"/>
        <w:rPr>
          <w:rFonts w:hint="eastAsia" w:asciiTheme="minorEastAsia" w:hAnsiTheme="minorEastAsia" w:eastAsiaTheme="minorEastAsia" w:cstheme="minorEastAsia"/>
          <w:color w:val="000000"/>
          <w:sz w:val="21"/>
          <w:szCs w:val="21"/>
        </w:rPr>
      </w:pPr>
      <w:bookmarkStart w:id="157" w:name="_Toc17015"/>
      <w:r>
        <w:rPr>
          <w:rFonts w:hint="eastAsia" w:asciiTheme="minorEastAsia" w:hAnsiTheme="minorEastAsia" w:eastAsiaTheme="minorEastAsia" w:cstheme="minorEastAsia"/>
          <w:b/>
          <w:color w:val="000000"/>
          <w:sz w:val="21"/>
          <w:szCs w:val="21"/>
        </w:rPr>
        <w:t xml:space="preserve">     进口设备供货及技术服务协议</w:t>
      </w:r>
      <w:r>
        <w:rPr>
          <w:rFonts w:hint="eastAsia" w:asciiTheme="minorEastAsia" w:hAnsiTheme="minorEastAsia" w:eastAsiaTheme="minorEastAsia" w:cstheme="minorEastAsia"/>
          <w:b/>
          <w:color w:val="000000"/>
          <w:sz w:val="21"/>
          <w:szCs w:val="21"/>
          <w:lang w:val="en-US" w:eastAsia="zh-CN"/>
        </w:rPr>
        <w:t xml:space="preserve">         </w:t>
      </w:r>
      <w:r>
        <w:rPr>
          <w:rFonts w:hint="eastAsia" w:asciiTheme="minorEastAsia" w:hAnsiTheme="minorEastAsia" w:eastAsiaTheme="minorEastAsia" w:cstheme="minorEastAsia"/>
          <w:b/>
          <w:color w:val="000000"/>
          <w:sz w:val="21"/>
          <w:szCs w:val="21"/>
        </w:rPr>
        <w:t xml:space="preserve">    </w:t>
      </w:r>
      <w:r>
        <w:rPr>
          <w:rFonts w:hint="eastAsia" w:asciiTheme="minorEastAsia" w:hAnsiTheme="minorEastAsia" w:eastAsiaTheme="minorEastAsia" w:cstheme="minorEastAsia"/>
          <w:color w:val="000000"/>
          <w:sz w:val="21"/>
          <w:szCs w:val="21"/>
        </w:rPr>
        <w:t>招标编号：    号</w:t>
      </w:r>
      <w:r>
        <w:rPr>
          <w:rFonts w:hint="eastAsia" w:asciiTheme="minorEastAsia" w:hAnsiTheme="minorEastAsia" w:eastAsiaTheme="minorEastAsia" w:cstheme="minorEastAsia"/>
          <w:color w:val="000000"/>
          <w:sz w:val="21"/>
          <w:szCs w:val="21"/>
        </w:rPr>
        <w:br w:type="textWrapping"/>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甲方：华中师范大学                         乙方：××公司   </w:t>
      </w:r>
      <w:r>
        <w:rPr>
          <w:rFonts w:hint="eastAsia" w:asciiTheme="minorEastAsia" w:hAnsiTheme="minorEastAsia" w:eastAsiaTheme="minorEastAsia" w:cstheme="minorEastAsia"/>
          <w:color w:val="000000"/>
          <w:sz w:val="21"/>
          <w:szCs w:val="21"/>
        </w:rPr>
        <w:br w:type="textWrapping"/>
      </w:r>
    </w:p>
    <w:p>
      <w:pPr>
        <w:pStyle w:val="92"/>
        <w:spacing w:line="360" w:lineRule="auto"/>
        <w:ind w:firstLine="48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甲乙双方经友好协商，就甲方</w:t>
      </w:r>
      <w:bookmarkStart w:id="273" w:name="_GoBack"/>
      <w:bookmarkEnd w:id="273"/>
      <w:r>
        <w:rPr>
          <w:rFonts w:hint="eastAsia" w:asciiTheme="minorEastAsia" w:hAnsiTheme="minorEastAsia" w:eastAsiaTheme="minorEastAsia" w:cstheme="minorEastAsia"/>
          <w:color w:val="000000"/>
          <w:sz w:val="21"/>
          <w:szCs w:val="21"/>
        </w:rPr>
        <w:t>向乙方</w:t>
      </w:r>
      <w:r>
        <w:rPr>
          <w:rFonts w:hint="eastAsia" w:asciiTheme="minorEastAsia" w:hAnsiTheme="minorEastAsia" w:eastAsiaTheme="minorEastAsia" w:cstheme="minorEastAsia"/>
          <w:b/>
          <w:color w:val="000000"/>
          <w:sz w:val="21"/>
          <w:szCs w:val="21"/>
        </w:rPr>
        <w:t>购买进口****** 及售后服务</w:t>
      </w:r>
      <w:r>
        <w:rPr>
          <w:rFonts w:hint="eastAsia" w:asciiTheme="minorEastAsia" w:hAnsiTheme="minorEastAsia" w:eastAsiaTheme="minorEastAsia" w:cstheme="minorEastAsia"/>
          <w:color w:val="000000"/>
          <w:sz w:val="21"/>
          <w:szCs w:val="21"/>
        </w:rPr>
        <w:t>事宜达成以下协议：</w:t>
      </w:r>
    </w:p>
    <w:p>
      <w:pPr>
        <w:pStyle w:val="92"/>
        <w:spacing w:line="360" w:lineRule="auto"/>
        <w:ind w:firstLine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000000"/>
          <w:sz w:val="21"/>
          <w:szCs w:val="21"/>
        </w:rPr>
        <w:t>甲方同意购买乙方的********，设备名称、规格型号、数量及金额见下表：</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仪器设备名称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规格型号 生产厂商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配置及技术指标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数量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单价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总 价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优惠价</w:t>
      </w:r>
      <w:r>
        <w:rPr>
          <w:rFonts w:hint="eastAsia" w:asciiTheme="minorEastAsia" w:hAnsiTheme="minorEastAsia" w:eastAsiaTheme="minorEastAsia" w:cstheme="minorEastAsia"/>
          <w:color w:val="000000"/>
          <w:sz w:val="21"/>
          <w:szCs w:val="21"/>
        </w:rPr>
        <w:br w:type="textWrapping"/>
      </w:r>
    </w:p>
    <w:p>
      <w:pPr>
        <w:spacing w:line="360" w:lineRule="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mc:AlternateContent>
          <mc:Choice Requires="wps">
            <w:drawing>
              <wp:anchor distT="0" distB="0" distL="114300" distR="114300" simplePos="0" relativeHeight="251661312" behindDoc="1" locked="0" layoutInCell="1" allowOverlap="1">
                <wp:simplePos x="0" y="0"/>
                <wp:positionH relativeFrom="column">
                  <wp:posOffset>-33655</wp:posOffset>
                </wp:positionH>
                <wp:positionV relativeFrom="paragraph">
                  <wp:posOffset>238760</wp:posOffset>
                </wp:positionV>
                <wp:extent cx="6010275" cy="1276350"/>
                <wp:effectExtent l="4445" t="5080" r="5080" b="13970"/>
                <wp:wrapNone/>
                <wp:docPr id="1" name="矩形 1"/>
                <wp:cNvGraphicFramePr/>
                <a:graphic xmlns:a="http://schemas.openxmlformats.org/drawingml/2006/main">
                  <a:graphicData uri="http://schemas.microsoft.com/office/word/2010/wordprocessingShape">
                    <wps:wsp>
                      <wps:cNvSpPr/>
                      <wps:spPr>
                        <a:xfrm>
                          <a:off x="0" y="0"/>
                          <a:ext cx="6010275" cy="12763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5pt;margin-top:18.8pt;height:100.5pt;width:473.25pt;z-index:-251655168;mso-width-relative:page;mso-height-relative:page;" fillcolor="#FFFFFF" filled="t" stroked="t" coordsize="21600,21600" o:gfxdata="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uitMDYAAAACQEAAA8AAAAAAAAAAQAgAAAAIgAAAGRycy9kb3ducmV2&#10;LnhtbFBLAQIUABQAAAAIAIdO4kBNWD/Y/AEAAB8EAAAOAAAAAAAAAAEAIAAAACcBAABkcnMvZTJv&#10;RG9jLnhtbFBLBQYAAAAABgAGAFkBAACVBQAAAAA=&#10;">
                <v:fill on="t" focussize="0,0"/>
                <v:stroke color="#000000" joinstyle="miter"/>
                <v:imagedata o:title=""/>
                <o:lock v:ext="edit" aspectratio="f"/>
              </v:rect>
            </w:pict>
          </mc:Fallback>
        </mc:AlternateContent>
      </w:r>
      <w:r>
        <w:rPr>
          <w:rFonts w:hint="eastAsia" w:asciiTheme="minorEastAsia" w:hAnsiTheme="minorEastAsia" w:eastAsiaTheme="minorEastAsia" w:cstheme="minorEastAsia"/>
          <w:b/>
          <w:color w:val="auto"/>
          <w:sz w:val="21"/>
          <w:szCs w:val="21"/>
        </w:rPr>
        <w:t xml:space="preserve">  </w:t>
      </w:r>
    </w:p>
    <w:p>
      <w:pPr>
        <w:spacing w:line="360" w:lineRule="auto"/>
        <w:rPr>
          <w:rFonts w:hint="eastAsia" w:asciiTheme="minorEastAsia" w:hAnsiTheme="minorEastAsia" w:eastAsiaTheme="minorEastAsia" w:cstheme="minorEastAsia"/>
          <w:b/>
          <w:color w:val="auto"/>
          <w:sz w:val="21"/>
          <w:szCs w:val="21"/>
          <w:u w:val="single"/>
        </w:rPr>
      </w:pPr>
      <w:r>
        <w:rPr>
          <w:rFonts w:hint="eastAsia" w:asciiTheme="minorEastAsia" w:hAnsiTheme="minorEastAsia" w:eastAsiaTheme="minorEastAsia" w:cstheme="minorEastAsia"/>
          <w:b/>
          <w:color w:val="auto"/>
          <w:sz w:val="21"/>
          <w:szCs w:val="21"/>
        </w:rPr>
        <w:t xml:space="preserve">    报价方式  合计（大写）包干价 人民币</w:t>
      </w:r>
      <w:r>
        <w:rPr>
          <w:rFonts w:hint="eastAsia" w:asciiTheme="minorEastAsia" w:hAnsiTheme="minorEastAsia" w:eastAsiaTheme="minorEastAsia" w:cstheme="minorEastAsia"/>
          <w:b/>
          <w:color w:val="auto"/>
          <w:sz w:val="21"/>
          <w:szCs w:val="21"/>
          <w:u w:val="single"/>
        </w:rPr>
        <w:t xml:space="preserve">      元整 </w:t>
      </w:r>
      <w:r>
        <w:rPr>
          <w:rFonts w:hint="eastAsia" w:asciiTheme="minorEastAsia" w:hAnsiTheme="minorEastAsia" w:eastAsiaTheme="minorEastAsia" w:cstheme="minorEastAsia"/>
          <w:b/>
          <w:color w:val="auto"/>
          <w:sz w:val="21"/>
          <w:szCs w:val="21"/>
        </w:rPr>
        <w:t>该价格包含进口货物的全部相关货款、外贸代理费、检、报关清关、各类运输搬运费、装卸,包装、安装、调试技术、指导、培训、咨询、服务、检测、保险、验收合格交付使用之前以及技术和售后服务以及由任何因素导致的其他费用，例如由于中美贸易摩擦导致的惩罚性关税等。</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甲方根据本协议内容安排外贸代理公司与供货方(外商)签订外贸合同，负责办理有关免税批文等手续，并签订甲、乙、丙（指外贸代理公司）三方外贸代理协议，以利进口货物的报关通关。</w:t>
      </w:r>
    </w:p>
    <w:p>
      <w:pPr>
        <w:pStyle w:val="92"/>
        <w:spacing w:line="36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auto"/>
          <w:sz w:val="21"/>
          <w:szCs w:val="21"/>
        </w:rPr>
        <w:t xml:space="preserve">    3、 仪器交货期为收到信用</w:t>
      </w:r>
      <w:r>
        <w:rPr>
          <w:rFonts w:hint="eastAsia" w:asciiTheme="minorEastAsia" w:hAnsiTheme="minorEastAsia" w:eastAsiaTheme="minorEastAsia" w:cstheme="minorEastAsia"/>
          <w:color w:val="000000"/>
          <w:sz w:val="21"/>
          <w:szCs w:val="21"/>
        </w:rPr>
        <w:t>证后××个月。</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color w:val="000000"/>
          <w:sz w:val="21"/>
          <w:szCs w:val="21"/>
        </w:rPr>
        <w:t xml:space="preserve"> 4、该协议签订前,乙方须向甲方交纳合同价款总额的</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作为质保金。质保期自验收合格之日起计算，质保期满且无质量问题。乙方在10个工作日内向甲方提出退还申请,甲方核实无误后，质保金一次性（无息）返还.</w:t>
      </w:r>
    </w:p>
    <w:p>
      <w:pPr>
        <w:pStyle w:val="92"/>
        <w:spacing w:line="36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5、结算方式：按照甲乙双方约定，选择以下</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方式结算。</w:t>
      </w:r>
    </w:p>
    <w:p>
      <w:pPr>
        <w:pStyle w:val="92"/>
        <w:spacing w:line="360" w:lineRule="auto"/>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（1）采取信用证方式（L／C），外贸合同签订后开出100%信用证，90％见单即付，10％在验收合格后支付.甲方凭外贸代理公司提供的货物《进口委托代理协议》和信用证底单或副本向外贸代理公司支付100%货款。</w:t>
      </w:r>
    </w:p>
    <w:p>
      <w:pPr>
        <w:pStyle w:val="92"/>
        <w:spacing w:line="360" w:lineRule="auto"/>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（2）采用后T/T方式，货到验收合格后，甲方向外贸代理公司支付100%货款。</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6、 乙方保证供应的仪器设备完全符合本协议所定的原生产厂商所规定的质量、规格、性能和技术指标，并应符合甲方招标文件及乙方投标文件的内容，确保该产品为全新未使用过的仪器，否则应保证更换并向甲方支付相关损失或退货。</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7、 在货物抵达甲方最终用户所在的科室后五个工作日内，乙方对仪器进行安装调试，并负责对甲方操作人员进行培训，货物由甲方组织验收。</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8、 乙方保证在设备正确安装，使用和保养的条件下，其使用寿命达到其设计要求。</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    9、质保期为验收合格后12个月。质保期内设备质量或安装调试原因引起的全部维修费用（包括更换零配件的费用）均由乙方承担；质保期外，乙方按接到用户故障通知后24小时之内上门服务，并自行承担交通、生活、住宿费等。维修服务的联系电话是027-</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，联系人为</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10、 乙方在仪器设备抵达两周前书面通知甲方货物安装所需条件，甲方在仪器设备抵达安装地壹周前准备好安装条件，以利货物的正常安装调试。</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color w:val="000000"/>
          <w:sz w:val="21"/>
          <w:szCs w:val="21"/>
        </w:rPr>
        <w:t xml:space="preserve"> 11、违约责任: 甲、乙双方本合同相关事项按中华人民共和国民法典执行。甲、乙双方在执行本合同过程中任何一方违反本条款之约定均视为违约。违约方向守约方赔偿因其违约而造成的各项损失；如乙方延期交货每天按照合同金额的1‰支付违约金，其他违约情况每天按照合同金额的1‰支付违约金;如乙方逾期30天仍未交齐货物，甲方有权终止合同，乙方应按合同总价的5%计算向甲方支付违约金，并全额退还甲方已付给乙方的钱款及其利息。  </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12、本协议一式四份，甲方持三份；乙方持一份，并作为甲乙双方同外贸代理之间商务合同的有效依据。            </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    13、本协议技术附件及补充协议（如有的话）作为外贸合同的有效组成部分，具有同等法律效力。（技术附件应有用户代表及乙方签字、盖章）</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    14、本协议如发生纠纷，双方应友好协商解决，如协商不成，可向甲方所在地法院提起诉讼.</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 xml:space="preserve">    15、本协议未尽事宜，由甲乙双方友好协商解决。</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    16、本协议甲乙双方签字（用中文名钢笔签）盖章后生效。</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甲方：华中师范大学             乙方： </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授权代表签字：                 委托代理人：</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用户代表签字：                       联系方式：      </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联系方式：</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日期：  年  月  日            日期：   年  月  日</w:t>
      </w:r>
    </w:p>
    <w:p>
      <w:pPr>
        <w:rPr>
          <w:rFonts w:hint="eastAsia" w:asciiTheme="minorEastAsia" w:hAnsiTheme="minorEastAsia" w:eastAsiaTheme="minorEastAsia" w:cstheme="minorEastAsia"/>
          <w:color w:val="auto"/>
          <w:sz w:val="36"/>
          <w:szCs w:val="36"/>
          <w:lang w:eastAsia="zh-CN"/>
        </w:rPr>
      </w:pPr>
      <w:r>
        <w:rPr>
          <w:rFonts w:hint="eastAsia" w:asciiTheme="minorEastAsia" w:hAnsiTheme="minorEastAsia" w:eastAsiaTheme="minorEastAsia" w:cstheme="minorEastAsia"/>
          <w:color w:val="auto"/>
          <w:sz w:val="36"/>
          <w:szCs w:val="36"/>
          <w:lang w:eastAsia="zh-CN"/>
        </w:rPr>
        <w:br w:type="page"/>
      </w:r>
    </w:p>
    <w:p>
      <w:pPr>
        <w:pStyle w:val="4"/>
        <w:numPr>
          <w:ilvl w:val="0"/>
          <w:numId w:val="0"/>
        </w:numPr>
        <w:ind w:leftChars="0"/>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lang w:eastAsia="zh-CN"/>
        </w:rPr>
        <w:t>第六章</w:t>
      </w:r>
      <w:r>
        <w:rPr>
          <w:rFonts w:hint="eastAsia" w:asciiTheme="minorEastAsia" w:hAnsiTheme="minorEastAsia" w:eastAsiaTheme="minorEastAsia" w:cstheme="minorEastAsia"/>
          <w:color w:val="auto"/>
          <w:sz w:val="36"/>
          <w:szCs w:val="36"/>
          <w:lang w:val="en-US" w:eastAsia="zh-CN"/>
        </w:rPr>
        <w:t xml:space="preserve"> </w:t>
      </w:r>
      <w:r>
        <w:rPr>
          <w:rFonts w:hint="eastAsia" w:asciiTheme="minorEastAsia" w:hAnsiTheme="minorEastAsia" w:eastAsiaTheme="minorEastAsia" w:cstheme="minorEastAsia"/>
          <w:color w:val="auto"/>
          <w:sz w:val="36"/>
          <w:szCs w:val="36"/>
        </w:rPr>
        <w:t>竞争性磋商响应文件格式</w:t>
      </w:r>
      <w:bookmarkEnd w:id="157"/>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58" w:name="_Toc23858"/>
      <w:bookmarkStart w:id="159"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58"/>
    <w:bookmarkEnd w:id="159"/>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60" w:name="_Toc360174584"/>
      <w:bookmarkStart w:id="161" w:name="_Toc264644272"/>
      <w:bookmarkStart w:id="162" w:name="_Toc11320441"/>
      <w:bookmarkStart w:id="163" w:name="_Toc211783342"/>
      <w:bookmarkStart w:id="164" w:name="_Toc533330957"/>
      <w:bookmarkStart w:id="165" w:name="_Toc533331084"/>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60"/>
      <w:bookmarkEnd w:id="161"/>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cs="宋体"/>
          <w:b/>
          <w:color w:val="auto"/>
          <w:sz w:val="21"/>
          <w:szCs w:val="21"/>
          <w:lang w:val="en-US" w:eastAsia="zh-CN"/>
        </w:rPr>
        <w:t>响应文件</w:t>
      </w:r>
      <w:r>
        <w:rPr>
          <w:rFonts w:hint="eastAsia" w:ascii="宋体" w:hAnsi="宋体" w:eastAsia="宋体" w:cs="宋体"/>
          <w:b/>
          <w:color w:val="auto"/>
          <w:sz w:val="21"/>
          <w:szCs w:val="21"/>
        </w:rPr>
        <w:t>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66" w:name="_Toc14065"/>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66"/>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67" w:name="_Toc30144"/>
      <w:bookmarkStart w:id="168" w:name="_Toc15789"/>
      <w:bookmarkStart w:id="169" w:name="_Toc479184125"/>
      <w:bookmarkStart w:id="170" w:name="_Toc8850"/>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67"/>
      <w:bookmarkEnd w:id="168"/>
      <w:bookmarkEnd w:id="169"/>
      <w:bookmarkEnd w:id="170"/>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货物</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lang w:val="en-US" w:eastAsia="zh-CN"/>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71" w:name="_Toc479184126"/>
      <w:bookmarkStart w:id="172" w:name="_Toc24205"/>
      <w:bookmarkStart w:id="173" w:name="_Toc13969"/>
      <w:bookmarkStart w:id="174" w:name="_Toc24882"/>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71"/>
      <w:bookmarkEnd w:id="172"/>
      <w:bookmarkEnd w:id="173"/>
      <w:bookmarkEnd w:id="174"/>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75" w:name="_Toc432149008"/>
      <w:bookmarkStart w:id="176" w:name="_Toc29904"/>
      <w:bookmarkStart w:id="177" w:name="_Toc479184127"/>
      <w:bookmarkStart w:id="178" w:name="_Toc30245"/>
      <w:bookmarkStart w:id="179" w:name="_Toc424832832"/>
      <w:bookmarkStart w:id="180" w:name="_Toc19133"/>
      <w:bookmarkStart w:id="181" w:name="_Toc30476"/>
      <w:bookmarkStart w:id="182" w:name="_Toc360120184"/>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75"/>
      <w:bookmarkEnd w:id="176"/>
      <w:bookmarkEnd w:id="177"/>
      <w:bookmarkEnd w:id="178"/>
      <w:bookmarkEnd w:id="179"/>
      <w:bookmarkEnd w:id="180"/>
      <w:bookmarkEnd w:id="181"/>
      <w:bookmarkEnd w:id="182"/>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83" w:name="_Toc432149006"/>
      <w:bookmarkStart w:id="184" w:name="_Toc422466732"/>
      <w:r>
        <w:rPr>
          <w:rFonts w:hint="eastAsia" w:asciiTheme="minorEastAsia" w:hAnsiTheme="minorEastAsia" w:eastAsiaTheme="minorEastAsia" w:cstheme="minorEastAsia"/>
          <w:b/>
          <w:bCs/>
          <w:color w:val="auto"/>
          <w:sz w:val="24"/>
        </w:rPr>
        <w:br w:type="page"/>
      </w:r>
      <w:bookmarkStart w:id="185" w:name="_Toc4301"/>
      <w:bookmarkStart w:id="186" w:name="_Toc24587"/>
      <w:bookmarkStart w:id="187" w:name="_Toc4741"/>
      <w:bookmarkStart w:id="188" w:name="_Toc479184128"/>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83"/>
      <w:bookmarkEnd w:id="184"/>
      <w:bookmarkEnd w:id="185"/>
      <w:bookmarkEnd w:id="186"/>
      <w:bookmarkEnd w:id="187"/>
      <w:bookmarkEnd w:id="188"/>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default"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val="en-US" w:eastAsia="zh-CN"/>
              </w:rPr>
              <w:t xml:space="preserve">有；      </w:t>
            </w:r>
            <w:r>
              <w:rPr>
                <w:rFonts w:hint="default"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lang w:val="en-US" w:eastAsia="zh-CN"/>
              </w:rPr>
              <w:t>如有优惠声明，</w:t>
            </w:r>
            <w:r>
              <w:rPr>
                <w:rFonts w:hint="default" w:asciiTheme="minorEastAsia" w:hAnsiTheme="minorEastAsia" w:eastAsiaTheme="minorEastAsia" w:cstheme="minorEastAsia"/>
                <w:color w:val="auto"/>
                <w:szCs w:val="21"/>
                <w:lang w:val="en-US" w:eastAsia="zh-CN"/>
              </w:rPr>
              <w:t>优惠声明</w:t>
            </w:r>
            <w:r>
              <w:rPr>
                <w:rFonts w:hint="eastAsia" w:asciiTheme="minorEastAsia" w:hAnsiTheme="minorEastAsia" w:eastAsiaTheme="minorEastAsia" w:cstheme="minorEastAsia"/>
                <w:color w:val="auto"/>
                <w:szCs w:val="21"/>
                <w:lang w:val="en-US" w:eastAsia="zh-CN"/>
              </w:rPr>
              <w:t>后的价格必须与竞标报价一致。</w:t>
            </w: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且须精确到小数点后两位</w:t>
      </w:r>
      <w:r>
        <w:rPr>
          <w:rFonts w:hint="eastAsia" w:asciiTheme="minorEastAsia" w:hAnsiTheme="minorEastAsia" w:eastAsiaTheme="minorEastAsia" w:cstheme="minorEastAsia"/>
          <w:color w:val="auto"/>
        </w:rPr>
        <w:t>。</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89" w:name="_Toc259028723"/>
      <w:bookmarkStart w:id="190" w:name="_Toc460258117"/>
      <w:bookmarkStart w:id="191" w:name="_Toc432149007"/>
      <w:bookmarkStart w:id="192" w:name="_Toc424832831"/>
      <w:r>
        <w:rPr>
          <w:rFonts w:hint="eastAsia" w:asciiTheme="minorEastAsia" w:hAnsiTheme="minorEastAsia" w:eastAsiaTheme="minorEastAsia" w:cstheme="minorEastAsia"/>
          <w:b/>
          <w:bCs/>
          <w:color w:val="auto"/>
          <w:sz w:val="24"/>
        </w:rPr>
        <w:br w:type="page"/>
      </w:r>
      <w:bookmarkStart w:id="193" w:name="_Toc479184129"/>
      <w:bookmarkStart w:id="194" w:name="_Toc1079"/>
      <w:bookmarkStart w:id="195" w:name="_Toc18559"/>
      <w:bookmarkStart w:id="196" w:name="_Toc9154"/>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89"/>
      <w:bookmarkEnd w:id="190"/>
      <w:bookmarkEnd w:id="193"/>
      <w:bookmarkEnd w:id="194"/>
      <w:bookmarkEnd w:id="195"/>
      <w:r>
        <w:rPr>
          <w:rFonts w:hint="eastAsia" w:asciiTheme="minorEastAsia" w:hAnsiTheme="minorEastAsia" w:eastAsiaTheme="minorEastAsia" w:cstheme="minorEastAsia"/>
          <w:b/>
          <w:bCs/>
          <w:color w:val="auto"/>
          <w:szCs w:val="21"/>
          <w:lang w:eastAsia="zh-CN"/>
        </w:rPr>
        <w:t>报价费用构成表</w:t>
      </w:r>
      <w:bookmarkEnd w:id="196"/>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w:t>
      </w:r>
      <w:r>
        <w:rPr>
          <w:rFonts w:hint="eastAsia" w:asciiTheme="minorEastAsia" w:hAnsiTheme="minorEastAsia" w:eastAsiaTheme="minorEastAsia" w:cstheme="minorEastAsia"/>
          <w:color w:val="auto"/>
          <w:szCs w:val="21"/>
          <w:lang w:eastAsia="zh-CN"/>
        </w:rPr>
        <w:t>且须</w:t>
      </w:r>
      <w:r>
        <w:rPr>
          <w:rFonts w:hint="eastAsia" w:asciiTheme="minorEastAsia" w:hAnsiTheme="minorEastAsia" w:eastAsiaTheme="minorEastAsia" w:cstheme="minorEastAsia"/>
          <w:color w:val="auto"/>
          <w:szCs w:val="21"/>
        </w:rPr>
        <w:t>精确到</w:t>
      </w:r>
      <w:r>
        <w:rPr>
          <w:rFonts w:hint="eastAsia" w:asciiTheme="minorEastAsia" w:hAnsiTheme="minorEastAsia" w:eastAsiaTheme="minorEastAsia" w:cstheme="minorEastAsia"/>
          <w:color w:val="auto"/>
          <w:szCs w:val="21"/>
          <w:lang w:eastAsia="zh-CN"/>
        </w:rPr>
        <w:t>小数点后两位</w:t>
      </w:r>
      <w:r>
        <w:rPr>
          <w:rFonts w:hint="eastAsia" w:asciiTheme="minorEastAsia" w:hAnsiTheme="minorEastAsia" w:eastAsiaTheme="minorEastAsia" w:cstheme="minorEastAsia"/>
          <w:color w:val="auto"/>
          <w:szCs w:val="21"/>
        </w:rPr>
        <w:t>。</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97" w:name="_Toc479184130"/>
      <w:bookmarkStart w:id="198" w:name="_Toc26825"/>
      <w:bookmarkStart w:id="199" w:name="_Toc28656"/>
      <w:bookmarkStart w:id="200" w:name="_Toc8555"/>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97"/>
      <w:bookmarkEnd w:id="198"/>
      <w:bookmarkEnd w:id="199"/>
      <w:bookmarkEnd w:id="200"/>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201" w:name="_Toc7535"/>
      <w:bookmarkStart w:id="202" w:name="_Toc32726"/>
      <w:bookmarkStart w:id="203" w:name="_Toc4858"/>
      <w:bookmarkStart w:id="204" w:name="_Toc479184131"/>
      <w:r>
        <w:rPr>
          <w:rFonts w:hint="eastAsia" w:asciiTheme="minorEastAsia" w:hAnsiTheme="minorEastAsia" w:eastAsiaTheme="minorEastAsia" w:cstheme="minorEastAsia"/>
          <w:b/>
          <w:bCs/>
          <w:color w:val="auto"/>
          <w:szCs w:val="21"/>
          <w:lang w:val="en-US" w:eastAsia="zh-CN"/>
        </w:rPr>
        <w:t>八、拟投入设备/备件、工具情况</w:t>
      </w:r>
      <w:bookmarkEnd w:id="201"/>
      <w:bookmarkEnd w:id="202"/>
      <w:bookmarkEnd w:id="203"/>
      <w:bookmarkEnd w:id="204"/>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205" w:name="_Toc450827818"/>
      <w:bookmarkStart w:id="206" w:name="_Toc27053"/>
      <w:bookmarkStart w:id="207" w:name="_Toc479184132"/>
      <w:bookmarkStart w:id="208" w:name="_Toc10449"/>
      <w:bookmarkStart w:id="209" w:name="_Toc28637"/>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205"/>
      <w:bookmarkEnd w:id="206"/>
      <w:bookmarkEnd w:id="207"/>
      <w:bookmarkEnd w:id="208"/>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209"/>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eastAsia="zh-CN"/>
        </w:rPr>
        <w:t>中经国际招标集团有限公司</w:t>
      </w:r>
      <w:r>
        <w:rPr>
          <w:rFonts w:hint="eastAsia" w:asciiTheme="minorEastAsia" w:hAnsiTheme="minorEastAsia" w:eastAsiaTheme="minorEastAsia" w:cstheme="minorEastAsia"/>
          <w:bCs/>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91"/>
    <w:bookmarkEnd w:id="19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210" w:name="_Toc432149012"/>
      <w:bookmarkStart w:id="211" w:name="_Toc422466736"/>
      <w:bookmarkStart w:id="212" w:name="_Toc479184133"/>
      <w:bookmarkStart w:id="213" w:name="_Toc1591"/>
      <w:bookmarkStart w:id="214" w:name="_Toc12530"/>
      <w:bookmarkStart w:id="215" w:name="_Toc28200"/>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210"/>
      <w:bookmarkEnd w:id="211"/>
      <w:bookmarkEnd w:id="212"/>
      <w:bookmarkEnd w:id="213"/>
      <w:bookmarkEnd w:id="214"/>
      <w:bookmarkEnd w:id="215"/>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216" w:name="_Toc28283"/>
      <w:bookmarkStart w:id="217" w:name="_Toc432149013"/>
      <w:bookmarkStart w:id="218" w:name="_Toc362935521"/>
      <w:bookmarkStart w:id="219" w:name="_Toc32060"/>
      <w:bookmarkStart w:id="220" w:name="_Toc479184134"/>
      <w:bookmarkStart w:id="221" w:name="_Toc24869"/>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216"/>
      <w:bookmarkEnd w:id="217"/>
      <w:bookmarkEnd w:id="218"/>
      <w:bookmarkEnd w:id="219"/>
      <w:bookmarkEnd w:id="220"/>
      <w:r>
        <w:rPr>
          <w:rFonts w:hint="eastAsia" w:asciiTheme="minorEastAsia" w:hAnsiTheme="minorEastAsia" w:eastAsiaTheme="minorEastAsia" w:cstheme="minorEastAsia"/>
          <w:b/>
          <w:bCs/>
          <w:color w:val="auto"/>
          <w:szCs w:val="21"/>
        </w:rPr>
        <w:br w:type="textWrapping"/>
      </w:r>
      <w:bookmarkEnd w:id="221"/>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222" w:name="_Toc460258118"/>
      <w:bookmarkStart w:id="223" w:name="_Toc454806053"/>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224" w:name="_Toc479184135"/>
      <w:bookmarkStart w:id="225" w:name="_Toc4834"/>
      <w:bookmarkStart w:id="226" w:name="_Toc17955"/>
      <w:bookmarkStart w:id="227" w:name="_Toc3045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222"/>
      <w:bookmarkEnd w:id="223"/>
      <w:bookmarkEnd w:id="224"/>
      <w:bookmarkEnd w:id="225"/>
      <w:bookmarkEnd w:id="226"/>
      <w:bookmarkEnd w:id="227"/>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228" w:name="_Toc479184136"/>
      <w:bookmarkStart w:id="229" w:name="_Toc1688"/>
      <w:bookmarkStart w:id="230" w:name="_Toc10429"/>
      <w:bookmarkStart w:id="231" w:name="_Toc26838"/>
      <w:bookmarkStart w:id="232" w:name="_Toc422466737"/>
      <w:bookmarkStart w:id="233" w:name="_Toc432149014"/>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228"/>
      <w:bookmarkEnd w:id="229"/>
      <w:bookmarkEnd w:id="230"/>
      <w:bookmarkEnd w:id="231"/>
      <w:bookmarkEnd w:id="232"/>
      <w:bookmarkEnd w:id="233"/>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234" w:name="_Toc18017"/>
      <w:bookmarkStart w:id="235" w:name="_Toc450827823"/>
      <w:bookmarkStart w:id="236" w:name="_Toc17331"/>
      <w:bookmarkStart w:id="237" w:name="_Toc259028731"/>
      <w:bookmarkStart w:id="238" w:name="_Toc479184137"/>
      <w:bookmarkStart w:id="239" w:name="_Toc17527"/>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234"/>
      <w:bookmarkEnd w:id="235"/>
      <w:bookmarkEnd w:id="236"/>
      <w:bookmarkEnd w:id="237"/>
      <w:bookmarkEnd w:id="238"/>
      <w:bookmarkEnd w:id="239"/>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240" w:name="_Toc5793"/>
      <w:bookmarkStart w:id="241" w:name="_Toc290207179"/>
      <w:bookmarkStart w:id="242" w:name="_Toc18555"/>
      <w:bookmarkStart w:id="243" w:name="_Toc358447587"/>
      <w:bookmarkStart w:id="244" w:name="_Toc32187"/>
      <w:bookmarkStart w:id="245" w:name="_Toc364868916"/>
      <w:bookmarkStart w:id="246" w:name="_Toc427239751"/>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kern w:val="0"/>
          <w:szCs w:val="21"/>
        </w:rPr>
      </w:pPr>
      <w:bookmarkStart w:id="247" w:name="_Toc21818"/>
      <w:r>
        <w:rPr>
          <w:rFonts w:hint="eastAsia" w:asciiTheme="minorEastAsia" w:hAnsiTheme="minorEastAsia" w:eastAsiaTheme="minorEastAsia" w:cstheme="minorEastAsia"/>
          <w:b/>
          <w:bCs/>
          <w:color w:val="auto"/>
          <w:kern w:val="0"/>
          <w:szCs w:val="21"/>
          <w:lang w:val="en-US" w:eastAsia="zh-CN"/>
        </w:rPr>
        <w:t>十五、</w:t>
      </w:r>
      <w:bookmarkEnd w:id="240"/>
      <w:bookmarkEnd w:id="241"/>
      <w:bookmarkEnd w:id="242"/>
      <w:bookmarkEnd w:id="243"/>
      <w:bookmarkEnd w:id="244"/>
      <w:bookmarkEnd w:id="245"/>
      <w:bookmarkEnd w:id="246"/>
      <w:bookmarkStart w:id="248" w:name="_Toc460258123"/>
      <w:bookmarkStart w:id="249" w:name="_Toc479184138"/>
      <w:bookmarkStart w:id="250" w:name="_Toc29785"/>
      <w:bookmarkStart w:id="251" w:name="_Toc27229"/>
      <w:r>
        <w:rPr>
          <w:rFonts w:hint="eastAsia" w:asciiTheme="minorEastAsia" w:hAnsiTheme="minorEastAsia" w:eastAsiaTheme="minorEastAsia" w:cstheme="minorEastAsia"/>
          <w:b/>
          <w:bCs/>
          <w:color w:val="auto"/>
          <w:kern w:val="0"/>
          <w:szCs w:val="21"/>
        </w:rPr>
        <w:t>报价技术文件</w:t>
      </w:r>
      <w:bookmarkEnd w:id="247"/>
      <w:bookmarkEnd w:id="248"/>
      <w:bookmarkEnd w:id="249"/>
      <w:bookmarkEnd w:id="250"/>
      <w:bookmarkEnd w:id="251"/>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52" w:name="_Toc22465"/>
      <w:bookmarkStart w:id="253" w:name="_Toc356836516"/>
      <w:bookmarkStart w:id="254" w:name="_Toc8098"/>
      <w:bookmarkStart w:id="255" w:name="_Toc12119"/>
      <w:bookmarkStart w:id="256" w:name="_Toc479184140"/>
      <w:bookmarkStart w:id="257" w:name="_Toc422466739"/>
      <w:bookmarkStart w:id="258" w:name="_Toc432149016"/>
      <w:bookmarkStart w:id="259" w:name="_Toc2101"/>
      <w:bookmarkStart w:id="260" w:name="_Toc355802499"/>
      <w:bookmarkStart w:id="261" w:name="_Toc2302"/>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六</w:t>
      </w:r>
      <w:r>
        <w:rPr>
          <w:rFonts w:hint="eastAsia" w:asciiTheme="minorEastAsia" w:hAnsiTheme="minorEastAsia" w:eastAsiaTheme="minorEastAsia" w:cstheme="minorEastAsia"/>
          <w:b/>
          <w:color w:val="auto"/>
        </w:rPr>
        <w:t>、</w:t>
      </w:r>
      <w:bookmarkEnd w:id="252"/>
      <w:bookmarkEnd w:id="253"/>
      <w:bookmarkEnd w:id="254"/>
      <w:bookmarkEnd w:id="255"/>
      <w:bookmarkEnd w:id="256"/>
      <w:bookmarkEnd w:id="257"/>
      <w:bookmarkEnd w:id="258"/>
      <w:bookmarkEnd w:id="259"/>
      <w:bookmarkEnd w:id="260"/>
      <w:r>
        <w:rPr>
          <w:rFonts w:hint="eastAsia" w:asciiTheme="minorEastAsia" w:hAnsiTheme="minorEastAsia" w:eastAsiaTheme="minorEastAsia" w:cstheme="minorEastAsia"/>
          <w:b/>
          <w:color w:val="auto"/>
          <w:lang w:val="zh-CN"/>
        </w:rPr>
        <w:t>中小企业声明函（</w:t>
      </w:r>
      <w:r>
        <w:rPr>
          <w:rFonts w:hint="eastAsia" w:asciiTheme="minorEastAsia" w:hAnsiTheme="minorEastAsia" w:eastAsiaTheme="minorEastAsia" w:cstheme="minorEastAsia"/>
          <w:b/>
          <w:color w:val="auto"/>
          <w:lang w:val="en-US" w:eastAsia="zh-CN"/>
        </w:rPr>
        <w:t>货物</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61"/>
    </w:p>
    <w:p>
      <w:pPr>
        <w:spacing w:line="360" w:lineRule="auto"/>
        <w:ind w:firstLine="420" w:firstLineChars="200"/>
        <w:jc w:val="center"/>
        <w:rPr>
          <w:rFonts w:ascii="宋体" w:hAnsi="宋体" w:eastAsia="宋体" w:cs="宋体"/>
          <w:color w:val="auto"/>
          <w:sz w:val="21"/>
          <w:szCs w:val="21"/>
        </w:rPr>
      </w:pPr>
      <w:r>
        <w:rPr>
          <w:rFonts w:ascii="宋体" w:hAnsi="宋体" w:eastAsia="宋体" w:cs="宋体"/>
          <w:color w:val="auto"/>
          <w:sz w:val="21"/>
          <w:szCs w:val="21"/>
        </w:rPr>
        <w:t>中小企业声明函（</w:t>
      </w:r>
      <w:r>
        <w:rPr>
          <w:rFonts w:hint="eastAsia" w:ascii="宋体" w:hAnsi="宋体" w:cs="宋体"/>
          <w:color w:val="auto"/>
          <w:sz w:val="21"/>
          <w:szCs w:val="21"/>
          <w:lang w:val="en-US" w:eastAsia="zh-CN"/>
        </w:rPr>
        <w:t>货物</w:t>
      </w:r>
      <w:r>
        <w:rPr>
          <w:rFonts w:ascii="宋体" w:hAnsi="宋体" w:eastAsia="宋体" w:cs="宋体"/>
          <w:color w:val="auto"/>
          <w:sz w:val="21"/>
          <w:szCs w:val="21"/>
        </w:rPr>
        <w:t>）</w:t>
      </w:r>
    </w:p>
    <w:p>
      <w:pPr>
        <w:spacing w:line="36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本公司（联合体）郑重声明，根据《政府采购促进中小企业发展管理办法》（财库﹝2020﹞</w:t>
      </w:r>
      <w:r>
        <w:rPr>
          <w:rFonts w:hint="eastAsia" w:ascii="宋体" w:hAnsi="宋体" w:eastAsia="宋体" w:cs="宋体"/>
          <w:color w:val="auto"/>
          <w:sz w:val="21"/>
          <w:szCs w:val="21"/>
          <w:lang w:val="en-US" w:eastAsia="zh-CN"/>
        </w:rPr>
        <w:t>46</w:t>
      </w:r>
      <w:r>
        <w:rPr>
          <w:rFonts w:ascii="宋体" w:hAnsi="宋体" w:eastAsia="宋体" w:cs="宋体"/>
          <w:color w:val="auto"/>
          <w:sz w:val="21"/>
          <w:szCs w:val="21"/>
        </w:rPr>
        <w:t>号）的规定，本公司 （联合体）参加</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（单位名称）</w:t>
      </w:r>
      <w:r>
        <w:rPr>
          <w:rFonts w:ascii="宋体" w:hAnsi="宋体" w:eastAsia="宋体" w:cs="宋体"/>
          <w:color w:val="auto"/>
          <w:sz w:val="21"/>
          <w:szCs w:val="21"/>
        </w:rPr>
        <w:t>的</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（项目名称）</w:t>
      </w:r>
      <w:r>
        <w:rPr>
          <w:rFonts w:ascii="宋体" w:hAnsi="宋体" w:eastAsia="宋体" w:cs="宋体"/>
          <w:color w:val="auto"/>
          <w:sz w:val="21"/>
          <w:szCs w:val="21"/>
        </w:rPr>
        <w:t xml:space="preserve">采购活动，提供的货物全部由符合政策要求的中小企业制造。相关企业（含联合体中的中小企业、签订分包意向协议的中小企业） 的具体情况如下：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1.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（标的名称）</w:t>
      </w:r>
      <w:r>
        <w:rPr>
          <w:rFonts w:ascii="宋体" w:hAnsi="宋体" w:eastAsia="宋体" w:cs="宋体"/>
          <w:color w:val="auto"/>
          <w:sz w:val="21"/>
          <w:szCs w:val="21"/>
        </w:rPr>
        <w:t xml:space="preserve"> ，属于</w:t>
      </w:r>
      <w:r>
        <w:rPr>
          <w:rFonts w:hint="eastAsia" w:ascii="宋体" w:hAnsi="宋体" w:cs="宋体"/>
          <w:color w:val="auto"/>
          <w:sz w:val="21"/>
          <w:szCs w:val="21"/>
          <w:u w:val="single"/>
          <w:lang w:val="en-US" w:eastAsia="zh-CN"/>
        </w:rPr>
        <w:t xml:space="preserve">               </w:t>
      </w:r>
      <w:r>
        <w:rPr>
          <w:rFonts w:ascii="宋体" w:hAnsi="宋体" w:eastAsia="宋体" w:cs="宋体"/>
          <w:color w:val="auto"/>
          <w:sz w:val="21"/>
          <w:szCs w:val="21"/>
          <w:highlight w:val="yellow"/>
          <w:u w:val="single"/>
        </w:rPr>
        <w:t>（采购文件中明确的所属行业）</w:t>
      </w:r>
      <w:r>
        <w:rPr>
          <w:rFonts w:ascii="宋体" w:hAnsi="宋体" w:eastAsia="宋体" w:cs="宋体"/>
          <w:color w:val="auto"/>
          <w:sz w:val="21"/>
          <w:szCs w:val="21"/>
          <w:highlight w:val="yellow"/>
        </w:rPr>
        <w:t xml:space="preserve"> </w:t>
      </w:r>
      <w:r>
        <w:rPr>
          <w:rFonts w:ascii="宋体" w:hAnsi="宋体" w:eastAsia="宋体" w:cs="宋体"/>
          <w:color w:val="auto"/>
          <w:sz w:val="21"/>
          <w:szCs w:val="21"/>
        </w:rPr>
        <w:t>行业；制造商为</w:t>
      </w:r>
      <w:r>
        <w:rPr>
          <w:rFonts w:hint="eastAsia" w:ascii="宋体" w:hAnsi="宋体" w:cs="宋体"/>
          <w:color w:val="auto"/>
          <w:sz w:val="21"/>
          <w:szCs w:val="21"/>
          <w:u w:val="single"/>
          <w:lang w:val="en-US" w:eastAsia="zh-CN"/>
        </w:rPr>
        <w:t xml:space="preserve">     </w:t>
      </w:r>
      <w:r>
        <w:rPr>
          <w:rFonts w:ascii="宋体" w:hAnsi="宋体" w:eastAsia="宋体" w:cs="宋体"/>
          <w:color w:val="auto"/>
          <w:sz w:val="21"/>
          <w:szCs w:val="21"/>
          <w:u w:val="single"/>
        </w:rPr>
        <w:t>（企业名称）</w:t>
      </w:r>
      <w:r>
        <w:rPr>
          <w:rFonts w:ascii="宋体" w:hAnsi="宋体" w:eastAsia="宋体" w:cs="宋体"/>
          <w:color w:val="auto"/>
          <w:sz w:val="21"/>
          <w:szCs w:val="21"/>
        </w:rPr>
        <w:t>，从业人员</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人，营业收入为</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万元，资产总额为</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万元，属于</w:t>
      </w:r>
      <w:r>
        <w:rPr>
          <w:rFonts w:ascii="宋体" w:hAnsi="宋体" w:eastAsia="宋体" w:cs="宋体"/>
          <w:color w:val="auto"/>
          <w:sz w:val="21"/>
          <w:szCs w:val="21"/>
          <w:u w:val="single"/>
        </w:rPr>
        <w:t>（中型企业、小型企业、微型企业）；</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2.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（标的名称）</w:t>
      </w:r>
      <w:r>
        <w:rPr>
          <w:rFonts w:ascii="宋体" w:hAnsi="宋体" w:eastAsia="宋体" w:cs="宋体"/>
          <w:color w:val="auto"/>
          <w:sz w:val="21"/>
          <w:szCs w:val="21"/>
        </w:rPr>
        <w:t xml:space="preserve"> ，属于</w:t>
      </w:r>
      <w:r>
        <w:rPr>
          <w:rFonts w:hint="eastAsia" w:ascii="宋体" w:hAnsi="宋体" w:cs="宋体"/>
          <w:color w:val="auto"/>
          <w:sz w:val="21"/>
          <w:szCs w:val="21"/>
          <w:u w:val="single"/>
          <w:lang w:val="en-US" w:eastAsia="zh-CN"/>
        </w:rPr>
        <w:t xml:space="preserve">               </w:t>
      </w:r>
      <w:r>
        <w:rPr>
          <w:rFonts w:ascii="宋体" w:hAnsi="宋体" w:eastAsia="宋体" w:cs="宋体"/>
          <w:color w:val="auto"/>
          <w:sz w:val="21"/>
          <w:szCs w:val="21"/>
          <w:highlight w:val="yellow"/>
          <w:u w:val="single"/>
        </w:rPr>
        <w:t>（采购文件中明确的所属行业）</w:t>
      </w:r>
      <w:r>
        <w:rPr>
          <w:rFonts w:ascii="宋体" w:hAnsi="宋体" w:eastAsia="宋体" w:cs="宋体"/>
          <w:color w:val="auto"/>
          <w:sz w:val="21"/>
          <w:szCs w:val="21"/>
        </w:rPr>
        <w:t>行业；制造商为</w:t>
      </w:r>
      <w:r>
        <w:rPr>
          <w:rFonts w:hint="eastAsia" w:ascii="宋体" w:hAnsi="宋体" w:cs="宋体"/>
          <w:color w:val="auto"/>
          <w:sz w:val="21"/>
          <w:szCs w:val="21"/>
          <w:u w:val="single"/>
          <w:lang w:val="en-US" w:eastAsia="zh-CN"/>
        </w:rPr>
        <w:t xml:space="preserve">     </w:t>
      </w:r>
      <w:r>
        <w:rPr>
          <w:rFonts w:ascii="宋体" w:hAnsi="宋体" w:eastAsia="宋体" w:cs="宋体"/>
          <w:color w:val="auto"/>
          <w:sz w:val="21"/>
          <w:szCs w:val="21"/>
          <w:u w:val="single"/>
        </w:rPr>
        <w:t>（企业名称）</w:t>
      </w:r>
      <w:r>
        <w:rPr>
          <w:rFonts w:ascii="宋体" w:hAnsi="宋体" w:eastAsia="宋体" w:cs="宋体"/>
          <w:color w:val="auto"/>
          <w:sz w:val="21"/>
          <w:szCs w:val="21"/>
        </w:rPr>
        <w:t>，从业人员</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人，营业收入为</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万元，资产总额为</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万元，属于</w:t>
      </w:r>
      <w:r>
        <w:rPr>
          <w:rFonts w:ascii="宋体" w:hAnsi="宋体" w:eastAsia="宋体" w:cs="宋体"/>
          <w:color w:val="auto"/>
          <w:sz w:val="21"/>
          <w:szCs w:val="21"/>
          <w:u w:val="single"/>
        </w:rPr>
        <w:t>（中型企业、小型企业、微型企业）</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以上企业，不属于大企业的分支机构，不存在控股股东为大企业的情形，也不存在与大企业的负责人为同一人的情形。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本企业对上述声明内容的真实性负责。如有虚假，将依法承担相应责任。 </w:t>
      </w:r>
    </w:p>
    <w:p>
      <w:pPr>
        <w:spacing w:line="360" w:lineRule="auto"/>
        <w:ind w:firstLine="6930" w:firstLineChars="3300"/>
        <w:jc w:val="both"/>
        <w:rPr>
          <w:rFonts w:ascii="宋体" w:hAnsi="宋体" w:eastAsia="宋体" w:cs="宋体"/>
          <w:color w:val="auto"/>
          <w:sz w:val="21"/>
          <w:szCs w:val="21"/>
        </w:rPr>
      </w:pPr>
      <w:r>
        <w:rPr>
          <w:rFonts w:ascii="宋体" w:hAnsi="宋体" w:eastAsia="宋体" w:cs="宋体"/>
          <w:color w:val="auto"/>
          <w:sz w:val="21"/>
          <w:szCs w:val="21"/>
        </w:rPr>
        <w:t xml:space="preserve">企业名称（盖章）： </w:t>
      </w:r>
    </w:p>
    <w:p>
      <w:pPr>
        <w:spacing w:line="360" w:lineRule="auto"/>
        <w:ind w:firstLine="420" w:firstLineChars="200"/>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日 期：</w:t>
      </w: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ind w:firstLine="420" w:firstLineChars="200"/>
        <w:rPr>
          <w:rFonts w:hint="eastAsia"/>
          <w:color w:val="auto"/>
          <w:lang w:val="en-US" w:eastAsia="zh-CN"/>
        </w:rPr>
      </w:pPr>
      <w:r>
        <w:rPr>
          <w:rFonts w:ascii="宋体" w:hAnsi="宋体" w:eastAsia="宋体" w:cs="宋体"/>
          <w:color w:val="auto"/>
          <w:sz w:val="21"/>
          <w:szCs w:val="21"/>
        </w:rPr>
        <w:t>从业人员、营业收入、资产总额填报上一年度数据，无上一年度数据的新成立企业可不填报。</w:t>
      </w:r>
    </w:p>
    <w:p>
      <w:pPr>
        <w:numPr>
          <w:ilvl w:val="0"/>
          <w:numId w:val="0"/>
        </w:numPr>
        <w:spacing w:line="360" w:lineRule="auto"/>
        <w:ind w:firstLine="444" w:firstLineChars="200"/>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 xml:space="preserve"> </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rPr>
        <w:br w:type="textWrapping"/>
      </w:r>
    </w:p>
    <w:bookmarkEnd w:id="162"/>
    <w:bookmarkEnd w:id="163"/>
    <w:bookmarkEnd w:id="164"/>
    <w:bookmarkEnd w:id="165"/>
    <w:p>
      <w:pPr>
        <w:numPr>
          <w:ilvl w:val="0"/>
          <w:numId w:val="0"/>
        </w:numPr>
        <w:adjustRightInd w:val="0"/>
        <w:snapToGrid w:val="0"/>
        <w:jc w:val="center"/>
        <w:outlineLvl w:val="1"/>
        <w:rPr>
          <w:rFonts w:hint="eastAsia" w:asciiTheme="minorEastAsia" w:hAnsiTheme="minorEastAsia" w:eastAsiaTheme="minorEastAsia" w:cstheme="minorEastAsia"/>
          <w:b/>
          <w:color w:val="auto"/>
        </w:rPr>
      </w:pPr>
      <w:bookmarkStart w:id="262" w:name="_Toc11257"/>
      <w:bookmarkStart w:id="263" w:name="_Toc4320"/>
      <w:bookmarkStart w:id="264" w:name="_Toc7229"/>
      <w:bookmarkStart w:id="265" w:name="_Toc476839034"/>
      <w:bookmarkStart w:id="266" w:name="_Toc30406"/>
      <w:bookmarkStart w:id="267" w:name="_Toc479184141"/>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62"/>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68" w:name="_Toc10919"/>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68"/>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69" w:name="_Toc20592"/>
      <w:r>
        <w:rPr>
          <w:rFonts w:hint="eastAsia" w:asciiTheme="minorEastAsia" w:hAnsiTheme="minorEastAsia" w:eastAsiaTheme="minorEastAsia" w:cstheme="minorEastAsia"/>
          <w:b/>
          <w:color w:val="auto"/>
          <w:lang w:val="en-US" w:eastAsia="zh-CN"/>
        </w:rPr>
        <w:t>十九、节能环保产品证明材料（若符合）</w:t>
      </w:r>
      <w:bookmarkEnd w:id="269"/>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70" w:name="_Toc12167"/>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63"/>
      <w:bookmarkEnd w:id="264"/>
      <w:bookmarkEnd w:id="265"/>
      <w:bookmarkEnd w:id="266"/>
      <w:bookmarkEnd w:id="267"/>
      <w:bookmarkEnd w:id="270"/>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kern w:val="0"/>
          <w:szCs w:val="21"/>
          <w:shd w:val="clear" w:color="auto" w:fill="FFFFFF"/>
          <w:lang w:eastAsia="zh-CN"/>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r>
        <w:rPr>
          <w:rFonts w:hint="eastAsia" w:asciiTheme="minorEastAsia" w:hAnsiTheme="minorEastAsia" w:eastAsiaTheme="minorEastAsia" w:cstheme="minorEastAsia"/>
          <w:color w:val="auto"/>
          <w:kern w:val="0"/>
          <w:szCs w:val="21"/>
          <w:shd w:val="clear" w:color="auto" w:fill="FFFFFF"/>
          <w:lang w:eastAsia="zh-CN"/>
        </w:rPr>
        <w:t>；</w:t>
      </w:r>
    </w:p>
    <w:p>
      <w:pPr>
        <w:spacing w:line="48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kern w:val="0"/>
          <w:szCs w:val="21"/>
          <w:shd w:val="clear" w:color="auto" w:fill="FFFFFF"/>
          <w:lang w:eastAsia="zh-CN"/>
        </w:rPr>
        <w:t>4.不良经济纠纷记录和违法行为。</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71" w:name="_Toc10829"/>
      <w:bookmarkStart w:id="272" w:name="_Toc16157"/>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71"/>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bookmarkEnd w:id="272"/>
    </w:p>
    <w:tbl>
      <w:tblPr>
        <w:tblStyle w:val="26"/>
        <w:tblW w:w="5484" w:type="pct"/>
        <w:tblInd w:w="-466" w:type="dxa"/>
        <w:shd w:val="clear" w:color="auto" w:fill="auto"/>
        <w:tblLayout w:type="fixed"/>
        <w:tblCellMar>
          <w:top w:w="0" w:type="dxa"/>
          <w:left w:w="0" w:type="dxa"/>
          <w:bottom w:w="0" w:type="dxa"/>
          <w:right w:w="0" w:type="dxa"/>
        </w:tblCellMar>
      </w:tblPr>
      <w:tblGrid>
        <w:gridCol w:w="1165"/>
        <w:gridCol w:w="664"/>
        <w:gridCol w:w="761"/>
        <w:gridCol w:w="818"/>
        <w:gridCol w:w="666"/>
        <w:gridCol w:w="783"/>
        <w:gridCol w:w="781"/>
        <w:gridCol w:w="658"/>
        <w:gridCol w:w="767"/>
        <w:gridCol w:w="746"/>
        <w:gridCol w:w="794"/>
        <w:gridCol w:w="686"/>
        <w:gridCol w:w="693"/>
      </w:tblGrid>
      <w:tr>
        <w:tblPrEx>
          <w:shd w:val="clear" w:color="auto" w:fill="auto"/>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0"/>
                <w:szCs w:val="40"/>
                <w:u w:val="none"/>
              </w:rPr>
            </w:pPr>
            <w:r>
              <w:rPr>
                <w:rFonts w:hint="eastAsia" w:ascii="黑体" w:hAnsi="宋体" w:eastAsia="黑体" w:cs="黑体"/>
                <w:b/>
                <w:i w:val="0"/>
                <w:color w:val="auto"/>
                <w:kern w:val="0"/>
                <w:sz w:val="40"/>
                <w:szCs w:val="40"/>
                <w:u w:val="none"/>
                <w:lang w:val="en-US" w:eastAsia="zh-CN"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中小微型企业（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小型企业（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本规定适用于在中华人民共和国境内依法设立的各类所有制和各种组织形式的企业。</w:t>
            </w:r>
            <w:r>
              <w:rPr>
                <w:rFonts w:hint="eastAsia" w:ascii="宋体" w:hAnsi="宋体" w:eastAsia="宋体" w:cs="宋体"/>
                <w:b/>
                <w:i w:val="0"/>
                <w:color w:val="auto"/>
                <w:kern w:val="0"/>
                <w:sz w:val="21"/>
                <w:szCs w:val="21"/>
                <w:u w:val="none"/>
                <w:lang w:val="en-US" w:eastAsia="zh-CN" w:bidi="ar"/>
              </w:rPr>
              <w:t>个体工商户</w:t>
            </w:r>
            <w:r>
              <w:rPr>
                <w:rFonts w:hint="eastAsia" w:ascii="宋体" w:hAnsi="宋体" w:eastAsia="宋体" w:cs="宋体"/>
                <w:i w:val="0"/>
                <w:color w:val="auto"/>
                <w:kern w:val="0"/>
                <w:sz w:val="21"/>
                <w:szCs w:val="21"/>
                <w:u w:val="none"/>
                <w:lang w:val="en-US" w:eastAsia="zh-CN"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jc w:val="center"/>
        <w:outlineLvl w:val="1"/>
        <w:rPr>
          <w:rFonts w:hint="eastAsia" w:asciiTheme="minorEastAsia" w:hAnsiTheme="minorEastAsia" w:eastAsiaTheme="minorEastAsia" w:cstheme="minorEastAsia"/>
          <w:color w:val="auto"/>
          <w:spacing w:val="6"/>
          <w:szCs w:val="21"/>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DB3EF"/>
    <w:multiLevelType w:val="singleLevel"/>
    <w:tmpl w:val="D43DB3EF"/>
    <w:lvl w:ilvl="0" w:tentative="0">
      <w:start w:val="1"/>
      <w:numFmt w:val="chineseCounting"/>
      <w:suff w:val="nothing"/>
      <w:lvlText w:val="%1、"/>
      <w:lvlJc w:val="left"/>
      <w:rPr>
        <w:rFonts w:hint="eastAsia"/>
      </w:rPr>
    </w:lvl>
  </w:abstractNum>
  <w:abstractNum w:abstractNumId="1">
    <w:nsid w:val="D757A492"/>
    <w:multiLevelType w:val="singleLevel"/>
    <w:tmpl w:val="D757A492"/>
    <w:lvl w:ilvl="0" w:tentative="0">
      <w:start w:val="1"/>
      <w:numFmt w:val="decimal"/>
      <w:suff w:val="space"/>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20BA2AF0"/>
    <w:multiLevelType w:val="singleLevel"/>
    <w:tmpl w:val="20BA2AF0"/>
    <w:lvl w:ilvl="0" w:tentative="0">
      <w:start w:val="1"/>
      <w:numFmt w:val="decimal"/>
      <w:suff w:val="space"/>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10"/>
  </w:num>
  <w:num w:numId="3">
    <w:abstractNumId w:val="18"/>
  </w:num>
  <w:num w:numId="4">
    <w:abstractNumId w:val="27"/>
  </w:num>
  <w:num w:numId="5">
    <w:abstractNumId w:val="13"/>
  </w:num>
  <w:num w:numId="6">
    <w:abstractNumId w:val="12"/>
  </w:num>
  <w:num w:numId="7">
    <w:abstractNumId w:val="31"/>
  </w:num>
  <w:num w:numId="8">
    <w:abstractNumId w:val="8"/>
  </w:num>
  <w:num w:numId="9">
    <w:abstractNumId w:val="14"/>
  </w:num>
  <w:num w:numId="10">
    <w:abstractNumId w:val="33"/>
  </w:num>
  <w:num w:numId="11">
    <w:abstractNumId w:val="41"/>
  </w:num>
  <w:num w:numId="12">
    <w:abstractNumId w:val="42"/>
  </w:num>
  <w:num w:numId="13">
    <w:abstractNumId w:val="26"/>
  </w:num>
  <w:num w:numId="14">
    <w:abstractNumId w:val="29"/>
  </w:num>
  <w:num w:numId="15">
    <w:abstractNumId w:val="32"/>
  </w:num>
  <w:num w:numId="16">
    <w:abstractNumId w:val="34"/>
  </w:num>
  <w:num w:numId="17">
    <w:abstractNumId w:val="3"/>
  </w:num>
  <w:num w:numId="18">
    <w:abstractNumId w:val="35"/>
  </w:num>
  <w:num w:numId="19">
    <w:abstractNumId w:val="5"/>
  </w:num>
  <w:num w:numId="20">
    <w:abstractNumId w:val="24"/>
  </w:num>
  <w:num w:numId="21">
    <w:abstractNumId w:val="20"/>
  </w:num>
  <w:num w:numId="22">
    <w:abstractNumId w:val="38"/>
  </w:num>
  <w:num w:numId="23">
    <w:abstractNumId w:val="11"/>
  </w:num>
  <w:num w:numId="24">
    <w:abstractNumId w:val="25"/>
  </w:num>
  <w:num w:numId="25">
    <w:abstractNumId w:val="7"/>
  </w:num>
  <w:num w:numId="26">
    <w:abstractNumId w:val="37"/>
  </w:num>
  <w:num w:numId="27">
    <w:abstractNumId w:val="40"/>
  </w:num>
  <w:num w:numId="28">
    <w:abstractNumId w:val="28"/>
  </w:num>
  <w:num w:numId="29">
    <w:abstractNumId w:val="22"/>
  </w:num>
  <w:num w:numId="30">
    <w:abstractNumId w:val="9"/>
  </w:num>
  <w:num w:numId="31">
    <w:abstractNumId w:val="19"/>
  </w:num>
  <w:num w:numId="32">
    <w:abstractNumId w:val="39"/>
  </w:num>
  <w:num w:numId="33">
    <w:abstractNumId w:val="23"/>
  </w:num>
  <w:num w:numId="34">
    <w:abstractNumId w:val="15"/>
  </w:num>
  <w:num w:numId="35">
    <w:abstractNumId w:val="1"/>
  </w:num>
  <w:num w:numId="36">
    <w:abstractNumId w:val="0"/>
  </w:num>
  <w:num w:numId="37">
    <w:abstractNumId w:val="16"/>
  </w:num>
  <w:num w:numId="38">
    <w:abstractNumId w:val="30"/>
  </w:num>
  <w:num w:numId="39">
    <w:abstractNumId w:val="2"/>
  </w:num>
  <w:num w:numId="40">
    <w:abstractNumId w:val="17"/>
  </w:num>
  <w:num w:numId="41">
    <w:abstractNumId w:val="21"/>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73665"/>
    <w:rsid w:val="031C67BA"/>
    <w:rsid w:val="032E3317"/>
    <w:rsid w:val="03442A09"/>
    <w:rsid w:val="03511571"/>
    <w:rsid w:val="035E37BC"/>
    <w:rsid w:val="03715197"/>
    <w:rsid w:val="03A25185"/>
    <w:rsid w:val="03A92E0C"/>
    <w:rsid w:val="03A93F07"/>
    <w:rsid w:val="03DD17F0"/>
    <w:rsid w:val="03F730D5"/>
    <w:rsid w:val="040E2332"/>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283A95"/>
    <w:rsid w:val="055A38B5"/>
    <w:rsid w:val="059C5F8E"/>
    <w:rsid w:val="05AD5736"/>
    <w:rsid w:val="05BB241B"/>
    <w:rsid w:val="05CA2818"/>
    <w:rsid w:val="05CF4780"/>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3C402C"/>
    <w:rsid w:val="07506DDE"/>
    <w:rsid w:val="078360F1"/>
    <w:rsid w:val="079555F7"/>
    <w:rsid w:val="07AA21A6"/>
    <w:rsid w:val="07B323DD"/>
    <w:rsid w:val="07CB1191"/>
    <w:rsid w:val="07D33E7D"/>
    <w:rsid w:val="07DA2552"/>
    <w:rsid w:val="07E61182"/>
    <w:rsid w:val="07F876CF"/>
    <w:rsid w:val="07FA3FC0"/>
    <w:rsid w:val="08304F51"/>
    <w:rsid w:val="08376BE0"/>
    <w:rsid w:val="08483779"/>
    <w:rsid w:val="085D5FC0"/>
    <w:rsid w:val="0886626A"/>
    <w:rsid w:val="08912C45"/>
    <w:rsid w:val="08AD0CF8"/>
    <w:rsid w:val="08AD503B"/>
    <w:rsid w:val="08B604BF"/>
    <w:rsid w:val="08C76CFD"/>
    <w:rsid w:val="08E340CC"/>
    <w:rsid w:val="08E95B0E"/>
    <w:rsid w:val="090C54BE"/>
    <w:rsid w:val="092936B1"/>
    <w:rsid w:val="096A4BCE"/>
    <w:rsid w:val="09710521"/>
    <w:rsid w:val="098226D8"/>
    <w:rsid w:val="09894939"/>
    <w:rsid w:val="09A02CD8"/>
    <w:rsid w:val="09D771B0"/>
    <w:rsid w:val="09DA500D"/>
    <w:rsid w:val="0A165448"/>
    <w:rsid w:val="0A3F61A5"/>
    <w:rsid w:val="0A502EA2"/>
    <w:rsid w:val="0A5758F7"/>
    <w:rsid w:val="0A67144A"/>
    <w:rsid w:val="0A71618F"/>
    <w:rsid w:val="0A7E1671"/>
    <w:rsid w:val="0AB610B3"/>
    <w:rsid w:val="0ABF2724"/>
    <w:rsid w:val="0AC16F66"/>
    <w:rsid w:val="0AE86D78"/>
    <w:rsid w:val="0B435CD5"/>
    <w:rsid w:val="0B456825"/>
    <w:rsid w:val="0B4B17AC"/>
    <w:rsid w:val="0B4C1B40"/>
    <w:rsid w:val="0B4F5787"/>
    <w:rsid w:val="0B625354"/>
    <w:rsid w:val="0B6438A9"/>
    <w:rsid w:val="0BB80799"/>
    <w:rsid w:val="0BC22757"/>
    <w:rsid w:val="0BD0342B"/>
    <w:rsid w:val="0BE3070D"/>
    <w:rsid w:val="0BE94FBA"/>
    <w:rsid w:val="0C367BBD"/>
    <w:rsid w:val="0C3C4113"/>
    <w:rsid w:val="0C4225D4"/>
    <w:rsid w:val="0C49239C"/>
    <w:rsid w:val="0C4E57C8"/>
    <w:rsid w:val="0C7336D0"/>
    <w:rsid w:val="0C8C44F7"/>
    <w:rsid w:val="0CC36F40"/>
    <w:rsid w:val="0CE75800"/>
    <w:rsid w:val="0CF02600"/>
    <w:rsid w:val="0D162766"/>
    <w:rsid w:val="0D30615A"/>
    <w:rsid w:val="0D4A590E"/>
    <w:rsid w:val="0D4C5E85"/>
    <w:rsid w:val="0D50445B"/>
    <w:rsid w:val="0D7807F1"/>
    <w:rsid w:val="0D895A46"/>
    <w:rsid w:val="0D9B67EB"/>
    <w:rsid w:val="0DA45AD2"/>
    <w:rsid w:val="0DCD7853"/>
    <w:rsid w:val="0DE86CEC"/>
    <w:rsid w:val="0E057004"/>
    <w:rsid w:val="0E0A51BD"/>
    <w:rsid w:val="0E141CA7"/>
    <w:rsid w:val="0E1D6D0A"/>
    <w:rsid w:val="0E386D2E"/>
    <w:rsid w:val="0E3D1DE5"/>
    <w:rsid w:val="0E442D5B"/>
    <w:rsid w:val="0E4E7B59"/>
    <w:rsid w:val="0E6E5960"/>
    <w:rsid w:val="0EAB7B80"/>
    <w:rsid w:val="0EAE4301"/>
    <w:rsid w:val="0ED27024"/>
    <w:rsid w:val="0ED94F19"/>
    <w:rsid w:val="0EDC5EDB"/>
    <w:rsid w:val="0F0A381F"/>
    <w:rsid w:val="0F1B0DB7"/>
    <w:rsid w:val="0F3425BB"/>
    <w:rsid w:val="0F5A5FCA"/>
    <w:rsid w:val="0F6C7EA7"/>
    <w:rsid w:val="0FA03F81"/>
    <w:rsid w:val="0FC5121F"/>
    <w:rsid w:val="0FC52200"/>
    <w:rsid w:val="0FC57219"/>
    <w:rsid w:val="0FF11896"/>
    <w:rsid w:val="0FF743B8"/>
    <w:rsid w:val="104114BC"/>
    <w:rsid w:val="104F21E7"/>
    <w:rsid w:val="10522A43"/>
    <w:rsid w:val="105950B7"/>
    <w:rsid w:val="10681B45"/>
    <w:rsid w:val="10855D6C"/>
    <w:rsid w:val="10D545EB"/>
    <w:rsid w:val="10E51E7E"/>
    <w:rsid w:val="110045E6"/>
    <w:rsid w:val="1109548A"/>
    <w:rsid w:val="110D1668"/>
    <w:rsid w:val="110E4212"/>
    <w:rsid w:val="11156035"/>
    <w:rsid w:val="111F2499"/>
    <w:rsid w:val="11296D36"/>
    <w:rsid w:val="1146103D"/>
    <w:rsid w:val="116C7384"/>
    <w:rsid w:val="12305D0B"/>
    <w:rsid w:val="124B307E"/>
    <w:rsid w:val="12595354"/>
    <w:rsid w:val="12676ACE"/>
    <w:rsid w:val="128C79F5"/>
    <w:rsid w:val="12987FD1"/>
    <w:rsid w:val="12D57C7C"/>
    <w:rsid w:val="12DE2F04"/>
    <w:rsid w:val="12F453F7"/>
    <w:rsid w:val="133E547A"/>
    <w:rsid w:val="135A65CD"/>
    <w:rsid w:val="13681291"/>
    <w:rsid w:val="139A72A6"/>
    <w:rsid w:val="13D75C16"/>
    <w:rsid w:val="141A71FC"/>
    <w:rsid w:val="14393E39"/>
    <w:rsid w:val="1439492C"/>
    <w:rsid w:val="144E282E"/>
    <w:rsid w:val="148B16AC"/>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5B2EFA"/>
    <w:rsid w:val="1663623E"/>
    <w:rsid w:val="166C136C"/>
    <w:rsid w:val="168C0198"/>
    <w:rsid w:val="16C6539F"/>
    <w:rsid w:val="16C83962"/>
    <w:rsid w:val="16ED23AA"/>
    <w:rsid w:val="17195883"/>
    <w:rsid w:val="173E2364"/>
    <w:rsid w:val="173E4E07"/>
    <w:rsid w:val="1761710C"/>
    <w:rsid w:val="17812612"/>
    <w:rsid w:val="1789592C"/>
    <w:rsid w:val="17933C9F"/>
    <w:rsid w:val="17B13E29"/>
    <w:rsid w:val="17D67A38"/>
    <w:rsid w:val="17DB1463"/>
    <w:rsid w:val="17E97C5D"/>
    <w:rsid w:val="17ED5B45"/>
    <w:rsid w:val="18260DD1"/>
    <w:rsid w:val="182656C2"/>
    <w:rsid w:val="18303541"/>
    <w:rsid w:val="183735E3"/>
    <w:rsid w:val="18485D36"/>
    <w:rsid w:val="18744310"/>
    <w:rsid w:val="189F530B"/>
    <w:rsid w:val="18A12DFD"/>
    <w:rsid w:val="18A922F3"/>
    <w:rsid w:val="18B137E8"/>
    <w:rsid w:val="18D46399"/>
    <w:rsid w:val="18F56002"/>
    <w:rsid w:val="192F50C9"/>
    <w:rsid w:val="19633F03"/>
    <w:rsid w:val="196F047E"/>
    <w:rsid w:val="19943641"/>
    <w:rsid w:val="199E02FC"/>
    <w:rsid w:val="19BA1CE3"/>
    <w:rsid w:val="19DF55C2"/>
    <w:rsid w:val="1A0C61A8"/>
    <w:rsid w:val="1A132F57"/>
    <w:rsid w:val="1A300E03"/>
    <w:rsid w:val="1A5F760F"/>
    <w:rsid w:val="1A6F3E95"/>
    <w:rsid w:val="1A6F6E85"/>
    <w:rsid w:val="1AD22ED2"/>
    <w:rsid w:val="1AD51B88"/>
    <w:rsid w:val="1B2058A0"/>
    <w:rsid w:val="1B566A66"/>
    <w:rsid w:val="1B583C3D"/>
    <w:rsid w:val="1B8565CF"/>
    <w:rsid w:val="1B9104B0"/>
    <w:rsid w:val="1BA96293"/>
    <w:rsid w:val="1BAC363D"/>
    <w:rsid w:val="1BD60F79"/>
    <w:rsid w:val="1C0C60A0"/>
    <w:rsid w:val="1C261B3D"/>
    <w:rsid w:val="1C2A710A"/>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874332"/>
    <w:rsid w:val="20950348"/>
    <w:rsid w:val="20981E88"/>
    <w:rsid w:val="20A06A24"/>
    <w:rsid w:val="20A10137"/>
    <w:rsid w:val="20B97750"/>
    <w:rsid w:val="20BD2343"/>
    <w:rsid w:val="20C125E5"/>
    <w:rsid w:val="20F77EBA"/>
    <w:rsid w:val="20FE0571"/>
    <w:rsid w:val="21040EE9"/>
    <w:rsid w:val="212F48FD"/>
    <w:rsid w:val="21592DC8"/>
    <w:rsid w:val="216135E4"/>
    <w:rsid w:val="21B23C30"/>
    <w:rsid w:val="21D5663A"/>
    <w:rsid w:val="21E36103"/>
    <w:rsid w:val="220D5F91"/>
    <w:rsid w:val="220F017A"/>
    <w:rsid w:val="223D6488"/>
    <w:rsid w:val="224F423C"/>
    <w:rsid w:val="227710AB"/>
    <w:rsid w:val="229B4E78"/>
    <w:rsid w:val="22C77F82"/>
    <w:rsid w:val="22E50F21"/>
    <w:rsid w:val="22F562BD"/>
    <w:rsid w:val="23054BAA"/>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D966A6"/>
    <w:rsid w:val="25FE15DC"/>
    <w:rsid w:val="26653EC4"/>
    <w:rsid w:val="26806C09"/>
    <w:rsid w:val="26863962"/>
    <w:rsid w:val="268F15B2"/>
    <w:rsid w:val="26983FA4"/>
    <w:rsid w:val="26FA6E39"/>
    <w:rsid w:val="271E4603"/>
    <w:rsid w:val="27264DFC"/>
    <w:rsid w:val="272A0710"/>
    <w:rsid w:val="27555997"/>
    <w:rsid w:val="276E4B45"/>
    <w:rsid w:val="277E0E1B"/>
    <w:rsid w:val="279828BE"/>
    <w:rsid w:val="27C13C20"/>
    <w:rsid w:val="27E47883"/>
    <w:rsid w:val="2807271F"/>
    <w:rsid w:val="28120519"/>
    <w:rsid w:val="281327C3"/>
    <w:rsid w:val="28195AAE"/>
    <w:rsid w:val="28323569"/>
    <w:rsid w:val="28326E12"/>
    <w:rsid w:val="28504863"/>
    <w:rsid w:val="28674296"/>
    <w:rsid w:val="287013AF"/>
    <w:rsid w:val="28934004"/>
    <w:rsid w:val="28943CBF"/>
    <w:rsid w:val="28E96526"/>
    <w:rsid w:val="28F77A34"/>
    <w:rsid w:val="28FB2B17"/>
    <w:rsid w:val="29213FAC"/>
    <w:rsid w:val="294019F3"/>
    <w:rsid w:val="295C30A0"/>
    <w:rsid w:val="295F6F3A"/>
    <w:rsid w:val="2978542E"/>
    <w:rsid w:val="298168E8"/>
    <w:rsid w:val="29880DC9"/>
    <w:rsid w:val="299658C8"/>
    <w:rsid w:val="29C74336"/>
    <w:rsid w:val="2A0C4705"/>
    <w:rsid w:val="2A104C01"/>
    <w:rsid w:val="2A2219FF"/>
    <w:rsid w:val="2A2649D3"/>
    <w:rsid w:val="2A2F0453"/>
    <w:rsid w:val="2A375CB0"/>
    <w:rsid w:val="2A4F7A8E"/>
    <w:rsid w:val="2A5C693A"/>
    <w:rsid w:val="2A7C052B"/>
    <w:rsid w:val="2A9D1044"/>
    <w:rsid w:val="2AA14EFF"/>
    <w:rsid w:val="2AC52B69"/>
    <w:rsid w:val="2AE42B9F"/>
    <w:rsid w:val="2AFA4FF0"/>
    <w:rsid w:val="2AFF35D3"/>
    <w:rsid w:val="2B0A651F"/>
    <w:rsid w:val="2B132D50"/>
    <w:rsid w:val="2B4604CF"/>
    <w:rsid w:val="2B6076B4"/>
    <w:rsid w:val="2B617D56"/>
    <w:rsid w:val="2B6E542D"/>
    <w:rsid w:val="2BAC408F"/>
    <w:rsid w:val="2BDD0A2E"/>
    <w:rsid w:val="2BEB27E3"/>
    <w:rsid w:val="2BEB2E9D"/>
    <w:rsid w:val="2BF61207"/>
    <w:rsid w:val="2C1713D1"/>
    <w:rsid w:val="2C2E6F83"/>
    <w:rsid w:val="2C620007"/>
    <w:rsid w:val="2CD367CC"/>
    <w:rsid w:val="2CDD2B9E"/>
    <w:rsid w:val="2D09394F"/>
    <w:rsid w:val="2D51298D"/>
    <w:rsid w:val="2D6345E9"/>
    <w:rsid w:val="2D7E4209"/>
    <w:rsid w:val="2D9B288E"/>
    <w:rsid w:val="2DBD42B5"/>
    <w:rsid w:val="2DCB5DC1"/>
    <w:rsid w:val="2DCE5309"/>
    <w:rsid w:val="2DE2242A"/>
    <w:rsid w:val="2E4225F7"/>
    <w:rsid w:val="2E463849"/>
    <w:rsid w:val="2E5A5340"/>
    <w:rsid w:val="2E6E73D5"/>
    <w:rsid w:val="2E81141D"/>
    <w:rsid w:val="2E9A7ADA"/>
    <w:rsid w:val="2EC2396D"/>
    <w:rsid w:val="2EF80558"/>
    <w:rsid w:val="2F1B0798"/>
    <w:rsid w:val="2F4F0438"/>
    <w:rsid w:val="2F506BFB"/>
    <w:rsid w:val="2F7E2CC0"/>
    <w:rsid w:val="2F871ABC"/>
    <w:rsid w:val="2F921764"/>
    <w:rsid w:val="2F98405A"/>
    <w:rsid w:val="2FAF32EB"/>
    <w:rsid w:val="2FD11EB8"/>
    <w:rsid w:val="2FE1749B"/>
    <w:rsid w:val="303606F3"/>
    <w:rsid w:val="303D5772"/>
    <w:rsid w:val="303E2207"/>
    <w:rsid w:val="30533443"/>
    <w:rsid w:val="306E40F7"/>
    <w:rsid w:val="306F4499"/>
    <w:rsid w:val="30B15581"/>
    <w:rsid w:val="30B93848"/>
    <w:rsid w:val="30BB37BA"/>
    <w:rsid w:val="30BE1DE8"/>
    <w:rsid w:val="31253510"/>
    <w:rsid w:val="313177AD"/>
    <w:rsid w:val="31341EAD"/>
    <w:rsid w:val="313712DD"/>
    <w:rsid w:val="31423CC5"/>
    <w:rsid w:val="31467D6F"/>
    <w:rsid w:val="3157256E"/>
    <w:rsid w:val="3160159B"/>
    <w:rsid w:val="316102EA"/>
    <w:rsid w:val="31665B97"/>
    <w:rsid w:val="31711EF3"/>
    <w:rsid w:val="31854B7E"/>
    <w:rsid w:val="31C350F7"/>
    <w:rsid w:val="31E86EE4"/>
    <w:rsid w:val="31F00167"/>
    <w:rsid w:val="31FD6157"/>
    <w:rsid w:val="32171B71"/>
    <w:rsid w:val="322B53E9"/>
    <w:rsid w:val="32915ABA"/>
    <w:rsid w:val="329C1497"/>
    <w:rsid w:val="32D72576"/>
    <w:rsid w:val="32D93319"/>
    <w:rsid w:val="32E04086"/>
    <w:rsid w:val="32F96A45"/>
    <w:rsid w:val="330D0307"/>
    <w:rsid w:val="331D384C"/>
    <w:rsid w:val="332C3D97"/>
    <w:rsid w:val="3360351F"/>
    <w:rsid w:val="33620CB2"/>
    <w:rsid w:val="33777078"/>
    <w:rsid w:val="33B17CDB"/>
    <w:rsid w:val="33E04B57"/>
    <w:rsid w:val="33FA7456"/>
    <w:rsid w:val="34024883"/>
    <w:rsid w:val="342C6E98"/>
    <w:rsid w:val="344F7140"/>
    <w:rsid w:val="34714E70"/>
    <w:rsid w:val="34755DB1"/>
    <w:rsid w:val="34935876"/>
    <w:rsid w:val="349E0FB2"/>
    <w:rsid w:val="34A96A1A"/>
    <w:rsid w:val="34B370D1"/>
    <w:rsid w:val="34CA52FD"/>
    <w:rsid w:val="34E622D6"/>
    <w:rsid w:val="35073B82"/>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6F46372"/>
    <w:rsid w:val="372F4949"/>
    <w:rsid w:val="3736228A"/>
    <w:rsid w:val="37671725"/>
    <w:rsid w:val="376B5053"/>
    <w:rsid w:val="376F122C"/>
    <w:rsid w:val="3798526A"/>
    <w:rsid w:val="37B72EB1"/>
    <w:rsid w:val="37C1607A"/>
    <w:rsid w:val="37C42A0D"/>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4F6067"/>
    <w:rsid w:val="39624091"/>
    <w:rsid w:val="397C6037"/>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21D8C"/>
    <w:rsid w:val="3BE42ECD"/>
    <w:rsid w:val="3BFE1CAB"/>
    <w:rsid w:val="3C10260E"/>
    <w:rsid w:val="3C274A05"/>
    <w:rsid w:val="3C4F746D"/>
    <w:rsid w:val="3C6A66D6"/>
    <w:rsid w:val="3C6D0E6F"/>
    <w:rsid w:val="3C7511AE"/>
    <w:rsid w:val="3CA977D2"/>
    <w:rsid w:val="3CBF0958"/>
    <w:rsid w:val="3CC733AF"/>
    <w:rsid w:val="3CCB1880"/>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F3ADF"/>
    <w:rsid w:val="40306F5A"/>
    <w:rsid w:val="40476BB3"/>
    <w:rsid w:val="40546FB6"/>
    <w:rsid w:val="40554803"/>
    <w:rsid w:val="407A60D5"/>
    <w:rsid w:val="407D4F24"/>
    <w:rsid w:val="40961808"/>
    <w:rsid w:val="40AB4DEE"/>
    <w:rsid w:val="40D24BBE"/>
    <w:rsid w:val="40EC4043"/>
    <w:rsid w:val="41166469"/>
    <w:rsid w:val="412008E0"/>
    <w:rsid w:val="413A6D3B"/>
    <w:rsid w:val="41515AC7"/>
    <w:rsid w:val="41902B9F"/>
    <w:rsid w:val="41BF6095"/>
    <w:rsid w:val="41C02331"/>
    <w:rsid w:val="41C13A63"/>
    <w:rsid w:val="41C67037"/>
    <w:rsid w:val="41D229E1"/>
    <w:rsid w:val="41EC6E94"/>
    <w:rsid w:val="41F72149"/>
    <w:rsid w:val="4228585D"/>
    <w:rsid w:val="42415ACC"/>
    <w:rsid w:val="427D539F"/>
    <w:rsid w:val="42991E30"/>
    <w:rsid w:val="42CC19F4"/>
    <w:rsid w:val="42CE0B28"/>
    <w:rsid w:val="42CF6367"/>
    <w:rsid w:val="42D36FBC"/>
    <w:rsid w:val="42DE1CCC"/>
    <w:rsid w:val="4308546B"/>
    <w:rsid w:val="430B50C4"/>
    <w:rsid w:val="43263445"/>
    <w:rsid w:val="434157E3"/>
    <w:rsid w:val="43494860"/>
    <w:rsid w:val="434D380E"/>
    <w:rsid w:val="43934189"/>
    <w:rsid w:val="439D4850"/>
    <w:rsid w:val="43A17C3A"/>
    <w:rsid w:val="43C27232"/>
    <w:rsid w:val="43ED069F"/>
    <w:rsid w:val="442A6E5A"/>
    <w:rsid w:val="44356E29"/>
    <w:rsid w:val="44543264"/>
    <w:rsid w:val="445C4B8F"/>
    <w:rsid w:val="447C2A1B"/>
    <w:rsid w:val="447F5CBE"/>
    <w:rsid w:val="44833851"/>
    <w:rsid w:val="44982752"/>
    <w:rsid w:val="44BF6F86"/>
    <w:rsid w:val="44C45031"/>
    <w:rsid w:val="44D53AB2"/>
    <w:rsid w:val="44F27B0D"/>
    <w:rsid w:val="45151583"/>
    <w:rsid w:val="45174CA4"/>
    <w:rsid w:val="45485BDE"/>
    <w:rsid w:val="45574FA2"/>
    <w:rsid w:val="457D4A3F"/>
    <w:rsid w:val="458571EC"/>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8E6A9E"/>
    <w:rsid w:val="46BC623F"/>
    <w:rsid w:val="46D855B9"/>
    <w:rsid w:val="470D2C74"/>
    <w:rsid w:val="47236E19"/>
    <w:rsid w:val="477570F1"/>
    <w:rsid w:val="47AD33FA"/>
    <w:rsid w:val="47B41AAA"/>
    <w:rsid w:val="47CD38AD"/>
    <w:rsid w:val="47DB16D8"/>
    <w:rsid w:val="481726F3"/>
    <w:rsid w:val="48416760"/>
    <w:rsid w:val="48466F81"/>
    <w:rsid w:val="484D02A2"/>
    <w:rsid w:val="486B647A"/>
    <w:rsid w:val="48896934"/>
    <w:rsid w:val="489B48B9"/>
    <w:rsid w:val="48C12AEC"/>
    <w:rsid w:val="48D072A1"/>
    <w:rsid w:val="48D1341D"/>
    <w:rsid w:val="48D63F90"/>
    <w:rsid w:val="48E0279A"/>
    <w:rsid w:val="48E64C8E"/>
    <w:rsid w:val="48FA7B87"/>
    <w:rsid w:val="49023E07"/>
    <w:rsid w:val="4919356E"/>
    <w:rsid w:val="492A7740"/>
    <w:rsid w:val="49300AA7"/>
    <w:rsid w:val="49391CB0"/>
    <w:rsid w:val="493C3A20"/>
    <w:rsid w:val="49401E21"/>
    <w:rsid w:val="49526EB9"/>
    <w:rsid w:val="49684311"/>
    <w:rsid w:val="496D00AD"/>
    <w:rsid w:val="49742114"/>
    <w:rsid w:val="49754CB4"/>
    <w:rsid w:val="49921F0F"/>
    <w:rsid w:val="49A80519"/>
    <w:rsid w:val="49CE6B8E"/>
    <w:rsid w:val="49D72FF3"/>
    <w:rsid w:val="49E0102B"/>
    <w:rsid w:val="4A2945F2"/>
    <w:rsid w:val="4A615154"/>
    <w:rsid w:val="4A96607C"/>
    <w:rsid w:val="4AA91ED6"/>
    <w:rsid w:val="4AB92E92"/>
    <w:rsid w:val="4B2134B8"/>
    <w:rsid w:val="4B24233C"/>
    <w:rsid w:val="4B330A0B"/>
    <w:rsid w:val="4B3756CC"/>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4D3B7A"/>
    <w:rsid w:val="4D524AEA"/>
    <w:rsid w:val="4D5724F7"/>
    <w:rsid w:val="4D757452"/>
    <w:rsid w:val="4D8C3F82"/>
    <w:rsid w:val="4DA4589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586D8F"/>
    <w:rsid w:val="4F8C4B40"/>
    <w:rsid w:val="4FAA5CD5"/>
    <w:rsid w:val="4FBD187E"/>
    <w:rsid w:val="4FC56067"/>
    <w:rsid w:val="4FD11AC0"/>
    <w:rsid w:val="4FEA4E33"/>
    <w:rsid w:val="502F75EB"/>
    <w:rsid w:val="50400243"/>
    <w:rsid w:val="50494336"/>
    <w:rsid w:val="50784012"/>
    <w:rsid w:val="50813C12"/>
    <w:rsid w:val="5087463E"/>
    <w:rsid w:val="50A11680"/>
    <w:rsid w:val="50AC4D24"/>
    <w:rsid w:val="50B77550"/>
    <w:rsid w:val="50C773AE"/>
    <w:rsid w:val="50CD6602"/>
    <w:rsid w:val="50E6022F"/>
    <w:rsid w:val="50F616CC"/>
    <w:rsid w:val="510D0F23"/>
    <w:rsid w:val="51197B59"/>
    <w:rsid w:val="51615030"/>
    <w:rsid w:val="51627812"/>
    <w:rsid w:val="51C136D4"/>
    <w:rsid w:val="51D33F6D"/>
    <w:rsid w:val="51DB1448"/>
    <w:rsid w:val="52045DB4"/>
    <w:rsid w:val="522C275E"/>
    <w:rsid w:val="524C13A2"/>
    <w:rsid w:val="529000F6"/>
    <w:rsid w:val="5296149A"/>
    <w:rsid w:val="52A65672"/>
    <w:rsid w:val="52BA4073"/>
    <w:rsid w:val="52CA2507"/>
    <w:rsid w:val="52CD7B31"/>
    <w:rsid w:val="52D32A37"/>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527D7"/>
    <w:rsid w:val="543642C1"/>
    <w:rsid w:val="5461235D"/>
    <w:rsid w:val="54667BA2"/>
    <w:rsid w:val="547E7555"/>
    <w:rsid w:val="54806F19"/>
    <w:rsid w:val="54A01FAE"/>
    <w:rsid w:val="54A478E7"/>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3A6A4D"/>
    <w:rsid w:val="56443B98"/>
    <w:rsid w:val="56453A77"/>
    <w:rsid w:val="56757259"/>
    <w:rsid w:val="568B7EB7"/>
    <w:rsid w:val="56BC078F"/>
    <w:rsid w:val="56CB4BCB"/>
    <w:rsid w:val="56FB75FE"/>
    <w:rsid w:val="572F42F6"/>
    <w:rsid w:val="57391A95"/>
    <w:rsid w:val="573F3C9E"/>
    <w:rsid w:val="574028CB"/>
    <w:rsid w:val="574C52C4"/>
    <w:rsid w:val="57526FDB"/>
    <w:rsid w:val="57572F35"/>
    <w:rsid w:val="575B33A4"/>
    <w:rsid w:val="57674A5D"/>
    <w:rsid w:val="579775E1"/>
    <w:rsid w:val="57C90530"/>
    <w:rsid w:val="57CE0836"/>
    <w:rsid w:val="582F44F7"/>
    <w:rsid w:val="583F27F2"/>
    <w:rsid w:val="58455B6D"/>
    <w:rsid w:val="584979D2"/>
    <w:rsid w:val="584D29B0"/>
    <w:rsid w:val="584F7C49"/>
    <w:rsid w:val="5888302C"/>
    <w:rsid w:val="5889129A"/>
    <w:rsid w:val="58A70AE5"/>
    <w:rsid w:val="58AD528C"/>
    <w:rsid w:val="58B31955"/>
    <w:rsid w:val="58BA45A1"/>
    <w:rsid w:val="594F6915"/>
    <w:rsid w:val="595864CB"/>
    <w:rsid w:val="59737A65"/>
    <w:rsid w:val="59842DF4"/>
    <w:rsid w:val="59947CE9"/>
    <w:rsid w:val="59A0359A"/>
    <w:rsid w:val="59E52D9A"/>
    <w:rsid w:val="5A0D3501"/>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596B64"/>
    <w:rsid w:val="5B872AE6"/>
    <w:rsid w:val="5BA77753"/>
    <w:rsid w:val="5BB60E53"/>
    <w:rsid w:val="5BC025EF"/>
    <w:rsid w:val="5C077640"/>
    <w:rsid w:val="5C1203C7"/>
    <w:rsid w:val="5C1F35AE"/>
    <w:rsid w:val="5C3905BF"/>
    <w:rsid w:val="5C66397A"/>
    <w:rsid w:val="5C7349B6"/>
    <w:rsid w:val="5C824C05"/>
    <w:rsid w:val="5C8725EE"/>
    <w:rsid w:val="5CB0251A"/>
    <w:rsid w:val="5CB97030"/>
    <w:rsid w:val="5CC97332"/>
    <w:rsid w:val="5D187049"/>
    <w:rsid w:val="5D1D2427"/>
    <w:rsid w:val="5D5F5609"/>
    <w:rsid w:val="5D756277"/>
    <w:rsid w:val="5D760215"/>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D0273"/>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74397"/>
    <w:rsid w:val="60BD4FD1"/>
    <w:rsid w:val="60D507D0"/>
    <w:rsid w:val="60EA1511"/>
    <w:rsid w:val="60EB6C34"/>
    <w:rsid w:val="60FD5C7B"/>
    <w:rsid w:val="610C1CA3"/>
    <w:rsid w:val="613D7E7B"/>
    <w:rsid w:val="61425C7D"/>
    <w:rsid w:val="617162E9"/>
    <w:rsid w:val="61A52BAA"/>
    <w:rsid w:val="61FA0AE4"/>
    <w:rsid w:val="621D7EC3"/>
    <w:rsid w:val="62221C10"/>
    <w:rsid w:val="623438BB"/>
    <w:rsid w:val="62352B2C"/>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AB4D19"/>
    <w:rsid w:val="63DA4B5E"/>
    <w:rsid w:val="64273E62"/>
    <w:rsid w:val="642E2892"/>
    <w:rsid w:val="643B736C"/>
    <w:rsid w:val="64AD7C37"/>
    <w:rsid w:val="64B0399F"/>
    <w:rsid w:val="64B05758"/>
    <w:rsid w:val="64BE4B0D"/>
    <w:rsid w:val="65075A96"/>
    <w:rsid w:val="650E600B"/>
    <w:rsid w:val="650F0C7B"/>
    <w:rsid w:val="651541F8"/>
    <w:rsid w:val="652B691A"/>
    <w:rsid w:val="65B221E6"/>
    <w:rsid w:val="65BB5F2E"/>
    <w:rsid w:val="66426031"/>
    <w:rsid w:val="66593B74"/>
    <w:rsid w:val="665D2DD8"/>
    <w:rsid w:val="66651C8A"/>
    <w:rsid w:val="66675176"/>
    <w:rsid w:val="669F2C65"/>
    <w:rsid w:val="66BE6B53"/>
    <w:rsid w:val="66C55FD8"/>
    <w:rsid w:val="66C96C89"/>
    <w:rsid w:val="66D333AF"/>
    <w:rsid w:val="67192A34"/>
    <w:rsid w:val="674A4927"/>
    <w:rsid w:val="677243C5"/>
    <w:rsid w:val="678568CD"/>
    <w:rsid w:val="67904A3A"/>
    <w:rsid w:val="67A24F14"/>
    <w:rsid w:val="67BB4EAD"/>
    <w:rsid w:val="67E453F6"/>
    <w:rsid w:val="67F130F8"/>
    <w:rsid w:val="67F84AFE"/>
    <w:rsid w:val="680878A3"/>
    <w:rsid w:val="68340476"/>
    <w:rsid w:val="68366D6B"/>
    <w:rsid w:val="68375AD4"/>
    <w:rsid w:val="683870E8"/>
    <w:rsid w:val="68457681"/>
    <w:rsid w:val="684977D5"/>
    <w:rsid w:val="68552C50"/>
    <w:rsid w:val="685D34E7"/>
    <w:rsid w:val="686A1EFF"/>
    <w:rsid w:val="68A8123A"/>
    <w:rsid w:val="68B84F4C"/>
    <w:rsid w:val="69055229"/>
    <w:rsid w:val="6929374C"/>
    <w:rsid w:val="692F20BB"/>
    <w:rsid w:val="69784C3F"/>
    <w:rsid w:val="69C1095D"/>
    <w:rsid w:val="6A0138F7"/>
    <w:rsid w:val="6A1E155A"/>
    <w:rsid w:val="6A7B5447"/>
    <w:rsid w:val="6ADB012D"/>
    <w:rsid w:val="6AE3748E"/>
    <w:rsid w:val="6AF53FAE"/>
    <w:rsid w:val="6B115164"/>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379F5"/>
    <w:rsid w:val="6C852D02"/>
    <w:rsid w:val="6CEA2C90"/>
    <w:rsid w:val="6CFA5C74"/>
    <w:rsid w:val="6D272DFD"/>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1859AB"/>
    <w:rsid w:val="6E2D763E"/>
    <w:rsid w:val="6E420FB1"/>
    <w:rsid w:val="6E6B46D3"/>
    <w:rsid w:val="6E953983"/>
    <w:rsid w:val="6E95768E"/>
    <w:rsid w:val="6EA14900"/>
    <w:rsid w:val="6EB27AA3"/>
    <w:rsid w:val="6EBD14D3"/>
    <w:rsid w:val="6EBD1CFE"/>
    <w:rsid w:val="6EF9461D"/>
    <w:rsid w:val="6F1348E9"/>
    <w:rsid w:val="6F2A01FE"/>
    <w:rsid w:val="6F2A71A4"/>
    <w:rsid w:val="6F5D1EE4"/>
    <w:rsid w:val="6F9415EA"/>
    <w:rsid w:val="6FB72F84"/>
    <w:rsid w:val="6FCA5E7C"/>
    <w:rsid w:val="6FE11F22"/>
    <w:rsid w:val="6FE3419F"/>
    <w:rsid w:val="6FF778F1"/>
    <w:rsid w:val="700346D4"/>
    <w:rsid w:val="700972F0"/>
    <w:rsid w:val="70287F2C"/>
    <w:rsid w:val="70AF69EB"/>
    <w:rsid w:val="70C667BE"/>
    <w:rsid w:val="70F97D93"/>
    <w:rsid w:val="71181113"/>
    <w:rsid w:val="711D7CA6"/>
    <w:rsid w:val="71227E63"/>
    <w:rsid w:val="71614B6B"/>
    <w:rsid w:val="718D2905"/>
    <w:rsid w:val="719909D2"/>
    <w:rsid w:val="719B61D4"/>
    <w:rsid w:val="71A10922"/>
    <w:rsid w:val="71D214DD"/>
    <w:rsid w:val="71E107C1"/>
    <w:rsid w:val="71F62920"/>
    <w:rsid w:val="72091DAA"/>
    <w:rsid w:val="72267D97"/>
    <w:rsid w:val="723734D4"/>
    <w:rsid w:val="724E29D1"/>
    <w:rsid w:val="728564F5"/>
    <w:rsid w:val="728B7ACE"/>
    <w:rsid w:val="728E70EC"/>
    <w:rsid w:val="729701CD"/>
    <w:rsid w:val="72AB431D"/>
    <w:rsid w:val="72DA09BB"/>
    <w:rsid w:val="72E745EF"/>
    <w:rsid w:val="72E97F76"/>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9F2D9C"/>
    <w:rsid w:val="74BE4E97"/>
    <w:rsid w:val="74D504C8"/>
    <w:rsid w:val="74F679F1"/>
    <w:rsid w:val="74F841F7"/>
    <w:rsid w:val="75003D28"/>
    <w:rsid w:val="750445F2"/>
    <w:rsid w:val="751D637E"/>
    <w:rsid w:val="751F2555"/>
    <w:rsid w:val="753504B8"/>
    <w:rsid w:val="75466A74"/>
    <w:rsid w:val="757F267E"/>
    <w:rsid w:val="758418D8"/>
    <w:rsid w:val="75A17528"/>
    <w:rsid w:val="75AA6AC3"/>
    <w:rsid w:val="75B749A9"/>
    <w:rsid w:val="75CB1443"/>
    <w:rsid w:val="75CD3F16"/>
    <w:rsid w:val="75EA5BFB"/>
    <w:rsid w:val="7603603E"/>
    <w:rsid w:val="761A34DA"/>
    <w:rsid w:val="76781DCD"/>
    <w:rsid w:val="76D84698"/>
    <w:rsid w:val="775865D7"/>
    <w:rsid w:val="775A33B3"/>
    <w:rsid w:val="775B4584"/>
    <w:rsid w:val="776234AF"/>
    <w:rsid w:val="776D12AE"/>
    <w:rsid w:val="77895532"/>
    <w:rsid w:val="77AD0FE0"/>
    <w:rsid w:val="77BE7384"/>
    <w:rsid w:val="780F37EC"/>
    <w:rsid w:val="783D1C4B"/>
    <w:rsid w:val="787A6E12"/>
    <w:rsid w:val="78821B50"/>
    <w:rsid w:val="788E2A2A"/>
    <w:rsid w:val="78C52EE0"/>
    <w:rsid w:val="78D23C9C"/>
    <w:rsid w:val="7913610A"/>
    <w:rsid w:val="791A167A"/>
    <w:rsid w:val="794D119C"/>
    <w:rsid w:val="796B6F7E"/>
    <w:rsid w:val="79935707"/>
    <w:rsid w:val="799A2128"/>
    <w:rsid w:val="79C0552F"/>
    <w:rsid w:val="79C30D65"/>
    <w:rsid w:val="79CC3295"/>
    <w:rsid w:val="79D37E29"/>
    <w:rsid w:val="7A0B1561"/>
    <w:rsid w:val="7A25258A"/>
    <w:rsid w:val="7A2C646D"/>
    <w:rsid w:val="7A441CE6"/>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9E490F"/>
    <w:rsid w:val="7CF03F88"/>
    <w:rsid w:val="7CF73786"/>
    <w:rsid w:val="7D091FF0"/>
    <w:rsid w:val="7D4C6AE0"/>
    <w:rsid w:val="7D573168"/>
    <w:rsid w:val="7D5E51C4"/>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00"/>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8">
    <w:name w:val="Normal Indent"/>
    <w:basedOn w:val="1"/>
    <w:qFormat/>
    <w:uiPriority w:val="0"/>
    <w:pPr>
      <w:ind w:firstLine="420"/>
    </w:pPr>
    <w:rPr>
      <w:szCs w:val="20"/>
    </w:rPr>
  </w:style>
  <w:style w:type="paragraph" w:styleId="9">
    <w:name w:val="Document Map"/>
    <w:basedOn w:val="1"/>
    <w:link w:val="35"/>
    <w:qFormat/>
    <w:uiPriority w:val="0"/>
    <w:rPr>
      <w:rFonts w:ascii="宋体" w:hAnsi="Tahoma"/>
      <w:sz w:val="18"/>
      <w:szCs w:val="18"/>
    </w:rPr>
  </w:style>
  <w:style w:type="paragraph" w:styleId="10">
    <w:name w:val="annotation text"/>
    <w:basedOn w:val="1"/>
    <w:link w:val="64"/>
    <w:semiHidden/>
    <w:qFormat/>
    <w:uiPriority w:val="99"/>
    <w:pPr>
      <w:jc w:val="left"/>
    </w:pPr>
    <w:rPr>
      <w:rFonts w:ascii="Tahoma" w:hAnsi="Tahoma"/>
    </w:rPr>
  </w:style>
  <w:style w:type="paragraph" w:styleId="11">
    <w:name w:val="Body Text 3"/>
    <w:basedOn w:val="1"/>
    <w:qFormat/>
    <w:uiPriority w:val="0"/>
    <w:rPr>
      <w:kern w:val="0"/>
      <w:sz w:val="16"/>
      <w:szCs w:val="16"/>
    </w:rPr>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10"/>
    <w:next w:val="10"/>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9"/>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9"/>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10"/>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6"/>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标题 2 Char1"/>
    <w:link w:val="5"/>
    <w:qFormat/>
    <w:uiPriority w:val="0"/>
    <w:rPr>
      <w:rFonts w:ascii="Arial" w:hAnsi="Arial" w:eastAsia="黑体"/>
      <w:b/>
      <w:bCs/>
      <w:sz w:val="32"/>
      <w:szCs w:val="32"/>
    </w:rPr>
  </w:style>
  <w:style w:type="character" w:customStyle="1" w:styleId="99">
    <w:name w:val="标题 1 Char"/>
    <w:link w:val="4"/>
    <w:qFormat/>
    <w:uiPriority w:val="0"/>
    <w:rPr>
      <w:b/>
      <w:bCs/>
      <w:kern w:val="44"/>
      <w:sz w:val="44"/>
      <w:szCs w:val="44"/>
    </w:rPr>
  </w:style>
  <w:style w:type="character" w:customStyle="1" w:styleId="100">
    <w:name w:val="标题 3 Char"/>
    <w:link w:val="6"/>
    <w:qFormat/>
    <w:uiPriority w:val="0"/>
    <w:rPr>
      <w:b/>
      <w:bCs/>
      <w:sz w:val="32"/>
      <w:szCs w:val="32"/>
    </w:rPr>
  </w:style>
  <w:style w:type="paragraph" w:customStyle="1" w:styleId="101">
    <w:name w:val="p0"/>
    <w:basedOn w:val="1"/>
    <w:qFormat/>
    <w:uiPriority w:val="0"/>
    <w:pPr>
      <w:adjustRightInd/>
      <w:snapToGrid/>
      <w:spacing w:after="0"/>
      <w:jc w:val="both"/>
    </w:pPr>
    <w:rPr>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2</TotalTime>
  <ScaleCrop>false</ScaleCrop>
  <LinksUpToDate>false</LinksUpToDate>
  <CharactersWithSpaces>29889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2021-07-06T01:09:09Z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52E060A160294359A5B3A5A94D6ED437</vt:lpwstr>
  </property>
</Properties>
</file>