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ind w:right="17"/>
        <w:jc w:val="center"/>
        <w:rPr>
          <w:rFonts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30"/>
          <w:szCs w:val="30"/>
        </w:rPr>
        <w:drawing>
          <wp:anchor distT="0" distB="0" distL="114300" distR="114300" simplePos="0" relativeHeight="251660288" behindDoc="0" locked="0" layoutInCell="1" allowOverlap="1">
            <wp:simplePos x="0" y="0"/>
            <wp:positionH relativeFrom="column">
              <wp:posOffset>11430</wp:posOffset>
            </wp:positionH>
            <wp:positionV relativeFrom="paragraph">
              <wp:posOffset>62865</wp:posOffset>
            </wp:positionV>
            <wp:extent cx="1222375" cy="784860"/>
            <wp:effectExtent l="0" t="0" r="12065" b="7620"/>
            <wp:wrapSquare wrapText="bothSides"/>
            <wp:docPr id="3" name="图片 5" descr="背景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背景墙"/>
                    <pic:cNvPicPr>
                      <a:picLocks noChangeAspect="1" noChangeArrowheads="1"/>
                    </pic:cNvPicPr>
                  </pic:nvPicPr>
                  <pic:blipFill>
                    <a:blip r:embed="rId9" cstate="print"/>
                    <a:srcRect/>
                    <a:stretch>
                      <a:fillRect/>
                    </a:stretch>
                  </pic:blipFill>
                  <pic:spPr>
                    <a:xfrm>
                      <a:off x="0" y="0"/>
                      <a:ext cx="1222375" cy="784860"/>
                    </a:xfrm>
                    <a:prstGeom prst="rect">
                      <a:avLst/>
                    </a:prstGeom>
                    <a:noFill/>
                    <a:ln w="9525" cmpd="sng">
                      <a:noFill/>
                      <a:miter lim="800000"/>
                      <a:headEnd/>
                      <a:tailEnd/>
                    </a:ln>
                  </pic:spPr>
                </pic:pic>
              </a:graphicData>
            </a:graphic>
          </wp:anchor>
        </w:drawing>
      </w:r>
    </w:p>
    <w:p>
      <w:pPr>
        <w:kinsoku w:val="0"/>
        <w:overflowPunct w:val="0"/>
        <w:ind w:right="17"/>
        <w:jc w:val="center"/>
        <w:rPr>
          <w:rFonts w:asciiTheme="minorEastAsia" w:hAnsiTheme="minorEastAsia" w:eastAsiaTheme="minorEastAsia" w:cstheme="minorEastAsia"/>
          <w:color w:val="auto"/>
          <w:sz w:val="28"/>
        </w:rPr>
      </w:pPr>
    </w:p>
    <w:p>
      <w:pPr>
        <w:kinsoku w:val="0"/>
        <w:overflowPunct w:val="0"/>
        <w:ind w:right="17"/>
        <w:jc w:val="center"/>
        <w:rPr>
          <w:rFonts w:asciiTheme="minorEastAsia" w:hAnsiTheme="minorEastAsia" w:eastAsiaTheme="minorEastAsia" w:cstheme="minorEastAsia"/>
          <w:color w:val="auto"/>
          <w:sz w:val="28"/>
        </w:rPr>
      </w:pPr>
    </w:p>
    <w:p>
      <w:pPr>
        <w:kinsoku w:val="0"/>
        <w:overflowPunct w:val="0"/>
        <w:ind w:right="17"/>
        <w:jc w:val="center"/>
        <w:rPr>
          <w:rFonts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br w:type="textWrapping"/>
      </w:r>
      <w:r>
        <w:rPr>
          <w:rFonts w:hint="eastAsia" w:asciiTheme="minorEastAsia" w:hAnsiTheme="minorEastAsia" w:eastAsiaTheme="minorEastAsia" w:cstheme="minorEastAsia"/>
          <w:color w:val="auto"/>
          <w:sz w:val="28"/>
        </w:rPr>
        <w:br w:type="textWrapping"/>
      </w:r>
    </w:p>
    <w:p>
      <w:pPr>
        <w:pStyle w:val="2"/>
        <w:kinsoku w:val="0"/>
        <w:overflowPunct w:val="0"/>
        <w:spacing w:before="194"/>
        <w:jc w:val="center"/>
        <w:rPr>
          <w:rFonts w:asciiTheme="minorEastAsia" w:hAnsiTheme="minorEastAsia" w:eastAsiaTheme="minorEastAsia" w:cstheme="minorEastAsia"/>
          <w:color w:val="auto"/>
          <w:sz w:val="92"/>
        </w:rPr>
      </w:pPr>
      <w:r>
        <w:rPr>
          <w:rFonts w:hint="eastAsia" w:asciiTheme="minorEastAsia" w:hAnsiTheme="minorEastAsia" w:eastAsiaTheme="minorEastAsia" w:cstheme="minorEastAsia"/>
          <w:color w:val="auto"/>
          <w:sz w:val="92"/>
          <w14:shadow w14:blurRad="50800" w14:dist="38100" w14:dir="2700000" w14:sx="100000" w14:sy="100000" w14:kx="0" w14:ky="0" w14:algn="tl">
            <w14:srgbClr w14:val="000000">
              <w14:alpha w14:val="60000"/>
            </w14:srgbClr>
          </w14:shadow>
        </w:rPr>
        <w:t>竞争性磋商采购文件</w:t>
      </w:r>
    </w:p>
    <w:p>
      <w:pPr>
        <w:pStyle w:val="2"/>
        <w:kinsoku w:val="0"/>
        <w:overflowPunct w:val="0"/>
        <w:rPr>
          <w:rFonts w:asciiTheme="minorEastAsia" w:hAnsiTheme="minorEastAsia" w:eastAsiaTheme="minorEastAsia" w:cstheme="minorEastAsia"/>
          <w:color w:val="auto"/>
          <w:sz w:val="20"/>
        </w:rPr>
      </w:pPr>
    </w:p>
    <w:p>
      <w:pPr>
        <w:pStyle w:val="2"/>
        <w:kinsoku w:val="0"/>
        <w:overflowPunct w:val="0"/>
        <w:jc w:val="center"/>
        <w:rPr>
          <w:rFonts w:asciiTheme="minorEastAsia" w:hAnsiTheme="minorEastAsia" w:eastAsiaTheme="minorEastAsia" w:cstheme="minorEastAsia"/>
          <w:color w:val="auto"/>
          <w:sz w:val="20"/>
        </w:rPr>
      </w:pPr>
    </w:p>
    <w:p>
      <w:pPr>
        <w:pStyle w:val="2"/>
        <w:kinsoku w:val="0"/>
        <w:overflowPunct w:val="0"/>
        <w:rPr>
          <w:rFonts w:asciiTheme="minorEastAsia" w:hAnsiTheme="minorEastAsia" w:eastAsiaTheme="minorEastAsia" w:cstheme="minorEastAsia"/>
          <w:color w:val="auto"/>
          <w:sz w:val="20"/>
        </w:rPr>
      </w:pPr>
    </w:p>
    <w:p>
      <w:pPr>
        <w:pStyle w:val="2"/>
        <w:kinsoku w:val="0"/>
        <w:overflowPunct w:val="0"/>
        <w:rPr>
          <w:rFonts w:asciiTheme="minorEastAsia" w:hAnsiTheme="minorEastAsia" w:eastAsiaTheme="minorEastAsia" w:cstheme="minorEastAsia"/>
          <w:color w:val="auto"/>
          <w:sz w:val="20"/>
        </w:rPr>
      </w:pPr>
    </w:p>
    <w:p>
      <w:pPr>
        <w:pStyle w:val="2"/>
        <w:kinsoku w:val="0"/>
        <w:overflowPunct w:val="0"/>
        <w:spacing w:before="2" w:after="1"/>
        <w:rPr>
          <w:rFonts w:asciiTheme="minorEastAsia" w:hAnsiTheme="minorEastAsia" w:eastAsiaTheme="minorEastAsia" w:cstheme="minorEastAsia"/>
          <w:color w:val="auto"/>
          <w:sz w:val="11"/>
        </w:rPr>
      </w:pPr>
    </w:p>
    <w:tbl>
      <w:tblPr>
        <w:tblStyle w:val="26"/>
        <w:tblW w:w="8146" w:type="dxa"/>
        <w:tblInd w:w="690" w:type="dxa"/>
        <w:tblLayout w:type="fixed"/>
        <w:tblCellMar>
          <w:top w:w="0" w:type="dxa"/>
          <w:left w:w="0" w:type="dxa"/>
          <w:bottom w:w="0" w:type="dxa"/>
          <w:right w:w="0" w:type="dxa"/>
        </w:tblCellMar>
      </w:tblPr>
      <w:tblGrid>
        <w:gridCol w:w="2093"/>
        <w:gridCol w:w="6053"/>
      </w:tblGrid>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ind w:right="53"/>
              <w:rPr>
                <w:rFonts w:hint="default" w:asciiTheme="minorEastAsia" w:hAnsiTheme="minorEastAsia" w:eastAsiaTheme="minorEastAsia" w:cstheme="minorEastAsia"/>
                <w:b/>
                <w:color w:val="auto"/>
                <w:sz w:val="28"/>
              </w:rPr>
            </w:pPr>
            <w:r>
              <w:rPr>
                <w:rFonts w:asciiTheme="minorEastAsia" w:hAnsiTheme="minorEastAsia" w:eastAsiaTheme="minorEastAsia" w:cstheme="minorEastAsia"/>
                <w:b/>
                <w:color w:val="auto"/>
                <w:sz w:val="28"/>
              </w:rPr>
              <w:t>项 目  编 号：</w:t>
            </w:r>
          </w:p>
        </w:tc>
        <w:tc>
          <w:tcPr>
            <w:tcW w:w="6053" w:type="dxa"/>
            <w:tcBorders>
              <w:top w:val="nil"/>
              <w:left w:val="nil"/>
              <w:bottom w:val="nil"/>
              <w:right w:val="nil"/>
              <w:tl2br w:val="nil"/>
              <w:tr2bl w:val="nil"/>
            </w:tcBorders>
            <w:vAlign w:val="center"/>
          </w:tcPr>
          <w:p>
            <w:pPr>
              <w:pStyle w:val="95"/>
              <w:kinsoku w:val="0"/>
              <w:overflowPunct w:val="0"/>
              <w:spacing w:before="122"/>
              <w:ind w:left="55"/>
              <w:rPr>
                <w:rFonts w:hint="default" w:asciiTheme="minorEastAsia" w:hAnsiTheme="minorEastAsia" w:eastAsiaTheme="minorEastAsia" w:cstheme="minorEastAsia"/>
                <w:b/>
                <w:color w:val="auto"/>
                <w:sz w:val="28"/>
              </w:rPr>
            </w:pPr>
            <w:r>
              <w:rPr>
                <w:rFonts w:asciiTheme="minorEastAsia" w:hAnsiTheme="minorEastAsia" w:eastAsiaTheme="minorEastAsia" w:cstheme="minorEastAsia"/>
                <w:b/>
                <w:color w:val="auto"/>
                <w:sz w:val="28"/>
              </w:rPr>
              <w:t>ZJZB-202105-158</w:t>
            </w:r>
          </w:p>
        </w:tc>
      </w:tr>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3"/>
              <w:ind w:right="53"/>
              <w:rPr>
                <w:rFonts w:hint="default" w:asciiTheme="minorEastAsia" w:hAnsiTheme="minorEastAsia" w:eastAsiaTheme="minorEastAsia" w:cstheme="minorEastAsia"/>
                <w:b/>
                <w:color w:val="auto"/>
                <w:sz w:val="28"/>
              </w:rPr>
            </w:pPr>
            <w:r>
              <w:rPr>
                <w:rFonts w:asciiTheme="minorEastAsia" w:hAnsiTheme="minorEastAsia" w:eastAsiaTheme="minorEastAsia" w:cstheme="minorEastAsia"/>
                <w:b/>
                <w:color w:val="auto"/>
                <w:sz w:val="28"/>
              </w:rPr>
              <w:t>项 目  名 称：</w:t>
            </w:r>
          </w:p>
        </w:tc>
        <w:tc>
          <w:tcPr>
            <w:tcW w:w="6053" w:type="dxa"/>
            <w:tcBorders>
              <w:top w:val="nil"/>
              <w:left w:val="nil"/>
              <w:bottom w:val="nil"/>
              <w:right w:val="nil"/>
              <w:tl2br w:val="nil"/>
              <w:tr2bl w:val="nil"/>
            </w:tcBorders>
            <w:vAlign w:val="center"/>
          </w:tcPr>
          <w:p>
            <w:pPr>
              <w:pStyle w:val="95"/>
              <w:kinsoku w:val="0"/>
              <w:overflowPunct w:val="0"/>
              <w:spacing w:before="123" w:line="242" w:lineRule="auto"/>
              <w:ind w:left="55" w:right="136"/>
              <w:rPr>
                <w:rFonts w:hint="default" w:asciiTheme="minorEastAsia" w:hAnsiTheme="minorEastAsia" w:eastAsiaTheme="minorEastAsia" w:cstheme="minorEastAsia"/>
                <w:b/>
                <w:color w:val="auto"/>
                <w:sz w:val="28"/>
              </w:rPr>
            </w:pPr>
            <w:r>
              <w:rPr>
                <w:rFonts w:asciiTheme="minorEastAsia" w:hAnsiTheme="minorEastAsia" w:eastAsiaTheme="minorEastAsia" w:cstheme="minorEastAsia"/>
                <w:b/>
                <w:color w:val="auto"/>
                <w:sz w:val="28"/>
              </w:rPr>
              <w:t>华中师范大学文科科研楼室内精装及室外园林景观设计 </w:t>
            </w:r>
          </w:p>
        </w:tc>
      </w:tr>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color w:val="auto"/>
                <w:sz w:val="28"/>
              </w:rPr>
            </w:pPr>
            <w:r>
              <w:rPr>
                <w:rFonts w:asciiTheme="minorEastAsia" w:hAnsiTheme="minorEastAsia" w:eastAsiaTheme="minorEastAsia" w:cstheme="minorEastAsia"/>
                <w:b/>
                <w:color w:val="auto"/>
                <w:sz w:val="28"/>
              </w:rPr>
              <w:t>采 购  方 式：</w:t>
            </w:r>
          </w:p>
        </w:tc>
        <w:tc>
          <w:tcPr>
            <w:tcW w:w="6053" w:type="dxa"/>
            <w:tcBorders>
              <w:top w:val="nil"/>
              <w:left w:val="nil"/>
              <w:bottom w:val="nil"/>
              <w:right w:val="nil"/>
              <w:tl2br w:val="nil"/>
              <w:tr2bl w:val="nil"/>
            </w:tcBorders>
            <w:vAlign w:val="center"/>
          </w:tcPr>
          <w:p>
            <w:pPr>
              <w:pStyle w:val="95"/>
              <w:kinsoku w:val="0"/>
              <w:overflowPunct w:val="0"/>
              <w:spacing w:before="122" w:line="299" w:lineRule="exact"/>
              <w:ind w:left="55"/>
              <w:rPr>
                <w:rFonts w:hint="default" w:asciiTheme="minorEastAsia" w:hAnsiTheme="minorEastAsia" w:eastAsiaTheme="minorEastAsia" w:cstheme="minorEastAsia"/>
                <w:b/>
                <w:color w:val="auto"/>
                <w:sz w:val="28"/>
              </w:rPr>
            </w:pPr>
            <w:r>
              <w:rPr>
                <w:rFonts w:asciiTheme="minorEastAsia" w:hAnsiTheme="minorEastAsia" w:eastAsiaTheme="minorEastAsia" w:cstheme="minorEastAsia"/>
                <w:b/>
                <w:color w:val="auto"/>
                <w:sz w:val="28"/>
              </w:rPr>
              <w:t>竞争性磋商</w:t>
            </w:r>
          </w:p>
        </w:tc>
      </w:tr>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color w:val="auto"/>
                <w:sz w:val="28"/>
              </w:rPr>
            </w:pPr>
            <w:r>
              <w:rPr>
                <w:rFonts w:asciiTheme="minorEastAsia" w:hAnsiTheme="minorEastAsia" w:eastAsiaTheme="minorEastAsia" w:cstheme="minorEastAsia"/>
                <w:b/>
                <w:color w:val="auto"/>
                <w:sz w:val="28"/>
              </w:rPr>
              <w:t>采 购  类 别：</w:t>
            </w:r>
          </w:p>
        </w:tc>
        <w:tc>
          <w:tcPr>
            <w:tcW w:w="6053" w:type="dxa"/>
            <w:tcBorders>
              <w:top w:val="nil"/>
              <w:left w:val="nil"/>
              <w:bottom w:val="nil"/>
              <w:right w:val="nil"/>
              <w:tl2br w:val="nil"/>
              <w:tr2bl w:val="nil"/>
            </w:tcBorders>
            <w:vAlign w:val="center"/>
          </w:tcPr>
          <w:p>
            <w:pPr>
              <w:pStyle w:val="95"/>
              <w:kinsoku w:val="0"/>
              <w:overflowPunct w:val="0"/>
              <w:spacing w:before="122" w:line="299" w:lineRule="exact"/>
              <w:ind w:left="55"/>
              <w:rPr>
                <w:rFonts w:hint="default" w:asciiTheme="minorEastAsia" w:hAnsiTheme="minorEastAsia" w:eastAsiaTheme="minorEastAsia" w:cstheme="minorEastAsia"/>
                <w:b/>
                <w:color w:val="auto"/>
                <w:sz w:val="28"/>
              </w:rPr>
            </w:pPr>
            <w:r>
              <w:rPr>
                <w:rFonts w:asciiTheme="minorEastAsia" w:hAnsiTheme="minorEastAsia" w:eastAsiaTheme="minorEastAsia" w:cstheme="minorEastAsia"/>
                <w:b/>
                <w:color w:val="auto"/>
                <w:sz w:val="28"/>
              </w:rPr>
              <w:t>服务</w:t>
            </w:r>
          </w:p>
        </w:tc>
      </w:tr>
    </w:tbl>
    <w:p>
      <w:pPr>
        <w:pStyle w:val="2"/>
        <w:kinsoku w:val="0"/>
        <w:overflowPunct w:val="0"/>
        <w:rPr>
          <w:rFonts w:asciiTheme="minorEastAsia" w:hAnsiTheme="minorEastAsia" w:eastAsiaTheme="minorEastAsia" w:cstheme="minorEastAsia"/>
          <w:color w:val="auto"/>
          <w:sz w:val="20"/>
        </w:rPr>
      </w:pPr>
    </w:p>
    <w:p>
      <w:pPr>
        <w:pStyle w:val="2"/>
        <w:kinsoku w:val="0"/>
        <w:overflowPunct w:val="0"/>
        <w:rPr>
          <w:rFonts w:asciiTheme="minorEastAsia" w:hAnsiTheme="minorEastAsia" w:eastAsiaTheme="minorEastAsia" w:cstheme="minorEastAsia"/>
          <w:color w:val="auto"/>
          <w:sz w:val="20"/>
        </w:rPr>
      </w:pPr>
    </w:p>
    <w:p>
      <w:pPr>
        <w:pStyle w:val="2"/>
        <w:kinsoku w:val="0"/>
        <w:overflowPunct w:val="0"/>
        <w:rPr>
          <w:rFonts w:asciiTheme="minorEastAsia" w:hAnsiTheme="minorEastAsia" w:eastAsiaTheme="minorEastAsia" w:cstheme="minorEastAsia"/>
          <w:color w:val="auto"/>
          <w:sz w:val="20"/>
        </w:rPr>
      </w:pPr>
    </w:p>
    <w:p>
      <w:pPr>
        <w:pStyle w:val="2"/>
        <w:kinsoku w:val="0"/>
        <w:overflowPunct w:val="0"/>
        <w:rPr>
          <w:rFonts w:asciiTheme="minorEastAsia" w:hAnsiTheme="minorEastAsia" w:eastAsiaTheme="minorEastAsia" w:cstheme="minorEastAsia"/>
          <w:color w:val="auto"/>
          <w:sz w:val="20"/>
        </w:rPr>
      </w:pPr>
    </w:p>
    <w:p>
      <w:pPr>
        <w:pStyle w:val="2"/>
        <w:kinsoku w:val="0"/>
        <w:overflowPunct w:val="0"/>
        <w:rPr>
          <w:rFonts w:asciiTheme="minorEastAsia" w:hAnsiTheme="minorEastAsia" w:eastAsiaTheme="minorEastAsia" w:cstheme="minorEastAsia"/>
          <w:color w:val="auto"/>
          <w:sz w:val="20"/>
        </w:rPr>
      </w:pPr>
    </w:p>
    <w:p>
      <w:pPr>
        <w:pStyle w:val="2"/>
        <w:kinsoku w:val="0"/>
        <w:overflowPunct w:val="0"/>
        <w:rPr>
          <w:rFonts w:asciiTheme="minorEastAsia" w:hAnsiTheme="minorEastAsia" w:eastAsiaTheme="minorEastAsia" w:cstheme="minorEastAsia"/>
          <w:color w:val="auto"/>
          <w:sz w:val="20"/>
        </w:rPr>
      </w:pPr>
    </w:p>
    <w:p>
      <w:pPr>
        <w:pStyle w:val="2"/>
        <w:kinsoku w:val="0"/>
        <w:overflowPunct w:val="0"/>
        <w:rPr>
          <w:rFonts w:asciiTheme="minorEastAsia" w:hAnsiTheme="minorEastAsia" w:eastAsiaTheme="minorEastAsia" w:cstheme="minorEastAsia"/>
          <w:color w:val="auto"/>
          <w:sz w:val="20"/>
        </w:rPr>
      </w:pPr>
    </w:p>
    <w:p>
      <w:pPr>
        <w:pStyle w:val="2"/>
        <w:kinsoku w:val="0"/>
        <w:overflowPunct w:val="0"/>
        <w:spacing w:before="4"/>
        <w:rPr>
          <w:rFonts w:asciiTheme="minorEastAsia" w:hAnsiTheme="minorEastAsia" w:eastAsiaTheme="minorEastAsia" w:cstheme="minorEastAsia"/>
          <w:color w:val="auto"/>
          <w:sz w:val="20"/>
        </w:rPr>
      </w:pPr>
    </w:p>
    <w:tbl>
      <w:tblPr>
        <w:tblStyle w:val="26"/>
        <w:tblW w:w="8123" w:type="dxa"/>
        <w:tblInd w:w="713" w:type="dxa"/>
        <w:tblLayout w:type="fixed"/>
        <w:tblCellMar>
          <w:top w:w="0" w:type="dxa"/>
          <w:left w:w="0" w:type="dxa"/>
          <w:bottom w:w="0" w:type="dxa"/>
          <w:right w:w="0" w:type="dxa"/>
        </w:tblCellMar>
      </w:tblPr>
      <w:tblGrid>
        <w:gridCol w:w="2041"/>
        <w:gridCol w:w="6082"/>
      </w:tblGrid>
      <w:tr>
        <w:trPr>
          <w:trHeight w:val="441"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color w:val="auto"/>
                <w:sz w:val="28"/>
              </w:rPr>
            </w:pPr>
            <w:r>
              <w:rPr>
                <w:rFonts w:asciiTheme="minorEastAsia" w:hAnsiTheme="minorEastAsia" w:eastAsiaTheme="minorEastAsia" w:cstheme="minorEastAsia"/>
                <w:b/>
                <w:color w:val="auto"/>
                <w:sz w:val="28"/>
              </w:rPr>
              <w:t>采   购   人：</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color w:val="auto"/>
                <w:sz w:val="28"/>
              </w:rPr>
            </w:pPr>
            <w:r>
              <w:rPr>
                <w:rFonts w:asciiTheme="minorEastAsia" w:hAnsiTheme="minorEastAsia" w:eastAsiaTheme="minorEastAsia" w:cstheme="minorEastAsia"/>
                <w:b/>
                <w:color w:val="auto"/>
                <w:sz w:val="28"/>
              </w:rPr>
              <w:t>华中师范大学</w:t>
            </w:r>
          </w:p>
        </w:tc>
      </w:tr>
      <w:tr>
        <w:tblPrEx>
          <w:tblCellMar>
            <w:top w:w="0" w:type="dxa"/>
            <w:left w:w="0" w:type="dxa"/>
            <w:bottom w:w="0" w:type="dxa"/>
            <w:right w:w="0" w:type="dxa"/>
          </w:tblCellMar>
        </w:tblPrEx>
        <w:trPr>
          <w:trHeight w:val="603"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color w:val="auto"/>
                <w:sz w:val="28"/>
              </w:rPr>
            </w:pPr>
            <w:r>
              <w:rPr>
                <w:rFonts w:asciiTheme="minorEastAsia" w:hAnsiTheme="minorEastAsia" w:eastAsiaTheme="minorEastAsia" w:cstheme="minorEastAsia"/>
                <w:b/>
                <w:color w:val="auto"/>
                <w:sz w:val="28"/>
              </w:rPr>
              <w:t>采购代理机构：</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color w:val="auto"/>
                <w:sz w:val="28"/>
              </w:rPr>
            </w:pPr>
            <w:r>
              <w:rPr>
                <w:rFonts w:asciiTheme="minorEastAsia" w:hAnsiTheme="minorEastAsia" w:eastAsiaTheme="minorEastAsia" w:cstheme="minorEastAsia"/>
                <w:b/>
                <w:color w:val="auto"/>
                <w:sz w:val="28"/>
              </w:rPr>
              <w:t>中经国际招标集团有限公司</w:t>
            </w:r>
          </w:p>
        </w:tc>
      </w:tr>
      <w:tr>
        <w:tblPrEx>
          <w:tblCellMar>
            <w:top w:w="0" w:type="dxa"/>
            <w:left w:w="0" w:type="dxa"/>
            <w:bottom w:w="0" w:type="dxa"/>
            <w:right w:w="0" w:type="dxa"/>
          </w:tblCellMar>
        </w:tblPrEx>
        <w:trPr>
          <w:trHeight w:val="442"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color w:val="auto"/>
                <w:sz w:val="28"/>
              </w:rPr>
            </w:pPr>
            <w:r>
              <w:rPr>
                <w:rFonts w:asciiTheme="minorEastAsia" w:hAnsiTheme="minorEastAsia" w:eastAsiaTheme="minorEastAsia" w:cstheme="minorEastAsia"/>
                <w:b/>
                <w:color w:val="auto"/>
                <w:sz w:val="28"/>
              </w:rPr>
              <w:t>编 制 时 间 ：</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color w:val="auto"/>
                <w:sz w:val="28"/>
              </w:rPr>
            </w:pPr>
            <w:r>
              <w:rPr>
                <w:rFonts w:asciiTheme="minorEastAsia" w:hAnsiTheme="minorEastAsia" w:eastAsiaTheme="minorEastAsia" w:cstheme="minorEastAsia"/>
                <w:b/>
                <w:color w:val="auto"/>
                <w:sz w:val="28"/>
              </w:rPr>
              <w:t>2021年</w:t>
            </w:r>
            <w:r>
              <w:rPr>
                <w:rFonts w:hint="eastAsia" w:asciiTheme="minorEastAsia" w:hAnsiTheme="minorEastAsia" w:eastAsiaTheme="minorEastAsia" w:cstheme="minorEastAsia"/>
                <w:b/>
                <w:color w:val="auto"/>
                <w:sz w:val="28"/>
                <w:lang w:val="en-US" w:eastAsia="zh-CN"/>
              </w:rPr>
              <w:t>6</w:t>
            </w:r>
            <w:r>
              <w:rPr>
                <w:rFonts w:asciiTheme="minorEastAsia" w:hAnsiTheme="minorEastAsia" w:eastAsiaTheme="minorEastAsia" w:cstheme="minorEastAsia"/>
                <w:b/>
                <w:color w:val="auto"/>
                <w:sz w:val="28"/>
              </w:rPr>
              <w:t>月</w:t>
            </w:r>
          </w:p>
        </w:tc>
      </w:tr>
    </w:tbl>
    <w:p>
      <w:pPr>
        <w:rPr>
          <w:rFonts w:asciiTheme="minorEastAsia" w:hAnsiTheme="minorEastAsia" w:eastAsiaTheme="minorEastAsia" w:cstheme="minorEastAsia"/>
          <w:color w:val="auto"/>
          <w:sz w:val="20"/>
        </w:rPr>
        <w:sectPr>
          <w:type w:val="continuous"/>
          <w:pgSz w:w="11910" w:h="16840"/>
          <w:pgMar w:top="1400" w:right="1200" w:bottom="280" w:left="1200" w:header="720" w:footer="720" w:gutter="0"/>
          <w:cols w:space="720" w:num="1"/>
        </w:sectPr>
      </w:pPr>
    </w:p>
    <w:p>
      <w:pPr>
        <w:spacing w:line="360" w:lineRule="auto"/>
        <w:jc w:val="center"/>
        <w:rPr>
          <w:rFonts w:asciiTheme="minorEastAsia" w:hAnsiTheme="minorEastAsia" w:eastAsiaTheme="minorEastAsia" w:cstheme="minorEastAsia"/>
          <w:b/>
          <w:bCs/>
          <w:color w:val="auto"/>
          <w:sz w:val="24"/>
          <w:lang w:val="zh-CN"/>
        </w:rPr>
      </w:pPr>
      <w:r>
        <w:rPr>
          <w:rFonts w:hint="eastAsia" w:asciiTheme="minorEastAsia" w:hAnsiTheme="minorEastAsia" w:eastAsiaTheme="minorEastAsia" w:cstheme="minorEastAsia"/>
          <w:b/>
          <w:bCs/>
          <w:color w:val="auto"/>
          <w:sz w:val="24"/>
          <w:lang w:val="zh-CN"/>
        </w:rPr>
        <w:t>目  录</w:t>
      </w:r>
    </w:p>
    <w:p>
      <w:pPr>
        <w:pStyle w:val="20"/>
        <w:tabs>
          <w:tab w:val="right" w:leader="dot" w:pos="9072"/>
        </w:tabs>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TOC \o "1-3" \h \z \u </w:instrText>
      </w:r>
      <w:r>
        <w:rPr>
          <w:rFonts w:hint="eastAsia" w:asciiTheme="minorEastAsia" w:hAnsiTheme="minorEastAsia" w:eastAsiaTheme="minorEastAsia" w:cstheme="minorEastAsia"/>
          <w:color w:val="auto"/>
          <w:szCs w:val="21"/>
        </w:rPr>
        <w:fldChar w:fldCharType="separate"/>
      </w:r>
      <w:r>
        <w:rPr>
          <w:color w:val="auto"/>
        </w:rPr>
        <w:fldChar w:fldCharType="begin"/>
      </w:r>
      <w:r>
        <w:rPr>
          <w:color w:val="auto"/>
        </w:rPr>
        <w:instrText xml:space="preserve"> HYPERLINK \l "_Toc6363" </w:instrText>
      </w:r>
      <w:r>
        <w:rPr>
          <w:color w:val="auto"/>
        </w:rPr>
        <w:fldChar w:fldCharType="separate"/>
      </w:r>
      <w:r>
        <w:rPr>
          <w:rFonts w:hint="eastAsia" w:asciiTheme="minorEastAsia" w:hAnsiTheme="minorEastAsia" w:eastAsiaTheme="minorEastAsia" w:cstheme="minorEastAsia"/>
          <w:bCs/>
          <w:color w:val="auto"/>
          <w:szCs w:val="21"/>
        </w:rPr>
        <w:t xml:space="preserve">第一章 </w:t>
      </w:r>
      <w:r>
        <w:rPr>
          <w:rFonts w:hint="eastAsia" w:asciiTheme="minorEastAsia" w:hAnsiTheme="minorEastAsia" w:eastAsiaTheme="minorEastAsia" w:cstheme="minorEastAsia"/>
          <w:color w:val="auto"/>
          <w:szCs w:val="21"/>
        </w:rPr>
        <w:t>竞争性磋商公告</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_Toc6363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5</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"_Toc6475" </w:instrText>
      </w:r>
      <w:r>
        <w:rPr>
          <w:color w:val="auto"/>
        </w:rPr>
        <w:fldChar w:fldCharType="separate"/>
      </w:r>
      <w:r>
        <w:rPr>
          <w:rFonts w:hint="eastAsia" w:asciiTheme="minorEastAsia" w:hAnsiTheme="minorEastAsia" w:eastAsiaTheme="minorEastAsia" w:cstheme="minorEastAsia"/>
          <w:color w:val="auto"/>
          <w:szCs w:val="21"/>
        </w:rPr>
        <w:t>一、 项目基本情况</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_Toc6475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5</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"_Toc17986" </w:instrText>
      </w:r>
      <w:r>
        <w:rPr>
          <w:color w:val="auto"/>
        </w:rPr>
        <w:fldChar w:fldCharType="separate"/>
      </w:r>
      <w:r>
        <w:rPr>
          <w:rFonts w:hint="eastAsia" w:asciiTheme="minorEastAsia" w:hAnsiTheme="minorEastAsia" w:eastAsiaTheme="minorEastAsia" w:cstheme="minorEastAsia"/>
          <w:color w:val="auto"/>
          <w:szCs w:val="21"/>
        </w:rPr>
        <w:t>二、 申请人的资格要求</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_Toc17986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6</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"_Toc25596" </w:instrText>
      </w:r>
      <w:r>
        <w:rPr>
          <w:color w:val="auto"/>
        </w:rPr>
        <w:fldChar w:fldCharType="separate"/>
      </w:r>
      <w:r>
        <w:rPr>
          <w:rFonts w:hint="eastAsia" w:asciiTheme="minorEastAsia" w:hAnsiTheme="minorEastAsia" w:eastAsiaTheme="minorEastAsia" w:cstheme="minorEastAsia"/>
          <w:color w:val="auto"/>
          <w:szCs w:val="21"/>
        </w:rPr>
        <w:t>三、 获取采购文件</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_Toc25596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6</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"_Toc20123" </w:instrText>
      </w:r>
      <w:r>
        <w:rPr>
          <w:color w:val="auto"/>
        </w:rPr>
        <w:fldChar w:fldCharType="separate"/>
      </w:r>
      <w:r>
        <w:rPr>
          <w:rFonts w:hint="eastAsia" w:asciiTheme="minorEastAsia" w:hAnsiTheme="minorEastAsia" w:eastAsiaTheme="minorEastAsia" w:cstheme="minorEastAsia"/>
          <w:color w:val="auto"/>
          <w:szCs w:val="21"/>
        </w:rPr>
        <w:t>四、 响应文件提交</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_Toc20123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7</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"_Toc28228" </w:instrText>
      </w:r>
      <w:r>
        <w:rPr>
          <w:color w:val="auto"/>
        </w:rPr>
        <w:fldChar w:fldCharType="separate"/>
      </w:r>
      <w:r>
        <w:rPr>
          <w:rFonts w:hint="eastAsia" w:asciiTheme="minorEastAsia" w:hAnsiTheme="minorEastAsia" w:eastAsiaTheme="minorEastAsia" w:cstheme="minorEastAsia"/>
          <w:color w:val="auto"/>
          <w:szCs w:val="21"/>
        </w:rPr>
        <w:t>五、 开启</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_Toc28228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7</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"_Toc12264" </w:instrText>
      </w:r>
      <w:r>
        <w:rPr>
          <w:color w:val="auto"/>
        </w:rPr>
        <w:fldChar w:fldCharType="separate"/>
      </w:r>
      <w:r>
        <w:rPr>
          <w:rFonts w:hint="eastAsia" w:asciiTheme="minorEastAsia" w:hAnsiTheme="minorEastAsia" w:eastAsiaTheme="minorEastAsia" w:cstheme="minorEastAsia"/>
          <w:color w:val="auto"/>
          <w:szCs w:val="21"/>
        </w:rPr>
        <w:t>六、 公告期限</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_Toc12264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7</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"_Toc2961" </w:instrText>
      </w:r>
      <w:r>
        <w:rPr>
          <w:color w:val="auto"/>
        </w:rPr>
        <w:fldChar w:fldCharType="separate"/>
      </w:r>
      <w:r>
        <w:rPr>
          <w:rFonts w:hint="eastAsia" w:asciiTheme="minorEastAsia" w:hAnsiTheme="minorEastAsia" w:eastAsiaTheme="minorEastAsia" w:cstheme="minorEastAsia"/>
          <w:color w:val="auto"/>
          <w:szCs w:val="21"/>
        </w:rPr>
        <w:t>七、 其他补充事宜</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_Toc2961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7</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"_Toc20355" </w:instrText>
      </w:r>
      <w:r>
        <w:rPr>
          <w:color w:val="auto"/>
        </w:rPr>
        <w:fldChar w:fldCharType="separate"/>
      </w:r>
      <w:r>
        <w:rPr>
          <w:rFonts w:hint="eastAsia" w:asciiTheme="minorEastAsia" w:hAnsiTheme="minorEastAsia" w:eastAsiaTheme="minorEastAsia" w:cstheme="minorEastAsia"/>
          <w:color w:val="auto"/>
          <w:szCs w:val="21"/>
        </w:rPr>
        <w:t>八、 凡对本次采购提出询问，请按以下方式联系</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_Toc20355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7</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"_Toc5336" </w:instrText>
      </w:r>
      <w:r>
        <w:rPr>
          <w:color w:val="auto"/>
        </w:rPr>
        <w:fldChar w:fldCharType="separate"/>
      </w:r>
      <w:r>
        <w:rPr>
          <w:rFonts w:hint="eastAsia" w:asciiTheme="minorEastAsia" w:hAnsiTheme="minorEastAsia" w:eastAsiaTheme="minorEastAsia" w:cstheme="minorEastAsia"/>
          <w:color w:val="auto"/>
          <w:szCs w:val="21"/>
        </w:rPr>
        <w:t>九、 注意事项</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_Toc5336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8</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0"/>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"_Toc3981" </w:instrText>
      </w:r>
      <w:r>
        <w:rPr>
          <w:color w:val="auto"/>
        </w:rPr>
        <w:fldChar w:fldCharType="separate"/>
      </w:r>
      <w:r>
        <w:rPr>
          <w:rFonts w:hint="eastAsia" w:asciiTheme="minorEastAsia" w:hAnsiTheme="minorEastAsia" w:eastAsiaTheme="minorEastAsia" w:cstheme="minorEastAsia"/>
          <w:color w:val="auto"/>
          <w:szCs w:val="21"/>
        </w:rPr>
        <w:t>第二章 供应商须知</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_Toc3981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9</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"_Toc1221" </w:instrText>
      </w:r>
      <w:r>
        <w:rPr>
          <w:color w:val="auto"/>
        </w:rPr>
        <w:fldChar w:fldCharType="separate"/>
      </w:r>
      <w:r>
        <w:rPr>
          <w:rFonts w:hint="eastAsia" w:asciiTheme="minorEastAsia" w:hAnsiTheme="minorEastAsia" w:eastAsiaTheme="minorEastAsia" w:cstheme="minorEastAsia"/>
          <w:color w:val="auto"/>
          <w:szCs w:val="21"/>
        </w:rPr>
        <w:t>《供应商须知前附表》</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_Toc1221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9</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"_Toc25796" </w:instrText>
      </w:r>
      <w:r>
        <w:rPr>
          <w:color w:val="auto"/>
        </w:rPr>
        <w:fldChar w:fldCharType="separate"/>
      </w:r>
      <w:r>
        <w:rPr>
          <w:rFonts w:hint="eastAsia" w:asciiTheme="minorEastAsia" w:hAnsiTheme="minorEastAsia" w:eastAsiaTheme="minorEastAsia" w:cstheme="minorEastAsia"/>
          <w:color w:val="auto"/>
          <w:szCs w:val="21"/>
        </w:rPr>
        <w:t>供应商须知</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_Toc25796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13</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"_Toc30402" </w:instrText>
      </w:r>
      <w:r>
        <w:rPr>
          <w:color w:val="auto"/>
        </w:rPr>
        <w:fldChar w:fldCharType="separate"/>
      </w:r>
      <w:r>
        <w:rPr>
          <w:rFonts w:hint="eastAsia" w:asciiTheme="minorEastAsia" w:hAnsiTheme="minorEastAsia" w:eastAsiaTheme="minorEastAsia" w:cstheme="minorEastAsia"/>
          <w:color w:val="auto"/>
          <w:szCs w:val="21"/>
        </w:rPr>
        <w:t>一、 总则</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_Toc30402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13</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"_Toc6153" </w:instrText>
      </w:r>
      <w:r>
        <w:rPr>
          <w:color w:val="auto"/>
        </w:rPr>
        <w:fldChar w:fldCharType="separate"/>
      </w:r>
      <w:r>
        <w:rPr>
          <w:rFonts w:hint="eastAsia" w:asciiTheme="minorEastAsia" w:hAnsiTheme="minorEastAsia" w:eastAsiaTheme="minorEastAsia" w:cstheme="minorEastAsia"/>
          <w:color w:val="auto"/>
          <w:szCs w:val="21"/>
        </w:rPr>
        <w:t>1、 适用法律及范围</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_Toc6153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13</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"_Toc9947" </w:instrText>
      </w:r>
      <w:r>
        <w:rPr>
          <w:color w:val="auto"/>
        </w:rPr>
        <w:fldChar w:fldCharType="separate"/>
      </w:r>
      <w:r>
        <w:rPr>
          <w:rFonts w:hint="eastAsia" w:asciiTheme="minorEastAsia" w:hAnsiTheme="minorEastAsia" w:eastAsiaTheme="minorEastAsia" w:cstheme="minorEastAsia"/>
          <w:color w:val="auto"/>
          <w:szCs w:val="21"/>
        </w:rPr>
        <w:t>2、 定义</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_Toc9947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13</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"_Toc31012" </w:instrText>
      </w:r>
      <w:r>
        <w:rPr>
          <w:color w:val="auto"/>
        </w:rPr>
        <w:fldChar w:fldCharType="separate"/>
      </w:r>
      <w:r>
        <w:rPr>
          <w:rFonts w:hint="eastAsia" w:asciiTheme="minorEastAsia" w:hAnsiTheme="minorEastAsia" w:eastAsiaTheme="minorEastAsia" w:cstheme="minorEastAsia"/>
          <w:color w:val="auto"/>
          <w:szCs w:val="21"/>
        </w:rPr>
        <w:t xml:space="preserve">3、 </w:t>
      </w:r>
      <w:r>
        <w:rPr>
          <w:rFonts w:hint="eastAsia" w:asciiTheme="minorEastAsia" w:hAnsiTheme="minorEastAsia" w:eastAsiaTheme="minorEastAsia" w:cstheme="minorEastAsia"/>
          <w:snapToGrid w:val="0"/>
          <w:color w:val="auto"/>
          <w:kern w:val="0"/>
          <w:szCs w:val="21"/>
          <w:lang w:val="zh-CN"/>
        </w:rPr>
        <w:t>工程、货物及服务</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_Toc31012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13</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"_Toc16894" </w:instrText>
      </w:r>
      <w:r>
        <w:rPr>
          <w:color w:val="auto"/>
        </w:rPr>
        <w:fldChar w:fldCharType="separate"/>
      </w:r>
      <w:r>
        <w:rPr>
          <w:rFonts w:hint="eastAsia" w:asciiTheme="minorEastAsia" w:hAnsiTheme="minorEastAsia" w:eastAsiaTheme="minorEastAsia" w:cstheme="minorEastAsia"/>
          <w:color w:val="auto"/>
          <w:szCs w:val="21"/>
        </w:rPr>
        <w:t>4、 费用</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_Toc16894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13</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"_Toc13439" </w:instrText>
      </w:r>
      <w:r>
        <w:rPr>
          <w:color w:val="auto"/>
        </w:rPr>
        <w:fldChar w:fldCharType="separate"/>
      </w:r>
      <w:r>
        <w:rPr>
          <w:rFonts w:hint="eastAsia" w:asciiTheme="minorEastAsia" w:hAnsiTheme="minorEastAsia" w:eastAsiaTheme="minorEastAsia" w:cstheme="minorEastAsia"/>
          <w:color w:val="auto"/>
          <w:szCs w:val="21"/>
        </w:rPr>
        <w:t>二、 竞争性磋商采购文件</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_Toc13439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14</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"_Toc4412" </w:instrText>
      </w:r>
      <w:r>
        <w:rPr>
          <w:color w:val="auto"/>
        </w:rPr>
        <w:fldChar w:fldCharType="separate"/>
      </w:r>
      <w:r>
        <w:rPr>
          <w:rFonts w:hint="eastAsia" w:asciiTheme="minorEastAsia" w:hAnsiTheme="minorEastAsia" w:eastAsiaTheme="minorEastAsia" w:cstheme="minorEastAsia"/>
          <w:color w:val="auto"/>
          <w:szCs w:val="21"/>
        </w:rPr>
        <w:t>5、 竞争性磋商采购文件的构成</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_Toc4412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14</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"_Toc19446" </w:instrText>
      </w:r>
      <w:r>
        <w:rPr>
          <w:color w:val="auto"/>
        </w:rPr>
        <w:fldChar w:fldCharType="separate"/>
      </w:r>
      <w:r>
        <w:rPr>
          <w:rFonts w:hint="eastAsia" w:asciiTheme="minorEastAsia" w:hAnsiTheme="minorEastAsia" w:eastAsiaTheme="minorEastAsia" w:cstheme="minorEastAsia"/>
          <w:snapToGrid w:val="0"/>
          <w:color w:val="auto"/>
          <w:kern w:val="0"/>
          <w:szCs w:val="21"/>
          <w:lang w:val="zh-CN"/>
        </w:rPr>
        <w:t>6、 竞争性磋商采购文件的澄清</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_Toc19446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15</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"_Toc8166" </w:instrText>
      </w:r>
      <w:r>
        <w:rPr>
          <w:color w:val="auto"/>
        </w:rPr>
        <w:fldChar w:fldCharType="separate"/>
      </w:r>
      <w:r>
        <w:rPr>
          <w:rFonts w:hint="eastAsia" w:asciiTheme="minorEastAsia" w:hAnsiTheme="minorEastAsia" w:eastAsiaTheme="minorEastAsia" w:cstheme="minorEastAsia"/>
          <w:snapToGrid w:val="0"/>
          <w:color w:val="auto"/>
          <w:kern w:val="0"/>
          <w:szCs w:val="21"/>
          <w:lang w:val="zh-CN"/>
        </w:rPr>
        <w:t>7、 竞争性磋商采购文件的修改</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_Toc8166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15</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"_Toc29421" </w:instrText>
      </w:r>
      <w:r>
        <w:rPr>
          <w:color w:val="auto"/>
        </w:rPr>
        <w:fldChar w:fldCharType="separate"/>
      </w:r>
      <w:r>
        <w:rPr>
          <w:rFonts w:hint="eastAsia" w:asciiTheme="minorEastAsia" w:hAnsiTheme="minorEastAsia" w:eastAsiaTheme="minorEastAsia" w:cstheme="minorEastAsia"/>
          <w:color w:val="auto"/>
          <w:szCs w:val="21"/>
        </w:rPr>
        <w:t>三、 竞争性磋商响应文件</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_Toc29421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15</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"_Toc15295" </w:instrText>
      </w:r>
      <w:r>
        <w:rPr>
          <w:color w:val="auto"/>
        </w:rPr>
        <w:fldChar w:fldCharType="separate"/>
      </w:r>
      <w:r>
        <w:rPr>
          <w:rFonts w:hint="eastAsia" w:asciiTheme="minorEastAsia" w:hAnsiTheme="minorEastAsia" w:eastAsiaTheme="minorEastAsia" w:cstheme="minorEastAsia"/>
          <w:snapToGrid w:val="0"/>
          <w:color w:val="auto"/>
          <w:kern w:val="0"/>
          <w:szCs w:val="21"/>
          <w:lang w:val="zh-CN"/>
        </w:rPr>
        <w:t>8、 语言和计量单位</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_Toc15295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15</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"_Toc20553" </w:instrText>
      </w:r>
      <w:r>
        <w:rPr>
          <w:color w:val="auto"/>
        </w:rPr>
        <w:fldChar w:fldCharType="separate"/>
      </w:r>
      <w:r>
        <w:rPr>
          <w:rFonts w:hint="eastAsia" w:asciiTheme="minorEastAsia" w:hAnsiTheme="minorEastAsia" w:eastAsiaTheme="minorEastAsia" w:cstheme="minorEastAsia"/>
          <w:snapToGrid w:val="0"/>
          <w:color w:val="auto"/>
          <w:kern w:val="0"/>
          <w:szCs w:val="21"/>
          <w:lang w:val="zh-CN"/>
        </w:rPr>
        <w:t>9、 竞争性磋商响应文件的构成</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_Toc20553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15</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"_Toc26524" </w:instrText>
      </w:r>
      <w:r>
        <w:rPr>
          <w:color w:val="auto"/>
        </w:rPr>
        <w:fldChar w:fldCharType="separate"/>
      </w:r>
      <w:r>
        <w:rPr>
          <w:rFonts w:hint="eastAsia" w:asciiTheme="minorEastAsia" w:hAnsiTheme="minorEastAsia" w:eastAsiaTheme="minorEastAsia" w:cstheme="minorEastAsia"/>
          <w:snapToGrid w:val="0"/>
          <w:color w:val="auto"/>
          <w:kern w:val="0"/>
          <w:szCs w:val="21"/>
          <w:lang w:val="zh-CN"/>
        </w:rPr>
        <w:t>10、 竞争性磋商响应文件的编制</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_Toc26524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16</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"_Toc32001" </w:instrText>
      </w:r>
      <w:r>
        <w:rPr>
          <w:color w:val="auto"/>
        </w:rPr>
        <w:fldChar w:fldCharType="separate"/>
      </w:r>
      <w:r>
        <w:rPr>
          <w:rFonts w:hint="eastAsia" w:asciiTheme="minorEastAsia" w:hAnsiTheme="minorEastAsia" w:eastAsiaTheme="minorEastAsia" w:cstheme="minorEastAsia"/>
          <w:snapToGrid w:val="0"/>
          <w:color w:val="auto"/>
          <w:kern w:val="0"/>
          <w:szCs w:val="21"/>
          <w:lang w:val="zh-CN"/>
        </w:rPr>
        <w:t>11、 磋商报价</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_Toc32001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16</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"_Toc23591" </w:instrText>
      </w:r>
      <w:r>
        <w:rPr>
          <w:color w:val="auto"/>
        </w:rPr>
        <w:fldChar w:fldCharType="separate"/>
      </w:r>
      <w:r>
        <w:rPr>
          <w:rFonts w:hint="eastAsia" w:asciiTheme="minorEastAsia" w:hAnsiTheme="minorEastAsia" w:eastAsiaTheme="minorEastAsia" w:cstheme="minorEastAsia"/>
          <w:snapToGrid w:val="0"/>
          <w:color w:val="auto"/>
          <w:kern w:val="0"/>
          <w:szCs w:val="21"/>
          <w:lang w:val="zh-CN"/>
        </w:rPr>
        <w:t>12、 备选方案</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_Toc23591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16</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"_Toc3168" </w:instrText>
      </w:r>
      <w:r>
        <w:rPr>
          <w:color w:val="auto"/>
        </w:rPr>
        <w:fldChar w:fldCharType="separate"/>
      </w:r>
      <w:r>
        <w:rPr>
          <w:rFonts w:hint="eastAsia" w:asciiTheme="minorEastAsia" w:hAnsiTheme="minorEastAsia" w:eastAsiaTheme="minorEastAsia" w:cstheme="minorEastAsia"/>
          <w:snapToGrid w:val="0"/>
          <w:color w:val="auto"/>
          <w:kern w:val="0"/>
          <w:szCs w:val="21"/>
          <w:lang w:val="zh-CN"/>
        </w:rPr>
        <w:t>13、 联合体</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_Toc3168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16</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"_Toc20391" </w:instrText>
      </w:r>
      <w:r>
        <w:rPr>
          <w:color w:val="auto"/>
        </w:rPr>
        <w:fldChar w:fldCharType="separate"/>
      </w:r>
      <w:r>
        <w:rPr>
          <w:rFonts w:hint="eastAsia" w:asciiTheme="minorEastAsia" w:hAnsiTheme="minorEastAsia" w:eastAsiaTheme="minorEastAsia" w:cstheme="minorEastAsia"/>
          <w:snapToGrid w:val="0"/>
          <w:color w:val="auto"/>
          <w:kern w:val="0"/>
          <w:szCs w:val="21"/>
          <w:lang w:val="zh-CN"/>
        </w:rPr>
        <w:t>14、 供应商资格证明文件</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_Toc20391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17</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"_Toc4911" </w:instrText>
      </w:r>
      <w:r>
        <w:rPr>
          <w:color w:val="auto"/>
        </w:rPr>
        <w:fldChar w:fldCharType="separate"/>
      </w:r>
      <w:r>
        <w:rPr>
          <w:rFonts w:hint="eastAsia" w:asciiTheme="minorEastAsia" w:hAnsiTheme="minorEastAsia" w:eastAsiaTheme="minorEastAsia" w:cstheme="minorEastAsia"/>
          <w:snapToGrid w:val="0"/>
          <w:color w:val="auto"/>
          <w:kern w:val="0"/>
          <w:szCs w:val="21"/>
          <w:lang w:val="zh-CN"/>
        </w:rPr>
        <w:t>15、 证明报价内容、服务合格性和符合竞争性磋商采购文件规定的文件</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_Toc4911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17</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"_Toc17646" </w:instrText>
      </w:r>
      <w:r>
        <w:rPr>
          <w:color w:val="auto"/>
        </w:rPr>
        <w:fldChar w:fldCharType="separate"/>
      </w:r>
      <w:r>
        <w:rPr>
          <w:rFonts w:hint="eastAsia" w:asciiTheme="minorEastAsia" w:hAnsiTheme="minorEastAsia" w:eastAsiaTheme="minorEastAsia" w:cstheme="minorEastAsia"/>
          <w:snapToGrid w:val="0"/>
          <w:color w:val="auto"/>
          <w:kern w:val="0"/>
          <w:szCs w:val="21"/>
          <w:lang w:val="zh-CN"/>
        </w:rPr>
        <w:t>16、 磋商保证金</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_Toc17646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17</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"_Toc3426" </w:instrText>
      </w:r>
      <w:r>
        <w:rPr>
          <w:color w:val="auto"/>
        </w:rPr>
        <w:fldChar w:fldCharType="separate"/>
      </w:r>
      <w:r>
        <w:rPr>
          <w:rFonts w:hint="eastAsia" w:asciiTheme="minorEastAsia" w:hAnsiTheme="minorEastAsia" w:eastAsiaTheme="minorEastAsia" w:cstheme="minorEastAsia"/>
          <w:snapToGrid w:val="0"/>
          <w:color w:val="auto"/>
          <w:kern w:val="0"/>
          <w:szCs w:val="21"/>
          <w:lang w:val="zh-CN"/>
        </w:rPr>
        <w:t>17、 磋商有效期</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_Toc3426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18</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"_Toc25313" </w:instrText>
      </w:r>
      <w:r>
        <w:rPr>
          <w:color w:val="auto"/>
        </w:rPr>
        <w:fldChar w:fldCharType="separate"/>
      </w:r>
      <w:r>
        <w:rPr>
          <w:rFonts w:hint="eastAsia" w:asciiTheme="minorEastAsia" w:hAnsiTheme="minorEastAsia" w:eastAsiaTheme="minorEastAsia" w:cstheme="minorEastAsia"/>
          <w:snapToGrid w:val="0"/>
          <w:color w:val="auto"/>
          <w:kern w:val="0"/>
          <w:szCs w:val="21"/>
          <w:lang w:val="zh-CN"/>
        </w:rPr>
        <w:t>18、 竞争性磋商响应文件的装订、签署和数量</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_Toc25313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18</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"_Toc15872" </w:instrText>
      </w:r>
      <w:r>
        <w:rPr>
          <w:color w:val="auto"/>
        </w:rPr>
        <w:fldChar w:fldCharType="separate"/>
      </w:r>
      <w:r>
        <w:rPr>
          <w:rFonts w:hint="eastAsia" w:asciiTheme="minorEastAsia" w:hAnsiTheme="minorEastAsia" w:eastAsiaTheme="minorEastAsia" w:cstheme="minorEastAsia"/>
          <w:color w:val="auto"/>
          <w:szCs w:val="21"/>
        </w:rPr>
        <w:t>四、 竞争性磋商响应文件的递交</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_Toc15872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18</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"_Toc8513" </w:instrText>
      </w:r>
      <w:r>
        <w:rPr>
          <w:color w:val="auto"/>
        </w:rPr>
        <w:fldChar w:fldCharType="separate"/>
      </w:r>
      <w:r>
        <w:rPr>
          <w:rFonts w:hint="eastAsia" w:asciiTheme="minorEastAsia" w:hAnsiTheme="minorEastAsia" w:eastAsiaTheme="minorEastAsia" w:cstheme="minorEastAsia"/>
          <w:snapToGrid w:val="0"/>
          <w:color w:val="auto"/>
          <w:kern w:val="0"/>
          <w:szCs w:val="21"/>
          <w:lang w:val="zh-CN"/>
        </w:rPr>
        <w:t xml:space="preserve">19、 </w:t>
      </w:r>
      <w:r>
        <w:rPr>
          <w:rFonts w:hint="eastAsia" w:asciiTheme="minorEastAsia" w:hAnsiTheme="minorEastAsia" w:eastAsiaTheme="minorEastAsia" w:cstheme="minorEastAsia"/>
          <w:color w:val="auto"/>
          <w:szCs w:val="21"/>
        </w:rPr>
        <w:t>竞争性磋商响应文件</w:t>
      </w:r>
      <w:r>
        <w:rPr>
          <w:rFonts w:hint="eastAsia" w:asciiTheme="minorEastAsia" w:hAnsiTheme="minorEastAsia" w:eastAsiaTheme="minorEastAsia" w:cstheme="minorEastAsia"/>
          <w:snapToGrid w:val="0"/>
          <w:color w:val="auto"/>
          <w:kern w:val="0"/>
          <w:szCs w:val="21"/>
          <w:lang w:val="zh-CN"/>
        </w:rPr>
        <w:t>的密封和标记</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_Toc8513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18</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"_Toc17235" </w:instrText>
      </w:r>
      <w:r>
        <w:rPr>
          <w:color w:val="auto"/>
        </w:rPr>
        <w:fldChar w:fldCharType="separate"/>
      </w:r>
      <w:r>
        <w:rPr>
          <w:rFonts w:hint="eastAsia" w:asciiTheme="minorEastAsia" w:hAnsiTheme="minorEastAsia" w:eastAsiaTheme="minorEastAsia" w:cstheme="minorEastAsia"/>
          <w:snapToGrid w:val="0"/>
          <w:color w:val="auto"/>
          <w:kern w:val="0"/>
          <w:szCs w:val="21"/>
          <w:lang w:val="zh-CN"/>
        </w:rPr>
        <w:t>20、 竞争性磋商响应文件的送达地点及截止时间</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_Toc17235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19</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"_Toc15504" </w:instrText>
      </w:r>
      <w:r>
        <w:rPr>
          <w:color w:val="auto"/>
        </w:rPr>
        <w:fldChar w:fldCharType="separate"/>
      </w:r>
      <w:r>
        <w:rPr>
          <w:rFonts w:hint="eastAsia" w:asciiTheme="minorEastAsia" w:hAnsiTheme="minorEastAsia" w:eastAsiaTheme="minorEastAsia" w:cstheme="minorEastAsia"/>
          <w:snapToGrid w:val="0"/>
          <w:color w:val="auto"/>
          <w:kern w:val="0"/>
          <w:szCs w:val="21"/>
          <w:lang w:val="zh-CN"/>
        </w:rPr>
        <w:t>21、 迟交的竞争性磋商响应文件</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_Toc15504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19</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"_Toc10669" </w:instrText>
      </w:r>
      <w:r>
        <w:rPr>
          <w:color w:val="auto"/>
        </w:rPr>
        <w:fldChar w:fldCharType="separate"/>
      </w:r>
      <w:r>
        <w:rPr>
          <w:rFonts w:hint="eastAsia" w:asciiTheme="minorEastAsia" w:hAnsiTheme="minorEastAsia" w:eastAsiaTheme="minorEastAsia" w:cstheme="minorEastAsia"/>
          <w:snapToGrid w:val="0"/>
          <w:color w:val="auto"/>
          <w:kern w:val="0"/>
          <w:szCs w:val="21"/>
          <w:lang w:val="zh-CN"/>
        </w:rPr>
        <w:t>22、 竞争性磋商响应文件的补充、修改或者撤回</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_Toc10669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19</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"_Toc12875" </w:instrText>
      </w:r>
      <w:r>
        <w:rPr>
          <w:color w:val="auto"/>
        </w:rPr>
        <w:fldChar w:fldCharType="separate"/>
      </w:r>
      <w:r>
        <w:rPr>
          <w:rFonts w:hint="eastAsia" w:asciiTheme="minorEastAsia" w:hAnsiTheme="minorEastAsia" w:eastAsiaTheme="minorEastAsia" w:cstheme="minorEastAsia"/>
          <w:color w:val="auto"/>
          <w:szCs w:val="21"/>
        </w:rPr>
        <w:t>五、 磋商程序及步骤</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_Toc12875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19</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"_Toc22851" </w:instrText>
      </w:r>
      <w:r>
        <w:rPr>
          <w:color w:val="auto"/>
        </w:rPr>
        <w:fldChar w:fldCharType="separate"/>
      </w:r>
      <w:r>
        <w:rPr>
          <w:rFonts w:hint="eastAsia" w:asciiTheme="minorEastAsia" w:hAnsiTheme="minorEastAsia" w:eastAsiaTheme="minorEastAsia" w:cstheme="minorEastAsia"/>
          <w:snapToGrid w:val="0"/>
          <w:color w:val="auto"/>
          <w:kern w:val="0"/>
          <w:szCs w:val="21"/>
          <w:lang w:val="zh-CN"/>
        </w:rPr>
        <w:t xml:space="preserve">23、 </w:t>
      </w:r>
      <w:r>
        <w:rPr>
          <w:rFonts w:hint="eastAsia" w:asciiTheme="minorEastAsia" w:hAnsiTheme="minorEastAsia" w:eastAsiaTheme="minorEastAsia" w:cstheme="minorEastAsia"/>
          <w:color w:val="auto"/>
          <w:szCs w:val="21"/>
        </w:rPr>
        <w:t>竞争性磋商小组</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_Toc22851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19</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"_Toc20435" </w:instrText>
      </w:r>
      <w:r>
        <w:rPr>
          <w:color w:val="auto"/>
        </w:rPr>
        <w:fldChar w:fldCharType="separate"/>
      </w:r>
      <w:r>
        <w:rPr>
          <w:rFonts w:hint="eastAsia" w:asciiTheme="minorEastAsia" w:hAnsiTheme="minorEastAsia" w:eastAsiaTheme="minorEastAsia" w:cstheme="minorEastAsia"/>
          <w:snapToGrid w:val="0"/>
          <w:color w:val="auto"/>
          <w:kern w:val="0"/>
          <w:szCs w:val="21"/>
          <w:lang w:val="zh-CN"/>
        </w:rPr>
        <w:t xml:space="preserve">24、 </w:t>
      </w:r>
      <w:r>
        <w:rPr>
          <w:rFonts w:hint="eastAsia" w:asciiTheme="minorEastAsia" w:hAnsiTheme="minorEastAsia" w:eastAsiaTheme="minorEastAsia" w:cstheme="minorEastAsia"/>
          <w:color w:val="auto"/>
          <w:szCs w:val="21"/>
        </w:rPr>
        <w:t>磋商代表</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_Toc20435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19</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"_Toc24556" </w:instrText>
      </w:r>
      <w:r>
        <w:rPr>
          <w:color w:val="auto"/>
        </w:rPr>
        <w:fldChar w:fldCharType="separate"/>
      </w:r>
      <w:r>
        <w:rPr>
          <w:rFonts w:hint="eastAsia" w:asciiTheme="minorEastAsia" w:hAnsiTheme="minorEastAsia" w:eastAsiaTheme="minorEastAsia" w:cstheme="minorEastAsia"/>
          <w:color w:val="auto"/>
          <w:szCs w:val="21"/>
        </w:rPr>
        <w:t>25、 资格审查和符合性审查</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_Toc24556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20</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"_Toc29110" </w:instrText>
      </w:r>
      <w:r>
        <w:rPr>
          <w:color w:val="auto"/>
        </w:rPr>
        <w:fldChar w:fldCharType="separate"/>
      </w:r>
      <w:r>
        <w:rPr>
          <w:rFonts w:hint="eastAsia" w:asciiTheme="minorEastAsia" w:hAnsiTheme="minorEastAsia" w:eastAsiaTheme="minorEastAsia" w:cstheme="minorEastAsia"/>
          <w:color w:val="auto"/>
          <w:szCs w:val="21"/>
        </w:rPr>
        <w:t>26、 磋商</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_Toc29110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20</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"_Toc24005" </w:instrText>
      </w:r>
      <w:r>
        <w:rPr>
          <w:color w:val="auto"/>
        </w:rPr>
        <w:fldChar w:fldCharType="separate"/>
      </w:r>
      <w:r>
        <w:rPr>
          <w:rFonts w:hint="eastAsia" w:asciiTheme="minorEastAsia" w:hAnsiTheme="minorEastAsia" w:eastAsiaTheme="minorEastAsia" w:cstheme="minorEastAsia"/>
          <w:color w:val="auto"/>
          <w:szCs w:val="21"/>
          <w:lang w:val="zh-CN"/>
        </w:rPr>
        <w:t>27、 保密</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_Toc24005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21</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"_Toc15936" </w:instrText>
      </w:r>
      <w:r>
        <w:rPr>
          <w:color w:val="auto"/>
        </w:rPr>
        <w:fldChar w:fldCharType="separate"/>
      </w:r>
      <w:r>
        <w:rPr>
          <w:rFonts w:hint="eastAsia" w:asciiTheme="minorEastAsia" w:hAnsiTheme="minorEastAsia" w:eastAsiaTheme="minorEastAsia" w:cstheme="minorEastAsia"/>
          <w:color w:val="auto"/>
          <w:szCs w:val="21"/>
        </w:rPr>
        <w:t>六、 成交与签订合同</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_Toc15936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21</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"_Toc21514" </w:instrText>
      </w:r>
      <w:r>
        <w:rPr>
          <w:color w:val="auto"/>
        </w:rPr>
        <w:fldChar w:fldCharType="separate"/>
      </w:r>
      <w:r>
        <w:rPr>
          <w:rFonts w:hint="eastAsia" w:asciiTheme="minorEastAsia" w:hAnsiTheme="minorEastAsia" w:eastAsiaTheme="minorEastAsia" w:cstheme="minorEastAsia"/>
          <w:color w:val="auto"/>
          <w:szCs w:val="21"/>
          <w:lang w:val="zh-CN"/>
        </w:rPr>
        <w:t>28、 合同授予标准</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_Toc21514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21</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"_Toc15727" </w:instrText>
      </w:r>
      <w:r>
        <w:rPr>
          <w:color w:val="auto"/>
        </w:rPr>
        <w:fldChar w:fldCharType="separate"/>
      </w:r>
      <w:r>
        <w:rPr>
          <w:rFonts w:hint="eastAsia" w:asciiTheme="minorEastAsia" w:hAnsiTheme="minorEastAsia" w:eastAsiaTheme="minorEastAsia" w:cstheme="minorEastAsia"/>
          <w:color w:val="auto"/>
          <w:szCs w:val="21"/>
          <w:lang w:val="zh-CN"/>
        </w:rPr>
        <w:t>29、 签订合同</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_Toc15727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21</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"_Toc20387" </w:instrText>
      </w:r>
      <w:r>
        <w:rPr>
          <w:color w:val="auto"/>
        </w:rPr>
        <w:fldChar w:fldCharType="separate"/>
      </w:r>
      <w:r>
        <w:rPr>
          <w:rFonts w:hint="eastAsia" w:asciiTheme="minorEastAsia" w:hAnsiTheme="minorEastAsia" w:eastAsiaTheme="minorEastAsia" w:cstheme="minorEastAsia"/>
          <w:color w:val="auto"/>
          <w:szCs w:val="21"/>
          <w:lang w:val="zh-CN"/>
        </w:rPr>
        <w:t>31、 质疑回复</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_Toc20387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23</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"_Toc459" </w:instrText>
      </w:r>
      <w:r>
        <w:rPr>
          <w:color w:val="auto"/>
        </w:rPr>
        <w:fldChar w:fldCharType="separate"/>
      </w:r>
      <w:r>
        <w:rPr>
          <w:rFonts w:hint="eastAsia" w:asciiTheme="minorEastAsia" w:hAnsiTheme="minorEastAsia" w:eastAsiaTheme="minorEastAsia" w:cstheme="minorEastAsia"/>
          <w:color w:val="auto"/>
          <w:szCs w:val="21"/>
          <w:lang w:val="zh-CN"/>
        </w:rPr>
        <w:t>32、 投诉</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_Toc459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23</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"_Toc30010" </w:instrText>
      </w:r>
      <w:r>
        <w:rPr>
          <w:color w:val="auto"/>
        </w:rPr>
        <w:fldChar w:fldCharType="separate"/>
      </w:r>
      <w:r>
        <w:rPr>
          <w:rFonts w:hint="eastAsia" w:asciiTheme="minorEastAsia" w:hAnsiTheme="minorEastAsia" w:eastAsiaTheme="minorEastAsia" w:cstheme="minorEastAsia"/>
          <w:color w:val="auto"/>
          <w:szCs w:val="21"/>
          <w:lang w:val="zh-CN"/>
        </w:rPr>
        <w:t>八、 政策</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_Toc30010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23</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"_Toc28842" </w:instrText>
      </w:r>
      <w:r>
        <w:rPr>
          <w:color w:val="auto"/>
        </w:rPr>
        <w:fldChar w:fldCharType="separate"/>
      </w:r>
      <w:r>
        <w:rPr>
          <w:rFonts w:hint="eastAsia" w:asciiTheme="minorEastAsia" w:hAnsiTheme="minorEastAsia" w:eastAsiaTheme="minorEastAsia" w:cstheme="minorEastAsia"/>
          <w:color w:val="auto"/>
          <w:szCs w:val="21"/>
        </w:rPr>
        <w:t>33、 政府采购政策</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_Toc28842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23</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"_Toc25296" </w:instrText>
      </w:r>
      <w:r>
        <w:rPr>
          <w:color w:val="auto"/>
        </w:rPr>
        <w:fldChar w:fldCharType="separate"/>
      </w:r>
      <w:r>
        <w:rPr>
          <w:rFonts w:hint="eastAsia" w:asciiTheme="minorEastAsia" w:hAnsiTheme="minorEastAsia" w:eastAsiaTheme="minorEastAsia" w:cstheme="minorEastAsia"/>
          <w:color w:val="auto"/>
          <w:szCs w:val="21"/>
          <w:lang w:val="zh-CN"/>
        </w:rPr>
        <w:t>九、 其他要求</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_Toc25296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25</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"_Toc28137" </w:instrText>
      </w:r>
      <w:r>
        <w:rPr>
          <w:color w:val="auto"/>
        </w:rPr>
        <w:fldChar w:fldCharType="separate"/>
      </w:r>
      <w:r>
        <w:rPr>
          <w:rFonts w:hint="eastAsia" w:asciiTheme="minorEastAsia" w:hAnsiTheme="minorEastAsia" w:eastAsiaTheme="minorEastAsia" w:cstheme="minorEastAsia"/>
          <w:color w:val="auto"/>
          <w:szCs w:val="21"/>
          <w:lang w:val="zh-CN"/>
        </w:rPr>
        <w:t>十、 适用法律</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_Toc28137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25</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0"/>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"_Toc15149" </w:instrText>
      </w:r>
      <w:r>
        <w:rPr>
          <w:color w:val="auto"/>
        </w:rPr>
        <w:fldChar w:fldCharType="separate"/>
      </w:r>
      <w:r>
        <w:rPr>
          <w:rFonts w:hint="eastAsia" w:asciiTheme="minorEastAsia" w:hAnsiTheme="minorEastAsia" w:eastAsiaTheme="minorEastAsia" w:cstheme="minorEastAsia"/>
          <w:color w:val="auto"/>
          <w:szCs w:val="21"/>
        </w:rPr>
        <w:t xml:space="preserve">第三章 </w:t>
      </w:r>
      <w:r>
        <w:rPr>
          <w:rFonts w:hint="eastAsia" w:asciiTheme="minorEastAsia" w:hAnsiTheme="minorEastAsia" w:eastAsiaTheme="minorEastAsia" w:cstheme="minorEastAsia"/>
          <w:bCs/>
          <w:color w:val="auto"/>
          <w:szCs w:val="21"/>
        </w:rPr>
        <w:t>采购需求</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_Toc15149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26</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"_Toc3623" </w:instrText>
      </w:r>
      <w:r>
        <w:rPr>
          <w:color w:val="auto"/>
        </w:rPr>
        <w:fldChar w:fldCharType="separate"/>
      </w:r>
      <w:r>
        <w:rPr>
          <w:rFonts w:hint="eastAsia" w:asciiTheme="minorEastAsia" w:hAnsiTheme="minorEastAsia" w:eastAsiaTheme="minorEastAsia" w:cstheme="minorEastAsia"/>
          <w:bCs/>
          <w:color w:val="auto"/>
          <w:szCs w:val="21"/>
        </w:rPr>
        <w:t>一、技术需求</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_Toc3623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26</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"_Toc4510" </w:instrText>
      </w:r>
      <w:r>
        <w:rPr>
          <w:color w:val="auto"/>
        </w:rPr>
        <w:fldChar w:fldCharType="separate"/>
      </w:r>
      <w:r>
        <w:rPr>
          <w:rFonts w:hint="eastAsia" w:asciiTheme="minorEastAsia" w:hAnsiTheme="minorEastAsia" w:eastAsiaTheme="minorEastAsia" w:cstheme="minorEastAsia"/>
          <w:bCs/>
          <w:color w:val="auto"/>
          <w:szCs w:val="21"/>
        </w:rPr>
        <w:t>二、商务需求</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_Toc4510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26</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0"/>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"_Toc24802" </w:instrText>
      </w:r>
      <w:r>
        <w:rPr>
          <w:color w:val="auto"/>
        </w:rPr>
        <w:fldChar w:fldCharType="separate"/>
      </w:r>
      <w:r>
        <w:rPr>
          <w:rFonts w:hint="eastAsia" w:asciiTheme="minorEastAsia" w:hAnsiTheme="minorEastAsia" w:eastAsiaTheme="minorEastAsia" w:cstheme="minorEastAsia"/>
          <w:color w:val="auto"/>
          <w:szCs w:val="21"/>
        </w:rPr>
        <w:t>第四章 竞争性磋商采购评定办法</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_Toc24802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28</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"_Toc24499" </w:instrText>
      </w:r>
      <w:r>
        <w:rPr>
          <w:color w:val="auto"/>
        </w:rPr>
        <w:fldChar w:fldCharType="separate"/>
      </w:r>
      <w:r>
        <w:rPr>
          <w:rFonts w:hint="eastAsia" w:asciiTheme="minorEastAsia" w:hAnsiTheme="minorEastAsia" w:eastAsiaTheme="minorEastAsia" w:cstheme="minorEastAsia"/>
          <w:color w:val="auto"/>
          <w:szCs w:val="21"/>
        </w:rPr>
        <w:t>一、评定办法前附表</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_Toc24499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28</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"_Toc20017" </w:instrText>
      </w:r>
      <w:r>
        <w:rPr>
          <w:color w:val="auto"/>
        </w:rPr>
        <w:fldChar w:fldCharType="separate"/>
      </w:r>
      <w:r>
        <w:rPr>
          <w:rFonts w:hint="eastAsia" w:asciiTheme="minorEastAsia" w:hAnsiTheme="minorEastAsia" w:eastAsiaTheme="minorEastAsia" w:cstheme="minorEastAsia"/>
          <w:color w:val="auto"/>
          <w:szCs w:val="21"/>
        </w:rPr>
        <w:t>二、计算办法</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_Toc20017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30</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"_Toc5844" </w:instrText>
      </w:r>
      <w:r>
        <w:rPr>
          <w:color w:val="auto"/>
        </w:rPr>
        <w:fldChar w:fldCharType="separate"/>
      </w:r>
      <w:r>
        <w:rPr>
          <w:rFonts w:hint="eastAsia" w:asciiTheme="minorEastAsia" w:hAnsiTheme="minorEastAsia" w:eastAsiaTheme="minorEastAsia" w:cstheme="minorEastAsia"/>
          <w:color w:val="auto"/>
          <w:szCs w:val="21"/>
        </w:rPr>
        <w:t>三、评分细则</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_Toc5844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31</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"_Toc16832" </w:instrText>
      </w:r>
      <w:r>
        <w:rPr>
          <w:color w:val="auto"/>
        </w:rPr>
        <w:fldChar w:fldCharType="separate"/>
      </w:r>
      <w:r>
        <w:rPr>
          <w:rFonts w:hint="eastAsia" w:asciiTheme="minorEastAsia" w:hAnsiTheme="minorEastAsia" w:eastAsiaTheme="minorEastAsia" w:cstheme="minorEastAsia"/>
          <w:color w:val="auto"/>
          <w:szCs w:val="21"/>
        </w:rPr>
        <w:t>四、评定办法</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_Toc16832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33</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"_Toc12017" </w:instrText>
      </w:r>
      <w:r>
        <w:rPr>
          <w:color w:val="auto"/>
        </w:rPr>
        <w:fldChar w:fldCharType="separate"/>
      </w:r>
      <w:r>
        <w:rPr>
          <w:rFonts w:hint="eastAsia" w:asciiTheme="minorEastAsia" w:hAnsiTheme="minorEastAsia" w:eastAsiaTheme="minorEastAsia" w:cstheme="minorEastAsia"/>
          <w:color w:val="auto"/>
          <w:szCs w:val="21"/>
        </w:rPr>
        <w:t>五、磋商及评审步骤</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_Toc12017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34</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0"/>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"_Toc26676" </w:instrText>
      </w:r>
      <w:r>
        <w:rPr>
          <w:color w:val="auto"/>
        </w:rPr>
        <w:fldChar w:fldCharType="separate"/>
      </w:r>
      <w:r>
        <w:rPr>
          <w:rFonts w:hint="eastAsia" w:asciiTheme="minorEastAsia" w:hAnsiTheme="minorEastAsia" w:eastAsiaTheme="minorEastAsia" w:cstheme="minorEastAsia"/>
          <w:color w:val="auto"/>
          <w:kern w:val="0"/>
          <w:szCs w:val="21"/>
        </w:rPr>
        <w:t xml:space="preserve">第五章 </w:t>
      </w:r>
      <w:r>
        <w:rPr>
          <w:rFonts w:hint="eastAsia" w:asciiTheme="minorEastAsia" w:hAnsiTheme="minorEastAsia" w:eastAsiaTheme="minorEastAsia" w:cstheme="minorEastAsia"/>
          <w:color w:val="auto"/>
          <w:szCs w:val="21"/>
        </w:rPr>
        <w:t>合同书格式</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_Toc26676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37</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0"/>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"_Toc6614" </w:instrText>
      </w:r>
      <w:r>
        <w:rPr>
          <w:color w:val="auto"/>
        </w:rPr>
        <w:fldChar w:fldCharType="separate"/>
      </w:r>
      <w:r>
        <w:rPr>
          <w:rFonts w:hint="eastAsia" w:asciiTheme="minorEastAsia" w:hAnsiTheme="minorEastAsia" w:eastAsiaTheme="minorEastAsia" w:cstheme="minorEastAsia"/>
          <w:color w:val="auto"/>
          <w:szCs w:val="21"/>
        </w:rPr>
        <w:t>第六章 竞争性磋商响应文件格式</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_Toc6614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39</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"_Toc3298" </w:instrText>
      </w:r>
      <w:r>
        <w:rPr>
          <w:color w:val="auto"/>
        </w:rPr>
        <w:fldChar w:fldCharType="separate"/>
      </w:r>
      <w:r>
        <w:rPr>
          <w:rFonts w:hint="eastAsia" w:asciiTheme="minorEastAsia" w:hAnsiTheme="minorEastAsia" w:eastAsiaTheme="minorEastAsia" w:cstheme="minorEastAsia"/>
          <w:color w:val="auto"/>
          <w:szCs w:val="21"/>
        </w:rPr>
        <w:t>一、评分标准索引表</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_Toc3298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40</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"_Toc31578" </w:instrText>
      </w:r>
      <w:r>
        <w:rPr>
          <w:color w:val="auto"/>
        </w:rPr>
        <w:fldChar w:fldCharType="separate"/>
      </w:r>
      <w:r>
        <w:rPr>
          <w:rFonts w:hint="eastAsia" w:asciiTheme="minorEastAsia" w:hAnsiTheme="minorEastAsia" w:eastAsiaTheme="minorEastAsia" w:cstheme="minorEastAsia"/>
          <w:color w:val="auto"/>
          <w:szCs w:val="21"/>
        </w:rPr>
        <w:t>二、磋商书</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_Toc31578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41</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"_Toc31434" </w:instrText>
      </w:r>
      <w:r>
        <w:rPr>
          <w:color w:val="auto"/>
        </w:rPr>
        <w:fldChar w:fldCharType="separate"/>
      </w:r>
      <w:r>
        <w:rPr>
          <w:rFonts w:hint="eastAsia" w:asciiTheme="minorEastAsia" w:hAnsiTheme="minorEastAsia" w:eastAsiaTheme="minorEastAsia" w:cstheme="minorEastAsia"/>
          <w:color w:val="auto"/>
          <w:szCs w:val="21"/>
        </w:rPr>
        <w:t>三、法定代表人授权书</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_Toc31434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42</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"_Toc30428" </w:instrText>
      </w:r>
      <w:r>
        <w:rPr>
          <w:color w:val="auto"/>
        </w:rPr>
        <w:fldChar w:fldCharType="separate"/>
      </w:r>
      <w:r>
        <w:rPr>
          <w:rFonts w:hint="eastAsia" w:asciiTheme="minorEastAsia" w:hAnsiTheme="minorEastAsia" w:eastAsiaTheme="minorEastAsia" w:cstheme="minorEastAsia"/>
          <w:bCs/>
          <w:color w:val="auto"/>
          <w:kern w:val="0"/>
          <w:szCs w:val="21"/>
        </w:rPr>
        <w:t>四、</w:t>
      </w:r>
      <w:r>
        <w:rPr>
          <w:rFonts w:hint="eastAsia" w:asciiTheme="minorEastAsia" w:hAnsiTheme="minorEastAsia" w:eastAsiaTheme="minorEastAsia" w:cstheme="minorEastAsia"/>
          <w:bCs/>
          <w:color w:val="auto"/>
          <w:szCs w:val="21"/>
        </w:rPr>
        <w:t>法定代表人身份证明书</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_Toc30428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43</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"_Toc17074" </w:instrText>
      </w:r>
      <w:r>
        <w:rPr>
          <w:color w:val="auto"/>
        </w:rPr>
        <w:fldChar w:fldCharType="separate"/>
      </w:r>
      <w:r>
        <w:rPr>
          <w:rFonts w:hint="eastAsia" w:asciiTheme="minorEastAsia" w:hAnsiTheme="minorEastAsia" w:eastAsiaTheme="minorEastAsia" w:cstheme="minorEastAsia"/>
          <w:bCs/>
          <w:color w:val="auto"/>
          <w:szCs w:val="21"/>
        </w:rPr>
        <w:t>五、报价一览表</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_Toc17074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44</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"_Toc20867" </w:instrText>
      </w:r>
      <w:r>
        <w:rPr>
          <w:color w:val="auto"/>
        </w:rPr>
        <w:fldChar w:fldCharType="separate"/>
      </w:r>
      <w:r>
        <w:rPr>
          <w:rFonts w:hint="eastAsia" w:asciiTheme="minorEastAsia" w:hAnsiTheme="minorEastAsia" w:eastAsiaTheme="minorEastAsia" w:cstheme="minorEastAsia"/>
          <w:bCs/>
          <w:color w:val="auto"/>
          <w:szCs w:val="21"/>
        </w:rPr>
        <w:t>六、报价费用构成表</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_Toc20867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45</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"_Toc30408" </w:instrText>
      </w:r>
      <w:r>
        <w:rPr>
          <w:color w:val="auto"/>
        </w:rPr>
        <w:fldChar w:fldCharType="separate"/>
      </w:r>
      <w:r>
        <w:rPr>
          <w:rFonts w:hint="eastAsia" w:asciiTheme="minorEastAsia" w:hAnsiTheme="minorEastAsia" w:eastAsiaTheme="minorEastAsia" w:cstheme="minorEastAsia"/>
          <w:bCs/>
          <w:color w:val="auto"/>
          <w:szCs w:val="21"/>
        </w:rPr>
        <w:t>七、耗材清单（如有）</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_Toc30408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46</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"_Toc22463" </w:instrText>
      </w:r>
      <w:r>
        <w:rPr>
          <w:color w:val="auto"/>
        </w:rPr>
        <w:fldChar w:fldCharType="separate"/>
      </w:r>
      <w:r>
        <w:rPr>
          <w:rFonts w:hint="eastAsia" w:asciiTheme="minorEastAsia" w:hAnsiTheme="minorEastAsia" w:eastAsiaTheme="minorEastAsia" w:cstheme="minorEastAsia"/>
          <w:bCs/>
          <w:color w:val="auto"/>
          <w:szCs w:val="21"/>
        </w:rPr>
        <w:t>八、拟投入设备/备件、工具情况（如有）</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_Toc22463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47</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"_Toc12473" </w:instrText>
      </w:r>
      <w:r>
        <w:rPr>
          <w:color w:val="auto"/>
        </w:rPr>
        <w:fldChar w:fldCharType="separate"/>
      </w:r>
      <w:r>
        <w:rPr>
          <w:rFonts w:hint="eastAsia" w:asciiTheme="minorEastAsia" w:hAnsiTheme="minorEastAsia" w:eastAsiaTheme="minorEastAsia" w:cstheme="minorEastAsia"/>
          <w:bCs/>
          <w:color w:val="auto"/>
          <w:szCs w:val="21"/>
        </w:rPr>
        <w:t>九、缴纳保证金的银行凭证（如有）</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_Toc12473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48</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"_Toc10142" </w:instrText>
      </w:r>
      <w:r>
        <w:rPr>
          <w:color w:val="auto"/>
        </w:rPr>
        <w:fldChar w:fldCharType="separate"/>
      </w:r>
      <w:r>
        <w:rPr>
          <w:rFonts w:hint="eastAsia" w:asciiTheme="minorEastAsia" w:hAnsiTheme="minorEastAsia" w:eastAsiaTheme="minorEastAsia" w:cstheme="minorEastAsia"/>
          <w:bCs/>
          <w:color w:val="auto"/>
          <w:szCs w:val="21"/>
        </w:rPr>
        <w:t>十、偏离说明表</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_Toc10142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49</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"_Toc7457" </w:instrText>
      </w:r>
      <w:r>
        <w:rPr>
          <w:color w:val="auto"/>
        </w:rPr>
        <w:fldChar w:fldCharType="separate"/>
      </w:r>
      <w:r>
        <w:rPr>
          <w:rFonts w:hint="eastAsia" w:asciiTheme="minorEastAsia" w:hAnsiTheme="minorEastAsia" w:eastAsiaTheme="minorEastAsia" w:cstheme="minorEastAsia"/>
          <w:color w:val="auto"/>
          <w:kern w:val="0"/>
          <w:szCs w:val="21"/>
        </w:rPr>
        <w:t>十一、</w:t>
      </w:r>
      <w:r>
        <w:rPr>
          <w:rFonts w:hint="eastAsia" w:asciiTheme="minorEastAsia" w:hAnsiTheme="minorEastAsia" w:eastAsiaTheme="minorEastAsia" w:cstheme="minorEastAsia"/>
          <w:bCs/>
          <w:color w:val="auto"/>
          <w:szCs w:val="21"/>
        </w:rPr>
        <w:t xml:space="preserve">类似业绩一览表 </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_Toc7457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50</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"_Toc20207" </w:instrText>
      </w:r>
      <w:r>
        <w:rPr>
          <w:color w:val="auto"/>
        </w:rPr>
        <w:fldChar w:fldCharType="separate"/>
      </w:r>
      <w:r>
        <w:rPr>
          <w:rFonts w:hint="eastAsia" w:asciiTheme="minorEastAsia" w:hAnsiTheme="minorEastAsia" w:eastAsiaTheme="minorEastAsia" w:cstheme="minorEastAsia"/>
          <w:bCs/>
          <w:color w:val="auto"/>
          <w:szCs w:val="21"/>
        </w:rPr>
        <w:t>十二、拟投入项目组人员一览表</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_Toc20207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51</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"_Toc24501" </w:instrText>
      </w:r>
      <w:r>
        <w:rPr>
          <w:color w:val="auto"/>
        </w:rPr>
        <w:fldChar w:fldCharType="separate"/>
      </w:r>
      <w:r>
        <w:rPr>
          <w:rFonts w:hint="eastAsia" w:asciiTheme="minorEastAsia" w:hAnsiTheme="minorEastAsia" w:eastAsiaTheme="minorEastAsia" w:cstheme="minorEastAsia"/>
          <w:bCs/>
          <w:color w:val="auto"/>
          <w:kern w:val="0"/>
          <w:szCs w:val="21"/>
        </w:rPr>
        <w:t>十三、</w:t>
      </w:r>
      <w:r>
        <w:rPr>
          <w:rFonts w:hint="eastAsia" w:asciiTheme="minorEastAsia" w:hAnsiTheme="minorEastAsia" w:eastAsiaTheme="minorEastAsia" w:cstheme="minorEastAsia"/>
          <w:bCs/>
          <w:color w:val="auto"/>
          <w:szCs w:val="21"/>
        </w:rPr>
        <w:t>供应商的资格声明</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_Toc24501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52</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"_Toc25412" </w:instrText>
      </w:r>
      <w:r>
        <w:rPr>
          <w:color w:val="auto"/>
        </w:rPr>
        <w:fldChar w:fldCharType="separate"/>
      </w:r>
      <w:r>
        <w:rPr>
          <w:rFonts w:hint="eastAsia" w:asciiTheme="minorEastAsia" w:hAnsiTheme="minorEastAsia" w:eastAsiaTheme="minorEastAsia" w:cstheme="minorEastAsia"/>
          <w:bCs/>
          <w:color w:val="auto"/>
          <w:kern w:val="0"/>
          <w:szCs w:val="21"/>
        </w:rPr>
        <w:t>十四、</w:t>
      </w:r>
      <w:r>
        <w:rPr>
          <w:rFonts w:hint="eastAsia" w:asciiTheme="minorEastAsia" w:hAnsiTheme="minorEastAsia" w:eastAsiaTheme="minorEastAsia" w:cstheme="minorEastAsia"/>
          <w:bCs/>
          <w:color w:val="auto"/>
          <w:szCs w:val="21"/>
        </w:rPr>
        <w:t>资格证明文件</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_Toc25412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53</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"_Toc32162" </w:instrText>
      </w:r>
      <w:r>
        <w:rPr>
          <w:color w:val="auto"/>
        </w:rPr>
        <w:fldChar w:fldCharType="separate"/>
      </w:r>
      <w:r>
        <w:rPr>
          <w:rFonts w:hint="eastAsia" w:asciiTheme="minorEastAsia" w:hAnsiTheme="minorEastAsia" w:eastAsiaTheme="minorEastAsia" w:cstheme="minorEastAsia"/>
          <w:bCs/>
          <w:color w:val="auto"/>
          <w:kern w:val="0"/>
          <w:szCs w:val="21"/>
        </w:rPr>
        <w:t>十五、</w:t>
      </w:r>
      <w:r>
        <w:rPr>
          <w:rFonts w:hint="eastAsia" w:asciiTheme="minorEastAsia" w:hAnsiTheme="minorEastAsia" w:eastAsiaTheme="minorEastAsia" w:cstheme="minorEastAsia"/>
          <w:color w:val="auto"/>
          <w:szCs w:val="21"/>
        </w:rPr>
        <w:t>报价技术文件</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_Toc32162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54</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"_Toc11098" </w:instrText>
      </w:r>
      <w:r>
        <w:rPr>
          <w:color w:val="auto"/>
        </w:rPr>
        <w:fldChar w:fldCharType="separate"/>
      </w:r>
      <w:r>
        <w:rPr>
          <w:rFonts w:hint="eastAsia" w:asciiTheme="minorEastAsia" w:hAnsiTheme="minorEastAsia" w:eastAsiaTheme="minorEastAsia" w:cstheme="minorEastAsia"/>
          <w:color w:val="auto"/>
          <w:szCs w:val="21"/>
        </w:rPr>
        <w:t>十六、</w:t>
      </w:r>
      <w:r>
        <w:rPr>
          <w:rFonts w:hint="eastAsia" w:asciiTheme="minorEastAsia" w:hAnsiTheme="minorEastAsia" w:eastAsiaTheme="minorEastAsia" w:cstheme="minorEastAsia"/>
          <w:color w:val="auto"/>
          <w:szCs w:val="21"/>
          <w:lang w:val="zh-CN"/>
        </w:rPr>
        <w:t>中小企业声明函（工程、服务）（若</w:t>
      </w:r>
      <w:r>
        <w:rPr>
          <w:rFonts w:hint="eastAsia" w:asciiTheme="minorEastAsia" w:hAnsiTheme="minorEastAsia" w:eastAsiaTheme="minorEastAsia" w:cstheme="minorEastAsia"/>
          <w:color w:val="auto"/>
          <w:szCs w:val="21"/>
        </w:rPr>
        <w:t>符合</w:t>
      </w:r>
      <w:r>
        <w:rPr>
          <w:rFonts w:hint="eastAsia" w:asciiTheme="minorEastAsia" w:hAnsiTheme="minorEastAsia" w:eastAsiaTheme="minorEastAsia" w:cstheme="minorEastAsia"/>
          <w:color w:val="auto"/>
          <w:szCs w:val="21"/>
          <w:lang w:val="zh-CN"/>
        </w:rPr>
        <w:t>）</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_Toc11098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55</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"_Toc10220" </w:instrText>
      </w:r>
      <w:r>
        <w:rPr>
          <w:color w:val="auto"/>
        </w:rPr>
        <w:fldChar w:fldCharType="separate"/>
      </w:r>
      <w:r>
        <w:rPr>
          <w:rFonts w:hint="eastAsia" w:asciiTheme="minorEastAsia" w:hAnsiTheme="minorEastAsia" w:eastAsiaTheme="minorEastAsia" w:cstheme="minorEastAsia"/>
          <w:bCs/>
          <w:color w:val="auto"/>
          <w:spacing w:val="6"/>
          <w:szCs w:val="21"/>
        </w:rPr>
        <w:t>十七、</w:t>
      </w:r>
      <w:r>
        <w:rPr>
          <w:rFonts w:hint="eastAsia" w:asciiTheme="minorEastAsia" w:hAnsiTheme="minorEastAsia" w:eastAsiaTheme="minorEastAsia" w:cstheme="minorEastAsia"/>
          <w:bCs/>
          <w:color w:val="auto"/>
          <w:szCs w:val="21"/>
          <w:lang w:val="zh-CN"/>
        </w:rPr>
        <w:t>监狱企业证</w:t>
      </w:r>
      <w:r>
        <w:rPr>
          <w:rFonts w:hint="eastAsia" w:asciiTheme="minorEastAsia" w:hAnsiTheme="minorEastAsia" w:eastAsiaTheme="minorEastAsia" w:cstheme="minorEastAsia"/>
          <w:color w:val="auto"/>
          <w:szCs w:val="21"/>
          <w:lang w:val="zh-CN"/>
        </w:rPr>
        <w:t>明文</w:t>
      </w:r>
      <w:r>
        <w:rPr>
          <w:rFonts w:hint="eastAsia" w:asciiTheme="minorEastAsia" w:hAnsiTheme="minorEastAsia" w:eastAsiaTheme="minorEastAsia" w:cstheme="minorEastAsia"/>
          <w:color w:val="auto"/>
          <w:szCs w:val="21"/>
        </w:rPr>
        <w:t>件</w:t>
      </w:r>
      <w:r>
        <w:rPr>
          <w:rFonts w:hint="eastAsia" w:asciiTheme="minorEastAsia" w:hAnsiTheme="minorEastAsia" w:eastAsiaTheme="minorEastAsia" w:cstheme="minorEastAsia"/>
          <w:color w:val="auto"/>
          <w:szCs w:val="21"/>
          <w:lang w:val="zh-CN"/>
        </w:rPr>
        <w:t>（若</w:t>
      </w:r>
      <w:r>
        <w:rPr>
          <w:rFonts w:hint="eastAsia" w:asciiTheme="minorEastAsia" w:hAnsiTheme="minorEastAsia" w:eastAsiaTheme="minorEastAsia" w:cstheme="minorEastAsia"/>
          <w:color w:val="auto"/>
          <w:szCs w:val="21"/>
        </w:rPr>
        <w:t>符合</w:t>
      </w:r>
      <w:r>
        <w:rPr>
          <w:rFonts w:hint="eastAsia" w:asciiTheme="minorEastAsia" w:hAnsiTheme="minorEastAsia" w:eastAsiaTheme="minorEastAsia" w:cstheme="minorEastAsia"/>
          <w:color w:val="auto"/>
          <w:szCs w:val="21"/>
          <w:lang w:val="zh-CN"/>
        </w:rPr>
        <w:t>）</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_Toc10220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56</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"_Toc27762" </w:instrText>
      </w:r>
      <w:r>
        <w:rPr>
          <w:color w:val="auto"/>
        </w:rPr>
        <w:fldChar w:fldCharType="separate"/>
      </w:r>
      <w:r>
        <w:rPr>
          <w:rFonts w:hint="eastAsia" w:asciiTheme="minorEastAsia" w:hAnsiTheme="minorEastAsia" w:eastAsiaTheme="minorEastAsia" w:cstheme="minorEastAsia"/>
          <w:color w:val="auto"/>
          <w:szCs w:val="21"/>
        </w:rPr>
        <w:t>十八、</w:t>
      </w:r>
      <w:r>
        <w:rPr>
          <w:rFonts w:hint="eastAsia" w:asciiTheme="minorEastAsia" w:hAnsiTheme="minorEastAsia" w:eastAsiaTheme="minorEastAsia" w:cstheme="minorEastAsia"/>
          <w:color w:val="auto"/>
          <w:szCs w:val="21"/>
          <w:lang w:val="zh-CN"/>
        </w:rPr>
        <w:t>残疾人福利性单位声明函（若</w:t>
      </w:r>
      <w:r>
        <w:rPr>
          <w:rFonts w:hint="eastAsia" w:asciiTheme="minorEastAsia" w:hAnsiTheme="minorEastAsia" w:eastAsiaTheme="minorEastAsia" w:cstheme="minorEastAsia"/>
          <w:color w:val="auto"/>
          <w:szCs w:val="21"/>
        </w:rPr>
        <w:t>符合</w:t>
      </w:r>
      <w:r>
        <w:rPr>
          <w:rFonts w:hint="eastAsia" w:asciiTheme="minorEastAsia" w:hAnsiTheme="minorEastAsia" w:eastAsiaTheme="minorEastAsia" w:cstheme="minorEastAsia"/>
          <w:color w:val="auto"/>
          <w:szCs w:val="21"/>
          <w:lang w:val="zh-CN"/>
        </w:rPr>
        <w:t>）</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_Toc27762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57</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"_Toc19935" </w:instrText>
      </w:r>
      <w:r>
        <w:rPr>
          <w:color w:val="auto"/>
        </w:rPr>
        <w:fldChar w:fldCharType="separate"/>
      </w:r>
      <w:r>
        <w:rPr>
          <w:rFonts w:hint="eastAsia" w:asciiTheme="minorEastAsia" w:hAnsiTheme="minorEastAsia" w:eastAsiaTheme="minorEastAsia" w:cstheme="minorEastAsia"/>
          <w:color w:val="auto"/>
          <w:szCs w:val="21"/>
        </w:rPr>
        <w:t>十九、节能环保产品证明材料（若符合）</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_Toc19935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58</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"_Toc17296" </w:instrText>
      </w:r>
      <w:r>
        <w:rPr>
          <w:color w:val="auto"/>
        </w:rPr>
        <w:fldChar w:fldCharType="separate"/>
      </w:r>
      <w:r>
        <w:rPr>
          <w:rFonts w:hint="eastAsia" w:asciiTheme="minorEastAsia" w:hAnsiTheme="minorEastAsia" w:eastAsiaTheme="minorEastAsia" w:cstheme="minorEastAsia"/>
          <w:bCs/>
          <w:color w:val="auto"/>
          <w:spacing w:val="6"/>
          <w:szCs w:val="21"/>
        </w:rPr>
        <w:t>二十、</w:t>
      </w:r>
      <w:r>
        <w:rPr>
          <w:rFonts w:hint="eastAsia" w:asciiTheme="minorEastAsia" w:hAnsiTheme="minorEastAsia" w:eastAsiaTheme="minorEastAsia" w:cstheme="minorEastAsia"/>
          <w:color w:val="auto"/>
          <w:szCs w:val="21"/>
        </w:rPr>
        <w:t>无重大违法记录声明</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_Toc17296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59</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rPr>
      </w:pPr>
      <w:r>
        <w:rPr>
          <w:color w:val="auto"/>
        </w:rPr>
        <w:fldChar w:fldCharType="begin"/>
      </w:r>
      <w:r>
        <w:rPr>
          <w:color w:val="auto"/>
        </w:rPr>
        <w:instrText xml:space="preserve"> HYPERLINK \l "_Toc24513" </w:instrText>
      </w:r>
      <w:r>
        <w:rPr>
          <w:color w:val="auto"/>
        </w:rPr>
        <w:fldChar w:fldCharType="separate"/>
      </w:r>
      <w:r>
        <w:rPr>
          <w:rFonts w:hint="eastAsia" w:asciiTheme="minorEastAsia" w:hAnsiTheme="minorEastAsia" w:eastAsiaTheme="minorEastAsia" w:cstheme="minorEastAsia"/>
          <w:bCs/>
          <w:color w:val="auto"/>
          <w:spacing w:val="6"/>
          <w:szCs w:val="21"/>
        </w:rPr>
        <w:t xml:space="preserve">二十一、磋商供应商认为应该提交的其它文件（格式自拟）       </w:t>
      </w:r>
      <w:r>
        <w:rPr>
          <w:rFonts w:hint="eastAsia" w:asciiTheme="minorEastAsia" w:hAnsiTheme="minorEastAsia" w:eastAsiaTheme="minorEastAsia" w:cstheme="minorEastAsia"/>
          <w:color w:val="auto"/>
          <w:szCs w:val="21"/>
        </w:rPr>
        <w:tab/>
      </w: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PAGEREF _Toc24513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59</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fldChar w:fldCharType="end"/>
      </w:r>
    </w:p>
    <w:p>
      <w:pPr>
        <w:spacing w:line="360" w:lineRule="auto"/>
        <w:jc w:val="left"/>
        <w:rPr>
          <w:rFonts w:asciiTheme="minorEastAsia" w:hAnsiTheme="minorEastAsia" w:eastAsiaTheme="minorEastAsia" w:cstheme="minorEastAsia"/>
          <w:color w:val="auto"/>
        </w:rPr>
        <w:sectPr>
          <w:headerReference r:id="rId3" w:type="default"/>
          <w:footerReference r:id="rId5" w:type="default"/>
          <w:headerReference r:id="rId4" w:type="even"/>
          <w:footerReference r:id="rId6" w:type="even"/>
          <w:type w:val="continuous"/>
          <w:pgSz w:w="11906" w:h="16838"/>
          <w:pgMar w:top="1417" w:right="1417" w:bottom="1417" w:left="1417" w:header="851" w:footer="992" w:gutter="0"/>
          <w:pgNumType w:fmt="numberInDash"/>
          <w:cols w:space="720" w:num="1"/>
          <w:docGrid w:type="lines" w:linePitch="312" w:charSpace="0"/>
        </w:sectPr>
      </w:pPr>
      <w:r>
        <w:rPr>
          <w:rFonts w:hint="eastAsia" w:asciiTheme="minorEastAsia" w:hAnsiTheme="minorEastAsia" w:eastAsiaTheme="minorEastAsia" w:cstheme="minorEastAsia"/>
          <w:color w:val="auto"/>
          <w:szCs w:val="21"/>
        </w:rPr>
        <w:fldChar w:fldCharType="end"/>
      </w:r>
    </w:p>
    <w:p>
      <w:pPr>
        <w:spacing w:line="360" w:lineRule="auto"/>
        <w:jc w:val="righ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 w:val="36"/>
          <w:szCs w:val="36"/>
        </w:rPr>
        <w:br w:type="page"/>
      </w:r>
    </w:p>
    <w:p>
      <w:pPr>
        <w:numPr>
          <w:ilvl w:val="0"/>
          <w:numId w:val="5"/>
        </w:numPr>
        <w:spacing w:line="360" w:lineRule="auto"/>
        <w:jc w:val="center"/>
        <w:outlineLvl w:val="0"/>
        <w:rPr>
          <w:b/>
          <w:bCs/>
          <w:color w:val="auto"/>
          <w:sz w:val="24"/>
        </w:rPr>
      </w:pPr>
      <w:bookmarkStart w:id="0" w:name="_Toc6363"/>
      <w:bookmarkStart w:id="1" w:name="_Toc6866"/>
      <w:r>
        <w:rPr>
          <w:rFonts w:hint="eastAsia" w:ascii="宋体" w:hAnsi="宋体" w:cs="宋体"/>
          <w:b/>
          <w:color w:val="auto"/>
          <w:sz w:val="36"/>
          <w:szCs w:val="36"/>
        </w:rPr>
        <w:t>竞争性磋商公告</w:t>
      </w:r>
      <w:bookmarkEnd w:id="0"/>
      <w:bookmarkEnd w:id="1"/>
      <w:bookmarkStart w:id="2" w:name="_Toc179632528"/>
      <w:bookmarkStart w:id="3" w:name="_Toc144974480"/>
      <w:bookmarkStart w:id="4" w:name="_Toc152042288"/>
      <w:bookmarkStart w:id="5" w:name="_Toc524908844"/>
      <w:bookmarkStart w:id="6" w:name="_Toc9976"/>
      <w:bookmarkStart w:id="7" w:name="_Toc152045512"/>
    </w:p>
    <w:bookmarkEnd w:id="2"/>
    <w:bookmarkEnd w:id="3"/>
    <w:bookmarkEnd w:id="4"/>
    <w:bookmarkEnd w:id="5"/>
    <w:bookmarkEnd w:id="6"/>
    <w:bookmarkEnd w:id="7"/>
    <w:p>
      <w:pPr>
        <w:pBdr>
          <w:top w:val="single" w:color="auto" w:sz="4" w:space="1"/>
          <w:left w:val="single" w:color="auto" w:sz="4" w:space="4"/>
          <w:bottom w:val="single" w:color="auto" w:sz="4" w:space="1"/>
          <w:right w:val="single" w:color="auto" w:sz="4" w:space="4"/>
        </w:pBdr>
        <w:spacing w:line="360" w:lineRule="auto"/>
        <w:jc w:val="left"/>
        <w:rPr>
          <w:rFonts w:asciiTheme="minorEastAsia" w:hAnsiTheme="minorEastAsia" w:eastAsiaTheme="minorEastAsia" w:cstheme="minorEastAsia"/>
          <w:color w:val="auto"/>
          <w:szCs w:val="21"/>
        </w:rPr>
      </w:pPr>
      <w:r>
        <w:rPr>
          <w:rFonts w:hint="eastAsia" w:ascii="宋体" w:hAnsi="宋体" w:cs="宋体"/>
          <w:b/>
          <w:bCs/>
          <w:color w:val="auto"/>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u w:val="single"/>
        </w:rPr>
        <w:t>华中师范大学文科科研楼室内精装及室外园林景观设计</w:t>
      </w:r>
      <w:r>
        <w:rPr>
          <w:rFonts w:hint="eastAsia" w:asciiTheme="minorEastAsia" w:hAnsiTheme="minorEastAsia" w:eastAsiaTheme="minorEastAsia" w:cstheme="minorEastAsia"/>
          <w:color w:val="auto"/>
          <w:szCs w:val="21"/>
        </w:rPr>
        <w:t>项目的潜在供应商应在</w:t>
      </w:r>
      <w:r>
        <w:rPr>
          <w:rFonts w:hint="eastAsia" w:asciiTheme="minorEastAsia" w:hAnsiTheme="minorEastAsia" w:eastAsiaTheme="minorEastAsia" w:cstheme="minorEastAsia"/>
          <w:color w:val="auto"/>
          <w:szCs w:val="21"/>
          <w:u w:val="single"/>
        </w:rPr>
        <w:t>中经国际招标集团有限公司（武昌区中北路岳家嘴立交山河企业大厦48楼4805室）</w:t>
      </w:r>
      <w:r>
        <w:rPr>
          <w:rFonts w:hint="eastAsia" w:asciiTheme="minorEastAsia" w:hAnsiTheme="minorEastAsia" w:eastAsiaTheme="minorEastAsia" w:cstheme="minorEastAsia"/>
          <w:color w:val="auto"/>
          <w:szCs w:val="21"/>
        </w:rPr>
        <w:t>获取采购文件，并于</w:t>
      </w:r>
      <w:r>
        <w:rPr>
          <w:rFonts w:hint="eastAsia" w:asciiTheme="minorEastAsia" w:hAnsiTheme="minorEastAsia" w:eastAsiaTheme="minorEastAsia" w:cstheme="minorEastAsia"/>
          <w:color w:val="auto"/>
          <w:szCs w:val="21"/>
          <w:u w:val="single"/>
        </w:rPr>
        <w:t>2021年</w:t>
      </w:r>
      <w:r>
        <w:rPr>
          <w:rFonts w:hint="eastAsia" w:asciiTheme="minorEastAsia" w:hAnsiTheme="minorEastAsia" w:eastAsiaTheme="minorEastAsia" w:cstheme="minorEastAsia"/>
          <w:color w:val="auto"/>
          <w:szCs w:val="21"/>
          <w:u w:val="single"/>
          <w:lang w:val="en-US" w:eastAsia="zh-CN"/>
        </w:rPr>
        <w:t>6</w:t>
      </w:r>
      <w:r>
        <w:rPr>
          <w:rFonts w:hint="eastAsia" w:asciiTheme="minorEastAsia" w:hAnsiTheme="minorEastAsia" w:eastAsiaTheme="minorEastAsia" w:cstheme="minorEastAsia"/>
          <w:color w:val="auto"/>
          <w:szCs w:val="21"/>
          <w:u w:val="single"/>
        </w:rPr>
        <w:t>月</w:t>
      </w:r>
      <w:r>
        <w:rPr>
          <w:rFonts w:hint="eastAsia" w:asciiTheme="minorEastAsia" w:hAnsiTheme="minorEastAsia" w:eastAsiaTheme="minorEastAsia" w:cstheme="minorEastAsia"/>
          <w:color w:val="auto"/>
          <w:szCs w:val="21"/>
          <w:u w:val="single"/>
          <w:lang w:val="en-US" w:eastAsia="zh-CN"/>
        </w:rPr>
        <w:t>18</w:t>
      </w:r>
      <w:r>
        <w:rPr>
          <w:rFonts w:hint="eastAsia" w:asciiTheme="minorEastAsia" w:hAnsiTheme="minorEastAsia" w:eastAsiaTheme="minorEastAsia" w:cstheme="minorEastAsia"/>
          <w:color w:val="auto"/>
          <w:szCs w:val="21"/>
          <w:u w:val="single"/>
        </w:rPr>
        <w:t>日</w:t>
      </w:r>
      <w:r>
        <w:rPr>
          <w:rFonts w:hint="eastAsia" w:asciiTheme="minorEastAsia" w:hAnsiTheme="minorEastAsia" w:eastAsiaTheme="minorEastAsia" w:cstheme="minorEastAsia"/>
          <w:color w:val="auto"/>
          <w:szCs w:val="21"/>
          <w:u w:val="single"/>
          <w:lang w:val="en-US" w:eastAsia="zh-CN"/>
        </w:rPr>
        <w:t>14</w:t>
      </w:r>
      <w:r>
        <w:rPr>
          <w:rFonts w:hint="eastAsia" w:asciiTheme="minorEastAsia" w:hAnsiTheme="minorEastAsia" w:eastAsiaTheme="minorEastAsia" w:cstheme="minorEastAsia"/>
          <w:color w:val="auto"/>
          <w:szCs w:val="21"/>
          <w:u w:val="single"/>
        </w:rPr>
        <w:t>点</w:t>
      </w:r>
      <w:r>
        <w:rPr>
          <w:rFonts w:hint="eastAsia" w:asciiTheme="minorEastAsia" w:hAnsiTheme="minorEastAsia" w:eastAsiaTheme="minorEastAsia" w:cstheme="minorEastAsia"/>
          <w:color w:val="auto"/>
          <w:szCs w:val="21"/>
          <w:u w:val="single"/>
          <w:lang w:val="en-US" w:eastAsia="zh-CN"/>
        </w:rPr>
        <w:t>00</w:t>
      </w:r>
      <w:r>
        <w:rPr>
          <w:rFonts w:hint="eastAsia" w:asciiTheme="minorEastAsia" w:hAnsiTheme="minorEastAsia" w:eastAsiaTheme="minorEastAsia" w:cstheme="minorEastAsia"/>
          <w:color w:val="auto"/>
          <w:szCs w:val="21"/>
          <w:u w:val="single"/>
        </w:rPr>
        <w:t>分</w:t>
      </w:r>
      <w:r>
        <w:rPr>
          <w:rFonts w:hint="eastAsia" w:asciiTheme="minorEastAsia" w:hAnsiTheme="minorEastAsia" w:eastAsiaTheme="minorEastAsia" w:cstheme="minorEastAsia"/>
          <w:color w:val="auto"/>
          <w:szCs w:val="21"/>
        </w:rPr>
        <w:t>（北京时间）前递交响应文件。</w:t>
      </w:r>
    </w:p>
    <w:p>
      <w:pPr>
        <w:pStyle w:val="4"/>
        <w:numPr>
          <w:ilvl w:val="0"/>
          <w:numId w:val="6"/>
        </w:numPr>
        <w:spacing w:line="360" w:lineRule="auto"/>
        <w:jc w:val="left"/>
        <w:rPr>
          <w:rFonts w:asciiTheme="minorEastAsia" w:hAnsiTheme="minorEastAsia" w:eastAsiaTheme="minorEastAsia" w:cstheme="minorEastAsia"/>
          <w:color w:val="auto"/>
          <w:sz w:val="21"/>
          <w:szCs w:val="21"/>
        </w:rPr>
      </w:pPr>
      <w:bookmarkStart w:id="8" w:name="_Toc6475"/>
      <w:r>
        <w:rPr>
          <w:rFonts w:hint="eastAsia" w:asciiTheme="minorEastAsia" w:hAnsiTheme="minorEastAsia" w:eastAsiaTheme="minorEastAsia" w:cstheme="minorEastAsia"/>
          <w:color w:val="auto"/>
          <w:sz w:val="21"/>
          <w:szCs w:val="21"/>
        </w:rPr>
        <w:t>项目基本情况</w:t>
      </w:r>
      <w:bookmarkEnd w:id="8"/>
    </w:p>
    <w:p>
      <w:pPr>
        <w:spacing w:line="360" w:lineRule="auto"/>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1.项目编号：ZJZB-202105-158</w:t>
      </w:r>
    </w:p>
    <w:p>
      <w:pPr>
        <w:spacing w:line="360" w:lineRule="auto"/>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2.采购计划备案号：/</w:t>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rPr>
        <w:t>3.项目名称：华中师范大学文科科研楼室内精装及室外园林景观设计 </w:t>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rPr>
        <w:t>4.采购方式：竞争性磋商</w:t>
      </w:r>
    </w:p>
    <w:p>
      <w:pPr>
        <w:spacing w:line="360" w:lineRule="auto"/>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5.预算金额：人民币</w:t>
      </w:r>
      <w:r>
        <w:rPr>
          <w:rFonts w:hint="eastAsia" w:asciiTheme="minorEastAsia" w:hAnsiTheme="minorEastAsia" w:eastAsiaTheme="minorEastAsia" w:cstheme="minorEastAsia"/>
          <w:color w:val="auto"/>
          <w:szCs w:val="21"/>
          <w:u w:val="single"/>
        </w:rPr>
        <w:t>25</w:t>
      </w:r>
      <w:r>
        <w:rPr>
          <w:rFonts w:hint="eastAsia" w:asciiTheme="minorEastAsia" w:hAnsiTheme="minorEastAsia" w:eastAsiaTheme="minorEastAsia" w:cstheme="minorEastAsia"/>
          <w:color w:val="auto"/>
          <w:szCs w:val="21"/>
        </w:rPr>
        <w:t>万元</w:t>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rPr>
        <w:t>6.最高限价：人民币</w:t>
      </w:r>
      <w:r>
        <w:rPr>
          <w:rFonts w:hint="eastAsia" w:asciiTheme="minorEastAsia" w:hAnsiTheme="minorEastAsia" w:eastAsiaTheme="minorEastAsia" w:cstheme="minorEastAsia"/>
          <w:color w:val="auto"/>
          <w:szCs w:val="21"/>
          <w:u w:val="single"/>
        </w:rPr>
        <w:t>25</w:t>
      </w:r>
      <w:r>
        <w:rPr>
          <w:rFonts w:hint="eastAsia" w:asciiTheme="minorEastAsia" w:hAnsiTheme="minorEastAsia" w:eastAsiaTheme="minorEastAsia" w:cstheme="minorEastAsia"/>
          <w:color w:val="auto"/>
          <w:szCs w:val="21"/>
        </w:rPr>
        <w:t>万元</w:t>
      </w:r>
    </w:p>
    <w:p>
      <w:pPr>
        <w:spacing w:line="360" w:lineRule="auto"/>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7.采购需求：采购一家设计单位，负责华中师范大学文科科研楼室内公共区域精装（学术报告厅、入口门厅、公共走廊、楼梯间、电梯厅及卫生间等区域约9201平方米）、室外园林景观设计（约6</w:t>
      </w:r>
      <w:r>
        <w:rPr>
          <w:rFonts w:asciiTheme="minorEastAsia" w:hAnsiTheme="minorEastAsia" w:eastAsiaTheme="minorEastAsia" w:cstheme="minorEastAsia"/>
          <w:color w:val="auto"/>
          <w:szCs w:val="21"/>
        </w:rPr>
        <w:t>800</w:t>
      </w:r>
      <w:r>
        <w:rPr>
          <w:rFonts w:hint="eastAsia" w:asciiTheme="minorEastAsia" w:hAnsiTheme="minorEastAsia" w:eastAsiaTheme="minorEastAsia" w:cstheme="minorEastAsia"/>
          <w:color w:val="auto"/>
          <w:szCs w:val="21"/>
        </w:rPr>
        <w:t>平方米）以及大楼空间导向标识设计。(详见采购文件第三章“项目采购需求”）</w:t>
      </w:r>
    </w:p>
    <w:p>
      <w:pPr>
        <w:numPr>
          <w:ilvl w:val="0"/>
          <w:numId w:val="7"/>
        </w:numPr>
        <w:spacing w:line="360" w:lineRule="auto"/>
        <w:ind w:left="420" w:left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类别：服务</w:t>
      </w:r>
    </w:p>
    <w:p>
      <w:pPr>
        <w:numPr>
          <w:ilvl w:val="0"/>
          <w:numId w:val="7"/>
        </w:numPr>
        <w:spacing w:line="360" w:lineRule="auto"/>
        <w:ind w:left="420" w:left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服务期：在合同签订后45个日历天内完成施工图成果文件，服务期截止至项目竣工验收完成止。</w:t>
      </w:r>
    </w:p>
    <w:p>
      <w:pPr>
        <w:numPr>
          <w:ilvl w:val="0"/>
          <w:numId w:val="7"/>
        </w:numPr>
        <w:spacing w:line="360" w:lineRule="auto"/>
        <w:ind w:left="420" w:left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其他：供应商参加竞标的报价超过该包采购最高限价的，该包竞标无效；供应商报价须包含该采购需求的全部内容。</w:t>
      </w:r>
    </w:p>
    <w:p>
      <w:pPr>
        <w:spacing w:line="360" w:lineRule="auto"/>
        <w:jc w:val="left"/>
        <w:rPr>
          <w:rFonts w:asciiTheme="minorEastAsia" w:hAnsiTheme="minorEastAsia" w:eastAsiaTheme="minorEastAsia" w:cstheme="minorEastAsia"/>
          <w:strike/>
          <w:color w:val="auto"/>
          <w:szCs w:val="21"/>
        </w:rPr>
      </w:pPr>
      <w:r>
        <w:rPr>
          <w:rFonts w:hint="eastAsia" w:asciiTheme="minorEastAsia" w:hAnsiTheme="minorEastAsia" w:eastAsiaTheme="minorEastAsia" w:cstheme="minorEastAsia"/>
          <w:color w:val="auto"/>
          <w:szCs w:val="21"/>
        </w:rPr>
        <w:t>8.合同履行期限：</w:t>
      </w:r>
      <w:r>
        <w:rPr>
          <w:rFonts w:hint="eastAsia" w:asciiTheme="minorEastAsia" w:hAnsiTheme="minorEastAsia" w:eastAsiaTheme="minorEastAsia" w:cstheme="minorEastAsia"/>
          <w:color w:val="auto"/>
          <w:szCs w:val="21"/>
          <w:u w:val="single"/>
        </w:rPr>
        <w:t xml:space="preserve">见服务期；                   </w:t>
      </w:r>
    </w:p>
    <w:p>
      <w:pPr>
        <w:spacing w:line="360" w:lineRule="auto"/>
        <w:jc w:val="left"/>
        <w:rPr>
          <w:rFonts w:asciiTheme="minorEastAsia" w:hAnsiTheme="minorEastAsia" w:eastAsiaTheme="minorEastAsia" w:cstheme="minorEastAsia"/>
          <w:color w:val="auto"/>
          <w:szCs w:val="21"/>
        </w:rPr>
      </w:pPr>
      <w:bookmarkStart w:id="9" w:name="_Toc17986"/>
      <w:r>
        <w:rPr>
          <w:rFonts w:hint="eastAsia" w:asciiTheme="minorEastAsia" w:hAnsiTheme="minorEastAsia" w:eastAsiaTheme="minorEastAsia" w:cstheme="minorEastAsia"/>
          <w:color w:val="auto"/>
          <w:szCs w:val="21"/>
        </w:rPr>
        <w:t>9.本项目（是/否）接受联合体投标：否</w:t>
      </w:r>
    </w:p>
    <w:p>
      <w:pPr>
        <w:spacing w:line="360" w:lineRule="auto"/>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10.是否可采购进口产品：否</w:t>
      </w:r>
    </w:p>
    <w:p>
      <w:pPr>
        <w:spacing w:line="360" w:lineRule="auto"/>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11.本项目（是/否）专门面向中小微企业：否</w:t>
      </w:r>
    </w:p>
    <w:p>
      <w:pPr>
        <w:pStyle w:val="4"/>
        <w:numPr>
          <w:ilvl w:val="0"/>
          <w:numId w:val="6"/>
        </w:numPr>
        <w:spacing w:line="360" w:lineRule="auto"/>
        <w:jc w:val="lef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申请人的资格要求</w:t>
      </w:r>
      <w:bookmarkEnd w:id="9"/>
    </w:p>
    <w:p>
      <w:pPr>
        <w:numPr>
          <w:ilvl w:val="0"/>
          <w:numId w:val="8"/>
        </w:numPr>
        <w:spacing w:line="360" w:lineRule="auto"/>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满足《中华人民共和国政府采购法》第二十二条规定；</w:t>
      </w:r>
    </w:p>
    <w:p>
      <w:pPr>
        <w:spacing w:line="360" w:lineRule="auto"/>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（1）具有独立承担民事责任的能力；</w:t>
      </w:r>
    </w:p>
    <w:p>
      <w:pPr>
        <w:spacing w:line="360" w:lineRule="auto"/>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（2）具有良好的商业信誉和健全的财务会计制度；</w:t>
      </w:r>
    </w:p>
    <w:p>
      <w:pPr>
        <w:spacing w:line="360" w:lineRule="auto"/>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（3）具有履行合同所必需的设备和专业技术能力；</w:t>
      </w:r>
    </w:p>
    <w:p>
      <w:pPr>
        <w:spacing w:line="360" w:lineRule="auto"/>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（4）有依法缴纳税收和社会保障资金的良好记录；</w:t>
      </w:r>
    </w:p>
    <w:p>
      <w:pPr>
        <w:spacing w:line="360" w:lineRule="auto"/>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（5）参加政府采购活动前三年内，在经营活动中没有重大违法记录；（重大违法记录是指供应商因违法经营受到刑事处罚或者责令停产停业、吊销许可证或者执照、较大数额罚款等行政处罚）</w:t>
      </w:r>
    </w:p>
    <w:p>
      <w:pPr>
        <w:spacing w:line="360" w:lineRule="auto"/>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（6）法律、行政法规规定的其他条件；</w:t>
      </w:r>
    </w:p>
    <w:p>
      <w:pPr>
        <w:numPr>
          <w:ilvl w:val="0"/>
          <w:numId w:val="8"/>
        </w:numPr>
        <w:spacing w:line="360" w:lineRule="auto"/>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单位负责人为同一人或者存在直接控股、管理关系的不同磋商代表，不得参加本项目同一合同项下的政府采购活动。</w:t>
      </w:r>
    </w:p>
    <w:p>
      <w:pPr>
        <w:numPr>
          <w:ilvl w:val="0"/>
          <w:numId w:val="8"/>
        </w:numPr>
        <w:spacing w:line="360" w:lineRule="auto"/>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为本采购项目提供整体设计、规范编制或者项目管理、监理、检测等服务的，不得再参加本项目的其他招标采购活动。</w:t>
      </w:r>
    </w:p>
    <w:p>
      <w:pPr>
        <w:numPr>
          <w:ilvl w:val="0"/>
          <w:numId w:val="8"/>
        </w:numPr>
        <w:spacing w:line="360" w:lineRule="auto"/>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未被列入失信被执行人、重大税收违法案件当事人名单，未被列入政府采购严重违法失信行为记录名单。</w:t>
      </w:r>
    </w:p>
    <w:p>
      <w:pPr>
        <w:numPr>
          <w:ilvl w:val="0"/>
          <w:numId w:val="8"/>
        </w:numPr>
        <w:spacing w:line="360" w:lineRule="auto"/>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落实政府采购政策需满足的资格要求：本项目整体非专门面向中小企业，即小微企业参与本项目可享受政府采购中小企业扶持政策，本项目企业划分标准所属行业为“</w:t>
      </w:r>
      <w:r>
        <w:rPr>
          <w:rFonts w:hint="eastAsia" w:asciiTheme="minorEastAsia" w:hAnsiTheme="minorEastAsia" w:eastAsiaTheme="minorEastAsia" w:cstheme="minorEastAsia"/>
          <w:color w:val="auto"/>
          <w:kern w:val="0"/>
          <w:szCs w:val="21"/>
          <w:lang w:bidi="ar"/>
        </w:rPr>
        <w:t>其他未列明行业</w:t>
      </w:r>
      <w:r>
        <w:rPr>
          <w:rFonts w:hint="eastAsia" w:asciiTheme="minorEastAsia" w:hAnsiTheme="minorEastAsia" w:eastAsiaTheme="minorEastAsia" w:cstheme="minorEastAsia"/>
          <w:color w:val="auto"/>
          <w:szCs w:val="21"/>
        </w:rPr>
        <w:t>”。</w:t>
      </w:r>
    </w:p>
    <w:p>
      <w:pPr>
        <w:numPr>
          <w:ilvl w:val="0"/>
          <w:numId w:val="8"/>
        </w:numPr>
        <w:spacing w:line="360" w:lineRule="auto"/>
        <w:ind w:firstLine="422"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
          <w:bCs/>
          <w:color w:val="auto"/>
          <w:szCs w:val="21"/>
        </w:rPr>
        <w:t>本项目的特定资格要求：</w:t>
      </w:r>
      <w:r>
        <w:rPr>
          <w:rFonts w:hint="eastAsia" w:asciiTheme="minorEastAsia" w:hAnsiTheme="minorEastAsia" w:eastAsiaTheme="minorEastAsia" w:cstheme="minorEastAsia"/>
          <w:color w:val="auto"/>
          <w:szCs w:val="21"/>
        </w:rPr>
        <w:t xml:space="preserve"> </w:t>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rPr>
        <w:t xml:space="preserve">    6.1供应商须具备建设行政主管部门颁发的风景园林工程设计专项乙级及以上资质（或风景园林工程通用专业乙级及以上资质）和建筑装饰工程设计专项乙级及以上资质（或建筑装饰工程通用专业乙级及以上资质）证书；</w:t>
      </w:r>
    </w:p>
    <w:p>
      <w:pPr>
        <w:spacing w:line="360" w:lineRule="auto"/>
        <w:ind w:left="420" w:left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6.2拟派项目负责人须具有注册室内设计师中级及以上资格（需提供身份证、资格证书、在单位缴纳社保证明、劳动合同等相关证明材料）</w:t>
      </w:r>
    </w:p>
    <w:p>
      <w:pPr>
        <w:pStyle w:val="4"/>
        <w:numPr>
          <w:ilvl w:val="0"/>
          <w:numId w:val="6"/>
        </w:numPr>
        <w:spacing w:line="360" w:lineRule="auto"/>
        <w:jc w:val="left"/>
        <w:rPr>
          <w:rFonts w:asciiTheme="minorEastAsia" w:hAnsiTheme="minorEastAsia" w:eastAsiaTheme="minorEastAsia" w:cstheme="minorEastAsia"/>
          <w:color w:val="auto"/>
          <w:sz w:val="21"/>
          <w:szCs w:val="21"/>
        </w:rPr>
      </w:pPr>
      <w:bookmarkStart w:id="10" w:name="_Toc25596"/>
      <w:bookmarkStart w:id="11" w:name="_Toc334539185"/>
      <w:r>
        <w:rPr>
          <w:rFonts w:hint="eastAsia" w:asciiTheme="minorEastAsia" w:hAnsiTheme="minorEastAsia" w:eastAsiaTheme="minorEastAsia" w:cstheme="minorEastAsia"/>
          <w:color w:val="auto"/>
          <w:sz w:val="21"/>
          <w:szCs w:val="21"/>
        </w:rPr>
        <w:t>获取采购文件</w:t>
      </w:r>
      <w:bookmarkEnd w:id="10"/>
    </w:p>
    <w:p>
      <w:pPr>
        <w:spacing w:line="360" w:lineRule="auto"/>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时间：</w:t>
      </w:r>
      <w:r>
        <w:rPr>
          <w:rFonts w:hint="eastAsia" w:asciiTheme="minorEastAsia" w:hAnsiTheme="minorEastAsia" w:eastAsiaTheme="minorEastAsia" w:cstheme="minorEastAsia"/>
          <w:color w:val="auto"/>
          <w:szCs w:val="21"/>
          <w:u w:val="single"/>
        </w:rPr>
        <w:t>2021年</w:t>
      </w:r>
      <w:r>
        <w:rPr>
          <w:rFonts w:hint="eastAsia" w:asciiTheme="minorEastAsia" w:hAnsiTheme="minorEastAsia" w:eastAsiaTheme="minorEastAsia" w:cstheme="minorEastAsia"/>
          <w:color w:val="auto"/>
          <w:szCs w:val="21"/>
          <w:u w:val="single"/>
          <w:lang w:val="en-US" w:eastAsia="zh-CN"/>
        </w:rPr>
        <w:t>6</w:t>
      </w:r>
      <w:r>
        <w:rPr>
          <w:rFonts w:hint="eastAsia" w:asciiTheme="minorEastAsia" w:hAnsiTheme="minorEastAsia" w:eastAsiaTheme="minorEastAsia" w:cstheme="minorEastAsia"/>
          <w:color w:val="auto"/>
          <w:szCs w:val="21"/>
          <w:u w:val="single"/>
        </w:rPr>
        <w:t>月</w:t>
      </w:r>
      <w:r>
        <w:rPr>
          <w:rFonts w:hint="eastAsia" w:asciiTheme="minorEastAsia" w:hAnsiTheme="minorEastAsia" w:eastAsiaTheme="minorEastAsia" w:cstheme="minorEastAsia"/>
          <w:color w:val="auto"/>
          <w:szCs w:val="21"/>
          <w:u w:val="single"/>
          <w:lang w:val="en-US" w:eastAsia="zh-CN"/>
        </w:rPr>
        <w:t>7</w:t>
      </w:r>
      <w:r>
        <w:rPr>
          <w:rFonts w:hint="eastAsia" w:asciiTheme="minorEastAsia" w:hAnsiTheme="minorEastAsia" w:eastAsiaTheme="minorEastAsia" w:cstheme="minorEastAsia"/>
          <w:color w:val="auto"/>
          <w:szCs w:val="21"/>
          <w:u w:val="single"/>
        </w:rPr>
        <w:t>日至2021年</w:t>
      </w:r>
      <w:r>
        <w:rPr>
          <w:rFonts w:hint="eastAsia" w:asciiTheme="minorEastAsia" w:hAnsiTheme="minorEastAsia" w:eastAsiaTheme="minorEastAsia" w:cstheme="minorEastAsia"/>
          <w:color w:val="auto"/>
          <w:szCs w:val="21"/>
          <w:u w:val="single"/>
          <w:lang w:val="en-US" w:eastAsia="zh-CN"/>
        </w:rPr>
        <w:t>6</w:t>
      </w:r>
      <w:r>
        <w:rPr>
          <w:rFonts w:hint="eastAsia" w:asciiTheme="minorEastAsia" w:hAnsiTheme="minorEastAsia" w:eastAsiaTheme="minorEastAsia" w:cstheme="minorEastAsia"/>
          <w:color w:val="auto"/>
          <w:szCs w:val="21"/>
          <w:u w:val="single"/>
        </w:rPr>
        <w:t>月</w:t>
      </w:r>
      <w:r>
        <w:rPr>
          <w:rFonts w:hint="eastAsia" w:asciiTheme="minorEastAsia" w:hAnsiTheme="minorEastAsia" w:eastAsiaTheme="minorEastAsia" w:cstheme="minorEastAsia"/>
          <w:color w:val="auto"/>
          <w:szCs w:val="21"/>
          <w:u w:val="single"/>
          <w:lang w:val="en-US" w:eastAsia="zh-CN"/>
        </w:rPr>
        <w:t>11</w:t>
      </w:r>
      <w:r>
        <w:rPr>
          <w:rFonts w:hint="eastAsia" w:asciiTheme="minorEastAsia" w:hAnsiTheme="minorEastAsia" w:eastAsiaTheme="minorEastAsia" w:cstheme="minorEastAsia"/>
          <w:color w:val="auto"/>
          <w:szCs w:val="21"/>
          <w:u w:val="single"/>
        </w:rPr>
        <w:t>日</w:t>
      </w:r>
      <w:r>
        <w:rPr>
          <w:rFonts w:hint="eastAsia" w:asciiTheme="minorEastAsia" w:hAnsiTheme="minorEastAsia" w:eastAsiaTheme="minorEastAsia" w:cstheme="minorEastAsia"/>
          <w:color w:val="auto"/>
          <w:szCs w:val="21"/>
        </w:rPr>
        <w:t>，每天上午09:00至12:00，下午14:30至17:00（北京时间，法定节假日除外）</w:t>
      </w:r>
    </w:p>
    <w:p>
      <w:pPr>
        <w:spacing w:line="360" w:lineRule="auto"/>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地点：武昌区中北路岳家嘴立交山河企业大厦48楼4805室；</w:t>
      </w:r>
    </w:p>
    <w:p>
      <w:pPr>
        <w:spacing w:line="360" w:lineRule="auto"/>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现场获取：</w:t>
      </w:r>
      <w:bookmarkEnd w:id="11"/>
      <w:r>
        <w:rPr>
          <w:rFonts w:hint="eastAsia" w:asciiTheme="minorEastAsia" w:hAnsiTheme="minorEastAsia" w:eastAsiaTheme="minorEastAsia" w:cstheme="minorEastAsia"/>
          <w:color w:val="auto"/>
          <w:szCs w:val="21"/>
        </w:rPr>
        <w:t>1）法定代表人领取的，凭法定代表人身份证明书（格式见附件）及法定代表人身份证原件领取；2）法定代表人委托他人领取的，凭法定代表人授权书（格式见附件）及受托人身份证原件领取；3）加盖公章的营业执照真彩扫描件、项目报名表（格式见附件）、供应商信用承诺书（格式见附件）、《中小企业声明函》扫描件（如项目非专门面向中小微企业，则不需要中小企业声明函）；采购文件售后不退，不办理邮寄；</w:t>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b/>
          <w:bCs/>
          <w:color w:val="auto"/>
          <w:szCs w:val="21"/>
        </w:rPr>
        <w:t xml:space="preserve">  </w:t>
      </w:r>
      <w:r>
        <w:rPr>
          <w:rFonts w:hint="eastAsia" w:asciiTheme="minorEastAsia" w:hAnsiTheme="minorEastAsia" w:eastAsiaTheme="minorEastAsia" w:cstheme="minorEastAsia"/>
          <w:color w:val="auto"/>
          <w:szCs w:val="21"/>
        </w:rPr>
        <w:t>售价：400(元)；</w:t>
      </w:r>
    </w:p>
    <w:p>
      <w:pPr>
        <w:pStyle w:val="4"/>
        <w:numPr>
          <w:ilvl w:val="0"/>
          <w:numId w:val="6"/>
        </w:numPr>
        <w:spacing w:line="360" w:lineRule="auto"/>
        <w:jc w:val="left"/>
        <w:rPr>
          <w:rFonts w:asciiTheme="minorEastAsia" w:hAnsiTheme="minorEastAsia" w:eastAsiaTheme="minorEastAsia" w:cstheme="minorEastAsia"/>
          <w:color w:val="auto"/>
          <w:sz w:val="21"/>
          <w:szCs w:val="21"/>
        </w:rPr>
      </w:pPr>
      <w:bookmarkStart w:id="12" w:name="_Toc20123"/>
      <w:r>
        <w:rPr>
          <w:rFonts w:hint="eastAsia" w:asciiTheme="minorEastAsia" w:hAnsiTheme="minorEastAsia" w:eastAsiaTheme="minorEastAsia" w:cstheme="minorEastAsia"/>
          <w:color w:val="auto"/>
          <w:sz w:val="21"/>
          <w:szCs w:val="21"/>
        </w:rPr>
        <w:t>响应文件提交</w:t>
      </w:r>
      <w:bookmarkEnd w:id="12"/>
    </w:p>
    <w:p>
      <w:pPr>
        <w:spacing w:line="360" w:lineRule="auto"/>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开始时间：2021年</w:t>
      </w:r>
      <w:r>
        <w:rPr>
          <w:rFonts w:hint="eastAsia" w:asciiTheme="minorEastAsia" w:hAnsiTheme="minorEastAsia" w:eastAsiaTheme="minorEastAsia" w:cstheme="minorEastAsia"/>
          <w:color w:val="auto"/>
          <w:szCs w:val="21"/>
          <w:lang w:val="en-US" w:eastAsia="zh-CN"/>
        </w:rPr>
        <w:t>6</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lang w:val="en-US" w:eastAsia="zh-CN"/>
        </w:rPr>
        <w:t>18</w:t>
      </w:r>
      <w:r>
        <w:rPr>
          <w:rFonts w:hint="eastAsia" w:asciiTheme="minorEastAsia" w:hAnsiTheme="minorEastAsia" w:eastAsiaTheme="minorEastAsia" w:cstheme="minorEastAsia"/>
          <w:color w:val="auto"/>
          <w:szCs w:val="21"/>
        </w:rPr>
        <w:t>日</w:t>
      </w:r>
      <w:r>
        <w:rPr>
          <w:rFonts w:hint="eastAsia" w:asciiTheme="minorEastAsia" w:hAnsiTheme="minorEastAsia" w:eastAsiaTheme="minorEastAsia" w:cstheme="minorEastAsia"/>
          <w:color w:val="auto"/>
          <w:szCs w:val="21"/>
          <w:lang w:val="en-US" w:eastAsia="zh-CN"/>
        </w:rPr>
        <w:t>08</w:t>
      </w:r>
      <w:r>
        <w:rPr>
          <w:rFonts w:hint="eastAsia" w:asciiTheme="minorEastAsia" w:hAnsiTheme="minorEastAsia" w:eastAsiaTheme="minorEastAsia" w:cstheme="minorEastAsia"/>
          <w:color w:val="auto"/>
          <w:szCs w:val="21"/>
        </w:rPr>
        <w:t>点</w:t>
      </w:r>
      <w:r>
        <w:rPr>
          <w:rFonts w:hint="eastAsia" w:asciiTheme="minorEastAsia" w:hAnsiTheme="minorEastAsia" w:eastAsiaTheme="minorEastAsia" w:cstheme="minorEastAsia"/>
          <w:color w:val="auto"/>
          <w:szCs w:val="21"/>
          <w:lang w:val="en-US" w:eastAsia="zh-CN"/>
        </w:rPr>
        <w:t>30</w:t>
      </w:r>
      <w:r>
        <w:rPr>
          <w:rFonts w:hint="eastAsia" w:asciiTheme="minorEastAsia" w:hAnsiTheme="minorEastAsia" w:eastAsiaTheme="minorEastAsia" w:cstheme="minorEastAsia"/>
          <w:color w:val="auto"/>
          <w:szCs w:val="21"/>
        </w:rPr>
        <w:t>分（北京时间）</w:t>
      </w:r>
    </w:p>
    <w:p>
      <w:pPr>
        <w:spacing w:line="360" w:lineRule="auto"/>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截止时间：2021年</w:t>
      </w:r>
      <w:r>
        <w:rPr>
          <w:rFonts w:hint="eastAsia" w:asciiTheme="minorEastAsia" w:hAnsiTheme="minorEastAsia" w:eastAsiaTheme="minorEastAsia" w:cstheme="minorEastAsia"/>
          <w:color w:val="auto"/>
          <w:szCs w:val="21"/>
          <w:lang w:val="en-US" w:eastAsia="zh-CN"/>
        </w:rPr>
        <w:t>6</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lang w:val="en-US" w:eastAsia="zh-CN"/>
        </w:rPr>
        <w:t>18</w:t>
      </w:r>
      <w:r>
        <w:rPr>
          <w:rFonts w:hint="eastAsia" w:asciiTheme="minorEastAsia" w:hAnsiTheme="minorEastAsia" w:eastAsiaTheme="minorEastAsia" w:cstheme="minorEastAsia"/>
          <w:color w:val="auto"/>
          <w:szCs w:val="21"/>
        </w:rPr>
        <w:t>日</w:t>
      </w:r>
      <w:r>
        <w:rPr>
          <w:rFonts w:hint="eastAsia" w:asciiTheme="minorEastAsia" w:hAnsiTheme="minorEastAsia" w:eastAsiaTheme="minorEastAsia" w:cstheme="minorEastAsia"/>
          <w:color w:val="auto"/>
          <w:szCs w:val="21"/>
          <w:lang w:val="en-US" w:eastAsia="zh-CN"/>
        </w:rPr>
        <w:t>14</w:t>
      </w:r>
      <w:r>
        <w:rPr>
          <w:rFonts w:hint="eastAsia" w:asciiTheme="minorEastAsia" w:hAnsiTheme="minorEastAsia" w:eastAsiaTheme="minorEastAsia" w:cstheme="minorEastAsia"/>
          <w:color w:val="auto"/>
          <w:szCs w:val="21"/>
        </w:rPr>
        <w:t>点</w:t>
      </w:r>
      <w:r>
        <w:rPr>
          <w:rFonts w:hint="eastAsia" w:asciiTheme="minorEastAsia" w:hAnsiTheme="minorEastAsia" w:eastAsiaTheme="minorEastAsia" w:cstheme="minorEastAsia"/>
          <w:color w:val="auto"/>
          <w:szCs w:val="21"/>
          <w:lang w:val="en-US" w:eastAsia="zh-CN"/>
        </w:rPr>
        <w:t>00</w:t>
      </w:r>
      <w:r>
        <w:rPr>
          <w:rFonts w:hint="eastAsia" w:asciiTheme="minorEastAsia" w:hAnsiTheme="minorEastAsia" w:eastAsiaTheme="minorEastAsia" w:cstheme="minorEastAsia"/>
          <w:color w:val="auto"/>
          <w:szCs w:val="21"/>
        </w:rPr>
        <w:t>分（北京时间）</w:t>
      </w:r>
    </w:p>
    <w:p>
      <w:pPr>
        <w:spacing w:line="360" w:lineRule="auto"/>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地点：武昌区中北路岳家嘴立交山河企业大厦4806室，凡是购买了采购文件且已回复确定参加磋商的潜在供应商，于磋商当日临时放弃竞标的，应及时以电话告知形式通知采购代理机构。</w:t>
      </w:r>
    </w:p>
    <w:p>
      <w:pPr>
        <w:pStyle w:val="4"/>
        <w:numPr>
          <w:ilvl w:val="0"/>
          <w:numId w:val="6"/>
        </w:numPr>
        <w:spacing w:line="360" w:lineRule="auto"/>
        <w:jc w:val="left"/>
        <w:rPr>
          <w:rFonts w:asciiTheme="minorEastAsia" w:hAnsiTheme="minorEastAsia" w:eastAsiaTheme="minorEastAsia" w:cstheme="minorEastAsia"/>
          <w:color w:val="auto"/>
          <w:sz w:val="21"/>
          <w:szCs w:val="21"/>
        </w:rPr>
      </w:pPr>
      <w:bookmarkStart w:id="13" w:name="_Toc28228"/>
      <w:r>
        <w:rPr>
          <w:rFonts w:hint="eastAsia" w:asciiTheme="minorEastAsia" w:hAnsiTheme="minorEastAsia" w:eastAsiaTheme="minorEastAsia" w:cstheme="minorEastAsia"/>
          <w:color w:val="auto"/>
          <w:sz w:val="21"/>
          <w:szCs w:val="21"/>
        </w:rPr>
        <w:t>开启</w:t>
      </w:r>
      <w:bookmarkEnd w:id="13"/>
    </w:p>
    <w:p>
      <w:pPr>
        <w:spacing w:line="360" w:lineRule="auto"/>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时间：2021年</w:t>
      </w:r>
      <w:r>
        <w:rPr>
          <w:rFonts w:hint="eastAsia" w:asciiTheme="minorEastAsia" w:hAnsiTheme="minorEastAsia" w:eastAsiaTheme="minorEastAsia" w:cstheme="minorEastAsia"/>
          <w:color w:val="auto"/>
          <w:szCs w:val="21"/>
          <w:lang w:val="en-US" w:eastAsia="zh-CN"/>
        </w:rPr>
        <w:t>6</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lang w:val="en-US" w:eastAsia="zh-CN"/>
        </w:rPr>
        <w:t>18</w:t>
      </w:r>
      <w:r>
        <w:rPr>
          <w:rFonts w:hint="eastAsia" w:asciiTheme="minorEastAsia" w:hAnsiTheme="minorEastAsia" w:eastAsiaTheme="minorEastAsia" w:cstheme="minorEastAsia"/>
          <w:color w:val="auto"/>
          <w:szCs w:val="21"/>
        </w:rPr>
        <w:t>日</w:t>
      </w:r>
      <w:r>
        <w:rPr>
          <w:rFonts w:hint="eastAsia" w:asciiTheme="minorEastAsia" w:hAnsiTheme="minorEastAsia" w:eastAsiaTheme="minorEastAsia" w:cstheme="minorEastAsia"/>
          <w:color w:val="auto"/>
          <w:szCs w:val="21"/>
          <w:lang w:val="en-US" w:eastAsia="zh-CN"/>
        </w:rPr>
        <w:t>14</w:t>
      </w:r>
      <w:r>
        <w:rPr>
          <w:rFonts w:hint="eastAsia" w:asciiTheme="minorEastAsia" w:hAnsiTheme="minorEastAsia" w:eastAsiaTheme="minorEastAsia" w:cstheme="minorEastAsia"/>
          <w:color w:val="auto"/>
          <w:szCs w:val="21"/>
        </w:rPr>
        <w:t>点</w:t>
      </w:r>
      <w:r>
        <w:rPr>
          <w:rFonts w:hint="eastAsia" w:asciiTheme="minorEastAsia" w:hAnsiTheme="minorEastAsia" w:eastAsiaTheme="minorEastAsia" w:cstheme="minorEastAsia"/>
          <w:color w:val="auto"/>
          <w:szCs w:val="21"/>
          <w:lang w:val="en-US" w:eastAsia="zh-CN"/>
        </w:rPr>
        <w:t>00</w:t>
      </w:r>
      <w:r>
        <w:rPr>
          <w:rFonts w:hint="eastAsia" w:asciiTheme="minorEastAsia" w:hAnsiTheme="minorEastAsia" w:eastAsiaTheme="minorEastAsia" w:cstheme="minorEastAsia"/>
          <w:color w:val="auto"/>
          <w:szCs w:val="21"/>
        </w:rPr>
        <w:t>分（北京时间）</w:t>
      </w:r>
    </w:p>
    <w:p>
      <w:pPr>
        <w:pStyle w:val="4"/>
        <w:numPr>
          <w:ilvl w:val="0"/>
          <w:numId w:val="6"/>
        </w:numPr>
        <w:spacing w:line="360" w:lineRule="auto"/>
        <w:jc w:val="left"/>
        <w:rPr>
          <w:rFonts w:asciiTheme="minorEastAsia" w:hAnsiTheme="minorEastAsia" w:eastAsiaTheme="minorEastAsia" w:cstheme="minorEastAsia"/>
          <w:color w:val="auto"/>
          <w:sz w:val="21"/>
          <w:szCs w:val="21"/>
        </w:rPr>
      </w:pPr>
      <w:bookmarkStart w:id="14" w:name="_Toc12264"/>
      <w:r>
        <w:rPr>
          <w:rFonts w:hint="eastAsia" w:asciiTheme="minorEastAsia" w:hAnsiTheme="minorEastAsia" w:eastAsiaTheme="minorEastAsia" w:cstheme="minorEastAsia"/>
          <w:color w:val="auto"/>
          <w:sz w:val="21"/>
          <w:szCs w:val="21"/>
        </w:rPr>
        <w:t>公告期限</w:t>
      </w:r>
      <w:bookmarkEnd w:id="14"/>
    </w:p>
    <w:p>
      <w:pPr>
        <w:spacing w:line="360" w:lineRule="auto"/>
        <w:ind w:firstLine="420" w:firstLineChars="200"/>
        <w:jc w:val="left"/>
        <w:rPr>
          <w:rFonts w:asciiTheme="minorEastAsia" w:hAnsiTheme="minorEastAsia" w:eastAsiaTheme="minorEastAsia" w:cstheme="minorEastAsia"/>
          <w:color w:val="auto"/>
          <w:szCs w:val="21"/>
        </w:rPr>
      </w:pPr>
      <w:bookmarkStart w:id="15" w:name="_Toc320898024"/>
      <w:bookmarkStart w:id="16" w:name="_Toc317262251"/>
      <w:bookmarkStart w:id="17" w:name="_Toc259607751"/>
      <w:bookmarkStart w:id="18" w:name="_Toc276368888"/>
      <w:bookmarkStart w:id="19" w:name="_Toc334539188"/>
      <w:bookmarkStart w:id="20" w:name="_Toc6021"/>
      <w:r>
        <w:rPr>
          <w:rFonts w:hint="eastAsia" w:asciiTheme="minorEastAsia" w:hAnsiTheme="minorEastAsia" w:eastAsiaTheme="minorEastAsia" w:cstheme="minorEastAsia"/>
          <w:color w:val="auto"/>
          <w:szCs w:val="21"/>
        </w:rPr>
        <w:t>自本公告发布之日起3个工作日</w:t>
      </w:r>
    </w:p>
    <w:bookmarkEnd w:id="15"/>
    <w:bookmarkEnd w:id="16"/>
    <w:bookmarkEnd w:id="17"/>
    <w:bookmarkEnd w:id="18"/>
    <w:bookmarkEnd w:id="19"/>
    <w:bookmarkEnd w:id="20"/>
    <w:p>
      <w:pPr>
        <w:pStyle w:val="4"/>
        <w:numPr>
          <w:ilvl w:val="0"/>
          <w:numId w:val="6"/>
        </w:numPr>
        <w:spacing w:line="360" w:lineRule="auto"/>
        <w:jc w:val="left"/>
        <w:rPr>
          <w:rFonts w:asciiTheme="minorEastAsia" w:hAnsiTheme="minorEastAsia" w:eastAsiaTheme="minorEastAsia" w:cstheme="minorEastAsia"/>
          <w:color w:val="auto"/>
          <w:sz w:val="21"/>
          <w:szCs w:val="21"/>
        </w:rPr>
      </w:pPr>
      <w:bookmarkStart w:id="21" w:name="_Toc2961"/>
      <w:r>
        <w:rPr>
          <w:rFonts w:hint="eastAsia" w:asciiTheme="minorEastAsia" w:hAnsiTheme="minorEastAsia" w:eastAsiaTheme="minorEastAsia" w:cstheme="minorEastAsia"/>
          <w:color w:val="auto"/>
          <w:sz w:val="21"/>
          <w:szCs w:val="21"/>
        </w:rPr>
        <w:t>其他补充事宜</w:t>
      </w:r>
      <w:bookmarkEnd w:id="21"/>
    </w:p>
    <w:p>
      <w:pPr>
        <w:spacing w:line="360" w:lineRule="auto"/>
        <w:ind w:firstLine="420" w:firstLineChars="200"/>
        <w:jc w:val="left"/>
        <w:rPr>
          <w:rFonts w:asciiTheme="minorEastAsia" w:hAnsiTheme="minorEastAsia" w:eastAsiaTheme="minorEastAsia" w:cstheme="minorEastAsia"/>
          <w:color w:val="auto"/>
          <w:szCs w:val="21"/>
        </w:rPr>
      </w:pPr>
      <w:bookmarkStart w:id="22" w:name="_Toc259028279"/>
      <w:r>
        <w:rPr>
          <w:rFonts w:hint="eastAsia" w:asciiTheme="minorEastAsia" w:hAnsiTheme="minorEastAsia" w:eastAsiaTheme="minorEastAsia" w:cstheme="minorEastAsia"/>
          <w:color w:val="auto"/>
          <w:szCs w:val="21"/>
        </w:rPr>
        <w:t>1.本项目资金性质为：自筹资金</w:t>
      </w:r>
    </w:p>
    <w:p>
      <w:pPr>
        <w:spacing w:line="360" w:lineRule="auto"/>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2.供应商如需查询技术要求可到我处查阅采购文件第三章相关内容。</w:t>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rPr>
        <w:t xml:space="preserve">    3.本项目将在以下网站发布所有信息，请参加本项目竞标的供应商密切关注。</w:t>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rPr>
        <w:t xml:space="preserve">    （一）《中国招标投标公共服务平台》（网址：http://www.cebpubservice.com/）</w:t>
      </w:r>
    </w:p>
    <w:p>
      <w:pPr>
        <w:spacing w:line="360" w:lineRule="auto"/>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（二）《中经国际招标集团有限公司官网》（网址：</w:t>
      </w:r>
      <w:r>
        <w:rPr>
          <w:color w:val="auto"/>
        </w:rPr>
        <w:fldChar w:fldCharType="begin"/>
      </w:r>
      <w:r>
        <w:rPr>
          <w:color w:val="auto"/>
        </w:rPr>
        <w:instrText xml:space="preserve"> HYPERLINK "http://www.ccgp-hubei.gov.cn/）" </w:instrText>
      </w:r>
      <w:r>
        <w:rPr>
          <w:color w:val="auto"/>
        </w:rPr>
        <w:fldChar w:fldCharType="separate"/>
      </w:r>
      <w:r>
        <w:rPr>
          <w:rFonts w:hint="eastAsia" w:asciiTheme="minorEastAsia" w:hAnsiTheme="minorEastAsia" w:eastAsiaTheme="minorEastAsia" w:cstheme="minorEastAsia"/>
          <w:color w:val="auto"/>
          <w:szCs w:val="21"/>
        </w:rPr>
        <w:t>http://www.ceitcl.com/）</w:t>
      </w:r>
      <w:r>
        <w:rPr>
          <w:rFonts w:hint="eastAsia" w:asciiTheme="minorEastAsia" w:hAnsiTheme="minorEastAsia" w:eastAsiaTheme="minorEastAsia" w:cstheme="minorEastAsia"/>
          <w:color w:val="auto"/>
          <w:szCs w:val="21"/>
        </w:rPr>
        <w:fldChar w:fldCharType="end"/>
      </w:r>
    </w:p>
    <w:p>
      <w:pPr>
        <w:spacing w:line="360" w:lineRule="auto"/>
        <w:ind w:firstLine="420" w:firstLineChars="200"/>
        <w:jc w:val="left"/>
        <w:rPr>
          <w:rFonts w:asciiTheme="minorEastAsia" w:hAnsiTheme="minorEastAsia" w:eastAsiaTheme="minorEastAsia" w:cstheme="minorEastAsia"/>
          <w:b/>
          <w:bCs/>
          <w:color w:val="auto"/>
          <w:szCs w:val="21"/>
        </w:rPr>
      </w:pPr>
      <w:r>
        <w:rPr>
          <w:rFonts w:hint="eastAsia" w:asciiTheme="minorEastAsia" w:hAnsiTheme="minorEastAsia" w:eastAsiaTheme="minorEastAsia" w:cstheme="minorEastAsia"/>
          <w:color w:val="auto"/>
          <w:szCs w:val="21"/>
        </w:rPr>
        <w:t>（三）《华中师范大学招标信息网》（网址：http://zb.ccnu.edu.cn/）</w:t>
      </w:r>
    </w:p>
    <w:bookmarkEnd w:id="22"/>
    <w:p>
      <w:pPr>
        <w:pStyle w:val="4"/>
        <w:numPr>
          <w:ilvl w:val="0"/>
          <w:numId w:val="6"/>
        </w:numPr>
        <w:spacing w:line="360" w:lineRule="auto"/>
        <w:jc w:val="left"/>
        <w:rPr>
          <w:rFonts w:asciiTheme="minorEastAsia" w:hAnsiTheme="minorEastAsia" w:eastAsiaTheme="minorEastAsia" w:cstheme="minorEastAsia"/>
          <w:color w:val="auto"/>
          <w:sz w:val="21"/>
          <w:szCs w:val="21"/>
        </w:rPr>
      </w:pPr>
      <w:bookmarkStart w:id="23" w:name="_Toc20355"/>
      <w:r>
        <w:rPr>
          <w:rFonts w:hint="eastAsia" w:asciiTheme="minorEastAsia" w:hAnsiTheme="minorEastAsia" w:eastAsiaTheme="minorEastAsia" w:cstheme="minorEastAsia"/>
          <w:color w:val="auto"/>
          <w:sz w:val="21"/>
          <w:szCs w:val="21"/>
        </w:rPr>
        <w:t>凡对本次采购提出询问，请按以下方式联系</w:t>
      </w:r>
      <w:bookmarkEnd w:id="23"/>
    </w:p>
    <w:p>
      <w:pPr>
        <w:spacing w:line="360" w:lineRule="auto"/>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1.采购人信息</w:t>
      </w:r>
    </w:p>
    <w:p>
      <w:pPr>
        <w:spacing w:line="360" w:lineRule="auto"/>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名称：华中师范大学　　　　　　　　　　　　</w:t>
      </w:r>
    </w:p>
    <w:p>
      <w:pPr>
        <w:spacing w:line="360" w:lineRule="auto"/>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地址：湖北省武汉市珞喻路152号　　　　　　　　　　　　</w:t>
      </w:r>
    </w:p>
    <w:p>
      <w:pPr>
        <w:spacing w:line="360" w:lineRule="auto"/>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联系方式：龚老师、027-67861112　　　　　　　　　　</w:t>
      </w:r>
    </w:p>
    <w:p>
      <w:pPr>
        <w:spacing w:line="360" w:lineRule="auto"/>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2.采购代理机构信息</w:t>
      </w:r>
    </w:p>
    <w:p>
      <w:pPr>
        <w:spacing w:line="360" w:lineRule="auto"/>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名称：中经国际招标集团有限公司　　　　　　　　　　　　</w:t>
      </w:r>
    </w:p>
    <w:p>
      <w:pPr>
        <w:spacing w:line="360" w:lineRule="auto"/>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地　址：武昌区中北路岳家嘴立交山河企业大厦48楼4805、4806室　　　　　　　　　　　　</w:t>
      </w:r>
    </w:p>
    <w:p>
      <w:pPr>
        <w:spacing w:line="360" w:lineRule="auto"/>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联系方式：027-87820788　　　　　　　　　　　　</w:t>
      </w:r>
    </w:p>
    <w:p>
      <w:pPr>
        <w:spacing w:line="360" w:lineRule="auto"/>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3.项目联系方式</w:t>
      </w:r>
    </w:p>
    <w:p>
      <w:pPr>
        <w:spacing w:line="360" w:lineRule="auto"/>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项目联系人：张梦、彭盼明</w:t>
      </w:r>
    </w:p>
    <w:p>
      <w:pPr>
        <w:spacing w:line="360" w:lineRule="auto"/>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电　话：027-87820788　　　　</w:t>
      </w:r>
    </w:p>
    <w:p>
      <w:pPr>
        <w:pStyle w:val="4"/>
        <w:numPr>
          <w:ilvl w:val="0"/>
          <w:numId w:val="6"/>
        </w:numPr>
        <w:spacing w:line="360" w:lineRule="auto"/>
        <w:jc w:val="lef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w:t>
      </w:r>
      <w:bookmarkStart w:id="24" w:name="_Toc5336"/>
      <w:bookmarkStart w:id="25" w:name="_Toc24714"/>
      <w:r>
        <w:rPr>
          <w:rFonts w:hint="eastAsia" w:asciiTheme="minorEastAsia" w:hAnsiTheme="minorEastAsia" w:eastAsiaTheme="minorEastAsia" w:cstheme="minorEastAsia"/>
          <w:color w:val="auto"/>
          <w:sz w:val="21"/>
          <w:szCs w:val="21"/>
        </w:rPr>
        <w:t>注意事项</w:t>
      </w:r>
      <w:bookmarkEnd w:id="24"/>
      <w:bookmarkEnd w:id="25"/>
    </w:p>
    <w:p>
      <w:pPr>
        <w:spacing w:line="360" w:lineRule="auto"/>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1.供应商在获取本项目竞争性磋商文件前须仔细阅读资格要求内容，并按磋商文件规定要求在响应文件中递交合格有效的资格证明文件，资格审查资料不合格将导致竞标失败。</w:t>
      </w:r>
    </w:p>
    <w:p>
      <w:pPr>
        <w:spacing w:line="360" w:lineRule="auto"/>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供应商对自己所提供的资格证明材料的真实性负责，无论何时，如发现供应商提供虚假的材料，将按照《中华人民共和国政府采购法》及本项目竞争性磋商文件的有关规定进行严肃处理，并在相关网站上进行通报。</w:t>
      </w:r>
    </w:p>
    <w:p>
      <w:pPr>
        <w:spacing w:line="360" w:lineRule="auto"/>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请供应商仔细阅读本磋商文件的全部条文，对于文件中存在的任何含糊、遗漏、相互矛盾之处，或是对于采购范围的界定和采购内容的要求不清楚，认为存在歧义的，供应商应按本文件规定的时限向采购代理机构寻求书面澄清；未提出澄清要求的，则认同为完全理解本文件要求并接受采购人或采购代理机构可能作出的任何最终解释。</w:t>
      </w:r>
    </w:p>
    <w:p>
      <w:pPr>
        <w:spacing w:line="360" w:lineRule="auto"/>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关于本项目磋商文件有关内容的澄清、修改及变更等通知将通过书面形式经邮箱通知各供应商同时电话或短信告知，若采购人或采购代理机构未收到回复，视为收悉，并默认通知内容。若因供应商自身原因接收消息不及时，导致竞标受影响，其后果自行承担。</w:t>
      </w:r>
    </w:p>
    <w:p>
      <w:pPr>
        <w:spacing w:line="360" w:lineRule="auto"/>
        <w:rPr>
          <w:rFonts w:asciiTheme="minorEastAsia" w:hAnsiTheme="minorEastAsia" w:eastAsiaTheme="minorEastAsia" w:cstheme="minorEastAsia"/>
          <w:color w:val="auto"/>
          <w:szCs w:val="21"/>
        </w:rPr>
      </w:pPr>
    </w:p>
    <w:p>
      <w:pPr>
        <w:spacing w:line="360" w:lineRule="auto"/>
        <w:jc w:val="righ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中经国际招标集团有限公司</w:t>
      </w:r>
    </w:p>
    <w:p>
      <w:pPr>
        <w:spacing w:line="360" w:lineRule="auto"/>
        <w:jc w:val="righ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2021年</w:t>
      </w:r>
      <w:r>
        <w:rPr>
          <w:rFonts w:hint="eastAsia" w:asciiTheme="minorEastAsia" w:hAnsiTheme="minorEastAsia" w:eastAsiaTheme="minorEastAsia" w:cstheme="minorEastAsia"/>
          <w:color w:val="auto"/>
          <w:szCs w:val="21"/>
          <w:lang w:val="en-US" w:eastAsia="zh-CN"/>
        </w:rPr>
        <w:t>6</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lang w:val="en-US" w:eastAsia="zh-CN"/>
        </w:rPr>
        <w:t>6</w:t>
      </w:r>
      <w:bookmarkStart w:id="230" w:name="_GoBack"/>
      <w:bookmarkEnd w:id="230"/>
      <w:r>
        <w:rPr>
          <w:rFonts w:hint="eastAsia" w:asciiTheme="minorEastAsia" w:hAnsiTheme="minorEastAsia" w:eastAsiaTheme="minorEastAsia" w:cstheme="minorEastAsia"/>
          <w:color w:val="auto"/>
          <w:szCs w:val="21"/>
        </w:rPr>
        <w:t>日</w:t>
      </w:r>
    </w:p>
    <w:p>
      <w:pPr>
        <w:numPr>
          <w:ilvl w:val="0"/>
          <w:numId w:val="4"/>
        </w:num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br w:type="page"/>
      </w:r>
    </w:p>
    <w:p>
      <w:pPr>
        <w:pStyle w:val="3"/>
        <w:numPr>
          <w:ilvl w:val="0"/>
          <w:numId w:val="4"/>
        </w:numPr>
        <w:jc w:val="center"/>
        <w:rPr>
          <w:rFonts w:asciiTheme="minorEastAsia" w:hAnsiTheme="minorEastAsia" w:eastAsiaTheme="minorEastAsia" w:cstheme="minorEastAsia"/>
          <w:color w:val="auto"/>
          <w:sz w:val="32"/>
          <w:szCs w:val="32"/>
        </w:rPr>
      </w:pPr>
      <w:bookmarkStart w:id="26" w:name="_Toc3981"/>
      <w:r>
        <w:rPr>
          <w:rFonts w:hint="eastAsia" w:asciiTheme="minorEastAsia" w:hAnsiTheme="minorEastAsia" w:eastAsiaTheme="minorEastAsia" w:cstheme="minorEastAsia"/>
          <w:color w:val="auto"/>
          <w:sz w:val="36"/>
          <w:szCs w:val="36"/>
        </w:rPr>
        <w:t>供应商须知</w:t>
      </w:r>
      <w:bookmarkEnd w:id="26"/>
    </w:p>
    <w:p>
      <w:pPr>
        <w:autoSpaceDE w:val="0"/>
        <w:autoSpaceDN w:val="0"/>
        <w:adjustRightInd w:val="0"/>
        <w:spacing w:line="360" w:lineRule="auto"/>
        <w:jc w:val="center"/>
        <w:outlineLvl w:val="1"/>
        <w:rPr>
          <w:rFonts w:asciiTheme="minorEastAsia" w:hAnsiTheme="minorEastAsia" w:eastAsiaTheme="minorEastAsia" w:cstheme="minorEastAsia"/>
          <w:b/>
          <w:color w:val="auto"/>
          <w:szCs w:val="21"/>
          <w:lang w:val="zh-CN"/>
        </w:rPr>
      </w:pPr>
      <w:bookmarkStart w:id="27" w:name="_Toc1221"/>
      <w:r>
        <w:rPr>
          <w:rFonts w:hint="eastAsia" w:asciiTheme="minorEastAsia" w:hAnsiTheme="minorEastAsia" w:eastAsiaTheme="minorEastAsia" w:cstheme="minorEastAsia"/>
          <w:b/>
          <w:color w:val="auto"/>
          <w:szCs w:val="21"/>
        </w:rPr>
        <w:t>《供应商须知前附表》</w:t>
      </w:r>
      <w:bookmarkEnd w:id="27"/>
    </w:p>
    <w:p>
      <w:pPr>
        <w:autoSpaceDE w:val="0"/>
        <w:autoSpaceDN w:val="0"/>
        <w:adjustRightInd w:val="0"/>
        <w:spacing w:line="360" w:lineRule="auto"/>
        <w:ind w:firstLine="420" w:firstLineChars="200"/>
        <w:jc w:val="left"/>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rPr>
        <w:t>磋商供应商应仔细阅读竞争性磋商采购文件的第二章“供应商须知”，下面所列资料是对“供应商须知”的具体补充和说明。</w:t>
      </w:r>
      <w:r>
        <w:rPr>
          <w:rFonts w:hint="eastAsia" w:asciiTheme="minorEastAsia" w:hAnsiTheme="minorEastAsia" w:eastAsiaTheme="minorEastAsia" w:cstheme="minorEastAsia"/>
          <w:color w:val="auto"/>
          <w:szCs w:val="21"/>
          <w:lang w:val="zh-CN"/>
        </w:rPr>
        <w:t>如有矛盾，应以本表为准。</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14"/>
        <w:gridCol w:w="2127"/>
        <w:gridCol w:w="6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tblHeader/>
          <w:jc w:val="center"/>
        </w:trPr>
        <w:tc>
          <w:tcPr>
            <w:tcW w:w="814" w:type="dxa"/>
            <w:shd w:val="clear" w:color="auto" w:fill="F1F1F1"/>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lang w:val="zh-CN"/>
              </w:rPr>
              <w:t>条款号</w:t>
            </w:r>
          </w:p>
        </w:tc>
        <w:tc>
          <w:tcPr>
            <w:tcW w:w="2127" w:type="dxa"/>
            <w:shd w:val="clear" w:color="auto" w:fill="F1F1F1"/>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b/>
                <w:color w:val="auto"/>
                <w:szCs w:val="21"/>
                <w:lang w:val="zh-CN"/>
              </w:rPr>
            </w:pPr>
            <w:r>
              <w:rPr>
                <w:rFonts w:hint="eastAsia" w:asciiTheme="minorEastAsia" w:hAnsiTheme="minorEastAsia" w:eastAsiaTheme="minorEastAsia" w:cstheme="minorEastAsia"/>
                <w:b/>
                <w:color w:val="auto"/>
                <w:szCs w:val="21"/>
                <w:lang w:val="zh-CN"/>
              </w:rPr>
              <w:t>条款名称</w:t>
            </w:r>
          </w:p>
        </w:tc>
        <w:tc>
          <w:tcPr>
            <w:tcW w:w="6130" w:type="dxa"/>
            <w:shd w:val="clear" w:color="auto" w:fill="F1F1F1"/>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76"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color w:val="auto"/>
                <w:kern w:val="2"/>
                <w:sz w:val="21"/>
                <w:szCs w:val="21"/>
                <w:lang w:val="zh-CN"/>
              </w:rPr>
            </w:pPr>
            <w:r>
              <w:rPr>
                <w:rFonts w:asciiTheme="minorEastAsia" w:hAnsiTheme="minorEastAsia" w:eastAsiaTheme="minorEastAsia" w:cstheme="minorEastAsia"/>
                <w:color w:val="auto"/>
                <w:kern w:val="2"/>
                <w:sz w:val="21"/>
                <w:szCs w:val="21"/>
                <w:lang w:val="zh-CN"/>
              </w:rPr>
              <w:t>2.1</w:t>
            </w:r>
          </w:p>
        </w:tc>
        <w:tc>
          <w:tcPr>
            <w:tcW w:w="2127"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color w:val="auto"/>
                <w:kern w:val="2"/>
                <w:sz w:val="21"/>
                <w:szCs w:val="21"/>
                <w:lang w:val="zh-CN"/>
              </w:rPr>
            </w:pPr>
            <w:r>
              <w:rPr>
                <w:rFonts w:asciiTheme="minorEastAsia" w:hAnsiTheme="minorEastAsia" w:eastAsiaTheme="minorEastAsia" w:cstheme="minorEastAsia"/>
                <w:color w:val="auto"/>
                <w:kern w:val="2"/>
                <w:sz w:val="21"/>
                <w:szCs w:val="21"/>
                <w:lang w:val="zh-CN"/>
              </w:rPr>
              <w:t>采购人</w:t>
            </w:r>
          </w:p>
        </w:tc>
        <w:tc>
          <w:tcPr>
            <w:tcW w:w="6130" w:type="dxa"/>
            <w:vAlign w:val="center"/>
          </w:tcPr>
          <w:p>
            <w:pPr>
              <w:jc w:val="left"/>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华中师范大学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2.2</w:t>
            </w:r>
          </w:p>
        </w:tc>
        <w:tc>
          <w:tcPr>
            <w:tcW w:w="2127" w:type="dxa"/>
            <w:vAlign w:val="center"/>
          </w:tcPr>
          <w:p>
            <w:pPr>
              <w:pStyle w:val="24"/>
              <w:widowControl w:val="0"/>
              <w:autoSpaceDE w:val="0"/>
              <w:autoSpaceDN w:val="0"/>
              <w:adjustRightInd w:val="0"/>
              <w:spacing w:before="0" w:beforeAutospacing="0" w:after="0" w:afterAutospacing="0"/>
              <w:jc w:val="center"/>
              <w:rPr>
                <w:rFonts w:hint="default" w:asciiTheme="minorEastAsia" w:hAnsiTheme="minorEastAsia" w:eastAsiaTheme="minorEastAsia" w:cstheme="minorEastAsia"/>
                <w:color w:val="auto"/>
                <w:kern w:val="2"/>
                <w:sz w:val="21"/>
                <w:szCs w:val="21"/>
                <w:lang w:val="zh-CN"/>
              </w:rPr>
            </w:pPr>
            <w:r>
              <w:rPr>
                <w:rFonts w:asciiTheme="minorEastAsia" w:hAnsiTheme="minorEastAsia" w:eastAsiaTheme="minorEastAsia" w:cstheme="minorEastAsia"/>
                <w:color w:val="auto"/>
                <w:kern w:val="2"/>
                <w:sz w:val="21"/>
                <w:szCs w:val="21"/>
                <w:lang w:val="zh-CN"/>
              </w:rPr>
              <w:t>监管部门</w:t>
            </w:r>
          </w:p>
        </w:tc>
        <w:tc>
          <w:tcPr>
            <w:tcW w:w="6130" w:type="dxa"/>
            <w:vAlign w:val="center"/>
          </w:tcPr>
          <w:p>
            <w:pPr>
              <w:autoSpaceDE w:val="0"/>
              <w:autoSpaceDN w:val="0"/>
              <w:adjustRightInd w:val="0"/>
              <w:jc w:val="left"/>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华中师范大学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2.3</w:t>
            </w:r>
          </w:p>
        </w:tc>
        <w:tc>
          <w:tcPr>
            <w:tcW w:w="2127"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color w:val="auto"/>
                <w:kern w:val="2"/>
                <w:sz w:val="21"/>
                <w:szCs w:val="21"/>
                <w:lang w:val="zh-CN"/>
              </w:rPr>
            </w:pPr>
            <w:r>
              <w:rPr>
                <w:rFonts w:asciiTheme="minorEastAsia" w:hAnsiTheme="minorEastAsia" w:eastAsiaTheme="minorEastAsia" w:cstheme="minorEastAsia"/>
                <w:color w:val="auto"/>
                <w:kern w:val="2"/>
                <w:sz w:val="21"/>
                <w:szCs w:val="21"/>
                <w:lang w:val="zh-CN"/>
              </w:rPr>
              <w:t>采购代理机构</w:t>
            </w:r>
          </w:p>
        </w:tc>
        <w:tc>
          <w:tcPr>
            <w:tcW w:w="6130"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rPr>
                <w:rFonts w:hint="default" w:asciiTheme="minorEastAsia" w:hAnsiTheme="minorEastAsia" w:eastAsiaTheme="minorEastAsia" w:cstheme="minorEastAsia"/>
                <w:color w:val="auto"/>
                <w:kern w:val="2"/>
                <w:sz w:val="21"/>
                <w:szCs w:val="21"/>
                <w:lang w:val="zh-CN"/>
              </w:rPr>
            </w:pPr>
            <w:r>
              <w:rPr>
                <w:rFonts w:asciiTheme="minorEastAsia" w:hAnsiTheme="minorEastAsia" w:eastAsiaTheme="minorEastAsia" w:cstheme="minorEastAsia"/>
                <w:color w:val="auto"/>
                <w:kern w:val="2"/>
                <w:sz w:val="21"/>
                <w:szCs w:val="21"/>
                <w:lang w:val="zh-CN"/>
              </w:rPr>
              <w:t>中经国际招标集团有限公司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color w:val="auto"/>
                <w:kern w:val="2"/>
                <w:sz w:val="21"/>
                <w:szCs w:val="21"/>
                <w:lang w:val="zh-CN"/>
              </w:rPr>
            </w:pPr>
            <w:r>
              <w:rPr>
                <w:rFonts w:asciiTheme="minorEastAsia" w:hAnsiTheme="minorEastAsia" w:eastAsiaTheme="minorEastAsia" w:cstheme="minorEastAsia"/>
                <w:color w:val="auto"/>
                <w:kern w:val="2"/>
                <w:sz w:val="21"/>
                <w:szCs w:val="21"/>
                <w:lang w:val="zh-CN"/>
              </w:rPr>
              <w:t>2.5</w:t>
            </w:r>
          </w:p>
        </w:tc>
        <w:tc>
          <w:tcPr>
            <w:tcW w:w="2127"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color w:val="auto"/>
                <w:kern w:val="2"/>
                <w:sz w:val="21"/>
                <w:szCs w:val="21"/>
                <w:lang w:val="zh-CN"/>
              </w:rPr>
            </w:pPr>
            <w:r>
              <w:rPr>
                <w:rFonts w:asciiTheme="minorEastAsia" w:hAnsiTheme="minorEastAsia" w:eastAsiaTheme="minorEastAsia" w:cstheme="minorEastAsia"/>
                <w:color w:val="auto"/>
                <w:kern w:val="2"/>
                <w:sz w:val="21"/>
                <w:szCs w:val="21"/>
                <w:lang w:val="zh-CN"/>
              </w:rPr>
              <w:t>磋商供应商</w:t>
            </w:r>
          </w:p>
        </w:tc>
        <w:tc>
          <w:tcPr>
            <w:tcW w:w="6130" w:type="dxa"/>
            <w:vAlign w:val="center"/>
          </w:tcPr>
          <w:p>
            <w:pPr>
              <w:pStyle w:val="24"/>
              <w:widowControl w:val="0"/>
              <w:autoSpaceDE w:val="0"/>
              <w:autoSpaceDN w:val="0"/>
              <w:adjustRightInd w:val="0"/>
              <w:spacing w:before="31" w:beforeLines="10" w:beforeAutospacing="0" w:after="31" w:afterLines="10" w:afterAutospacing="0"/>
              <w:ind w:right="21" w:rightChars="10"/>
              <w:rPr>
                <w:rFonts w:hint="default" w:asciiTheme="minorEastAsia" w:hAnsiTheme="minorEastAsia" w:eastAsiaTheme="minorEastAsia" w:cstheme="minorEastAsia"/>
                <w:color w:val="auto"/>
                <w:kern w:val="2"/>
                <w:sz w:val="21"/>
                <w:szCs w:val="21"/>
                <w:lang w:val="zh-CN"/>
              </w:rPr>
            </w:pPr>
            <w:r>
              <w:rPr>
                <w:rFonts w:asciiTheme="minorEastAsia" w:hAnsiTheme="minorEastAsia" w:eastAsiaTheme="minorEastAsia" w:cstheme="minorEastAsia"/>
                <w:color w:val="auto"/>
                <w:sz w:val="21"/>
                <w:szCs w:val="21"/>
                <w:lang w:val="zh-CN"/>
              </w:rPr>
              <w:t>详见</w:t>
            </w:r>
            <w:r>
              <w:rPr>
                <w:rFonts w:asciiTheme="minorEastAsia" w:hAnsiTheme="minorEastAsia" w:eastAsiaTheme="minorEastAsia" w:cstheme="minorEastAsia"/>
                <w:color w:val="auto"/>
                <w:sz w:val="21"/>
                <w:szCs w:val="21"/>
              </w:rPr>
              <w:t>第一章第二款相关要求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color w:val="auto"/>
                <w:kern w:val="2"/>
                <w:sz w:val="21"/>
                <w:szCs w:val="21"/>
                <w:lang w:val="zh-CN"/>
              </w:rPr>
            </w:pPr>
            <w:r>
              <w:rPr>
                <w:rFonts w:asciiTheme="minorEastAsia" w:hAnsiTheme="minorEastAsia" w:eastAsiaTheme="minorEastAsia" w:cstheme="minorEastAsia"/>
                <w:color w:val="auto"/>
                <w:kern w:val="2"/>
                <w:sz w:val="21"/>
                <w:szCs w:val="21"/>
                <w:lang w:val="zh-CN"/>
              </w:rPr>
              <w:t>4.2</w:t>
            </w:r>
          </w:p>
        </w:tc>
        <w:tc>
          <w:tcPr>
            <w:tcW w:w="2127" w:type="dxa"/>
            <w:vAlign w:val="center"/>
          </w:tcPr>
          <w:p>
            <w:pPr>
              <w:autoSpaceDE w:val="0"/>
              <w:autoSpaceDN w:val="0"/>
              <w:adjustRightInd w:val="0"/>
              <w:jc w:val="center"/>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rPr>
              <w:t>招标代理服务费</w:t>
            </w:r>
          </w:p>
        </w:tc>
        <w:tc>
          <w:tcPr>
            <w:tcW w:w="6130" w:type="dxa"/>
            <w:vAlign w:val="center"/>
          </w:tcPr>
          <w:p>
            <w:pPr>
              <w:autoSpaceDE w:val="0"/>
              <w:autoSpaceDN w:val="0"/>
              <w:adjustRightInd w:val="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根据国家发展与改革委员会办公厅发改办价格【2003】857号文的规定，经与采购人协商，由中标人按国家发展计划委员会计价格【2002】1980号文规定的取费标准65%向采购代理机构支付招标代理服务费。招标代理服务费由中标人在领取成交通知书的同时，向采购代理机构支付。详见成交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color w:val="auto"/>
                <w:kern w:val="2"/>
                <w:sz w:val="21"/>
                <w:szCs w:val="21"/>
                <w:lang w:val="zh-CN"/>
              </w:rPr>
            </w:pPr>
            <w:r>
              <w:rPr>
                <w:rFonts w:asciiTheme="minorEastAsia" w:hAnsiTheme="minorEastAsia" w:eastAsiaTheme="minorEastAsia" w:cstheme="minorEastAsia"/>
                <w:color w:val="auto"/>
                <w:kern w:val="2"/>
                <w:sz w:val="21"/>
                <w:szCs w:val="21"/>
                <w:lang w:val="zh-CN"/>
              </w:rPr>
              <w:t>6.2</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提疑、</w:t>
            </w:r>
            <w:r>
              <w:rPr>
                <w:rFonts w:hint="eastAsia" w:asciiTheme="minorEastAsia" w:hAnsiTheme="minorEastAsia" w:eastAsiaTheme="minorEastAsia" w:cstheme="minorEastAsia"/>
                <w:snapToGrid w:val="0"/>
                <w:color w:val="auto"/>
                <w:kern w:val="0"/>
                <w:szCs w:val="21"/>
              </w:rPr>
              <w:t>质疑</w:t>
            </w:r>
            <w:r>
              <w:rPr>
                <w:rFonts w:hint="eastAsia" w:asciiTheme="minorEastAsia" w:hAnsiTheme="minorEastAsia" w:eastAsiaTheme="minorEastAsia" w:cstheme="minorEastAsia"/>
                <w:snapToGrid w:val="0"/>
                <w:color w:val="auto"/>
                <w:kern w:val="0"/>
                <w:szCs w:val="21"/>
                <w:lang w:val="zh-CN"/>
              </w:rPr>
              <w:t>截止时间</w:t>
            </w:r>
          </w:p>
        </w:tc>
        <w:tc>
          <w:tcPr>
            <w:tcW w:w="6130" w:type="dxa"/>
            <w:vAlign w:val="center"/>
          </w:tcPr>
          <w:p>
            <w:pPr>
              <w:pStyle w:val="24"/>
              <w:widowControl w:val="0"/>
              <w:autoSpaceDE w:val="0"/>
              <w:autoSpaceDN w:val="0"/>
              <w:adjustRightInd w:val="0"/>
              <w:spacing w:before="31" w:beforeLines="10" w:beforeAutospacing="0" w:after="31" w:afterLines="10" w:afterAutospacing="0"/>
              <w:ind w:right="21" w:rightChars="10"/>
              <w:rPr>
                <w:rFonts w:hint="default" w:asciiTheme="minorEastAsia" w:hAnsiTheme="minorEastAsia" w:eastAsiaTheme="minorEastAsia" w:cstheme="minorEastAsia"/>
                <w:color w:val="auto"/>
                <w:sz w:val="21"/>
                <w:szCs w:val="21"/>
                <w:lang w:val="zh-CN"/>
              </w:rPr>
            </w:pPr>
            <w:r>
              <w:rPr>
                <w:rFonts w:asciiTheme="minorEastAsia" w:hAnsiTheme="minorEastAsia" w:eastAsiaTheme="minorEastAsia" w:cstheme="minorEastAsia"/>
                <w:color w:val="auto"/>
                <w:sz w:val="21"/>
                <w:szCs w:val="21"/>
                <w:lang w:val="zh-CN"/>
              </w:rPr>
              <w:t>供应商认为磋商文件、磋商过程和成交结果使自己的权益受到损害</w:t>
            </w:r>
          </w:p>
          <w:p>
            <w:pPr>
              <w:pStyle w:val="24"/>
              <w:widowControl w:val="0"/>
              <w:autoSpaceDE w:val="0"/>
              <w:autoSpaceDN w:val="0"/>
              <w:adjustRightInd w:val="0"/>
              <w:spacing w:before="31" w:beforeLines="10" w:beforeAutospacing="0" w:after="31" w:afterLines="10" w:afterAutospacing="0"/>
              <w:ind w:right="21" w:rightChars="10"/>
              <w:rPr>
                <w:rFonts w:hint="default" w:asciiTheme="minorEastAsia" w:hAnsiTheme="minorEastAsia" w:eastAsiaTheme="minorEastAsia" w:cstheme="minorEastAsia"/>
                <w:color w:val="auto"/>
                <w:sz w:val="21"/>
                <w:szCs w:val="21"/>
                <w:lang w:val="zh-CN"/>
              </w:rPr>
            </w:pPr>
            <w:r>
              <w:rPr>
                <w:rFonts w:asciiTheme="minorEastAsia" w:hAnsiTheme="minorEastAsia" w:eastAsiaTheme="minorEastAsia" w:cstheme="minorEastAsia"/>
                <w:color w:val="auto"/>
                <w:sz w:val="21"/>
                <w:szCs w:val="21"/>
                <w:lang w:val="zh-CN"/>
              </w:rPr>
              <w:t>的，可以在知道或者应知其权益受到损害之日起</w:t>
            </w:r>
            <w:r>
              <w:rPr>
                <w:rFonts w:asciiTheme="minorEastAsia" w:hAnsiTheme="minorEastAsia" w:eastAsiaTheme="minorEastAsia" w:cstheme="minorEastAsia"/>
                <w:color w:val="auto"/>
                <w:sz w:val="21"/>
                <w:szCs w:val="21"/>
              </w:rPr>
              <w:t>7</w:t>
            </w:r>
            <w:r>
              <w:rPr>
                <w:rFonts w:asciiTheme="minorEastAsia" w:hAnsiTheme="minorEastAsia" w:eastAsiaTheme="minorEastAsia" w:cstheme="minorEastAsia"/>
                <w:color w:val="auto"/>
                <w:sz w:val="21"/>
                <w:szCs w:val="21"/>
                <w:lang w:val="zh-CN"/>
              </w:rPr>
              <w:t>个工作日内，以</w:t>
            </w:r>
          </w:p>
          <w:p>
            <w:pPr>
              <w:pStyle w:val="24"/>
              <w:widowControl w:val="0"/>
              <w:autoSpaceDE w:val="0"/>
              <w:autoSpaceDN w:val="0"/>
              <w:adjustRightInd w:val="0"/>
              <w:spacing w:before="31" w:beforeLines="10" w:beforeAutospacing="0" w:after="31" w:afterLines="10" w:afterAutospacing="0"/>
              <w:ind w:right="21" w:rightChars="10"/>
              <w:rPr>
                <w:rFonts w:hint="default" w:asciiTheme="minorEastAsia" w:hAnsiTheme="minorEastAsia" w:eastAsiaTheme="minorEastAsia" w:cstheme="minorEastAsia"/>
                <w:color w:val="auto"/>
                <w:sz w:val="21"/>
                <w:szCs w:val="21"/>
                <w:lang w:val="zh-CN"/>
              </w:rPr>
            </w:pPr>
            <w:r>
              <w:rPr>
                <w:rFonts w:asciiTheme="minorEastAsia" w:hAnsiTheme="minorEastAsia" w:eastAsiaTheme="minorEastAsia" w:cstheme="minorEastAsia"/>
                <w:color w:val="auto"/>
                <w:sz w:val="21"/>
                <w:szCs w:val="21"/>
                <w:lang w:val="zh-CN"/>
              </w:rPr>
              <w:t>书面形式向采购人或采购代理机构提出。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color w:val="auto"/>
                <w:kern w:val="2"/>
                <w:sz w:val="21"/>
                <w:szCs w:val="21"/>
              </w:rPr>
            </w:pPr>
            <w:r>
              <w:rPr>
                <w:rFonts w:asciiTheme="minorEastAsia" w:hAnsiTheme="minorEastAsia" w:eastAsiaTheme="minorEastAsia" w:cstheme="minorEastAsia"/>
                <w:color w:val="auto"/>
                <w:kern w:val="2"/>
                <w:sz w:val="21"/>
                <w:szCs w:val="21"/>
              </w:rPr>
              <w:t>7.1</w:t>
            </w:r>
          </w:p>
        </w:tc>
        <w:tc>
          <w:tcPr>
            <w:tcW w:w="2127" w:type="dxa"/>
            <w:vAlign w:val="center"/>
          </w:tcPr>
          <w:p>
            <w:pPr>
              <w:autoSpaceDE w:val="0"/>
              <w:autoSpaceDN w:val="0"/>
              <w:adjustRightInd w:val="0"/>
              <w:jc w:val="center"/>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供应商确认收到磋商</w:t>
            </w:r>
          </w:p>
          <w:p>
            <w:pPr>
              <w:autoSpaceDE w:val="0"/>
              <w:autoSpaceDN w:val="0"/>
              <w:adjustRightInd w:val="0"/>
              <w:jc w:val="center"/>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文件澄清或者修改的</w:t>
            </w:r>
          </w:p>
          <w:p>
            <w:pPr>
              <w:autoSpaceDE w:val="0"/>
              <w:autoSpaceDN w:val="0"/>
              <w:adjustRightInd w:val="0"/>
              <w:jc w:val="center"/>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时间</w:t>
            </w:r>
          </w:p>
        </w:tc>
        <w:tc>
          <w:tcPr>
            <w:tcW w:w="6130" w:type="dxa"/>
            <w:vAlign w:val="center"/>
          </w:tcPr>
          <w:p>
            <w:pPr>
              <w:pStyle w:val="24"/>
              <w:widowControl w:val="0"/>
              <w:autoSpaceDE w:val="0"/>
              <w:autoSpaceDN w:val="0"/>
              <w:adjustRightInd w:val="0"/>
              <w:spacing w:before="31" w:beforeLines="10" w:beforeAutospacing="0" w:after="31" w:afterLines="10" w:afterAutospacing="0"/>
              <w:ind w:right="21" w:rightChars="10"/>
              <w:rPr>
                <w:rFonts w:hint="default" w:asciiTheme="minorEastAsia" w:hAnsiTheme="minorEastAsia" w:eastAsiaTheme="minorEastAsia" w:cstheme="minorEastAsia"/>
                <w:color w:val="auto"/>
                <w:kern w:val="2"/>
                <w:sz w:val="21"/>
                <w:szCs w:val="21"/>
                <w:lang w:val="zh-CN"/>
              </w:rPr>
            </w:pPr>
            <w:r>
              <w:rPr>
                <w:rFonts w:asciiTheme="minorEastAsia" w:hAnsiTheme="minorEastAsia" w:eastAsiaTheme="minorEastAsia" w:cstheme="minorEastAsia"/>
                <w:color w:val="auto"/>
                <w:kern w:val="2"/>
                <w:sz w:val="21"/>
                <w:szCs w:val="21"/>
                <w:lang w:val="zh-CN"/>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10.4</w:t>
            </w:r>
          </w:p>
        </w:tc>
        <w:tc>
          <w:tcPr>
            <w:tcW w:w="2127" w:type="dxa"/>
            <w:vAlign w:val="center"/>
          </w:tcPr>
          <w:p>
            <w:pPr>
              <w:autoSpaceDE w:val="0"/>
              <w:autoSpaceDN w:val="0"/>
              <w:adjustRightInd w:val="0"/>
              <w:jc w:val="center"/>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对多</w:t>
            </w:r>
            <w:r>
              <w:rPr>
                <w:rFonts w:hint="eastAsia" w:asciiTheme="minorEastAsia" w:hAnsiTheme="minorEastAsia" w:eastAsiaTheme="minorEastAsia" w:cstheme="minorEastAsia"/>
                <w:snapToGrid w:val="0"/>
                <w:color w:val="auto"/>
                <w:kern w:val="0"/>
                <w:szCs w:val="21"/>
              </w:rPr>
              <w:t>包</w:t>
            </w:r>
            <w:r>
              <w:rPr>
                <w:rFonts w:hint="eastAsia" w:asciiTheme="minorEastAsia" w:hAnsiTheme="minorEastAsia" w:eastAsiaTheme="minorEastAsia" w:cstheme="minorEastAsia"/>
                <w:snapToGrid w:val="0"/>
                <w:color w:val="auto"/>
                <w:kern w:val="0"/>
                <w:szCs w:val="21"/>
                <w:lang w:val="zh-CN"/>
              </w:rPr>
              <w:t>采购的规定</w:t>
            </w:r>
          </w:p>
        </w:tc>
        <w:tc>
          <w:tcPr>
            <w:tcW w:w="6130" w:type="dxa"/>
            <w:vAlign w:val="center"/>
          </w:tcPr>
          <w:p>
            <w:pPr>
              <w:autoSpaceDE w:val="0"/>
              <w:autoSpaceDN w:val="0"/>
              <w:adjustRightInd w:val="0"/>
              <w:jc w:val="left"/>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详见</w:t>
            </w:r>
            <w:r>
              <w:rPr>
                <w:rFonts w:hint="eastAsia" w:asciiTheme="minorEastAsia" w:hAnsiTheme="minorEastAsia" w:eastAsiaTheme="minorEastAsia" w:cstheme="minorEastAsia"/>
                <w:color w:val="auto"/>
                <w:szCs w:val="21"/>
              </w:rPr>
              <w:t>第一章第一款相关要求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color w:val="auto"/>
                <w:kern w:val="2"/>
                <w:sz w:val="21"/>
                <w:szCs w:val="21"/>
                <w:lang w:val="zh-CN"/>
              </w:rPr>
            </w:pPr>
            <w:r>
              <w:rPr>
                <w:rFonts w:asciiTheme="minorEastAsia" w:hAnsiTheme="minorEastAsia" w:eastAsiaTheme="minorEastAsia" w:cstheme="minorEastAsia"/>
                <w:color w:val="auto"/>
                <w:kern w:val="2"/>
                <w:sz w:val="21"/>
                <w:szCs w:val="21"/>
                <w:lang w:val="zh-CN"/>
              </w:rPr>
              <w:t>12.1</w:t>
            </w:r>
          </w:p>
        </w:tc>
        <w:tc>
          <w:tcPr>
            <w:tcW w:w="2127" w:type="dxa"/>
            <w:vAlign w:val="center"/>
          </w:tcPr>
          <w:p>
            <w:pPr>
              <w:autoSpaceDE w:val="0"/>
              <w:autoSpaceDN w:val="0"/>
              <w:adjustRightInd w:val="0"/>
              <w:jc w:val="center"/>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备选方案</w:t>
            </w:r>
          </w:p>
        </w:tc>
        <w:tc>
          <w:tcPr>
            <w:tcW w:w="6130" w:type="dxa"/>
            <w:vAlign w:val="center"/>
          </w:tcPr>
          <w:p>
            <w:pPr>
              <w:autoSpaceDE w:val="0"/>
              <w:autoSpaceDN w:val="0"/>
              <w:adjustRightInd w:val="0"/>
              <w:jc w:val="left"/>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 xml:space="preserve">本次采购  </w:t>
            </w:r>
            <w:r>
              <w:rPr>
                <w:rFonts w:hint="eastAsia" w:asciiTheme="minorEastAsia" w:hAnsiTheme="minorEastAsia" w:eastAsiaTheme="minorEastAsia" w:cstheme="minorEastAsia"/>
                <w:color w:val="auto"/>
                <w:szCs w:val="21"/>
                <w:u w:val="single"/>
                <w:lang w:val="zh-CN"/>
              </w:rPr>
              <w:t>不接受</w:t>
            </w:r>
            <w:r>
              <w:rPr>
                <w:rFonts w:hint="eastAsia" w:asciiTheme="minorEastAsia" w:hAnsiTheme="minorEastAsia" w:eastAsiaTheme="minorEastAsia" w:cstheme="minorEastAsia"/>
                <w:color w:val="auto"/>
                <w:szCs w:val="21"/>
                <w:lang w:val="zh-CN"/>
              </w:rPr>
              <w:t xml:space="preserve"> 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color w:val="auto"/>
                <w:kern w:val="2"/>
                <w:sz w:val="21"/>
                <w:szCs w:val="21"/>
                <w:lang w:val="zh-CN"/>
              </w:rPr>
            </w:pPr>
            <w:r>
              <w:rPr>
                <w:rFonts w:asciiTheme="minorEastAsia" w:hAnsiTheme="minorEastAsia" w:eastAsiaTheme="minorEastAsia" w:cstheme="minorEastAsia"/>
                <w:color w:val="auto"/>
                <w:kern w:val="2"/>
                <w:sz w:val="21"/>
                <w:szCs w:val="21"/>
                <w:lang w:val="zh-CN"/>
              </w:rPr>
              <w:t>13.1</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联合体磋商</w:t>
            </w:r>
          </w:p>
        </w:tc>
        <w:tc>
          <w:tcPr>
            <w:tcW w:w="6130" w:type="dxa"/>
            <w:vAlign w:val="center"/>
          </w:tcPr>
          <w:p>
            <w:pPr>
              <w:autoSpaceDE w:val="0"/>
              <w:autoSpaceDN w:val="0"/>
              <w:adjustRightInd w:val="0"/>
              <w:jc w:val="left"/>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 xml:space="preserve">本次采购  </w:t>
            </w:r>
            <w:r>
              <w:rPr>
                <w:rFonts w:hint="eastAsia" w:asciiTheme="minorEastAsia" w:hAnsiTheme="minorEastAsia" w:eastAsiaTheme="minorEastAsia" w:cstheme="minorEastAsia"/>
                <w:color w:val="auto"/>
                <w:szCs w:val="21"/>
                <w:u w:val="single"/>
                <w:lang w:val="zh-CN"/>
              </w:rPr>
              <w:t>不接受</w:t>
            </w:r>
            <w:r>
              <w:rPr>
                <w:rFonts w:hint="eastAsia" w:asciiTheme="minorEastAsia" w:hAnsiTheme="minorEastAsia" w:eastAsiaTheme="minorEastAsia" w:cstheme="minorEastAsia"/>
                <w:color w:val="auto"/>
                <w:szCs w:val="21"/>
                <w:lang w:val="zh-CN"/>
              </w:rPr>
              <w:t xml:space="preserve"> 联合体报价。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14.1</w:t>
            </w:r>
          </w:p>
        </w:tc>
        <w:tc>
          <w:tcPr>
            <w:tcW w:w="2127" w:type="dxa"/>
            <w:vAlign w:val="center"/>
          </w:tcPr>
          <w:p>
            <w:pPr>
              <w:autoSpaceDE w:val="0"/>
              <w:autoSpaceDN w:val="0"/>
              <w:adjustRightInd w:val="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
                <w:bCs/>
                <w:color w:val="auto"/>
                <w:szCs w:val="21"/>
                <w:lang w:val="zh-CN"/>
              </w:rPr>
              <w:t>应提交的其它资格证明文件（实质性要求）</w:t>
            </w:r>
          </w:p>
        </w:tc>
        <w:tc>
          <w:tcPr>
            <w:tcW w:w="6130" w:type="dxa"/>
            <w:vAlign w:val="center"/>
          </w:tcPr>
          <w:p>
            <w:pPr>
              <w:autoSpaceDE w:val="0"/>
              <w:autoSpaceDN w:val="0"/>
              <w:adjustRightInd w:val="0"/>
              <w:jc w:val="left"/>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详见第一章《</w:t>
            </w:r>
            <w:r>
              <w:rPr>
                <w:rFonts w:hint="eastAsia" w:asciiTheme="minorEastAsia" w:hAnsiTheme="minorEastAsia" w:eastAsiaTheme="minorEastAsia" w:cstheme="minorEastAsia"/>
                <w:color w:val="auto"/>
                <w:szCs w:val="21"/>
              </w:rPr>
              <w:t>竞争性磋商</w:t>
            </w:r>
            <w:r>
              <w:rPr>
                <w:rFonts w:hint="eastAsia" w:asciiTheme="minorEastAsia" w:hAnsiTheme="minorEastAsia" w:eastAsiaTheme="minorEastAsia" w:cstheme="minorEastAsia"/>
                <w:color w:val="auto"/>
                <w:szCs w:val="21"/>
                <w:lang w:val="zh-CN"/>
              </w:rPr>
              <w:t>公告》第二款“资格要求”，须提供的证明文件包括但不限于：</w:t>
            </w:r>
          </w:p>
          <w:p>
            <w:pPr>
              <w:autoSpaceDE w:val="0"/>
              <w:autoSpaceDN w:val="0"/>
              <w:adjustRightInd w:val="0"/>
              <w:jc w:val="left"/>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w:t>
            </w:r>
            <w:r>
              <w:rPr>
                <w:rFonts w:hint="eastAsia" w:asciiTheme="minorEastAsia" w:hAnsiTheme="minorEastAsia" w:eastAsiaTheme="minorEastAsia" w:cstheme="minorEastAsia"/>
                <w:color w:val="auto"/>
                <w:szCs w:val="21"/>
              </w:rPr>
              <w:t>1</w:t>
            </w:r>
            <w:r>
              <w:rPr>
                <w:rFonts w:hint="eastAsia" w:asciiTheme="minorEastAsia" w:hAnsiTheme="minorEastAsia" w:eastAsiaTheme="minorEastAsia" w:cstheme="minorEastAsia"/>
                <w:color w:val="auto"/>
                <w:szCs w:val="21"/>
                <w:lang w:val="zh-CN"/>
              </w:rPr>
              <w:t>）具有独立承担民事责任的能力；</w:t>
            </w:r>
          </w:p>
          <w:p>
            <w:pPr>
              <w:autoSpaceDE w:val="0"/>
              <w:autoSpaceDN w:val="0"/>
              <w:adjustRightInd w:val="0"/>
              <w:jc w:val="left"/>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营业执照等证明文件或自然人的身份证明（如供应商是企业 （包括合伙企业），应提供在工商部门注册的有效“企业法人营业执照”或“营业执照”；如供应商是事业单位，应提供有效的“事业单位法人证书”；供应商是非企业专业服务机构的，应提供执业许可证等证明文件；如供应商是个体工商户，应提供有效的“个体工商户营业执照”；如供应商是自然人，应提供有效的自然人身份证明）。</w:t>
            </w:r>
          </w:p>
          <w:p>
            <w:pPr>
              <w:autoSpaceDE w:val="0"/>
              <w:autoSpaceDN w:val="0"/>
              <w:adjustRightInd w:val="0"/>
              <w:jc w:val="left"/>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w:t>
            </w:r>
            <w:r>
              <w:rPr>
                <w:rFonts w:hint="eastAsia" w:asciiTheme="minorEastAsia" w:hAnsiTheme="minorEastAsia" w:eastAsiaTheme="minorEastAsia" w:cstheme="minorEastAsia"/>
                <w:color w:val="auto"/>
                <w:szCs w:val="21"/>
              </w:rPr>
              <w:t>2</w:t>
            </w:r>
            <w:r>
              <w:rPr>
                <w:rFonts w:hint="eastAsia" w:asciiTheme="minorEastAsia" w:hAnsiTheme="minorEastAsia" w:eastAsiaTheme="minorEastAsia" w:cstheme="minorEastAsia"/>
                <w:color w:val="auto"/>
                <w:szCs w:val="21"/>
                <w:lang w:val="zh-CN"/>
              </w:rPr>
              <w:t>）具有良好的商业信誉和健全的财务会计制度；</w:t>
            </w:r>
          </w:p>
          <w:p>
            <w:pPr>
              <w:autoSpaceDE w:val="0"/>
              <w:autoSpaceDN w:val="0"/>
              <w:adjustRightInd w:val="0"/>
              <w:jc w:val="left"/>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良好的商业信誉证明材料（自拟），财务会计制度指上一年度经第三方审计的财务报告，部分其他组织和自然人，没有财务报告，</w:t>
            </w:r>
            <w:r>
              <w:rPr>
                <w:rFonts w:hint="eastAsia" w:asciiTheme="minorEastAsia" w:hAnsiTheme="minorEastAsia" w:eastAsiaTheme="minorEastAsia" w:cstheme="minorEastAsia"/>
                <w:color w:val="auto"/>
                <w:szCs w:val="21"/>
              </w:rPr>
              <w:t>可以</w:t>
            </w:r>
            <w:r>
              <w:rPr>
                <w:rFonts w:hint="eastAsia" w:asciiTheme="minorEastAsia" w:hAnsiTheme="minorEastAsia" w:eastAsiaTheme="minorEastAsia" w:cstheme="minorEastAsia"/>
                <w:color w:val="auto"/>
                <w:szCs w:val="21"/>
                <w:lang w:val="zh-CN"/>
              </w:rPr>
              <w:t>提供银行出具的资信证明（银行资信证明应能说明该供应商与银行之间业务往来正常，企业信誉良好等。银行出具的单纯的存款证明不能视作银行资信证明。下同）。由财政部门认可的政府采购专业担保机构对供应商进行资信审查后出具投标担保函的，可以不用提供</w:t>
            </w:r>
            <w:r>
              <w:rPr>
                <w:rFonts w:hint="eastAsia" w:asciiTheme="minorEastAsia" w:hAnsiTheme="minorEastAsia" w:eastAsiaTheme="minorEastAsia" w:cstheme="minorEastAsia"/>
                <w:color w:val="auto"/>
                <w:szCs w:val="21"/>
              </w:rPr>
              <w:t>财务会计制度对应的相关内容</w:t>
            </w:r>
            <w:r>
              <w:rPr>
                <w:rFonts w:hint="eastAsia" w:asciiTheme="minorEastAsia" w:hAnsiTheme="minorEastAsia" w:eastAsiaTheme="minorEastAsia" w:cstheme="minorEastAsia"/>
                <w:color w:val="auto"/>
                <w:szCs w:val="21"/>
                <w:lang w:val="zh-CN"/>
              </w:rPr>
              <w:t>。</w:t>
            </w:r>
          </w:p>
          <w:p>
            <w:pPr>
              <w:autoSpaceDE w:val="0"/>
              <w:autoSpaceDN w:val="0"/>
              <w:adjustRightInd w:val="0"/>
              <w:jc w:val="left"/>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w:t>
            </w:r>
            <w:r>
              <w:rPr>
                <w:rFonts w:hint="eastAsia" w:asciiTheme="minorEastAsia" w:hAnsiTheme="minorEastAsia" w:eastAsiaTheme="minorEastAsia" w:cstheme="minorEastAsia"/>
                <w:color w:val="auto"/>
                <w:szCs w:val="21"/>
              </w:rPr>
              <w:t>3</w:t>
            </w:r>
            <w:r>
              <w:rPr>
                <w:rFonts w:hint="eastAsia" w:asciiTheme="minorEastAsia" w:hAnsiTheme="minorEastAsia" w:eastAsiaTheme="minorEastAsia" w:cstheme="minorEastAsia"/>
                <w:color w:val="auto"/>
                <w:szCs w:val="21"/>
                <w:lang w:val="zh-CN"/>
              </w:rPr>
              <w:t>）具有履行合同所必需的设备和专业技术能力的证明材料；（自拟）</w:t>
            </w:r>
          </w:p>
          <w:p>
            <w:pPr>
              <w:autoSpaceDE w:val="0"/>
              <w:autoSpaceDN w:val="0"/>
              <w:adjustRightInd w:val="0"/>
              <w:jc w:val="left"/>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w:t>
            </w:r>
            <w:r>
              <w:rPr>
                <w:rFonts w:hint="eastAsia" w:asciiTheme="minorEastAsia" w:hAnsiTheme="minorEastAsia" w:eastAsiaTheme="minorEastAsia" w:cstheme="minorEastAsia"/>
                <w:color w:val="auto"/>
                <w:szCs w:val="21"/>
              </w:rPr>
              <w:t>4</w:t>
            </w:r>
            <w:r>
              <w:rPr>
                <w:rFonts w:hint="eastAsia" w:asciiTheme="minorEastAsia" w:hAnsiTheme="minorEastAsia" w:eastAsiaTheme="minorEastAsia" w:cstheme="minorEastAsia"/>
                <w:color w:val="auto"/>
                <w:szCs w:val="21"/>
                <w:lang w:val="zh-CN"/>
              </w:rPr>
              <w:t>）具有依法缴纳税收和社会保障资金的良好记录：1）供应商依法缴纳税收的证明材料：递交响应文件截止时间往前推算</w:t>
            </w:r>
            <w:r>
              <w:rPr>
                <w:rFonts w:hint="eastAsia" w:asciiTheme="minorEastAsia" w:hAnsiTheme="minorEastAsia" w:eastAsiaTheme="minorEastAsia" w:cstheme="minorEastAsia"/>
                <w:color w:val="auto"/>
                <w:szCs w:val="21"/>
              </w:rPr>
              <w:t>六个月</w:t>
            </w:r>
            <w:r>
              <w:rPr>
                <w:rFonts w:hint="eastAsia" w:asciiTheme="minorEastAsia" w:hAnsiTheme="minorEastAsia" w:eastAsiaTheme="minorEastAsia" w:cstheme="minorEastAsia"/>
                <w:color w:val="auto"/>
                <w:szCs w:val="21"/>
                <w:lang w:val="zh-CN"/>
              </w:rPr>
              <w:t>以来</w:t>
            </w:r>
            <w:r>
              <w:rPr>
                <w:rFonts w:hint="eastAsia" w:asciiTheme="minorEastAsia" w:hAnsiTheme="minorEastAsia" w:eastAsiaTheme="minorEastAsia" w:cstheme="minorEastAsia"/>
                <w:color w:val="auto"/>
                <w:szCs w:val="21"/>
              </w:rPr>
              <w:t>至少</w:t>
            </w:r>
            <w:r>
              <w:rPr>
                <w:rFonts w:hint="eastAsia" w:asciiTheme="minorEastAsia" w:hAnsiTheme="minorEastAsia" w:eastAsiaTheme="minorEastAsia" w:cstheme="minorEastAsia"/>
                <w:color w:val="auto"/>
                <w:szCs w:val="21"/>
                <w:lang w:val="zh-CN"/>
              </w:rPr>
              <w:t>任意连续三个月缴纳税收的凭据（完税证明、缴款书、银行代扣（代缴）转账凭证等均可）；2）供应商依法缴纳社会保障资金的证明材料：递交响应文件截止时间往前推算</w:t>
            </w:r>
            <w:r>
              <w:rPr>
                <w:rFonts w:hint="eastAsia" w:asciiTheme="minorEastAsia" w:hAnsiTheme="minorEastAsia" w:eastAsiaTheme="minorEastAsia" w:cstheme="minorEastAsia"/>
                <w:color w:val="auto"/>
                <w:szCs w:val="21"/>
              </w:rPr>
              <w:t>六个月</w:t>
            </w:r>
            <w:r>
              <w:rPr>
                <w:rFonts w:hint="eastAsia" w:asciiTheme="minorEastAsia" w:hAnsiTheme="minorEastAsia" w:eastAsiaTheme="minorEastAsia" w:cstheme="minorEastAsia"/>
                <w:color w:val="auto"/>
                <w:szCs w:val="21"/>
                <w:lang w:val="zh-CN"/>
              </w:rPr>
              <w:t>以来</w:t>
            </w:r>
            <w:r>
              <w:rPr>
                <w:rFonts w:hint="eastAsia" w:asciiTheme="minorEastAsia" w:hAnsiTheme="minorEastAsia" w:eastAsiaTheme="minorEastAsia" w:cstheme="minorEastAsia"/>
                <w:color w:val="auto"/>
                <w:szCs w:val="21"/>
              </w:rPr>
              <w:t>至少</w:t>
            </w:r>
            <w:r>
              <w:rPr>
                <w:rFonts w:hint="eastAsia" w:asciiTheme="minorEastAsia" w:hAnsiTheme="minorEastAsia" w:eastAsiaTheme="minorEastAsia" w:cstheme="minorEastAsia"/>
                <w:color w:val="auto"/>
                <w:szCs w:val="21"/>
                <w:lang w:val="zh-CN"/>
              </w:rPr>
              <w:t>任意连续三个月缴纳社会保险的凭据（专用发票或社会保险缴纳清单）；3）供应商为其他组织或自然人的，也需要按此项规定提供缴纳税收的凭据和缴纳社会保险的凭据；4）递交响应文件截止时间当月成立但因税务机关原因导致其尚未依法缴纳税收的供应商，提供依法缴纳税收承诺书原件（格式自拟），该承诺书视同税收缴纳凭据。5）递交响应文件截止时间当月成立但因社会保障资金管理机关原因导致其尚未依法缴纳社会保障资金的供应商，提供依法缴纳社会保障资金承诺书原件（格式自拟），该承诺书视同社会保险凭据。6）依法免税或不需要缴纳社会保障资金的供应商，应提供相应文件证明其依法免税或不需要缴纳社会保障资金。</w:t>
            </w:r>
          </w:p>
          <w:p>
            <w:pPr>
              <w:autoSpaceDE w:val="0"/>
              <w:autoSpaceDN w:val="0"/>
              <w:adjustRightInd w:val="0"/>
              <w:jc w:val="left"/>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w:t>
            </w:r>
            <w:r>
              <w:rPr>
                <w:rFonts w:hint="eastAsia" w:asciiTheme="minorEastAsia" w:hAnsiTheme="minorEastAsia" w:eastAsiaTheme="minorEastAsia" w:cstheme="minorEastAsia"/>
                <w:color w:val="auto"/>
                <w:szCs w:val="21"/>
              </w:rPr>
              <w:t>5</w:t>
            </w:r>
            <w:r>
              <w:rPr>
                <w:rFonts w:hint="eastAsia" w:asciiTheme="minorEastAsia" w:hAnsiTheme="minorEastAsia" w:eastAsiaTheme="minorEastAsia" w:cstheme="minorEastAsia"/>
                <w:color w:val="auto"/>
                <w:szCs w:val="21"/>
                <w:lang w:val="zh-CN"/>
              </w:rPr>
              <w:t>）参加政府采购活动前三年内，在经营活动中没有重大违法记录；（提供书面声明）（重大违法记录是指供应商因违法经营受到刑事处罚或者责令停产停业、吊销许可证或者执照、较大数额罚款等行政处罚）</w:t>
            </w:r>
          </w:p>
          <w:p>
            <w:pPr>
              <w:autoSpaceDE w:val="0"/>
              <w:autoSpaceDN w:val="0"/>
              <w:adjustRightInd w:val="0"/>
              <w:jc w:val="left"/>
              <w:rPr>
                <w:rFonts w:asciiTheme="minorEastAsia" w:hAnsiTheme="minorEastAsia" w:eastAsiaTheme="minorEastAsia" w:cstheme="minorEastAsia"/>
                <w:b/>
                <w:bCs/>
                <w:color w:val="auto"/>
                <w:szCs w:val="21"/>
                <w:lang w:val="zh-CN"/>
              </w:rPr>
            </w:pPr>
            <w:r>
              <w:rPr>
                <w:rFonts w:hint="eastAsia" w:asciiTheme="minorEastAsia" w:hAnsiTheme="minorEastAsia" w:eastAsiaTheme="minorEastAsia" w:cstheme="minorEastAsia"/>
                <w:b/>
                <w:bCs/>
                <w:color w:val="auto"/>
                <w:szCs w:val="21"/>
                <w:lang w:val="zh-CN"/>
              </w:rPr>
              <w:t>（</w:t>
            </w:r>
            <w:r>
              <w:rPr>
                <w:rFonts w:hint="eastAsia" w:asciiTheme="minorEastAsia" w:hAnsiTheme="minorEastAsia" w:eastAsiaTheme="minorEastAsia" w:cstheme="minorEastAsia"/>
                <w:b/>
                <w:bCs/>
                <w:color w:val="auto"/>
                <w:szCs w:val="21"/>
              </w:rPr>
              <w:t>6</w:t>
            </w:r>
            <w:r>
              <w:rPr>
                <w:rFonts w:hint="eastAsia" w:asciiTheme="minorEastAsia" w:hAnsiTheme="minorEastAsia" w:eastAsiaTheme="minorEastAsia" w:cstheme="minorEastAsia"/>
                <w:b/>
                <w:bCs/>
                <w:color w:val="auto"/>
                <w:szCs w:val="21"/>
                <w:lang w:val="zh-CN"/>
              </w:rPr>
              <w:t>）符合本文件第一章第二款资格要求的所有证明资料。</w:t>
            </w:r>
          </w:p>
          <w:p>
            <w:pPr>
              <w:autoSpaceDE w:val="0"/>
              <w:autoSpaceDN w:val="0"/>
              <w:adjustRightInd w:val="0"/>
              <w:jc w:val="left"/>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b/>
                <w:bCs/>
                <w:color w:val="auto"/>
                <w:szCs w:val="21"/>
                <w:lang w:val="zh-CN"/>
              </w:rPr>
              <w:t>注：除上述要求的资格证明文件外，如国家法律法规对市场准入有要求的还应提交相关资格证明文件。所有证书、证明文件包括按要求提供的官网截图必须是真实可查证的，须注明资料来源。资格证明文件应为原件清晰的扫描件），副本可用正本的复印件。所有证明材料须清晰可辨认，如因证明材料模糊无法辨认，缺页、漏页导致无法进行评审认定的，责任由供应商自负。如发现弄虚作假将按照有关规定严肃处理。证明材料仅限于投标单位本身，参股或控股单位及独立法人子公司的材料不能作为证明材料，但投标单位兼并的企业的材料可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color w:val="auto"/>
                <w:kern w:val="2"/>
                <w:sz w:val="21"/>
                <w:szCs w:val="21"/>
                <w:lang w:val="zh-CN"/>
              </w:rPr>
            </w:pPr>
            <w:r>
              <w:rPr>
                <w:rFonts w:asciiTheme="minorEastAsia" w:hAnsiTheme="minorEastAsia" w:eastAsiaTheme="minorEastAsia" w:cstheme="minorEastAsia"/>
                <w:color w:val="auto"/>
                <w:kern w:val="2"/>
                <w:sz w:val="21"/>
                <w:szCs w:val="21"/>
                <w:lang w:val="zh-CN"/>
              </w:rPr>
              <w:t>15.1</w:t>
            </w:r>
          </w:p>
        </w:tc>
        <w:tc>
          <w:tcPr>
            <w:tcW w:w="2127" w:type="dxa"/>
            <w:vAlign w:val="center"/>
          </w:tcPr>
          <w:p>
            <w:pPr>
              <w:autoSpaceDE w:val="0"/>
              <w:autoSpaceDN w:val="0"/>
              <w:adjustRightInd w:val="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证明响应内容符合竞争性磋商采购文件要求的文件和竞争性磋商采购文件规定的其他资料</w:t>
            </w:r>
          </w:p>
        </w:tc>
        <w:tc>
          <w:tcPr>
            <w:tcW w:w="6130" w:type="dxa"/>
            <w:vAlign w:val="center"/>
          </w:tcPr>
          <w:p>
            <w:pPr>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证明满足磋商文件第三章中技术要求及商务要求的所有相关规定的相关内容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color w:val="auto"/>
                <w:kern w:val="2"/>
                <w:sz w:val="21"/>
                <w:szCs w:val="21"/>
                <w:lang w:val="zh-CN"/>
              </w:rPr>
            </w:pPr>
            <w:r>
              <w:rPr>
                <w:rFonts w:asciiTheme="minorEastAsia" w:hAnsiTheme="minorEastAsia" w:eastAsiaTheme="minorEastAsia" w:cstheme="minorEastAsia"/>
                <w:color w:val="auto"/>
                <w:kern w:val="2"/>
                <w:sz w:val="21"/>
                <w:szCs w:val="21"/>
                <w:lang w:val="zh-CN"/>
              </w:rPr>
              <w:t>17.1</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磋商有效期</w:t>
            </w:r>
          </w:p>
        </w:tc>
        <w:tc>
          <w:tcPr>
            <w:tcW w:w="6130" w:type="dxa"/>
            <w:vAlign w:val="center"/>
          </w:tcPr>
          <w:p>
            <w:pPr>
              <w:autoSpaceDE w:val="0"/>
              <w:autoSpaceDN w:val="0"/>
              <w:adjustRightInd w:val="0"/>
              <w:jc w:val="left"/>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kern w:val="0"/>
                <w:szCs w:val="21"/>
              </w:rPr>
              <w:t>自磋商截止时间起共</w:t>
            </w:r>
            <w:r>
              <w:rPr>
                <w:rFonts w:hint="eastAsia" w:asciiTheme="minorEastAsia" w:hAnsiTheme="minorEastAsia" w:eastAsiaTheme="minorEastAsia" w:cstheme="minorEastAsia"/>
                <w:color w:val="auto"/>
                <w:kern w:val="0"/>
                <w:szCs w:val="21"/>
                <w:u w:val="single"/>
              </w:rPr>
              <w:t xml:space="preserve"> 90 </w:t>
            </w:r>
            <w:r>
              <w:rPr>
                <w:rFonts w:hint="eastAsia" w:asciiTheme="minorEastAsia" w:hAnsiTheme="minorEastAsia" w:eastAsiaTheme="minorEastAsia" w:cstheme="minorEastAsia"/>
                <w:color w:val="auto"/>
                <w:kern w:val="0"/>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color w:val="auto"/>
                <w:kern w:val="2"/>
                <w:sz w:val="21"/>
                <w:szCs w:val="21"/>
                <w:lang w:val="zh-CN"/>
              </w:rPr>
            </w:pPr>
            <w:r>
              <w:rPr>
                <w:rFonts w:asciiTheme="minorEastAsia" w:hAnsiTheme="minorEastAsia" w:eastAsiaTheme="minorEastAsia" w:cstheme="minorEastAsia"/>
                <w:color w:val="auto"/>
                <w:kern w:val="2"/>
                <w:sz w:val="21"/>
                <w:szCs w:val="21"/>
                <w:lang w:val="zh-CN"/>
              </w:rPr>
              <w:t>18.1</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竞争性磋商响应文件正、副本数量</w:t>
            </w:r>
          </w:p>
        </w:tc>
        <w:tc>
          <w:tcPr>
            <w:tcW w:w="6130" w:type="dxa"/>
            <w:vAlign w:val="center"/>
          </w:tcPr>
          <w:p>
            <w:pPr>
              <w:autoSpaceDE w:val="0"/>
              <w:autoSpaceDN w:val="0"/>
              <w:snapToGrid w:val="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（1）响应文件纸质版：正本</w:t>
            </w:r>
            <w:r>
              <w:rPr>
                <w:rFonts w:hint="eastAsia" w:asciiTheme="minorEastAsia" w:hAnsiTheme="minorEastAsia" w:eastAsiaTheme="minorEastAsia" w:cstheme="minorEastAsia"/>
                <w:color w:val="auto"/>
                <w:szCs w:val="21"/>
                <w:u w:val="single"/>
              </w:rPr>
              <w:t xml:space="preserve"> 壹 </w:t>
            </w:r>
            <w:r>
              <w:rPr>
                <w:rFonts w:hint="eastAsia" w:asciiTheme="minorEastAsia" w:hAnsiTheme="minorEastAsia" w:eastAsiaTheme="minorEastAsia" w:cstheme="minorEastAsia"/>
                <w:color w:val="auto"/>
                <w:szCs w:val="21"/>
              </w:rPr>
              <w:t>份（需为彩色打印件），副本</w:t>
            </w:r>
            <w:r>
              <w:rPr>
                <w:rFonts w:hint="eastAsia" w:asciiTheme="minorEastAsia" w:hAnsiTheme="minorEastAsia" w:eastAsiaTheme="minorEastAsia" w:cstheme="minorEastAsia"/>
                <w:color w:val="auto"/>
                <w:szCs w:val="21"/>
                <w:u w:val="single"/>
              </w:rPr>
              <w:t xml:space="preserve"> 贰 </w:t>
            </w:r>
            <w:r>
              <w:rPr>
                <w:rFonts w:hint="eastAsia" w:asciiTheme="minorEastAsia" w:hAnsiTheme="minorEastAsia" w:eastAsiaTheme="minorEastAsia" w:cstheme="minorEastAsia"/>
                <w:color w:val="auto"/>
                <w:szCs w:val="21"/>
              </w:rPr>
              <w:t>份；</w:t>
            </w:r>
          </w:p>
          <w:p>
            <w:pPr>
              <w:autoSpaceDE w:val="0"/>
              <w:autoSpaceDN w:val="0"/>
              <w:snapToGrid w:val="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（2）响应文件电子版：</w:t>
            </w:r>
          </w:p>
          <w:p>
            <w:pPr>
              <w:autoSpaceDE w:val="0"/>
              <w:autoSpaceDN w:val="0"/>
              <w:snapToGrid w:val="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□不要求</w:t>
            </w:r>
          </w:p>
          <w:p>
            <w:pPr>
              <w:autoSpaceDE w:val="0"/>
              <w:autoSpaceDN w:val="0"/>
              <w:snapToGrid w:val="0"/>
              <w:jc w:val="left"/>
              <w:rPr>
                <w:rFonts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☑要求，响应文件电子版内容：</w:t>
            </w:r>
            <w:r>
              <w:rPr>
                <w:rFonts w:hint="eastAsia" w:asciiTheme="minorEastAsia" w:hAnsiTheme="minorEastAsia" w:eastAsiaTheme="minorEastAsia" w:cstheme="minorEastAsia"/>
                <w:color w:val="auto"/>
                <w:szCs w:val="21"/>
                <w:u w:val="single"/>
              </w:rPr>
              <w:t>与正本保持一致</w:t>
            </w:r>
          </w:p>
          <w:p>
            <w:pPr>
              <w:autoSpaceDE w:val="0"/>
              <w:autoSpaceDN w:val="0"/>
              <w:snapToGrid w:val="0"/>
              <w:ind w:firstLine="840" w:firstLineChars="4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shd w:val="clear" w:color="auto" w:fill="FFFFFF"/>
              </w:rPr>
              <w:t>响应文件电子版格式：</w:t>
            </w:r>
            <w:r>
              <w:rPr>
                <w:rFonts w:hint="eastAsia" w:asciiTheme="minorEastAsia" w:hAnsiTheme="minorEastAsia" w:eastAsiaTheme="minorEastAsia" w:cstheme="minorEastAsia"/>
                <w:color w:val="auto"/>
                <w:szCs w:val="21"/>
                <w:u w:val="single"/>
                <w:shd w:val="clear" w:color="auto" w:fill="FFFFFF"/>
              </w:rPr>
              <w:t>WORD格式和加</w:t>
            </w:r>
            <w:r>
              <w:rPr>
                <w:rFonts w:hint="eastAsia" w:asciiTheme="minorEastAsia" w:hAnsiTheme="minorEastAsia" w:eastAsiaTheme="minorEastAsia" w:cstheme="minorEastAsia"/>
                <w:color w:val="auto"/>
                <w:szCs w:val="21"/>
                <w:u w:val="single"/>
              </w:rPr>
              <w:t>盖公章后的PDF扫描件格式；</w:t>
            </w:r>
          </w:p>
          <w:p>
            <w:pPr>
              <w:autoSpaceDE w:val="0"/>
              <w:autoSpaceDN w:val="0"/>
              <w:adjustRightInd w:val="0"/>
              <w:ind w:firstLine="840" w:firstLineChars="400"/>
              <w:jc w:val="left"/>
              <w:rPr>
                <w:rFonts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响应文件电子版形式：</w:t>
            </w:r>
            <w:r>
              <w:rPr>
                <w:rFonts w:hint="eastAsia" w:asciiTheme="minorEastAsia" w:hAnsiTheme="minorEastAsia" w:eastAsiaTheme="minorEastAsia" w:cstheme="minorEastAsia"/>
                <w:color w:val="auto"/>
                <w:szCs w:val="21"/>
                <w:u w:val="single"/>
              </w:rPr>
              <w:t>U盘1份，需贴标签并注明公司名称；</w:t>
            </w:r>
          </w:p>
          <w:p>
            <w:pPr>
              <w:autoSpaceDE w:val="0"/>
              <w:autoSpaceDN w:val="0"/>
              <w:adjustRightInd w:val="0"/>
              <w:jc w:val="left"/>
              <w:rPr>
                <w:rFonts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（3）手持法定代表人授权委托书（或法定代表人身份证明书）；</w:t>
            </w:r>
          </w:p>
          <w:p>
            <w:pPr>
              <w:autoSpaceDE w:val="0"/>
              <w:autoSpaceDN w:val="0"/>
              <w:adjustRightInd w:val="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所有响应文件概不退还，响应文件按包分开制作，分开密封。</w:t>
            </w:r>
          </w:p>
          <w:p>
            <w:pPr>
              <w:autoSpaceDE w:val="0"/>
              <w:autoSpaceDN w:val="0"/>
              <w:adjustRightInd w:val="0"/>
              <w:jc w:val="left"/>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rPr>
              <w:t>纸质响应文件应采用胶粘方</w:t>
            </w:r>
            <w:r>
              <w:rPr>
                <w:rFonts w:hint="eastAsia" w:asciiTheme="minorEastAsia" w:hAnsiTheme="minorEastAsia" w:eastAsiaTheme="minorEastAsia" w:cstheme="minorEastAsia"/>
                <w:color w:val="auto"/>
                <w:szCs w:val="21"/>
                <w:lang w:val="zh-CN"/>
              </w:rPr>
              <w:t>式装订,装订应牢固、不易拆散和换页。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default" w:asciiTheme="minorEastAsia" w:hAnsiTheme="minorEastAsia" w:eastAsiaTheme="minorEastAsia" w:cstheme="minorEastAsia"/>
                <w:color w:val="auto"/>
                <w:kern w:val="2"/>
                <w:sz w:val="21"/>
                <w:szCs w:val="21"/>
                <w:lang w:val="zh-CN"/>
              </w:rPr>
            </w:pPr>
            <w:r>
              <w:rPr>
                <w:rFonts w:asciiTheme="minorEastAsia" w:hAnsiTheme="minorEastAsia" w:eastAsiaTheme="minorEastAsia" w:cstheme="minorEastAsia"/>
                <w:color w:val="auto"/>
                <w:kern w:val="2"/>
                <w:sz w:val="21"/>
                <w:szCs w:val="21"/>
              </w:rPr>
              <w:t>19.1</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竞争性磋商响应文件的密封和标记</w:t>
            </w:r>
          </w:p>
        </w:tc>
        <w:tc>
          <w:tcPr>
            <w:tcW w:w="6130" w:type="dxa"/>
            <w:vAlign w:val="center"/>
          </w:tcPr>
          <w:p>
            <w:pPr>
              <w:autoSpaceDE w:val="0"/>
              <w:autoSpaceDN w:val="0"/>
              <w:adjustRightInd w:val="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本条款细化为：响应文件正本需逐页加盖供应商单位公章，不得使用单位其他专用章代替。因签字盖章问题导致的响应材料被否决或竞标受影响的情况，其后果供应商自行承担。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20.1</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响应文件送达地点及递交截止时间</w:t>
            </w:r>
          </w:p>
        </w:tc>
        <w:tc>
          <w:tcPr>
            <w:tcW w:w="6130" w:type="dxa"/>
            <w:vAlign w:val="center"/>
          </w:tcPr>
          <w:p>
            <w:pPr>
              <w:autoSpaceDE w:val="0"/>
              <w:autoSpaceDN w:val="0"/>
              <w:adjustRightInd w:val="0"/>
              <w:jc w:val="left"/>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详见第一章第四款相关要求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23.1</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磋商小组人数</w:t>
            </w:r>
          </w:p>
        </w:tc>
        <w:tc>
          <w:tcPr>
            <w:tcW w:w="6130" w:type="dxa"/>
            <w:vAlign w:val="center"/>
          </w:tcPr>
          <w:p>
            <w:pPr>
              <w:autoSpaceDE w:val="0"/>
              <w:autoSpaceDN w:val="0"/>
              <w:adjustRightInd w:val="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3人或3人以上单数组成，其中采购人代表不超过成员总数的三分之一，外聘经济及技术专家在省政府采购专家库中随机抽取。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24.1</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b/>
                <w:bCs/>
                <w:snapToGrid w:val="0"/>
                <w:color w:val="auto"/>
                <w:kern w:val="0"/>
                <w:szCs w:val="21"/>
              </w:rPr>
            </w:pPr>
            <w:r>
              <w:rPr>
                <w:rFonts w:hint="eastAsia" w:asciiTheme="minorEastAsia" w:hAnsiTheme="minorEastAsia" w:eastAsiaTheme="minorEastAsia" w:cstheme="minorEastAsia"/>
                <w:b/>
                <w:bCs/>
                <w:snapToGrid w:val="0"/>
                <w:color w:val="auto"/>
                <w:kern w:val="0"/>
                <w:szCs w:val="21"/>
              </w:rPr>
              <w:t>磋商代表</w:t>
            </w:r>
          </w:p>
        </w:tc>
        <w:tc>
          <w:tcPr>
            <w:tcW w:w="6130" w:type="dxa"/>
            <w:vAlign w:val="center"/>
          </w:tcPr>
          <w:p>
            <w:pPr>
              <w:autoSpaceDE w:val="0"/>
              <w:autoSpaceDN w:val="0"/>
              <w:adjustRightInd w:val="0"/>
              <w:jc w:val="left"/>
              <w:rPr>
                <w:rFonts w:asciiTheme="minorEastAsia" w:hAnsiTheme="minorEastAsia" w:eastAsiaTheme="minorEastAsia" w:cstheme="minorEastAsia"/>
                <w:b/>
                <w:bCs/>
                <w:color w:val="auto"/>
                <w:szCs w:val="21"/>
                <w:lang w:val="zh-CN"/>
              </w:rPr>
            </w:pPr>
            <w:r>
              <w:rPr>
                <w:rFonts w:hint="eastAsia" w:asciiTheme="minorEastAsia" w:hAnsiTheme="minorEastAsia" w:eastAsiaTheme="minorEastAsia" w:cstheme="minorEastAsia"/>
                <w:b/>
                <w:bCs/>
                <w:color w:val="auto"/>
                <w:szCs w:val="21"/>
                <w:lang w:val="zh-CN"/>
              </w:rPr>
              <w:t>建议供应商拟派出席磋商会议的磋商代表为熟知本项目的技术人员或商务负责人等能</w:t>
            </w:r>
            <w:r>
              <w:rPr>
                <w:rFonts w:hint="eastAsia" w:asciiTheme="minorEastAsia" w:hAnsiTheme="minorEastAsia" w:eastAsiaTheme="minorEastAsia" w:cstheme="minorEastAsia"/>
                <w:b/>
                <w:bCs/>
                <w:color w:val="auto"/>
                <w:szCs w:val="21"/>
              </w:rPr>
              <w:t>为磋商小组详细介绍供应商公司情况及项目了解情况的人员，</w:t>
            </w:r>
            <w:r>
              <w:rPr>
                <w:rFonts w:hint="eastAsia" w:asciiTheme="minorEastAsia" w:hAnsiTheme="minorEastAsia" w:eastAsiaTheme="minorEastAsia" w:cstheme="minorEastAsia"/>
                <w:b/>
                <w:bCs/>
                <w:color w:val="auto"/>
                <w:szCs w:val="21"/>
                <w:lang w:val="zh-CN"/>
              </w:rPr>
              <w:t>以便在评审过程中进行可能出现的答疑或澄清。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26.4</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提交最后报价供应商的确定方式</w:t>
            </w:r>
          </w:p>
        </w:tc>
        <w:tc>
          <w:tcPr>
            <w:tcW w:w="6130" w:type="dxa"/>
            <w:vAlign w:val="center"/>
          </w:tcPr>
          <w:p>
            <w:pPr>
              <w:autoSpaceDE w:val="0"/>
              <w:autoSpaceDN w:val="0"/>
              <w:adjustRightInd w:val="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采购代理机构将竞争性磋商第二轮报价表（磋商承诺书）发放至所有通过了资格审查及符合性审查的磋商供应商，磋商供应商应在指定的时间内提交满足要求的最后报价，</w:t>
            </w:r>
            <w:r>
              <w:rPr>
                <w:rFonts w:hint="eastAsia" w:asciiTheme="minorEastAsia" w:hAnsiTheme="minorEastAsia" w:eastAsiaTheme="minorEastAsia" w:cstheme="minorEastAsia"/>
                <w:snapToGrid w:val="0"/>
                <w:color w:val="auto"/>
                <w:kern w:val="0"/>
                <w:szCs w:val="21"/>
              </w:rPr>
              <w:t>在指定地点以</w:t>
            </w:r>
            <w:r>
              <w:rPr>
                <w:rFonts w:hint="eastAsia" w:asciiTheme="minorEastAsia" w:hAnsiTheme="minorEastAsia" w:eastAsiaTheme="minorEastAsia" w:cstheme="minorEastAsia"/>
                <w:snapToGrid w:val="0"/>
                <w:color w:val="auto"/>
                <w:kern w:val="0"/>
                <w:szCs w:val="21"/>
                <w:lang w:val="zh-CN"/>
              </w:rPr>
              <w:t>密封</w:t>
            </w:r>
            <w:r>
              <w:rPr>
                <w:rFonts w:hint="eastAsia" w:asciiTheme="minorEastAsia" w:hAnsiTheme="minorEastAsia" w:eastAsiaTheme="minorEastAsia" w:cstheme="minorEastAsia"/>
                <w:snapToGrid w:val="0"/>
                <w:color w:val="auto"/>
                <w:kern w:val="0"/>
                <w:szCs w:val="21"/>
              </w:rPr>
              <w:t>等形式</w:t>
            </w:r>
            <w:r>
              <w:rPr>
                <w:rFonts w:hint="eastAsia" w:asciiTheme="minorEastAsia" w:hAnsiTheme="minorEastAsia" w:eastAsiaTheme="minorEastAsia" w:cstheme="minorEastAsia"/>
                <w:snapToGrid w:val="0"/>
                <w:color w:val="auto"/>
                <w:kern w:val="0"/>
                <w:szCs w:val="21"/>
                <w:lang w:val="zh-CN"/>
              </w:rPr>
              <w:t>递交</w:t>
            </w:r>
            <w:r>
              <w:rPr>
                <w:rFonts w:hint="eastAsia" w:asciiTheme="minorEastAsia" w:hAnsiTheme="minorEastAsia" w:eastAsiaTheme="minorEastAsia" w:cstheme="minorEastAsia"/>
                <w:snapToGrid w:val="0"/>
                <w:color w:val="auto"/>
                <w:kern w:val="0"/>
                <w:szCs w:val="21"/>
              </w:rPr>
              <w:t>给采购代理机构指定现场工作人员或</w:t>
            </w:r>
            <w:r>
              <w:rPr>
                <w:rFonts w:hint="eastAsia" w:asciiTheme="minorEastAsia" w:hAnsiTheme="minorEastAsia" w:eastAsiaTheme="minorEastAsia" w:cstheme="minorEastAsia"/>
                <w:snapToGrid w:val="0"/>
                <w:color w:val="auto"/>
                <w:kern w:val="0"/>
                <w:szCs w:val="21"/>
                <w:lang w:val="zh-CN"/>
              </w:rPr>
              <w:t>磋商小组。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27.3</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推荐成交候选</w:t>
            </w:r>
            <w:r>
              <w:rPr>
                <w:rFonts w:hint="eastAsia" w:asciiTheme="minorEastAsia" w:hAnsiTheme="minorEastAsia" w:eastAsiaTheme="minorEastAsia" w:cstheme="minorEastAsia"/>
                <w:snapToGrid w:val="0"/>
                <w:color w:val="auto"/>
                <w:kern w:val="0"/>
                <w:szCs w:val="21"/>
              </w:rPr>
              <w:t>供应商</w:t>
            </w:r>
            <w:r>
              <w:rPr>
                <w:rFonts w:hint="eastAsia" w:asciiTheme="minorEastAsia" w:hAnsiTheme="minorEastAsia" w:eastAsiaTheme="minorEastAsia" w:cstheme="minorEastAsia"/>
                <w:snapToGrid w:val="0"/>
                <w:color w:val="auto"/>
                <w:kern w:val="0"/>
                <w:szCs w:val="21"/>
                <w:lang w:val="zh-CN"/>
              </w:rPr>
              <w:t>数量</w:t>
            </w:r>
          </w:p>
        </w:tc>
        <w:tc>
          <w:tcPr>
            <w:tcW w:w="6130" w:type="dxa"/>
            <w:vAlign w:val="center"/>
          </w:tcPr>
          <w:p>
            <w:pPr>
              <w:autoSpaceDE w:val="0"/>
              <w:autoSpaceDN w:val="0"/>
              <w:adjustRightInd w:val="0"/>
              <w:jc w:val="left"/>
              <w:rPr>
                <w:rFonts w:asciiTheme="minorEastAsia" w:hAnsiTheme="minorEastAsia" w:eastAsiaTheme="minorEastAsia" w:cstheme="minorEastAsia"/>
                <w:bCs/>
                <w:color w:val="auto"/>
                <w:kern w:val="44"/>
                <w:szCs w:val="21"/>
              </w:rPr>
            </w:pPr>
            <w:r>
              <w:rPr>
                <w:rFonts w:hint="eastAsia" w:asciiTheme="minorEastAsia" w:hAnsiTheme="minorEastAsia" w:eastAsiaTheme="minorEastAsia" w:cstheme="minorEastAsia"/>
                <w:bCs/>
                <w:color w:val="auto"/>
                <w:kern w:val="44"/>
                <w:szCs w:val="21"/>
              </w:rPr>
              <w:t>本项目推荐</w:t>
            </w:r>
            <w:r>
              <w:rPr>
                <w:rFonts w:hint="eastAsia" w:asciiTheme="minorEastAsia" w:hAnsiTheme="minorEastAsia" w:eastAsiaTheme="minorEastAsia" w:cstheme="minorEastAsia"/>
                <w:bCs/>
                <w:color w:val="auto"/>
                <w:kern w:val="44"/>
                <w:szCs w:val="21"/>
                <w:u w:val="single"/>
              </w:rPr>
              <w:t>3</w:t>
            </w:r>
            <w:r>
              <w:rPr>
                <w:rFonts w:hint="eastAsia" w:asciiTheme="minorEastAsia" w:hAnsiTheme="minorEastAsia" w:eastAsiaTheme="minorEastAsia" w:cstheme="minorEastAsia"/>
                <w:bCs/>
                <w:color w:val="auto"/>
                <w:kern w:val="44"/>
                <w:szCs w:val="21"/>
              </w:rPr>
              <w:t>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28.5</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成交通知书的领取</w:t>
            </w:r>
            <w:r>
              <w:rPr>
                <w:rFonts w:hint="eastAsia" w:asciiTheme="minorEastAsia" w:hAnsiTheme="minorEastAsia" w:eastAsiaTheme="minorEastAsia" w:cstheme="minorEastAsia"/>
                <w:snapToGrid w:val="0"/>
                <w:color w:val="auto"/>
                <w:kern w:val="0"/>
                <w:szCs w:val="21"/>
              </w:rPr>
              <w:t>时</w:t>
            </w:r>
            <w:r>
              <w:rPr>
                <w:rFonts w:hint="eastAsia" w:asciiTheme="minorEastAsia" w:hAnsiTheme="minorEastAsia" w:eastAsiaTheme="minorEastAsia" w:cstheme="minorEastAsia"/>
                <w:snapToGrid w:val="0"/>
                <w:color w:val="auto"/>
                <w:kern w:val="0"/>
                <w:szCs w:val="21"/>
                <w:lang w:val="zh-CN"/>
              </w:rPr>
              <w:t>间</w:t>
            </w:r>
          </w:p>
        </w:tc>
        <w:tc>
          <w:tcPr>
            <w:tcW w:w="6130" w:type="dxa"/>
            <w:vAlign w:val="center"/>
          </w:tcPr>
          <w:p>
            <w:pPr>
              <w:autoSpaceDE w:val="0"/>
              <w:autoSpaceDN w:val="0"/>
              <w:adjustRightInd w:val="0"/>
              <w:jc w:val="left"/>
              <w:rPr>
                <w:rFonts w:asciiTheme="minorEastAsia" w:hAnsiTheme="minorEastAsia" w:eastAsiaTheme="minorEastAsia" w:cstheme="minorEastAsia"/>
                <w:bCs/>
                <w:color w:val="auto"/>
                <w:kern w:val="44"/>
                <w:szCs w:val="21"/>
              </w:rPr>
            </w:pPr>
            <w:r>
              <w:rPr>
                <w:rFonts w:hint="eastAsia" w:asciiTheme="minorEastAsia" w:hAnsiTheme="minorEastAsia" w:eastAsiaTheme="minorEastAsia" w:cstheme="minorEastAsia"/>
                <w:bCs/>
                <w:color w:val="auto"/>
                <w:kern w:val="44"/>
                <w:szCs w:val="21"/>
              </w:rPr>
              <w:t>成交通知书与成交结果公告同时发出，成交供应商在成交结果公告</w:t>
            </w:r>
          </w:p>
          <w:p>
            <w:pPr>
              <w:autoSpaceDE w:val="0"/>
              <w:autoSpaceDN w:val="0"/>
              <w:adjustRightInd w:val="0"/>
              <w:jc w:val="left"/>
              <w:rPr>
                <w:rFonts w:asciiTheme="minorEastAsia" w:hAnsiTheme="minorEastAsia" w:eastAsiaTheme="minorEastAsia" w:cstheme="minorEastAsia"/>
                <w:bCs/>
                <w:color w:val="auto"/>
                <w:kern w:val="44"/>
                <w:szCs w:val="21"/>
              </w:rPr>
            </w:pPr>
            <w:r>
              <w:rPr>
                <w:rFonts w:hint="eastAsia" w:asciiTheme="minorEastAsia" w:hAnsiTheme="minorEastAsia" w:eastAsiaTheme="minorEastAsia" w:cstheme="minorEastAsia"/>
                <w:bCs/>
                <w:color w:val="auto"/>
                <w:kern w:val="44"/>
                <w:szCs w:val="21"/>
              </w:rPr>
              <w:t>发布以后即可联系采购代理机构领取。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9071" w:type="dxa"/>
            <w:gridSpan w:val="3"/>
            <w:vAlign w:val="center"/>
          </w:tcPr>
          <w:p>
            <w:pPr>
              <w:autoSpaceDE w:val="0"/>
              <w:autoSpaceDN w:val="0"/>
              <w:adjustRightInd w:val="0"/>
              <w:snapToGrid w:val="0"/>
              <w:spacing w:before="31" w:beforeLines="10" w:after="31" w:afterLines="10"/>
              <w:ind w:right="21" w:rightChars="10"/>
              <w:jc w:val="center"/>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b/>
                <w:bCs/>
                <w:color w:val="auto"/>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报价方式</w:t>
            </w:r>
          </w:p>
        </w:tc>
        <w:tc>
          <w:tcPr>
            <w:tcW w:w="6130" w:type="dxa"/>
            <w:vAlign w:val="center"/>
          </w:tcPr>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color w:val="auto"/>
                <w:szCs w:val="21"/>
                <w:lang w:val="zh-CN"/>
              </w:rPr>
            </w:pPr>
            <w:r>
              <w:rPr>
                <w:rFonts w:hint="eastAsia"/>
                <w:color w:val="auto"/>
                <w:lang w:val="zh-CN"/>
              </w:rPr>
              <w:t>本项目采用总价包干模式，以合同价为准，一次性包干，</w:t>
            </w:r>
            <w:r>
              <w:rPr>
                <w:rFonts w:hint="eastAsia" w:asciiTheme="minorEastAsia" w:hAnsiTheme="minorEastAsia" w:eastAsiaTheme="minorEastAsia" w:cstheme="minorEastAsia"/>
                <w:color w:val="auto"/>
                <w:szCs w:val="21"/>
                <w:lang w:val="zh-CN"/>
              </w:rPr>
              <w:t>总报价为“交钥匙”价，且须精确到小数点后两位。竞标报价应包括完成该</w:t>
            </w:r>
            <w:r>
              <w:rPr>
                <w:rFonts w:hint="eastAsia" w:asciiTheme="minorEastAsia" w:hAnsiTheme="minorEastAsia" w:eastAsiaTheme="minorEastAsia" w:cstheme="minorEastAsia"/>
                <w:color w:val="auto"/>
                <w:szCs w:val="21"/>
              </w:rPr>
              <w:t>项目采购范围内的所有费用</w:t>
            </w:r>
            <w:r>
              <w:rPr>
                <w:rFonts w:hint="eastAsia" w:asciiTheme="minorEastAsia" w:hAnsiTheme="minorEastAsia" w:eastAsiaTheme="minorEastAsia" w:cstheme="minorEastAsia"/>
                <w:color w:val="auto"/>
                <w:szCs w:val="21"/>
                <w:lang w:val="zh-CN"/>
              </w:rPr>
              <w:t>及</w:t>
            </w:r>
            <w:r>
              <w:rPr>
                <w:rFonts w:hint="eastAsia" w:asciiTheme="minorEastAsia" w:hAnsiTheme="minorEastAsia" w:eastAsiaTheme="minorEastAsia" w:cstheme="minorEastAsia"/>
                <w:color w:val="auto"/>
                <w:szCs w:val="21"/>
              </w:rPr>
              <w:t>后期</w:t>
            </w:r>
            <w:r>
              <w:rPr>
                <w:rFonts w:hint="eastAsia" w:asciiTheme="minorEastAsia" w:hAnsiTheme="minorEastAsia" w:eastAsiaTheme="minorEastAsia" w:cstheme="minorEastAsia"/>
                <w:color w:val="auto"/>
                <w:szCs w:val="21"/>
                <w:lang w:val="zh-CN"/>
              </w:rPr>
              <w:t>质保期间等一切服务费用及其他售后服务等全部相关工作</w:t>
            </w:r>
            <w:r>
              <w:rPr>
                <w:rFonts w:hint="eastAsia" w:asciiTheme="minorEastAsia" w:hAnsiTheme="minorEastAsia" w:eastAsiaTheme="minorEastAsia" w:cstheme="minorEastAsia"/>
                <w:color w:val="auto"/>
                <w:szCs w:val="21"/>
              </w:rPr>
              <w:t>的全费用</w:t>
            </w:r>
            <w:r>
              <w:rPr>
                <w:rFonts w:hint="eastAsia" w:asciiTheme="minorEastAsia" w:hAnsiTheme="minorEastAsia" w:eastAsiaTheme="minorEastAsia" w:cstheme="minorEastAsia"/>
                <w:color w:val="auto"/>
                <w:szCs w:val="21"/>
                <w:lang w:val="zh-CN"/>
              </w:rPr>
              <w:t>。合同签订后采购人未提出增加工作内容的情况下，合同价不得调整。</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各供应商按此要求进行报价，同时在合同实施过程中还将发生的其它费用</w:t>
            </w:r>
            <w:r>
              <w:rPr>
                <w:rFonts w:hint="eastAsia" w:asciiTheme="minorEastAsia" w:hAnsiTheme="minorEastAsia" w:eastAsiaTheme="minorEastAsia" w:cstheme="minorEastAsia"/>
                <w:color w:val="auto"/>
                <w:szCs w:val="21"/>
              </w:rPr>
              <w:t>也</w:t>
            </w:r>
            <w:r>
              <w:rPr>
                <w:rFonts w:hint="eastAsia" w:asciiTheme="minorEastAsia" w:hAnsiTheme="minorEastAsia" w:eastAsiaTheme="minorEastAsia" w:cstheme="minorEastAsia"/>
                <w:color w:val="auto"/>
                <w:szCs w:val="21"/>
                <w:lang w:val="zh-CN"/>
              </w:rPr>
              <w:t>应包含在总价中，对在合同实施过程中可能发生的其它费用（如：增加耗材、材料涨价、人工、运输成本增加等因素），</w:t>
            </w:r>
            <w:r>
              <w:rPr>
                <w:rFonts w:hint="eastAsia" w:asciiTheme="minorEastAsia" w:hAnsiTheme="minorEastAsia" w:eastAsiaTheme="minorEastAsia" w:cstheme="minorEastAsia"/>
                <w:color w:val="auto"/>
                <w:szCs w:val="21"/>
              </w:rPr>
              <w:t>采购人</w:t>
            </w:r>
            <w:r>
              <w:rPr>
                <w:rFonts w:hint="eastAsia" w:asciiTheme="minorEastAsia" w:hAnsiTheme="minorEastAsia" w:eastAsiaTheme="minorEastAsia" w:cstheme="minorEastAsia"/>
                <w:color w:val="auto"/>
                <w:szCs w:val="21"/>
                <w:lang w:val="zh-CN"/>
              </w:rPr>
              <w:t>概不负责。</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zh-CN"/>
              </w:rPr>
              <w:t>对于</w:t>
            </w: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color w:val="auto"/>
                <w:szCs w:val="21"/>
                <w:lang w:val="zh-CN"/>
              </w:rPr>
              <w:t>文件未列明，而</w:t>
            </w: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color w:val="auto"/>
                <w:szCs w:val="21"/>
                <w:lang w:val="zh-CN"/>
              </w:rPr>
              <w:t>供应商认为</w:t>
            </w:r>
            <w:r>
              <w:rPr>
                <w:rFonts w:hint="eastAsia" w:asciiTheme="minorEastAsia" w:hAnsiTheme="minorEastAsia" w:eastAsiaTheme="minorEastAsia" w:cstheme="minorEastAsia"/>
                <w:color w:val="auto"/>
                <w:szCs w:val="21"/>
              </w:rPr>
              <w:t>必须</w:t>
            </w:r>
            <w:r>
              <w:rPr>
                <w:rFonts w:hint="eastAsia" w:asciiTheme="minorEastAsia" w:hAnsiTheme="minorEastAsia" w:eastAsiaTheme="minorEastAsia" w:cstheme="minorEastAsia"/>
                <w:color w:val="auto"/>
                <w:szCs w:val="21"/>
                <w:lang w:val="zh-CN"/>
              </w:rPr>
              <w:t>的费用也需列入总报价。在合同实施时，采购人将不予支付</w:t>
            </w:r>
            <w:r>
              <w:rPr>
                <w:rFonts w:hint="eastAsia" w:asciiTheme="minorEastAsia" w:hAnsiTheme="minorEastAsia" w:eastAsiaTheme="minorEastAsia" w:cstheme="minorEastAsia"/>
                <w:color w:val="auto"/>
                <w:szCs w:val="21"/>
              </w:rPr>
              <w:t>成交</w:t>
            </w:r>
            <w:r>
              <w:rPr>
                <w:rFonts w:hint="eastAsia" w:asciiTheme="minorEastAsia" w:hAnsiTheme="minorEastAsia" w:eastAsiaTheme="minorEastAsia" w:cstheme="minorEastAsia"/>
                <w:color w:val="auto"/>
                <w:szCs w:val="21"/>
                <w:lang w:val="zh-CN"/>
              </w:rPr>
              <w:t>供应商没有列入的项目费用，并认为此项目的费用已包括在投标总报价中。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127" w:type="dxa"/>
            <w:vAlign w:val="center"/>
          </w:tcPr>
          <w:p>
            <w:pPr>
              <w:autoSpaceDE w:val="0"/>
              <w:autoSpaceDN w:val="0"/>
              <w:adjustRightIn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踏勘现场</w:t>
            </w:r>
          </w:p>
        </w:tc>
        <w:tc>
          <w:tcPr>
            <w:tcW w:w="6130" w:type="dxa"/>
            <w:vAlign w:val="center"/>
          </w:tcPr>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☑采购人不组织统一踏勘，请各供应商自行踏勘现场；</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□组织，踏勘时间：</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踏勘集中地点：</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踏勘联系人：</w:t>
            </w:r>
          </w:p>
          <w:p>
            <w:pPr>
              <w:autoSpaceDE w:val="0"/>
              <w:autoSpaceDN w:val="0"/>
              <w:adjustRightInd w:val="0"/>
              <w:snapToGrid w:val="0"/>
              <w:spacing w:before="31" w:beforeLines="10" w:after="31" w:afterLines="10"/>
              <w:ind w:right="21" w:rightChars="1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注：（1）供应商承担踏勘现场所发生的自身费用；</w:t>
            </w:r>
          </w:p>
          <w:p>
            <w:pPr>
              <w:autoSpaceDE w:val="0"/>
              <w:autoSpaceDN w:val="0"/>
              <w:adjustRightInd w:val="0"/>
              <w:snapToGrid w:val="0"/>
              <w:spacing w:before="31" w:beforeLines="10" w:after="31" w:afterLines="10"/>
              <w:ind w:right="21" w:rightChars="10"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（2）供应商应承担踏勘现场的责任和风险。</w:t>
            </w:r>
          </w:p>
          <w:p>
            <w:pPr>
              <w:autoSpaceDE w:val="0"/>
              <w:autoSpaceDN w:val="0"/>
              <w:adjustRightInd w:val="0"/>
              <w:snapToGrid w:val="0"/>
              <w:spacing w:before="31" w:beforeLines="10" w:after="31" w:afterLines="10"/>
              <w:ind w:right="21" w:rightChars="10" w:firstLine="420" w:firstLineChars="200"/>
              <w:jc w:val="left"/>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rPr>
              <w:t>（3）、采购人在踏勘现场中介绍的项目背景及项目现场和相关的周边环境情况，供应商在编制响应文件时参考，采购人和采购代理机构不对供应商据此作出的判断和决策负责。</w:t>
            </w:r>
          </w:p>
        </w:tc>
      </w:tr>
    </w:tbl>
    <w:p>
      <w:pPr>
        <w:spacing w:line="360" w:lineRule="auto"/>
        <w:outlineLvl w:val="1"/>
        <w:rPr>
          <w:rFonts w:asciiTheme="minorEastAsia" w:hAnsiTheme="minorEastAsia" w:eastAsiaTheme="minorEastAsia" w:cstheme="minorEastAsia"/>
          <w:b/>
          <w:color w:val="auto"/>
          <w:szCs w:val="21"/>
        </w:rPr>
      </w:pPr>
      <w:bookmarkStart w:id="28" w:name="_Toc25796"/>
      <w:r>
        <w:rPr>
          <w:rFonts w:hint="eastAsia" w:asciiTheme="minorEastAsia" w:hAnsiTheme="minorEastAsia" w:eastAsiaTheme="minorEastAsia" w:cstheme="minorEastAsia"/>
          <w:b/>
          <w:color w:val="auto"/>
          <w:szCs w:val="21"/>
        </w:rPr>
        <w:t>供应商须知</w:t>
      </w:r>
      <w:bookmarkEnd w:id="28"/>
    </w:p>
    <w:p>
      <w:pPr>
        <w:numPr>
          <w:ilvl w:val="1"/>
          <w:numId w:val="9"/>
        </w:numPr>
        <w:tabs>
          <w:tab w:val="left" w:pos="540"/>
          <w:tab w:val="clear" w:pos="840"/>
        </w:tabs>
        <w:spacing w:line="360" w:lineRule="auto"/>
        <w:ind w:left="540" w:hanging="540"/>
        <w:outlineLvl w:val="1"/>
        <w:rPr>
          <w:rFonts w:asciiTheme="minorEastAsia" w:hAnsiTheme="minorEastAsia" w:eastAsiaTheme="minorEastAsia" w:cstheme="minorEastAsia"/>
          <w:b/>
          <w:color w:val="auto"/>
          <w:szCs w:val="21"/>
        </w:rPr>
      </w:pPr>
      <w:bookmarkStart w:id="29" w:name="_Toc30402"/>
      <w:r>
        <w:rPr>
          <w:rFonts w:hint="eastAsia" w:asciiTheme="minorEastAsia" w:hAnsiTheme="minorEastAsia" w:eastAsiaTheme="minorEastAsia" w:cstheme="minorEastAsia"/>
          <w:b/>
          <w:color w:val="auto"/>
          <w:szCs w:val="21"/>
        </w:rPr>
        <w:t>总则</w:t>
      </w:r>
      <w:bookmarkEnd w:id="29"/>
    </w:p>
    <w:p>
      <w:pPr>
        <w:numPr>
          <w:ilvl w:val="0"/>
          <w:numId w:val="10"/>
        </w:numPr>
        <w:spacing w:line="360" w:lineRule="auto"/>
        <w:ind w:hanging="540"/>
        <w:outlineLvl w:val="1"/>
        <w:rPr>
          <w:rFonts w:asciiTheme="minorEastAsia" w:hAnsiTheme="minorEastAsia" w:eastAsiaTheme="minorEastAsia" w:cstheme="minorEastAsia"/>
          <w:b/>
          <w:color w:val="auto"/>
          <w:szCs w:val="21"/>
        </w:rPr>
      </w:pPr>
      <w:bookmarkStart w:id="30" w:name="_Toc27243"/>
      <w:bookmarkStart w:id="31" w:name="_Toc6153"/>
      <w:r>
        <w:rPr>
          <w:rFonts w:hint="eastAsia" w:asciiTheme="minorEastAsia" w:hAnsiTheme="minorEastAsia" w:eastAsiaTheme="minorEastAsia" w:cstheme="minorEastAsia"/>
          <w:b/>
          <w:color w:val="auto"/>
          <w:szCs w:val="21"/>
        </w:rPr>
        <w:t>适用法律及范围</w:t>
      </w:r>
      <w:bookmarkEnd w:id="30"/>
      <w:bookmarkEnd w:id="31"/>
    </w:p>
    <w:p>
      <w:pPr>
        <w:numPr>
          <w:ilvl w:val="1"/>
          <w:numId w:val="11"/>
        </w:numPr>
        <w:tabs>
          <w:tab w:val="left" w:pos="540"/>
          <w:tab w:val="clear" w:pos="360"/>
        </w:tabs>
        <w:spacing w:line="360" w:lineRule="auto"/>
        <w:ind w:left="540" w:hanging="54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本竞争性磋商采购文件仅适用于本次竞争性磋商中所述的项目的采购。</w:t>
      </w:r>
    </w:p>
    <w:p>
      <w:pPr>
        <w:numPr>
          <w:ilvl w:val="0"/>
          <w:numId w:val="10"/>
        </w:numPr>
        <w:spacing w:line="360" w:lineRule="auto"/>
        <w:ind w:hanging="540"/>
        <w:outlineLvl w:val="1"/>
        <w:rPr>
          <w:rFonts w:asciiTheme="minorEastAsia" w:hAnsiTheme="minorEastAsia" w:eastAsiaTheme="minorEastAsia" w:cstheme="minorEastAsia"/>
          <w:b/>
          <w:color w:val="auto"/>
          <w:szCs w:val="21"/>
        </w:rPr>
      </w:pPr>
      <w:bookmarkStart w:id="32" w:name="_Toc9947"/>
      <w:bookmarkStart w:id="33" w:name="_Toc30547"/>
      <w:r>
        <w:rPr>
          <w:rFonts w:hint="eastAsia" w:asciiTheme="minorEastAsia" w:hAnsiTheme="minorEastAsia" w:eastAsiaTheme="minorEastAsia" w:cstheme="minorEastAsia"/>
          <w:b/>
          <w:color w:val="auto"/>
          <w:szCs w:val="21"/>
        </w:rPr>
        <w:t>定义</w:t>
      </w:r>
      <w:bookmarkEnd w:id="32"/>
      <w:bookmarkEnd w:id="33"/>
    </w:p>
    <w:p>
      <w:pPr>
        <w:numPr>
          <w:ilvl w:val="1"/>
          <w:numId w:val="12"/>
        </w:numPr>
        <w:tabs>
          <w:tab w:val="left" w:pos="540"/>
          <w:tab w:val="clear" w:pos="360"/>
        </w:tabs>
        <w:spacing w:line="360" w:lineRule="auto"/>
        <w:ind w:left="540" w:hanging="54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“采购人”：本次磋商的采购人见《供应商须知前附表》。</w:t>
      </w:r>
    </w:p>
    <w:p>
      <w:pPr>
        <w:numPr>
          <w:ilvl w:val="1"/>
          <w:numId w:val="12"/>
        </w:numPr>
        <w:tabs>
          <w:tab w:val="left" w:pos="540"/>
          <w:tab w:val="clear" w:pos="360"/>
        </w:tabs>
        <w:spacing w:line="360" w:lineRule="auto"/>
        <w:ind w:left="540" w:hanging="54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“监管部门”：本次磋商的监管部门见《供应商须知前附表》。</w:t>
      </w:r>
    </w:p>
    <w:p>
      <w:pPr>
        <w:numPr>
          <w:ilvl w:val="1"/>
          <w:numId w:val="12"/>
        </w:numPr>
        <w:tabs>
          <w:tab w:val="left" w:pos="540"/>
          <w:tab w:val="clear" w:pos="360"/>
        </w:tabs>
        <w:spacing w:line="360" w:lineRule="auto"/>
        <w:ind w:left="540" w:hanging="54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“采购代理机构”：本次磋商的采购代理机构见《供应商须知前附表》。</w:t>
      </w:r>
    </w:p>
    <w:p>
      <w:pPr>
        <w:numPr>
          <w:ilvl w:val="1"/>
          <w:numId w:val="12"/>
        </w:numPr>
        <w:tabs>
          <w:tab w:val="left" w:pos="540"/>
          <w:tab w:val="clear" w:pos="360"/>
        </w:tabs>
        <w:spacing w:line="360" w:lineRule="auto"/>
        <w:ind w:left="540" w:hanging="54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“供应商”是指获取本竞争性磋商采购文件的法人、其他组织或者自然人。</w:t>
      </w:r>
    </w:p>
    <w:p>
      <w:pPr>
        <w:numPr>
          <w:ilvl w:val="1"/>
          <w:numId w:val="12"/>
        </w:numPr>
        <w:tabs>
          <w:tab w:val="left" w:pos="540"/>
          <w:tab w:val="clear" w:pos="360"/>
        </w:tabs>
        <w:spacing w:line="360" w:lineRule="auto"/>
        <w:ind w:left="540" w:hanging="54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“磋商供应商”是指</w:t>
      </w:r>
    </w:p>
    <w:p>
      <w:pPr>
        <w:numPr>
          <w:ilvl w:val="3"/>
          <w:numId w:val="10"/>
        </w:numPr>
        <w:tabs>
          <w:tab w:val="left" w:pos="0"/>
          <w:tab w:val="clear" w:pos="2040"/>
        </w:tabs>
        <w:spacing w:line="360" w:lineRule="auto"/>
        <w:ind w:left="0" w:firstLine="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符合</w:t>
      </w:r>
      <w:r>
        <w:rPr>
          <w:rFonts w:hint="eastAsia" w:asciiTheme="minorEastAsia" w:hAnsiTheme="minorEastAsia" w:eastAsiaTheme="minorEastAsia" w:cstheme="minorEastAsia"/>
          <w:color w:val="auto"/>
          <w:szCs w:val="21"/>
        </w:rPr>
        <w:t>具备《中华人民共和国政府采购法》第二十二条规定的条件；</w:t>
      </w:r>
    </w:p>
    <w:p>
      <w:pPr>
        <w:numPr>
          <w:ilvl w:val="3"/>
          <w:numId w:val="10"/>
        </w:numPr>
        <w:tabs>
          <w:tab w:val="left" w:pos="0"/>
          <w:tab w:val="clear" w:pos="2040"/>
        </w:tabs>
        <w:spacing w:line="360" w:lineRule="auto"/>
        <w:ind w:left="0" w:firstLine="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符合《供应商须知前附表》的相应条件；</w:t>
      </w:r>
    </w:p>
    <w:p>
      <w:pPr>
        <w:numPr>
          <w:ilvl w:val="3"/>
          <w:numId w:val="10"/>
        </w:numPr>
        <w:tabs>
          <w:tab w:val="left" w:pos="0"/>
          <w:tab w:val="clear" w:pos="2040"/>
        </w:tabs>
        <w:spacing w:line="360" w:lineRule="auto"/>
        <w:ind w:left="0" w:firstLine="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通过竞争性磋商采购评定办法中初步审核的供应商。</w:t>
      </w:r>
    </w:p>
    <w:p>
      <w:pPr>
        <w:numPr>
          <w:ilvl w:val="1"/>
          <w:numId w:val="12"/>
        </w:numPr>
        <w:tabs>
          <w:tab w:val="left" w:pos="540"/>
          <w:tab w:val="clear" w:pos="360"/>
        </w:tabs>
        <w:spacing w:line="360" w:lineRule="auto"/>
        <w:ind w:left="540" w:hanging="54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“成交供应商”</w:t>
      </w:r>
      <w:r>
        <w:rPr>
          <w:rFonts w:hint="eastAsia" w:asciiTheme="minorEastAsia" w:hAnsiTheme="minorEastAsia" w:eastAsiaTheme="minorEastAsia" w:cstheme="minorEastAsia"/>
          <w:snapToGrid w:val="0"/>
          <w:color w:val="auto"/>
          <w:kern w:val="0"/>
          <w:szCs w:val="21"/>
          <w:lang w:val="zh-CN"/>
        </w:rPr>
        <w:t xml:space="preserve"> 是指经磋商小组评审推荐，采购人授予合同的供应商。</w:t>
      </w:r>
    </w:p>
    <w:p>
      <w:pPr>
        <w:numPr>
          <w:ilvl w:val="0"/>
          <w:numId w:val="10"/>
        </w:numPr>
        <w:spacing w:line="360" w:lineRule="auto"/>
        <w:ind w:hanging="540"/>
        <w:outlineLvl w:val="1"/>
        <w:rPr>
          <w:rFonts w:asciiTheme="minorEastAsia" w:hAnsiTheme="minorEastAsia" w:eastAsiaTheme="minorEastAsia" w:cstheme="minorEastAsia"/>
          <w:b/>
          <w:color w:val="auto"/>
          <w:szCs w:val="21"/>
        </w:rPr>
      </w:pPr>
      <w:bookmarkStart w:id="34" w:name="_Toc30503"/>
      <w:bookmarkStart w:id="35" w:name="_Toc31012"/>
      <w:r>
        <w:rPr>
          <w:rFonts w:hint="eastAsia" w:asciiTheme="minorEastAsia" w:hAnsiTheme="minorEastAsia" w:eastAsiaTheme="minorEastAsia" w:cstheme="minorEastAsia"/>
          <w:b/>
          <w:snapToGrid w:val="0"/>
          <w:color w:val="auto"/>
          <w:kern w:val="0"/>
          <w:szCs w:val="21"/>
          <w:lang w:val="zh-CN"/>
        </w:rPr>
        <w:t>工程、货物及服务</w:t>
      </w:r>
      <w:bookmarkEnd w:id="34"/>
      <w:bookmarkEnd w:id="35"/>
    </w:p>
    <w:p>
      <w:pPr>
        <w:numPr>
          <w:ilvl w:val="1"/>
          <w:numId w:val="13"/>
        </w:numPr>
        <w:tabs>
          <w:tab w:val="left" w:pos="525"/>
          <w:tab w:val="clear" w:pos="360"/>
        </w:tabs>
        <w:spacing w:line="360" w:lineRule="auto"/>
        <w:ind w:left="540" w:hanging="540"/>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“工程”是指建设工程，包括建筑物和构筑物的新建、改建、扩建及其相关的装修、拆除、修缮等。</w:t>
      </w:r>
    </w:p>
    <w:p>
      <w:pPr>
        <w:numPr>
          <w:ilvl w:val="1"/>
          <w:numId w:val="13"/>
        </w:numPr>
        <w:tabs>
          <w:tab w:val="left" w:pos="525"/>
          <w:tab w:val="clear" w:pos="360"/>
        </w:tabs>
        <w:spacing w:line="360" w:lineRule="auto"/>
        <w:ind w:left="540" w:hanging="540"/>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“货物”是指各种形态和种类的物品，包括原材料、燃料、设备、产品等。</w:t>
      </w:r>
    </w:p>
    <w:p>
      <w:pPr>
        <w:numPr>
          <w:ilvl w:val="1"/>
          <w:numId w:val="13"/>
        </w:numPr>
        <w:tabs>
          <w:tab w:val="left" w:pos="540"/>
          <w:tab w:val="clear" w:pos="360"/>
        </w:tabs>
        <w:spacing w:line="360" w:lineRule="auto"/>
        <w:ind w:left="540" w:hanging="540"/>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“服务”是指除货物（指各种形态和种类的物品，包括原材料、燃料、设备、产品等）和工程（指建设工程，包括建筑物和构筑物的新建、改建、扩建及其相关的装修、拆除、修缮等）以外的其他政府采购对象。</w:t>
      </w:r>
    </w:p>
    <w:p>
      <w:pPr>
        <w:numPr>
          <w:ilvl w:val="0"/>
          <w:numId w:val="10"/>
        </w:numPr>
        <w:spacing w:line="360" w:lineRule="auto"/>
        <w:ind w:hanging="540"/>
        <w:outlineLvl w:val="1"/>
        <w:rPr>
          <w:rFonts w:asciiTheme="minorEastAsia" w:hAnsiTheme="minorEastAsia" w:eastAsiaTheme="minorEastAsia" w:cstheme="minorEastAsia"/>
          <w:b/>
          <w:color w:val="auto"/>
          <w:szCs w:val="21"/>
        </w:rPr>
      </w:pPr>
      <w:bookmarkStart w:id="36" w:name="_Toc9974"/>
      <w:bookmarkStart w:id="37" w:name="_Toc16894"/>
      <w:r>
        <w:rPr>
          <w:rFonts w:hint="eastAsia" w:asciiTheme="minorEastAsia" w:hAnsiTheme="minorEastAsia" w:eastAsiaTheme="minorEastAsia" w:cstheme="minorEastAsia"/>
          <w:b/>
          <w:color w:val="auto"/>
          <w:szCs w:val="21"/>
        </w:rPr>
        <w:t>费用</w:t>
      </w:r>
      <w:bookmarkEnd w:id="36"/>
      <w:bookmarkEnd w:id="37"/>
      <w:r>
        <w:rPr>
          <w:rFonts w:hint="eastAsia" w:asciiTheme="minorEastAsia" w:hAnsiTheme="minorEastAsia" w:eastAsiaTheme="minorEastAsia" w:cstheme="minorEastAsia"/>
          <w:b/>
          <w:color w:val="auto"/>
          <w:szCs w:val="21"/>
        </w:rPr>
        <w:t xml:space="preserve">  </w:t>
      </w:r>
    </w:p>
    <w:p>
      <w:pPr>
        <w:numPr>
          <w:ilvl w:val="1"/>
          <w:numId w:val="14"/>
        </w:numPr>
        <w:tabs>
          <w:tab w:val="left" w:pos="540"/>
          <w:tab w:val="clear" w:pos="360"/>
        </w:tabs>
        <w:spacing w:line="360" w:lineRule="auto"/>
        <w:ind w:left="540" w:hanging="54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供应商应承担所有与准备和参加磋商有关的费用，不论磋商的结果如何，采购人和采购代理机构均无义务和责任承担这些费用。</w:t>
      </w:r>
    </w:p>
    <w:p>
      <w:pPr>
        <w:numPr>
          <w:ilvl w:val="1"/>
          <w:numId w:val="14"/>
        </w:numPr>
        <w:tabs>
          <w:tab w:val="left" w:pos="540"/>
          <w:tab w:val="clear" w:pos="360"/>
        </w:tabs>
        <w:spacing w:line="360" w:lineRule="auto"/>
        <w:ind w:left="540" w:hanging="540"/>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招标代理服务费：成交供应商须在收到成交通知书时向采购代理机构支付招标代理服务费。服务费支付标准和方法详见《供应商须知前附表》。</w:t>
      </w:r>
    </w:p>
    <w:p>
      <w:pPr>
        <w:numPr>
          <w:ilvl w:val="1"/>
          <w:numId w:val="14"/>
        </w:numPr>
        <w:tabs>
          <w:tab w:val="left" w:pos="540"/>
          <w:tab w:val="clear" w:pos="360"/>
        </w:tabs>
        <w:spacing w:line="360" w:lineRule="auto"/>
        <w:ind w:left="540" w:hanging="540"/>
        <w:rPr>
          <w:rFonts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国家计委计价格[2002]1980 号规定标准收费：</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2255"/>
        <w:gridCol w:w="2255"/>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中标金额（万元）</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货物</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服务</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100以下</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1.5%</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1.5%</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100-500</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1.1%</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0.8%</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500-1000</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0.8%</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0.45%</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1000-5000</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0.5%</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0.25%</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5000-10000</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0.25%</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0.1%</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10000-100000</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0.05%</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0.05%</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100000以上</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0.01%</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0.01%</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0.01%</w:t>
            </w:r>
          </w:p>
        </w:tc>
      </w:tr>
    </w:tbl>
    <w:p>
      <w:pPr>
        <w:tabs>
          <w:tab w:val="left" w:pos="540"/>
        </w:tabs>
        <w:spacing w:line="360" w:lineRule="auto"/>
        <w:rPr>
          <w:rFonts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注：招标代理服务收费按差额定率累进法计算。例如：某服务招标代理业务中标金额为6000万元，计算招标代理服务收费额如下：</w:t>
      </w:r>
    </w:p>
    <w:p>
      <w:pPr>
        <w:tabs>
          <w:tab w:val="left" w:pos="540"/>
        </w:tabs>
        <w:spacing w:line="360" w:lineRule="auto"/>
        <w:rPr>
          <w:rFonts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 xml:space="preserve"> 0---100：100×1.500％=15000.000元</w:t>
      </w:r>
    </w:p>
    <w:p>
      <w:pPr>
        <w:tabs>
          <w:tab w:val="left" w:pos="540"/>
        </w:tabs>
        <w:spacing w:line="360" w:lineRule="auto"/>
        <w:rPr>
          <w:rFonts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100---500：400×0.800％=32000.000元</w:t>
      </w:r>
    </w:p>
    <w:p>
      <w:pPr>
        <w:tabs>
          <w:tab w:val="left" w:pos="540"/>
        </w:tabs>
        <w:spacing w:line="360" w:lineRule="auto"/>
        <w:rPr>
          <w:rFonts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500---1000：500×0.450％=22500.000元</w:t>
      </w:r>
    </w:p>
    <w:p>
      <w:pPr>
        <w:tabs>
          <w:tab w:val="left" w:pos="540"/>
        </w:tabs>
        <w:spacing w:line="360" w:lineRule="auto"/>
        <w:rPr>
          <w:rFonts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1000---5000：4000×0.250％=100000.000元</w:t>
      </w:r>
    </w:p>
    <w:p>
      <w:pPr>
        <w:tabs>
          <w:tab w:val="left" w:pos="540"/>
        </w:tabs>
        <w:spacing w:line="360" w:lineRule="auto"/>
        <w:rPr>
          <w:rFonts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5000---6000：1000×0.100％=10000.000元</w:t>
      </w:r>
    </w:p>
    <w:p>
      <w:pPr>
        <w:tabs>
          <w:tab w:val="left" w:pos="540"/>
        </w:tabs>
        <w:spacing w:line="360" w:lineRule="auto"/>
        <w:rPr>
          <w:rFonts w:asciiTheme="minorEastAsia" w:hAnsiTheme="minorEastAsia" w:eastAsiaTheme="minorEastAsia" w:cstheme="minorEastAsia"/>
          <w:snapToGrid w:val="0"/>
          <w:color w:val="auto"/>
          <w:kern w:val="0"/>
          <w:szCs w:val="21"/>
        </w:rPr>
      </w:pPr>
      <w:r>
        <w:rPr>
          <w:rFonts w:hint="eastAsia" w:asciiTheme="minorEastAsia" w:hAnsiTheme="minorEastAsia" w:eastAsiaTheme="minorEastAsia" w:cstheme="minorEastAsia"/>
          <w:snapToGrid w:val="0"/>
          <w:color w:val="auto"/>
          <w:kern w:val="0"/>
          <w:szCs w:val="21"/>
        </w:rPr>
        <w:t>合计收费=179500.000元</w:t>
      </w:r>
    </w:p>
    <w:p>
      <w:pPr>
        <w:numPr>
          <w:ilvl w:val="1"/>
          <w:numId w:val="9"/>
        </w:numPr>
        <w:tabs>
          <w:tab w:val="left" w:pos="540"/>
          <w:tab w:val="clear" w:pos="840"/>
        </w:tabs>
        <w:spacing w:line="360" w:lineRule="auto"/>
        <w:ind w:left="540" w:hanging="540"/>
        <w:outlineLvl w:val="1"/>
        <w:rPr>
          <w:rFonts w:asciiTheme="minorEastAsia" w:hAnsiTheme="minorEastAsia" w:eastAsiaTheme="minorEastAsia" w:cstheme="minorEastAsia"/>
          <w:b/>
          <w:color w:val="auto"/>
          <w:szCs w:val="21"/>
        </w:rPr>
      </w:pPr>
      <w:bookmarkStart w:id="38" w:name="_Toc13439"/>
      <w:r>
        <w:rPr>
          <w:rFonts w:hint="eastAsia" w:asciiTheme="minorEastAsia" w:hAnsiTheme="minorEastAsia" w:eastAsiaTheme="minorEastAsia" w:cstheme="minorEastAsia"/>
          <w:b/>
          <w:color w:val="auto"/>
          <w:szCs w:val="21"/>
        </w:rPr>
        <w:t>竞争性磋商采购文件</w:t>
      </w:r>
      <w:bookmarkEnd w:id="38"/>
    </w:p>
    <w:p>
      <w:pPr>
        <w:numPr>
          <w:ilvl w:val="0"/>
          <w:numId w:val="10"/>
        </w:numPr>
        <w:spacing w:line="360" w:lineRule="auto"/>
        <w:ind w:hanging="540"/>
        <w:outlineLvl w:val="1"/>
        <w:rPr>
          <w:rFonts w:asciiTheme="minorEastAsia" w:hAnsiTheme="minorEastAsia" w:eastAsiaTheme="minorEastAsia" w:cstheme="minorEastAsia"/>
          <w:b/>
          <w:color w:val="auto"/>
          <w:szCs w:val="21"/>
        </w:rPr>
      </w:pPr>
      <w:bookmarkStart w:id="39" w:name="_Toc4412"/>
      <w:bookmarkStart w:id="40" w:name="_Toc4547"/>
      <w:r>
        <w:rPr>
          <w:rFonts w:hint="eastAsia" w:asciiTheme="minorEastAsia" w:hAnsiTheme="minorEastAsia" w:eastAsiaTheme="minorEastAsia" w:cstheme="minorEastAsia"/>
          <w:b/>
          <w:color w:val="auto"/>
          <w:szCs w:val="21"/>
        </w:rPr>
        <w:t>竞争性磋商采购文件的构成</w:t>
      </w:r>
      <w:bookmarkEnd w:id="39"/>
      <w:bookmarkEnd w:id="40"/>
    </w:p>
    <w:p>
      <w:pPr>
        <w:numPr>
          <w:ilvl w:val="1"/>
          <w:numId w:val="15"/>
        </w:numPr>
        <w:tabs>
          <w:tab w:val="left" w:pos="540"/>
          <w:tab w:val="clear" w:pos="360"/>
        </w:tabs>
        <w:spacing w:line="360" w:lineRule="auto"/>
        <w:ind w:left="540" w:hanging="54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本竞争性磋商采购文件包括：</w:t>
      </w:r>
    </w:p>
    <w:p>
      <w:pPr>
        <w:numPr>
          <w:ilvl w:val="3"/>
          <w:numId w:val="10"/>
        </w:numPr>
        <w:tabs>
          <w:tab w:val="left" w:pos="540"/>
          <w:tab w:val="clear" w:pos="2040"/>
        </w:tabs>
        <w:spacing w:line="360" w:lineRule="auto"/>
        <w:ind w:left="540" w:hanging="54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磋商公告</w:t>
      </w:r>
    </w:p>
    <w:p>
      <w:pPr>
        <w:numPr>
          <w:ilvl w:val="3"/>
          <w:numId w:val="10"/>
        </w:numPr>
        <w:tabs>
          <w:tab w:val="left" w:pos="540"/>
          <w:tab w:val="clear" w:pos="2040"/>
        </w:tabs>
        <w:spacing w:line="360" w:lineRule="auto"/>
        <w:ind w:left="540" w:hanging="54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供应商须知</w:t>
      </w:r>
    </w:p>
    <w:p>
      <w:pPr>
        <w:numPr>
          <w:ilvl w:val="3"/>
          <w:numId w:val="10"/>
        </w:numPr>
        <w:tabs>
          <w:tab w:val="left" w:pos="540"/>
          <w:tab w:val="clear" w:pos="2040"/>
        </w:tabs>
        <w:spacing w:line="360" w:lineRule="auto"/>
        <w:ind w:left="540" w:hanging="54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采购需求</w:t>
      </w:r>
    </w:p>
    <w:p>
      <w:pPr>
        <w:numPr>
          <w:ilvl w:val="3"/>
          <w:numId w:val="10"/>
        </w:numPr>
        <w:tabs>
          <w:tab w:val="left" w:pos="540"/>
          <w:tab w:val="clear" w:pos="2040"/>
        </w:tabs>
        <w:spacing w:line="360" w:lineRule="auto"/>
        <w:ind w:left="540" w:hanging="54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竞争性磋商采购评定办法</w:t>
      </w:r>
    </w:p>
    <w:p>
      <w:pPr>
        <w:numPr>
          <w:ilvl w:val="3"/>
          <w:numId w:val="10"/>
        </w:numPr>
        <w:tabs>
          <w:tab w:val="left" w:pos="540"/>
          <w:tab w:val="clear" w:pos="2040"/>
        </w:tabs>
        <w:spacing w:line="360" w:lineRule="auto"/>
        <w:ind w:left="540" w:hanging="54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合同书格式</w:t>
      </w:r>
    </w:p>
    <w:p>
      <w:pPr>
        <w:numPr>
          <w:ilvl w:val="3"/>
          <w:numId w:val="10"/>
        </w:numPr>
        <w:tabs>
          <w:tab w:val="left" w:pos="540"/>
          <w:tab w:val="clear" w:pos="2040"/>
        </w:tabs>
        <w:spacing w:line="360" w:lineRule="auto"/>
        <w:ind w:left="540" w:hanging="54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竞争性磋商响应文件格式</w:t>
      </w:r>
    </w:p>
    <w:p>
      <w:pPr>
        <w:numPr>
          <w:ilvl w:val="3"/>
          <w:numId w:val="10"/>
        </w:numPr>
        <w:tabs>
          <w:tab w:val="left" w:pos="540"/>
          <w:tab w:val="clear" w:pos="2040"/>
        </w:tabs>
        <w:spacing w:line="360" w:lineRule="auto"/>
        <w:ind w:left="540" w:hanging="54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采购过程中由采购代理机构发出的澄清和修正文件</w:t>
      </w:r>
    </w:p>
    <w:p>
      <w:pPr>
        <w:numPr>
          <w:ilvl w:val="3"/>
          <w:numId w:val="10"/>
        </w:numPr>
        <w:tabs>
          <w:tab w:val="left" w:pos="540"/>
          <w:tab w:val="clear" w:pos="2040"/>
        </w:tabs>
        <w:spacing w:line="360" w:lineRule="auto"/>
        <w:ind w:left="540" w:hanging="54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磋商小组在磋商过程中发出的对本磋商文件的实质性变动</w:t>
      </w:r>
    </w:p>
    <w:p>
      <w:pPr>
        <w:numPr>
          <w:ilvl w:val="0"/>
          <w:numId w:val="10"/>
        </w:numPr>
        <w:spacing w:line="360" w:lineRule="auto"/>
        <w:ind w:hanging="540"/>
        <w:outlineLvl w:val="1"/>
        <w:rPr>
          <w:rFonts w:asciiTheme="minorEastAsia" w:hAnsiTheme="minorEastAsia" w:eastAsiaTheme="minorEastAsia" w:cstheme="minorEastAsia"/>
          <w:b/>
          <w:snapToGrid w:val="0"/>
          <w:color w:val="auto"/>
          <w:kern w:val="0"/>
          <w:szCs w:val="21"/>
          <w:lang w:val="zh-CN"/>
        </w:rPr>
      </w:pPr>
      <w:bookmarkStart w:id="41" w:name="_Toc29700"/>
      <w:bookmarkStart w:id="42" w:name="_Toc19446"/>
      <w:r>
        <w:rPr>
          <w:rFonts w:hint="eastAsia" w:asciiTheme="minorEastAsia" w:hAnsiTheme="minorEastAsia" w:eastAsiaTheme="minorEastAsia" w:cstheme="minorEastAsia"/>
          <w:b/>
          <w:snapToGrid w:val="0"/>
          <w:color w:val="auto"/>
          <w:kern w:val="0"/>
          <w:szCs w:val="21"/>
          <w:lang w:val="zh-CN"/>
        </w:rPr>
        <w:t>竞争性磋商采购文件的澄清</w:t>
      </w:r>
      <w:bookmarkEnd w:id="41"/>
      <w:bookmarkEnd w:id="42"/>
    </w:p>
    <w:p>
      <w:pPr>
        <w:numPr>
          <w:ilvl w:val="1"/>
          <w:numId w:val="16"/>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供应商获取竞争性磋商采购文件后，应认真检查，如发现页数不全、附件缺失、印刷模糊等，应通知采购代理机构补全或更换，否则风险自负。</w:t>
      </w:r>
    </w:p>
    <w:p>
      <w:pPr>
        <w:numPr>
          <w:ilvl w:val="1"/>
          <w:numId w:val="16"/>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要求对本竞争性磋商采购文件进行澄清的，应以书面形式（包括信函、电报、传真等可以有形地表现所载内容的形式，下同）在提疑截止时间以前向采购代理机构或采购人提出，提疑截止时间见《供应商须知前附表》。</w:t>
      </w:r>
    </w:p>
    <w:p>
      <w:pPr>
        <w:autoSpaceDE w:val="0"/>
        <w:autoSpaceDN w:val="0"/>
        <w:adjustRightInd w:val="0"/>
        <w:spacing w:line="360" w:lineRule="auto"/>
        <w:ind w:left="540" w:leftChars="257" w:firstLine="420" w:firstLineChars="20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采购代理机构对于符合澄清要求的，将以书面形式给所有接收磋商文件的供应商予以答复(答复中不包括问题的来源)，供应商收到答复后应在24小时内以书面形式向采购代理机构予以确认。</w:t>
      </w:r>
    </w:p>
    <w:p>
      <w:pPr>
        <w:numPr>
          <w:ilvl w:val="1"/>
          <w:numId w:val="16"/>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供应商在规定的时间内未对竞争性磋商采购文件澄清或提出疑问的，采购代理机构将视其为同意。</w:t>
      </w:r>
    </w:p>
    <w:p>
      <w:pPr>
        <w:numPr>
          <w:ilvl w:val="1"/>
          <w:numId w:val="16"/>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澄清的内容是本竞争性磋商采购文件的组成部分，当竞争性磋商采购文件</w:t>
      </w:r>
      <w:r>
        <w:rPr>
          <w:rFonts w:hint="eastAsia" w:asciiTheme="minorEastAsia" w:hAnsiTheme="minorEastAsia" w:eastAsiaTheme="minorEastAsia" w:cstheme="minorEastAsia"/>
          <w:color w:val="auto"/>
          <w:szCs w:val="21"/>
        </w:rPr>
        <w:t>、澄清文件对同一内容的表述不一致时，以最后发出的书面文件为准。</w:t>
      </w:r>
    </w:p>
    <w:p>
      <w:pPr>
        <w:numPr>
          <w:ilvl w:val="0"/>
          <w:numId w:val="10"/>
        </w:numPr>
        <w:spacing w:line="360" w:lineRule="auto"/>
        <w:ind w:hanging="540"/>
        <w:outlineLvl w:val="1"/>
        <w:rPr>
          <w:rFonts w:asciiTheme="minorEastAsia" w:hAnsiTheme="minorEastAsia" w:eastAsiaTheme="minorEastAsia" w:cstheme="minorEastAsia"/>
          <w:b/>
          <w:snapToGrid w:val="0"/>
          <w:color w:val="auto"/>
          <w:kern w:val="0"/>
          <w:szCs w:val="21"/>
          <w:lang w:val="zh-CN"/>
        </w:rPr>
      </w:pPr>
      <w:bookmarkStart w:id="43" w:name="_Toc31761"/>
      <w:bookmarkStart w:id="44" w:name="_Toc8166"/>
      <w:r>
        <w:rPr>
          <w:rFonts w:hint="eastAsia" w:asciiTheme="minorEastAsia" w:hAnsiTheme="minorEastAsia" w:eastAsiaTheme="minorEastAsia" w:cstheme="minorEastAsia"/>
          <w:b/>
          <w:snapToGrid w:val="0"/>
          <w:color w:val="auto"/>
          <w:kern w:val="0"/>
          <w:szCs w:val="21"/>
          <w:lang w:val="zh-CN"/>
        </w:rPr>
        <w:t>竞争性磋商采购文件的修改</w:t>
      </w:r>
      <w:bookmarkEnd w:id="43"/>
      <w:bookmarkEnd w:id="44"/>
    </w:p>
    <w:p>
      <w:pPr>
        <w:numPr>
          <w:ilvl w:val="1"/>
          <w:numId w:val="17"/>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提交首次响应文件截止之日前，采购人、采购代理机构可以对本竞争性磋商采购文件进行必要的修改，修改的内容是磋商文件的组成部分，采购代理机构将以书面形式通知所有接受磋商文件的供应商，供应商在收到上述通知后，应在24小时内以书面形式向采购代理机构予以确认。</w:t>
      </w:r>
    </w:p>
    <w:p>
      <w:pPr>
        <w:numPr>
          <w:ilvl w:val="1"/>
          <w:numId w:val="17"/>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当磋商文件、修改文件对同一内容的表述不一致时，以最后发出的书面文件为准。</w:t>
      </w:r>
    </w:p>
    <w:p>
      <w:pPr>
        <w:numPr>
          <w:ilvl w:val="1"/>
          <w:numId w:val="17"/>
        </w:numPr>
        <w:tabs>
          <w:tab w:val="left" w:pos="525"/>
          <w:tab w:val="clear" w:pos="360"/>
        </w:tabs>
        <w:autoSpaceDE w:val="0"/>
        <w:autoSpaceDN w:val="0"/>
        <w:adjustRightInd w:val="0"/>
        <w:spacing w:line="360" w:lineRule="auto"/>
        <w:ind w:left="540" w:hanging="54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修改的内容可能影响响应文件编制的，修改文件应当在提交首次响应文件截止之日</w:t>
      </w:r>
      <w:r>
        <w:rPr>
          <w:rFonts w:hint="eastAsia" w:asciiTheme="minorEastAsia" w:hAnsiTheme="minorEastAsia" w:eastAsiaTheme="minorEastAsia" w:cstheme="minorEastAsia"/>
          <w:snapToGrid w:val="0"/>
          <w:color w:val="auto"/>
          <w:kern w:val="0"/>
          <w:szCs w:val="21"/>
        </w:rPr>
        <w:t>5</w:t>
      </w:r>
      <w:r>
        <w:rPr>
          <w:rFonts w:hint="eastAsia" w:asciiTheme="minorEastAsia" w:hAnsiTheme="minorEastAsia" w:eastAsiaTheme="minorEastAsia" w:cstheme="minorEastAsia"/>
          <w:snapToGrid w:val="0"/>
          <w:color w:val="auto"/>
          <w:kern w:val="0"/>
          <w:szCs w:val="21"/>
          <w:lang w:val="zh-CN"/>
        </w:rPr>
        <w:t>个工作日前发出，不足</w:t>
      </w:r>
      <w:r>
        <w:rPr>
          <w:rFonts w:hint="eastAsia" w:asciiTheme="minorEastAsia" w:hAnsiTheme="minorEastAsia" w:eastAsiaTheme="minorEastAsia" w:cstheme="minorEastAsia"/>
          <w:snapToGrid w:val="0"/>
          <w:color w:val="auto"/>
          <w:kern w:val="0"/>
          <w:szCs w:val="21"/>
        </w:rPr>
        <w:t>5</w:t>
      </w:r>
      <w:r>
        <w:rPr>
          <w:rFonts w:hint="eastAsia" w:asciiTheme="minorEastAsia" w:hAnsiTheme="minorEastAsia" w:eastAsiaTheme="minorEastAsia" w:cstheme="minorEastAsia"/>
          <w:snapToGrid w:val="0"/>
          <w:color w:val="auto"/>
          <w:kern w:val="0"/>
          <w:szCs w:val="21"/>
          <w:lang w:val="zh-CN"/>
        </w:rPr>
        <w:t>个工作日的，采购人、采购代理机构将顺延提交首次响应文件截止之日。</w:t>
      </w:r>
    </w:p>
    <w:p>
      <w:pPr>
        <w:numPr>
          <w:ilvl w:val="1"/>
          <w:numId w:val="9"/>
        </w:numPr>
        <w:tabs>
          <w:tab w:val="left" w:pos="540"/>
          <w:tab w:val="clear" w:pos="840"/>
        </w:tabs>
        <w:spacing w:line="360" w:lineRule="auto"/>
        <w:ind w:left="540" w:hanging="540"/>
        <w:outlineLvl w:val="1"/>
        <w:rPr>
          <w:rFonts w:asciiTheme="minorEastAsia" w:hAnsiTheme="minorEastAsia" w:eastAsiaTheme="minorEastAsia" w:cstheme="minorEastAsia"/>
          <w:b/>
          <w:color w:val="auto"/>
          <w:szCs w:val="21"/>
        </w:rPr>
      </w:pPr>
      <w:bookmarkStart w:id="45" w:name="_Toc29421"/>
      <w:r>
        <w:rPr>
          <w:rFonts w:hint="eastAsia" w:asciiTheme="minorEastAsia" w:hAnsiTheme="minorEastAsia" w:eastAsiaTheme="minorEastAsia" w:cstheme="minorEastAsia"/>
          <w:b/>
          <w:color w:val="auto"/>
          <w:szCs w:val="21"/>
        </w:rPr>
        <w:t>竞争性磋商响应文件</w:t>
      </w:r>
      <w:bookmarkEnd w:id="45"/>
    </w:p>
    <w:p>
      <w:pPr>
        <w:numPr>
          <w:ilvl w:val="0"/>
          <w:numId w:val="10"/>
        </w:numPr>
        <w:spacing w:line="360" w:lineRule="auto"/>
        <w:ind w:hanging="540"/>
        <w:outlineLvl w:val="1"/>
        <w:rPr>
          <w:rFonts w:asciiTheme="minorEastAsia" w:hAnsiTheme="minorEastAsia" w:eastAsiaTheme="minorEastAsia" w:cstheme="minorEastAsia"/>
          <w:snapToGrid w:val="0"/>
          <w:color w:val="auto"/>
          <w:kern w:val="0"/>
          <w:szCs w:val="21"/>
          <w:lang w:val="zh-CN"/>
        </w:rPr>
      </w:pPr>
      <w:bookmarkStart w:id="46" w:name="_Toc30987"/>
      <w:bookmarkStart w:id="47" w:name="_Toc15295"/>
      <w:r>
        <w:rPr>
          <w:rFonts w:hint="eastAsia" w:asciiTheme="minorEastAsia" w:hAnsiTheme="minorEastAsia" w:eastAsiaTheme="minorEastAsia" w:cstheme="minorEastAsia"/>
          <w:b/>
          <w:snapToGrid w:val="0"/>
          <w:color w:val="auto"/>
          <w:kern w:val="0"/>
          <w:szCs w:val="21"/>
          <w:lang w:val="zh-CN"/>
        </w:rPr>
        <w:t>语言和计量单位</w:t>
      </w:r>
      <w:bookmarkEnd w:id="46"/>
      <w:bookmarkEnd w:id="47"/>
    </w:p>
    <w:p>
      <w:pPr>
        <w:numPr>
          <w:ilvl w:val="1"/>
          <w:numId w:val="18"/>
        </w:numPr>
        <w:tabs>
          <w:tab w:val="left" w:pos="540"/>
          <w:tab w:val="clear" w:pos="360"/>
        </w:tabs>
        <w:spacing w:line="360" w:lineRule="auto"/>
        <w:ind w:left="540" w:hanging="540"/>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提交的竞争性磋商响应文件以及供应商与采购代理机构或采购人就有关磋商的所有来往信函、电报、传真等均应使用中文。供应商提交的支持文件或印刷的文献可以用另一种语言，但相应内容应附有中文翻译本，在解释竞争性磋商响应文件时以中文翻译本为准。</w:t>
      </w:r>
    </w:p>
    <w:p>
      <w:pPr>
        <w:numPr>
          <w:ilvl w:val="1"/>
          <w:numId w:val="18"/>
        </w:numPr>
        <w:tabs>
          <w:tab w:val="left" w:pos="540"/>
          <w:tab w:val="clear" w:pos="360"/>
        </w:tabs>
        <w:spacing w:line="360" w:lineRule="auto"/>
        <w:ind w:left="540" w:hanging="540"/>
        <w:rPr>
          <w:rFonts w:asciiTheme="minorEastAsia" w:hAnsiTheme="minorEastAsia" w:eastAsiaTheme="minorEastAsia" w:cstheme="minorEastAsia"/>
          <w:b/>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除非竞争性磋商采购文件中另有规定，计量单位均采用中华人民共和国法定的计量单位。</w:t>
      </w:r>
    </w:p>
    <w:p>
      <w:pPr>
        <w:numPr>
          <w:ilvl w:val="0"/>
          <w:numId w:val="10"/>
        </w:numPr>
        <w:spacing w:line="360" w:lineRule="auto"/>
        <w:ind w:hanging="540"/>
        <w:outlineLvl w:val="1"/>
        <w:rPr>
          <w:rFonts w:asciiTheme="minorEastAsia" w:hAnsiTheme="minorEastAsia" w:eastAsiaTheme="minorEastAsia" w:cstheme="minorEastAsia"/>
          <w:b/>
          <w:snapToGrid w:val="0"/>
          <w:color w:val="auto"/>
          <w:kern w:val="0"/>
          <w:szCs w:val="21"/>
          <w:lang w:val="zh-CN"/>
        </w:rPr>
      </w:pPr>
      <w:bookmarkStart w:id="48" w:name="_Toc20553"/>
      <w:bookmarkStart w:id="49" w:name="_Toc32272"/>
      <w:r>
        <w:rPr>
          <w:rFonts w:hint="eastAsia" w:asciiTheme="minorEastAsia" w:hAnsiTheme="minorEastAsia" w:eastAsiaTheme="minorEastAsia" w:cstheme="minorEastAsia"/>
          <w:b/>
          <w:snapToGrid w:val="0"/>
          <w:color w:val="auto"/>
          <w:kern w:val="0"/>
          <w:szCs w:val="21"/>
          <w:lang w:val="zh-CN"/>
        </w:rPr>
        <w:t>竞争性磋商响应文件的构成</w:t>
      </w:r>
      <w:bookmarkEnd w:id="48"/>
      <w:bookmarkEnd w:id="49"/>
    </w:p>
    <w:p>
      <w:pPr>
        <w:numPr>
          <w:ilvl w:val="1"/>
          <w:numId w:val="19"/>
        </w:numPr>
        <w:tabs>
          <w:tab w:val="left" w:pos="525"/>
          <w:tab w:val="clear" w:pos="360"/>
        </w:tabs>
        <w:autoSpaceDE w:val="0"/>
        <w:autoSpaceDN w:val="0"/>
        <w:adjustRightInd w:val="0"/>
        <w:spacing w:line="360" w:lineRule="auto"/>
        <w:ind w:left="0" w:firstLine="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供应商编制的竞争性磋商响应</w:t>
      </w:r>
      <w:r>
        <w:rPr>
          <w:rFonts w:hint="eastAsia" w:asciiTheme="minorEastAsia" w:hAnsiTheme="minorEastAsia" w:eastAsiaTheme="minorEastAsia" w:cstheme="minorEastAsia"/>
          <w:snapToGrid w:val="0"/>
          <w:color w:val="auto"/>
          <w:kern w:val="0"/>
          <w:szCs w:val="21"/>
        </w:rPr>
        <w:t>文</w:t>
      </w:r>
      <w:r>
        <w:rPr>
          <w:rFonts w:hint="eastAsia" w:asciiTheme="minorEastAsia" w:hAnsiTheme="minorEastAsia" w:eastAsiaTheme="minorEastAsia" w:cstheme="minorEastAsia"/>
          <w:snapToGrid w:val="0"/>
          <w:color w:val="auto"/>
          <w:kern w:val="0"/>
          <w:szCs w:val="21"/>
          <w:lang w:val="zh-CN"/>
        </w:rPr>
        <w:t>件应包括的内容详见本文件第六章要求。</w:t>
      </w:r>
    </w:p>
    <w:p>
      <w:pPr>
        <w:autoSpaceDE w:val="0"/>
        <w:autoSpaceDN w:val="0"/>
        <w:adjustRightInd w:val="0"/>
        <w:spacing w:line="360" w:lineRule="auto"/>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bCs/>
          <w:color w:val="auto"/>
          <w:szCs w:val="21"/>
        </w:rPr>
        <w:t>注：响应文件目录及内容每页须顺序编写页码。</w:t>
      </w:r>
    </w:p>
    <w:p>
      <w:pPr>
        <w:numPr>
          <w:ilvl w:val="0"/>
          <w:numId w:val="10"/>
        </w:numPr>
        <w:spacing w:line="360" w:lineRule="auto"/>
        <w:ind w:hanging="540"/>
        <w:outlineLvl w:val="1"/>
        <w:rPr>
          <w:rFonts w:asciiTheme="minorEastAsia" w:hAnsiTheme="minorEastAsia" w:eastAsiaTheme="minorEastAsia" w:cstheme="minorEastAsia"/>
          <w:b/>
          <w:snapToGrid w:val="0"/>
          <w:color w:val="auto"/>
          <w:kern w:val="0"/>
          <w:szCs w:val="21"/>
          <w:lang w:val="zh-CN"/>
        </w:rPr>
      </w:pPr>
      <w:bookmarkStart w:id="50" w:name="_Toc25217"/>
      <w:bookmarkStart w:id="51" w:name="_Toc26524"/>
      <w:r>
        <w:rPr>
          <w:rFonts w:hint="eastAsia" w:asciiTheme="minorEastAsia" w:hAnsiTheme="minorEastAsia" w:eastAsiaTheme="minorEastAsia" w:cstheme="minorEastAsia"/>
          <w:b/>
          <w:snapToGrid w:val="0"/>
          <w:color w:val="auto"/>
          <w:kern w:val="0"/>
          <w:szCs w:val="21"/>
          <w:lang w:val="zh-CN"/>
        </w:rPr>
        <w:t>竞争性磋商响应文件的编制</w:t>
      </w:r>
      <w:bookmarkEnd w:id="50"/>
      <w:bookmarkEnd w:id="51"/>
    </w:p>
    <w:p>
      <w:pPr>
        <w:numPr>
          <w:ilvl w:val="1"/>
          <w:numId w:val="20"/>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供应商应当按照本采购文件的要求编制响应文件，并对其提交的响应文件及全部资料的真实性、合法性承担法律责任，并接受采购代理机构对其中任何资料进一步核实的要求。</w:t>
      </w:r>
    </w:p>
    <w:p>
      <w:pPr>
        <w:numPr>
          <w:ilvl w:val="1"/>
          <w:numId w:val="20"/>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 xml:space="preserve">供应商应认真阅读本采购文件中的所有内容，并对本采购文件提出的要求和条件作出实质性响应。如供应商没有按照本采购文件的要求提交全部资料，或者没有对本采购文件在各方面都做出实质性响应的，其响应文件将被视为无效文件。 </w:t>
      </w:r>
    </w:p>
    <w:p>
      <w:pPr>
        <w:numPr>
          <w:ilvl w:val="1"/>
          <w:numId w:val="20"/>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应完整地按本采购文件的要求提交所有资料并按要求的格式填写规定的所有内容，无相应内容可填项的，应填写“无”、“未测试”、“没有相应指标”等明确的回答文字。如未规定格式的，相关格式由供应商自定。</w:t>
      </w:r>
    </w:p>
    <w:p>
      <w:pPr>
        <w:numPr>
          <w:ilvl w:val="1"/>
          <w:numId w:val="20"/>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供应商在编制响应文件时应注意本次采购对多包采购的规定，多包采购的规定见《供应商须知前附表》。</w:t>
      </w:r>
    </w:p>
    <w:p>
      <w:pPr>
        <w:numPr>
          <w:ilvl w:val="0"/>
          <w:numId w:val="10"/>
        </w:numPr>
        <w:spacing w:line="360" w:lineRule="auto"/>
        <w:ind w:hanging="540"/>
        <w:outlineLvl w:val="1"/>
        <w:rPr>
          <w:rFonts w:asciiTheme="minorEastAsia" w:hAnsiTheme="minorEastAsia" w:eastAsiaTheme="minorEastAsia" w:cstheme="minorEastAsia"/>
          <w:b/>
          <w:snapToGrid w:val="0"/>
          <w:color w:val="auto"/>
          <w:kern w:val="0"/>
          <w:szCs w:val="21"/>
          <w:lang w:val="zh-CN"/>
        </w:rPr>
      </w:pPr>
      <w:bookmarkStart w:id="52" w:name="_Toc24544"/>
      <w:bookmarkStart w:id="53" w:name="_Toc32001"/>
      <w:r>
        <w:rPr>
          <w:rFonts w:hint="eastAsia" w:asciiTheme="minorEastAsia" w:hAnsiTheme="minorEastAsia" w:eastAsiaTheme="minorEastAsia" w:cstheme="minorEastAsia"/>
          <w:b/>
          <w:snapToGrid w:val="0"/>
          <w:color w:val="auto"/>
          <w:kern w:val="0"/>
          <w:szCs w:val="21"/>
          <w:lang w:val="zh-CN"/>
        </w:rPr>
        <w:t>磋商报价</w:t>
      </w:r>
      <w:bookmarkEnd w:id="52"/>
      <w:bookmarkEnd w:id="53"/>
    </w:p>
    <w:p>
      <w:pPr>
        <w:numPr>
          <w:ilvl w:val="1"/>
          <w:numId w:val="21"/>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磋商报价包括磋商供应商在首次提交的响应文件中的报价、磋商过程中的报价和最后报价。磋商供应商的报价均应以人民币报价。</w:t>
      </w:r>
    </w:p>
    <w:p>
      <w:pPr>
        <w:numPr>
          <w:ilvl w:val="1"/>
          <w:numId w:val="21"/>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应按照本采购文件规定的采购需求及合同条款进行报价，并按竞争性磋商采购文件确定的格式报出。报价中不得包含竞争性磋商采购文件要求以外的内容，否则，在评审时不予核减。报价中也不得缺漏竞争性磋商采购文件所要求的内容，否则，其响应文件将被视为无效文件。</w:t>
      </w:r>
    </w:p>
    <w:p>
      <w:pPr>
        <w:numPr>
          <w:ilvl w:val="1"/>
          <w:numId w:val="21"/>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color w:val="auto"/>
          <w:szCs w:val="21"/>
        </w:rPr>
        <w:t>供应商应根据本磋商文件的规定和要求、市场价格水平及其走势、</w:t>
      </w:r>
      <w:r>
        <w:rPr>
          <w:rFonts w:hint="eastAsia" w:asciiTheme="minorEastAsia" w:hAnsiTheme="minorEastAsia" w:eastAsiaTheme="minorEastAsia" w:cstheme="minorEastAsia"/>
          <w:snapToGrid w:val="0"/>
          <w:color w:val="auto"/>
          <w:kern w:val="0"/>
          <w:szCs w:val="21"/>
          <w:lang w:val="zh-CN"/>
        </w:rPr>
        <w:t>磋商</w:t>
      </w:r>
      <w:r>
        <w:rPr>
          <w:rFonts w:hint="eastAsia" w:asciiTheme="minorEastAsia" w:hAnsiTheme="minorEastAsia" w:eastAsiaTheme="minorEastAsia" w:cstheme="minorEastAsia"/>
          <w:color w:val="auto"/>
          <w:szCs w:val="21"/>
        </w:rPr>
        <w:t>供应商的管理水平、</w:t>
      </w:r>
      <w:r>
        <w:rPr>
          <w:rFonts w:hint="eastAsia" w:asciiTheme="minorEastAsia" w:hAnsiTheme="minorEastAsia" w:eastAsiaTheme="minorEastAsia" w:cstheme="minorEastAsia"/>
          <w:snapToGrid w:val="0"/>
          <w:color w:val="auto"/>
          <w:kern w:val="0"/>
          <w:szCs w:val="21"/>
          <w:lang w:val="zh-CN"/>
        </w:rPr>
        <w:t>磋商</w:t>
      </w:r>
      <w:r>
        <w:rPr>
          <w:rFonts w:hint="eastAsia" w:asciiTheme="minorEastAsia" w:hAnsiTheme="minorEastAsia" w:eastAsiaTheme="minorEastAsia" w:cstheme="minorEastAsia"/>
          <w:color w:val="auto"/>
          <w:szCs w:val="21"/>
        </w:rPr>
        <w:t>供应商的</w:t>
      </w:r>
      <w:r>
        <w:rPr>
          <w:rFonts w:hint="eastAsia" w:asciiTheme="minorEastAsia" w:hAnsiTheme="minorEastAsia" w:eastAsiaTheme="minorEastAsia" w:cstheme="minorEastAsia"/>
          <w:snapToGrid w:val="0"/>
          <w:color w:val="auto"/>
          <w:kern w:val="0"/>
          <w:szCs w:val="21"/>
          <w:lang w:val="zh-CN"/>
        </w:rPr>
        <w:t>方案</w:t>
      </w:r>
      <w:r>
        <w:rPr>
          <w:rFonts w:hint="eastAsia" w:asciiTheme="minorEastAsia" w:hAnsiTheme="minorEastAsia" w:eastAsiaTheme="minorEastAsia" w:cstheme="minorEastAsia"/>
          <w:color w:val="auto"/>
          <w:szCs w:val="21"/>
        </w:rPr>
        <w:t>和由这些因素决定的磋商供应商之于本项目的成本水平等提出自己的报价。</w:t>
      </w:r>
      <w:r>
        <w:rPr>
          <w:rFonts w:hint="eastAsia" w:asciiTheme="minorEastAsia" w:hAnsiTheme="minorEastAsia" w:eastAsiaTheme="minorEastAsia" w:cstheme="minorEastAsia"/>
          <w:snapToGrid w:val="0"/>
          <w:color w:val="auto"/>
          <w:kern w:val="0"/>
          <w:szCs w:val="21"/>
          <w:lang w:val="zh-CN"/>
        </w:rPr>
        <w:t>报价应包含完成本采购文件采购需求全部内容的所有费用，所有根据本采购文件或其它原因应由磋商供应商支付的税款和其他应缴纳的费用都应包括在报价中。</w:t>
      </w:r>
      <w:r>
        <w:rPr>
          <w:rFonts w:hint="eastAsia" w:asciiTheme="minorEastAsia" w:hAnsiTheme="minorEastAsia" w:eastAsiaTheme="minorEastAsia" w:cstheme="minorEastAsia"/>
          <w:color w:val="auto"/>
          <w:szCs w:val="21"/>
        </w:rPr>
        <w:t>但磋商供应商不得以低于其成本的价格进行报价。</w:t>
      </w:r>
    </w:p>
    <w:p>
      <w:pPr>
        <w:numPr>
          <w:ilvl w:val="1"/>
          <w:numId w:val="21"/>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color w:val="auto"/>
          <w:szCs w:val="21"/>
        </w:rPr>
        <w:t>供应商在响应文件中</w:t>
      </w:r>
      <w:r>
        <w:rPr>
          <w:rFonts w:hint="eastAsia" w:asciiTheme="minorEastAsia" w:hAnsiTheme="minorEastAsia" w:eastAsiaTheme="minorEastAsia" w:cstheme="minorEastAsia"/>
          <w:snapToGrid w:val="0"/>
          <w:color w:val="auto"/>
          <w:kern w:val="0"/>
          <w:szCs w:val="21"/>
          <w:lang w:val="zh-CN"/>
        </w:rPr>
        <w:t>注明免费的项目将视为包含在报价中。</w:t>
      </w:r>
    </w:p>
    <w:p>
      <w:pPr>
        <w:numPr>
          <w:ilvl w:val="1"/>
          <w:numId w:val="21"/>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每一种采购内容只允许有一个报价，否则其响应文件将被视为无效文件。</w:t>
      </w:r>
    </w:p>
    <w:p>
      <w:pPr>
        <w:numPr>
          <w:ilvl w:val="1"/>
          <w:numId w:val="21"/>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成交供应商的报价在合同执行过程中是固定不变的，不得以任何理由予以变更。</w:t>
      </w:r>
    </w:p>
    <w:p>
      <w:pPr>
        <w:numPr>
          <w:ilvl w:val="0"/>
          <w:numId w:val="10"/>
        </w:numPr>
        <w:tabs>
          <w:tab w:val="left" w:pos="864"/>
        </w:tabs>
        <w:spacing w:line="360" w:lineRule="auto"/>
        <w:ind w:hanging="540"/>
        <w:outlineLvl w:val="1"/>
        <w:rPr>
          <w:rFonts w:asciiTheme="minorEastAsia" w:hAnsiTheme="minorEastAsia" w:eastAsiaTheme="minorEastAsia" w:cstheme="minorEastAsia"/>
          <w:b/>
          <w:snapToGrid w:val="0"/>
          <w:color w:val="auto"/>
          <w:kern w:val="0"/>
          <w:szCs w:val="21"/>
          <w:lang w:val="zh-CN"/>
        </w:rPr>
      </w:pPr>
      <w:bookmarkStart w:id="54" w:name="_Toc6176"/>
      <w:bookmarkStart w:id="55" w:name="_Toc23591"/>
      <w:r>
        <w:rPr>
          <w:rFonts w:hint="eastAsia" w:asciiTheme="minorEastAsia" w:hAnsiTheme="minorEastAsia" w:eastAsiaTheme="minorEastAsia" w:cstheme="minorEastAsia"/>
          <w:b/>
          <w:snapToGrid w:val="0"/>
          <w:color w:val="auto"/>
          <w:kern w:val="0"/>
          <w:szCs w:val="21"/>
          <w:lang w:val="zh-CN"/>
        </w:rPr>
        <w:t>备选方案</w:t>
      </w:r>
      <w:bookmarkEnd w:id="54"/>
      <w:bookmarkEnd w:id="55"/>
    </w:p>
    <w:p>
      <w:pPr>
        <w:numPr>
          <w:ilvl w:val="1"/>
          <w:numId w:val="2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 xml:space="preserve">是否允许备选方案见《供应商须知前附表》。不允许有备选方案的，若在响应文件中提交了备选方案，其响应文件将被视为无效文件。 </w:t>
      </w:r>
    </w:p>
    <w:p>
      <w:pPr>
        <w:numPr>
          <w:ilvl w:val="0"/>
          <w:numId w:val="10"/>
        </w:numPr>
        <w:tabs>
          <w:tab w:val="left" w:pos="864"/>
        </w:tabs>
        <w:spacing w:line="360" w:lineRule="auto"/>
        <w:ind w:hanging="540"/>
        <w:outlineLvl w:val="1"/>
        <w:rPr>
          <w:rFonts w:asciiTheme="minorEastAsia" w:hAnsiTheme="minorEastAsia" w:eastAsiaTheme="minorEastAsia" w:cstheme="minorEastAsia"/>
          <w:b/>
          <w:snapToGrid w:val="0"/>
          <w:color w:val="auto"/>
          <w:kern w:val="0"/>
          <w:szCs w:val="21"/>
          <w:lang w:val="zh-CN"/>
        </w:rPr>
      </w:pPr>
      <w:bookmarkStart w:id="56" w:name="_Toc3324"/>
      <w:bookmarkStart w:id="57" w:name="_Toc3168"/>
      <w:r>
        <w:rPr>
          <w:rFonts w:hint="eastAsia" w:asciiTheme="minorEastAsia" w:hAnsiTheme="minorEastAsia" w:eastAsiaTheme="minorEastAsia" w:cstheme="minorEastAsia"/>
          <w:b/>
          <w:snapToGrid w:val="0"/>
          <w:color w:val="auto"/>
          <w:kern w:val="0"/>
          <w:szCs w:val="21"/>
          <w:lang w:val="zh-CN"/>
        </w:rPr>
        <w:t>联合体</w:t>
      </w:r>
      <w:bookmarkEnd w:id="56"/>
      <w:bookmarkEnd w:id="57"/>
    </w:p>
    <w:p>
      <w:pPr>
        <w:numPr>
          <w:ilvl w:val="1"/>
          <w:numId w:val="23"/>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 xml:space="preserve">本次采购是否允许联合体参加详见《供应商须知前附表》。 </w:t>
      </w:r>
    </w:p>
    <w:p>
      <w:pPr>
        <w:numPr>
          <w:ilvl w:val="1"/>
          <w:numId w:val="23"/>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本次采购允许联合体报价的，联合体各方不得再单独或者与其他供应商另外组成联合体参加本项目的报价。</w:t>
      </w:r>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snapToGrid w:val="0"/>
          <w:color w:val="auto"/>
          <w:kern w:val="0"/>
          <w:szCs w:val="21"/>
          <w:lang w:val="zh-CN"/>
        </w:rPr>
      </w:pPr>
      <w:bookmarkStart w:id="58" w:name="_Toc20391"/>
      <w:bookmarkStart w:id="59" w:name="_Toc2434"/>
      <w:r>
        <w:rPr>
          <w:rFonts w:hint="eastAsia" w:asciiTheme="minorEastAsia" w:hAnsiTheme="minorEastAsia" w:eastAsiaTheme="minorEastAsia" w:cstheme="minorEastAsia"/>
          <w:b/>
          <w:snapToGrid w:val="0"/>
          <w:color w:val="auto"/>
          <w:kern w:val="0"/>
          <w:szCs w:val="21"/>
          <w:lang w:val="zh-CN"/>
        </w:rPr>
        <w:t>供应商资格证明文件</w:t>
      </w:r>
      <w:bookmarkEnd w:id="58"/>
      <w:bookmarkEnd w:id="59"/>
    </w:p>
    <w:p>
      <w:pPr>
        <w:numPr>
          <w:ilvl w:val="1"/>
          <w:numId w:val="24"/>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供应商应在响应文件提交证明其有资格参加磋商的证明文件，证明文件应包括下列文件：</w:t>
      </w:r>
    </w:p>
    <w:p>
      <w:pPr>
        <w:numPr>
          <w:ilvl w:val="3"/>
          <w:numId w:val="25"/>
        </w:numPr>
        <w:tabs>
          <w:tab w:val="left" w:pos="540"/>
          <w:tab w:val="clear" w:pos="204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采购文件要求供应商应提交的其它资格证明文件，应提交的资格证明文件（</w:t>
      </w:r>
      <w:r>
        <w:rPr>
          <w:rFonts w:hint="eastAsia" w:asciiTheme="minorEastAsia" w:hAnsiTheme="minorEastAsia" w:eastAsiaTheme="minorEastAsia" w:cstheme="minorEastAsia"/>
          <w:snapToGrid w:val="0"/>
          <w:color w:val="auto"/>
          <w:kern w:val="0"/>
          <w:szCs w:val="21"/>
        </w:rPr>
        <w:t>实质性要求</w:t>
      </w:r>
      <w:r>
        <w:rPr>
          <w:rFonts w:hint="eastAsia" w:asciiTheme="minorEastAsia" w:hAnsiTheme="minorEastAsia" w:eastAsiaTheme="minorEastAsia" w:cstheme="minorEastAsia"/>
          <w:snapToGrid w:val="0"/>
          <w:color w:val="auto"/>
          <w:kern w:val="0"/>
          <w:szCs w:val="21"/>
          <w:lang w:val="zh-CN"/>
        </w:rPr>
        <w:t>）见《供应商须知前附表》。</w:t>
      </w:r>
    </w:p>
    <w:p>
      <w:pPr>
        <w:numPr>
          <w:ilvl w:val="1"/>
          <w:numId w:val="24"/>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除本须知14.1要求的资格证明文件外，如国家法律法规对市场准入有要求的还应提交相关资格证明文件。</w:t>
      </w:r>
    </w:p>
    <w:p>
      <w:pPr>
        <w:numPr>
          <w:ilvl w:val="1"/>
          <w:numId w:val="24"/>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证明材料仅限于磋商供应商单位本身，母公司、股东单位和子公司的材料不能作为证明材料，但磋商供应商单位兼并的企业的材料可作为证明材料。必须</w:t>
      </w:r>
      <w:r>
        <w:rPr>
          <w:rFonts w:hint="eastAsia" w:asciiTheme="minorEastAsia" w:hAnsiTheme="minorEastAsia" w:eastAsiaTheme="minorEastAsia" w:cstheme="minorEastAsia"/>
          <w:snapToGrid w:val="0"/>
          <w:color w:val="auto"/>
          <w:kern w:val="0"/>
          <w:szCs w:val="21"/>
        </w:rPr>
        <w:t>每页</w:t>
      </w:r>
      <w:r>
        <w:rPr>
          <w:rFonts w:hint="eastAsia" w:asciiTheme="minorEastAsia" w:hAnsiTheme="minorEastAsia" w:eastAsiaTheme="minorEastAsia" w:cstheme="minorEastAsia"/>
          <w:snapToGrid w:val="0"/>
          <w:color w:val="auto"/>
          <w:kern w:val="0"/>
          <w:szCs w:val="21"/>
          <w:lang w:val="zh-CN"/>
        </w:rPr>
        <w:t>加盖单位印章，</w:t>
      </w:r>
      <w:r>
        <w:rPr>
          <w:rFonts w:hint="eastAsia" w:asciiTheme="minorEastAsia" w:hAnsiTheme="minorEastAsia" w:eastAsiaTheme="minorEastAsia" w:cstheme="minorEastAsia"/>
          <w:snapToGrid w:val="0"/>
          <w:color w:val="auto"/>
          <w:kern w:val="0"/>
          <w:szCs w:val="21"/>
        </w:rPr>
        <w:t>否则做废标处理</w:t>
      </w:r>
      <w:r>
        <w:rPr>
          <w:rFonts w:hint="eastAsia" w:asciiTheme="minorEastAsia" w:hAnsiTheme="minorEastAsia" w:eastAsiaTheme="minorEastAsia" w:cstheme="minorEastAsia"/>
          <w:snapToGrid w:val="0"/>
          <w:color w:val="auto"/>
          <w:kern w:val="0"/>
          <w:szCs w:val="21"/>
          <w:lang w:val="zh-CN"/>
        </w:rPr>
        <w:t>。</w:t>
      </w:r>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snapToGrid w:val="0"/>
          <w:color w:val="auto"/>
          <w:kern w:val="0"/>
          <w:szCs w:val="21"/>
          <w:lang w:val="zh-CN"/>
        </w:rPr>
      </w:pPr>
      <w:bookmarkStart w:id="60" w:name="_Toc9935"/>
      <w:bookmarkStart w:id="61" w:name="_Toc4911"/>
      <w:r>
        <w:rPr>
          <w:rFonts w:hint="eastAsia" w:asciiTheme="minorEastAsia" w:hAnsiTheme="minorEastAsia" w:eastAsiaTheme="minorEastAsia" w:cstheme="minorEastAsia"/>
          <w:b/>
          <w:snapToGrid w:val="0"/>
          <w:color w:val="auto"/>
          <w:kern w:val="0"/>
          <w:szCs w:val="21"/>
          <w:lang w:val="zh-CN"/>
        </w:rPr>
        <w:t>证明报价内容、服务合格性和符合竞争性磋商采购文件规定的文件</w:t>
      </w:r>
      <w:bookmarkEnd w:id="60"/>
      <w:bookmarkEnd w:id="61"/>
    </w:p>
    <w:p>
      <w:pPr>
        <w:numPr>
          <w:ilvl w:val="1"/>
          <w:numId w:val="26"/>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证明报价内容符合竞争性磋商采购文件要求的文件和竞争性磋商采购文件规定的其他资料，具体要求见《供应商须知前附表》。</w:t>
      </w:r>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snapToGrid w:val="0"/>
          <w:color w:val="auto"/>
          <w:kern w:val="0"/>
          <w:szCs w:val="21"/>
          <w:lang w:val="zh-CN"/>
        </w:rPr>
      </w:pPr>
      <w:bookmarkStart w:id="62" w:name="_Toc17646"/>
      <w:bookmarkStart w:id="63" w:name="_Toc27068"/>
      <w:r>
        <w:rPr>
          <w:rFonts w:hint="eastAsia" w:asciiTheme="minorEastAsia" w:hAnsiTheme="minorEastAsia" w:eastAsiaTheme="minorEastAsia" w:cstheme="minorEastAsia"/>
          <w:b/>
          <w:snapToGrid w:val="0"/>
          <w:color w:val="auto"/>
          <w:kern w:val="0"/>
          <w:szCs w:val="21"/>
          <w:lang w:val="zh-CN"/>
        </w:rPr>
        <w:t>磋商保证金</w:t>
      </w:r>
      <w:bookmarkEnd w:id="62"/>
      <w:bookmarkEnd w:id="63"/>
    </w:p>
    <w:p>
      <w:pPr>
        <w:numPr>
          <w:ilvl w:val="1"/>
          <w:numId w:val="27"/>
        </w:numPr>
        <w:tabs>
          <w:tab w:val="left" w:pos="54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本采购文件是否要求递交磋商保证金及保证金金额、递交方式、递交时间、接受保证金的帐户信息等详见《供应商须知前附表》。</w:t>
      </w:r>
    </w:p>
    <w:p>
      <w:pPr>
        <w:numPr>
          <w:ilvl w:val="1"/>
          <w:numId w:val="27"/>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本采购文件要求递交磋商保证金的，磋商保证金作为竞争性磋商响应文件的组成部分，</w:t>
      </w:r>
      <w:r>
        <w:rPr>
          <w:rFonts w:hint="eastAsia" w:asciiTheme="minorEastAsia" w:hAnsiTheme="minorEastAsia" w:eastAsiaTheme="minorEastAsia" w:cstheme="minorEastAsia"/>
          <w:color w:val="auto"/>
          <w:szCs w:val="21"/>
          <w:lang w:val="zh-CN"/>
        </w:rPr>
        <w:t>以到账为准。</w:t>
      </w:r>
      <w:r>
        <w:rPr>
          <w:rFonts w:hint="eastAsia" w:asciiTheme="minorEastAsia" w:hAnsiTheme="minorEastAsia" w:eastAsiaTheme="minorEastAsia" w:cstheme="minorEastAsia"/>
          <w:snapToGrid w:val="0"/>
          <w:color w:val="auto"/>
          <w:kern w:val="0"/>
          <w:szCs w:val="21"/>
          <w:lang w:val="zh-CN"/>
        </w:rPr>
        <w:t>凡未按规定递交磋商保证金的报价，其响应文件将被视为无效文件。</w:t>
      </w:r>
    </w:p>
    <w:p>
      <w:pPr>
        <w:numPr>
          <w:ilvl w:val="1"/>
          <w:numId w:val="27"/>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磋商保证金有效时间：磋商保证金的有效期与本次磋商有效期一致。</w:t>
      </w:r>
    </w:p>
    <w:p>
      <w:pPr>
        <w:numPr>
          <w:ilvl w:val="1"/>
          <w:numId w:val="27"/>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供应商为联合体的，应由联合体中牵头人缴纳保证金，其缴纳的保证金对联合体各方均具有约束力。</w:t>
      </w:r>
    </w:p>
    <w:p>
      <w:pPr>
        <w:numPr>
          <w:ilvl w:val="1"/>
          <w:numId w:val="27"/>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保证金的退还：未成交的磋商供应商，其磋商保证金在成交通知书发出后5个工作日内不计利息原额退还，成交供应商的磋商保证金，在成交供应商与采购人签订合同后5个工作日内不计利息原额退还。</w:t>
      </w:r>
    </w:p>
    <w:p>
      <w:pPr>
        <w:numPr>
          <w:ilvl w:val="1"/>
          <w:numId w:val="27"/>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有下列情形之一的，磋商保证金将不予退还:</w:t>
      </w:r>
    </w:p>
    <w:p>
      <w:pPr>
        <w:numPr>
          <w:ilvl w:val="0"/>
          <w:numId w:val="28"/>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供应商在提交响应文件截止时间后撤回响应文件的；</w:t>
      </w:r>
    </w:p>
    <w:p>
      <w:pPr>
        <w:numPr>
          <w:ilvl w:val="0"/>
          <w:numId w:val="28"/>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供应商在响应文件中提供虚假材料的；</w:t>
      </w:r>
    </w:p>
    <w:p>
      <w:pPr>
        <w:numPr>
          <w:ilvl w:val="0"/>
          <w:numId w:val="28"/>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除因不可抗力或磋商文件认可的情形以外，成交供应商不与采购人签订合同的；</w:t>
      </w:r>
    </w:p>
    <w:p>
      <w:pPr>
        <w:numPr>
          <w:ilvl w:val="0"/>
          <w:numId w:val="28"/>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供应商与采购人、其他供应商或者采购代理机构恶意串通的；</w:t>
      </w:r>
    </w:p>
    <w:p>
      <w:pPr>
        <w:numPr>
          <w:ilvl w:val="0"/>
          <w:numId w:val="28"/>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本采购文件规定的其他情形。</w:t>
      </w:r>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snapToGrid w:val="0"/>
          <w:color w:val="auto"/>
          <w:kern w:val="0"/>
          <w:szCs w:val="21"/>
          <w:lang w:val="zh-CN"/>
        </w:rPr>
      </w:pPr>
      <w:bookmarkStart w:id="64" w:name="_Toc3426"/>
      <w:bookmarkStart w:id="65" w:name="_Toc5668"/>
      <w:r>
        <w:rPr>
          <w:rFonts w:hint="eastAsia" w:asciiTheme="minorEastAsia" w:hAnsiTheme="minorEastAsia" w:eastAsiaTheme="minorEastAsia" w:cstheme="minorEastAsia"/>
          <w:b/>
          <w:snapToGrid w:val="0"/>
          <w:color w:val="auto"/>
          <w:kern w:val="0"/>
          <w:szCs w:val="21"/>
          <w:lang w:val="zh-CN"/>
        </w:rPr>
        <w:t>磋商有效期</w:t>
      </w:r>
      <w:bookmarkEnd w:id="64"/>
      <w:bookmarkEnd w:id="65"/>
    </w:p>
    <w:p>
      <w:pPr>
        <w:numPr>
          <w:ilvl w:val="1"/>
          <w:numId w:val="29"/>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磋商有效期从磋商结束之日起计算，本次采购磋商有效期见《供应商须知前附表》，磋商供应商承诺的磋商有效期不足的，其响应文件将被视为无效文件。</w:t>
      </w:r>
    </w:p>
    <w:p>
      <w:pPr>
        <w:numPr>
          <w:ilvl w:val="1"/>
          <w:numId w:val="29"/>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特殊情况下，在原磋商有效期截止之前，采购代理机构或采购人可要求供应商延长磋商有效期。需要延长磋商有效期时，采购代理机构或采购人将以书面形式通知所有磋商供应商，供应商应以书面形式答复是否同意延长磋商有效期。供应商同意延长的，其磋商保证金有效期相应延长，但不得要求或被允许修改或撤销其响应文件；供应商拒绝延长的，其响应文件在原磋商有效期满后将不再有效，供应商有权收回其投标保证金。</w:t>
      </w:r>
    </w:p>
    <w:p>
      <w:pPr>
        <w:numPr>
          <w:ilvl w:val="1"/>
          <w:numId w:val="29"/>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供应商同意延长磋商有效期的，不得要求或被允许修改或撤销其竞争性磋商响应文件；供应商拒绝延长的，其响应文件失效，但供应商有权收回其磋商保证金。</w:t>
      </w:r>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snapToGrid w:val="0"/>
          <w:color w:val="auto"/>
          <w:kern w:val="0"/>
          <w:szCs w:val="21"/>
          <w:lang w:val="zh-CN"/>
        </w:rPr>
      </w:pPr>
      <w:bookmarkStart w:id="66" w:name="_Toc25313"/>
      <w:bookmarkStart w:id="67" w:name="_Toc8272"/>
      <w:r>
        <w:rPr>
          <w:rFonts w:hint="eastAsia" w:asciiTheme="minorEastAsia" w:hAnsiTheme="minorEastAsia" w:eastAsiaTheme="minorEastAsia" w:cstheme="minorEastAsia"/>
          <w:b/>
          <w:snapToGrid w:val="0"/>
          <w:color w:val="auto"/>
          <w:kern w:val="0"/>
          <w:szCs w:val="21"/>
          <w:lang w:val="zh-CN"/>
        </w:rPr>
        <w:t>竞争性磋商响应文件的装订、签署和数量</w:t>
      </w:r>
      <w:bookmarkEnd w:id="66"/>
      <w:bookmarkEnd w:id="67"/>
    </w:p>
    <w:p>
      <w:pPr>
        <w:numPr>
          <w:ilvl w:val="1"/>
          <w:numId w:val="30"/>
        </w:numPr>
        <w:tabs>
          <w:tab w:val="left" w:pos="525"/>
          <w:tab w:val="clear" w:pos="465"/>
        </w:tabs>
        <w:autoSpaceDE w:val="0"/>
        <w:autoSpaceDN w:val="0"/>
        <w:adjustRightInd w:val="0"/>
        <w:spacing w:line="360" w:lineRule="auto"/>
        <w:ind w:left="540" w:hanging="540"/>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供应商提交的响应文件应包括正本、副本、完整的电子文档及单独提供的法定代表人授权委托书（或</w:t>
      </w:r>
      <w:r>
        <w:rPr>
          <w:rFonts w:hint="eastAsia" w:asciiTheme="minorEastAsia" w:hAnsiTheme="minorEastAsia" w:eastAsiaTheme="minorEastAsia" w:cstheme="minorEastAsia"/>
          <w:color w:val="auto"/>
          <w:szCs w:val="21"/>
        </w:rPr>
        <w:t>法定代表人身份证明书）</w:t>
      </w:r>
      <w:r>
        <w:rPr>
          <w:rFonts w:hint="eastAsia" w:asciiTheme="minorEastAsia" w:hAnsiTheme="minorEastAsia" w:eastAsiaTheme="minorEastAsia" w:cstheme="minorEastAsia"/>
          <w:snapToGrid w:val="0"/>
          <w:color w:val="auto"/>
          <w:kern w:val="0"/>
          <w:szCs w:val="21"/>
          <w:lang w:val="zh-CN"/>
        </w:rPr>
        <w:t>。本次磋商供应商提交响应文件正、副本和电子文档的数量见《供应商须知前附表》。</w:t>
      </w:r>
    </w:p>
    <w:p>
      <w:pPr>
        <w:numPr>
          <w:ilvl w:val="1"/>
          <w:numId w:val="30"/>
        </w:numPr>
        <w:tabs>
          <w:tab w:val="left" w:pos="525"/>
          <w:tab w:val="clear" w:pos="465"/>
        </w:tabs>
        <w:autoSpaceDE w:val="0"/>
        <w:autoSpaceDN w:val="0"/>
        <w:adjustRightInd w:val="0"/>
        <w:spacing w:line="360" w:lineRule="auto"/>
        <w:ind w:left="540" w:hanging="540"/>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每套响应文件须清楚地标明“正本”、“副本”，响应文件的副本可采用正本的复印件，若副本与正本不符，以正本为准；如单独提供的法定代表人授权委托书（或法定代表人身份证明书）、响应文件正本不符，以正本为准。电子文档与纸质文件不符，以纸质文件为准。</w:t>
      </w:r>
    </w:p>
    <w:p>
      <w:pPr>
        <w:numPr>
          <w:ilvl w:val="1"/>
          <w:numId w:val="30"/>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正本需打印或用不褪色墨水书写，并由法定代表人或授权代表签字并加盖公章。由授权代表签字的，响应文件中应提交《法定代表人授权书》。供应商为自然人的，由供应商本人签字并附身份证明。</w:t>
      </w:r>
    </w:p>
    <w:p>
      <w:pPr>
        <w:numPr>
          <w:ilvl w:val="1"/>
          <w:numId w:val="30"/>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竞争性磋商响应文件中的任何行间插字、涂改和增删，必须由法定代表人或授权代表在旁边签字才有效。</w:t>
      </w:r>
    </w:p>
    <w:p>
      <w:pPr>
        <w:numPr>
          <w:ilvl w:val="1"/>
          <w:numId w:val="30"/>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响应文件应当采用不可拆卸的方法的装订，对未经装订的竞争性磋商响应文件可能发生的文件散落或缺损及由此产生的后果由磋商供应商承担。</w:t>
      </w:r>
    </w:p>
    <w:p>
      <w:pPr>
        <w:numPr>
          <w:ilvl w:val="1"/>
          <w:numId w:val="9"/>
        </w:numPr>
        <w:tabs>
          <w:tab w:val="left" w:pos="540"/>
          <w:tab w:val="clear" w:pos="840"/>
        </w:tabs>
        <w:spacing w:line="360" w:lineRule="auto"/>
        <w:ind w:left="540" w:hanging="540"/>
        <w:outlineLvl w:val="1"/>
        <w:rPr>
          <w:rFonts w:asciiTheme="minorEastAsia" w:hAnsiTheme="minorEastAsia" w:eastAsiaTheme="minorEastAsia" w:cstheme="minorEastAsia"/>
          <w:b/>
          <w:color w:val="auto"/>
          <w:szCs w:val="21"/>
        </w:rPr>
      </w:pPr>
      <w:bookmarkStart w:id="68" w:name="_Toc15872"/>
      <w:r>
        <w:rPr>
          <w:rFonts w:hint="eastAsia" w:asciiTheme="minorEastAsia" w:hAnsiTheme="minorEastAsia" w:eastAsiaTheme="minorEastAsia" w:cstheme="minorEastAsia"/>
          <w:b/>
          <w:color w:val="auto"/>
          <w:szCs w:val="21"/>
        </w:rPr>
        <w:t>竞争性磋商响应文件的递交</w:t>
      </w:r>
      <w:bookmarkEnd w:id="68"/>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snapToGrid w:val="0"/>
          <w:color w:val="auto"/>
          <w:kern w:val="0"/>
          <w:szCs w:val="21"/>
          <w:lang w:val="zh-CN"/>
        </w:rPr>
      </w:pPr>
      <w:bookmarkStart w:id="69" w:name="_Toc8513"/>
      <w:bookmarkStart w:id="70" w:name="_Toc27305"/>
      <w:r>
        <w:rPr>
          <w:rFonts w:hint="eastAsia" w:asciiTheme="minorEastAsia" w:hAnsiTheme="minorEastAsia" w:eastAsiaTheme="minorEastAsia" w:cstheme="minorEastAsia"/>
          <w:b/>
          <w:color w:val="auto"/>
          <w:szCs w:val="21"/>
        </w:rPr>
        <w:t>竞争性磋商响应文件</w:t>
      </w:r>
      <w:r>
        <w:rPr>
          <w:rFonts w:hint="eastAsia" w:asciiTheme="minorEastAsia" w:hAnsiTheme="minorEastAsia" w:eastAsiaTheme="minorEastAsia" w:cstheme="minorEastAsia"/>
          <w:b/>
          <w:snapToGrid w:val="0"/>
          <w:color w:val="auto"/>
          <w:kern w:val="0"/>
          <w:szCs w:val="21"/>
          <w:lang w:val="zh-CN"/>
        </w:rPr>
        <w:t>的密封和标记</w:t>
      </w:r>
      <w:bookmarkEnd w:id="69"/>
      <w:bookmarkEnd w:id="70"/>
    </w:p>
    <w:p>
      <w:pPr>
        <w:numPr>
          <w:ilvl w:val="1"/>
          <w:numId w:val="31"/>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响应文件的正本、所有副本和电子文档必须密封，</w:t>
      </w:r>
      <w:r>
        <w:rPr>
          <w:rFonts w:hint="eastAsia" w:asciiTheme="minorEastAsia" w:hAnsiTheme="minorEastAsia" w:eastAsiaTheme="minorEastAsia" w:cstheme="minorEastAsia"/>
          <w:snapToGrid w:val="0"/>
          <w:color w:val="auto"/>
          <w:kern w:val="0"/>
          <w:szCs w:val="21"/>
        </w:rPr>
        <w:t>并在每一页以及骑缝处</w:t>
      </w:r>
      <w:r>
        <w:rPr>
          <w:rFonts w:hint="eastAsia" w:asciiTheme="minorEastAsia" w:hAnsiTheme="minorEastAsia" w:eastAsiaTheme="minorEastAsia" w:cstheme="minorEastAsia"/>
          <w:snapToGrid w:val="0"/>
          <w:color w:val="auto"/>
          <w:kern w:val="0"/>
          <w:szCs w:val="21"/>
          <w:lang w:val="zh-CN"/>
        </w:rPr>
        <w:t>加盖供应商公章</w:t>
      </w:r>
      <w:r>
        <w:rPr>
          <w:rFonts w:hint="eastAsia" w:asciiTheme="minorEastAsia" w:hAnsiTheme="minorEastAsia" w:eastAsiaTheme="minorEastAsia" w:cstheme="minorEastAsia"/>
          <w:snapToGrid w:val="0"/>
          <w:color w:val="auto"/>
          <w:kern w:val="0"/>
          <w:szCs w:val="21"/>
        </w:rPr>
        <w:t>后</w:t>
      </w:r>
      <w:r>
        <w:rPr>
          <w:rFonts w:hint="eastAsia" w:asciiTheme="minorEastAsia" w:hAnsiTheme="minorEastAsia" w:eastAsiaTheme="minorEastAsia" w:cstheme="minorEastAsia"/>
          <w:snapToGrid w:val="0"/>
          <w:color w:val="auto"/>
          <w:kern w:val="0"/>
          <w:szCs w:val="21"/>
          <w:lang w:val="zh-CN"/>
        </w:rPr>
        <w:t>递交，包装上应注明</w:t>
      </w:r>
      <w:r>
        <w:rPr>
          <w:rFonts w:hint="eastAsia" w:asciiTheme="minorEastAsia" w:hAnsiTheme="minorEastAsia" w:eastAsiaTheme="minorEastAsia" w:cstheme="minorEastAsia"/>
          <w:snapToGrid w:val="0"/>
          <w:color w:val="auto"/>
          <w:kern w:val="0"/>
          <w:szCs w:val="21"/>
        </w:rPr>
        <w:t>项目</w:t>
      </w:r>
      <w:r>
        <w:rPr>
          <w:rFonts w:hint="eastAsia" w:asciiTheme="minorEastAsia" w:hAnsiTheme="minorEastAsia" w:eastAsiaTheme="minorEastAsia" w:cstheme="minorEastAsia"/>
          <w:snapToGrid w:val="0"/>
          <w:color w:val="auto"/>
          <w:kern w:val="0"/>
          <w:szCs w:val="21"/>
          <w:lang w:val="zh-CN"/>
        </w:rPr>
        <w:t>编号、项目名称、包号、供应商名称及“</w:t>
      </w:r>
      <w:r>
        <w:rPr>
          <w:rFonts w:hint="eastAsia" w:asciiTheme="minorEastAsia" w:hAnsiTheme="minorEastAsia" w:eastAsiaTheme="minorEastAsia" w:cstheme="minorEastAsia"/>
          <w:snapToGrid w:val="0"/>
          <w:color w:val="auto"/>
          <w:kern w:val="0"/>
          <w:szCs w:val="21"/>
          <w:u w:val="single"/>
          <w:lang w:val="zh-CN"/>
        </w:rPr>
        <w:t xml:space="preserve">  （磋商</w:t>
      </w:r>
      <w:r>
        <w:rPr>
          <w:rFonts w:hint="eastAsia" w:asciiTheme="minorEastAsia" w:hAnsiTheme="minorEastAsia" w:eastAsiaTheme="minorEastAsia" w:cstheme="minorEastAsia"/>
          <w:snapToGrid w:val="0"/>
          <w:color w:val="auto"/>
          <w:kern w:val="0"/>
          <w:szCs w:val="21"/>
          <w:u w:val="single"/>
        </w:rPr>
        <w:t>截止</w:t>
      </w:r>
      <w:r>
        <w:rPr>
          <w:rFonts w:hint="eastAsia" w:asciiTheme="minorEastAsia" w:hAnsiTheme="minorEastAsia" w:eastAsiaTheme="minorEastAsia" w:cstheme="minorEastAsia"/>
          <w:snapToGrid w:val="0"/>
          <w:color w:val="auto"/>
          <w:kern w:val="0"/>
          <w:szCs w:val="21"/>
          <w:u w:val="single"/>
          <w:lang w:val="zh-CN"/>
        </w:rPr>
        <w:t>时间）  前</w:t>
      </w:r>
      <w:r>
        <w:rPr>
          <w:rFonts w:hint="eastAsia" w:asciiTheme="minorEastAsia" w:hAnsiTheme="minorEastAsia" w:eastAsiaTheme="minorEastAsia" w:cstheme="minorEastAsia"/>
          <w:snapToGrid w:val="0"/>
          <w:color w:val="auto"/>
          <w:kern w:val="0"/>
          <w:szCs w:val="21"/>
          <w:lang w:val="zh-CN"/>
        </w:rPr>
        <w:t>不得启封”的字样。</w:t>
      </w:r>
    </w:p>
    <w:p>
      <w:pPr>
        <w:numPr>
          <w:ilvl w:val="1"/>
          <w:numId w:val="31"/>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未按要求密封和加写标记的响应文件为无效文件，采购人、采购代理机构将拒收。</w:t>
      </w:r>
    </w:p>
    <w:p>
      <w:pPr>
        <w:numPr>
          <w:ilvl w:val="1"/>
          <w:numId w:val="31"/>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要求在磋商时提交样品的，</w:t>
      </w:r>
      <w:r>
        <w:rPr>
          <w:rFonts w:hint="eastAsia" w:asciiTheme="minorEastAsia" w:hAnsiTheme="minorEastAsia" w:eastAsiaTheme="minorEastAsia" w:cstheme="minorEastAsia"/>
          <w:snapToGrid w:val="0"/>
          <w:color w:val="auto"/>
          <w:kern w:val="0"/>
          <w:szCs w:val="21"/>
        </w:rPr>
        <w:t>是否</w:t>
      </w:r>
      <w:r>
        <w:rPr>
          <w:rFonts w:hint="eastAsia" w:asciiTheme="minorEastAsia" w:hAnsiTheme="minorEastAsia" w:eastAsiaTheme="minorEastAsia" w:cstheme="minorEastAsia"/>
          <w:snapToGrid w:val="0"/>
          <w:color w:val="auto"/>
          <w:kern w:val="0"/>
          <w:szCs w:val="21"/>
          <w:lang w:val="zh-CN"/>
        </w:rPr>
        <w:t>在样品上标明磋商供应商名称，有关提交及退还样品的相关规定。见《供应商须知前附表》。</w:t>
      </w:r>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snapToGrid w:val="0"/>
          <w:color w:val="auto"/>
          <w:kern w:val="0"/>
          <w:szCs w:val="21"/>
          <w:lang w:val="zh-CN"/>
        </w:rPr>
      </w:pPr>
      <w:bookmarkStart w:id="71" w:name="_Toc17857"/>
      <w:bookmarkStart w:id="72" w:name="_Toc17235"/>
      <w:r>
        <w:rPr>
          <w:rFonts w:hint="eastAsia" w:asciiTheme="minorEastAsia" w:hAnsiTheme="minorEastAsia" w:eastAsiaTheme="minorEastAsia" w:cstheme="minorEastAsia"/>
          <w:b/>
          <w:snapToGrid w:val="0"/>
          <w:color w:val="auto"/>
          <w:kern w:val="0"/>
          <w:szCs w:val="21"/>
          <w:lang w:val="zh-CN"/>
        </w:rPr>
        <w:t>竞争性磋商响应文件的送达地点及截止时间</w:t>
      </w:r>
      <w:bookmarkEnd w:id="71"/>
      <w:bookmarkEnd w:id="72"/>
    </w:p>
    <w:p>
      <w:pPr>
        <w:tabs>
          <w:tab w:val="left" w:pos="540"/>
        </w:tabs>
        <w:autoSpaceDE w:val="0"/>
        <w:autoSpaceDN w:val="0"/>
        <w:adjustRightInd w:val="0"/>
        <w:spacing w:line="360" w:lineRule="auto"/>
        <w:ind w:left="617" w:hanging="617" w:hangingChars="294"/>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20.1</w:t>
      </w:r>
      <w:r>
        <w:rPr>
          <w:rFonts w:hint="eastAsia" w:asciiTheme="minorEastAsia" w:hAnsiTheme="minorEastAsia" w:eastAsiaTheme="minorEastAsia" w:cstheme="minorEastAsia"/>
          <w:snapToGrid w:val="0"/>
          <w:color w:val="auto"/>
          <w:kern w:val="0"/>
          <w:szCs w:val="21"/>
        </w:rPr>
        <w:t xml:space="preserve">  </w:t>
      </w:r>
      <w:r>
        <w:rPr>
          <w:rFonts w:hint="eastAsia" w:asciiTheme="minorEastAsia" w:hAnsiTheme="minorEastAsia" w:eastAsiaTheme="minorEastAsia" w:cstheme="minorEastAsia"/>
          <w:snapToGrid w:val="0"/>
          <w:color w:val="auto"/>
          <w:kern w:val="0"/>
          <w:szCs w:val="21"/>
          <w:lang w:val="zh-CN"/>
        </w:rPr>
        <w:t>截止时间是</w:t>
      </w:r>
      <w:r>
        <w:rPr>
          <w:rFonts w:hint="eastAsia" w:asciiTheme="minorEastAsia" w:hAnsiTheme="minorEastAsia" w:eastAsiaTheme="minorEastAsia" w:cstheme="minorEastAsia"/>
          <w:b/>
          <w:bCs/>
          <w:snapToGrid w:val="0"/>
          <w:color w:val="auto"/>
          <w:kern w:val="0"/>
          <w:szCs w:val="21"/>
          <w:lang w:val="zh-CN"/>
        </w:rPr>
        <w:t>竞争性磋商</w:t>
      </w:r>
      <w:r>
        <w:rPr>
          <w:rFonts w:hint="eastAsia" w:asciiTheme="minorEastAsia" w:hAnsiTheme="minorEastAsia" w:eastAsiaTheme="minorEastAsia" w:cstheme="minorEastAsia"/>
          <w:snapToGrid w:val="0"/>
          <w:color w:val="auto"/>
          <w:kern w:val="0"/>
          <w:szCs w:val="21"/>
          <w:lang w:val="zh-CN"/>
        </w:rPr>
        <w:t>文件中规定的首次送达、提交响应文件的最后时间。本次磋商响应文件的送达地点及截止时间见《供应商须知前附表》。</w:t>
      </w:r>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snapToGrid w:val="0"/>
          <w:color w:val="auto"/>
          <w:kern w:val="0"/>
          <w:szCs w:val="21"/>
          <w:lang w:val="zh-CN"/>
        </w:rPr>
      </w:pPr>
      <w:bookmarkStart w:id="73" w:name="_Toc15504"/>
      <w:bookmarkStart w:id="74" w:name="_Toc31376"/>
      <w:r>
        <w:rPr>
          <w:rFonts w:hint="eastAsia" w:asciiTheme="minorEastAsia" w:hAnsiTheme="minorEastAsia" w:eastAsiaTheme="minorEastAsia" w:cstheme="minorEastAsia"/>
          <w:b/>
          <w:snapToGrid w:val="0"/>
          <w:color w:val="auto"/>
          <w:kern w:val="0"/>
          <w:szCs w:val="21"/>
          <w:lang w:val="zh-CN"/>
        </w:rPr>
        <w:t>迟交的竞争性磋商响应文件</w:t>
      </w:r>
      <w:bookmarkEnd w:id="73"/>
      <w:bookmarkEnd w:id="74"/>
    </w:p>
    <w:p>
      <w:pPr>
        <w:numPr>
          <w:ilvl w:val="1"/>
          <w:numId w:val="32"/>
        </w:numPr>
        <w:tabs>
          <w:tab w:val="left" w:pos="540"/>
          <w:tab w:val="clear" w:pos="480"/>
        </w:tabs>
        <w:autoSpaceDE w:val="0"/>
        <w:autoSpaceDN w:val="0"/>
        <w:adjustRightInd w:val="0"/>
        <w:spacing w:line="360" w:lineRule="auto"/>
        <w:ind w:left="539" w:hanging="539"/>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在本次磋商递交响应文件的截止时间以后送达的响应文件，不论何种原因，采购代理机构将拒收。</w:t>
      </w:r>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snapToGrid w:val="0"/>
          <w:color w:val="auto"/>
          <w:kern w:val="0"/>
          <w:szCs w:val="21"/>
          <w:lang w:val="zh-CN"/>
        </w:rPr>
      </w:pPr>
      <w:bookmarkStart w:id="75" w:name="_Toc10669"/>
      <w:bookmarkStart w:id="76" w:name="_Toc31760"/>
      <w:r>
        <w:rPr>
          <w:rFonts w:hint="eastAsia" w:asciiTheme="minorEastAsia" w:hAnsiTheme="minorEastAsia" w:eastAsiaTheme="minorEastAsia" w:cstheme="minorEastAsia"/>
          <w:b/>
          <w:snapToGrid w:val="0"/>
          <w:color w:val="auto"/>
          <w:kern w:val="0"/>
          <w:szCs w:val="21"/>
          <w:lang w:val="zh-CN"/>
        </w:rPr>
        <w:t>竞争性磋商响应文件的补充、修改或者撤回</w:t>
      </w:r>
      <w:bookmarkEnd w:id="75"/>
      <w:bookmarkEnd w:id="76"/>
    </w:p>
    <w:p>
      <w:pPr>
        <w:numPr>
          <w:ilvl w:val="1"/>
          <w:numId w:val="33"/>
        </w:numPr>
        <w:tabs>
          <w:tab w:val="left" w:pos="54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在</w:t>
      </w:r>
      <w:r>
        <w:rPr>
          <w:rFonts w:hint="eastAsia" w:asciiTheme="minorEastAsia" w:hAnsiTheme="minorEastAsia" w:eastAsiaTheme="minorEastAsia" w:cstheme="minorEastAsia"/>
          <w:snapToGrid w:val="0"/>
          <w:color w:val="auto"/>
          <w:kern w:val="0"/>
          <w:szCs w:val="21"/>
        </w:rPr>
        <w:t>提交</w:t>
      </w:r>
      <w:r>
        <w:rPr>
          <w:rFonts w:hint="eastAsia" w:asciiTheme="minorEastAsia" w:hAnsiTheme="minorEastAsia" w:eastAsiaTheme="minorEastAsia" w:cstheme="minorEastAsia"/>
          <w:snapToGrid w:val="0"/>
          <w:color w:val="auto"/>
          <w:kern w:val="0"/>
          <w:szCs w:val="21"/>
          <w:lang w:val="zh-CN"/>
        </w:rPr>
        <w:t>响应文件截止时间前，供应商可以对</w:t>
      </w:r>
      <w:r>
        <w:rPr>
          <w:rFonts w:hint="eastAsia" w:asciiTheme="minorEastAsia" w:hAnsiTheme="minorEastAsia" w:eastAsiaTheme="minorEastAsia" w:cstheme="minorEastAsia"/>
          <w:snapToGrid w:val="0"/>
          <w:color w:val="auto"/>
          <w:kern w:val="0"/>
          <w:szCs w:val="21"/>
        </w:rPr>
        <w:t>已</w:t>
      </w:r>
      <w:r>
        <w:rPr>
          <w:rFonts w:hint="eastAsia" w:asciiTheme="minorEastAsia" w:hAnsiTheme="minorEastAsia" w:eastAsiaTheme="minorEastAsia" w:cstheme="minorEastAsia"/>
          <w:snapToGrid w:val="0"/>
          <w:color w:val="auto"/>
          <w:kern w:val="0"/>
          <w:szCs w:val="21"/>
          <w:lang w:val="zh-CN"/>
        </w:rPr>
        <w:t>提交的响应文件进行补充、修改或者撤回。供应商需要补充、修改或者撤回响应文件时，应以书面形式通知采购人、采购代理机构。补充、修改的内容是响应文件的组成部分，补充、修改的内容与响应文件不一致的，以补充、修改的内容为准。</w:t>
      </w:r>
    </w:p>
    <w:p>
      <w:pPr>
        <w:numPr>
          <w:ilvl w:val="1"/>
          <w:numId w:val="33"/>
        </w:numPr>
        <w:tabs>
          <w:tab w:val="left" w:pos="540"/>
        </w:tabs>
        <w:autoSpaceDE w:val="0"/>
        <w:autoSpaceDN w:val="0"/>
        <w:adjustRightInd w:val="0"/>
        <w:spacing w:line="360" w:lineRule="auto"/>
        <w:ind w:left="539" w:hanging="539"/>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从</w:t>
      </w:r>
      <w:r>
        <w:rPr>
          <w:rFonts w:hint="eastAsia" w:asciiTheme="minorEastAsia" w:hAnsiTheme="minorEastAsia" w:eastAsiaTheme="minorEastAsia" w:cstheme="minorEastAsia"/>
          <w:snapToGrid w:val="0"/>
          <w:color w:val="auto"/>
          <w:kern w:val="0"/>
          <w:szCs w:val="21"/>
        </w:rPr>
        <w:t>提交</w:t>
      </w:r>
      <w:r>
        <w:rPr>
          <w:rFonts w:hint="eastAsia" w:asciiTheme="minorEastAsia" w:hAnsiTheme="minorEastAsia" w:eastAsiaTheme="minorEastAsia" w:cstheme="minorEastAsia"/>
          <w:snapToGrid w:val="0"/>
          <w:color w:val="auto"/>
          <w:kern w:val="0"/>
          <w:szCs w:val="21"/>
          <w:lang w:val="zh-CN"/>
        </w:rPr>
        <w:t>响应文件截止时间至磋商有效期期满这段时间，供应商不得修改或</w:t>
      </w:r>
      <w:r>
        <w:rPr>
          <w:rFonts w:hint="eastAsia" w:asciiTheme="minorEastAsia" w:hAnsiTheme="minorEastAsia" w:eastAsiaTheme="minorEastAsia" w:cstheme="minorEastAsia"/>
          <w:snapToGrid w:val="0"/>
          <w:color w:val="auto"/>
          <w:kern w:val="0"/>
          <w:szCs w:val="21"/>
        </w:rPr>
        <w:t>撤销</w:t>
      </w:r>
      <w:r>
        <w:rPr>
          <w:rFonts w:hint="eastAsia" w:asciiTheme="minorEastAsia" w:hAnsiTheme="minorEastAsia" w:eastAsiaTheme="minorEastAsia" w:cstheme="minorEastAsia"/>
          <w:snapToGrid w:val="0"/>
          <w:color w:val="auto"/>
          <w:kern w:val="0"/>
          <w:szCs w:val="21"/>
          <w:lang w:val="zh-CN"/>
        </w:rPr>
        <w:t>其响应文件，否则其磋商保证金将不予以退还。</w:t>
      </w:r>
    </w:p>
    <w:p>
      <w:pPr>
        <w:numPr>
          <w:ilvl w:val="1"/>
          <w:numId w:val="33"/>
        </w:numPr>
        <w:tabs>
          <w:tab w:val="left" w:pos="54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供应商所提交的响应文件在磋商结束后，无论成交与否都不退还。</w:t>
      </w:r>
    </w:p>
    <w:p>
      <w:pPr>
        <w:numPr>
          <w:ilvl w:val="1"/>
          <w:numId w:val="9"/>
        </w:numPr>
        <w:tabs>
          <w:tab w:val="left" w:pos="540"/>
          <w:tab w:val="clear" w:pos="840"/>
        </w:tabs>
        <w:spacing w:line="360" w:lineRule="auto"/>
        <w:ind w:left="540" w:hanging="540"/>
        <w:outlineLvl w:val="1"/>
        <w:rPr>
          <w:rFonts w:asciiTheme="minorEastAsia" w:hAnsiTheme="minorEastAsia" w:eastAsiaTheme="minorEastAsia" w:cstheme="minorEastAsia"/>
          <w:b/>
          <w:color w:val="auto"/>
          <w:szCs w:val="21"/>
        </w:rPr>
      </w:pPr>
      <w:bookmarkStart w:id="77" w:name="_Toc12875"/>
      <w:r>
        <w:rPr>
          <w:rFonts w:hint="eastAsia" w:asciiTheme="minorEastAsia" w:hAnsiTheme="minorEastAsia" w:eastAsiaTheme="minorEastAsia" w:cstheme="minorEastAsia"/>
          <w:b/>
          <w:color w:val="auto"/>
          <w:szCs w:val="21"/>
        </w:rPr>
        <w:t>磋商程序及步骤</w:t>
      </w:r>
      <w:bookmarkEnd w:id="77"/>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snapToGrid w:val="0"/>
          <w:color w:val="auto"/>
          <w:kern w:val="0"/>
          <w:szCs w:val="21"/>
          <w:lang w:val="zh-CN"/>
        </w:rPr>
      </w:pPr>
      <w:bookmarkStart w:id="78" w:name="_Toc22851"/>
      <w:bookmarkStart w:id="79" w:name="_Toc22624"/>
      <w:r>
        <w:rPr>
          <w:rFonts w:hint="eastAsia" w:asciiTheme="minorEastAsia" w:hAnsiTheme="minorEastAsia" w:eastAsiaTheme="minorEastAsia" w:cstheme="minorEastAsia"/>
          <w:b/>
          <w:color w:val="auto"/>
        </w:rPr>
        <w:t>竞争性磋商小组</w:t>
      </w:r>
      <w:bookmarkEnd w:id="78"/>
      <w:bookmarkEnd w:id="79"/>
    </w:p>
    <w:p>
      <w:pPr>
        <w:tabs>
          <w:tab w:val="left" w:pos="540"/>
        </w:tabs>
        <w:autoSpaceDE w:val="0"/>
        <w:autoSpaceDN w:val="0"/>
        <w:adjustRightInd w:val="0"/>
        <w:spacing w:line="360" w:lineRule="auto"/>
        <w:ind w:left="630" w:hanging="630" w:hangingChars="30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rPr>
        <w:t xml:space="preserve">23.1  </w:t>
      </w:r>
      <w:r>
        <w:rPr>
          <w:rFonts w:hint="eastAsia" w:asciiTheme="minorEastAsia" w:hAnsiTheme="minorEastAsia" w:eastAsiaTheme="minorEastAsia" w:cstheme="minorEastAsia"/>
          <w:snapToGrid w:val="0"/>
          <w:color w:val="auto"/>
          <w:kern w:val="0"/>
          <w:szCs w:val="21"/>
          <w:lang w:val="zh-CN"/>
        </w:rPr>
        <w:t>采购人依照《中华人民共和国政府采购法》、《中华人民共和国政府采购法实施条例》、《政府采购竞争性磋商采购方式管理暂行办法》及现行法律规定组建磋商小组，磋商小组由采购人代表和评审专家共3人或</w:t>
      </w:r>
      <w:r>
        <w:rPr>
          <w:rFonts w:hint="eastAsia" w:asciiTheme="minorEastAsia" w:hAnsiTheme="minorEastAsia" w:eastAsiaTheme="minorEastAsia" w:cstheme="minorEastAsia"/>
          <w:snapToGrid w:val="0"/>
          <w:color w:val="auto"/>
          <w:kern w:val="0"/>
          <w:szCs w:val="21"/>
        </w:rPr>
        <w:t>3</w:t>
      </w:r>
      <w:r>
        <w:rPr>
          <w:rFonts w:hint="eastAsia" w:asciiTheme="minorEastAsia" w:hAnsiTheme="minorEastAsia" w:eastAsiaTheme="minorEastAsia" w:cstheme="minorEastAsia"/>
          <w:snapToGrid w:val="0"/>
          <w:color w:val="auto"/>
          <w:kern w:val="0"/>
          <w:szCs w:val="21"/>
          <w:lang w:val="zh-CN"/>
        </w:rPr>
        <w:t>人以上单数组成。磋商小组人数详见《供应商须知前附表》。</w:t>
      </w:r>
    </w:p>
    <w:p>
      <w:pPr>
        <w:tabs>
          <w:tab w:val="left" w:pos="540"/>
        </w:tabs>
        <w:autoSpaceDE w:val="0"/>
        <w:autoSpaceDN w:val="0"/>
        <w:adjustRightInd w:val="0"/>
        <w:spacing w:line="360" w:lineRule="auto"/>
        <w:ind w:left="630" w:hanging="630" w:hangingChars="30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 xml:space="preserve">23.2 </w:t>
      </w:r>
      <w:r>
        <w:rPr>
          <w:rFonts w:hint="eastAsia" w:asciiTheme="minorEastAsia" w:hAnsiTheme="minorEastAsia" w:eastAsiaTheme="minorEastAsia" w:cstheme="minorEastAsia"/>
          <w:snapToGrid w:val="0"/>
          <w:color w:val="auto"/>
          <w:kern w:val="0"/>
          <w:szCs w:val="21"/>
        </w:rPr>
        <w:t xml:space="preserve"> </w:t>
      </w:r>
      <w:r>
        <w:rPr>
          <w:rFonts w:hint="eastAsia" w:asciiTheme="minorEastAsia" w:hAnsiTheme="minorEastAsia" w:eastAsiaTheme="minorEastAsia" w:cstheme="minorEastAsia"/>
          <w:snapToGrid w:val="0"/>
          <w:color w:val="auto"/>
          <w:kern w:val="0"/>
          <w:szCs w:val="21"/>
          <w:lang w:val="zh-CN"/>
        </w:rPr>
        <w:t xml:space="preserve">磋商小组中的评审专家人数不少于磋商小组成员总数的2/3。除本采购文件另有规定，评审专家将从政府采购评审专家库中随机抽取。 </w:t>
      </w:r>
    </w:p>
    <w:p>
      <w:pPr>
        <w:tabs>
          <w:tab w:val="left" w:pos="540"/>
        </w:tabs>
        <w:autoSpaceDE w:val="0"/>
        <w:autoSpaceDN w:val="0"/>
        <w:adjustRightInd w:val="0"/>
        <w:spacing w:line="360" w:lineRule="auto"/>
        <w:ind w:left="630" w:hanging="630" w:hangingChars="30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 xml:space="preserve">23.3 </w:t>
      </w:r>
      <w:r>
        <w:rPr>
          <w:rFonts w:hint="eastAsia" w:asciiTheme="minorEastAsia" w:hAnsiTheme="minorEastAsia" w:eastAsiaTheme="minorEastAsia" w:cstheme="minorEastAsia"/>
          <w:snapToGrid w:val="0"/>
          <w:color w:val="auto"/>
          <w:kern w:val="0"/>
          <w:szCs w:val="21"/>
        </w:rPr>
        <w:t xml:space="preserve"> </w:t>
      </w:r>
      <w:r>
        <w:rPr>
          <w:rFonts w:hint="eastAsia" w:asciiTheme="minorEastAsia" w:hAnsiTheme="minorEastAsia" w:eastAsiaTheme="minorEastAsia" w:cstheme="minorEastAsia"/>
          <w:snapToGrid w:val="0"/>
          <w:color w:val="auto"/>
          <w:kern w:val="0"/>
          <w:szCs w:val="21"/>
          <w:lang w:val="zh-CN"/>
        </w:rPr>
        <w:t>磋商小组所有成员按事先抽取的磋商顺序，集中与单一供应商分别进行磋商，并给予所有参</w:t>
      </w:r>
      <w:r>
        <w:rPr>
          <w:rFonts w:hint="eastAsia" w:asciiTheme="minorEastAsia" w:hAnsiTheme="minorEastAsia" w:eastAsiaTheme="minorEastAsia" w:cstheme="minorEastAsia"/>
          <w:snapToGrid w:val="0"/>
          <w:color w:val="auto"/>
          <w:kern w:val="0"/>
          <w:szCs w:val="21"/>
        </w:rPr>
        <w:t xml:space="preserve"> </w:t>
      </w:r>
      <w:r>
        <w:rPr>
          <w:rFonts w:hint="eastAsia" w:asciiTheme="minorEastAsia" w:hAnsiTheme="minorEastAsia" w:eastAsiaTheme="minorEastAsia" w:cstheme="minorEastAsia"/>
          <w:snapToGrid w:val="0"/>
          <w:color w:val="auto"/>
          <w:kern w:val="0"/>
          <w:szCs w:val="21"/>
          <w:lang w:val="zh-CN"/>
        </w:rPr>
        <w:t>加磋商的供应商平等的磋商机会。</w:t>
      </w:r>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snapToGrid w:val="0"/>
          <w:color w:val="auto"/>
          <w:kern w:val="0"/>
          <w:szCs w:val="21"/>
          <w:lang w:val="zh-CN"/>
        </w:rPr>
      </w:pPr>
      <w:bookmarkStart w:id="80" w:name="_Toc21483"/>
      <w:bookmarkStart w:id="81" w:name="_Toc20435"/>
      <w:r>
        <w:rPr>
          <w:rFonts w:hint="eastAsia" w:asciiTheme="minorEastAsia" w:hAnsiTheme="minorEastAsia" w:eastAsiaTheme="minorEastAsia" w:cstheme="minorEastAsia"/>
          <w:b/>
          <w:color w:val="auto"/>
        </w:rPr>
        <w:t>磋商代表</w:t>
      </w:r>
      <w:bookmarkEnd w:id="80"/>
      <w:bookmarkEnd w:id="81"/>
    </w:p>
    <w:p>
      <w:pPr>
        <w:tabs>
          <w:tab w:val="left" w:pos="864"/>
          <w:tab w:val="left" w:pos="1080"/>
        </w:tabs>
        <w:spacing w:line="360" w:lineRule="auto"/>
        <w:ind w:left="632" w:hanging="632" w:hangingChars="300"/>
        <w:jc w:val="left"/>
        <w:rPr>
          <w:rFonts w:asciiTheme="minorEastAsia" w:hAnsiTheme="minorEastAsia" w:eastAsiaTheme="minorEastAsia" w:cstheme="minorEastAsia"/>
          <w:color w:val="auto"/>
          <w:szCs w:val="21"/>
        </w:rPr>
      </w:pPr>
      <w:bookmarkStart w:id="82" w:name="_Toc32662"/>
      <w:bookmarkStart w:id="83" w:name="_Toc9967"/>
      <w:r>
        <w:rPr>
          <w:rFonts w:hint="eastAsia" w:asciiTheme="minorEastAsia" w:hAnsiTheme="minorEastAsia" w:eastAsiaTheme="minorEastAsia" w:cstheme="minorEastAsia"/>
          <w:b/>
          <w:color w:val="auto"/>
        </w:rPr>
        <w:t xml:space="preserve">24.1  </w:t>
      </w:r>
      <w:r>
        <w:rPr>
          <w:rFonts w:hint="eastAsia" w:asciiTheme="minorEastAsia" w:hAnsiTheme="minorEastAsia" w:eastAsiaTheme="minorEastAsia" w:cstheme="minorEastAsia"/>
          <w:color w:val="auto"/>
          <w:szCs w:val="21"/>
        </w:rPr>
        <w:t>磋商供应商法定代表人或授权代表应携带本人身份证明参加磋商，授权代表参加磋商的，还应携带法定代表人授权书原件。磋商代表经磋商小组核对身份后，方可参加磋商。</w:t>
      </w:r>
      <w:bookmarkEnd w:id="82"/>
      <w:bookmarkEnd w:id="83"/>
      <w:r>
        <w:rPr>
          <w:rFonts w:hint="eastAsia" w:asciiTheme="minorEastAsia" w:hAnsiTheme="minorEastAsia" w:eastAsiaTheme="minorEastAsia" w:cstheme="minorEastAsia"/>
          <w:color w:val="auto"/>
          <w:szCs w:val="21"/>
        </w:rPr>
        <w:t>磋商代表的其他要求见《供应商须知前附表》。</w:t>
      </w:r>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color w:val="auto"/>
        </w:rPr>
      </w:pPr>
      <w:bookmarkStart w:id="84" w:name="_Toc24556"/>
      <w:r>
        <w:rPr>
          <w:rFonts w:hint="eastAsia" w:asciiTheme="minorEastAsia" w:hAnsiTheme="minorEastAsia" w:eastAsiaTheme="minorEastAsia" w:cstheme="minorEastAsia"/>
          <w:b/>
          <w:color w:val="auto"/>
        </w:rPr>
        <w:t>资格审查和符合性审查</w:t>
      </w:r>
      <w:bookmarkEnd w:id="84"/>
    </w:p>
    <w:p>
      <w:pPr>
        <w:spacing w:line="360" w:lineRule="auto"/>
        <w:ind w:left="630" w:hanging="630" w:hangingChars="3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25.1  在正式磋商前，本磋商文件第四章规定的程序和方法，对供应商进行资格性审查和符合性审查，通过资格性审查和符合性审查，实质性响应磋商文件的供应商方可进入磋商程序。</w:t>
      </w:r>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color w:val="auto"/>
        </w:rPr>
      </w:pPr>
      <w:bookmarkStart w:id="85" w:name="_Toc29110"/>
      <w:r>
        <w:rPr>
          <w:rFonts w:hint="eastAsia" w:asciiTheme="minorEastAsia" w:hAnsiTheme="minorEastAsia" w:eastAsiaTheme="minorEastAsia" w:cstheme="minorEastAsia"/>
          <w:b/>
          <w:color w:val="auto"/>
        </w:rPr>
        <w:t>磋商</w:t>
      </w:r>
      <w:bookmarkEnd w:id="85"/>
    </w:p>
    <w:p>
      <w:pPr>
        <w:spacing w:line="360" w:lineRule="auto"/>
        <w:ind w:left="630" w:hanging="630" w:hangingChars="300"/>
        <w:jc w:val="left"/>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1"/>
        </w:rPr>
        <w:t>26.1  磋商小组将根据本磋商文件第四章规定的程序和方法与供应商进行磋商。在磋商中，磋商的任何一方不得透露与磋商有关的其他磋商供应商的技</w:t>
      </w:r>
      <w:r>
        <w:rPr>
          <w:rFonts w:hint="eastAsia" w:asciiTheme="minorEastAsia" w:hAnsiTheme="minorEastAsia" w:eastAsiaTheme="minorEastAsia" w:cstheme="minorEastAsia"/>
          <w:color w:val="auto"/>
        </w:rPr>
        <w:t>术资料、价格和其他信息。</w:t>
      </w:r>
    </w:p>
    <w:p>
      <w:pPr>
        <w:spacing w:line="360" w:lineRule="auto"/>
        <w:ind w:left="630" w:hanging="630" w:hangingChars="300"/>
        <w:jc w:val="left"/>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26.2  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将以书面形式同时通知所有磋商供应商，</w:t>
      </w:r>
      <w:r>
        <w:rPr>
          <w:rFonts w:hint="eastAsia" w:asciiTheme="minorEastAsia" w:hAnsiTheme="minorEastAsia" w:eastAsiaTheme="minorEastAsia" w:cstheme="minorEastAsia"/>
          <w:color w:val="auto"/>
          <w:szCs w:val="21"/>
        </w:rPr>
        <w:t>并提供必要的修正时间。</w:t>
      </w:r>
    </w:p>
    <w:p>
      <w:pPr>
        <w:spacing w:line="360" w:lineRule="auto"/>
        <w:ind w:left="630" w:hanging="630" w:hangingChars="300"/>
        <w:jc w:val="left"/>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26.3  供应商应当按照磋商文件的变动情况和磋商小组的要求重新提交响应文件，</w:t>
      </w:r>
      <w:r>
        <w:rPr>
          <w:rFonts w:hint="eastAsia" w:asciiTheme="minorEastAsia" w:hAnsiTheme="minorEastAsia" w:eastAsiaTheme="minorEastAsia" w:cstheme="minorEastAsia"/>
          <w:color w:val="auto"/>
          <w:szCs w:val="21"/>
        </w:rPr>
        <w:t>对原响应文件进行技术、商务、价格修正，重新提交的响应文件应实质性响应本磋商文件及</w:t>
      </w:r>
      <w:r>
        <w:rPr>
          <w:rFonts w:hint="eastAsia" w:asciiTheme="minorEastAsia" w:hAnsiTheme="minorEastAsia" w:eastAsiaTheme="minorEastAsia" w:cstheme="minorEastAsia"/>
          <w:color w:val="auto"/>
        </w:rPr>
        <w:t>对磋商文件作出的实质性变动，</w:t>
      </w:r>
      <w:r>
        <w:rPr>
          <w:rFonts w:hint="eastAsia" w:asciiTheme="minorEastAsia" w:hAnsiTheme="minorEastAsia" w:eastAsiaTheme="minorEastAsia" w:cstheme="minorEastAsia"/>
          <w:color w:val="auto"/>
          <w:szCs w:val="21"/>
        </w:rPr>
        <w:t>并按本采购文件的规定进行签署。重新提交的响应文件与原响应文件不一致</w:t>
      </w:r>
      <w:r>
        <w:rPr>
          <w:rFonts w:hint="eastAsia" w:asciiTheme="minorEastAsia" w:hAnsiTheme="minorEastAsia" w:eastAsiaTheme="minorEastAsia" w:cstheme="minorEastAsia"/>
          <w:color w:val="auto"/>
        </w:rPr>
        <w:t>的，以重新提交的响应文件为准。不按要求签署或逾时不提交响应文件的，视同放弃磋商，放弃磋商的供应商的磋商保证金将在成交通知书发放后的五个工作日内退还。</w:t>
      </w:r>
    </w:p>
    <w:p>
      <w:pPr>
        <w:spacing w:line="360" w:lineRule="auto"/>
        <w:ind w:left="630" w:hanging="630" w:hangingChars="3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26.4  竞标报价有算术错误的，磋商小组按照以下原则对竞标报价进行修正，修正的价格经供应商书面确认后具有约束力。供应商不接受修正价格的，磋商小组应当否决其竞标。</w:t>
      </w:r>
    </w:p>
    <w:p>
      <w:pPr>
        <w:spacing w:line="360" w:lineRule="auto"/>
        <w:ind w:left="630" w:hanging="630" w:hangingChars="3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（1）响应文件中的大写金额与小写金额不一致的，以大写金额为准；</w:t>
      </w:r>
    </w:p>
    <w:p>
      <w:pPr>
        <w:spacing w:line="360" w:lineRule="auto"/>
        <w:ind w:left="630" w:hanging="630" w:hangingChars="3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（2）总价金额与根据单价计算出的结果不一致的，以单价金额为准修正总价，但单价金额小数点有明显错误的除外。</w:t>
      </w:r>
    </w:p>
    <w:p>
      <w:pPr>
        <w:spacing w:line="360" w:lineRule="auto"/>
        <w:ind w:left="630" w:hanging="630" w:hangingChars="300"/>
        <w:jc w:val="left"/>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26.5  最后报价</w:t>
      </w:r>
    </w:p>
    <w:p>
      <w:pPr>
        <w:spacing w:line="360" w:lineRule="auto"/>
        <w:ind w:left="630" w:leftChars="300" w:firstLine="210" w:firstLineChars="100"/>
        <w:jc w:val="left"/>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采购代理机构将已确定条件的最后报价书发放至所有磋商供应商，要求磋商供应商在指定的时间内提交满足要求的最后报价，密封递交磋商小组。所有磋商供应商递交最后报价后，磋商小组将记录所有磋商供应商的最终价格。最后报价为本次竞争性磋商不可变动的最终价格。</w:t>
      </w:r>
    </w:p>
    <w:p>
      <w:pPr>
        <w:spacing w:line="360" w:lineRule="auto"/>
        <w:ind w:left="630" w:leftChars="300" w:firstLine="420" w:firstLineChars="200"/>
        <w:jc w:val="left"/>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磋商文件能够详细列明采购标的的技术、服务要求的，磋商结束后，磋商小组应当要求所有继续参加磋商的供应商在规定时间内提交最后报价，提交最后报价的供应商不得少于3家。</w:t>
      </w:r>
    </w:p>
    <w:p>
      <w:pPr>
        <w:spacing w:line="360" w:lineRule="auto"/>
        <w:ind w:left="630" w:leftChars="300" w:firstLine="420" w:firstLineChars="200"/>
        <w:jc w:val="left"/>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 </w:t>
      </w:r>
    </w:p>
    <w:p>
      <w:pPr>
        <w:spacing w:line="360" w:lineRule="auto"/>
        <w:ind w:left="630" w:leftChars="300" w:firstLine="420" w:firstLineChars="200"/>
        <w:jc w:val="left"/>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本采购项目提交最后报价供应商的确定方式详见《供应商须知前附表》。</w:t>
      </w:r>
    </w:p>
    <w:p>
      <w:pPr>
        <w:spacing w:line="360" w:lineRule="auto"/>
        <w:ind w:left="630" w:hanging="630" w:hangingChars="300"/>
        <w:jc w:val="left"/>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26.6  </w:t>
      </w:r>
      <w:r>
        <w:rPr>
          <w:rFonts w:hint="eastAsia" w:asciiTheme="minorEastAsia" w:hAnsiTheme="minorEastAsia" w:eastAsiaTheme="minorEastAsia" w:cstheme="minorEastAsia"/>
          <w:bCs/>
          <w:color w:val="auto"/>
          <w:kern w:val="44"/>
          <w:szCs w:val="21"/>
        </w:rPr>
        <w:t>如有需要，磋商小组可进行多轮磋商，直至最终确定竞争性磋商采购文件采购需求中的技术、服务要求以及合同草案条款。如竞争性磋商采购文件无需修改，可直接要求磋商供应商</w:t>
      </w:r>
      <w:r>
        <w:rPr>
          <w:rFonts w:hint="eastAsia" w:asciiTheme="minorEastAsia" w:hAnsiTheme="minorEastAsia" w:eastAsiaTheme="minorEastAsia" w:cstheme="minorEastAsia"/>
          <w:color w:val="auto"/>
        </w:rPr>
        <w:t>提交最后报价</w:t>
      </w:r>
      <w:r>
        <w:rPr>
          <w:rFonts w:hint="eastAsia" w:asciiTheme="minorEastAsia" w:hAnsiTheme="minorEastAsia" w:eastAsiaTheme="minorEastAsia" w:cstheme="minorEastAsia"/>
          <w:bCs/>
          <w:color w:val="auto"/>
          <w:kern w:val="44"/>
          <w:szCs w:val="21"/>
        </w:rPr>
        <w:t>。</w:t>
      </w:r>
    </w:p>
    <w:p>
      <w:pPr>
        <w:spacing w:line="360" w:lineRule="auto"/>
        <w:ind w:left="630" w:hanging="630" w:hangingChars="300"/>
        <w:jc w:val="left"/>
        <w:rPr>
          <w:rFonts w:asciiTheme="minorEastAsia" w:hAnsiTheme="minorEastAsia" w:eastAsiaTheme="minorEastAsia" w:cstheme="minorEastAsia"/>
          <w:bCs/>
          <w:color w:val="auto"/>
          <w:kern w:val="44"/>
          <w:szCs w:val="21"/>
        </w:rPr>
      </w:pPr>
      <w:r>
        <w:rPr>
          <w:rFonts w:hint="eastAsia" w:asciiTheme="minorEastAsia" w:hAnsiTheme="minorEastAsia" w:eastAsiaTheme="minorEastAsia" w:cstheme="minorEastAsia"/>
          <w:color w:val="auto"/>
        </w:rPr>
        <w:t>26.7</w:t>
      </w:r>
      <w:r>
        <w:rPr>
          <w:rFonts w:hint="eastAsia" w:asciiTheme="minorEastAsia" w:hAnsiTheme="minorEastAsia" w:eastAsiaTheme="minorEastAsia" w:cstheme="minorEastAsia"/>
          <w:bCs/>
          <w:color w:val="auto"/>
          <w:kern w:val="44"/>
          <w:szCs w:val="21"/>
        </w:rPr>
        <w:t xml:space="preserve">  磋商小组审核完最终报价后，根据竞争性磋商采购文件规定的评定办法推荐成交候选人或根据采购人的书面授权直接确定成交供应商。</w:t>
      </w:r>
    </w:p>
    <w:p>
      <w:pPr>
        <w:spacing w:line="360" w:lineRule="auto"/>
        <w:rPr>
          <w:rFonts w:asciiTheme="minorEastAsia" w:hAnsiTheme="minorEastAsia" w:eastAsiaTheme="minorEastAsia" w:cstheme="minorEastAsia"/>
          <w:bCs/>
          <w:color w:val="auto"/>
          <w:kern w:val="44"/>
          <w:szCs w:val="21"/>
        </w:rPr>
      </w:pPr>
      <w:r>
        <w:rPr>
          <w:rFonts w:hint="eastAsia" w:asciiTheme="minorEastAsia" w:hAnsiTheme="minorEastAsia" w:eastAsiaTheme="minorEastAsia" w:cstheme="minorEastAsia"/>
          <w:bCs/>
          <w:color w:val="auto"/>
          <w:kern w:val="44"/>
          <w:szCs w:val="21"/>
        </w:rPr>
        <w:t>26.8  采购代理机构对磋商过程和重要磋商内容进行记录，磋商双方在记录上签字确认。</w:t>
      </w:r>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color w:val="auto"/>
          <w:lang w:val="zh-CN"/>
        </w:rPr>
      </w:pPr>
      <w:bookmarkStart w:id="86" w:name="_Toc24005"/>
      <w:r>
        <w:rPr>
          <w:rFonts w:hint="eastAsia" w:asciiTheme="minorEastAsia" w:hAnsiTheme="minorEastAsia" w:eastAsiaTheme="minorEastAsia" w:cstheme="minorEastAsia"/>
          <w:b/>
          <w:color w:val="auto"/>
          <w:lang w:val="zh-CN"/>
        </w:rPr>
        <w:t>保密</w:t>
      </w:r>
      <w:bookmarkEnd w:id="86"/>
    </w:p>
    <w:p>
      <w:pPr>
        <w:numPr>
          <w:ilvl w:val="1"/>
          <w:numId w:val="34"/>
        </w:numPr>
        <w:autoSpaceDE w:val="0"/>
        <w:autoSpaceDN w:val="0"/>
        <w:adjustRightInd w:val="0"/>
        <w:spacing w:line="360" w:lineRule="auto"/>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凡是属于审查、澄清、评价和比较的有关资料以及授标意向等，采购人、采购代理机构、监管人员、</w:t>
      </w:r>
      <w:r>
        <w:rPr>
          <w:rFonts w:hint="eastAsia" w:asciiTheme="minorEastAsia" w:hAnsiTheme="minorEastAsia" w:eastAsiaTheme="minorEastAsia" w:cstheme="minorEastAsia"/>
          <w:bCs/>
          <w:color w:val="auto"/>
          <w:kern w:val="44"/>
          <w:szCs w:val="21"/>
        </w:rPr>
        <w:t>磋商小组</w:t>
      </w:r>
      <w:r>
        <w:rPr>
          <w:rFonts w:hint="eastAsia" w:asciiTheme="minorEastAsia" w:hAnsiTheme="minorEastAsia" w:eastAsiaTheme="minorEastAsia" w:cstheme="minorEastAsia"/>
          <w:snapToGrid w:val="0"/>
          <w:color w:val="auto"/>
          <w:kern w:val="0"/>
          <w:szCs w:val="21"/>
          <w:lang w:val="zh-CN"/>
        </w:rPr>
        <w:t>及有关工作人员均不得向供应商或其它无关的人员透露。</w:t>
      </w:r>
    </w:p>
    <w:p>
      <w:pPr>
        <w:numPr>
          <w:ilvl w:val="1"/>
          <w:numId w:val="34"/>
        </w:numPr>
        <w:autoSpaceDE w:val="0"/>
        <w:autoSpaceDN w:val="0"/>
        <w:adjustRightInd w:val="0"/>
        <w:spacing w:line="360" w:lineRule="auto"/>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项目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本项目具体评审因素的量化指标详见第</w:t>
      </w:r>
      <w:r>
        <w:rPr>
          <w:rFonts w:hint="eastAsia" w:asciiTheme="minorEastAsia" w:hAnsiTheme="minorEastAsia" w:eastAsiaTheme="minorEastAsia" w:cstheme="minorEastAsia"/>
          <w:snapToGrid w:val="0"/>
          <w:color w:val="auto"/>
          <w:kern w:val="0"/>
          <w:szCs w:val="21"/>
        </w:rPr>
        <w:t>四</w:t>
      </w:r>
      <w:r>
        <w:rPr>
          <w:rFonts w:hint="eastAsia" w:asciiTheme="minorEastAsia" w:hAnsiTheme="minorEastAsia" w:eastAsiaTheme="minorEastAsia" w:cstheme="minorEastAsia"/>
          <w:snapToGrid w:val="0"/>
          <w:color w:val="auto"/>
          <w:kern w:val="0"/>
          <w:szCs w:val="21"/>
          <w:lang w:val="zh-CN"/>
        </w:rPr>
        <w:t>章“</w:t>
      </w:r>
      <w:r>
        <w:rPr>
          <w:rFonts w:hint="eastAsia" w:asciiTheme="minorEastAsia" w:hAnsiTheme="minorEastAsia" w:eastAsiaTheme="minorEastAsia" w:cstheme="minorEastAsia"/>
          <w:snapToGrid w:val="0"/>
          <w:color w:val="auto"/>
          <w:kern w:val="0"/>
          <w:szCs w:val="21"/>
        </w:rPr>
        <w:t>评定办法</w:t>
      </w:r>
      <w:r>
        <w:rPr>
          <w:rFonts w:hint="eastAsia" w:asciiTheme="minorEastAsia" w:hAnsiTheme="minorEastAsia" w:eastAsiaTheme="minorEastAsia" w:cstheme="minorEastAsia"/>
          <w:snapToGrid w:val="0"/>
          <w:color w:val="auto"/>
          <w:kern w:val="0"/>
          <w:szCs w:val="21"/>
          <w:lang w:val="zh-CN"/>
        </w:rPr>
        <w:t>”。</w:t>
      </w:r>
    </w:p>
    <w:p>
      <w:pPr>
        <w:numPr>
          <w:ilvl w:val="1"/>
          <w:numId w:val="34"/>
        </w:numPr>
        <w:autoSpaceDE w:val="0"/>
        <w:autoSpaceDN w:val="0"/>
        <w:adjustRightInd w:val="0"/>
        <w:spacing w:line="360" w:lineRule="auto"/>
        <w:jc w:val="left"/>
        <w:rPr>
          <w:color w:val="auto"/>
          <w:lang w:val="zh-CN"/>
        </w:rPr>
      </w:pPr>
      <w:r>
        <w:rPr>
          <w:rFonts w:hint="eastAsia" w:asciiTheme="minorEastAsia" w:hAnsiTheme="minorEastAsia" w:eastAsiaTheme="minorEastAsia" w:cstheme="minorEastAsia"/>
          <w:snapToGrid w:val="0"/>
          <w:color w:val="auto"/>
          <w:kern w:val="0"/>
          <w:szCs w:val="21"/>
        </w:rPr>
        <w:t xml:space="preserve"> </w:t>
      </w:r>
      <w:r>
        <w:rPr>
          <w:rFonts w:hint="eastAsia" w:asciiTheme="minorEastAsia" w:hAnsiTheme="minorEastAsia" w:eastAsiaTheme="minorEastAsia" w:cstheme="minorEastAsia"/>
          <w:snapToGrid w:val="0"/>
          <w:color w:val="auto"/>
          <w:kern w:val="0"/>
          <w:szCs w:val="21"/>
          <w:lang w:val="zh-CN"/>
        </w:rPr>
        <w:t>磋商小组根据综合评分情况，按照评审得分由高到低的顺序及《供应商须知前附表》规定的数量推荐成交候选供应商，并编写评审报告。评审报告应当有磋商小组全体成员签字认可。</w:t>
      </w:r>
    </w:p>
    <w:p>
      <w:pPr>
        <w:numPr>
          <w:ilvl w:val="1"/>
          <w:numId w:val="9"/>
        </w:numPr>
        <w:tabs>
          <w:tab w:val="left" w:pos="540"/>
          <w:tab w:val="clear" w:pos="840"/>
        </w:tabs>
        <w:spacing w:line="360" w:lineRule="auto"/>
        <w:ind w:left="540" w:hanging="540"/>
        <w:outlineLvl w:val="1"/>
        <w:rPr>
          <w:rFonts w:asciiTheme="minorEastAsia" w:hAnsiTheme="minorEastAsia" w:eastAsiaTheme="minorEastAsia" w:cstheme="minorEastAsia"/>
          <w:b/>
          <w:color w:val="auto"/>
          <w:szCs w:val="21"/>
        </w:rPr>
      </w:pPr>
      <w:bookmarkStart w:id="87" w:name="_Toc15936"/>
      <w:r>
        <w:rPr>
          <w:rFonts w:hint="eastAsia" w:asciiTheme="minorEastAsia" w:hAnsiTheme="minorEastAsia" w:eastAsiaTheme="minorEastAsia" w:cstheme="minorEastAsia"/>
          <w:b/>
          <w:color w:val="auto"/>
          <w:szCs w:val="21"/>
        </w:rPr>
        <w:t>成交与签订合同</w:t>
      </w:r>
      <w:bookmarkEnd w:id="87"/>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color w:val="auto"/>
          <w:lang w:val="zh-CN"/>
        </w:rPr>
      </w:pPr>
      <w:bookmarkStart w:id="88" w:name="_Toc21514"/>
      <w:r>
        <w:rPr>
          <w:rFonts w:hint="eastAsia" w:asciiTheme="minorEastAsia" w:hAnsiTheme="minorEastAsia" w:eastAsiaTheme="minorEastAsia" w:cstheme="minorEastAsia"/>
          <w:b/>
          <w:color w:val="auto"/>
          <w:lang w:val="zh-CN"/>
        </w:rPr>
        <w:t>合同授予标准</w:t>
      </w:r>
      <w:bookmarkEnd w:id="88"/>
    </w:p>
    <w:p>
      <w:pPr>
        <w:autoSpaceDE w:val="0"/>
        <w:autoSpaceDN w:val="0"/>
        <w:adjustRightInd w:val="0"/>
        <w:spacing w:line="360" w:lineRule="auto"/>
        <w:ind w:left="630" w:hanging="630" w:hangingChars="300"/>
        <w:jc w:val="left"/>
        <w:rPr>
          <w:rFonts w:asciiTheme="minorEastAsia" w:hAnsiTheme="minorEastAsia" w:eastAsiaTheme="minorEastAsia" w:cstheme="minorEastAsia"/>
          <w:iCs/>
          <w:snapToGrid w:val="0"/>
          <w:color w:val="auto"/>
          <w:kern w:val="0"/>
          <w:szCs w:val="21"/>
          <w:lang w:val="zh-CN"/>
        </w:rPr>
      </w:pPr>
      <w:r>
        <w:rPr>
          <w:rFonts w:hint="eastAsia" w:asciiTheme="minorEastAsia" w:hAnsiTheme="minorEastAsia" w:eastAsiaTheme="minorEastAsia" w:cstheme="minorEastAsia"/>
          <w:iCs/>
          <w:snapToGrid w:val="0"/>
          <w:color w:val="auto"/>
          <w:kern w:val="0"/>
          <w:szCs w:val="21"/>
          <w:lang w:val="zh-CN"/>
        </w:rPr>
        <w:t>28.1</w:t>
      </w:r>
      <w:r>
        <w:rPr>
          <w:rFonts w:hint="eastAsia" w:asciiTheme="minorEastAsia" w:hAnsiTheme="minorEastAsia" w:eastAsiaTheme="minorEastAsia" w:cstheme="minorEastAsia"/>
          <w:iCs/>
          <w:snapToGrid w:val="0"/>
          <w:color w:val="auto"/>
          <w:kern w:val="0"/>
          <w:szCs w:val="21"/>
        </w:rPr>
        <w:t xml:space="preserve">  </w:t>
      </w:r>
      <w:r>
        <w:rPr>
          <w:rFonts w:hint="eastAsia" w:asciiTheme="minorEastAsia" w:hAnsiTheme="minorEastAsia" w:eastAsiaTheme="minorEastAsia" w:cstheme="minorEastAsia"/>
          <w:iCs/>
          <w:snapToGrid w:val="0"/>
          <w:color w:val="auto"/>
          <w:kern w:val="0"/>
          <w:szCs w:val="21"/>
          <w:lang w:val="zh-CN"/>
        </w:rPr>
        <w:t>采购人将把合同授予排名第一的供应商，特殊情况按本须知29.3的规定执行。</w:t>
      </w:r>
    </w:p>
    <w:p>
      <w:pPr>
        <w:spacing w:line="360" w:lineRule="auto"/>
        <w:ind w:left="630" w:hanging="630" w:hangingChars="300"/>
        <w:jc w:val="left"/>
        <w:rPr>
          <w:rFonts w:ascii="宋体" w:hAnsi="宋体" w:cs="宋体"/>
          <w:color w:val="auto"/>
          <w:szCs w:val="21"/>
        </w:rPr>
      </w:pPr>
      <w:r>
        <w:rPr>
          <w:rFonts w:hint="eastAsia" w:asciiTheme="minorEastAsia" w:hAnsiTheme="minorEastAsia" w:eastAsiaTheme="minorEastAsia" w:cstheme="minorEastAsia"/>
          <w:iCs/>
          <w:snapToGrid w:val="0"/>
          <w:color w:val="auto"/>
          <w:kern w:val="0"/>
          <w:szCs w:val="21"/>
          <w:lang w:val="zh-CN"/>
        </w:rPr>
        <w:t>28.</w:t>
      </w:r>
      <w:r>
        <w:rPr>
          <w:rFonts w:hint="eastAsia" w:asciiTheme="minorEastAsia" w:hAnsiTheme="minorEastAsia" w:eastAsiaTheme="minorEastAsia" w:cstheme="minorEastAsia"/>
          <w:iCs/>
          <w:snapToGrid w:val="0"/>
          <w:color w:val="auto"/>
          <w:kern w:val="0"/>
          <w:szCs w:val="21"/>
        </w:rPr>
        <w:t xml:space="preserve">2  </w:t>
      </w:r>
      <w:r>
        <w:rPr>
          <w:rFonts w:hint="eastAsia" w:asciiTheme="minorEastAsia" w:hAnsiTheme="minorEastAsia" w:eastAsiaTheme="minorEastAsia" w:cstheme="minorEastAsia"/>
          <w:iCs/>
          <w:snapToGrid w:val="0"/>
          <w:color w:val="auto"/>
          <w:kern w:val="0"/>
          <w:szCs w:val="21"/>
          <w:lang w:val="zh-CN"/>
        </w:rPr>
        <w:t>采购代理机构应当在评审结束后2个工作日内将评审报告送采购人确认。</w:t>
      </w:r>
      <w:r>
        <w:rPr>
          <w:rFonts w:ascii="宋体" w:hAnsi="宋体" w:cs="宋体"/>
          <w:color w:val="auto"/>
          <w:szCs w:val="21"/>
        </w:rPr>
        <w:t xml:space="preserve"> </w:t>
      </w:r>
    </w:p>
    <w:p>
      <w:pPr>
        <w:autoSpaceDE w:val="0"/>
        <w:autoSpaceDN w:val="0"/>
        <w:adjustRightInd w:val="0"/>
        <w:spacing w:line="360" w:lineRule="auto"/>
        <w:ind w:left="630" w:hanging="630" w:hangingChars="300"/>
        <w:jc w:val="left"/>
        <w:rPr>
          <w:rFonts w:asciiTheme="minorEastAsia" w:hAnsiTheme="minorEastAsia" w:eastAsiaTheme="minorEastAsia" w:cstheme="minorEastAsia"/>
          <w:iCs/>
          <w:snapToGrid w:val="0"/>
          <w:color w:val="auto"/>
          <w:kern w:val="0"/>
          <w:szCs w:val="21"/>
          <w:lang w:val="zh-CN"/>
        </w:rPr>
      </w:pPr>
      <w:r>
        <w:rPr>
          <w:rFonts w:hint="eastAsia" w:asciiTheme="minorEastAsia" w:hAnsiTheme="minorEastAsia" w:eastAsiaTheme="minorEastAsia" w:cstheme="minorEastAsia"/>
          <w:iCs/>
          <w:snapToGrid w:val="0"/>
          <w:color w:val="auto"/>
          <w:kern w:val="0"/>
          <w:szCs w:val="21"/>
          <w:lang w:val="zh-CN"/>
        </w:rPr>
        <w:t>28.</w:t>
      </w:r>
      <w:r>
        <w:rPr>
          <w:rFonts w:hint="eastAsia" w:asciiTheme="minorEastAsia" w:hAnsiTheme="minorEastAsia" w:eastAsiaTheme="minorEastAsia" w:cstheme="minorEastAsia"/>
          <w:iCs/>
          <w:snapToGrid w:val="0"/>
          <w:color w:val="auto"/>
          <w:kern w:val="0"/>
          <w:szCs w:val="21"/>
        </w:rPr>
        <w:t xml:space="preserve">3  </w:t>
      </w:r>
      <w:r>
        <w:rPr>
          <w:rFonts w:hint="eastAsia" w:asciiTheme="minorEastAsia" w:hAnsiTheme="minorEastAsia" w:eastAsiaTheme="minorEastAsia" w:cstheme="minorEastAsia"/>
          <w:snapToGrid w:val="0"/>
          <w:color w:val="auto"/>
          <w:kern w:val="0"/>
          <w:szCs w:val="21"/>
          <w:lang w:val="zh-CN"/>
        </w:rPr>
        <w:t xml:space="preserve">采购人应当在收到评审报告后5个工作日内，从评审报告提出的成交候选供应商中，按照推荐排序确定成交供应商，也可以书面授权磋商小组直接确定成交供应商。采购人逾期未确定成交供应商且不提出异议的，视为确定评审报告提出的排序第一的供应商为成交供应商。 </w:t>
      </w:r>
    </w:p>
    <w:p>
      <w:pPr>
        <w:autoSpaceDE w:val="0"/>
        <w:autoSpaceDN w:val="0"/>
        <w:adjustRightInd w:val="0"/>
        <w:spacing w:line="360" w:lineRule="auto"/>
        <w:ind w:left="630" w:hanging="630" w:hangingChars="300"/>
        <w:jc w:val="left"/>
        <w:rPr>
          <w:rFonts w:asciiTheme="minorEastAsia" w:hAnsiTheme="minorEastAsia" w:eastAsiaTheme="minorEastAsia" w:cstheme="minorEastAsia"/>
          <w:iCs/>
          <w:snapToGrid w:val="0"/>
          <w:color w:val="auto"/>
          <w:kern w:val="0"/>
          <w:szCs w:val="21"/>
          <w:lang w:val="zh-CN"/>
        </w:rPr>
      </w:pPr>
      <w:r>
        <w:rPr>
          <w:rFonts w:hint="eastAsia" w:asciiTheme="minorEastAsia" w:hAnsiTheme="minorEastAsia" w:eastAsiaTheme="minorEastAsia" w:cstheme="minorEastAsia"/>
          <w:iCs/>
          <w:snapToGrid w:val="0"/>
          <w:color w:val="auto"/>
          <w:kern w:val="0"/>
          <w:szCs w:val="21"/>
          <w:lang w:val="zh-CN"/>
        </w:rPr>
        <w:t>28.</w:t>
      </w:r>
      <w:r>
        <w:rPr>
          <w:rFonts w:hint="eastAsia" w:asciiTheme="minorEastAsia" w:hAnsiTheme="minorEastAsia" w:eastAsiaTheme="minorEastAsia" w:cstheme="minorEastAsia"/>
          <w:iCs/>
          <w:snapToGrid w:val="0"/>
          <w:color w:val="auto"/>
          <w:kern w:val="0"/>
          <w:szCs w:val="21"/>
        </w:rPr>
        <w:t xml:space="preserve">4  </w:t>
      </w:r>
      <w:r>
        <w:rPr>
          <w:rFonts w:hint="eastAsia" w:asciiTheme="minorEastAsia" w:hAnsiTheme="minorEastAsia" w:eastAsiaTheme="minorEastAsia" w:cstheme="minorEastAsia"/>
          <w:iCs/>
          <w:snapToGrid w:val="0"/>
          <w:color w:val="auto"/>
          <w:kern w:val="0"/>
          <w:szCs w:val="21"/>
          <w:lang w:val="zh-CN"/>
        </w:rPr>
        <w:t xml:space="preserve">采购人或者采购代理机构应当在成交供应商确定后2个工作日内，在省级以上财政部门指定的政府采购信息发布媒体上公告成交结果，同时向成交供应商发出成交通知书，并将磋商文件随成交结果同时公告。 </w:t>
      </w:r>
    </w:p>
    <w:p>
      <w:pPr>
        <w:autoSpaceDE w:val="0"/>
        <w:autoSpaceDN w:val="0"/>
        <w:adjustRightInd w:val="0"/>
        <w:spacing w:line="360" w:lineRule="auto"/>
        <w:ind w:left="630" w:hanging="630" w:hangingChars="300"/>
        <w:jc w:val="left"/>
        <w:rPr>
          <w:rFonts w:asciiTheme="minorEastAsia" w:hAnsiTheme="minorEastAsia" w:eastAsiaTheme="minorEastAsia" w:cstheme="minorEastAsia"/>
          <w:iCs/>
          <w:snapToGrid w:val="0"/>
          <w:color w:val="auto"/>
          <w:kern w:val="0"/>
          <w:szCs w:val="21"/>
          <w:lang w:val="zh-CN"/>
        </w:rPr>
      </w:pPr>
      <w:r>
        <w:rPr>
          <w:rFonts w:hint="eastAsia" w:asciiTheme="minorEastAsia" w:hAnsiTheme="minorEastAsia" w:eastAsiaTheme="minorEastAsia" w:cstheme="minorEastAsia"/>
          <w:iCs/>
          <w:snapToGrid w:val="0"/>
          <w:color w:val="auto"/>
          <w:kern w:val="0"/>
          <w:szCs w:val="21"/>
          <w:lang w:val="zh-CN"/>
        </w:rPr>
        <w:t>28.</w:t>
      </w:r>
      <w:r>
        <w:rPr>
          <w:rFonts w:hint="eastAsia" w:asciiTheme="minorEastAsia" w:hAnsiTheme="minorEastAsia" w:eastAsiaTheme="minorEastAsia" w:cstheme="minorEastAsia"/>
          <w:iCs/>
          <w:snapToGrid w:val="0"/>
          <w:color w:val="auto"/>
          <w:kern w:val="0"/>
          <w:szCs w:val="21"/>
        </w:rPr>
        <w:t xml:space="preserve">5  </w:t>
      </w:r>
      <w:r>
        <w:rPr>
          <w:rFonts w:hint="eastAsia" w:asciiTheme="minorEastAsia" w:hAnsiTheme="minorEastAsia" w:eastAsiaTheme="minorEastAsia" w:cstheme="minorEastAsia"/>
          <w:iCs/>
          <w:snapToGrid w:val="0"/>
          <w:color w:val="auto"/>
          <w:kern w:val="0"/>
          <w:szCs w:val="21"/>
          <w:lang w:val="zh-CN"/>
        </w:rPr>
        <w:t>成交通知书的领取时间详见《供应商须知前附表》。</w:t>
      </w:r>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color w:val="auto"/>
          <w:lang w:val="zh-CN"/>
        </w:rPr>
      </w:pPr>
      <w:bookmarkStart w:id="89" w:name="_Toc15727"/>
      <w:r>
        <w:rPr>
          <w:rFonts w:hint="eastAsia" w:asciiTheme="minorEastAsia" w:hAnsiTheme="minorEastAsia" w:eastAsiaTheme="minorEastAsia" w:cstheme="minorEastAsia"/>
          <w:b/>
          <w:color w:val="auto"/>
          <w:lang w:val="zh-CN"/>
        </w:rPr>
        <w:t>签订合同</w:t>
      </w:r>
      <w:bookmarkEnd w:id="89"/>
    </w:p>
    <w:p>
      <w:pPr>
        <w:tabs>
          <w:tab w:val="left" w:pos="426"/>
        </w:tabs>
        <w:autoSpaceDE w:val="0"/>
        <w:autoSpaceDN w:val="0"/>
        <w:adjustRightInd w:val="0"/>
        <w:spacing w:line="360" w:lineRule="auto"/>
        <w:ind w:left="630" w:hanging="630" w:hangingChars="30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 xml:space="preserve">29.1 </w:t>
      </w:r>
      <w:r>
        <w:rPr>
          <w:rFonts w:hint="eastAsia" w:asciiTheme="minorEastAsia" w:hAnsiTheme="minorEastAsia" w:eastAsiaTheme="minorEastAsia" w:cstheme="minorEastAsia"/>
          <w:snapToGrid w:val="0"/>
          <w:color w:val="auto"/>
          <w:kern w:val="0"/>
          <w:szCs w:val="21"/>
        </w:rPr>
        <w:t xml:space="preserve"> </w:t>
      </w:r>
      <w:r>
        <w:rPr>
          <w:rFonts w:hint="eastAsia" w:asciiTheme="minorEastAsia" w:hAnsiTheme="minorEastAsia" w:eastAsiaTheme="minorEastAsia" w:cstheme="minorEastAsia"/>
          <w:snapToGrid w:val="0"/>
          <w:color w:val="auto"/>
          <w:kern w:val="0"/>
          <w:szCs w:val="21"/>
          <w:lang w:val="zh-CN"/>
        </w:rPr>
        <w:t>竞争性磋商采购文件对履约保证金有规定的，成交供应商应按规定在签订合同前缴纳履约保证金。</w:t>
      </w:r>
    </w:p>
    <w:p>
      <w:pPr>
        <w:tabs>
          <w:tab w:val="left" w:pos="426"/>
        </w:tabs>
        <w:autoSpaceDE w:val="0"/>
        <w:autoSpaceDN w:val="0"/>
        <w:adjustRightInd w:val="0"/>
        <w:spacing w:line="360" w:lineRule="auto"/>
        <w:ind w:left="630" w:hanging="630" w:hangingChars="300"/>
        <w:jc w:val="left"/>
        <w:rPr>
          <w:rFonts w:asciiTheme="minorEastAsia" w:hAnsiTheme="minorEastAsia" w:eastAsiaTheme="minorEastAsia" w:cstheme="minorEastAsia"/>
          <w:color w:val="auto"/>
        </w:rPr>
      </w:pPr>
      <w:r>
        <w:rPr>
          <w:rFonts w:hint="eastAsia" w:asciiTheme="minorEastAsia" w:hAnsiTheme="minorEastAsia" w:eastAsiaTheme="minorEastAsia" w:cstheme="minorEastAsia"/>
          <w:snapToGrid w:val="0"/>
          <w:color w:val="auto"/>
          <w:szCs w:val="21"/>
          <w:lang w:val="zh-CN"/>
        </w:rPr>
        <w:t xml:space="preserve">29.2 </w:t>
      </w:r>
      <w:r>
        <w:rPr>
          <w:rFonts w:hint="eastAsia" w:asciiTheme="minorEastAsia" w:hAnsiTheme="minorEastAsia" w:eastAsiaTheme="minorEastAsia" w:cstheme="minorEastAsia"/>
          <w:snapToGrid w:val="0"/>
          <w:color w:val="auto"/>
          <w:szCs w:val="21"/>
        </w:rPr>
        <w:t xml:space="preserve"> </w:t>
      </w:r>
      <w:r>
        <w:rPr>
          <w:rFonts w:hint="eastAsia" w:asciiTheme="minorEastAsia" w:hAnsiTheme="minorEastAsia" w:eastAsiaTheme="minorEastAsia" w:cstheme="minorEastAsia"/>
          <w:snapToGrid w:val="0"/>
          <w:color w:val="auto"/>
          <w:szCs w:val="21"/>
          <w:lang w:val="zh-CN"/>
        </w:rPr>
        <w:t>采购人与成交供应商应当在成交通知书发出之日起30日内，按照采购文件确定的合同文本以及采购标的、规格型号、采购金额、采购数量、技术和服务要求等事项签订政府采购合同。</w:t>
      </w:r>
    </w:p>
    <w:p>
      <w:pPr>
        <w:autoSpaceDE w:val="0"/>
        <w:autoSpaceDN w:val="0"/>
        <w:adjustRightInd w:val="0"/>
        <w:spacing w:line="360" w:lineRule="auto"/>
        <w:ind w:left="630" w:leftChars="300"/>
        <w:jc w:val="left"/>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autoSpaceDE w:val="0"/>
        <w:autoSpaceDN w:val="0"/>
        <w:adjustRightInd w:val="0"/>
        <w:spacing w:line="360" w:lineRule="auto"/>
        <w:ind w:left="630" w:leftChars="300"/>
        <w:jc w:val="left"/>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采购人应当自政府采购合同签订之日起2个工作日内，将政府采购合同在省级以上人民政府指定的媒体上公告，但政府采购合同中涉及国家秘密、商业秘密的内容除外。</w:t>
      </w:r>
    </w:p>
    <w:p>
      <w:pPr>
        <w:autoSpaceDE w:val="0"/>
        <w:autoSpaceDN w:val="0"/>
        <w:adjustRightInd w:val="0"/>
        <w:spacing w:line="360" w:lineRule="auto"/>
        <w:ind w:left="630" w:hanging="630" w:hangingChars="300"/>
        <w:jc w:val="left"/>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29.3  </w:t>
      </w:r>
      <w:r>
        <w:rPr>
          <w:rFonts w:hint="eastAsia" w:asciiTheme="minorEastAsia" w:hAnsiTheme="minorEastAsia" w:eastAsiaTheme="minorEastAsia" w:cstheme="minorEastAsia"/>
          <w:color w:val="auto"/>
          <w:lang w:val="zh-CN"/>
        </w:rPr>
        <w:t>成交供应商拒绝与采购人签订合同的，采购人可以按照评审报告推荐的中标候选人名单排序，确定下一候选人为成交供应商，也可以重新开展政府采购活动。</w:t>
      </w:r>
    </w:p>
    <w:p>
      <w:pPr>
        <w:autoSpaceDE w:val="0"/>
        <w:autoSpaceDN w:val="0"/>
        <w:adjustRightInd w:val="0"/>
        <w:spacing w:line="360" w:lineRule="auto"/>
        <w:ind w:left="630" w:hanging="630" w:hangingChars="300"/>
        <w:jc w:val="left"/>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29.4  </w:t>
      </w:r>
      <w:r>
        <w:rPr>
          <w:rFonts w:hint="eastAsia" w:asciiTheme="minorEastAsia" w:hAnsiTheme="minorEastAsia" w:eastAsiaTheme="minorEastAsia" w:cstheme="minorEastAsia"/>
          <w:snapToGrid w:val="0"/>
          <w:color w:val="auto"/>
          <w:kern w:val="0"/>
          <w:szCs w:val="21"/>
          <w:lang w:val="zh-CN"/>
        </w:rPr>
        <w:t>签订政府采购合同后7个工作日内，采购人应将政府采购合同副本报同级政府采购监管部门备案。</w:t>
      </w:r>
    </w:p>
    <w:p>
      <w:pPr>
        <w:tabs>
          <w:tab w:val="left" w:pos="540"/>
        </w:tabs>
        <w:autoSpaceDE w:val="0"/>
        <w:autoSpaceDN w:val="0"/>
        <w:adjustRightInd w:val="0"/>
        <w:spacing w:line="360" w:lineRule="auto"/>
        <w:ind w:left="630" w:hanging="630" w:hangingChars="30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 xml:space="preserve">29.5 </w:t>
      </w:r>
      <w:r>
        <w:rPr>
          <w:rFonts w:hint="eastAsia" w:asciiTheme="minorEastAsia" w:hAnsiTheme="minorEastAsia" w:eastAsiaTheme="minorEastAsia" w:cstheme="minorEastAsia"/>
          <w:snapToGrid w:val="0"/>
          <w:color w:val="auto"/>
          <w:kern w:val="0"/>
          <w:szCs w:val="21"/>
        </w:rPr>
        <w:t xml:space="preserve"> </w:t>
      </w:r>
      <w:r>
        <w:rPr>
          <w:rFonts w:hint="eastAsia" w:asciiTheme="minorEastAsia" w:hAnsiTheme="minorEastAsia" w:eastAsiaTheme="minorEastAsia" w:cstheme="minorEastAsia"/>
          <w:snapToGrid w:val="0"/>
          <w:color w:val="auto"/>
          <w:kern w:val="0"/>
          <w:szCs w:val="21"/>
          <w:lang w:val="zh-CN"/>
        </w:rPr>
        <w:t>采购代理机构将配合采购人与成交供应商签订政府采购合同。采购人与成交供应商应按竞争性磋商采购文件要求和成交供应商的竞争性磋商响应文件承诺订立书面合同，不得超出竞争性磋商采购文件和成交供应商竞争性磋商响应文件的范围，也不得再行订立背离合同实质性内容的其他协议。</w:t>
      </w:r>
    </w:p>
    <w:p>
      <w:pPr>
        <w:tabs>
          <w:tab w:val="left" w:pos="540"/>
        </w:tabs>
        <w:autoSpaceDE w:val="0"/>
        <w:autoSpaceDN w:val="0"/>
        <w:adjustRightInd w:val="0"/>
        <w:spacing w:line="360" w:lineRule="auto"/>
        <w:ind w:left="630" w:hanging="630" w:hangingChars="30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szCs w:val="21"/>
          <w:lang w:val="zh-CN"/>
        </w:rPr>
        <w:t xml:space="preserve">29.6 </w:t>
      </w:r>
      <w:r>
        <w:rPr>
          <w:rFonts w:hint="eastAsia" w:asciiTheme="minorEastAsia" w:hAnsiTheme="minorEastAsia" w:eastAsiaTheme="minorEastAsia" w:cstheme="minorEastAsia"/>
          <w:snapToGrid w:val="0"/>
          <w:color w:val="auto"/>
          <w:szCs w:val="21"/>
        </w:rPr>
        <w:t xml:space="preserve"> </w:t>
      </w:r>
      <w:r>
        <w:rPr>
          <w:rFonts w:hint="eastAsia" w:asciiTheme="minorEastAsia" w:hAnsiTheme="minorEastAsia" w:eastAsiaTheme="minorEastAsia" w:cstheme="minorEastAsia"/>
          <w:snapToGrid w:val="0"/>
          <w:color w:val="auto"/>
          <w:szCs w:val="21"/>
          <w:lang w:val="zh-CN"/>
        </w:rPr>
        <w:t>除不可抗力等因素外，成交通知书发出后，采购人改变成交结果，或者成交供应商拒绝签订政府采购合同的，应当承担相应的法律责任。</w:t>
      </w:r>
    </w:p>
    <w:p>
      <w:pPr>
        <w:autoSpaceDE w:val="0"/>
        <w:autoSpaceDN w:val="0"/>
        <w:adjustRightInd w:val="0"/>
        <w:spacing w:line="360" w:lineRule="auto"/>
        <w:ind w:left="630" w:leftChars="300"/>
        <w:jc w:val="left"/>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成交供应商拒绝签订政府采购合同的，采购人可以按照《政府采购竞争性磋商采购方式管理暂行办法》第三十三条规定的原则确定其他供应商作为成交供应商并签订政府采购合同，也可以重新开展采购活动。拒绝签订政府采购合同的成交供应商不得参加对该项目重新开展的采购活动。</w:t>
      </w:r>
    </w:p>
    <w:p>
      <w:pPr>
        <w:numPr>
          <w:ilvl w:val="1"/>
          <w:numId w:val="9"/>
        </w:numPr>
        <w:tabs>
          <w:tab w:val="left" w:pos="540"/>
          <w:tab w:val="clear" w:pos="840"/>
        </w:tabs>
        <w:spacing w:line="360" w:lineRule="auto"/>
        <w:ind w:left="632" w:hanging="632" w:hangingChars="300"/>
        <w:jc w:val="left"/>
        <w:rPr>
          <w:rFonts w:asciiTheme="minorEastAsia" w:hAnsiTheme="minorEastAsia" w:eastAsiaTheme="minorEastAsia" w:cstheme="minorEastAsia"/>
          <w:b/>
          <w:color w:val="auto"/>
          <w:szCs w:val="21"/>
          <w:lang w:val="zh-CN"/>
        </w:rPr>
      </w:pPr>
      <w:bookmarkStart w:id="90" w:name="_Toc4883"/>
      <w:bookmarkStart w:id="91" w:name="_Toc14510"/>
      <w:bookmarkStart w:id="92" w:name="_Toc13988"/>
      <w:r>
        <w:rPr>
          <w:rFonts w:hint="eastAsia" w:asciiTheme="minorEastAsia" w:hAnsiTheme="minorEastAsia" w:eastAsiaTheme="minorEastAsia" w:cstheme="minorEastAsia"/>
          <w:b/>
          <w:color w:val="auto"/>
          <w:szCs w:val="21"/>
          <w:lang w:val="zh-CN"/>
        </w:rPr>
        <w:t>质疑和投诉</w:t>
      </w:r>
      <w:bookmarkEnd w:id="90"/>
      <w:bookmarkEnd w:id="91"/>
      <w:bookmarkEnd w:id="92"/>
    </w:p>
    <w:p>
      <w:pPr>
        <w:numPr>
          <w:ilvl w:val="0"/>
          <w:numId w:val="10"/>
        </w:numPr>
        <w:tabs>
          <w:tab w:val="left" w:pos="864"/>
          <w:tab w:val="left" w:pos="1080"/>
        </w:tabs>
        <w:spacing w:line="360" w:lineRule="auto"/>
        <w:ind w:left="632" w:hanging="632" w:hangingChars="300"/>
        <w:jc w:val="left"/>
        <w:rPr>
          <w:rFonts w:asciiTheme="minorEastAsia" w:hAnsiTheme="minorEastAsia" w:eastAsiaTheme="minorEastAsia" w:cstheme="minorEastAsia"/>
          <w:b/>
          <w:color w:val="auto"/>
          <w:lang w:val="zh-CN"/>
        </w:rPr>
      </w:pPr>
      <w:r>
        <w:rPr>
          <w:rFonts w:hint="eastAsia" w:asciiTheme="minorEastAsia" w:hAnsiTheme="minorEastAsia" w:eastAsiaTheme="minorEastAsia" w:cstheme="minorEastAsia"/>
          <w:b/>
          <w:color w:val="auto"/>
          <w:lang w:val="zh-CN"/>
        </w:rPr>
        <w:t>质疑</w:t>
      </w:r>
    </w:p>
    <w:p>
      <w:pPr>
        <w:autoSpaceDE w:val="0"/>
        <w:autoSpaceDN w:val="0"/>
        <w:adjustRightInd w:val="0"/>
        <w:spacing w:line="360" w:lineRule="auto"/>
        <w:ind w:left="630" w:hanging="630" w:hangingChars="300"/>
        <w:jc w:val="left"/>
        <w:rPr>
          <w:rFonts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rPr>
        <w:t>0</w:t>
      </w:r>
      <w:r>
        <w:rPr>
          <w:rFonts w:hint="eastAsia" w:ascii="宋体" w:hAnsi="宋体" w:cs="宋体"/>
          <w:snapToGrid w:val="0"/>
          <w:color w:val="auto"/>
          <w:kern w:val="0"/>
          <w:szCs w:val="21"/>
          <w:lang w:val="zh-CN"/>
        </w:rPr>
        <w:t>.1</w:t>
      </w:r>
      <w:r>
        <w:rPr>
          <w:rFonts w:hint="eastAsia" w:ascii="宋体" w:hAnsi="宋体" w:cs="宋体"/>
          <w:snapToGrid w:val="0"/>
          <w:color w:val="auto"/>
          <w:kern w:val="0"/>
          <w:szCs w:val="21"/>
        </w:rPr>
        <w:t xml:space="preserve">  </w:t>
      </w:r>
      <w:r>
        <w:rPr>
          <w:rFonts w:hint="eastAsia" w:ascii="宋体" w:hAnsi="宋体" w:cs="宋体"/>
          <w:snapToGrid w:val="0"/>
          <w:color w:val="auto"/>
          <w:kern w:val="0"/>
          <w:szCs w:val="21"/>
          <w:lang w:val="zh-CN"/>
        </w:rPr>
        <w:t>供应商认为磋商文件、磋商过程和成交结果使自己的权益受到损害的，可以在知道或者应知其权益受到损害之日起7个工作日内，以书面形式向采购人或采购代理机构提出质疑。我公司受理项目质疑部门为技术部,联系人：张梦；联系电话：027-87820788。</w:t>
      </w:r>
    </w:p>
    <w:p>
      <w:pPr>
        <w:autoSpaceDE w:val="0"/>
        <w:autoSpaceDN w:val="0"/>
        <w:adjustRightInd w:val="0"/>
        <w:spacing w:line="360" w:lineRule="auto"/>
        <w:ind w:left="630" w:hanging="630" w:hangingChars="300"/>
        <w:jc w:val="left"/>
        <w:rPr>
          <w:rFonts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rPr>
        <w:t>0</w:t>
      </w:r>
      <w:r>
        <w:rPr>
          <w:rFonts w:hint="eastAsia" w:ascii="宋体" w:hAnsi="宋体" w:cs="宋体"/>
          <w:snapToGrid w:val="0"/>
          <w:color w:val="auto"/>
          <w:kern w:val="0"/>
          <w:szCs w:val="21"/>
          <w:lang w:val="zh-CN"/>
        </w:rPr>
        <w:t>.2</w:t>
      </w:r>
      <w:r>
        <w:rPr>
          <w:rFonts w:hint="eastAsia" w:ascii="宋体" w:hAnsi="宋体" w:cs="宋体"/>
          <w:snapToGrid w:val="0"/>
          <w:color w:val="auto"/>
          <w:kern w:val="0"/>
          <w:szCs w:val="21"/>
        </w:rPr>
        <w:t xml:space="preserve">  </w:t>
      </w:r>
      <w:r>
        <w:rPr>
          <w:rFonts w:hint="eastAsia" w:ascii="宋体" w:hAnsi="宋体" w:cs="宋体"/>
          <w:snapToGrid w:val="0"/>
          <w:color w:val="auto"/>
          <w:kern w:val="0"/>
          <w:szCs w:val="21"/>
          <w:lang w:val="zh-CN"/>
        </w:rPr>
        <w:t>质疑书应当包括下列主要内容：</w:t>
      </w:r>
    </w:p>
    <w:p>
      <w:pPr>
        <w:autoSpaceDE w:val="0"/>
        <w:autoSpaceDN w:val="0"/>
        <w:adjustRightInd w:val="0"/>
        <w:spacing w:line="360" w:lineRule="auto"/>
        <w:ind w:left="630" w:hanging="630" w:hangingChars="300"/>
        <w:jc w:val="left"/>
        <w:rPr>
          <w:rFonts w:ascii="宋体" w:hAnsi="宋体" w:cs="宋体"/>
          <w:snapToGrid w:val="0"/>
          <w:color w:val="auto"/>
          <w:kern w:val="0"/>
          <w:szCs w:val="21"/>
          <w:lang w:val="zh-CN"/>
        </w:rPr>
      </w:pPr>
      <w:r>
        <w:rPr>
          <w:rFonts w:hint="eastAsia" w:ascii="宋体" w:hAnsi="宋体" w:cs="宋体"/>
          <w:snapToGrid w:val="0"/>
          <w:color w:val="auto"/>
          <w:kern w:val="0"/>
          <w:szCs w:val="21"/>
          <w:lang w:val="zh-CN"/>
        </w:rPr>
        <w:t>（1）</w:t>
      </w:r>
      <w:r>
        <w:rPr>
          <w:rFonts w:hint="eastAsia" w:ascii="宋体" w:hAnsi="宋体" w:cs="宋体"/>
          <w:snapToGrid w:val="0"/>
          <w:color w:val="auto"/>
          <w:kern w:val="0"/>
          <w:szCs w:val="21"/>
        </w:rPr>
        <w:t xml:space="preserve"> </w:t>
      </w:r>
      <w:r>
        <w:rPr>
          <w:rFonts w:hint="eastAsia" w:ascii="宋体" w:hAnsi="宋体" w:cs="宋体"/>
          <w:snapToGrid w:val="0"/>
          <w:color w:val="auto"/>
          <w:kern w:val="0"/>
          <w:szCs w:val="21"/>
          <w:lang w:val="zh-CN"/>
        </w:rPr>
        <w:t>质疑人的名称、地址、联系人及联系电话等；</w:t>
      </w:r>
    </w:p>
    <w:p>
      <w:pPr>
        <w:autoSpaceDE w:val="0"/>
        <w:autoSpaceDN w:val="0"/>
        <w:adjustRightInd w:val="0"/>
        <w:spacing w:line="360" w:lineRule="auto"/>
        <w:ind w:left="630" w:hanging="630" w:hangingChars="300"/>
        <w:jc w:val="left"/>
        <w:rPr>
          <w:rFonts w:ascii="宋体" w:hAnsi="宋体" w:cs="宋体"/>
          <w:snapToGrid w:val="0"/>
          <w:color w:val="auto"/>
          <w:kern w:val="0"/>
          <w:szCs w:val="21"/>
          <w:lang w:val="zh-CN"/>
        </w:rPr>
      </w:pPr>
      <w:r>
        <w:rPr>
          <w:rFonts w:hint="eastAsia" w:ascii="宋体" w:hAnsi="宋体" w:cs="宋体"/>
          <w:snapToGrid w:val="0"/>
          <w:color w:val="auto"/>
          <w:kern w:val="0"/>
          <w:szCs w:val="21"/>
          <w:lang w:val="zh-CN"/>
        </w:rPr>
        <w:t>（2）</w:t>
      </w:r>
      <w:r>
        <w:rPr>
          <w:rFonts w:hint="eastAsia" w:ascii="宋体" w:hAnsi="宋体" w:cs="宋体"/>
          <w:snapToGrid w:val="0"/>
          <w:color w:val="auto"/>
          <w:kern w:val="0"/>
          <w:szCs w:val="21"/>
        </w:rPr>
        <w:t xml:space="preserve"> </w:t>
      </w:r>
      <w:r>
        <w:rPr>
          <w:rFonts w:hint="eastAsia" w:ascii="宋体" w:hAnsi="宋体" w:cs="宋体"/>
          <w:snapToGrid w:val="0"/>
          <w:color w:val="auto"/>
          <w:kern w:val="0"/>
          <w:szCs w:val="21"/>
          <w:lang w:val="zh-CN"/>
        </w:rPr>
        <w:t>被质疑人的名称、地址、联系人及联系电话等；</w:t>
      </w:r>
    </w:p>
    <w:p>
      <w:pPr>
        <w:autoSpaceDE w:val="0"/>
        <w:autoSpaceDN w:val="0"/>
        <w:adjustRightInd w:val="0"/>
        <w:spacing w:line="360" w:lineRule="auto"/>
        <w:ind w:left="630" w:hanging="630" w:hangingChars="300"/>
        <w:jc w:val="left"/>
        <w:rPr>
          <w:rFonts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rPr>
        <w:t xml:space="preserve"> </w:t>
      </w:r>
      <w:r>
        <w:rPr>
          <w:rFonts w:hint="eastAsia" w:ascii="宋体" w:hAnsi="宋体" w:cs="宋体"/>
          <w:snapToGrid w:val="0"/>
          <w:color w:val="auto"/>
          <w:kern w:val="0"/>
          <w:szCs w:val="21"/>
          <w:lang w:val="zh-CN"/>
        </w:rPr>
        <w:t>质疑项目名称及编号、质疑事项和明确的请求；</w:t>
      </w:r>
    </w:p>
    <w:p>
      <w:pPr>
        <w:autoSpaceDE w:val="0"/>
        <w:autoSpaceDN w:val="0"/>
        <w:adjustRightInd w:val="0"/>
        <w:spacing w:line="360" w:lineRule="auto"/>
        <w:ind w:left="630" w:hanging="630" w:hangingChars="300"/>
        <w:jc w:val="left"/>
        <w:rPr>
          <w:rFonts w:ascii="宋体" w:hAnsi="宋体" w:cs="宋体"/>
          <w:snapToGrid w:val="0"/>
          <w:color w:val="auto"/>
          <w:kern w:val="0"/>
          <w:szCs w:val="21"/>
          <w:lang w:val="zh-CN"/>
        </w:rPr>
      </w:pPr>
      <w:r>
        <w:rPr>
          <w:rFonts w:hint="eastAsia" w:ascii="宋体" w:hAnsi="宋体" w:cs="宋体"/>
          <w:snapToGrid w:val="0"/>
          <w:color w:val="auto"/>
          <w:kern w:val="0"/>
          <w:szCs w:val="21"/>
          <w:lang w:val="zh-CN"/>
        </w:rPr>
        <w:t>（4）</w:t>
      </w:r>
      <w:r>
        <w:rPr>
          <w:rFonts w:hint="eastAsia" w:ascii="宋体" w:hAnsi="宋体" w:cs="宋体"/>
          <w:snapToGrid w:val="0"/>
          <w:color w:val="auto"/>
          <w:kern w:val="0"/>
          <w:szCs w:val="21"/>
        </w:rPr>
        <w:t xml:space="preserve"> </w:t>
      </w:r>
      <w:r>
        <w:rPr>
          <w:rFonts w:hint="eastAsia" w:ascii="宋体" w:hAnsi="宋体" w:cs="宋体"/>
          <w:snapToGrid w:val="0"/>
          <w:color w:val="auto"/>
          <w:kern w:val="0"/>
          <w:szCs w:val="21"/>
          <w:lang w:val="zh-CN"/>
        </w:rPr>
        <w:t>质疑事项的事实根据、法律依据及其他必要的证明材料；质疑人提供的证明材料属于其他供应商投标（响应）文件未公开内容的，应当提供书面材料证明其合法来源；</w:t>
      </w:r>
    </w:p>
    <w:p>
      <w:pPr>
        <w:autoSpaceDE w:val="0"/>
        <w:autoSpaceDN w:val="0"/>
        <w:adjustRightInd w:val="0"/>
        <w:spacing w:line="360" w:lineRule="auto"/>
        <w:ind w:left="630" w:hanging="630" w:hangingChars="300"/>
        <w:jc w:val="left"/>
        <w:rPr>
          <w:rFonts w:ascii="宋体" w:hAnsi="宋体" w:cs="宋体"/>
          <w:snapToGrid w:val="0"/>
          <w:color w:val="auto"/>
          <w:kern w:val="0"/>
          <w:szCs w:val="21"/>
          <w:lang w:val="zh-CN"/>
        </w:rPr>
      </w:pPr>
      <w:r>
        <w:rPr>
          <w:rFonts w:hint="eastAsia" w:ascii="宋体" w:hAnsi="宋体" w:cs="宋体"/>
          <w:snapToGrid w:val="0"/>
          <w:color w:val="auto"/>
          <w:kern w:val="0"/>
          <w:szCs w:val="21"/>
          <w:lang w:val="zh-CN"/>
        </w:rPr>
        <w:t>（5）</w:t>
      </w:r>
      <w:r>
        <w:rPr>
          <w:rFonts w:hint="eastAsia" w:ascii="宋体" w:hAnsi="宋体" w:cs="宋体"/>
          <w:snapToGrid w:val="0"/>
          <w:color w:val="auto"/>
          <w:kern w:val="0"/>
          <w:szCs w:val="21"/>
        </w:rPr>
        <w:t xml:space="preserve"> </w:t>
      </w:r>
      <w:r>
        <w:rPr>
          <w:rFonts w:hint="eastAsia" w:ascii="宋体" w:hAnsi="宋体" w:cs="宋体"/>
          <w:snapToGrid w:val="0"/>
          <w:color w:val="auto"/>
          <w:kern w:val="0"/>
          <w:szCs w:val="21"/>
          <w:lang w:val="zh-CN"/>
        </w:rPr>
        <w:t>提出质疑的日期；</w:t>
      </w:r>
    </w:p>
    <w:p>
      <w:pPr>
        <w:autoSpaceDE w:val="0"/>
        <w:autoSpaceDN w:val="0"/>
        <w:adjustRightInd w:val="0"/>
        <w:spacing w:line="360" w:lineRule="auto"/>
        <w:ind w:left="630" w:hanging="630" w:hangingChars="300"/>
        <w:jc w:val="left"/>
        <w:rPr>
          <w:rFonts w:ascii="宋体" w:hAnsi="宋体" w:cs="宋体"/>
          <w:snapToGrid w:val="0"/>
          <w:color w:val="auto"/>
          <w:kern w:val="0"/>
          <w:szCs w:val="21"/>
          <w:lang w:val="zh-CN"/>
        </w:rPr>
      </w:pPr>
      <w:r>
        <w:rPr>
          <w:rFonts w:hint="eastAsia" w:ascii="宋体" w:hAnsi="宋体" w:cs="宋体"/>
          <w:snapToGrid w:val="0"/>
          <w:color w:val="auto"/>
          <w:kern w:val="0"/>
          <w:szCs w:val="21"/>
          <w:lang w:val="zh-CN"/>
        </w:rPr>
        <w:t>（6）</w:t>
      </w:r>
      <w:r>
        <w:rPr>
          <w:rFonts w:hint="eastAsia" w:ascii="宋体" w:hAnsi="宋体" w:cs="宋体"/>
          <w:snapToGrid w:val="0"/>
          <w:color w:val="auto"/>
          <w:kern w:val="0"/>
          <w:szCs w:val="21"/>
        </w:rPr>
        <w:t xml:space="preserve"> </w:t>
      </w:r>
      <w:r>
        <w:rPr>
          <w:rFonts w:hint="eastAsia" w:ascii="宋体" w:hAnsi="宋体" w:cs="宋体"/>
          <w:snapToGrid w:val="0"/>
          <w:color w:val="auto"/>
          <w:kern w:val="0"/>
          <w:szCs w:val="21"/>
          <w:lang w:val="zh-CN"/>
        </w:rPr>
        <w:t>质疑人的署名及签章（质疑人为自然人的，应当由本人签字；质疑人为法人或者其他组织的，应当由法定代表人或者主要负责人签字盖章并加盖公章）；</w:t>
      </w:r>
    </w:p>
    <w:p>
      <w:pPr>
        <w:autoSpaceDE w:val="0"/>
        <w:autoSpaceDN w:val="0"/>
        <w:adjustRightInd w:val="0"/>
        <w:spacing w:line="360" w:lineRule="auto"/>
        <w:ind w:left="630" w:hanging="630" w:hangingChars="300"/>
        <w:jc w:val="left"/>
        <w:rPr>
          <w:rFonts w:ascii="宋体" w:hAnsi="宋体" w:cs="宋体"/>
          <w:snapToGrid w:val="0"/>
          <w:color w:val="auto"/>
          <w:kern w:val="0"/>
          <w:szCs w:val="21"/>
          <w:lang w:val="zh-CN"/>
        </w:rPr>
      </w:pPr>
      <w:r>
        <w:rPr>
          <w:rFonts w:hint="eastAsia" w:ascii="宋体" w:hAnsi="宋体" w:cs="宋体"/>
          <w:snapToGrid w:val="0"/>
          <w:color w:val="auto"/>
          <w:kern w:val="0"/>
          <w:szCs w:val="21"/>
          <w:lang w:val="zh-CN"/>
        </w:rPr>
        <w:t>（7）</w:t>
      </w:r>
      <w:r>
        <w:rPr>
          <w:rFonts w:hint="eastAsia" w:ascii="宋体" w:hAnsi="宋体" w:cs="宋体"/>
          <w:snapToGrid w:val="0"/>
          <w:color w:val="auto"/>
          <w:kern w:val="0"/>
          <w:szCs w:val="21"/>
        </w:rPr>
        <w:t xml:space="preserve"> </w:t>
      </w:r>
      <w:r>
        <w:rPr>
          <w:rFonts w:hint="eastAsia" w:ascii="宋体" w:hAnsi="宋体" w:cs="宋体"/>
          <w:snapToGrid w:val="0"/>
          <w:color w:val="auto"/>
          <w:kern w:val="0"/>
          <w:szCs w:val="21"/>
          <w:lang w:val="zh-CN"/>
        </w:rPr>
        <w:t>法人授权委托书（质疑人或法人委托代理人办理质疑事务的，应当提供授权委托书，授权委托书应当载明委托代理的具体权限和事项）。</w:t>
      </w:r>
    </w:p>
    <w:p>
      <w:pPr>
        <w:autoSpaceDE w:val="0"/>
        <w:autoSpaceDN w:val="0"/>
        <w:adjustRightInd w:val="0"/>
        <w:spacing w:line="360" w:lineRule="auto"/>
        <w:ind w:left="630" w:leftChars="300"/>
        <w:jc w:val="left"/>
        <w:rPr>
          <w:rFonts w:ascii="宋体" w:hAnsi="宋体" w:cs="宋体"/>
          <w:snapToGrid w:val="0"/>
          <w:color w:val="auto"/>
          <w:kern w:val="0"/>
          <w:szCs w:val="21"/>
          <w:lang w:val="zh-CN"/>
        </w:rPr>
      </w:pPr>
      <w:r>
        <w:rPr>
          <w:rFonts w:hint="eastAsia" w:ascii="宋体" w:hAnsi="宋体" w:cs="宋体"/>
          <w:snapToGrid w:val="0"/>
          <w:color w:val="auto"/>
          <w:kern w:val="0"/>
          <w:szCs w:val="21"/>
          <w:lang w:val="zh-CN"/>
        </w:rPr>
        <w:t>质疑书不符合上述要求的，采购人或代理机构应书面告知具体事项，质疑人应当按要求进行修改或补充，并在质疑有效期限内提交。</w:t>
      </w:r>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color w:val="auto"/>
          <w:lang w:val="zh-CN"/>
        </w:rPr>
      </w:pPr>
      <w:bookmarkStart w:id="93" w:name="_Toc20387"/>
      <w:r>
        <w:rPr>
          <w:rFonts w:hint="eastAsia" w:asciiTheme="minorEastAsia" w:hAnsiTheme="minorEastAsia" w:eastAsiaTheme="minorEastAsia" w:cstheme="minorEastAsia"/>
          <w:b/>
          <w:color w:val="auto"/>
          <w:lang w:val="zh-CN"/>
        </w:rPr>
        <w:t>质疑回复</w:t>
      </w:r>
      <w:bookmarkEnd w:id="93"/>
    </w:p>
    <w:p>
      <w:pPr>
        <w:autoSpaceDE w:val="0"/>
        <w:autoSpaceDN w:val="0"/>
        <w:adjustRightInd w:val="0"/>
        <w:spacing w:line="360" w:lineRule="auto"/>
        <w:ind w:left="630" w:hanging="630" w:hangingChars="300"/>
        <w:jc w:val="left"/>
        <w:rPr>
          <w:rFonts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rPr>
        <w:t>1</w:t>
      </w:r>
      <w:r>
        <w:rPr>
          <w:rFonts w:hint="eastAsia" w:ascii="宋体" w:hAnsi="宋体" w:cs="宋体"/>
          <w:snapToGrid w:val="0"/>
          <w:color w:val="auto"/>
          <w:kern w:val="0"/>
          <w:szCs w:val="21"/>
          <w:lang w:val="zh-CN"/>
        </w:rPr>
        <w:t>.1</w:t>
      </w:r>
      <w:r>
        <w:rPr>
          <w:rFonts w:hint="eastAsia" w:ascii="宋体" w:hAnsi="宋体" w:cs="宋体"/>
          <w:snapToGrid w:val="0"/>
          <w:color w:val="auto"/>
          <w:kern w:val="0"/>
          <w:szCs w:val="21"/>
        </w:rPr>
        <w:t xml:space="preserve">  </w:t>
      </w:r>
      <w:r>
        <w:rPr>
          <w:rFonts w:hint="eastAsia" w:ascii="宋体" w:hAnsi="宋体" w:cs="宋体"/>
          <w:snapToGrid w:val="0"/>
          <w:color w:val="auto"/>
          <w:kern w:val="0"/>
          <w:szCs w:val="21"/>
          <w:lang w:val="zh-CN"/>
        </w:rPr>
        <w:t>采购人或采购代理机构应当在收到供应商的书面质疑后7个工作日内作出答复，并以书面形式通知质疑供应商和其他有关供应商，但答复的内容不得涉及商业秘密。</w:t>
      </w:r>
    </w:p>
    <w:p>
      <w:pPr>
        <w:autoSpaceDE w:val="0"/>
        <w:autoSpaceDN w:val="0"/>
        <w:adjustRightInd w:val="0"/>
        <w:spacing w:line="360" w:lineRule="auto"/>
        <w:jc w:val="left"/>
        <w:rPr>
          <w:rFonts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rPr>
        <w:t>1</w:t>
      </w:r>
      <w:r>
        <w:rPr>
          <w:rFonts w:hint="eastAsia" w:ascii="宋体" w:hAnsi="宋体" w:cs="宋体"/>
          <w:snapToGrid w:val="0"/>
          <w:color w:val="auto"/>
          <w:kern w:val="0"/>
          <w:szCs w:val="21"/>
          <w:lang w:val="zh-CN"/>
        </w:rPr>
        <w:t>.2</w:t>
      </w:r>
      <w:r>
        <w:rPr>
          <w:rFonts w:hint="eastAsia" w:ascii="宋体" w:hAnsi="宋体" w:cs="宋体"/>
          <w:snapToGrid w:val="0"/>
          <w:color w:val="auto"/>
          <w:kern w:val="0"/>
          <w:szCs w:val="21"/>
        </w:rPr>
        <w:t xml:space="preserve">  </w:t>
      </w:r>
      <w:r>
        <w:rPr>
          <w:rFonts w:hint="eastAsia" w:ascii="宋体" w:hAnsi="宋体" w:cs="宋体"/>
          <w:snapToGrid w:val="0"/>
          <w:color w:val="auto"/>
          <w:kern w:val="0"/>
          <w:szCs w:val="21"/>
          <w:lang w:val="zh-CN"/>
        </w:rPr>
        <w:t>质疑答复应当包括下列内容：</w:t>
      </w:r>
    </w:p>
    <w:p>
      <w:pPr>
        <w:autoSpaceDE w:val="0"/>
        <w:autoSpaceDN w:val="0"/>
        <w:adjustRightInd w:val="0"/>
        <w:spacing w:line="360" w:lineRule="auto"/>
        <w:jc w:val="left"/>
        <w:rPr>
          <w:rFonts w:ascii="宋体" w:hAnsi="宋体" w:cs="宋体"/>
          <w:snapToGrid w:val="0"/>
          <w:color w:val="auto"/>
          <w:kern w:val="0"/>
          <w:szCs w:val="21"/>
          <w:lang w:val="zh-CN"/>
        </w:rPr>
      </w:pPr>
      <w:r>
        <w:rPr>
          <w:rFonts w:hint="eastAsia" w:ascii="宋体" w:hAnsi="宋体" w:cs="宋体"/>
          <w:snapToGrid w:val="0"/>
          <w:color w:val="auto"/>
          <w:kern w:val="0"/>
          <w:szCs w:val="21"/>
          <w:lang w:val="zh-CN"/>
        </w:rPr>
        <w:t>（1）质疑人的名称、地址、联系人及联系电话；</w:t>
      </w:r>
    </w:p>
    <w:p>
      <w:pPr>
        <w:autoSpaceDE w:val="0"/>
        <w:autoSpaceDN w:val="0"/>
        <w:adjustRightInd w:val="0"/>
        <w:spacing w:line="360" w:lineRule="auto"/>
        <w:jc w:val="left"/>
        <w:rPr>
          <w:rFonts w:ascii="宋体" w:hAnsi="宋体" w:cs="宋体"/>
          <w:snapToGrid w:val="0"/>
          <w:color w:val="auto"/>
          <w:kern w:val="0"/>
          <w:szCs w:val="21"/>
          <w:lang w:val="zh-CN"/>
        </w:rPr>
      </w:pPr>
      <w:r>
        <w:rPr>
          <w:rFonts w:hint="eastAsia" w:ascii="宋体" w:hAnsi="宋体" w:cs="宋体"/>
          <w:snapToGrid w:val="0"/>
          <w:color w:val="auto"/>
          <w:kern w:val="0"/>
          <w:szCs w:val="21"/>
          <w:lang w:val="zh-CN"/>
        </w:rPr>
        <w:t>（2）采购人或采购代理机构（委托项目一并列出）的名称、地址、联系人及联系电话；</w:t>
      </w:r>
    </w:p>
    <w:p>
      <w:pPr>
        <w:autoSpaceDE w:val="0"/>
        <w:autoSpaceDN w:val="0"/>
        <w:adjustRightInd w:val="0"/>
        <w:spacing w:line="360" w:lineRule="auto"/>
        <w:jc w:val="left"/>
        <w:rPr>
          <w:rFonts w:ascii="宋体" w:hAnsi="宋体" w:cs="宋体"/>
          <w:snapToGrid w:val="0"/>
          <w:color w:val="auto"/>
          <w:kern w:val="0"/>
          <w:szCs w:val="21"/>
          <w:lang w:val="zh-CN"/>
        </w:rPr>
      </w:pPr>
      <w:r>
        <w:rPr>
          <w:rFonts w:hint="eastAsia" w:ascii="宋体" w:hAnsi="宋体" w:cs="宋体"/>
          <w:snapToGrid w:val="0"/>
          <w:color w:val="auto"/>
          <w:kern w:val="0"/>
          <w:szCs w:val="21"/>
          <w:lang w:val="zh-CN"/>
        </w:rPr>
        <w:t>（3）受理质疑的日期、质疑项目名称及编号、质疑事项；</w:t>
      </w:r>
    </w:p>
    <w:p>
      <w:pPr>
        <w:autoSpaceDE w:val="0"/>
        <w:autoSpaceDN w:val="0"/>
        <w:adjustRightInd w:val="0"/>
        <w:spacing w:line="360" w:lineRule="auto"/>
        <w:jc w:val="left"/>
        <w:rPr>
          <w:rFonts w:ascii="宋体" w:hAnsi="宋体" w:cs="宋体"/>
          <w:snapToGrid w:val="0"/>
          <w:color w:val="auto"/>
          <w:kern w:val="0"/>
          <w:szCs w:val="21"/>
          <w:lang w:val="zh-CN"/>
        </w:rPr>
      </w:pPr>
      <w:r>
        <w:rPr>
          <w:rFonts w:hint="eastAsia" w:ascii="宋体" w:hAnsi="宋体" w:cs="宋体"/>
          <w:snapToGrid w:val="0"/>
          <w:color w:val="auto"/>
          <w:kern w:val="0"/>
          <w:szCs w:val="21"/>
          <w:lang w:val="zh-CN"/>
        </w:rPr>
        <w:t>（4）质疑事项答复的具体情况及事实根据、法律依据；</w:t>
      </w:r>
    </w:p>
    <w:p>
      <w:pPr>
        <w:autoSpaceDE w:val="0"/>
        <w:autoSpaceDN w:val="0"/>
        <w:adjustRightInd w:val="0"/>
        <w:spacing w:line="360" w:lineRule="auto"/>
        <w:jc w:val="left"/>
        <w:rPr>
          <w:rFonts w:ascii="宋体" w:hAnsi="宋体" w:cs="宋体"/>
          <w:snapToGrid w:val="0"/>
          <w:color w:val="auto"/>
          <w:kern w:val="0"/>
          <w:szCs w:val="21"/>
          <w:lang w:val="zh-CN"/>
        </w:rPr>
      </w:pPr>
      <w:r>
        <w:rPr>
          <w:rFonts w:hint="eastAsia" w:ascii="宋体" w:hAnsi="宋体" w:cs="宋体"/>
          <w:snapToGrid w:val="0"/>
          <w:color w:val="auto"/>
          <w:kern w:val="0"/>
          <w:szCs w:val="21"/>
          <w:lang w:val="zh-CN"/>
        </w:rPr>
        <w:t>（5）告知质疑人依法投诉的权利和投诉方式；</w:t>
      </w:r>
    </w:p>
    <w:p>
      <w:pPr>
        <w:autoSpaceDE w:val="0"/>
        <w:autoSpaceDN w:val="0"/>
        <w:adjustRightInd w:val="0"/>
        <w:spacing w:line="360" w:lineRule="auto"/>
        <w:jc w:val="left"/>
        <w:rPr>
          <w:rFonts w:ascii="宋体" w:hAnsi="宋体" w:cs="宋体"/>
          <w:snapToGrid w:val="0"/>
          <w:color w:val="auto"/>
          <w:kern w:val="0"/>
          <w:szCs w:val="21"/>
          <w:lang w:val="zh-CN"/>
        </w:rPr>
      </w:pPr>
      <w:r>
        <w:rPr>
          <w:rFonts w:hint="eastAsia" w:ascii="宋体" w:hAnsi="宋体" w:cs="宋体"/>
          <w:snapToGrid w:val="0"/>
          <w:color w:val="auto"/>
          <w:kern w:val="0"/>
          <w:szCs w:val="21"/>
          <w:lang w:val="zh-CN"/>
        </w:rPr>
        <w:t>（6）质疑答复日期。</w:t>
      </w:r>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color w:val="auto"/>
          <w:lang w:val="zh-CN"/>
        </w:rPr>
      </w:pPr>
      <w:bookmarkStart w:id="94" w:name="_Toc459"/>
      <w:r>
        <w:rPr>
          <w:rFonts w:hint="eastAsia" w:asciiTheme="minorEastAsia" w:hAnsiTheme="minorEastAsia" w:eastAsiaTheme="minorEastAsia" w:cstheme="minorEastAsia"/>
          <w:b/>
          <w:color w:val="auto"/>
          <w:lang w:val="zh-CN"/>
        </w:rPr>
        <w:t>投诉</w:t>
      </w:r>
      <w:bookmarkEnd w:id="94"/>
    </w:p>
    <w:p>
      <w:pPr>
        <w:autoSpaceDE w:val="0"/>
        <w:autoSpaceDN w:val="0"/>
        <w:adjustRightInd w:val="0"/>
        <w:spacing w:line="360" w:lineRule="auto"/>
        <w:ind w:left="630" w:hanging="630" w:hangingChars="300"/>
        <w:jc w:val="left"/>
        <w:rPr>
          <w:rFonts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rPr>
        <w:t>2</w:t>
      </w:r>
      <w:r>
        <w:rPr>
          <w:rFonts w:hint="eastAsia" w:ascii="宋体" w:hAnsi="宋体" w:cs="宋体"/>
          <w:snapToGrid w:val="0"/>
          <w:color w:val="auto"/>
          <w:kern w:val="0"/>
          <w:szCs w:val="21"/>
          <w:lang w:val="zh-CN"/>
        </w:rPr>
        <w:t>.1</w:t>
      </w:r>
      <w:r>
        <w:rPr>
          <w:rFonts w:hint="eastAsia" w:ascii="宋体" w:hAnsi="宋体" w:cs="宋体"/>
          <w:snapToGrid w:val="0"/>
          <w:color w:val="auto"/>
          <w:kern w:val="0"/>
          <w:szCs w:val="21"/>
        </w:rPr>
        <w:t xml:space="preserve">  </w:t>
      </w:r>
      <w:r>
        <w:rPr>
          <w:rFonts w:hint="eastAsia" w:ascii="宋体" w:hAnsi="宋体" w:cs="宋体"/>
          <w:snapToGrid w:val="0"/>
          <w:color w:val="auto"/>
          <w:kern w:val="0"/>
          <w:szCs w:val="21"/>
          <w:lang w:val="zh-CN"/>
        </w:rPr>
        <w:t>质疑供应商对采购人、采购代理机构的答复不满意或者采购人、采购代理机构未在规定的时间内作出答复的，可以在答复期满后15个工作日内向同级政府采购监督管理部门投诉。供应商投诉应当有明确的请求和必要的证明材料，且投诉的事项不得超出已质疑事项的范围。</w:t>
      </w:r>
    </w:p>
    <w:p>
      <w:pPr>
        <w:autoSpaceDE w:val="0"/>
        <w:autoSpaceDN w:val="0"/>
        <w:adjustRightInd w:val="0"/>
        <w:spacing w:line="360" w:lineRule="auto"/>
        <w:ind w:left="630" w:hanging="630" w:hangingChars="300"/>
        <w:jc w:val="left"/>
        <w:rPr>
          <w:rFonts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rPr>
        <w:t>2</w:t>
      </w:r>
      <w:r>
        <w:rPr>
          <w:rFonts w:hint="eastAsia" w:ascii="宋体" w:hAnsi="宋体" w:cs="宋体"/>
          <w:snapToGrid w:val="0"/>
          <w:color w:val="auto"/>
          <w:kern w:val="0"/>
          <w:szCs w:val="21"/>
          <w:lang w:val="zh-CN"/>
        </w:rPr>
        <w:t>.2</w:t>
      </w:r>
      <w:r>
        <w:rPr>
          <w:rFonts w:hint="eastAsia" w:ascii="宋体" w:hAnsi="宋体" w:cs="宋体"/>
          <w:snapToGrid w:val="0"/>
          <w:color w:val="auto"/>
          <w:kern w:val="0"/>
          <w:szCs w:val="21"/>
        </w:rPr>
        <w:t xml:space="preserve">  </w:t>
      </w:r>
      <w:r>
        <w:rPr>
          <w:rFonts w:hint="eastAsia" w:ascii="宋体" w:hAnsi="宋体" w:cs="宋体"/>
          <w:snapToGrid w:val="0"/>
          <w:color w:val="auto"/>
          <w:kern w:val="0"/>
          <w:szCs w:val="21"/>
          <w:lang w:val="zh-CN"/>
        </w:rPr>
        <w:t>政府采购监督管理部门应当在收到投诉后30个工作日内，对投诉事项作出处理决定，并以书面形式通知投诉人和与投诉事项有关的当事人。财政部门处理投诉事项，需要检验、检测、鉴定、专家评审以及需要投诉人补正材料的，所需时间不计算在投诉处理期限内。</w:t>
      </w:r>
    </w:p>
    <w:p>
      <w:pPr>
        <w:numPr>
          <w:ilvl w:val="1"/>
          <w:numId w:val="9"/>
        </w:numPr>
        <w:tabs>
          <w:tab w:val="left" w:pos="540"/>
          <w:tab w:val="clear" w:pos="840"/>
        </w:tabs>
        <w:spacing w:line="360" w:lineRule="auto"/>
        <w:ind w:left="540" w:hanging="540"/>
        <w:outlineLvl w:val="1"/>
        <w:rPr>
          <w:rFonts w:asciiTheme="minorEastAsia" w:hAnsiTheme="minorEastAsia" w:eastAsiaTheme="minorEastAsia" w:cstheme="minorEastAsia"/>
          <w:b/>
          <w:color w:val="auto"/>
          <w:szCs w:val="21"/>
          <w:lang w:val="zh-CN"/>
        </w:rPr>
      </w:pPr>
      <w:bookmarkStart w:id="95" w:name="_Toc28705"/>
      <w:bookmarkStart w:id="96" w:name="_Toc5571"/>
      <w:bookmarkStart w:id="97" w:name="_Toc14767"/>
      <w:bookmarkStart w:id="98" w:name="_Toc30010"/>
      <w:r>
        <w:rPr>
          <w:rFonts w:hint="eastAsia" w:asciiTheme="minorEastAsia" w:hAnsiTheme="minorEastAsia" w:eastAsiaTheme="minorEastAsia" w:cstheme="minorEastAsia"/>
          <w:b/>
          <w:color w:val="auto"/>
          <w:szCs w:val="21"/>
          <w:lang w:val="zh-CN"/>
        </w:rPr>
        <w:t>政策</w:t>
      </w:r>
      <w:bookmarkEnd w:id="95"/>
      <w:bookmarkEnd w:id="96"/>
      <w:bookmarkEnd w:id="97"/>
      <w:bookmarkEnd w:id="98"/>
    </w:p>
    <w:p>
      <w:pPr>
        <w:numPr>
          <w:ilvl w:val="0"/>
          <w:numId w:val="10"/>
        </w:numPr>
        <w:tabs>
          <w:tab w:val="left" w:pos="864"/>
          <w:tab w:val="left" w:pos="1080"/>
        </w:tabs>
        <w:spacing w:line="360" w:lineRule="auto"/>
        <w:ind w:hanging="540"/>
        <w:outlineLvl w:val="1"/>
        <w:rPr>
          <w:rFonts w:asciiTheme="minorEastAsia" w:hAnsiTheme="minorEastAsia" w:eastAsiaTheme="minorEastAsia" w:cstheme="minorEastAsia"/>
          <w:b/>
          <w:color w:val="auto"/>
        </w:rPr>
      </w:pPr>
      <w:bookmarkStart w:id="99" w:name="_Toc28842"/>
      <w:r>
        <w:rPr>
          <w:rFonts w:hint="eastAsia" w:asciiTheme="minorEastAsia" w:hAnsiTheme="minorEastAsia" w:eastAsiaTheme="minorEastAsia" w:cstheme="minorEastAsia"/>
          <w:b/>
          <w:color w:val="auto"/>
        </w:rPr>
        <w:t>政府采购政策</w:t>
      </w:r>
      <w:bookmarkEnd w:id="99"/>
    </w:p>
    <w:p>
      <w:pPr>
        <w:autoSpaceDE w:val="0"/>
        <w:autoSpaceDN w:val="0"/>
        <w:adjustRightInd w:val="0"/>
        <w:spacing w:line="360" w:lineRule="auto"/>
        <w:ind w:left="630" w:hanging="630" w:hangingChars="300"/>
        <w:jc w:val="left"/>
        <w:rPr>
          <w:rFonts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rPr>
        <w:t>3</w:t>
      </w:r>
      <w:r>
        <w:rPr>
          <w:rFonts w:hint="eastAsia" w:ascii="宋体" w:hAnsi="宋体" w:cs="宋体"/>
          <w:snapToGrid w:val="0"/>
          <w:color w:val="auto"/>
          <w:kern w:val="0"/>
          <w:szCs w:val="21"/>
          <w:lang w:val="zh-CN"/>
        </w:rPr>
        <w:t>.1</w:t>
      </w:r>
      <w:r>
        <w:rPr>
          <w:rFonts w:hint="eastAsia" w:ascii="宋体" w:hAnsi="宋体" w:cs="宋体"/>
          <w:snapToGrid w:val="0"/>
          <w:color w:val="auto"/>
          <w:kern w:val="0"/>
          <w:szCs w:val="21"/>
        </w:rPr>
        <w:t xml:space="preserve"> </w:t>
      </w:r>
      <w:r>
        <w:rPr>
          <w:rFonts w:hint="eastAsia" w:ascii="宋体" w:hAnsi="宋体" w:cs="宋体"/>
          <w:snapToGrid w:val="0"/>
          <w:color w:val="auto"/>
          <w:spacing w:val="-2"/>
          <w:kern w:val="0"/>
          <w:szCs w:val="21"/>
          <w:lang w:val="zh-CN"/>
        </w:rPr>
        <w:t>除非“供应商须知前附表”中有特殊规定，本项目所采购的货物</w:t>
      </w:r>
      <w:r>
        <w:rPr>
          <w:rFonts w:hint="eastAsia" w:ascii="宋体" w:hAnsi="宋体" w:cs="宋体"/>
          <w:snapToGrid w:val="0"/>
          <w:color w:val="auto"/>
          <w:spacing w:val="-2"/>
          <w:kern w:val="0"/>
          <w:szCs w:val="21"/>
        </w:rPr>
        <w:t>或服务或工程</w:t>
      </w:r>
      <w:r>
        <w:rPr>
          <w:rFonts w:hint="eastAsia" w:ascii="宋体" w:hAnsi="宋体" w:cs="宋体"/>
          <w:snapToGrid w:val="0"/>
          <w:color w:val="auto"/>
          <w:spacing w:val="-2"/>
          <w:kern w:val="0"/>
          <w:szCs w:val="21"/>
          <w:lang w:val="zh-CN"/>
        </w:rPr>
        <w:t>应当为中华人民共和国境内提供。</w:t>
      </w:r>
    </w:p>
    <w:p>
      <w:pPr>
        <w:autoSpaceDE w:val="0"/>
        <w:autoSpaceDN w:val="0"/>
        <w:adjustRightInd w:val="0"/>
        <w:spacing w:line="360" w:lineRule="auto"/>
        <w:ind w:left="630" w:hanging="630" w:hangingChars="300"/>
        <w:jc w:val="left"/>
        <w:rPr>
          <w:rFonts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rPr>
        <w:t>3</w:t>
      </w:r>
      <w:r>
        <w:rPr>
          <w:rFonts w:hint="eastAsia" w:ascii="宋体" w:hAnsi="宋体" w:cs="宋体"/>
          <w:snapToGrid w:val="0"/>
          <w:color w:val="auto"/>
          <w:kern w:val="0"/>
          <w:szCs w:val="21"/>
          <w:lang w:val="zh-CN"/>
        </w:rPr>
        <w:t>.2</w:t>
      </w:r>
      <w:r>
        <w:rPr>
          <w:rFonts w:hint="eastAsia" w:ascii="宋体" w:hAnsi="宋体" w:cs="宋体"/>
          <w:snapToGrid w:val="0"/>
          <w:color w:val="auto"/>
          <w:kern w:val="0"/>
          <w:szCs w:val="21"/>
        </w:rPr>
        <w:t xml:space="preserve">  </w:t>
      </w:r>
      <w:r>
        <w:rPr>
          <w:rFonts w:hint="eastAsia" w:ascii="宋体" w:hAnsi="宋体" w:cs="宋体"/>
          <w:snapToGrid w:val="0"/>
          <w:color w:val="auto"/>
          <w:kern w:val="0"/>
          <w:szCs w:val="21"/>
          <w:lang w:val="zh-CN"/>
        </w:rPr>
        <w:t>为促进中小企业发展，本项目供应商如符合工信部联企业【</w:t>
      </w:r>
      <w:r>
        <w:rPr>
          <w:rFonts w:hint="eastAsia" w:ascii="宋体" w:hAnsi="宋体" w:cs="宋体"/>
          <w:snapToGrid w:val="0"/>
          <w:color w:val="auto"/>
          <w:kern w:val="0"/>
          <w:szCs w:val="21"/>
        </w:rPr>
        <w:t>2011</w:t>
      </w:r>
      <w:r>
        <w:rPr>
          <w:rFonts w:hint="eastAsia" w:ascii="宋体" w:hAnsi="宋体" w:cs="宋体"/>
          <w:snapToGrid w:val="0"/>
          <w:color w:val="auto"/>
          <w:kern w:val="0"/>
          <w:szCs w:val="21"/>
          <w:lang w:val="zh-CN"/>
        </w:rPr>
        <w:t>】300号文中对中小企业划型标准的，可按照“评定办法前附表”中相关规定，对产品的价格给予一定比例的扣除，用扣除后的价格参与评审。具体扣除比例详见“评定办法前附表”。</w:t>
      </w:r>
    </w:p>
    <w:p>
      <w:pPr>
        <w:autoSpaceDE w:val="0"/>
        <w:autoSpaceDN w:val="0"/>
        <w:adjustRightInd w:val="0"/>
        <w:spacing w:line="360" w:lineRule="auto"/>
        <w:ind w:left="630" w:hanging="630" w:hangingChars="300"/>
        <w:jc w:val="left"/>
        <w:rPr>
          <w:rFonts w:ascii="宋体" w:hAnsi="宋体" w:cs="宋体"/>
          <w:snapToGrid w:val="0"/>
          <w:color w:val="auto"/>
          <w:kern w:val="0"/>
          <w:szCs w:val="21"/>
        </w:rPr>
      </w:pPr>
      <w:r>
        <w:rPr>
          <w:rFonts w:hint="eastAsia" w:ascii="宋体" w:hAnsi="宋体" w:cs="宋体"/>
          <w:snapToGrid w:val="0"/>
          <w:color w:val="auto"/>
          <w:kern w:val="0"/>
          <w:szCs w:val="21"/>
        </w:rPr>
        <w:t>33.3  按照财政部《关于政府采购支持监狱企业发展有关问题的通知》（财库【2014】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磋商小组审核确认供应商属于监狱企业的，在评定时视同中小企业，价格给予6%的扣除后的价格参与评审。</w:t>
      </w:r>
    </w:p>
    <w:p>
      <w:pPr>
        <w:autoSpaceDE w:val="0"/>
        <w:autoSpaceDN w:val="0"/>
        <w:adjustRightInd w:val="0"/>
        <w:spacing w:line="360" w:lineRule="auto"/>
        <w:ind w:left="630" w:hanging="630" w:hangingChars="300"/>
        <w:jc w:val="left"/>
        <w:rPr>
          <w:rFonts w:ascii="宋体" w:hAnsi="宋体" w:cs="宋体"/>
          <w:snapToGrid w:val="0"/>
          <w:color w:val="auto"/>
          <w:kern w:val="0"/>
          <w:szCs w:val="21"/>
        </w:rPr>
      </w:pPr>
      <w:r>
        <w:rPr>
          <w:rFonts w:hint="eastAsia" w:ascii="宋体" w:hAnsi="宋体" w:cs="宋体"/>
          <w:snapToGrid w:val="0"/>
          <w:color w:val="auto"/>
          <w:kern w:val="0"/>
          <w:szCs w:val="21"/>
        </w:rPr>
        <w:t>33.4  按照《三部门联合发布关于促进残疾人就业政府采购政策的通知》（财库【2017】141 号）的规定，在政府采购活动中，残疾人福利性单位视同小型、微型企业，享受预留份额、评审中价格扣除等促进中小企业发展的政府采购政策。符合条件的残疾人福利性单位在参加政府采购活动时，应当提供财库【2017】141号文规定的《残疾人福利性单位声明函》（格式见第六章），并对声明的真实性负责，未提供声明函的不予折扣。经磋商小组审核确认供应商符合残疾人福利性单位条件的，在评定时视同中小企业。残疾人福利性单位属于小型、微型企业的，不重复享受政策。</w:t>
      </w:r>
    </w:p>
    <w:p>
      <w:pPr>
        <w:autoSpaceDE w:val="0"/>
        <w:autoSpaceDN w:val="0"/>
        <w:adjustRightInd w:val="0"/>
        <w:spacing w:line="360" w:lineRule="auto"/>
        <w:ind w:left="630" w:hanging="630" w:hangingChars="300"/>
        <w:jc w:val="left"/>
        <w:rPr>
          <w:rFonts w:ascii="宋体" w:hAnsi="宋体" w:cs="宋体"/>
          <w:snapToGrid w:val="0"/>
          <w:color w:val="auto"/>
          <w:kern w:val="0"/>
          <w:szCs w:val="21"/>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rPr>
        <w:t>3</w:t>
      </w:r>
      <w:r>
        <w:rPr>
          <w:rFonts w:hint="eastAsia" w:ascii="宋体" w:hAnsi="宋体" w:cs="宋体"/>
          <w:snapToGrid w:val="0"/>
          <w:color w:val="auto"/>
          <w:kern w:val="0"/>
          <w:szCs w:val="21"/>
          <w:lang w:val="zh-CN"/>
        </w:rPr>
        <w:t>.</w:t>
      </w:r>
      <w:r>
        <w:rPr>
          <w:rFonts w:hint="eastAsia" w:ascii="宋体" w:hAnsi="宋体" w:cs="宋体"/>
          <w:snapToGrid w:val="0"/>
          <w:color w:val="auto"/>
          <w:kern w:val="0"/>
          <w:szCs w:val="21"/>
        </w:rPr>
        <w:t>5  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spacing w:line="360" w:lineRule="auto"/>
        <w:ind w:left="630" w:hanging="630" w:hangingChars="300"/>
        <w:jc w:val="left"/>
        <w:rPr>
          <w:rFonts w:ascii="宋体" w:hAnsi="宋体" w:cs="宋体"/>
          <w:snapToGrid w:val="0"/>
          <w:color w:val="auto"/>
          <w:kern w:val="0"/>
          <w:szCs w:val="21"/>
          <w:lang w:val="zh-CN"/>
        </w:rPr>
      </w:pPr>
      <w:r>
        <w:rPr>
          <w:rFonts w:hint="eastAsia" w:ascii="宋体" w:hAnsi="宋体" w:cs="宋体"/>
          <w:snapToGrid w:val="0"/>
          <w:color w:val="auto"/>
          <w:kern w:val="0"/>
          <w:szCs w:val="21"/>
          <w:lang w:val="zh-CN"/>
        </w:rPr>
        <w:t>33.</w:t>
      </w:r>
      <w:r>
        <w:rPr>
          <w:rFonts w:hint="eastAsia" w:ascii="宋体" w:hAnsi="宋体" w:cs="宋体"/>
          <w:snapToGrid w:val="0"/>
          <w:color w:val="auto"/>
          <w:kern w:val="0"/>
          <w:szCs w:val="21"/>
        </w:rPr>
        <w:t xml:space="preserve">6  </w:t>
      </w:r>
      <w:r>
        <w:rPr>
          <w:rFonts w:hint="eastAsia" w:ascii="宋体" w:hAnsi="宋体" w:cs="宋体"/>
          <w:snapToGrid w:val="0"/>
          <w:color w:val="auto"/>
          <w:kern w:val="0"/>
          <w:szCs w:val="21"/>
          <w:lang w:val="zh-CN"/>
        </w:rPr>
        <w:t>上述政府采购政策优惠须经磋商小组评审后执行，未提供单独分项报价或证明资料不全的不给予价格扣除。</w:t>
      </w:r>
    </w:p>
    <w:p>
      <w:pPr>
        <w:autoSpaceDE w:val="0"/>
        <w:autoSpaceDN w:val="0"/>
        <w:adjustRightInd w:val="0"/>
        <w:spacing w:line="360" w:lineRule="auto"/>
        <w:ind w:left="630" w:leftChars="300"/>
        <w:jc w:val="left"/>
        <w:rPr>
          <w:b/>
          <w:bCs/>
          <w:color w:val="auto"/>
          <w:lang w:val="zh-CN"/>
        </w:rPr>
      </w:pPr>
      <w:r>
        <w:rPr>
          <w:rFonts w:hint="eastAsia" w:ascii="宋体" w:hAnsi="宋体" w:cs="宋体"/>
          <w:b/>
          <w:bCs/>
          <w:snapToGrid w:val="0"/>
          <w:color w:val="auto"/>
          <w:kern w:val="0"/>
          <w:szCs w:val="21"/>
          <w:lang w:val="zh-CN"/>
        </w:rPr>
        <w:t>供应商应当对《中小企业声明函》、监狱企业证明文件、《残疾人福利性单位声明函》的真实性负责，上述材料与事实不符的，依照《政府采购法》第七十七条第一款的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numPr>
          <w:ilvl w:val="1"/>
          <w:numId w:val="9"/>
        </w:numPr>
        <w:tabs>
          <w:tab w:val="left" w:pos="540"/>
          <w:tab w:val="clear" w:pos="840"/>
        </w:tabs>
        <w:spacing w:line="360" w:lineRule="auto"/>
        <w:ind w:left="540" w:hanging="540"/>
        <w:outlineLvl w:val="1"/>
        <w:rPr>
          <w:rFonts w:asciiTheme="minorEastAsia" w:hAnsiTheme="minorEastAsia" w:eastAsiaTheme="minorEastAsia" w:cstheme="minorEastAsia"/>
          <w:b/>
          <w:color w:val="auto"/>
          <w:szCs w:val="21"/>
          <w:lang w:val="zh-CN"/>
        </w:rPr>
      </w:pPr>
      <w:bookmarkStart w:id="100" w:name="_Toc25296"/>
      <w:r>
        <w:rPr>
          <w:rFonts w:hint="eastAsia" w:asciiTheme="minorEastAsia" w:hAnsiTheme="minorEastAsia" w:eastAsiaTheme="minorEastAsia" w:cstheme="minorEastAsia"/>
          <w:b/>
          <w:color w:val="auto"/>
          <w:szCs w:val="21"/>
          <w:lang w:val="zh-CN"/>
        </w:rPr>
        <w:t>其他要求</w:t>
      </w:r>
      <w:bookmarkEnd w:id="100"/>
    </w:p>
    <w:p>
      <w:pPr>
        <w:autoSpaceDE w:val="0"/>
        <w:autoSpaceDN w:val="0"/>
        <w:adjustRightInd w:val="0"/>
        <w:spacing w:line="360" w:lineRule="auto"/>
        <w:ind w:firstLine="420" w:firstLineChars="20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见《供应商须知前附表》。</w:t>
      </w:r>
    </w:p>
    <w:p>
      <w:pPr>
        <w:numPr>
          <w:ilvl w:val="1"/>
          <w:numId w:val="9"/>
        </w:numPr>
        <w:tabs>
          <w:tab w:val="left" w:pos="540"/>
          <w:tab w:val="clear" w:pos="840"/>
        </w:tabs>
        <w:spacing w:line="360" w:lineRule="auto"/>
        <w:ind w:left="540" w:hanging="540"/>
        <w:outlineLvl w:val="1"/>
        <w:rPr>
          <w:rFonts w:asciiTheme="minorEastAsia" w:hAnsiTheme="minorEastAsia" w:eastAsiaTheme="minorEastAsia" w:cstheme="minorEastAsia"/>
          <w:b/>
          <w:color w:val="auto"/>
          <w:szCs w:val="21"/>
          <w:lang w:val="zh-CN"/>
        </w:rPr>
      </w:pPr>
      <w:bookmarkStart w:id="101" w:name="_Toc28137"/>
      <w:r>
        <w:rPr>
          <w:rFonts w:hint="eastAsia" w:asciiTheme="minorEastAsia" w:hAnsiTheme="minorEastAsia" w:eastAsiaTheme="minorEastAsia" w:cstheme="minorEastAsia"/>
          <w:b/>
          <w:color w:val="auto"/>
          <w:szCs w:val="21"/>
          <w:lang w:val="zh-CN"/>
        </w:rPr>
        <w:t>适用法律</w:t>
      </w:r>
      <w:bookmarkEnd w:id="101"/>
    </w:p>
    <w:p>
      <w:pPr>
        <w:autoSpaceDE w:val="0"/>
        <w:autoSpaceDN w:val="0"/>
        <w:adjustRightInd w:val="0"/>
        <w:spacing w:line="360" w:lineRule="auto"/>
        <w:ind w:left="630" w:leftChars="30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采购人或者采购代理机构和供应商的一切采购活动均适用于《中华人民共和国政府采购法》、《中华人民共和国政府采购实施条例》、《政府采购竞争性磋商采购方式管理办法》等相关规定。</w:t>
      </w:r>
      <w:r>
        <w:rPr>
          <w:rFonts w:hint="eastAsia" w:asciiTheme="minorEastAsia" w:hAnsiTheme="minorEastAsia" w:eastAsiaTheme="minorEastAsia" w:cstheme="minorEastAsia"/>
          <w:snapToGrid w:val="0"/>
          <w:color w:val="auto"/>
          <w:kern w:val="0"/>
          <w:szCs w:val="21"/>
          <w:lang w:val="zh-CN"/>
        </w:rPr>
        <w:br w:type="textWrapping"/>
      </w:r>
      <w:r>
        <w:rPr>
          <w:rFonts w:hint="eastAsia" w:asciiTheme="minorEastAsia" w:hAnsiTheme="minorEastAsia" w:eastAsiaTheme="minorEastAsia" w:cstheme="minorEastAsia"/>
          <w:b/>
          <w:bCs/>
          <w:snapToGrid w:val="0"/>
          <w:color w:val="auto"/>
          <w:kern w:val="0"/>
          <w:szCs w:val="21"/>
          <w:lang w:val="zh-CN"/>
        </w:rPr>
        <w:t>补充说明：</w:t>
      </w:r>
    </w:p>
    <w:p>
      <w:pPr>
        <w:numPr>
          <w:ilvl w:val="0"/>
          <w:numId w:val="35"/>
        </w:numPr>
        <w:autoSpaceDE w:val="0"/>
        <w:autoSpaceDN w:val="0"/>
        <w:adjustRightInd w:val="0"/>
        <w:spacing w:line="360" w:lineRule="auto"/>
        <w:ind w:left="630" w:hanging="630" w:hangingChars="30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rPr>
        <w:t xml:space="preserve">  </w:t>
      </w:r>
      <w:r>
        <w:rPr>
          <w:rFonts w:hint="eastAsia" w:asciiTheme="minorEastAsia" w:hAnsiTheme="minorEastAsia" w:eastAsiaTheme="minorEastAsia" w:cstheme="minorEastAsia"/>
          <w:snapToGrid w:val="0"/>
          <w:color w:val="auto"/>
          <w:kern w:val="0"/>
          <w:szCs w:val="21"/>
          <w:lang w:val="zh-CN"/>
        </w:rPr>
        <w:t>除本采购文件另有规定外，采购文件中出现的类似于“近三年”或“前三年”、“近五年”或“前五年”均指递交响应文件时间以前 3 年或前 5 年，以此类推。如：递交响应文件时间为 201</w:t>
      </w:r>
      <w:r>
        <w:rPr>
          <w:rFonts w:hint="eastAsia" w:asciiTheme="minorEastAsia" w:hAnsiTheme="minorEastAsia" w:eastAsiaTheme="minorEastAsia" w:cstheme="minorEastAsia"/>
          <w:snapToGrid w:val="0"/>
          <w:color w:val="auto"/>
          <w:kern w:val="0"/>
          <w:szCs w:val="21"/>
        </w:rPr>
        <w:t>9</w:t>
      </w:r>
      <w:r>
        <w:rPr>
          <w:rFonts w:hint="eastAsia" w:asciiTheme="minorEastAsia" w:hAnsiTheme="minorEastAsia" w:eastAsiaTheme="minorEastAsia" w:cstheme="minorEastAsia"/>
          <w:snapToGrid w:val="0"/>
          <w:color w:val="auto"/>
          <w:kern w:val="0"/>
          <w:szCs w:val="21"/>
          <w:lang w:val="zh-CN"/>
        </w:rPr>
        <w:t>年 12 月 1 日，则“近三年”是指 201</w:t>
      </w:r>
      <w:r>
        <w:rPr>
          <w:rFonts w:hint="eastAsia" w:asciiTheme="minorEastAsia" w:hAnsiTheme="minorEastAsia" w:eastAsiaTheme="minorEastAsia" w:cstheme="minorEastAsia"/>
          <w:snapToGrid w:val="0"/>
          <w:color w:val="auto"/>
          <w:kern w:val="0"/>
          <w:szCs w:val="21"/>
        </w:rPr>
        <w:t>6</w:t>
      </w:r>
      <w:r>
        <w:rPr>
          <w:rFonts w:hint="eastAsia" w:asciiTheme="minorEastAsia" w:hAnsiTheme="minorEastAsia" w:eastAsiaTheme="minorEastAsia" w:cstheme="minorEastAsia"/>
          <w:snapToGrid w:val="0"/>
          <w:color w:val="auto"/>
          <w:kern w:val="0"/>
          <w:szCs w:val="21"/>
          <w:lang w:val="zh-CN"/>
        </w:rPr>
        <w:t>年 12 月 1 日至 201</w:t>
      </w:r>
      <w:r>
        <w:rPr>
          <w:rFonts w:hint="eastAsia" w:asciiTheme="minorEastAsia" w:hAnsiTheme="minorEastAsia" w:eastAsiaTheme="minorEastAsia" w:cstheme="minorEastAsia"/>
          <w:snapToGrid w:val="0"/>
          <w:color w:val="auto"/>
          <w:kern w:val="0"/>
          <w:szCs w:val="21"/>
        </w:rPr>
        <w:t>9</w:t>
      </w:r>
      <w:r>
        <w:rPr>
          <w:rFonts w:hint="eastAsia" w:asciiTheme="minorEastAsia" w:hAnsiTheme="minorEastAsia" w:eastAsiaTheme="minorEastAsia" w:cstheme="minorEastAsia"/>
          <w:snapToGrid w:val="0"/>
          <w:color w:val="auto"/>
          <w:kern w:val="0"/>
          <w:szCs w:val="21"/>
          <w:lang w:val="zh-CN"/>
        </w:rPr>
        <w:t>年 11 月 30 日。</w:t>
      </w:r>
    </w:p>
    <w:p>
      <w:pPr>
        <w:numPr>
          <w:ilvl w:val="0"/>
          <w:numId w:val="35"/>
        </w:numPr>
        <w:autoSpaceDE w:val="0"/>
        <w:autoSpaceDN w:val="0"/>
        <w:adjustRightInd w:val="0"/>
        <w:spacing w:line="360" w:lineRule="auto"/>
        <w:ind w:left="630" w:hanging="630" w:hangingChars="30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rPr>
        <w:t xml:space="preserve">  </w:t>
      </w:r>
      <w:r>
        <w:rPr>
          <w:rFonts w:hint="eastAsia" w:asciiTheme="minorEastAsia" w:hAnsiTheme="minorEastAsia" w:eastAsiaTheme="minorEastAsia" w:cstheme="minorEastAsia"/>
          <w:snapToGrid w:val="0"/>
          <w:color w:val="auto"/>
          <w:kern w:val="0"/>
          <w:szCs w:val="21"/>
          <w:lang w:val="zh-CN"/>
        </w:rPr>
        <w:t>关于提交经审计的财务报告的年份要求：递交响应文件时间如在当年 6 月 30 日以前，</w:t>
      </w:r>
      <w:r>
        <w:rPr>
          <w:rFonts w:hint="eastAsia" w:asciiTheme="minorEastAsia" w:hAnsiTheme="minorEastAsia" w:eastAsiaTheme="minorEastAsia" w:cstheme="minorEastAsia"/>
          <w:snapToGrid w:val="0"/>
          <w:color w:val="auto"/>
          <w:kern w:val="0"/>
          <w:szCs w:val="21"/>
        </w:rPr>
        <w:t>则</w:t>
      </w:r>
      <w:r>
        <w:rPr>
          <w:rFonts w:hint="eastAsia" w:asciiTheme="minorEastAsia" w:hAnsiTheme="minorEastAsia" w:eastAsiaTheme="minorEastAsia" w:cstheme="minorEastAsia"/>
          <w:snapToGrid w:val="0"/>
          <w:color w:val="auto"/>
          <w:kern w:val="0"/>
          <w:szCs w:val="21"/>
          <w:lang w:val="zh-CN"/>
        </w:rPr>
        <w:t>近三年指上上个年度往前推算的三年，如递交响应文件时间为 201</w:t>
      </w:r>
      <w:r>
        <w:rPr>
          <w:rFonts w:hint="eastAsia" w:asciiTheme="minorEastAsia" w:hAnsiTheme="minorEastAsia" w:eastAsiaTheme="minorEastAsia" w:cstheme="minorEastAsia"/>
          <w:snapToGrid w:val="0"/>
          <w:color w:val="auto"/>
          <w:kern w:val="0"/>
          <w:szCs w:val="21"/>
        </w:rPr>
        <w:t>9</w:t>
      </w:r>
      <w:r>
        <w:rPr>
          <w:rFonts w:hint="eastAsia" w:asciiTheme="minorEastAsia" w:hAnsiTheme="minorEastAsia" w:eastAsiaTheme="minorEastAsia" w:cstheme="minorEastAsia"/>
          <w:snapToGrid w:val="0"/>
          <w:color w:val="auto"/>
          <w:kern w:val="0"/>
          <w:szCs w:val="21"/>
          <w:lang w:val="zh-CN"/>
        </w:rPr>
        <w:t>年 6 月 9 日，则“近三年”</w:t>
      </w:r>
      <w:r>
        <w:rPr>
          <w:rFonts w:hint="eastAsia" w:asciiTheme="minorEastAsia" w:hAnsiTheme="minorEastAsia" w:eastAsiaTheme="minorEastAsia" w:cstheme="minorEastAsia"/>
          <w:snapToGrid w:val="0"/>
          <w:color w:val="auto"/>
          <w:kern w:val="0"/>
          <w:szCs w:val="21"/>
        </w:rPr>
        <w:t>是</w:t>
      </w:r>
      <w:r>
        <w:rPr>
          <w:rFonts w:hint="eastAsia" w:asciiTheme="minorEastAsia" w:hAnsiTheme="minorEastAsia" w:eastAsiaTheme="minorEastAsia" w:cstheme="minorEastAsia"/>
          <w:snapToGrid w:val="0"/>
          <w:color w:val="auto"/>
          <w:kern w:val="0"/>
          <w:szCs w:val="21"/>
          <w:lang w:val="zh-CN"/>
        </w:rPr>
        <w:t>指 201</w:t>
      </w:r>
      <w:r>
        <w:rPr>
          <w:rFonts w:hint="eastAsia" w:asciiTheme="minorEastAsia" w:hAnsiTheme="minorEastAsia" w:eastAsiaTheme="minorEastAsia" w:cstheme="minorEastAsia"/>
          <w:snapToGrid w:val="0"/>
          <w:color w:val="auto"/>
          <w:kern w:val="0"/>
          <w:szCs w:val="21"/>
        </w:rPr>
        <w:t>5</w:t>
      </w:r>
      <w:r>
        <w:rPr>
          <w:rFonts w:hint="eastAsia" w:asciiTheme="minorEastAsia" w:hAnsiTheme="minorEastAsia" w:eastAsiaTheme="minorEastAsia" w:cstheme="minorEastAsia"/>
          <w:snapToGrid w:val="0"/>
          <w:color w:val="auto"/>
          <w:kern w:val="0"/>
          <w:szCs w:val="21"/>
          <w:lang w:val="zh-CN"/>
        </w:rPr>
        <w:t>年度、201</w:t>
      </w:r>
      <w:r>
        <w:rPr>
          <w:rFonts w:hint="eastAsia" w:asciiTheme="minorEastAsia" w:hAnsiTheme="minorEastAsia" w:eastAsiaTheme="minorEastAsia" w:cstheme="minorEastAsia"/>
          <w:snapToGrid w:val="0"/>
          <w:color w:val="auto"/>
          <w:kern w:val="0"/>
          <w:szCs w:val="21"/>
        </w:rPr>
        <w:t>6</w:t>
      </w:r>
      <w:r>
        <w:rPr>
          <w:rFonts w:hint="eastAsia" w:asciiTheme="minorEastAsia" w:hAnsiTheme="minorEastAsia" w:eastAsiaTheme="minorEastAsia" w:cstheme="minorEastAsia"/>
          <w:snapToGrid w:val="0"/>
          <w:color w:val="auto"/>
          <w:kern w:val="0"/>
          <w:szCs w:val="21"/>
          <w:lang w:val="zh-CN"/>
        </w:rPr>
        <w:t>年度、201</w:t>
      </w:r>
      <w:r>
        <w:rPr>
          <w:rFonts w:hint="eastAsia" w:asciiTheme="minorEastAsia" w:hAnsiTheme="minorEastAsia" w:eastAsiaTheme="minorEastAsia" w:cstheme="minorEastAsia"/>
          <w:snapToGrid w:val="0"/>
          <w:color w:val="auto"/>
          <w:kern w:val="0"/>
          <w:szCs w:val="21"/>
        </w:rPr>
        <w:t>7</w:t>
      </w:r>
      <w:r>
        <w:rPr>
          <w:rFonts w:hint="eastAsia" w:asciiTheme="minorEastAsia" w:hAnsiTheme="minorEastAsia" w:eastAsiaTheme="minorEastAsia" w:cstheme="minorEastAsia"/>
          <w:snapToGrid w:val="0"/>
          <w:color w:val="auto"/>
          <w:kern w:val="0"/>
          <w:szCs w:val="21"/>
          <w:lang w:val="zh-CN"/>
        </w:rPr>
        <w:t>年度。递交响应文件时间如在当年 6 月 30 日以后，则近三年是指上个年度往前推算的 3 年，如递交响应文件时间为 201</w:t>
      </w:r>
      <w:r>
        <w:rPr>
          <w:rFonts w:hint="eastAsia" w:asciiTheme="minorEastAsia" w:hAnsiTheme="minorEastAsia" w:eastAsiaTheme="minorEastAsia" w:cstheme="minorEastAsia"/>
          <w:snapToGrid w:val="0"/>
          <w:color w:val="auto"/>
          <w:kern w:val="0"/>
          <w:szCs w:val="21"/>
        </w:rPr>
        <w:t>9</w:t>
      </w:r>
      <w:r>
        <w:rPr>
          <w:rFonts w:hint="eastAsia" w:asciiTheme="minorEastAsia" w:hAnsiTheme="minorEastAsia" w:eastAsiaTheme="minorEastAsia" w:cstheme="minorEastAsia"/>
          <w:snapToGrid w:val="0"/>
          <w:color w:val="auto"/>
          <w:kern w:val="0"/>
          <w:szCs w:val="21"/>
          <w:lang w:val="zh-CN"/>
        </w:rPr>
        <w:t>年 12 月 1 日，则“近三年”是指 201</w:t>
      </w:r>
      <w:r>
        <w:rPr>
          <w:rFonts w:hint="eastAsia" w:asciiTheme="minorEastAsia" w:hAnsiTheme="minorEastAsia" w:eastAsiaTheme="minorEastAsia" w:cstheme="minorEastAsia"/>
          <w:snapToGrid w:val="0"/>
          <w:color w:val="auto"/>
          <w:kern w:val="0"/>
          <w:szCs w:val="21"/>
        </w:rPr>
        <w:t>6</w:t>
      </w:r>
      <w:r>
        <w:rPr>
          <w:rFonts w:hint="eastAsia" w:asciiTheme="minorEastAsia" w:hAnsiTheme="minorEastAsia" w:eastAsiaTheme="minorEastAsia" w:cstheme="minorEastAsia"/>
          <w:snapToGrid w:val="0"/>
          <w:color w:val="auto"/>
          <w:kern w:val="0"/>
          <w:szCs w:val="21"/>
          <w:lang w:val="zh-CN"/>
        </w:rPr>
        <w:t>年度、201</w:t>
      </w:r>
      <w:r>
        <w:rPr>
          <w:rFonts w:hint="eastAsia" w:asciiTheme="minorEastAsia" w:hAnsiTheme="minorEastAsia" w:eastAsiaTheme="minorEastAsia" w:cstheme="minorEastAsia"/>
          <w:snapToGrid w:val="0"/>
          <w:color w:val="auto"/>
          <w:kern w:val="0"/>
          <w:szCs w:val="21"/>
        </w:rPr>
        <w:t>7</w:t>
      </w:r>
      <w:r>
        <w:rPr>
          <w:rFonts w:hint="eastAsia" w:asciiTheme="minorEastAsia" w:hAnsiTheme="minorEastAsia" w:eastAsiaTheme="minorEastAsia" w:cstheme="minorEastAsia"/>
          <w:snapToGrid w:val="0"/>
          <w:color w:val="auto"/>
          <w:kern w:val="0"/>
          <w:szCs w:val="21"/>
          <w:lang w:val="zh-CN"/>
        </w:rPr>
        <w:t>年度、201</w:t>
      </w:r>
      <w:r>
        <w:rPr>
          <w:rFonts w:hint="eastAsia" w:asciiTheme="minorEastAsia" w:hAnsiTheme="minorEastAsia" w:eastAsiaTheme="minorEastAsia" w:cstheme="minorEastAsia"/>
          <w:snapToGrid w:val="0"/>
          <w:color w:val="auto"/>
          <w:kern w:val="0"/>
          <w:szCs w:val="21"/>
        </w:rPr>
        <w:t>8</w:t>
      </w:r>
      <w:r>
        <w:rPr>
          <w:rFonts w:hint="eastAsia" w:asciiTheme="minorEastAsia" w:hAnsiTheme="minorEastAsia" w:eastAsiaTheme="minorEastAsia" w:cstheme="minorEastAsia"/>
          <w:snapToGrid w:val="0"/>
          <w:color w:val="auto"/>
          <w:kern w:val="0"/>
          <w:szCs w:val="21"/>
          <w:lang w:val="zh-CN"/>
        </w:rPr>
        <w:t>年度。</w:t>
      </w:r>
    </w:p>
    <w:p>
      <w:pPr>
        <w:numPr>
          <w:ilvl w:val="0"/>
          <w:numId w:val="35"/>
        </w:numPr>
        <w:autoSpaceDE w:val="0"/>
        <w:autoSpaceDN w:val="0"/>
        <w:adjustRightInd w:val="0"/>
        <w:spacing w:line="360" w:lineRule="auto"/>
        <w:ind w:left="630" w:hanging="630" w:hangingChars="300"/>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rPr>
        <w:t xml:space="preserve">  </w:t>
      </w:r>
      <w:r>
        <w:rPr>
          <w:rFonts w:hint="eastAsia" w:asciiTheme="minorEastAsia" w:hAnsiTheme="minorEastAsia" w:eastAsiaTheme="minorEastAsia" w:cstheme="minorEastAsia"/>
          <w:snapToGrid w:val="0"/>
          <w:color w:val="auto"/>
          <w:kern w:val="0"/>
          <w:szCs w:val="21"/>
          <w:lang w:val="zh-CN"/>
        </w:rPr>
        <w:t>本采购文件所称的“以上”、“以下”、“内”、“以内”，均包括本数；所称的“不足”，不包括本数。</w:t>
      </w:r>
      <w:r>
        <w:rPr>
          <w:rFonts w:hint="eastAsia" w:asciiTheme="minorEastAsia" w:hAnsiTheme="minorEastAsia" w:eastAsiaTheme="minorEastAsia" w:cstheme="minorEastAsia"/>
          <w:snapToGrid w:val="0"/>
          <w:color w:val="auto"/>
          <w:kern w:val="0"/>
          <w:szCs w:val="21"/>
          <w:lang w:val="zh-CN"/>
        </w:rPr>
        <w:br w:type="textWrapping"/>
      </w:r>
      <w:r>
        <w:rPr>
          <w:rFonts w:hint="eastAsia" w:asciiTheme="minorEastAsia" w:hAnsiTheme="minorEastAsia" w:eastAsiaTheme="minorEastAsia" w:cstheme="minorEastAsia"/>
          <w:snapToGrid w:val="0"/>
          <w:color w:val="auto"/>
          <w:kern w:val="0"/>
          <w:szCs w:val="21"/>
          <w:lang w:val="zh-CN"/>
        </w:rPr>
        <w:br w:type="textWrapping"/>
      </w:r>
      <w:r>
        <w:rPr>
          <w:rFonts w:hint="eastAsia" w:asciiTheme="minorEastAsia" w:hAnsiTheme="minorEastAsia" w:eastAsiaTheme="minorEastAsia" w:cstheme="minorEastAsia"/>
          <w:snapToGrid w:val="0"/>
          <w:color w:val="auto"/>
          <w:kern w:val="0"/>
          <w:szCs w:val="21"/>
          <w:lang w:val="zh-CN"/>
        </w:rPr>
        <w:br w:type="textWrapping"/>
      </w:r>
    </w:p>
    <w:p>
      <w:pPr>
        <w:numPr>
          <w:ilvl w:val="0"/>
          <w:numId w:val="4"/>
        </w:numPr>
        <w:jc w:val="center"/>
        <w:outlineLvl w:val="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br w:type="page"/>
      </w:r>
      <w:bookmarkStart w:id="102" w:name="_Toc15149"/>
      <w:r>
        <w:rPr>
          <w:rFonts w:hint="eastAsia" w:asciiTheme="minorEastAsia" w:hAnsiTheme="minorEastAsia" w:eastAsiaTheme="minorEastAsia" w:cstheme="minorEastAsia"/>
          <w:b/>
          <w:bCs/>
          <w:color w:val="auto"/>
          <w:sz w:val="36"/>
          <w:szCs w:val="36"/>
        </w:rPr>
        <w:t>采购需求</w:t>
      </w:r>
      <w:bookmarkEnd w:id="102"/>
    </w:p>
    <w:p>
      <w:pPr>
        <w:spacing w:line="360" w:lineRule="auto"/>
        <w:jc w:val="left"/>
        <w:outlineLvl w:val="1"/>
        <w:rPr>
          <w:rFonts w:hint="eastAsia" w:asciiTheme="minorEastAsia" w:hAnsiTheme="minorEastAsia" w:eastAsiaTheme="minorEastAsia" w:cstheme="minorEastAsia"/>
          <w:b/>
          <w:bCs/>
          <w:color w:val="auto"/>
          <w:szCs w:val="21"/>
          <w:lang w:eastAsia="zh-CN"/>
        </w:rPr>
      </w:pPr>
      <w:bookmarkStart w:id="103" w:name="_Toc3623"/>
      <w:r>
        <w:rPr>
          <w:rFonts w:hint="eastAsia" w:asciiTheme="minorEastAsia" w:hAnsiTheme="minorEastAsia" w:eastAsiaTheme="minorEastAsia" w:cstheme="minorEastAsia"/>
          <w:b/>
          <w:bCs/>
          <w:color w:val="auto"/>
          <w:szCs w:val="21"/>
          <w:lang w:eastAsia="zh-CN"/>
        </w:rPr>
        <w:t>一、技术参数</w:t>
      </w:r>
    </w:p>
    <w:bookmarkEnd w:id="103"/>
    <w:p>
      <w:pPr>
        <w:spacing w:line="360" w:lineRule="auto"/>
        <w:ind w:firstLine="0" w:firstLineChars="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项目概况：文科科研楼设计两栋小高层建筑（10层、16层）和一栋多层建筑（5层），总建筑面积约45000平方米，其中地上建筑面积约32000平方米，主要为科研、实验用房；地下二层面积约13000平方米，主要为设备用房、人防地下车库。</w:t>
      </w:r>
    </w:p>
    <w:p>
      <w:pPr>
        <w:spacing w:line="360" w:lineRule="auto"/>
        <w:ind w:firstLine="0" w:firstLineChars="0"/>
        <w:jc w:val="left"/>
        <w:rPr>
          <w:rFonts w:asciiTheme="minorEastAsia" w:hAnsiTheme="minorEastAsia" w:eastAsiaTheme="minorEastAsia" w:cstheme="minorEastAsia"/>
          <w:color w:val="auto"/>
          <w:szCs w:val="21"/>
        </w:rPr>
      </w:pPr>
      <w:r>
        <w:rPr>
          <w:rFonts w:asciiTheme="minorEastAsia" w:hAnsiTheme="minorEastAsia" w:eastAsiaTheme="minorEastAsia" w:cstheme="minorEastAsia"/>
          <w:color w:val="auto"/>
          <w:szCs w:val="21"/>
        </w:rPr>
        <w:t>2.</w:t>
      </w:r>
      <w:r>
        <w:rPr>
          <w:rFonts w:hint="eastAsia" w:asciiTheme="minorEastAsia" w:hAnsiTheme="minorEastAsia" w:eastAsiaTheme="minorEastAsia" w:cstheme="minorEastAsia"/>
          <w:color w:val="auto"/>
          <w:szCs w:val="21"/>
        </w:rPr>
        <w:t>设计范围</w:t>
      </w:r>
    </w:p>
    <w:p>
      <w:pPr>
        <w:spacing w:line="360" w:lineRule="auto"/>
        <w:ind w:firstLine="420" w:firstLineChars="20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2.1</w:t>
      </w:r>
      <w:r>
        <w:rPr>
          <w:rFonts w:hint="eastAsia" w:asciiTheme="minorEastAsia" w:hAnsiTheme="minorEastAsia" w:eastAsiaTheme="minorEastAsia" w:cstheme="minorEastAsia"/>
          <w:color w:val="auto"/>
          <w:szCs w:val="21"/>
        </w:rPr>
        <w:t>室内公共区域精装，建筑面积约9</w:t>
      </w:r>
      <w:r>
        <w:rPr>
          <w:rFonts w:asciiTheme="minorEastAsia" w:hAnsiTheme="minorEastAsia" w:eastAsiaTheme="minorEastAsia" w:cstheme="minorEastAsia"/>
          <w:color w:val="auto"/>
          <w:szCs w:val="21"/>
        </w:rPr>
        <w:t>201</w:t>
      </w:r>
      <w:r>
        <w:rPr>
          <w:rFonts w:hint="eastAsia" w:asciiTheme="minorEastAsia" w:hAnsiTheme="minorEastAsia" w:eastAsiaTheme="minorEastAsia" w:cstheme="minorEastAsia"/>
          <w:color w:val="auto"/>
          <w:szCs w:val="21"/>
        </w:rPr>
        <w:t>㎡：一楼入口门厅3</w:t>
      </w:r>
      <w:r>
        <w:rPr>
          <w:rFonts w:asciiTheme="minorEastAsia" w:hAnsiTheme="minorEastAsia" w:eastAsiaTheme="minorEastAsia" w:cstheme="minorEastAsia"/>
          <w:color w:val="auto"/>
          <w:szCs w:val="21"/>
        </w:rPr>
        <w:t>33</w:t>
      </w:r>
      <w:r>
        <w:rPr>
          <w:rFonts w:hint="eastAsia" w:asciiTheme="minorEastAsia" w:hAnsiTheme="minorEastAsia" w:eastAsiaTheme="minorEastAsia" w:cstheme="minorEastAsia"/>
          <w:color w:val="auto"/>
          <w:szCs w:val="21"/>
        </w:rPr>
        <w:t>㎡，一楼学术报告厅5</w:t>
      </w:r>
      <w:r>
        <w:rPr>
          <w:rFonts w:asciiTheme="minorEastAsia" w:hAnsiTheme="minorEastAsia" w:eastAsiaTheme="minorEastAsia" w:cstheme="minorEastAsia"/>
          <w:color w:val="auto"/>
          <w:szCs w:val="21"/>
        </w:rPr>
        <w:t>35</w:t>
      </w:r>
      <w:r>
        <w:rPr>
          <w:rFonts w:hint="eastAsia" w:asciiTheme="minorEastAsia" w:hAnsiTheme="minorEastAsia" w:eastAsiaTheme="minorEastAsia" w:cstheme="minorEastAsia"/>
          <w:color w:val="auto"/>
          <w:szCs w:val="21"/>
        </w:rPr>
        <w:t>㎡，走廊、楼梯间、电梯厅、电梯前室、卫生间等公共区域约8</w:t>
      </w:r>
      <w:r>
        <w:rPr>
          <w:rFonts w:asciiTheme="minorEastAsia" w:hAnsiTheme="minorEastAsia" w:eastAsiaTheme="minorEastAsia" w:cstheme="minorEastAsia"/>
          <w:color w:val="auto"/>
          <w:szCs w:val="21"/>
        </w:rPr>
        <w:t>333</w:t>
      </w:r>
      <w:r>
        <w:rPr>
          <w:rFonts w:hint="eastAsia" w:asciiTheme="minorEastAsia" w:hAnsiTheme="minorEastAsia" w:eastAsiaTheme="minorEastAsia" w:cstheme="minorEastAsia"/>
          <w:color w:val="auto"/>
          <w:szCs w:val="21"/>
        </w:rPr>
        <w:t>㎡。</w:t>
      </w:r>
    </w:p>
    <w:p>
      <w:pPr>
        <w:spacing w:line="360" w:lineRule="auto"/>
        <w:ind w:firstLine="420" w:firstLineChars="20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2.2</w:t>
      </w:r>
      <w:r>
        <w:rPr>
          <w:rFonts w:hint="eastAsia" w:asciiTheme="minorEastAsia" w:hAnsiTheme="minorEastAsia" w:eastAsiaTheme="minorEastAsia" w:cstheme="minorEastAsia"/>
          <w:color w:val="auto"/>
          <w:szCs w:val="21"/>
        </w:rPr>
        <w:t>室外景观园林设计:</w:t>
      </w:r>
      <w:r>
        <w:rPr>
          <w:rFonts w:asciiTheme="minorEastAsia" w:hAnsiTheme="minorEastAsia" w:eastAsiaTheme="minorEastAsia" w:cstheme="minorEastAsia"/>
          <w:color w:val="auto"/>
          <w:szCs w:val="21"/>
        </w:rPr>
        <w:t>6800</w:t>
      </w:r>
      <w:r>
        <w:rPr>
          <w:rFonts w:hint="eastAsia" w:asciiTheme="minorEastAsia" w:hAnsiTheme="minorEastAsia" w:eastAsiaTheme="minorEastAsia" w:cstheme="minorEastAsia"/>
          <w:color w:val="auto"/>
          <w:szCs w:val="21"/>
        </w:rPr>
        <w:t>㎡。</w:t>
      </w:r>
    </w:p>
    <w:p>
      <w:pPr>
        <w:spacing w:line="360" w:lineRule="auto"/>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2.3</w:t>
      </w:r>
      <w:r>
        <w:rPr>
          <w:rFonts w:hint="eastAsia" w:asciiTheme="minorEastAsia" w:hAnsiTheme="minorEastAsia" w:eastAsiaTheme="minorEastAsia" w:cstheme="minorEastAsia"/>
          <w:color w:val="auto"/>
          <w:szCs w:val="21"/>
        </w:rPr>
        <w:t>地下停车场划线及大楼空间导向标识等设计。以上面积均为估算面积，具体面积以施工图为准，详见附件：施工图。</w:t>
      </w:r>
    </w:p>
    <w:p>
      <w:pPr>
        <w:spacing w:line="360" w:lineRule="auto"/>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3.</w:t>
      </w:r>
      <w:r>
        <w:rPr>
          <w:rFonts w:hint="eastAsia" w:asciiTheme="minorEastAsia" w:hAnsiTheme="minorEastAsia" w:eastAsiaTheme="minorEastAsia" w:cstheme="minorEastAsia"/>
          <w:color w:val="auto"/>
          <w:szCs w:val="21"/>
        </w:rPr>
        <w:t>技术需求</w:t>
      </w:r>
    </w:p>
    <w:p>
      <w:pPr>
        <w:spacing w:line="360" w:lineRule="auto"/>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3</w:t>
      </w:r>
      <w:r>
        <w:rPr>
          <w:rFonts w:hint="eastAsia" w:asciiTheme="minorEastAsia" w:hAnsiTheme="minorEastAsia" w:eastAsiaTheme="minorEastAsia" w:cstheme="minorEastAsia"/>
          <w:color w:val="auto"/>
          <w:szCs w:val="21"/>
        </w:rPr>
        <w:t>.1总体要求：以能指导学校分阶段实施校园环境改造施工的设计深度，来进行本次方案设计，其最终成果方案必须得到学校校长办公会同意。</w:t>
      </w:r>
    </w:p>
    <w:p>
      <w:pPr>
        <w:spacing w:line="360" w:lineRule="auto"/>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3</w:t>
      </w:r>
      <w:r>
        <w:rPr>
          <w:rFonts w:hint="eastAsia" w:asciiTheme="minorEastAsia" w:hAnsiTheme="minorEastAsia" w:eastAsiaTheme="minorEastAsia" w:cstheme="minorEastAsia"/>
          <w:color w:val="auto"/>
          <w:szCs w:val="21"/>
        </w:rPr>
        <w:t>.2成果内容：设计平面布置图、重点空间效果图、室内装饰施工图(包括平面图、吊顶图、地面铺装图、墙体定位图、立面图、节点大样、材料表，图纸需达到施工深度要求)、室内装饰末端电气施工图、室内装饰末端给排水施工图、设计范围内工程概算；导标设计；停车场划线；室外园林景观等。</w:t>
      </w:r>
    </w:p>
    <w:p>
      <w:pPr>
        <w:autoSpaceDE w:val="0"/>
        <w:autoSpaceDN w:val="0"/>
        <w:adjustRightInd w:val="0"/>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3</w:t>
      </w:r>
      <w:r>
        <w:rPr>
          <w:rFonts w:hint="eastAsia" w:asciiTheme="minorEastAsia" w:hAnsiTheme="minorEastAsia" w:eastAsiaTheme="minorEastAsia" w:cstheme="minorEastAsia"/>
          <w:color w:val="auto"/>
          <w:szCs w:val="21"/>
        </w:rPr>
        <w:t>.3进度要求：收到中标通知书后30</w:t>
      </w:r>
      <w:r>
        <w:rPr>
          <w:rFonts w:hint="eastAsia" w:asciiTheme="minorEastAsia" w:hAnsiTheme="minorEastAsia" w:eastAsiaTheme="minorEastAsia" w:cstheme="minorEastAsia"/>
          <w:color w:val="auto"/>
          <w:szCs w:val="21"/>
          <w:lang w:eastAsia="zh-CN"/>
        </w:rPr>
        <w:t>天</w:t>
      </w:r>
      <w:r>
        <w:rPr>
          <w:rFonts w:hint="eastAsia" w:asciiTheme="minorEastAsia" w:hAnsiTheme="minorEastAsia" w:eastAsiaTheme="minorEastAsia" w:cstheme="minorEastAsia"/>
          <w:color w:val="auto"/>
          <w:szCs w:val="21"/>
        </w:rPr>
        <w:t>内，提交全套施工图设计文件、设计概算文件；施工图完成后交建筑设计院进行复核，建筑设计院复核完成并出具相关文件后交付图纸审查机构进行技术审查，15天内，完成图审与图纸修改工作。</w:t>
      </w:r>
    </w:p>
    <w:p>
      <w:pPr>
        <w:spacing w:line="360" w:lineRule="auto"/>
        <w:rPr>
          <w:rFonts w:asciiTheme="minorEastAsia" w:hAnsiTheme="minorEastAsia" w:eastAsiaTheme="minorEastAsia" w:cstheme="minorEastAsia"/>
          <w:b/>
          <w:bCs/>
          <w:color w:val="auto"/>
          <w:szCs w:val="21"/>
        </w:rPr>
      </w:pPr>
      <w:bookmarkStart w:id="104" w:name="_Toc4510"/>
      <w:r>
        <w:rPr>
          <w:rFonts w:hint="eastAsia" w:asciiTheme="minorEastAsia" w:hAnsiTheme="minorEastAsia" w:eastAsiaTheme="minorEastAsia" w:cstheme="minorEastAsia"/>
          <w:b/>
          <w:bCs/>
          <w:color w:val="auto"/>
          <w:szCs w:val="21"/>
        </w:rPr>
        <w:br w:type="page"/>
      </w:r>
    </w:p>
    <w:p>
      <w:pPr>
        <w:autoSpaceDE w:val="0"/>
        <w:autoSpaceDN w:val="0"/>
        <w:adjustRightInd w:val="0"/>
        <w:spacing w:line="360" w:lineRule="auto"/>
        <w:outlineLvl w:val="1"/>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二、商务需求</w:t>
      </w:r>
      <w:bookmarkEnd w:id="104"/>
    </w:p>
    <w:p>
      <w:pPr>
        <w:autoSpaceDE w:val="0"/>
        <w:autoSpaceDN w:val="0"/>
        <w:adjustRightInd w:val="0"/>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1.违约责任：</w:t>
      </w:r>
    </w:p>
    <w:p>
      <w:pPr>
        <w:autoSpaceDE w:val="0"/>
        <w:autoSpaceDN w:val="0"/>
        <w:adjustRightInd w:val="0"/>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1.1所有拟派服务人员及设备均需按照磋商文件指标要求及竞标响应情况进行检查核对后方可签订合同，不满足磋商文件要求的，采购人有权不对其进行验收；同时采购人有权对成交供应商进行双倍罚款或取消合同。</w:t>
      </w:r>
    </w:p>
    <w:p>
      <w:pPr>
        <w:autoSpaceDE w:val="0"/>
        <w:autoSpaceDN w:val="0"/>
        <w:adjustRightInd w:val="0"/>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1.2若非采购人原因，成交供应商逾期签订合同的，成交供应商向采购人支付逾期违约金，逾期违约金为每天1000.00元人民币，但其最终累计金额不超过合同价款的10%。</w:t>
      </w:r>
    </w:p>
    <w:p>
      <w:pPr>
        <w:pStyle w:val="2"/>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1.3因成交供应商原因服务质量及诚信要求达不到约定的标准，由成交供应商向采购人支付合同价款10%的违约金。</w:t>
      </w:r>
      <w:r>
        <w:rPr>
          <w:rFonts w:hint="eastAsia" w:asciiTheme="minorEastAsia" w:hAnsiTheme="minorEastAsia" w:eastAsiaTheme="minorEastAsia" w:cstheme="minorEastAsia"/>
          <w:b/>
          <w:bCs/>
          <w:color w:val="auto"/>
          <w:szCs w:val="21"/>
        </w:rPr>
        <w:br w:type="textWrapping"/>
      </w:r>
      <w:r>
        <w:rPr>
          <w:rFonts w:hint="eastAsia" w:asciiTheme="minorEastAsia" w:hAnsiTheme="minorEastAsia" w:eastAsiaTheme="minorEastAsia" w:cstheme="minorEastAsia"/>
          <w:color w:val="auto"/>
          <w:szCs w:val="21"/>
        </w:rPr>
        <w:t>2.服务质量要求：完成本项目施工图设计及后期服务，满足施工要求。达到相关国家规定设计深度要求，确保通过相关机构对施工图纸的审查。图纸审查等相关费用，由供应商报价时综合考虑，自行承担。</w:t>
      </w:r>
    </w:p>
    <w:p>
      <w:pPr>
        <w:autoSpaceDE w:val="0"/>
        <w:autoSpaceDN w:val="0"/>
        <w:adjustRightInd w:val="0"/>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3.服务地点：采购人指定地点</w:t>
      </w:r>
    </w:p>
    <w:p>
      <w:pPr>
        <w:autoSpaceDE w:val="0"/>
        <w:autoSpaceDN w:val="0"/>
        <w:adjustRightInd w:val="0"/>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4.付款方式：采购人与成交供应商签订合同后，采购人支付合同总款的30%；设计方案获得学校批准、完成施工图设计并按要求完成图审（如需）后，支付合同价款的</w:t>
      </w:r>
      <w:r>
        <w:rPr>
          <w:rFonts w:asciiTheme="minorEastAsia" w:hAnsiTheme="minorEastAsia" w:eastAsiaTheme="minorEastAsia" w:cstheme="minorEastAsia"/>
          <w:color w:val="auto"/>
          <w:szCs w:val="21"/>
        </w:rPr>
        <w:t>6</w:t>
      </w:r>
      <w:r>
        <w:rPr>
          <w:rFonts w:hint="eastAsia" w:asciiTheme="minorEastAsia" w:hAnsiTheme="minorEastAsia" w:eastAsiaTheme="minorEastAsia" w:cstheme="minorEastAsia"/>
          <w:color w:val="auto"/>
          <w:szCs w:val="21"/>
        </w:rPr>
        <w:t>0%；项目施工完成验收后支付合同价款的1</w:t>
      </w:r>
      <w:r>
        <w:rPr>
          <w:rFonts w:asciiTheme="minorEastAsia" w:hAnsiTheme="minorEastAsia" w:eastAsiaTheme="minorEastAsia" w:cstheme="minorEastAsia"/>
          <w:color w:val="auto"/>
          <w:szCs w:val="21"/>
        </w:rPr>
        <w:t>0%</w:t>
      </w:r>
      <w:r>
        <w:rPr>
          <w:rFonts w:hint="eastAsia" w:asciiTheme="minorEastAsia" w:hAnsiTheme="minorEastAsia" w:eastAsiaTheme="minorEastAsia" w:cstheme="minorEastAsia"/>
          <w:color w:val="auto"/>
          <w:szCs w:val="21"/>
        </w:rPr>
        <w:t>。</w:t>
      </w:r>
    </w:p>
    <w:p>
      <w:pPr>
        <w:autoSpaceDE w:val="0"/>
        <w:autoSpaceDN w:val="0"/>
        <w:adjustRightInd w:val="0"/>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5.其它：其他未尽事宜由成交供应商和采购人按合同进行约定。</w:t>
      </w:r>
    </w:p>
    <w:p>
      <w:pPr>
        <w:autoSpaceDE w:val="0"/>
        <w:autoSpaceDN w:val="0"/>
        <w:adjustRightInd w:val="0"/>
        <w:spacing w:line="360" w:lineRule="auto"/>
        <w:rPr>
          <w:rFonts w:hint="eastAsia" w:asciiTheme="minorEastAsia" w:hAnsiTheme="minorEastAsia" w:eastAsiaTheme="minorEastAsia" w:cstheme="minorEastAsia"/>
          <w:color w:val="auto"/>
          <w:szCs w:val="21"/>
        </w:rPr>
      </w:pPr>
    </w:p>
    <w:p>
      <w:pPr>
        <w:autoSpaceDE w:val="0"/>
        <w:autoSpaceDN w:val="0"/>
        <w:adjustRightInd w:val="0"/>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注：</w:t>
      </w:r>
    </w:p>
    <w:p>
      <w:pPr>
        <w:autoSpaceDE w:val="0"/>
        <w:autoSpaceDN w:val="0"/>
        <w:adjustRightInd w:val="0"/>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(1)资格审查因素等证明材料须提供网上图片或查询方式以供磋商小组核查，响应文件内附相关证书真彩扫描件。</w:t>
      </w:r>
    </w:p>
    <w:p>
      <w:pPr>
        <w:autoSpaceDE w:val="0"/>
        <w:autoSpaceDN w:val="0"/>
        <w:adjustRightInd w:val="0"/>
        <w:spacing w:line="360" w:lineRule="auto"/>
        <w:rPr>
          <w:rFonts w:asciiTheme="minorEastAsia" w:hAnsiTheme="minorEastAsia" w:eastAsiaTheme="minorEastAsia" w:cstheme="minorEastAsia"/>
          <w:b/>
          <w:bCs/>
          <w:color w:val="auto"/>
          <w:szCs w:val="21"/>
        </w:rPr>
      </w:pPr>
      <w:r>
        <w:rPr>
          <w:rFonts w:hint="eastAsia" w:asciiTheme="minorEastAsia" w:hAnsiTheme="minorEastAsia" w:eastAsiaTheme="minorEastAsia" w:cstheme="minorEastAsia"/>
          <w:color w:val="auto"/>
          <w:szCs w:val="21"/>
        </w:rPr>
        <w:t>(2)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r>
        <w:rPr>
          <w:rFonts w:hint="eastAsia" w:asciiTheme="minorEastAsia" w:hAnsiTheme="minorEastAsia" w:eastAsiaTheme="minorEastAsia" w:cstheme="minorEastAsia"/>
          <w:b/>
          <w:bCs/>
          <w:color w:val="auto"/>
          <w:szCs w:val="21"/>
        </w:rPr>
        <w:br w:type="textWrapping"/>
      </w:r>
      <w:r>
        <w:rPr>
          <w:rFonts w:hint="eastAsia" w:asciiTheme="minorEastAsia" w:hAnsiTheme="minorEastAsia" w:eastAsiaTheme="minorEastAsia" w:cstheme="minorEastAsia"/>
          <w:b/>
          <w:bCs/>
          <w:color w:val="auto"/>
          <w:szCs w:val="21"/>
        </w:rPr>
        <w:br w:type="textWrapping"/>
      </w:r>
      <w:r>
        <w:rPr>
          <w:rFonts w:hint="eastAsia" w:asciiTheme="minorEastAsia" w:hAnsiTheme="minorEastAsia" w:eastAsiaTheme="minorEastAsia" w:cstheme="minorEastAsia"/>
          <w:b/>
          <w:bCs/>
          <w:color w:val="auto"/>
          <w:szCs w:val="21"/>
        </w:rPr>
        <w:br w:type="textWrapping"/>
      </w:r>
    </w:p>
    <w:p>
      <w:pPr>
        <w:rPr>
          <w:color w:val="auto"/>
        </w:rPr>
      </w:pPr>
    </w:p>
    <w:p>
      <w:pPr>
        <w:pStyle w:val="3"/>
        <w:numPr>
          <w:ilvl w:val="0"/>
          <w:numId w:val="4"/>
        </w:numPr>
        <w:jc w:val="center"/>
        <w:rPr>
          <w:rFonts w:asciiTheme="minorEastAsia" w:hAnsiTheme="minorEastAsia" w:eastAsiaTheme="minorEastAsia" w:cstheme="minorEastAsia"/>
          <w:color w:val="auto"/>
          <w:szCs w:val="21"/>
        </w:rPr>
      </w:pPr>
      <w:bookmarkStart w:id="105" w:name="_Toc24802"/>
      <w:r>
        <w:rPr>
          <w:rFonts w:hint="eastAsia" w:asciiTheme="minorEastAsia" w:hAnsiTheme="minorEastAsia" w:eastAsiaTheme="minorEastAsia" w:cstheme="minorEastAsia"/>
          <w:color w:val="auto"/>
          <w:sz w:val="36"/>
          <w:szCs w:val="36"/>
        </w:rPr>
        <w:t>竞争性磋商采购评定办法</w:t>
      </w:r>
      <w:bookmarkEnd w:id="105"/>
    </w:p>
    <w:p>
      <w:pPr>
        <w:spacing w:line="360" w:lineRule="auto"/>
        <w:outlineLvl w:val="1"/>
        <w:rPr>
          <w:rFonts w:asciiTheme="minorEastAsia" w:hAnsiTheme="minorEastAsia" w:eastAsiaTheme="minorEastAsia" w:cstheme="minorEastAsia"/>
          <w:b/>
          <w:color w:val="auto"/>
          <w:szCs w:val="21"/>
        </w:rPr>
      </w:pPr>
      <w:bookmarkStart w:id="106" w:name="_Toc24499"/>
      <w:r>
        <w:rPr>
          <w:rFonts w:hint="eastAsia" w:asciiTheme="minorEastAsia" w:hAnsiTheme="minorEastAsia" w:eastAsiaTheme="minorEastAsia" w:cstheme="minorEastAsia"/>
          <w:b/>
          <w:color w:val="auto"/>
          <w:szCs w:val="21"/>
        </w:rPr>
        <w:t>一、评定办法前附表</w:t>
      </w:r>
      <w:bookmarkEnd w:id="106"/>
    </w:p>
    <w:tbl>
      <w:tblPr>
        <w:tblStyle w:val="26"/>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80"/>
        <w:gridCol w:w="851"/>
        <w:gridCol w:w="2160"/>
        <w:gridCol w:w="5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tblHeader/>
          <w:jc w:val="center"/>
        </w:trPr>
        <w:tc>
          <w:tcPr>
            <w:tcW w:w="1531" w:type="dxa"/>
            <w:gridSpan w:val="2"/>
            <w:vAlign w:val="center"/>
          </w:tcPr>
          <w:p>
            <w:pPr>
              <w:widowControl/>
              <w:spacing w:line="360" w:lineRule="auto"/>
              <w:jc w:val="center"/>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条款号</w:t>
            </w:r>
          </w:p>
        </w:tc>
        <w:tc>
          <w:tcPr>
            <w:tcW w:w="2160" w:type="dxa"/>
            <w:vAlign w:val="center"/>
          </w:tcPr>
          <w:p>
            <w:pPr>
              <w:widowControl/>
              <w:spacing w:line="360" w:lineRule="auto"/>
              <w:jc w:val="center"/>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评审因素</w:t>
            </w:r>
          </w:p>
        </w:tc>
        <w:tc>
          <w:tcPr>
            <w:tcW w:w="5671" w:type="dxa"/>
            <w:vAlign w:val="center"/>
          </w:tcPr>
          <w:p>
            <w:pPr>
              <w:widowControl/>
              <w:spacing w:line="360" w:lineRule="auto"/>
              <w:jc w:val="center"/>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8" w:hRule="atLeast"/>
          <w:jc w:val="center"/>
        </w:trPr>
        <w:tc>
          <w:tcPr>
            <w:tcW w:w="680" w:type="dxa"/>
            <w:vMerge w:val="restart"/>
            <w:vAlign w:val="center"/>
          </w:tcPr>
          <w:p>
            <w:pPr>
              <w:spacing w:line="360" w:lineRule="auto"/>
              <w:jc w:val="center"/>
              <w:rPr>
                <w:rFonts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1.1</w:t>
            </w:r>
          </w:p>
        </w:tc>
        <w:tc>
          <w:tcPr>
            <w:tcW w:w="851" w:type="dxa"/>
            <w:vMerge w:val="restart"/>
            <w:vAlign w:val="center"/>
          </w:tcPr>
          <w:p>
            <w:pPr>
              <w:spacing w:line="360" w:lineRule="auto"/>
              <w:jc w:val="center"/>
              <w:rPr>
                <w:rFonts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color w:val="auto"/>
                <w:szCs w:val="21"/>
              </w:rPr>
              <w:t>资格性审查标准</w:t>
            </w:r>
          </w:p>
        </w:tc>
        <w:tc>
          <w:tcPr>
            <w:tcW w:w="2160" w:type="dxa"/>
            <w:vAlign w:val="center"/>
          </w:tcPr>
          <w:p>
            <w:pPr>
              <w:widowControl/>
              <w:spacing w:line="360" w:lineRule="auto"/>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Cs w:val="21"/>
              </w:rPr>
              <w:t>满足《中华人民共和国政府采购法》第二十二条规定</w:t>
            </w:r>
          </w:p>
        </w:tc>
        <w:tc>
          <w:tcPr>
            <w:tcW w:w="5671" w:type="dxa"/>
            <w:vAlign w:val="center"/>
          </w:tcPr>
          <w:p>
            <w:pPr>
              <w:spacing w:line="360" w:lineRule="auto"/>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（1）具有独立承担民事责任的能力；</w:t>
            </w:r>
          </w:p>
          <w:p>
            <w:pPr>
              <w:spacing w:line="360" w:lineRule="auto"/>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（2）具有良好的商业信誉和健全的财务会计制度；</w:t>
            </w:r>
          </w:p>
          <w:p>
            <w:pPr>
              <w:spacing w:line="360" w:lineRule="auto"/>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（3）具有履行合同所必需的设备和专业技术能力；</w:t>
            </w:r>
          </w:p>
          <w:p>
            <w:pPr>
              <w:spacing w:line="360" w:lineRule="auto"/>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（4）有依法缴纳税收和社会保障资金的良好记录；</w:t>
            </w:r>
          </w:p>
          <w:p>
            <w:pPr>
              <w:spacing w:line="360" w:lineRule="auto"/>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（5）参加政府采购活动前三年内，在经营活动中没有重大违法记录；（重大违法记录是指供应商因违法经营受到刑事处罚或者责令停产停业、吊销许可证或者执照、较大数额罚款等行政处罚）</w:t>
            </w:r>
          </w:p>
          <w:p>
            <w:pPr>
              <w:widowControl/>
              <w:spacing w:line="360" w:lineRule="auto"/>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Cs w:val="21"/>
              </w:rPr>
              <w:t>（6）法律、行政法规规定的其他条件；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49" w:hRule="atLeast"/>
          <w:jc w:val="center"/>
        </w:trPr>
        <w:tc>
          <w:tcPr>
            <w:tcW w:w="680" w:type="dxa"/>
            <w:vMerge w:val="continue"/>
            <w:vAlign w:val="center"/>
          </w:tcPr>
          <w:p>
            <w:pPr>
              <w:widowControl/>
              <w:spacing w:line="360" w:lineRule="auto"/>
              <w:jc w:val="center"/>
              <w:rPr>
                <w:rFonts w:asciiTheme="minorEastAsia" w:hAnsiTheme="minorEastAsia" w:eastAsiaTheme="minorEastAsia" w:cstheme="minorEastAsia"/>
                <w:bCs/>
                <w:color w:val="auto"/>
                <w:kern w:val="0"/>
                <w:szCs w:val="21"/>
              </w:rPr>
            </w:pPr>
          </w:p>
        </w:tc>
        <w:tc>
          <w:tcPr>
            <w:tcW w:w="851" w:type="dxa"/>
            <w:vMerge w:val="continue"/>
            <w:vAlign w:val="center"/>
          </w:tcPr>
          <w:p>
            <w:pPr>
              <w:widowControl/>
              <w:spacing w:line="360" w:lineRule="auto"/>
              <w:jc w:val="center"/>
              <w:rPr>
                <w:rFonts w:asciiTheme="minorEastAsia" w:hAnsiTheme="minorEastAsia" w:eastAsiaTheme="minorEastAsia" w:cstheme="minorEastAsia"/>
                <w:color w:val="auto"/>
                <w:szCs w:val="21"/>
              </w:rPr>
            </w:pPr>
          </w:p>
        </w:tc>
        <w:tc>
          <w:tcPr>
            <w:tcW w:w="2160" w:type="dxa"/>
            <w:vMerge w:val="restart"/>
            <w:vAlign w:val="center"/>
          </w:tcPr>
          <w:p>
            <w:pPr>
              <w:widowControl/>
              <w:spacing w:line="360" w:lineRule="auto"/>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不得存在的情形</w:t>
            </w:r>
          </w:p>
        </w:tc>
        <w:tc>
          <w:tcPr>
            <w:tcW w:w="5671" w:type="dxa"/>
            <w:vAlign w:val="center"/>
          </w:tcPr>
          <w:p>
            <w:pPr>
              <w:spacing w:line="360" w:lineRule="auto"/>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Cs w:val="21"/>
              </w:rPr>
              <w:t>单位负责人为同一人或者存在直接控股、管理关系的不同磋商代表，不得参加本项目同一合同项下的政府采购活动。（按在采购代理机构获取文件的顺次序选择供应商参加本项目）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13" w:hRule="atLeast"/>
          <w:jc w:val="center"/>
        </w:trPr>
        <w:tc>
          <w:tcPr>
            <w:tcW w:w="680" w:type="dxa"/>
            <w:vMerge w:val="continue"/>
            <w:vAlign w:val="center"/>
          </w:tcPr>
          <w:p>
            <w:pPr>
              <w:widowControl/>
              <w:spacing w:line="360" w:lineRule="auto"/>
              <w:jc w:val="center"/>
              <w:rPr>
                <w:rFonts w:asciiTheme="minorEastAsia" w:hAnsiTheme="minorEastAsia" w:eastAsiaTheme="minorEastAsia" w:cstheme="minorEastAsia"/>
                <w:bCs/>
                <w:color w:val="auto"/>
                <w:kern w:val="0"/>
                <w:szCs w:val="21"/>
              </w:rPr>
            </w:pPr>
          </w:p>
        </w:tc>
        <w:tc>
          <w:tcPr>
            <w:tcW w:w="851" w:type="dxa"/>
            <w:vMerge w:val="continue"/>
            <w:vAlign w:val="center"/>
          </w:tcPr>
          <w:p>
            <w:pPr>
              <w:widowControl/>
              <w:spacing w:line="360" w:lineRule="auto"/>
              <w:jc w:val="center"/>
              <w:rPr>
                <w:rFonts w:asciiTheme="minorEastAsia" w:hAnsiTheme="minorEastAsia" w:eastAsiaTheme="minorEastAsia" w:cstheme="minorEastAsia"/>
                <w:color w:val="auto"/>
                <w:szCs w:val="21"/>
              </w:rPr>
            </w:pPr>
          </w:p>
        </w:tc>
        <w:tc>
          <w:tcPr>
            <w:tcW w:w="2160" w:type="dxa"/>
            <w:vMerge w:val="continue"/>
            <w:vAlign w:val="center"/>
          </w:tcPr>
          <w:p>
            <w:pPr>
              <w:widowControl/>
              <w:spacing w:line="360" w:lineRule="auto"/>
              <w:jc w:val="center"/>
              <w:rPr>
                <w:rFonts w:asciiTheme="minorEastAsia" w:hAnsiTheme="minorEastAsia" w:eastAsiaTheme="minorEastAsia" w:cstheme="minorEastAsia"/>
                <w:color w:val="auto"/>
                <w:szCs w:val="21"/>
                <w:lang w:val="zh-CN"/>
              </w:rPr>
            </w:pPr>
          </w:p>
        </w:tc>
        <w:tc>
          <w:tcPr>
            <w:tcW w:w="5671" w:type="dxa"/>
            <w:vAlign w:val="center"/>
          </w:tcPr>
          <w:p>
            <w:pPr>
              <w:spacing w:line="360" w:lineRule="auto"/>
              <w:jc w:val="left"/>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rPr>
              <w:t>为本采购项目提供整体设计、规范编制或者项目管理、监理、检测等服务的，不得再参加本项目的其他招标采购活动。</w:t>
            </w:r>
            <w:r>
              <w:rPr>
                <w:rFonts w:hint="eastAsia" w:asciiTheme="minorEastAsia" w:hAnsiTheme="minorEastAsia" w:eastAsiaTheme="minorEastAsia" w:cstheme="minorEastAsia"/>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8" w:hRule="atLeast"/>
          <w:jc w:val="center"/>
        </w:trPr>
        <w:tc>
          <w:tcPr>
            <w:tcW w:w="680" w:type="dxa"/>
            <w:vMerge w:val="continue"/>
            <w:vAlign w:val="center"/>
          </w:tcPr>
          <w:p>
            <w:pPr>
              <w:widowControl/>
              <w:spacing w:line="360" w:lineRule="auto"/>
              <w:jc w:val="center"/>
              <w:rPr>
                <w:rFonts w:asciiTheme="minorEastAsia" w:hAnsiTheme="minorEastAsia" w:eastAsiaTheme="minorEastAsia" w:cstheme="minorEastAsia"/>
                <w:bCs/>
                <w:color w:val="auto"/>
                <w:kern w:val="0"/>
                <w:szCs w:val="21"/>
              </w:rPr>
            </w:pPr>
          </w:p>
        </w:tc>
        <w:tc>
          <w:tcPr>
            <w:tcW w:w="851" w:type="dxa"/>
            <w:vMerge w:val="continue"/>
            <w:vAlign w:val="center"/>
          </w:tcPr>
          <w:p>
            <w:pPr>
              <w:widowControl/>
              <w:spacing w:line="360" w:lineRule="auto"/>
              <w:jc w:val="center"/>
              <w:rPr>
                <w:rFonts w:asciiTheme="minorEastAsia" w:hAnsiTheme="minorEastAsia" w:eastAsiaTheme="minorEastAsia" w:cstheme="minorEastAsia"/>
                <w:color w:val="auto"/>
                <w:szCs w:val="21"/>
              </w:rPr>
            </w:pPr>
          </w:p>
        </w:tc>
        <w:tc>
          <w:tcPr>
            <w:tcW w:w="2160" w:type="dxa"/>
            <w:vMerge w:val="continue"/>
            <w:vAlign w:val="center"/>
          </w:tcPr>
          <w:p>
            <w:pPr>
              <w:widowControl/>
              <w:spacing w:line="360" w:lineRule="auto"/>
              <w:jc w:val="center"/>
              <w:rPr>
                <w:rFonts w:asciiTheme="minorEastAsia" w:hAnsiTheme="minorEastAsia" w:eastAsiaTheme="minorEastAsia" w:cstheme="minorEastAsia"/>
                <w:color w:val="auto"/>
                <w:szCs w:val="21"/>
                <w:lang w:val="zh-CN"/>
              </w:rPr>
            </w:pPr>
          </w:p>
        </w:tc>
        <w:tc>
          <w:tcPr>
            <w:tcW w:w="5671" w:type="dxa"/>
            <w:vAlign w:val="center"/>
          </w:tcPr>
          <w:p>
            <w:pPr>
              <w:spacing w:line="360" w:lineRule="auto"/>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未被列入失信被执行人、重大税收违法案件当事人名单，未被列入政府采购严重违法失信行为记录名单。</w:t>
            </w:r>
          </w:p>
          <w:p>
            <w:pPr>
              <w:spacing w:line="360" w:lineRule="auto"/>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以递交响应文件截止之日，采购代理机构现场网络查询（链接：https://www.creditchina.gov.cn/）为准。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680" w:type="dxa"/>
            <w:vMerge w:val="continue"/>
            <w:vAlign w:val="center"/>
          </w:tcPr>
          <w:p>
            <w:pPr>
              <w:widowControl/>
              <w:spacing w:line="360" w:lineRule="auto"/>
              <w:jc w:val="center"/>
              <w:rPr>
                <w:rFonts w:asciiTheme="minorEastAsia" w:hAnsiTheme="minorEastAsia" w:eastAsiaTheme="minorEastAsia" w:cstheme="minorEastAsia"/>
                <w:bCs/>
                <w:color w:val="auto"/>
                <w:kern w:val="0"/>
                <w:szCs w:val="21"/>
              </w:rPr>
            </w:pPr>
          </w:p>
        </w:tc>
        <w:tc>
          <w:tcPr>
            <w:tcW w:w="851" w:type="dxa"/>
            <w:vMerge w:val="continue"/>
            <w:vAlign w:val="center"/>
          </w:tcPr>
          <w:p>
            <w:pPr>
              <w:widowControl/>
              <w:spacing w:line="360" w:lineRule="auto"/>
              <w:jc w:val="center"/>
              <w:rPr>
                <w:rFonts w:asciiTheme="minorEastAsia" w:hAnsiTheme="minorEastAsia" w:eastAsiaTheme="minorEastAsia" w:cstheme="minorEastAsia"/>
                <w:color w:val="auto"/>
                <w:szCs w:val="21"/>
              </w:rPr>
            </w:pPr>
          </w:p>
        </w:tc>
        <w:tc>
          <w:tcPr>
            <w:tcW w:w="2160" w:type="dxa"/>
            <w:vAlign w:val="center"/>
          </w:tcPr>
          <w:p>
            <w:pPr>
              <w:widowControl/>
              <w:spacing w:line="360" w:lineRule="auto"/>
              <w:jc w:val="center"/>
              <w:rPr>
                <w:rFonts w:asciiTheme="minorEastAsia" w:hAnsiTheme="minorEastAsia" w:eastAsiaTheme="minorEastAsia" w:cstheme="minorEastAsia"/>
                <w:color w:val="auto"/>
                <w:kern w:val="0"/>
                <w:szCs w:val="21"/>
                <w:lang w:val="zh-CN"/>
              </w:rPr>
            </w:pPr>
            <w:r>
              <w:rPr>
                <w:rFonts w:hint="eastAsia" w:asciiTheme="minorEastAsia" w:hAnsiTheme="minorEastAsia" w:eastAsiaTheme="minorEastAsia" w:cstheme="minorEastAsia"/>
                <w:color w:val="auto"/>
                <w:szCs w:val="21"/>
              </w:rPr>
              <w:t>落实政府采购政策需满足的资格要求</w:t>
            </w:r>
          </w:p>
        </w:tc>
        <w:tc>
          <w:tcPr>
            <w:tcW w:w="5671" w:type="dxa"/>
            <w:vAlign w:val="center"/>
          </w:tcPr>
          <w:p>
            <w:pPr>
              <w:widowControl/>
              <w:spacing w:line="360" w:lineRule="auto"/>
              <w:jc w:val="left"/>
              <w:rPr>
                <w:rFonts w:asciiTheme="minorEastAsia" w:hAnsiTheme="minorEastAsia" w:eastAsiaTheme="minorEastAsia" w:cstheme="minorEastAsia"/>
                <w:color w:val="auto"/>
                <w:kern w:val="0"/>
                <w:szCs w:val="21"/>
                <w:lang w:val="zh-CN"/>
              </w:rPr>
            </w:pPr>
            <w:r>
              <w:rPr>
                <w:rFonts w:hint="eastAsia" w:asciiTheme="minorEastAsia" w:hAnsiTheme="minorEastAsia" w:eastAsiaTheme="minorEastAsia" w:cstheme="minor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spacing w:line="360" w:lineRule="auto"/>
              <w:jc w:val="center"/>
              <w:rPr>
                <w:rFonts w:asciiTheme="minorEastAsia" w:hAnsiTheme="minorEastAsia" w:eastAsiaTheme="minorEastAsia" w:cstheme="minorEastAsia"/>
                <w:bCs/>
                <w:color w:val="auto"/>
                <w:kern w:val="0"/>
                <w:szCs w:val="21"/>
              </w:rPr>
            </w:pPr>
          </w:p>
        </w:tc>
        <w:tc>
          <w:tcPr>
            <w:tcW w:w="851" w:type="dxa"/>
            <w:vMerge w:val="continue"/>
            <w:vAlign w:val="center"/>
          </w:tcPr>
          <w:p>
            <w:pPr>
              <w:widowControl/>
              <w:spacing w:line="360" w:lineRule="auto"/>
              <w:jc w:val="center"/>
              <w:rPr>
                <w:rFonts w:asciiTheme="minorEastAsia" w:hAnsiTheme="minorEastAsia" w:eastAsiaTheme="minorEastAsia" w:cstheme="minorEastAsia"/>
                <w:color w:val="auto"/>
                <w:szCs w:val="21"/>
              </w:rPr>
            </w:pPr>
          </w:p>
        </w:tc>
        <w:tc>
          <w:tcPr>
            <w:tcW w:w="2160" w:type="dxa"/>
            <w:vAlign w:val="center"/>
          </w:tcPr>
          <w:p>
            <w:pPr>
              <w:widowControl/>
              <w:spacing w:line="360" w:lineRule="auto"/>
              <w:jc w:val="center"/>
              <w:rPr>
                <w:rFonts w:asciiTheme="minorEastAsia" w:hAnsiTheme="minorEastAsia" w:eastAsiaTheme="minorEastAsia" w:cstheme="minorEastAsia"/>
                <w:color w:val="auto"/>
                <w:kern w:val="0"/>
                <w:szCs w:val="21"/>
                <w:lang w:val="zh-CN"/>
              </w:rPr>
            </w:pPr>
            <w:r>
              <w:rPr>
                <w:rFonts w:hint="eastAsia" w:asciiTheme="minorEastAsia" w:hAnsiTheme="minorEastAsia" w:eastAsiaTheme="minorEastAsia" w:cstheme="minorEastAsia"/>
                <w:color w:val="auto"/>
                <w:szCs w:val="21"/>
              </w:rPr>
              <w:t>特定资格要求</w:t>
            </w:r>
          </w:p>
        </w:tc>
        <w:tc>
          <w:tcPr>
            <w:tcW w:w="5671" w:type="dxa"/>
            <w:vAlign w:val="center"/>
          </w:tcPr>
          <w:p>
            <w:pPr>
              <w:widowControl/>
              <w:spacing w:line="360" w:lineRule="auto"/>
              <w:jc w:val="left"/>
              <w:rPr>
                <w:rFonts w:asciiTheme="minorEastAsia" w:hAnsiTheme="minorEastAsia" w:eastAsiaTheme="minorEastAsia" w:cstheme="minorEastAsia"/>
                <w:color w:val="auto"/>
                <w:kern w:val="0"/>
                <w:szCs w:val="21"/>
                <w:lang w:val="zh-CN"/>
              </w:rPr>
            </w:pPr>
            <w:r>
              <w:rPr>
                <w:rFonts w:hint="eastAsia" w:asciiTheme="minorEastAsia" w:hAnsiTheme="minorEastAsia" w:eastAsiaTheme="minorEastAsia" w:cstheme="minorEastAsia"/>
                <w:color w:val="auto"/>
                <w:kern w:val="0"/>
                <w:szCs w:val="21"/>
              </w:rPr>
              <w:t>符合本采购文件第一章第二款第六条要求，并提供合格有效的证明材料</w:t>
            </w:r>
            <w:r>
              <w:rPr>
                <w:rFonts w:hint="eastAsia" w:asciiTheme="minorEastAsia" w:hAnsiTheme="minorEastAsia" w:eastAsiaTheme="minorEastAsia" w:cstheme="minorEastAsia"/>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restart"/>
            <w:vAlign w:val="center"/>
          </w:tcPr>
          <w:p>
            <w:pPr>
              <w:spacing w:line="360" w:lineRule="auto"/>
              <w:jc w:val="center"/>
              <w:rPr>
                <w:rFonts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1.2</w:t>
            </w:r>
          </w:p>
        </w:tc>
        <w:tc>
          <w:tcPr>
            <w:tcW w:w="851" w:type="dxa"/>
            <w:vMerge w:val="restart"/>
            <w:vAlign w:val="center"/>
          </w:tcPr>
          <w:p>
            <w:pPr>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符合性审查标准</w:t>
            </w:r>
          </w:p>
          <w:p>
            <w:pPr>
              <w:spacing w:line="360" w:lineRule="auto"/>
              <w:jc w:val="center"/>
              <w:rPr>
                <w:rFonts w:asciiTheme="minorEastAsia" w:hAnsiTheme="minorEastAsia" w:eastAsiaTheme="minorEastAsia" w:cstheme="minorEastAsia"/>
                <w:color w:val="auto"/>
                <w:szCs w:val="21"/>
              </w:rPr>
            </w:pPr>
          </w:p>
        </w:tc>
        <w:tc>
          <w:tcPr>
            <w:tcW w:w="2160" w:type="dxa"/>
            <w:vAlign w:val="center"/>
          </w:tcPr>
          <w:p>
            <w:pPr>
              <w:widowControl/>
              <w:spacing w:line="360" w:lineRule="auto"/>
              <w:jc w:val="center"/>
              <w:rPr>
                <w:rFonts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color w:val="auto"/>
                <w:kern w:val="0"/>
                <w:szCs w:val="21"/>
              </w:rPr>
              <w:t>磋商保证金（如有）</w:t>
            </w:r>
          </w:p>
        </w:tc>
        <w:tc>
          <w:tcPr>
            <w:tcW w:w="5671" w:type="dxa"/>
            <w:vAlign w:val="center"/>
          </w:tcPr>
          <w:p>
            <w:pPr>
              <w:widowControl/>
              <w:spacing w:line="360" w:lineRule="auto"/>
              <w:rPr>
                <w:rFonts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供应商是否按照磋商文件提交投标保证金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38" w:hRule="atLeast"/>
          <w:jc w:val="center"/>
        </w:trPr>
        <w:tc>
          <w:tcPr>
            <w:tcW w:w="680" w:type="dxa"/>
            <w:vMerge w:val="continue"/>
            <w:vAlign w:val="center"/>
          </w:tcPr>
          <w:p>
            <w:pPr>
              <w:widowControl/>
              <w:spacing w:line="360" w:lineRule="auto"/>
              <w:jc w:val="center"/>
              <w:rPr>
                <w:rFonts w:asciiTheme="minorEastAsia" w:hAnsiTheme="minorEastAsia" w:eastAsiaTheme="minorEastAsia" w:cstheme="minorEastAsia"/>
                <w:bCs/>
                <w:color w:val="auto"/>
                <w:kern w:val="0"/>
                <w:szCs w:val="21"/>
              </w:rPr>
            </w:pPr>
          </w:p>
        </w:tc>
        <w:tc>
          <w:tcPr>
            <w:tcW w:w="851" w:type="dxa"/>
            <w:vMerge w:val="continue"/>
            <w:vAlign w:val="center"/>
          </w:tcPr>
          <w:p>
            <w:pPr>
              <w:widowControl/>
              <w:spacing w:line="360" w:lineRule="auto"/>
              <w:jc w:val="center"/>
              <w:rPr>
                <w:rFonts w:asciiTheme="minorEastAsia" w:hAnsiTheme="minorEastAsia" w:eastAsiaTheme="minorEastAsia" w:cstheme="minorEastAsia"/>
                <w:bCs/>
                <w:color w:val="auto"/>
                <w:kern w:val="0"/>
                <w:szCs w:val="21"/>
              </w:rPr>
            </w:pPr>
          </w:p>
        </w:tc>
        <w:tc>
          <w:tcPr>
            <w:tcW w:w="2160" w:type="dxa"/>
            <w:vAlign w:val="center"/>
          </w:tcPr>
          <w:p>
            <w:pPr>
              <w:widowControl/>
              <w:spacing w:line="360" w:lineRule="auto"/>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磋商报价</w:t>
            </w:r>
          </w:p>
        </w:tc>
        <w:tc>
          <w:tcPr>
            <w:tcW w:w="5671" w:type="dxa"/>
            <w:vAlign w:val="center"/>
          </w:tcPr>
          <w:p>
            <w:pPr>
              <w:widowControl/>
              <w:spacing w:line="360" w:lineRule="auto"/>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磋商报价是否符合磋商文件要求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680" w:type="dxa"/>
            <w:vMerge w:val="continue"/>
            <w:vAlign w:val="center"/>
          </w:tcPr>
          <w:p>
            <w:pPr>
              <w:widowControl/>
              <w:spacing w:line="360" w:lineRule="auto"/>
              <w:jc w:val="center"/>
              <w:rPr>
                <w:rFonts w:asciiTheme="minorEastAsia" w:hAnsiTheme="minorEastAsia" w:eastAsiaTheme="minorEastAsia" w:cstheme="minorEastAsia"/>
                <w:bCs/>
                <w:color w:val="auto"/>
                <w:kern w:val="0"/>
                <w:szCs w:val="21"/>
              </w:rPr>
            </w:pPr>
          </w:p>
        </w:tc>
        <w:tc>
          <w:tcPr>
            <w:tcW w:w="851" w:type="dxa"/>
            <w:vMerge w:val="continue"/>
            <w:vAlign w:val="center"/>
          </w:tcPr>
          <w:p>
            <w:pPr>
              <w:widowControl/>
              <w:spacing w:line="360" w:lineRule="auto"/>
              <w:jc w:val="center"/>
              <w:rPr>
                <w:rFonts w:asciiTheme="minorEastAsia" w:hAnsiTheme="minorEastAsia" w:eastAsiaTheme="minorEastAsia" w:cstheme="minorEastAsia"/>
                <w:bCs/>
                <w:color w:val="auto"/>
                <w:kern w:val="0"/>
                <w:szCs w:val="21"/>
              </w:rPr>
            </w:pPr>
          </w:p>
        </w:tc>
        <w:tc>
          <w:tcPr>
            <w:tcW w:w="2160" w:type="dxa"/>
            <w:vAlign w:val="center"/>
          </w:tcPr>
          <w:p>
            <w:pPr>
              <w:widowControl/>
              <w:spacing w:line="360" w:lineRule="auto"/>
              <w:jc w:val="center"/>
              <w:rPr>
                <w:rFonts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color w:val="auto"/>
                <w:kern w:val="0"/>
                <w:szCs w:val="21"/>
              </w:rPr>
              <w:t>磋商书签字盖章</w:t>
            </w:r>
          </w:p>
        </w:tc>
        <w:tc>
          <w:tcPr>
            <w:tcW w:w="5671" w:type="dxa"/>
            <w:vAlign w:val="center"/>
          </w:tcPr>
          <w:p>
            <w:pPr>
              <w:widowControl/>
              <w:spacing w:line="360" w:lineRule="auto"/>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是否有法定代表人或其委托代理人签字并加盖单位公章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spacing w:line="360" w:lineRule="auto"/>
              <w:jc w:val="center"/>
              <w:rPr>
                <w:rFonts w:asciiTheme="minorEastAsia" w:hAnsiTheme="minorEastAsia" w:eastAsiaTheme="minorEastAsia" w:cstheme="minorEastAsia"/>
                <w:bCs/>
                <w:color w:val="auto"/>
                <w:kern w:val="0"/>
                <w:szCs w:val="21"/>
              </w:rPr>
            </w:pPr>
          </w:p>
        </w:tc>
        <w:tc>
          <w:tcPr>
            <w:tcW w:w="851" w:type="dxa"/>
            <w:vMerge w:val="continue"/>
            <w:vAlign w:val="center"/>
          </w:tcPr>
          <w:p>
            <w:pPr>
              <w:widowControl/>
              <w:spacing w:line="360" w:lineRule="auto"/>
              <w:jc w:val="center"/>
              <w:rPr>
                <w:rFonts w:asciiTheme="minorEastAsia" w:hAnsiTheme="minorEastAsia" w:eastAsiaTheme="minorEastAsia" w:cstheme="minorEastAsia"/>
                <w:bCs/>
                <w:color w:val="auto"/>
                <w:kern w:val="0"/>
                <w:szCs w:val="21"/>
              </w:rPr>
            </w:pPr>
          </w:p>
        </w:tc>
        <w:tc>
          <w:tcPr>
            <w:tcW w:w="2160" w:type="dxa"/>
            <w:vAlign w:val="center"/>
          </w:tcPr>
          <w:p>
            <w:pPr>
              <w:widowControl/>
              <w:spacing w:line="360" w:lineRule="auto"/>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磋商有效期</w:t>
            </w:r>
          </w:p>
        </w:tc>
        <w:tc>
          <w:tcPr>
            <w:tcW w:w="5671" w:type="dxa"/>
            <w:vAlign w:val="center"/>
          </w:tcPr>
          <w:p>
            <w:pPr>
              <w:widowControl/>
              <w:spacing w:line="360" w:lineRule="auto"/>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磋商有效期是否满足竞争性磋商采购文件要求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spacing w:line="360" w:lineRule="auto"/>
              <w:jc w:val="center"/>
              <w:rPr>
                <w:rFonts w:asciiTheme="minorEastAsia" w:hAnsiTheme="minorEastAsia" w:eastAsiaTheme="minorEastAsia" w:cstheme="minorEastAsia"/>
                <w:bCs/>
                <w:color w:val="auto"/>
                <w:kern w:val="0"/>
                <w:szCs w:val="21"/>
              </w:rPr>
            </w:pPr>
          </w:p>
        </w:tc>
        <w:tc>
          <w:tcPr>
            <w:tcW w:w="851" w:type="dxa"/>
            <w:vMerge w:val="continue"/>
            <w:vAlign w:val="center"/>
          </w:tcPr>
          <w:p>
            <w:pPr>
              <w:widowControl/>
              <w:spacing w:line="360" w:lineRule="auto"/>
              <w:jc w:val="center"/>
              <w:rPr>
                <w:rFonts w:asciiTheme="minorEastAsia" w:hAnsiTheme="minorEastAsia" w:eastAsiaTheme="minorEastAsia" w:cstheme="minorEastAsia"/>
                <w:bCs/>
                <w:color w:val="auto"/>
                <w:kern w:val="0"/>
                <w:szCs w:val="21"/>
              </w:rPr>
            </w:pPr>
          </w:p>
        </w:tc>
        <w:tc>
          <w:tcPr>
            <w:tcW w:w="2160" w:type="dxa"/>
            <w:vAlign w:val="center"/>
          </w:tcPr>
          <w:p>
            <w:pPr>
              <w:widowControl/>
              <w:spacing w:line="360" w:lineRule="auto"/>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信誉情况</w:t>
            </w:r>
          </w:p>
        </w:tc>
        <w:tc>
          <w:tcPr>
            <w:tcW w:w="5671" w:type="dxa"/>
            <w:vAlign w:val="center"/>
          </w:tcPr>
          <w:p>
            <w:pPr>
              <w:widowControl/>
              <w:spacing w:line="360" w:lineRule="auto"/>
              <w:rPr>
                <w:rFonts w:asciiTheme="minorEastAsia" w:hAnsiTheme="minorEastAsia" w:eastAsiaTheme="minorEastAsia" w:cstheme="minorEastAsia"/>
                <w:color w:val="auto"/>
                <w:kern w:val="0"/>
                <w:szCs w:val="21"/>
              </w:rPr>
            </w:pPr>
            <w:r>
              <w:rPr>
                <w:rFonts w:hint="eastAsia" w:ascii="宋体" w:hAnsi="宋体" w:cs="宋体"/>
                <w:color w:val="auto"/>
                <w:kern w:val="0"/>
                <w:szCs w:val="21"/>
              </w:rPr>
              <w:t>参加本</w:t>
            </w:r>
            <w:r>
              <w:rPr>
                <w:rFonts w:hint="eastAsia" w:ascii="宋体" w:hAnsi="宋体" w:cs="宋体"/>
                <w:color w:val="auto"/>
                <w:kern w:val="0"/>
                <w:szCs w:val="21"/>
                <w:shd w:val="clear" w:color="auto" w:fill="FFFFFF"/>
              </w:rPr>
              <w:t>次政府采购活动前三年内，是否有不良经济纠纷记录和违法行为（供应商提供声明或承诺书，格式自拟）；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spacing w:line="360" w:lineRule="auto"/>
              <w:jc w:val="center"/>
              <w:rPr>
                <w:rFonts w:asciiTheme="minorEastAsia" w:hAnsiTheme="minorEastAsia" w:eastAsiaTheme="minorEastAsia" w:cstheme="minorEastAsia"/>
                <w:bCs/>
                <w:color w:val="auto"/>
                <w:kern w:val="0"/>
                <w:szCs w:val="21"/>
              </w:rPr>
            </w:pPr>
          </w:p>
        </w:tc>
        <w:tc>
          <w:tcPr>
            <w:tcW w:w="851" w:type="dxa"/>
            <w:vMerge w:val="continue"/>
            <w:vAlign w:val="center"/>
          </w:tcPr>
          <w:p>
            <w:pPr>
              <w:widowControl/>
              <w:spacing w:line="360" w:lineRule="auto"/>
              <w:jc w:val="center"/>
              <w:rPr>
                <w:rFonts w:asciiTheme="minorEastAsia" w:hAnsiTheme="minorEastAsia" w:eastAsiaTheme="minorEastAsia" w:cstheme="minorEastAsia"/>
                <w:bCs/>
                <w:color w:val="auto"/>
                <w:kern w:val="0"/>
                <w:szCs w:val="21"/>
              </w:rPr>
            </w:pPr>
          </w:p>
        </w:tc>
        <w:tc>
          <w:tcPr>
            <w:tcW w:w="2160" w:type="dxa"/>
            <w:vMerge w:val="restart"/>
            <w:vAlign w:val="center"/>
          </w:tcPr>
          <w:p>
            <w:pPr>
              <w:widowControl/>
              <w:spacing w:line="360" w:lineRule="auto"/>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采购需求响应</w:t>
            </w:r>
          </w:p>
        </w:tc>
        <w:tc>
          <w:tcPr>
            <w:tcW w:w="5671" w:type="dxa"/>
            <w:vAlign w:val="center"/>
          </w:tcPr>
          <w:p>
            <w:pPr>
              <w:widowControl/>
              <w:spacing w:line="360" w:lineRule="auto"/>
              <w:rPr>
                <w:rFonts w:asciiTheme="minorEastAsia" w:hAnsiTheme="minorEastAsia" w:eastAsiaTheme="minorEastAsia" w:cstheme="minorEastAsia"/>
                <w:color w:val="auto"/>
                <w:kern w:val="0"/>
                <w:szCs w:val="21"/>
              </w:rPr>
            </w:pPr>
            <w:r>
              <w:rPr>
                <w:rFonts w:hint="eastAsia" w:ascii="宋体" w:hAnsi="宋体" w:cs="宋体"/>
                <w:color w:val="auto"/>
                <w:kern w:val="0"/>
                <w:szCs w:val="21"/>
                <w:shd w:val="clear" w:color="auto" w:fill="FFFFFF"/>
              </w:rPr>
              <w:t>带“★”号条款（如有）是否实质性响应磋商文件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spacing w:line="360" w:lineRule="auto"/>
              <w:jc w:val="center"/>
              <w:rPr>
                <w:rFonts w:asciiTheme="minorEastAsia" w:hAnsiTheme="minorEastAsia" w:eastAsiaTheme="minorEastAsia" w:cstheme="minorEastAsia"/>
                <w:bCs/>
                <w:color w:val="auto"/>
                <w:kern w:val="0"/>
                <w:szCs w:val="21"/>
              </w:rPr>
            </w:pPr>
          </w:p>
        </w:tc>
        <w:tc>
          <w:tcPr>
            <w:tcW w:w="851" w:type="dxa"/>
            <w:vMerge w:val="continue"/>
            <w:vAlign w:val="center"/>
          </w:tcPr>
          <w:p>
            <w:pPr>
              <w:widowControl/>
              <w:spacing w:line="360" w:lineRule="auto"/>
              <w:jc w:val="center"/>
              <w:rPr>
                <w:rFonts w:asciiTheme="minorEastAsia" w:hAnsiTheme="minorEastAsia" w:eastAsiaTheme="minorEastAsia" w:cstheme="minorEastAsia"/>
                <w:bCs/>
                <w:color w:val="auto"/>
                <w:kern w:val="0"/>
                <w:szCs w:val="21"/>
              </w:rPr>
            </w:pPr>
          </w:p>
        </w:tc>
        <w:tc>
          <w:tcPr>
            <w:tcW w:w="2160" w:type="dxa"/>
            <w:vMerge w:val="continue"/>
            <w:vAlign w:val="center"/>
          </w:tcPr>
          <w:p>
            <w:pPr>
              <w:widowControl/>
              <w:spacing w:line="360" w:lineRule="auto"/>
              <w:jc w:val="center"/>
              <w:rPr>
                <w:rFonts w:asciiTheme="minorEastAsia" w:hAnsiTheme="minorEastAsia" w:eastAsiaTheme="minorEastAsia" w:cstheme="minorEastAsia"/>
                <w:color w:val="auto"/>
                <w:kern w:val="0"/>
                <w:szCs w:val="21"/>
              </w:rPr>
            </w:pPr>
          </w:p>
        </w:tc>
        <w:tc>
          <w:tcPr>
            <w:tcW w:w="5671" w:type="dxa"/>
            <w:vAlign w:val="center"/>
          </w:tcPr>
          <w:p>
            <w:pPr>
              <w:widowControl/>
              <w:spacing w:line="360" w:lineRule="auto"/>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是否有提出采购人不能接受的合同条件的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794" w:hRule="atLeast"/>
          <w:jc w:val="center"/>
        </w:trPr>
        <w:tc>
          <w:tcPr>
            <w:tcW w:w="680" w:type="dxa"/>
            <w:vMerge w:val="continue"/>
            <w:vAlign w:val="center"/>
          </w:tcPr>
          <w:p>
            <w:pPr>
              <w:widowControl/>
              <w:spacing w:line="360" w:lineRule="auto"/>
              <w:jc w:val="center"/>
              <w:rPr>
                <w:rFonts w:asciiTheme="minorEastAsia" w:hAnsiTheme="minorEastAsia" w:eastAsiaTheme="minorEastAsia" w:cstheme="minorEastAsia"/>
                <w:bCs/>
                <w:color w:val="auto"/>
                <w:kern w:val="0"/>
                <w:szCs w:val="21"/>
              </w:rPr>
            </w:pPr>
          </w:p>
        </w:tc>
        <w:tc>
          <w:tcPr>
            <w:tcW w:w="851" w:type="dxa"/>
            <w:vMerge w:val="continue"/>
            <w:vAlign w:val="center"/>
          </w:tcPr>
          <w:p>
            <w:pPr>
              <w:widowControl/>
              <w:spacing w:line="360" w:lineRule="auto"/>
              <w:jc w:val="center"/>
              <w:rPr>
                <w:rFonts w:asciiTheme="minorEastAsia" w:hAnsiTheme="minorEastAsia" w:eastAsiaTheme="minorEastAsia" w:cstheme="minorEastAsia"/>
                <w:bCs/>
                <w:color w:val="auto"/>
                <w:kern w:val="0"/>
                <w:szCs w:val="21"/>
              </w:rPr>
            </w:pPr>
          </w:p>
        </w:tc>
        <w:tc>
          <w:tcPr>
            <w:tcW w:w="2160" w:type="dxa"/>
            <w:vAlign w:val="center"/>
          </w:tcPr>
          <w:p>
            <w:pPr>
              <w:autoSpaceDE w:val="0"/>
              <w:autoSpaceDN w:val="0"/>
              <w:adjustRightInd w:val="0"/>
              <w:snapToGrid w:val="0"/>
              <w:spacing w:line="360" w:lineRule="auto"/>
              <w:jc w:val="center"/>
              <w:rPr>
                <w:rFonts w:ascii="宋体" w:hAnsi="宋体"/>
                <w:color w:val="auto"/>
                <w:szCs w:val="21"/>
              </w:rPr>
            </w:pPr>
            <w:r>
              <w:rPr>
                <w:rFonts w:hint="eastAsia" w:ascii="宋体" w:hAnsi="宋体"/>
                <w:color w:val="auto"/>
                <w:szCs w:val="21"/>
              </w:rPr>
              <w:t>其他要求（一）</w:t>
            </w:r>
          </w:p>
        </w:tc>
        <w:tc>
          <w:tcPr>
            <w:tcW w:w="5671" w:type="dxa"/>
            <w:vAlign w:val="center"/>
          </w:tcPr>
          <w:p>
            <w:p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供应商未有下列任一情形：</w:t>
            </w:r>
          </w:p>
          <w:p>
            <w:p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（1）不同供应商的响应文件由同一单位或者个人编制；</w:t>
            </w:r>
          </w:p>
          <w:p>
            <w:p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（2）不同供应商委托同一单位或者个人办理投标事宜；</w:t>
            </w:r>
          </w:p>
          <w:p>
            <w:p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（3）不同供应商的响应文件载明的项目管理成员或者联系人员为同一人；</w:t>
            </w:r>
          </w:p>
          <w:p>
            <w:p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（4）不同供应商的响应文件异常一致或者投标报价呈规律性差异；</w:t>
            </w:r>
          </w:p>
          <w:p>
            <w:p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（5）不同供应商的响应文件相互混装。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6" w:hRule="atLeast"/>
          <w:jc w:val="center"/>
        </w:trPr>
        <w:tc>
          <w:tcPr>
            <w:tcW w:w="680" w:type="dxa"/>
            <w:vMerge w:val="continue"/>
            <w:vAlign w:val="center"/>
          </w:tcPr>
          <w:p>
            <w:pPr>
              <w:widowControl/>
              <w:spacing w:line="360" w:lineRule="auto"/>
              <w:jc w:val="center"/>
              <w:rPr>
                <w:rFonts w:asciiTheme="minorEastAsia" w:hAnsiTheme="minorEastAsia" w:eastAsiaTheme="minorEastAsia" w:cstheme="minorEastAsia"/>
                <w:bCs/>
                <w:color w:val="auto"/>
                <w:kern w:val="0"/>
                <w:szCs w:val="21"/>
              </w:rPr>
            </w:pPr>
          </w:p>
        </w:tc>
        <w:tc>
          <w:tcPr>
            <w:tcW w:w="851" w:type="dxa"/>
            <w:vMerge w:val="continue"/>
            <w:vAlign w:val="center"/>
          </w:tcPr>
          <w:p>
            <w:pPr>
              <w:widowControl/>
              <w:spacing w:line="360" w:lineRule="auto"/>
              <w:jc w:val="center"/>
              <w:rPr>
                <w:rFonts w:asciiTheme="minorEastAsia" w:hAnsiTheme="minorEastAsia" w:eastAsiaTheme="minorEastAsia" w:cstheme="minorEastAsia"/>
                <w:bCs/>
                <w:color w:val="auto"/>
                <w:kern w:val="0"/>
                <w:szCs w:val="21"/>
              </w:rPr>
            </w:pPr>
          </w:p>
        </w:tc>
        <w:tc>
          <w:tcPr>
            <w:tcW w:w="2160" w:type="dxa"/>
            <w:vAlign w:val="center"/>
          </w:tcPr>
          <w:p>
            <w:pPr>
              <w:widowControl/>
              <w:spacing w:line="360" w:lineRule="auto"/>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其他要求（二）</w:t>
            </w:r>
          </w:p>
        </w:tc>
        <w:tc>
          <w:tcPr>
            <w:tcW w:w="5671" w:type="dxa"/>
            <w:vAlign w:val="center"/>
          </w:tcPr>
          <w:p>
            <w:pPr>
              <w:widowControl/>
              <w:spacing w:line="360" w:lineRule="auto"/>
              <w:rPr>
                <w:rFonts w:asciiTheme="minorEastAsia" w:hAnsiTheme="minorEastAsia" w:eastAsiaTheme="minorEastAsia" w:cstheme="minorEastAsia"/>
                <w:color w:val="auto"/>
                <w:kern w:val="0"/>
                <w:szCs w:val="21"/>
              </w:rPr>
            </w:pPr>
            <w:r>
              <w:rPr>
                <w:rFonts w:hint="eastAsia" w:ascii="宋体" w:hAnsi="宋体" w:cs="宋体"/>
                <w:color w:val="auto"/>
                <w:kern w:val="0"/>
                <w:szCs w:val="21"/>
              </w:rPr>
              <w:t>磋商文件中规定被视为无效投标其它条款的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99" w:hRule="atLeast"/>
          <w:jc w:val="center"/>
        </w:trPr>
        <w:tc>
          <w:tcPr>
            <w:tcW w:w="680" w:type="dxa"/>
            <w:vMerge w:val="restart"/>
            <w:vAlign w:val="center"/>
          </w:tcPr>
          <w:p>
            <w:pPr>
              <w:widowControl/>
              <w:spacing w:line="360" w:lineRule="auto"/>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2</w:t>
            </w:r>
          </w:p>
        </w:tc>
        <w:tc>
          <w:tcPr>
            <w:tcW w:w="851" w:type="dxa"/>
            <w:vMerge w:val="restart"/>
            <w:vAlign w:val="center"/>
          </w:tcPr>
          <w:p>
            <w:pPr>
              <w:widowControl/>
              <w:spacing w:line="360" w:lineRule="auto"/>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确定磋商供应商进行最后报价</w:t>
            </w:r>
          </w:p>
        </w:tc>
        <w:tc>
          <w:tcPr>
            <w:tcW w:w="2160" w:type="dxa"/>
            <w:vAlign w:val="center"/>
          </w:tcPr>
          <w:p>
            <w:pPr>
              <w:widowControl/>
              <w:spacing w:line="360" w:lineRule="auto"/>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磋商文件能完整、明确列明采购需求，无需要供应商提供最终设计方案或者解决方案的</w:t>
            </w:r>
          </w:p>
        </w:tc>
        <w:tc>
          <w:tcPr>
            <w:tcW w:w="5671" w:type="dxa"/>
            <w:vAlign w:val="center"/>
          </w:tcPr>
          <w:p>
            <w:pPr>
              <w:widowControl/>
              <w:spacing w:line="360" w:lineRule="auto"/>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在磋商结束后，磋商小组向所有通过资格性和符合性审查的磋商供应商发出报价书，并要求其在规定时间内提交最后报价。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48" w:hRule="atLeast"/>
          <w:jc w:val="center"/>
        </w:trPr>
        <w:tc>
          <w:tcPr>
            <w:tcW w:w="680" w:type="dxa"/>
            <w:vMerge w:val="continue"/>
            <w:vAlign w:val="center"/>
          </w:tcPr>
          <w:p>
            <w:pPr>
              <w:widowControl/>
              <w:spacing w:line="360" w:lineRule="auto"/>
              <w:jc w:val="center"/>
              <w:rPr>
                <w:rFonts w:asciiTheme="minorEastAsia" w:hAnsiTheme="minorEastAsia" w:eastAsiaTheme="minorEastAsia" w:cstheme="minorEastAsia"/>
                <w:color w:val="auto"/>
                <w:kern w:val="0"/>
                <w:szCs w:val="21"/>
              </w:rPr>
            </w:pPr>
          </w:p>
        </w:tc>
        <w:tc>
          <w:tcPr>
            <w:tcW w:w="851" w:type="dxa"/>
            <w:vMerge w:val="continue"/>
            <w:vAlign w:val="center"/>
          </w:tcPr>
          <w:p>
            <w:pPr>
              <w:widowControl/>
              <w:spacing w:line="360" w:lineRule="auto"/>
              <w:jc w:val="center"/>
              <w:rPr>
                <w:rFonts w:asciiTheme="minorEastAsia" w:hAnsiTheme="minorEastAsia" w:eastAsiaTheme="minorEastAsia" w:cstheme="minorEastAsia"/>
                <w:color w:val="auto"/>
                <w:kern w:val="0"/>
                <w:szCs w:val="21"/>
              </w:rPr>
            </w:pPr>
          </w:p>
        </w:tc>
        <w:tc>
          <w:tcPr>
            <w:tcW w:w="2160" w:type="dxa"/>
            <w:vAlign w:val="center"/>
          </w:tcPr>
          <w:p>
            <w:pPr>
              <w:widowControl/>
              <w:spacing w:line="360" w:lineRule="auto"/>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磋商文件不能完整、明确列明采购需求，需要由供应商提供最终设计方案或者解决方案的</w:t>
            </w:r>
          </w:p>
        </w:tc>
        <w:tc>
          <w:tcPr>
            <w:tcW w:w="5671" w:type="dxa"/>
            <w:vAlign w:val="center"/>
          </w:tcPr>
          <w:p>
            <w:pPr>
              <w:widowControl/>
              <w:spacing w:line="360" w:lineRule="auto"/>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在磋商结束后，磋商小组应当按照少数服从多数的原则投票推荐供应商的设计方案或者解决方案，并要求其在规定时间内提交最后报价。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8" w:hRule="atLeast"/>
          <w:jc w:val="center"/>
        </w:trPr>
        <w:tc>
          <w:tcPr>
            <w:tcW w:w="680" w:type="dxa"/>
            <w:vAlign w:val="center"/>
          </w:tcPr>
          <w:p>
            <w:pPr>
              <w:widowControl/>
              <w:spacing w:line="360" w:lineRule="auto"/>
              <w:jc w:val="center"/>
              <w:rPr>
                <w:rFonts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3</w:t>
            </w:r>
          </w:p>
        </w:tc>
        <w:tc>
          <w:tcPr>
            <w:tcW w:w="851" w:type="dxa"/>
            <w:vAlign w:val="center"/>
          </w:tcPr>
          <w:p>
            <w:pPr>
              <w:widowControl/>
              <w:spacing w:line="360" w:lineRule="auto"/>
              <w:jc w:val="center"/>
              <w:rPr>
                <w:rFonts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评定</w:t>
            </w:r>
          </w:p>
          <w:p>
            <w:pPr>
              <w:widowControl/>
              <w:spacing w:line="360" w:lineRule="auto"/>
              <w:jc w:val="center"/>
              <w:rPr>
                <w:rFonts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办法</w:t>
            </w:r>
          </w:p>
        </w:tc>
        <w:tc>
          <w:tcPr>
            <w:tcW w:w="2160" w:type="dxa"/>
            <w:vAlign w:val="center"/>
          </w:tcPr>
          <w:p>
            <w:pPr>
              <w:spacing w:line="360" w:lineRule="auto"/>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Cs/>
                <w:color w:val="auto"/>
                <w:kern w:val="0"/>
                <w:szCs w:val="21"/>
              </w:rPr>
              <w:t>综合评分法</w:t>
            </w:r>
          </w:p>
        </w:tc>
        <w:tc>
          <w:tcPr>
            <w:tcW w:w="5671" w:type="dxa"/>
            <w:vAlign w:val="center"/>
          </w:tcPr>
          <w:p>
            <w:pPr>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各供应商的最终得分为各评委所评定分数的算术平均值。磋商小组将根据供应商最终得分由高到低的照顺序推荐3名成交候选人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16" w:hRule="atLeast"/>
          <w:jc w:val="center"/>
        </w:trPr>
        <w:tc>
          <w:tcPr>
            <w:tcW w:w="9362" w:type="dxa"/>
            <w:gridSpan w:val="4"/>
            <w:vAlign w:val="center"/>
          </w:tcPr>
          <w:p>
            <w:pPr>
              <w:widowControl/>
              <w:pBdr>
                <w:between w:val="single" w:color="auto" w:sz="4" w:space="0"/>
              </w:pBdr>
              <w:spacing w:line="360" w:lineRule="auto"/>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
                <w:color w:val="auto"/>
                <w:kern w:val="0"/>
                <w:szCs w:val="21"/>
              </w:rPr>
              <w:t>政策支持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spacing w:line="360" w:lineRule="auto"/>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所属行业及</w:t>
            </w:r>
          </w:p>
          <w:p>
            <w:pPr>
              <w:widowControl/>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划型标准</w:t>
            </w:r>
          </w:p>
        </w:tc>
        <w:tc>
          <w:tcPr>
            <w:tcW w:w="7831" w:type="dxa"/>
            <w:gridSpan w:val="2"/>
            <w:vAlign w:val="center"/>
          </w:tcPr>
          <w:p>
            <w:pPr>
              <w:widowControl/>
              <w:spacing w:line="360" w:lineRule="auto"/>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类型：</w:t>
            </w:r>
            <w:r>
              <w:rPr>
                <w:rFonts w:hint="eastAsia" w:ascii="宋体" w:hAnsi="宋体" w:cs="宋体"/>
                <w:color w:val="auto"/>
                <w:kern w:val="0"/>
                <w:szCs w:val="21"/>
                <w:lang w:bidi="ar"/>
              </w:rPr>
              <w:t>其他未列明行业</w:t>
            </w:r>
          </w:p>
          <w:p>
            <w:pPr>
              <w:widowControl/>
              <w:spacing w:line="360" w:lineRule="auto"/>
              <w:rPr>
                <w:rFonts w:asciiTheme="minorEastAsia" w:hAnsiTheme="minorEastAsia" w:eastAsiaTheme="minorEastAsia" w:cstheme="minorEastAsia"/>
                <w:color w:val="auto"/>
                <w:kern w:val="0"/>
                <w:szCs w:val="21"/>
                <w:u w:val="single"/>
              </w:rPr>
            </w:pPr>
            <w:r>
              <w:rPr>
                <w:rFonts w:hint="eastAsia" w:asciiTheme="minorEastAsia" w:hAnsiTheme="minorEastAsia" w:eastAsiaTheme="minorEastAsia" w:cstheme="minorEastAsia"/>
                <w:color w:val="auto"/>
                <w:kern w:val="0"/>
                <w:szCs w:val="21"/>
              </w:rPr>
              <w:t>小型：从业人员</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u w:val="single"/>
              </w:rPr>
              <w:tab/>
            </w:r>
            <w:r>
              <w:rPr>
                <w:rFonts w:hint="eastAsia" w:asciiTheme="minorEastAsia" w:hAnsiTheme="minorEastAsia" w:eastAsiaTheme="minorEastAsia" w:cstheme="minorEastAsia"/>
                <w:color w:val="auto"/>
                <w:kern w:val="0"/>
                <w:szCs w:val="21"/>
              </w:rPr>
              <w:t>营业收入</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资产总额</w:t>
            </w:r>
            <w:r>
              <w:rPr>
                <w:rFonts w:hint="eastAsia" w:asciiTheme="minorEastAsia" w:hAnsiTheme="minorEastAsia" w:eastAsiaTheme="minorEastAsia" w:cstheme="minorEastAsia"/>
                <w:color w:val="auto"/>
                <w:kern w:val="0"/>
                <w:szCs w:val="21"/>
                <w:u w:val="single"/>
              </w:rPr>
              <w:t xml:space="preserve">     </w:t>
            </w:r>
          </w:p>
          <w:p>
            <w:pPr>
              <w:widowControl/>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微型：从业人员</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u w:val="single"/>
              </w:rPr>
              <w:tab/>
            </w:r>
            <w:r>
              <w:rPr>
                <w:rFonts w:hint="eastAsia" w:asciiTheme="minorEastAsia" w:hAnsiTheme="minorEastAsia" w:eastAsiaTheme="minorEastAsia" w:cstheme="minorEastAsia"/>
                <w:color w:val="auto"/>
                <w:kern w:val="0"/>
                <w:szCs w:val="21"/>
              </w:rPr>
              <w:t>营业收入</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资产总额</w:t>
            </w:r>
            <w:r>
              <w:rPr>
                <w:rFonts w:hint="eastAsia" w:asciiTheme="minorEastAsia" w:hAnsiTheme="minorEastAsia" w:eastAsiaTheme="minorEastAsia" w:cstheme="minorEastAsia"/>
                <w:color w:val="auto"/>
                <w:kern w:val="0"/>
                <w:szCs w:val="21"/>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中小企业</w:t>
            </w:r>
          </w:p>
        </w:tc>
        <w:tc>
          <w:tcPr>
            <w:tcW w:w="7831" w:type="dxa"/>
            <w:gridSpan w:val="2"/>
            <w:vAlign w:val="center"/>
          </w:tcPr>
          <w:p>
            <w:pPr>
              <w:widowControl/>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如符合工信部联企业【2011】300号文中对中小企业划型标准的， 可提供本单位的 《中小企业声明函》（格式见第六章）。磋商小组将根据财库【2020】46号文《政府采购促进中小企业发展管理办法》的相关规定在评定时对小型和微型企业产品的价格给予6%的扣除后的价格参与评审（适用于非专门面向中小企业、监狱企业、残疾人福利性的项目）。大中型企业与小型、微型企业组成联合体共同参加非专门面向中小企业的政府采购活动，且联合体协议中约定小型、微型企业的协议合同金额占到联合体协议合同总金额30%以上的，给予联合体2%的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5" w:hRule="atLeast"/>
          <w:jc w:val="center"/>
        </w:trPr>
        <w:tc>
          <w:tcPr>
            <w:tcW w:w="1531" w:type="dxa"/>
            <w:gridSpan w:val="2"/>
            <w:vAlign w:val="center"/>
          </w:tcPr>
          <w:p>
            <w:pPr>
              <w:widowControl/>
              <w:spacing w:line="360" w:lineRule="auto"/>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监狱企业</w:t>
            </w:r>
          </w:p>
        </w:tc>
        <w:tc>
          <w:tcPr>
            <w:tcW w:w="7831" w:type="dxa"/>
            <w:gridSpan w:val="2"/>
            <w:vAlign w:val="center"/>
          </w:tcPr>
          <w:p>
            <w:pPr>
              <w:widowControl/>
              <w:spacing w:line="360" w:lineRule="auto"/>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财政部《关于政府采购支持监狱企业发展有关问题的通知》（财库【2014】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磋商小组审核确认供应商属于监狱企业的，在评定时视同中小企业，价格给予6%的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37" w:hRule="atLeast"/>
          <w:jc w:val="center"/>
        </w:trPr>
        <w:tc>
          <w:tcPr>
            <w:tcW w:w="1531" w:type="dxa"/>
            <w:gridSpan w:val="2"/>
            <w:vAlign w:val="center"/>
          </w:tcPr>
          <w:p>
            <w:pPr>
              <w:widowControl/>
              <w:spacing w:line="360" w:lineRule="auto"/>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促进残疾人</w:t>
            </w:r>
          </w:p>
          <w:p>
            <w:pPr>
              <w:widowControl/>
              <w:spacing w:line="360" w:lineRule="auto"/>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就业</w:t>
            </w:r>
          </w:p>
        </w:tc>
        <w:tc>
          <w:tcPr>
            <w:tcW w:w="7831" w:type="dxa"/>
            <w:gridSpan w:val="2"/>
            <w:vAlign w:val="center"/>
          </w:tcPr>
          <w:p>
            <w:pPr>
              <w:widowControl/>
              <w:spacing w:line="360" w:lineRule="auto"/>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按照《三部门联合发布关于促进残疾人就业政府采购政策的通知》（财库【2017】141 号）的规定，在政府采购活动中，残疾人福利性单位视同小型、微型企业，享受预留份额、评审中价格扣除等促进中小企业发展的政府采购政策。符合条件的残疾人福利性单位在参加政府采购活动时，应当提供财库【2017】141号文规定的《残疾人福利性单位声明函》（格式见第六章），并对声明的真实性负责，未提供声明函的不予折扣。经磋商小组审核确认供应商符合残疾人福利性单位条件的，在评定时视同中小企业。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autoSpaceDE w:val="0"/>
              <w:autoSpaceDN w:val="0"/>
              <w:adjustRightInd w:val="0"/>
              <w:spacing w:line="360" w:lineRule="auto"/>
              <w:jc w:val="center"/>
              <w:rPr>
                <w:rFonts w:ascii="宋体" w:hAnsi="宋体" w:cs="宋体"/>
                <w:snapToGrid w:val="0"/>
                <w:color w:val="auto"/>
                <w:kern w:val="0"/>
                <w:szCs w:val="21"/>
                <w:lang w:val="zh-CN"/>
              </w:rPr>
            </w:pPr>
          </w:p>
          <w:p>
            <w:pPr>
              <w:autoSpaceDE w:val="0"/>
              <w:autoSpaceDN w:val="0"/>
              <w:adjustRightInd w:val="0"/>
              <w:spacing w:line="360" w:lineRule="auto"/>
              <w:jc w:val="center"/>
              <w:rPr>
                <w:rFonts w:asciiTheme="minorEastAsia" w:hAnsiTheme="minorEastAsia" w:cstheme="minorEastAsia"/>
                <w:color w:val="auto"/>
                <w:kern w:val="0"/>
                <w:szCs w:val="21"/>
              </w:rPr>
            </w:pPr>
            <w:r>
              <w:rPr>
                <w:rFonts w:hint="eastAsia" w:ascii="宋体" w:hAnsi="宋体" w:cs="宋体"/>
                <w:snapToGrid w:val="0"/>
                <w:color w:val="auto"/>
                <w:kern w:val="0"/>
                <w:szCs w:val="21"/>
                <w:lang w:val="zh-CN"/>
              </w:rPr>
              <w:t>节能</w:t>
            </w:r>
            <w:r>
              <w:rPr>
                <w:rFonts w:hint="eastAsia" w:ascii="宋体" w:hAnsi="宋体" w:cs="宋体"/>
                <w:snapToGrid w:val="0"/>
                <w:color w:val="auto"/>
                <w:kern w:val="0"/>
                <w:szCs w:val="21"/>
              </w:rPr>
              <w:t>环保</w:t>
            </w:r>
          </w:p>
        </w:tc>
        <w:tc>
          <w:tcPr>
            <w:tcW w:w="7831" w:type="dxa"/>
            <w:gridSpan w:val="2"/>
            <w:vAlign w:val="center"/>
          </w:tcPr>
          <w:p>
            <w:pPr>
              <w:autoSpaceDE w:val="0"/>
              <w:autoSpaceDN w:val="0"/>
              <w:adjustRightInd w:val="0"/>
              <w:spacing w:line="360" w:lineRule="auto"/>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spacing w:line="360" w:lineRule="auto"/>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如供应商投标产品符合以上文件的政策支持，须提供产品认证证书（合格有效时间内的）或节能产品查（http://www、ccgp、gov、cn/search/jnqdchaxun、htm）/环境标志产品查询（http://www、ccgp、gov、cn/search/hbqdchaxun、htm）查询结果截图。经磋商小组审核确认供应商投标产品符合以上政府采购政策的，给予该项竞标产品所占价格的1%的价格扣除，用扣除后的价格参与评审。上述政府采购政策优惠须经磋商小组评审后执行，未提供单独分项报价或证明资料不全的不给予价格扣除。同一项目包内的节能产品价格扣除只对属于节能产品政府清单内的非强制类产品进行，强制类产品已作为竞标时强制性要求不再给予价格扣除。同时被认证为节能产品和环境标志产品的不重复享受价格扣除。</w:t>
            </w:r>
          </w:p>
        </w:tc>
      </w:tr>
    </w:tbl>
    <w:p>
      <w:pPr>
        <w:spacing w:line="360" w:lineRule="auto"/>
        <w:outlineLvl w:val="1"/>
        <w:rPr>
          <w:rFonts w:asciiTheme="minorEastAsia" w:hAnsiTheme="minorEastAsia" w:eastAsiaTheme="minorEastAsia" w:cstheme="minorEastAsia"/>
          <w:b/>
          <w:color w:val="auto"/>
          <w:szCs w:val="21"/>
        </w:rPr>
      </w:pPr>
      <w:bookmarkStart w:id="107" w:name="_Toc20017"/>
      <w:r>
        <w:rPr>
          <w:rFonts w:hint="eastAsia" w:asciiTheme="minorEastAsia" w:hAnsiTheme="minorEastAsia" w:eastAsiaTheme="minorEastAsia" w:cstheme="minorEastAsia"/>
          <w:b/>
          <w:color w:val="auto"/>
          <w:szCs w:val="21"/>
        </w:rPr>
        <w:br w:type="textWrapping"/>
      </w:r>
      <w:r>
        <w:rPr>
          <w:rFonts w:hint="eastAsia" w:asciiTheme="minorEastAsia" w:hAnsiTheme="minorEastAsia" w:eastAsiaTheme="minorEastAsia" w:cstheme="minorEastAsia"/>
          <w:b/>
          <w:color w:val="auto"/>
          <w:szCs w:val="21"/>
        </w:rPr>
        <w:br w:type="textWrapping"/>
      </w:r>
      <w:r>
        <w:rPr>
          <w:rFonts w:hint="eastAsia" w:asciiTheme="minorEastAsia" w:hAnsiTheme="minorEastAsia" w:eastAsiaTheme="minorEastAsia" w:cstheme="minorEastAsia"/>
          <w:b/>
          <w:color w:val="auto"/>
          <w:szCs w:val="21"/>
        </w:rPr>
        <w:t>二、计算办法</w:t>
      </w:r>
      <w:bookmarkEnd w:id="107"/>
    </w:p>
    <w:tbl>
      <w:tblPr>
        <w:tblStyle w:val="26"/>
        <w:tblW w:w="9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940"/>
        <w:gridCol w:w="6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条款内容</w:t>
            </w:r>
          </w:p>
        </w:tc>
        <w:tc>
          <w:tcPr>
            <w:tcW w:w="6322" w:type="dxa"/>
            <w:vAlign w:val="center"/>
          </w:tcPr>
          <w:p>
            <w:pPr>
              <w:widowControl/>
              <w:jc w:val="center"/>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82" w:hRule="atLeast"/>
          <w:jc w:val="center"/>
        </w:trPr>
        <w:tc>
          <w:tcPr>
            <w:tcW w:w="2940" w:type="dxa"/>
            <w:vAlign w:val="center"/>
          </w:tcPr>
          <w:p>
            <w:pPr>
              <w:widowControl/>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分值构成(总分100分)</w:t>
            </w:r>
          </w:p>
        </w:tc>
        <w:tc>
          <w:tcPr>
            <w:tcW w:w="6322" w:type="dxa"/>
            <w:vAlign w:val="center"/>
          </w:tcPr>
          <w:p>
            <w:pPr>
              <w:widowControl/>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64" w:hRule="atLeast"/>
          <w:jc w:val="center"/>
        </w:trPr>
        <w:tc>
          <w:tcPr>
            <w:tcW w:w="2940" w:type="dxa"/>
            <w:vAlign w:val="center"/>
          </w:tcPr>
          <w:p>
            <w:pPr>
              <w:widowControl/>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评标基准价计算方法</w:t>
            </w:r>
          </w:p>
        </w:tc>
        <w:tc>
          <w:tcPr>
            <w:tcW w:w="6322" w:type="dxa"/>
            <w:vAlign w:val="center"/>
          </w:tcPr>
          <w:p>
            <w:pPr>
              <w:widowControl/>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满足采购文件要求且报价最低的竞标报价为评标基准价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评分因素</w:t>
            </w:r>
          </w:p>
        </w:tc>
        <w:tc>
          <w:tcPr>
            <w:tcW w:w="6322" w:type="dxa"/>
            <w:vAlign w:val="center"/>
          </w:tcPr>
          <w:p>
            <w:pPr>
              <w:widowControl/>
              <w:jc w:val="center"/>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技术部分评分标准</w:t>
            </w:r>
          </w:p>
        </w:tc>
        <w:tc>
          <w:tcPr>
            <w:tcW w:w="6322" w:type="dxa"/>
            <w:vAlign w:val="center"/>
          </w:tcPr>
          <w:p>
            <w:pPr>
              <w:widowControl/>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商务部分评分标准</w:t>
            </w:r>
          </w:p>
        </w:tc>
        <w:tc>
          <w:tcPr>
            <w:tcW w:w="6322" w:type="dxa"/>
            <w:vAlign w:val="center"/>
          </w:tcPr>
          <w:p>
            <w:pPr>
              <w:widowControl/>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16" w:hRule="atLeast"/>
          <w:jc w:val="center"/>
        </w:trPr>
        <w:tc>
          <w:tcPr>
            <w:tcW w:w="2940" w:type="dxa"/>
            <w:vAlign w:val="center"/>
          </w:tcPr>
          <w:p>
            <w:pPr>
              <w:widowControl/>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竞标报价评分标准</w:t>
            </w:r>
          </w:p>
        </w:tc>
        <w:tc>
          <w:tcPr>
            <w:tcW w:w="6322" w:type="dxa"/>
            <w:vAlign w:val="center"/>
          </w:tcPr>
          <w:p>
            <w:pPr>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低价优先法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条款内容</w:t>
            </w:r>
          </w:p>
        </w:tc>
        <w:tc>
          <w:tcPr>
            <w:tcW w:w="6322" w:type="dxa"/>
            <w:vAlign w:val="center"/>
          </w:tcPr>
          <w:p>
            <w:pPr>
              <w:widowControl/>
              <w:jc w:val="center"/>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各供应商的最终得分计算办法</w:t>
            </w:r>
          </w:p>
        </w:tc>
        <w:tc>
          <w:tcPr>
            <w:tcW w:w="6322" w:type="dxa"/>
            <w:vAlign w:val="center"/>
          </w:tcPr>
          <w:p>
            <w:pPr>
              <w:widowControl/>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Cs/>
                <w:color w:val="auto"/>
                <w:szCs w:val="21"/>
              </w:rPr>
              <w:t>所有评委评分的算术平均值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Cs w:val="21"/>
              </w:rPr>
              <w:t>供应商最后得分相同时对供应商进行排序的方法</w:t>
            </w:r>
          </w:p>
        </w:tc>
        <w:tc>
          <w:tcPr>
            <w:tcW w:w="6322" w:type="dxa"/>
            <w:vAlign w:val="center"/>
          </w:tcPr>
          <w:p>
            <w:pPr>
              <w:widowControl/>
              <w:jc w:val="left"/>
              <w:rPr>
                <w:rFonts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color w:val="auto"/>
                <w:szCs w:val="21"/>
              </w:rPr>
              <w:t>得分相同的供应商，按竞标报价由低到高顺序排列。得分且报价相同的，按技术指标优劣顺序排列。</w:t>
            </w:r>
          </w:p>
        </w:tc>
      </w:tr>
    </w:tbl>
    <w:p>
      <w:pPr>
        <w:spacing w:line="360" w:lineRule="auto"/>
        <w:rPr>
          <w:rFonts w:asciiTheme="minorEastAsia" w:hAnsiTheme="minorEastAsia" w:eastAsiaTheme="minorEastAsia" w:cstheme="minorEastAsia"/>
          <w:b/>
          <w:color w:val="auto"/>
          <w:szCs w:val="21"/>
        </w:rPr>
      </w:pPr>
    </w:p>
    <w:p>
      <w:pPr>
        <w:spacing w:line="360" w:lineRule="auto"/>
        <w:outlineLvl w:val="1"/>
        <w:rPr>
          <w:rFonts w:asciiTheme="minorEastAsia" w:hAnsiTheme="minorEastAsia" w:eastAsiaTheme="minorEastAsia" w:cstheme="minorEastAsia"/>
          <w:b/>
          <w:color w:val="auto"/>
          <w:szCs w:val="21"/>
        </w:rPr>
      </w:pPr>
      <w:bookmarkStart w:id="108" w:name="_Toc5844"/>
      <w:r>
        <w:rPr>
          <w:rFonts w:hint="eastAsia" w:asciiTheme="minorEastAsia" w:hAnsiTheme="minorEastAsia" w:eastAsiaTheme="minorEastAsia" w:cstheme="minorEastAsia"/>
          <w:b/>
          <w:color w:val="auto"/>
          <w:szCs w:val="21"/>
        </w:rPr>
        <w:t>三、评分细则</w:t>
      </w:r>
      <w:bookmarkEnd w:id="108"/>
    </w:p>
    <w:tbl>
      <w:tblPr>
        <w:tblStyle w:val="26"/>
        <w:tblW w:w="92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6"/>
        <w:gridCol w:w="1376"/>
        <w:gridCol w:w="6512"/>
        <w:gridCol w:w="6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blHeader/>
        </w:trPr>
        <w:tc>
          <w:tcPr>
            <w:tcW w:w="736" w:type="dxa"/>
            <w:tcBorders>
              <w:top w:val="single" w:color="auto" w:sz="12" w:space="0"/>
            </w:tcBorders>
            <w:vAlign w:val="center"/>
          </w:tcPr>
          <w:p>
            <w:pPr>
              <w:spacing w:line="360" w:lineRule="atLeast"/>
              <w:jc w:val="center"/>
              <w:rPr>
                <w:rFonts w:asciiTheme="minorEastAsia" w:hAnsiTheme="minorEastAsia" w:eastAsiaTheme="minorEastAsia" w:cstheme="minorEastAsia"/>
                <w:b/>
                <w:bCs/>
                <w:color w:val="auto"/>
                <w:spacing w:val="-6"/>
                <w:szCs w:val="21"/>
              </w:rPr>
            </w:pPr>
            <w:r>
              <w:rPr>
                <w:rFonts w:hint="eastAsia" w:asciiTheme="minorEastAsia" w:hAnsiTheme="minorEastAsia" w:eastAsiaTheme="minorEastAsia" w:cstheme="minorEastAsia"/>
                <w:b/>
                <w:bCs/>
                <w:color w:val="auto"/>
                <w:szCs w:val="21"/>
              </w:rPr>
              <w:t>类别</w:t>
            </w:r>
          </w:p>
        </w:tc>
        <w:tc>
          <w:tcPr>
            <w:tcW w:w="1376" w:type="dxa"/>
            <w:tcBorders>
              <w:top w:val="single" w:color="auto" w:sz="12" w:space="0"/>
            </w:tcBorders>
            <w:vAlign w:val="center"/>
          </w:tcPr>
          <w:p>
            <w:pPr>
              <w:spacing w:line="360" w:lineRule="atLeast"/>
              <w:jc w:val="center"/>
              <w:rPr>
                <w:rFonts w:asciiTheme="minorEastAsia" w:hAnsiTheme="minorEastAsia" w:eastAsiaTheme="minorEastAsia" w:cstheme="minorEastAsia"/>
                <w:b/>
                <w:bCs/>
                <w:color w:val="auto"/>
                <w:spacing w:val="-6"/>
                <w:szCs w:val="21"/>
              </w:rPr>
            </w:pPr>
            <w:r>
              <w:rPr>
                <w:rFonts w:hint="eastAsia" w:asciiTheme="minorEastAsia" w:hAnsiTheme="minorEastAsia" w:eastAsiaTheme="minorEastAsia" w:cstheme="minorEastAsia"/>
                <w:b/>
                <w:bCs/>
                <w:color w:val="auto"/>
                <w:szCs w:val="21"/>
              </w:rPr>
              <w:t>评审因素</w:t>
            </w:r>
          </w:p>
        </w:tc>
        <w:tc>
          <w:tcPr>
            <w:tcW w:w="6512" w:type="dxa"/>
            <w:tcBorders>
              <w:top w:val="single" w:color="auto" w:sz="12" w:space="0"/>
            </w:tcBorders>
            <w:vAlign w:val="center"/>
          </w:tcPr>
          <w:p>
            <w:pPr>
              <w:spacing w:line="360" w:lineRule="atLeast"/>
              <w:jc w:val="center"/>
              <w:rPr>
                <w:rFonts w:asciiTheme="minorEastAsia" w:hAnsiTheme="minorEastAsia" w:eastAsiaTheme="minorEastAsia" w:cstheme="minorEastAsia"/>
                <w:b/>
                <w:bCs/>
                <w:color w:val="auto"/>
                <w:spacing w:val="-6"/>
                <w:szCs w:val="21"/>
              </w:rPr>
            </w:pPr>
            <w:r>
              <w:rPr>
                <w:rFonts w:hint="eastAsia" w:asciiTheme="minorEastAsia" w:hAnsiTheme="minorEastAsia" w:eastAsiaTheme="minorEastAsia" w:cstheme="minorEastAsia"/>
                <w:b/>
                <w:bCs/>
                <w:color w:val="auto"/>
                <w:szCs w:val="21"/>
              </w:rPr>
              <w:t>评审标准</w:t>
            </w:r>
          </w:p>
        </w:tc>
        <w:tc>
          <w:tcPr>
            <w:tcW w:w="664" w:type="dxa"/>
            <w:tcBorders>
              <w:top w:val="single" w:color="auto" w:sz="12" w:space="0"/>
            </w:tcBorders>
            <w:vAlign w:val="center"/>
          </w:tcPr>
          <w:p>
            <w:pPr>
              <w:spacing w:line="360" w:lineRule="atLeast"/>
              <w:jc w:val="center"/>
              <w:rPr>
                <w:rFonts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736" w:type="dxa"/>
            <w:vAlign w:val="center"/>
          </w:tcPr>
          <w:p>
            <w:pPr>
              <w:widowControl/>
              <w:spacing w:line="260" w:lineRule="exact"/>
              <w:jc w:val="center"/>
              <w:textAlignment w:val="center"/>
              <w:rPr>
                <w:rFonts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kern w:val="0"/>
                <w:szCs w:val="21"/>
                <w:lang w:bidi="ar"/>
              </w:rPr>
              <w:t>竞标报价</w:t>
            </w:r>
            <w:r>
              <w:rPr>
                <w:rFonts w:hint="eastAsia" w:asciiTheme="minorEastAsia" w:hAnsiTheme="minorEastAsia" w:eastAsiaTheme="minorEastAsia" w:cstheme="minorEastAsia"/>
                <w:color w:val="auto"/>
                <w:kern w:val="0"/>
                <w:szCs w:val="21"/>
                <w:lang w:bidi="ar"/>
              </w:rPr>
              <w:br w:type="textWrapping"/>
            </w:r>
            <w:r>
              <w:rPr>
                <w:rFonts w:hint="eastAsia" w:asciiTheme="minorEastAsia" w:hAnsiTheme="minorEastAsia" w:eastAsiaTheme="minorEastAsia" w:cstheme="minorEastAsia"/>
                <w:color w:val="auto"/>
                <w:kern w:val="0"/>
                <w:szCs w:val="21"/>
                <w:lang w:bidi="ar"/>
              </w:rPr>
              <w:t>30分</w:t>
            </w:r>
          </w:p>
        </w:tc>
        <w:tc>
          <w:tcPr>
            <w:tcW w:w="1376" w:type="dxa"/>
            <w:vAlign w:val="center"/>
          </w:tcPr>
          <w:p>
            <w:pPr>
              <w:widowControl/>
              <w:spacing w:line="260" w:lineRule="exact"/>
              <w:jc w:val="center"/>
              <w:textAlignment w:val="center"/>
              <w:rPr>
                <w:rFonts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kern w:val="0"/>
                <w:szCs w:val="21"/>
                <w:lang w:bidi="ar"/>
              </w:rPr>
              <w:t>最后报价</w:t>
            </w:r>
          </w:p>
        </w:tc>
        <w:tc>
          <w:tcPr>
            <w:tcW w:w="6512" w:type="dxa"/>
            <w:vAlign w:val="center"/>
          </w:tcPr>
          <w:p>
            <w:pPr>
              <w:widowControl/>
              <w:spacing w:line="260" w:lineRule="exact"/>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（1）报价采用低价优先法计算，即满足磋商采购文件要求且报价最低的报价为磋商基准价，其报价分为满分</w:t>
            </w:r>
            <w:r>
              <w:rPr>
                <w:rFonts w:hint="eastAsia" w:asciiTheme="minorEastAsia" w:hAnsiTheme="minorEastAsia" w:eastAsiaTheme="minorEastAsia" w:cstheme="minorEastAsia"/>
                <w:color w:val="auto"/>
                <w:kern w:val="0"/>
                <w:szCs w:val="21"/>
                <w:lang w:bidi="ar"/>
              </w:rPr>
              <w:t>30</w:t>
            </w:r>
            <w:r>
              <w:rPr>
                <w:rFonts w:hint="eastAsia" w:asciiTheme="minorEastAsia" w:hAnsiTheme="minorEastAsia" w:eastAsiaTheme="minorEastAsia" w:cstheme="minorEastAsia"/>
                <w:color w:val="auto"/>
                <w:szCs w:val="21"/>
              </w:rPr>
              <w:t>分；</w:t>
            </w:r>
          </w:p>
          <w:p>
            <w:pPr>
              <w:widowControl/>
              <w:spacing w:line="260" w:lineRule="exact"/>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（2）其他供应商的报价分按照下列公式计算：</w:t>
            </w:r>
          </w:p>
          <w:p>
            <w:pPr>
              <w:widowControl/>
              <w:spacing w:line="260" w:lineRule="exact"/>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报价分=（磋商基准价/磋商报价）×</w:t>
            </w:r>
            <w:r>
              <w:rPr>
                <w:rFonts w:hint="eastAsia" w:asciiTheme="minorEastAsia" w:hAnsiTheme="minorEastAsia" w:eastAsiaTheme="minorEastAsia" w:cstheme="minorEastAsia"/>
                <w:color w:val="auto"/>
                <w:kern w:val="0"/>
                <w:szCs w:val="21"/>
                <w:lang w:bidi="ar"/>
              </w:rPr>
              <w:t>30</w:t>
            </w:r>
          </w:p>
          <w:p>
            <w:pPr>
              <w:widowControl/>
              <w:spacing w:line="260" w:lineRule="exact"/>
              <w:jc w:val="left"/>
              <w:textAlignment w:val="center"/>
              <w:rPr>
                <w:rFonts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备注：1)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p>
          <w:p>
            <w:pPr>
              <w:widowControl/>
              <w:spacing w:line="260" w:lineRule="exact"/>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
                <w:bCs/>
                <w:color w:val="auto"/>
                <w:szCs w:val="21"/>
              </w:rPr>
              <w:t>2)符合本磋商文件第四章“政策支持”条件的，在评审时予以价格扣除，用扣除后的价格参与评审。</w:t>
            </w:r>
          </w:p>
        </w:tc>
        <w:tc>
          <w:tcPr>
            <w:tcW w:w="664" w:type="dxa"/>
            <w:vAlign w:val="center"/>
          </w:tcPr>
          <w:p>
            <w:pPr>
              <w:widowControl/>
              <w:spacing w:line="260" w:lineRule="exact"/>
              <w:jc w:val="center"/>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lang w:bidi="ar"/>
              </w:rPr>
              <w:t>30分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restart"/>
            <w:vAlign w:val="center"/>
          </w:tcPr>
          <w:p>
            <w:pPr>
              <w:jc w:val="center"/>
              <w:rPr>
                <w:rFonts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商务</w:t>
            </w:r>
          </w:p>
          <w:p>
            <w:pPr>
              <w:jc w:val="center"/>
              <w:rPr>
                <w:rFonts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30分</w:t>
            </w:r>
          </w:p>
        </w:tc>
        <w:tc>
          <w:tcPr>
            <w:tcW w:w="1376" w:type="dxa"/>
            <w:vAlign w:val="center"/>
          </w:tcPr>
          <w:p>
            <w:pPr>
              <w:jc w:val="center"/>
              <w:rPr>
                <w:rFonts w:asciiTheme="minorEastAsia" w:hAnsiTheme="minorEastAsia" w:eastAsiaTheme="minorEastAsia" w:cstheme="minorEastAsia"/>
                <w:color w:val="auto"/>
                <w:spacing w:val="-6"/>
                <w:kern w:val="0"/>
                <w:szCs w:val="21"/>
              </w:rPr>
            </w:pPr>
            <w:r>
              <w:rPr>
                <w:rFonts w:hint="eastAsia" w:ascii="宋体" w:hAnsi="宋体" w:cs="宋体"/>
                <w:color w:val="auto"/>
                <w:spacing w:val="-6"/>
                <w:kern w:val="0"/>
                <w:szCs w:val="21"/>
              </w:rPr>
              <w:t>体系认证</w:t>
            </w:r>
          </w:p>
        </w:tc>
        <w:tc>
          <w:tcPr>
            <w:tcW w:w="6512" w:type="dxa"/>
            <w:vAlign w:val="center"/>
          </w:tcPr>
          <w:p>
            <w:pPr>
              <w:rPr>
                <w:rFonts w:asciiTheme="minorEastAsia" w:hAnsiTheme="minorEastAsia" w:eastAsiaTheme="minorEastAsia" w:cstheme="minorEastAsia"/>
                <w:color w:val="auto"/>
                <w:spacing w:val="-6"/>
                <w:szCs w:val="21"/>
              </w:rPr>
            </w:pPr>
            <w:r>
              <w:rPr>
                <w:rFonts w:hint="eastAsia" w:ascii="宋体" w:hAnsi="宋体" w:cs="宋体"/>
                <w:color w:val="auto"/>
                <w:szCs w:val="21"/>
              </w:rPr>
              <w:t>供应商提供职业健康安全管理体系认证证书、质量管理体系认证证书、环境管理体系认证。每提供1个证书得1分，不提供的不得分。</w:t>
            </w:r>
          </w:p>
        </w:tc>
        <w:tc>
          <w:tcPr>
            <w:tcW w:w="664" w:type="dxa"/>
            <w:vAlign w:val="center"/>
          </w:tcPr>
          <w:p>
            <w:pPr>
              <w:rPr>
                <w:rFonts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asciiTheme="minorEastAsia" w:hAnsiTheme="minorEastAsia" w:eastAsiaTheme="minorEastAsia" w:cstheme="minorEastAsia"/>
                <w:color w:val="auto"/>
                <w:szCs w:val="21"/>
              </w:rPr>
            </w:pPr>
          </w:p>
        </w:tc>
        <w:tc>
          <w:tcPr>
            <w:tcW w:w="1376" w:type="dxa"/>
            <w:vAlign w:val="center"/>
          </w:tcPr>
          <w:p>
            <w:pPr>
              <w:jc w:val="center"/>
              <w:rPr>
                <w:rFonts w:asciiTheme="minorEastAsia" w:hAnsiTheme="minorEastAsia" w:eastAsiaTheme="minorEastAsia" w:cstheme="minorEastAsia"/>
                <w:color w:val="auto"/>
                <w:spacing w:val="-6"/>
                <w:kern w:val="0"/>
                <w:szCs w:val="21"/>
              </w:rPr>
            </w:pPr>
            <w:r>
              <w:rPr>
                <w:rFonts w:hint="eastAsia" w:ascii="宋体" w:hAnsi="宋体" w:cs="宋体"/>
                <w:color w:val="auto"/>
                <w:spacing w:val="-6"/>
                <w:kern w:val="0"/>
                <w:szCs w:val="21"/>
              </w:rPr>
              <w:t>类似业绩</w:t>
            </w:r>
          </w:p>
        </w:tc>
        <w:tc>
          <w:tcPr>
            <w:tcW w:w="6512" w:type="dxa"/>
            <w:vAlign w:val="center"/>
          </w:tcPr>
          <w:p>
            <w:pPr>
              <w:rPr>
                <w:rFonts w:ascii="宋体" w:hAnsi="宋体" w:cs="宋体"/>
                <w:color w:val="auto"/>
                <w:szCs w:val="21"/>
              </w:rPr>
            </w:pPr>
            <w:r>
              <w:rPr>
                <w:rFonts w:hint="eastAsia" w:ascii="宋体" w:hAnsi="宋体" w:cs="宋体"/>
                <w:color w:val="auto"/>
                <w:szCs w:val="21"/>
              </w:rPr>
              <w:t>近三年（磋商截止时间往前推算36个月）具有类似采购业绩的，每个得1分，最多得7分；（需提供成交通知书及合同真彩扫描件）</w:t>
            </w:r>
          </w:p>
        </w:tc>
        <w:tc>
          <w:tcPr>
            <w:tcW w:w="664" w:type="dxa"/>
            <w:vAlign w:val="center"/>
          </w:tcPr>
          <w:p>
            <w:pPr>
              <w:autoSpaceDE w:val="0"/>
              <w:autoSpaceDN w:val="0"/>
              <w:adjustRightInd w:val="0"/>
              <w:spacing w:line="300" w:lineRule="auto"/>
              <w:ind w:right="71" w:rightChars="34"/>
              <w:rPr>
                <w:rFonts w:asciiTheme="minorEastAsia" w:hAnsiTheme="minorEastAsia" w:eastAsiaTheme="minorEastAsia" w:cstheme="minorEastAsia"/>
                <w:color w:val="auto"/>
                <w:spacing w:val="-6"/>
                <w:kern w:val="0"/>
                <w:szCs w:val="21"/>
              </w:rPr>
            </w:pPr>
            <w:r>
              <w:rPr>
                <w:rFonts w:hint="eastAsia" w:asciiTheme="minorEastAsia" w:hAnsiTheme="minorEastAsia" w:eastAsiaTheme="minorEastAsia" w:cstheme="minorEastAsia"/>
                <w:color w:val="auto"/>
                <w:spacing w:val="-6"/>
                <w:kern w:val="0"/>
                <w:szCs w:val="21"/>
              </w:rPr>
              <w:t>7分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asciiTheme="minorEastAsia" w:hAnsiTheme="minorEastAsia" w:eastAsiaTheme="minorEastAsia" w:cstheme="minorEastAsia"/>
                <w:color w:val="auto"/>
                <w:szCs w:val="21"/>
              </w:rPr>
            </w:pPr>
          </w:p>
        </w:tc>
        <w:tc>
          <w:tcPr>
            <w:tcW w:w="1376" w:type="dxa"/>
            <w:vAlign w:val="center"/>
          </w:tcPr>
          <w:p>
            <w:pPr>
              <w:jc w:val="center"/>
              <w:rPr>
                <w:rFonts w:asciiTheme="minorEastAsia" w:hAnsiTheme="minorEastAsia" w:eastAsiaTheme="minorEastAsia" w:cstheme="minorEastAsia"/>
                <w:color w:val="auto"/>
                <w:spacing w:val="-6"/>
                <w:szCs w:val="21"/>
              </w:rPr>
            </w:pPr>
            <w:r>
              <w:rPr>
                <w:rFonts w:hint="eastAsia" w:ascii="宋体" w:hAnsi="宋体" w:cs="宋体"/>
                <w:color w:val="auto"/>
                <w:szCs w:val="21"/>
                <w:lang w:val="zh-CN"/>
              </w:rPr>
              <w:t>用户反馈</w:t>
            </w:r>
          </w:p>
        </w:tc>
        <w:tc>
          <w:tcPr>
            <w:tcW w:w="6512" w:type="dxa"/>
            <w:vAlign w:val="center"/>
          </w:tcPr>
          <w:p>
            <w:pPr>
              <w:rPr>
                <w:rFonts w:ascii="宋体" w:hAnsi="宋体" w:cs="宋体"/>
                <w:color w:val="auto"/>
                <w:szCs w:val="21"/>
              </w:rPr>
            </w:pPr>
            <w:r>
              <w:rPr>
                <w:rFonts w:hint="eastAsia" w:ascii="宋体" w:hAnsi="宋体" w:cs="宋体"/>
                <w:color w:val="auto"/>
                <w:szCs w:val="21"/>
              </w:rPr>
              <w:t>供应商</w:t>
            </w:r>
            <w:r>
              <w:rPr>
                <w:rFonts w:hint="eastAsia" w:ascii="宋体" w:hAnsi="宋体" w:cs="宋体"/>
                <w:color w:val="auto"/>
                <w:szCs w:val="21"/>
                <w:lang w:val="zh-CN"/>
              </w:rPr>
              <w:t>提供近三年（磋商截止时间往前推算36个月）用户出具的满意评价证明（盖用户单位公章），每提供一个得</w:t>
            </w:r>
            <w:r>
              <w:rPr>
                <w:rFonts w:hint="eastAsia" w:ascii="宋体" w:hAnsi="宋体" w:cs="宋体"/>
                <w:color w:val="auto"/>
                <w:szCs w:val="21"/>
              </w:rPr>
              <w:t>1</w:t>
            </w:r>
            <w:r>
              <w:rPr>
                <w:rFonts w:hint="eastAsia" w:ascii="宋体" w:hAnsi="宋体" w:cs="宋体"/>
                <w:color w:val="auto"/>
                <w:szCs w:val="21"/>
                <w:lang w:val="zh-CN"/>
              </w:rPr>
              <w:t>分，最高得</w:t>
            </w:r>
            <w:r>
              <w:rPr>
                <w:rFonts w:hint="eastAsia" w:ascii="宋体" w:hAnsi="宋体" w:cs="宋体"/>
                <w:color w:val="auto"/>
                <w:szCs w:val="21"/>
              </w:rPr>
              <w:t>6</w:t>
            </w:r>
            <w:r>
              <w:rPr>
                <w:rFonts w:hint="eastAsia" w:ascii="宋体" w:hAnsi="宋体" w:cs="宋体"/>
                <w:color w:val="auto"/>
                <w:szCs w:val="21"/>
                <w:lang w:val="zh-CN"/>
              </w:rPr>
              <w:t>分。（需提供不同单位出具加盖公章的满意评价证明）</w:t>
            </w:r>
          </w:p>
        </w:tc>
        <w:tc>
          <w:tcPr>
            <w:tcW w:w="664" w:type="dxa"/>
            <w:vAlign w:val="center"/>
          </w:tcPr>
          <w:p>
            <w:pPr>
              <w:autoSpaceDE w:val="0"/>
              <w:autoSpaceDN w:val="0"/>
              <w:adjustRightInd w:val="0"/>
              <w:spacing w:line="300" w:lineRule="auto"/>
              <w:ind w:right="71" w:rightChars="34"/>
              <w:rPr>
                <w:rFonts w:asciiTheme="minorEastAsia" w:hAnsiTheme="minorEastAsia" w:eastAsiaTheme="minorEastAsia" w:cstheme="minorEastAsia"/>
                <w:color w:val="auto"/>
                <w:spacing w:val="-6"/>
                <w:szCs w:val="21"/>
              </w:rPr>
            </w:pPr>
            <w:r>
              <w:rPr>
                <w:rFonts w:hint="eastAsia" w:ascii="宋体" w:hAnsi="宋体" w:cs="宋体"/>
                <w:color w:val="auto"/>
                <w:szCs w:val="21"/>
              </w:rPr>
              <w:t>6</w:t>
            </w:r>
            <w:r>
              <w:rPr>
                <w:rFonts w:hint="eastAsia" w:ascii="宋体" w:hAnsi="宋体" w:cs="宋体"/>
                <w:color w:val="auto"/>
                <w:szCs w:val="21"/>
                <w:lang w:val="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asciiTheme="minorEastAsia" w:hAnsiTheme="minorEastAsia" w:eastAsiaTheme="minorEastAsia" w:cstheme="minorEastAsia"/>
                <w:color w:val="auto"/>
                <w:szCs w:val="21"/>
              </w:rPr>
            </w:pPr>
          </w:p>
        </w:tc>
        <w:tc>
          <w:tcPr>
            <w:tcW w:w="1376" w:type="dxa"/>
            <w:tcBorders>
              <w:bottom w:val="single" w:color="auto" w:sz="4" w:space="0"/>
            </w:tcBorders>
            <w:vAlign w:val="center"/>
          </w:tcPr>
          <w:p>
            <w:pPr>
              <w:jc w:val="center"/>
              <w:rPr>
                <w:rFonts w:asciiTheme="minorEastAsia" w:hAnsiTheme="minorEastAsia" w:eastAsiaTheme="minorEastAsia" w:cstheme="minorEastAsia"/>
                <w:color w:val="auto"/>
                <w:spacing w:val="-6"/>
                <w:kern w:val="0"/>
                <w:szCs w:val="21"/>
              </w:rPr>
            </w:pPr>
            <w:r>
              <w:rPr>
                <w:rFonts w:hint="eastAsia" w:asciiTheme="minorEastAsia" w:hAnsiTheme="minorEastAsia" w:eastAsiaTheme="minorEastAsia" w:cstheme="minorEastAsia"/>
                <w:color w:val="auto"/>
                <w:spacing w:val="-6"/>
                <w:kern w:val="0"/>
                <w:szCs w:val="21"/>
              </w:rPr>
              <w:t>项目负责人</w:t>
            </w:r>
          </w:p>
        </w:tc>
        <w:tc>
          <w:tcPr>
            <w:tcW w:w="6512" w:type="dxa"/>
            <w:tcBorders>
              <w:bottom w:val="single" w:color="auto" w:sz="4" w:space="0"/>
            </w:tcBorders>
            <w:vAlign w:val="center"/>
          </w:tcPr>
          <w:p>
            <w:pPr>
              <w:autoSpaceDE w:val="0"/>
              <w:autoSpaceDN w:val="0"/>
              <w:adjustRightInd w:val="0"/>
              <w:spacing w:line="300" w:lineRule="auto"/>
              <w:ind w:right="71" w:rightChars="34"/>
              <w:rPr>
                <w:rFonts w:asciiTheme="minorEastAsia" w:hAnsiTheme="minorEastAsia" w:eastAsiaTheme="minorEastAsia" w:cstheme="minorEastAsia"/>
                <w:color w:val="auto"/>
                <w:spacing w:val="-6"/>
                <w:kern w:val="0"/>
                <w:szCs w:val="21"/>
              </w:rPr>
            </w:pPr>
            <w:r>
              <w:rPr>
                <w:rFonts w:hint="eastAsia" w:asciiTheme="minorEastAsia" w:hAnsiTheme="minorEastAsia" w:eastAsiaTheme="minorEastAsia" w:cstheme="minorEastAsia"/>
                <w:color w:val="auto"/>
                <w:spacing w:val="-6"/>
                <w:kern w:val="0"/>
                <w:szCs w:val="21"/>
              </w:rPr>
              <w:t>供应商拟派项目负责人近三年有类似设计项目经验的，每个得1分，最多得5分；</w:t>
            </w:r>
            <w:r>
              <w:rPr>
                <w:rFonts w:hint="eastAsia" w:ascii="宋体" w:hAnsi="宋体" w:cs="宋体"/>
                <w:color w:val="auto"/>
                <w:szCs w:val="21"/>
              </w:rPr>
              <w:t>（需提供成交通知书及合同真彩扫描件）</w:t>
            </w:r>
          </w:p>
        </w:tc>
        <w:tc>
          <w:tcPr>
            <w:tcW w:w="664" w:type="dxa"/>
            <w:tcBorders>
              <w:bottom w:val="single" w:color="auto" w:sz="4" w:space="0"/>
            </w:tcBorders>
            <w:vAlign w:val="center"/>
          </w:tcPr>
          <w:p>
            <w:pPr>
              <w:autoSpaceDE w:val="0"/>
              <w:autoSpaceDN w:val="0"/>
              <w:adjustRightInd w:val="0"/>
              <w:spacing w:line="300" w:lineRule="auto"/>
              <w:ind w:right="71" w:rightChars="34"/>
              <w:rPr>
                <w:rFonts w:asciiTheme="minorEastAsia" w:hAnsiTheme="minorEastAsia" w:eastAsiaTheme="minorEastAsia" w:cstheme="minorEastAsia"/>
                <w:color w:val="auto"/>
                <w:spacing w:val="-6"/>
                <w:kern w:val="0"/>
                <w:szCs w:val="21"/>
              </w:rPr>
            </w:pPr>
            <w:r>
              <w:rPr>
                <w:rFonts w:hint="eastAsia" w:asciiTheme="minorEastAsia" w:hAnsiTheme="minorEastAsia" w:eastAsiaTheme="minorEastAsia" w:cstheme="minorEastAsia"/>
                <w:color w:val="auto"/>
                <w:spacing w:val="-6"/>
                <w:kern w:val="0"/>
                <w:szCs w:val="21"/>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asciiTheme="minorEastAsia" w:hAnsiTheme="minorEastAsia" w:eastAsiaTheme="minorEastAsia" w:cstheme="minorEastAsia"/>
                <w:color w:val="auto"/>
                <w:szCs w:val="21"/>
              </w:rPr>
            </w:pPr>
          </w:p>
        </w:tc>
        <w:tc>
          <w:tcPr>
            <w:tcW w:w="1376" w:type="dxa"/>
            <w:vMerge w:val="restart"/>
            <w:vAlign w:val="center"/>
          </w:tcPr>
          <w:p>
            <w:pPr>
              <w:spacing w:before="31" w:beforeLines="10" w:after="31" w:afterLines="10"/>
              <w:ind w:left="21" w:leftChars="10" w:right="21" w:rightChars="10"/>
              <w:jc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kern w:val="0"/>
                <w:szCs w:val="21"/>
                <w:lang w:bidi="ar"/>
              </w:rPr>
              <w:t>项目团队成员</w:t>
            </w:r>
          </w:p>
        </w:tc>
        <w:tc>
          <w:tcPr>
            <w:tcW w:w="6512" w:type="dxa"/>
            <w:tcBorders>
              <w:bottom w:val="single" w:color="auto" w:sz="4" w:space="0"/>
            </w:tcBorders>
            <w:vAlign w:val="center"/>
          </w:tcPr>
          <w:p>
            <w:pPr>
              <w:widowControl/>
              <w:jc w:val="left"/>
              <w:textAlignment w:val="center"/>
              <w:rPr>
                <w:rFonts w:asciiTheme="minorEastAsia" w:hAnsiTheme="minorEastAsia" w:eastAsiaTheme="minorEastAsia" w:cstheme="minorEastAsia"/>
                <w:color w:val="auto"/>
                <w:kern w:val="0"/>
                <w:szCs w:val="21"/>
                <w:lang w:bidi="ar"/>
              </w:rPr>
            </w:pPr>
            <w:r>
              <w:rPr>
                <w:rFonts w:hint="eastAsia" w:asciiTheme="minorEastAsia" w:hAnsiTheme="minorEastAsia" w:eastAsiaTheme="minorEastAsia" w:cstheme="minorEastAsia"/>
                <w:color w:val="auto"/>
                <w:szCs w:val="21"/>
              </w:rPr>
              <w:t>拟投入本项目的</w:t>
            </w:r>
            <w:r>
              <w:rPr>
                <w:rFonts w:hint="eastAsia" w:asciiTheme="minorEastAsia" w:hAnsiTheme="minorEastAsia" w:eastAsiaTheme="minorEastAsia" w:cstheme="minorEastAsia"/>
                <w:color w:val="auto"/>
                <w:szCs w:val="21"/>
                <w:lang w:eastAsia="zh-CN"/>
              </w:rPr>
              <w:t>团队成员（项目负责人除外）</w:t>
            </w:r>
            <w:r>
              <w:rPr>
                <w:rFonts w:hint="eastAsia" w:asciiTheme="minorEastAsia" w:hAnsiTheme="minorEastAsia" w:eastAsiaTheme="minorEastAsia" w:cstheme="minorEastAsia"/>
                <w:color w:val="auto"/>
                <w:szCs w:val="21"/>
              </w:rPr>
              <w:t>中具有高级或以上职称或高级室内设计师资格的，每人得1分，最多得</w:t>
            </w:r>
            <w:r>
              <w:rPr>
                <w:rFonts w:asciiTheme="minorEastAsia" w:hAnsiTheme="minorEastAsia" w:eastAsiaTheme="minorEastAsia" w:cstheme="minorEastAsia"/>
                <w:color w:val="auto"/>
                <w:szCs w:val="21"/>
              </w:rPr>
              <w:t>3</w:t>
            </w:r>
            <w:r>
              <w:rPr>
                <w:rFonts w:hint="eastAsia" w:asciiTheme="minorEastAsia" w:hAnsiTheme="minorEastAsia" w:eastAsiaTheme="minorEastAsia" w:cstheme="minorEastAsia"/>
                <w:color w:val="auto"/>
                <w:szCs w:val="21"/>
              </w:rPr>
              <w:t>分；（需提供身份证、职称证书或资格证书、在单位缴纳社保证明、劳动合同等相关证明材料）</w:t>
            </w:r>
          </w:p>
        </w:tc>
        <w:tc>
          <w:tcPr>
            <w:tcW w:w="664" w:type="dxa"/>
            <w:tcBorders>
              <w:bottom w:val="single" w:color="auto" w:sz="4" w:space="0"/>
            </w:tcBorders>
            <w:vAlign w:val="center"/>
          </w:tcPr>
          <w:p>
            <w:pPr>
              <w:autoSpaceDE w:val="0"/>
              <w:autoSpaceDN w:val="0"/>
              <w:adjustRightInd w:val="0"/>
              <w:ind w:right="71" w:rightChars="34"/>
              <w:jc w:val="center"/>
              <w:rPr>
                <w:rFonts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lang w:val="en-US" w:eastAsia="zh-CN"/>
              </w:rPr>
              <w:t>3</w:t>
            </w:r>
            <w:r>
              <w:rPr>
                <w:rFonts w:hint="eastAsia" w:asciiTheme="minorEastAsia" w:hAnsiTheme="minorEastAsia" w:eastAsiaTheme="minorEastAsia" w:cstheme="minorEastAsia"/>
                <w:color w:val="auto"/>
                <w:spacing w:val="-6"/>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asciiTheme="minorEastAsia" w:hAnsiTheme="minorEastAsia" w:eastAsiaTheme="minorEastAsia" w:cstheme="minorEastAsia"/>
                <w:color w:val="auto"/>
                <w:szCs w:val="21"/>
              </w:rPr>
            </w:pPr>
          </w:p>
        </w:tc>
        <w:tc>
          <w:tcPr>
            <w:tcW w:w="1376" w:type="dxa"/>
            <w:vMerge w:val="continue"/>
            <w:tcBorders>
              <w:bottom w:val="single" w:color="auto" w:sz="4" w:space="0"/>
            </w:tcBorders>
            <w:vAlign w:val="center"/>
          </w:tcPr>
          <w:p>
            <w:pPr>
              <w:spacing w:before="31" w:beforeLines="10" w:after="31" w:afterLines="10"/>
              <w:ind w:left="21" w:leftChars="10" w:right="21" w:rightChars="10"/>
              <w:jc w:val="center"/>
              <w:rPr>
                <w:rFonts w:hint="eastAsia" w:asciiTheme="minorEastAsia" w:hAnsiTheme="minorEastAsia" w:eastAsiaTheme="minorEastAsia" w:cstheme="minorEastAsia"/>
                <w:color w:val="auto"/>
                <w:kern w:val="0"/>
                <w:szCs w:val="21"/>
                <w:lang w:bidi="ar"/>
              </w:rPr>
            </w:pPr>
          </w:p>
        </w:tc>
        <w:tc>
          <w:tcPr>
            <w:tcW w:w="6512" w:type="dxa"/>
            <w:tcBorders>
              <w:bottom w:val="single" w:color="auto" w:sz="4" w:space="0"/>
            </w:tcBorders>
            <w:vAlign w:val="center"/>
          </w:tcPr>
          <w:p>
            <w:pPr>
              <w:widowControl/>
              <w:jc w:val="left"/>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拟投入本项目的</w:t>
            </w:r>
            <w:r>
              <w:rPr>
                <w:rFonts w:hint="eastAsia" w:asciiTheme="minorEastAsia" w:hAnsiTheme="minorEastAsia" w:eastAsiaTheme="minorEastAsia" w:cstheme="minorEastAsia"/>
                <w:color w:val="auto"/>
                <w:szCs w:val="21"/>
                <w:lang w:eastAsia="zh-CN"/>
              </w:rPr>
              <w:t>团队成员（项目负责人除外）</w:t>
            </w:r>
            <w:r>
              <w:rPr>
                <w:rFonts w:hint="eastAsia" w:asciiTheme="minorEastAsia" w:hAnsiTheme="minorEastAsia" w:eastAsiaTheme="minorEastAsia" w:cstheme="minorEastAsia"/>
                <w:color w:val="auto"/>
                <w:szCs w:val="21"/>
              </w:rPr>
              <w:t>中具有中级职称证书或中级室内设计师资格的，每人得0.5分，最多得</w:t>
            </w:r>
            <w:r>
              <w:rPr>
                <w:rFonts w:asciiTheme="minorEastAsia" w:hAnsiTheme="minorEastAsia" w:eastAsiaTheme="minorEastAsia" w:cstheme="minorEastAsia"/>
                <w:color w:val="auto"/>
                <w:szCs w:val="21"/>
              </w:rPr>
              <w:t>2</w:t>
            </w:r>
            <w:r>
              <w:rPr>
                <w:rFonts w:hint="eastAsia" w:asciiTheme="minorEastAsia" w:hAnsiTheme="minorEastAsia" w:eastAsiaTheme="minorEastAsia" w:cstheme="minorEastAsia"/>
                <w:color w:val="auto"/>
                <w:szCs w:val="21"/>
              </w:rPr>
              <w:t>分。（需提供身份证、职称证书或资格证书、在单位缴纳社保证明、劳动合同等相关证明材料）</w:t>
            </w:r>
          </w:p>
        </w:tc>
        <w:tc>
          <w:tcPr>
            <w:tcW w:w="664" w:type="dxa"/>
            <w:tcBorders>
              <w:bottom w:val="single" w:color="auto" w:sz="4" w:space="0"/>
            </w:tcBorders>
            <w:vAlign w:val="center"/>
          </w:tcPr>
          <w:p>
            <w:pPr>
              <w:autoSpaceDE w:val="0"/>
              <w:autoSpaceDN w:val="0"/>
              <w:adjustRightInd w:val="0"/>
              <w:ind w:right="71" w:rightChars="34"/>
              <w:jc w:val="center"/>
              <w:rPr>
                <w:rFonts w:hint="eastAsia" w:asciiTheme="minorEastAsia" w:hAnsiTheme="minorEastAsia" w:eastAsiaTheme="minorEastAsia" w:cstheme="minorEastAsia"/>
                <w:color w:val="auto"/>
                <w:spacing w:val="-6"/>
                <w:szCs w:val="21"/>
                <w:lang w:val="en-US" w:eastAsia="zh-CN"/>
              </w:rPr>
            </w:pPr>
            <w:r>
              <w:rPr>
                <w:rFonts w:hint="eastAsia" w:asciiTheme="minorEastAsia" w:hAnsiTheme="minorEastAsia" w:eastAsiaTheme="minorEastAsia" w:cstheme="minorEastAsia"/>
                <w:color w:val="auto"/>
                <w:spacing w:val="-6"/>
                <w:szCs w:val="21"/>
                <w:lang w:val="en-US" w:eastAsia="zh-CN"/>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asciiTheme="minorEastAsia" w:hAnsiTheme="minorEastAsia" w:eastAsiaTheme="minorEastAsia" w:cstheme="minorEastAsia"/>
                <w:color w:val="auto"/>
                <w:szCs w:val="21"/>
              </w:rPr>
            </w:pPr>
          </w:p>
        </w:tc>
        <w:tc>
          <w:tcPr>
            <w:tcW w:w="1376" w:type="dxa"/>
            <w:tcBorders>
              <w:top w:val="single" w:color="auto" w:sz="4" w:space="0"/>
            </w:tcBorders>
            <w:vAlign w:val="center"/>
          </w:tcPr>
          <w:p>
            <w:pPr>
              <w:jc w:val="center"/>
              <w:rPr>
                <w:rFonts w:asciiTheme="minorEastAsia" w:hAnsiTheme="minorEastAsia" w:eastAsiaTheme="minorEastAsia" w:cstheme="minorEastAsia"/>
                <w:color w:val="auto"/>
                <w:spacing w:val="-6"/>
                <w:kern w:val="0"/>
                <w:szCs w:val="21"/>
              </w:rPr>
            </w:pPr>
            <w:r>
              <w:rPr>
                <w:rFonts w:hint="eastAsia" w:asciiTheme="minorEastAsia" w:hAnsiTheme="minorEastAsia" w:eastAsiaTheme="minorEastAsia" w:cstheme="minorEastAsia"/>
                <w:color w:val="auto"/>
                <w:spacing w:val="-6"/>
                <w:kern w:val="0"/>
                <w:szCs w:val="21"/>
              </w:rPr>
              <w:t>企业荣誉</w:t>
            </w:r>
          </w:p>
        </w:tc>
        <w:tc>
          <w:tcPr>
            <w:tcW w:w="6512" w:type="dxa"/>
            <w:tcBorders>
              <w:top w:val="single" w:color="auto" w:sz="4" w:space="0"/>
            </w:tcBorders>
            <w:vAlign w:val="center"/>
          </w:tcPr>
          <w:p>
            <w:pPr>
              <w:autoSpaceDE w:val="0"/>
              <w:autoSpaceDN w:val="0"/>
              <w:adjustRightInd w:val="0"/>
              <w:spacing w:line="300" w:lineRule="auto"/>
              <w:ind w:right="71" w:rightChars="34"/>
              <w:rPr>
                <w:rFonts w:ascii="宋体" w:hAnsi="宋体" w:cs="宋体"/>
                <w:color w:val="auto"/>
                <w:szCs w:val="21"/>
                <w:lang w:val="zh-CN"/>
              </w:rPr>
            </w:pPr>
            <w:r>
              <w:rPr>
                <w:rFonts w:hint="eastAsia" w:ascii="宋体" w:hAnsi="宋体" w:cs="宋体"/>
                <w:color w:val="auto"/>
                <w:szCs w:val="21"/>
                <w:lang w:val="zh-CN"/>
              </w:rPr>
              <w:t>供应商</w:t>
            </w:r>
            <w:r>
              <w:rPr>
                <w:rFonts w:hint="eastAsia" w:ascii="宋体" w:hAnsi="宋体" w:cs="宋体"/>
                <w:color w:val="auto"/>
                <w:szCs w:val="21"/>
              </w:rPr>
              <w:t>近三年（磋商截止时间往前推算36个月）</w:t>
            </w:r>
            <w:r>
              <w:rPr>
                <w:rFonts w:hint="eastAsia" w:ascii="宋体" w:hAnsi="宋体" w:cs="宋体"/>
                <w:color w:val="auto"/>
                <w:szCs w:val="21"/>
                <w:lang w:val="zh-CN"/>
              </w:rPr>
              <w:t>设计项目获相关表彰荣誉的1个得2分，最多得4分；（需提供相关获奖证书加盖公章的真彩扫描件，未提供不得分）</w:t>
            </w:r>
          </w:p>
        </w:tc>
        <w:tc>
          <w:tcPr>
            <w:tcW w:w="664" w:type="dxa"/>
            <w:tcBorders>
              <w:top w:val="single" w:color="auto" w:sz="4" w:space="0"/>
            </w:tcBorders>
            <w:vAlign w:val="center"/>
          </w:tcPr>
          <w:p>
            <w:pPr>
              <w:autoSpaceDE w:val="0"/>
              <w:autoSpaceDN w:val="0"/>
              <w:adjustRightInd w:val="0"/>
              <w:spacing w:line="300" w:lineRule="auto"/>
              <w:ind w:right="71" w:rightChars="34"/>
              <w:rPr>
                <w:rFonts w:asciiTheme="minorEastAsia" w:hAnsiTheme="minorEastAsia" w:eastAsiaTheme="minorEastAsia" w:cstheme="minorEastAsia"/>
                <w:color w:val="auto"/>
                <w:spacing w:val="-6"/>
                <w:kern w:val="0"/>
                <w:szCs w:val="21"/>
              </w:rPr>
            </w:pPr>
            <w:r>
              <w:rPr>
                <w:rFonts w:hint="eastAsia" w:asciiTheme="minorEastAsia" w:hAnsiTheme="minorEastAsia" w:eastAsiaTheme="minorEastAsia" w:cstheme="minorEastAsia"/>
                <w:color w:val="auto"/>
                <w:spacing w:val="-6"/>
                <w:kern w:val="0"/>
                <w:szCs w:val="21"/>
              </w:rPr>
              <w:t>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restart"/>
            <w:vAlign w:val="center"/>
          </w:tcPr>
          <w:p>
            <w:pPr>
              <w:jc w:val="center"/>
              <w:rPr>
                <w:rFonts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技术服务</w:t>
            </w:r>
          </w:p>
          <w:p>
            <w:pPr>
              <w:jc w:val="center"/>
              <w:rPr>
                <w:rFonts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40分</w:t>
            </w:r>
          </w:p>
        </w:tc>
        <w:tc>
          <w:tcPr>
            <w:tcW w:w="1376" w:type="dxa"/>
            <w:vAlign w:val="center"/>
          </w:tcPr>
          <w:p>
            <w:pPr>
              <w:jc w:val="center"/>
              <w:rPr>
                <w:rFonts w:asciiTheme="minorEastAsia" w:hAnsiTheme="minorEastAsia" w:eastAsiaTheme="minorEastAsia" w:cstheme="minorEastAsia"/>
                <w:color w:val="auto"/>
                <w:spacing w:val="-6"/>
                <w:szCs w:val="21"/>
              </w:rPr>
            </w:pPr>
            <w:r>
              <w:rPr>
                <w:rFonts w:hint="eastAsia" w:ascii="宋体" w:hAnsi="宋体" w:cs="宋体"/>
                <w:color w:val="auto"/>
                <w:kern w:val="0"/>
                <w:szCs w:val="21"/>
              </w:rPr>
              <w:t>本项目设计理念的阐述和项目理解</w:t>
            </w:r>
          </w:p>
        </w:tc>
        <w:tc>
          <w:tcPr>
            <w:tcW w:w="6512" w:type="dxa"/>
            <w:vAlign w:val="center"/>
          </w:tcPr>
          <w:p>
            <w:pPr>
              <w:ind w:left="-4" w:leftChars="-2" w:firstLine="2" w:firstLineChars="1"/>
              <w:rPr>
                <w:rFonts w:ascii="宋体" w:hAnsi="宋体" w:cs="宋体"/>
                <w:color w:val="auto"/>
                <w:kern w:val="0"/>
                <w:szCs w:val="21"/>
              </w:rPr>
            </w:pPr>
            <w:r>
              <w:rPr>
                <w:rFonts w:hint="eastAsia" w:ascii="宋体" w:hAnsi="宋体" w:cs="宋体"/>
                <w:color w:val="auto"/>
                <w:kern w:val="0"/>
                <w:szCs w:val="21"/>
              </w:rPr>
              <w:t>根据供应商设计理念的阐述从整体思路是否清晰、层次是否分明、主题是否鲜明；是否构思新颖、特色突出、以人为本、注重环境等方面进行评分：</w:t>
            </w:r>
          </w:p>
          <w:p>
            <w:pPr>
              <w:ind w:left="-4" w:leftChars="-2" w:firstLine="2" w:firstLineChars="1"/>
              <w:rPr>
                <w:rFonts w:ascii="宋体" w:hAnsi="宋体" w:cs="宋体"/>
                <w:color w:val="auto"/>
                <w:kern w:val="0"/>
                <w:szCs w:val="21"/>
              </w:rPr>
            </w:pPr>
            <w:r>
              <w:rPr>
                <w:rFonts w:hint="eastAsia" w:ascii="宋体" w:hAnsi="宋体" w:cs="宋体"/>
                <w:color w:val="auto"/>
                <w:kern w:val="0"/>
                <w:szCs w:val="21"/>
              </w:rPr>
              <w:t>思路清晰、层次分明、构思新颖、得6分；</w:t>
            </w:r>
          </w:p>
          <w:p>
            <w:pPr>
              <w:ind w:left="-4" w:leftChars="-2" w:firstLine="2" w:firstLineChars="1"/>
              <w:rPr>
                <w:rFonts w:ascii="宋体" w:hAnsi="宋体" w:cs="宋体"/>
                <w:color w:val="auto"/>
                <w:kern w:val="0"/>
                <w:szCs w:val="21"/>
              </w:rPr>
            </w:pPr>
            <w:r>
              <w:rPr>
                <w:rFonts w:hint="eastAsia" w:ascii="宋体" w:hAnsi="宋体" w:cs="宋体"/>
                <w:color w:val="auto"/>
                <w:kern w:val="0"/>
                <w:szCs w:val="21"/>
              </w:rPr>
              <w:t>主体较鲜明，整体特色不够突出得4分；</w:t>
            </w:r>
          </w:p>
          <w:p>
            <w:pPr>
              <w:ind w:left="-4" w:leftChars="-2" w:firstLine="2" w:firstLineChars="1"/>
              <w:rPr>
                <w:rFonts w:ascii="宋体" w:hAnsi="宋体" w:cs="宋体"/>
                <w:color w:val="auto"/>
                <w:kern w:val="0"/>
                <w:szCs w:val="21"/>
              </w:rPr>
            </w:pPr>
            <w:r>
              <w:rPr>
                <w:rFonts w:hint="eastAsia" w:ascii="宋体" w:hAnsi="宋体" w:cs="宋体"/>
                <w:color w:val="auto"/>
                <w:kern w:val="0"/>
                <w:szCs w:val="21"/>
              </w:rPr>
              <w:t>陈述思路及设计构思一般得2分；</w:t>
            </w:r>
          </w:p>
          <w:p>
            <w:pPr>
              <w:ind w:left="-4" w:leftChars="-2" w:firstLine="2" w:firstLineChars="1"/>
              <w:rPr>
                <w:rFonts w:ascii="宋体" w:hAnsi="宋体" w:cs="宋体"/>
                <w:color w:val="auto"/>
                <w:kern w:val="0"/>
                <w:szCs w:val="21"/>
              </w:rPr>
            </w:pPr>
            <w:r>
              <w:rPr>
                <w:rFonts w:hint="eastAsia" w:ascii="宋体" w:hAnsi="宋体" w:cs="宋体"/>
                <w:color w:val="auto"/>
                <w:kern w:val="0"/>
                <w:szCs w:val="21"/>
              </w:rPr>
              <w:t>影响周边环境、设计理念混乱得1分；</w:t>
            </w:r>
          </w:p>
          <w:p>
            <w:pPr>
              <w:ind w:left="-4" w:leftChars="-2" w:firstLine="2" w:firstLineChars="1"/>
              <w:rPr>
                <w:rFonts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kern w:val="0"/>
                <w:szCs w:val="21"/>
              </w:rPr>
              <w:t>不可行，0 分。</w:t>
            </w:r>
          </w:p>
        </w:tc>
        <w:tc>
          <w:tcPr>
            <w:tcW w:w="664" w:type="dxa"/>
            <w:vAlign w:val="center"/>
          </w:tcPr>
          <w:p>
            <w:pPr>
              <w:ind w:left="-4" w:leftChars="-2" w:firstLine="1" w:firstLineChars="1"/>
              <w:rPr>
                <w:rFonts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ind w:left="-4" w:leftChars="-2" w:firstLine="2" w:firstLineChars="1"/>
              <w:rPr>
                <w:rFonts w:asciiTheme="minorEastAsia" w:hAnsiTheme="minorEastAsia" w:eastAsiaTheme="minorEastAsia" w:cstheme="minorEastAsia"/>
                <w:color w:val="auto"/>
                <w:szCs w:val="21"/>
              </w:rPr>
            </w:pPr>
          </w:p>
        </w:tc>
        <w:tc>
          <w:tcPr>
            <w:tcW w:w="1376" w:type="dxa"/>
            <w:vAlign w:val="center"/>
          </w:tcPr>
          <w:p>
            <w:pPr>
              <w:widowControl/>
              <w:jc w:val="center"/>
              <w:rPr>
                <w:rFonts w:ascii="宋体" w:hAnsi="宋体" w:cs="宋体"/>
                <w:bCs/>
                <w:color w:val="auto"/>
                <w:szCs w:val="21"/>
              </w:rPr>
            </w:pPr>
            <w:r>
              <w:rPr>
                <w:rFonts w:hint="eastAsia" w:ascii="宋体" w:hAnsi="宋体" w:cs="宋体"/>
                <w:bCs/>
                <w:color w:val="auto"/>
                <w:szCs w:val="21"/>
              </w:rPr>
              <w:t>进度合理性</w:t>
            </w:r>
          </w:p>
        </w:tc>
        <w:tc>
          <w:tcPr>
            <w:tcW w:w="6512" w:type="dxa"/>
            <w:vAlign w:val="center"/>
          </w:tcPr>
          <w:p>
            <w:pPr>
              <w:widowControl/>
              <w:jc w:val="left"/>
              <w:rPr>
                <w:rFonts w:ascii="宋体" w:hAnsi="宋体" w:cs="宋体"/>
                <w:bCs/>
                <w:color w:val="auto"/>
                <w:szCs w:val="21"/>
              </w:rPr>
            </w:pPr>
            <w:r>
              <w:rPr>
                <w:rFonts w:hint="eastAsia" w:ascii="宋体" w:hAnsi="宋体" w:cs="宋体"/>
                <w:bCs/>
                <w:color w:val="auto"/>
                <w:szCs w:val="21"/>
              </w:rPr>
              <w:t>根据供应商</w:t>
            </w:r>
            <w:r>
              <w:rPr>
                <w:rFonts w:hint="eastAsia" w:ascii="宋体" w:hAnsi="宋体" w:cs="宋体"/>
                <w:color w:val="auto"/>
                <w:kern w:val="0"/>
                <w:szCs w:val="21"/>
              </w:rPr>
              <w:t>提供进度控制安排、进度计划保证措施等</w:t>
            </w:r>
            <w:r>
              <w:rPr>
                <w:rFonts w:hint="eastAsia" w:ascii="宋体" w:hAnsi="宋体" w:cs="宋体"/>
                <w:bCs/>
                <w:color w:val="auto"/>
                <w:szCs w:val="21"/>
              </w:rPr>
              <w:t>进行综合评分：</w:t>
            </w:r>
          </w:p>
          <w:p>
            <w:pPr>
              <w:widowControl/>
              <w:jc w:val="left"/>
              <w:textAlignment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科学、合理，针对性强，6分；</w:t>
            </w:r>
          </w:p>
          <w:p>
            <w:pPr>
              <w:widowControl/>
              <w:jc w:val="left"/>
              <w:textAlignment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合理，可行，4分；</w:t>
            </w:r>
          </w:p>
          <w:p>
            <w:pPr>
              <w:widowControl/>
              <w:jc w:val="left"/>
              <w:textAlignment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欠合理，基本可行，2分；</w:t>
            </w:r>
          </w:p>
          <w:p>
            <w:pPr>
              <w:widowControl/>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不可行，0 分。</w:t>
            </w:r>
          </w:p>
        </w:tc>
        <w:tc>
          <w:tcPr>
            <w:tcW w:w="664" w:type="dxa"/>
            <w:vAlign w:val="center"/>
          </w:tcPr>
          <w:p>
            <w:pPr>
              <w:ind w:left="-4" w:leftChars="-2" w:firstLine="2" w:firstLineChars="1"/>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ind w:left="-4" w:leftChars="-2" w:firstLine="2" w:firstLineChars="1"/>
              <w:rPr>
                <w:rFonts w:asciiTheme="minorEastAsia" w:hAnsiTheme="minorEastAsia" w:eastAsiaTheme="minorEastAsia" w:cstheme="minorEastAsia"/>
                <w:color w:val="auto"/>
                <w:szCs w:val="21"/>
              </w:rPr>
            </w:pPr>
          </w:p>
        </w:tc>
        <w:tc>
          <w:tcPr>
            <w:tcW w:w="1376" w:type="dxa"/>
            <w:vAlign w:val="center"/>
          </w:tcPr>
          <w:p>
            <w:pPr>
              <w:widowControl/>
              <w:jc w:val="center"/>
              <w:rPr>
                <w:rFonts w:asciiTheme="minorEastAsia" w:hAnsiTheme="minorEastAsia" w:eastAsiaTheme="minorEastAsia" w:cstheme="minorEastAsia"/>
                <w:color w:val="auto"/>
                <w:spacing w:val="-6"/>
                <w:szCs w:val="21"/>
              </w:rPr>
            </w:pPr>
            <w:r>
              <w:rPr>
                <w:rFonts w:hint="eastAsia" w:ascii="宋体" w:hAnsi="宋体" w:cs="宋体"/>
                <w:bCs/>
                <w:color w:val="auto"/>
                <w:szCs w:val="21"/>
              </w:rPr>
              <w:t>重、难点分析及对策措施</w:t>
            </w:r>
          </w:p>
        </w:tc>
        <w:tc>
          <w:tcPr>
            <w:tcW w:w="6512" w:type="dxa"/>
            <w:vAlign w:val="center"/>
          </w:tcPr>
          <w:p>
            <w:pPr>
              <w:widowControl/>
              <w:jc w:val="left"/>
              <w:rPr>
                <w:rFonts w:ascii="宋体" w:hAnsi="宋体" w:cs="宋体"/>
                <w:bCs/>
                <w:color w:val="auto"/>
                <w:szCs w:val="21"/>
              </w:rPr>
            </w:pPr>
            <w:r>
              <w:rPr>
                <w:rFonts w:hint="eastAsia" w:ascii="宋体" w:hAnsi="宋体" w:cs="宋体"/>
                <w:bCs/>
                <w:color w:val="auto"/>
                <w:szCs w:val="21"/>
              </w:rPr>
              <w:t>根据供应商对项目服务实施方案中工作重点和难点分析及对策措施方案进行综合评分：</w:t>
            </w:r>
          </w:p>
          <w:p>
            <w:pPr>
              <w:widowControl/>
              <w:jc w:val="left"/>
              <w:textAlignment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科学、合理，针对性强，6分；</w:t>
            </w:r>
          </w:p>
          <w:p>
            <w:pPr>
              <w:widowControl/>
              <w:jc w:val="left"/>
              <w:textAlignment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合理，可行，4分；</w:t>
            </w:r>
          </w:p>
          <w:p>
            <w:pPr>
              <w:widowControl/>
              <w:jc w:val="left"/>
              <w:textAlignment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欠合理，基本可行，2分；</w:t>
            </w:r>
          </w:p>
          <w:p>
            <w:pPr>
              <w:widowControl/>
              <w:jc w:val="left"/>
              <w:rPr>
                <w:rFonts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kern w:val="0"/>
                <w:szCs w:val="21"/>
              </w:rPr>
              <w:t>不可行，0 分。</w:t>
            </w:r>
          </w:p>
        </w:tc>
        <w:tc>
          <w:tcPr>
            <w:tcW w:w="664" w:type="dxa"/>
            <w:vAlign w:val="center"/>
          </w:tcPr>
          <w:p>
            <w:pPr>
              <w:ind w:left="-4" w:leftChars="-2" w:firstLine="2" w:firstLineChars="1"/>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ind w:left="-4" w:leftChars="-2" w:firstLine="2" w:firstLineChars="1"/>
              <w:rPr>
                <w:rFonts w:asciiTheme="minorEastAsia" w:hAnsiTheme="minorEastAsia" w:eastAsiaTheme="minorEastAsia" w:cstheme="minorEastAsia"/>
                <w:color w:val="auto"/>
                <w:szCs w:val="21"/>
              </w:rPr>
            </w:pPr>
          </w:p>
        </w:tc>
        <w:tc>
          <w:tcPr>
            <w:tcW w:w="1376" w:type="dxa"/>
            <w:vAlign w:val="center"/>
          </w:tcPr>
          <w:p>
            <w:pPr>
              <w:widowControl/>
              <w:jc w:val="center"/>
              <w:rPr>
                <w:rFonts w:ascii="宋体" w:hAnsi="宋体" w:cs="宋体"/>
                <w:bCs/>
                <w:color w:val="auto"/>
                <w:szCs w:val="21"/>
              </w:rPr>
            </w:pPr>
            <w:r>
              <w:rPr>
                <w:rFonts w:hint="eastAsia" w:ascii="宋体" w:hAnsi="宋体" w:cs="宋体"/>
                <w:bCs/>
                <w:color w:val="auto"/>
                <w:szCs w:val="21"/>
              </w:rPr>
              <w:t>服务人员配备</w:t>
            </w:r>
          </w:p>
        </w:tc>
        <w:tc>
          <w:tcPr>
            <w:tcW w:w="6512" w:type="dxa"/>
            <w:vAlign w:val="center"/>
          </w:tcPr>
          <w:p>
            <w:pPr>
              <w:widowControl/>
              <w:jc w:val="left"/>
              <w:textAlignment w:val="center"/>
              <w:rPr>
                <w:rFonts w:ascii="宋体" w:hAnsi="宋体" w:cs="宋体"/>
                <w:bCs/>
                <w:color w:val="auto"/>
                <w:szCs w:val="21"/>
              </w:rPr>
            </w:pPr>
            <w:r>
              <w:rPr>
                <w:rFonts w:hint="eastAsia" w:ascii="宋体" w:hAnsi="宋体" w:cs="宋体"/>
                <w:bCs/>
                <w:color w:val="auto"/>
                <w:szCs w:val="21"/>
              </w:rPr>
              <w:t>根据供应商提供的人员配备实施方案进行综合评分：</w:t>
            </w:r>
          </w:p>
          <w:p>
            <w:pPr>
              <w:widowControl/>
              <w:jc w:val="left"/>
              <w:textAlignment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科学、合理，针对性强，6分；</w:t>
            </w:r>
          </w:p>
          <w:p>
            <w:pPr>
              <w:widowControl/>
              <w:jc w:val="left"/>
              <w:textAlignment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合理，可行，4分；</w:t>
            </w:r>
          </w:p>
          <w:p>
            <w:pPr>
              <w:widowControl/>
              <w:jc w:val="left"/>
              <w:textAlignment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欠合理，基本可行，2分；</w:t>
            </w:r>
          </w:p>
          <w:p>
            <w:pPr>
              <w:widowControl/>
              <w:jc w:val="left"/>
              <w:rPr>
                <w:rFonts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kern w:val="0"/>
                <w:szCs w:val="21"/>
              </w:rPr>
              <w:t>不可行，0 分。</w:t>
            </w:r>
          </w:p>
        </w:tc>
        <w:tc>
          <w:tcPr>
            <w:tcW w:w="664" w:type="dxa"/>
            <w:vAlign w:val="center"/>
          </w:tcPr>
          <w:p>
            <w:pPr>
              <w:ind w:left="-4" w:leftChars="-2" w:firstLine="2" w:firstLineChars="1"/>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ind w:left="-4" w:leftChars="-2" w:firstLine="2" w:firstLineChars="1"/>
              <w:rPr>
                <w:rFonts w:asciiTheme="minorEastAsia" w:hAnsiTheme="minorEastAsia" w:eastAsiaTheme="minorEastAsia" w:cstheme="minorEastAsia"/>
                <w:color w:val="auto"/>
                <w:szCs w:val="21"/>
              </w:rPr>
            </w:pPr>
          </w:p>
        </w:tc>
        <w:tc>
          <w:tcPr>
            <w:tcW w:w="1376" w:type="dxa"/>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6"/>
                <w:szCs w:val="21"/>
              </w:rPr>
              <w:t>后期服务及承诺</w:t>
            </w:r>
          </w:p>
        </w:tc>
        <w:tc>
          <w:tcPr>
            <w:tcW w:w="6512" w:type="dxa"/>
            <w:vAlign w:val="center"/>
          </w:tcPr>
          <w:p>
            <w:pPr>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6"/>
                <w:szCs w:val="21"/>
              </w:rPr>
              <w:t>供应商承诺有驻场设计人员且后期服务安排的科学性、合理性强得，4</w:t>
            </w:r>
            <w:r>
              <w:rPr>
                <w:rFonts w:hint="eastAsia" w:asciiTheme="minorEastAsia" w:hAnsiTheme="minorEastAsia" w:eastAsiaTheme="minorEastAsia" w:cstheme="minorEastAsia"/>
                <w:color w:val="auto"/>
                <w:szCs w:val="21"/>
              </w:rPr>
              <w:t>分；一般合理，可行，2分；不合理，0分；</w:t>
            </w:r>
          </w:p>
        </w:tc>
        <w:tc>
          <w:tcPr>
            <w:tcW w:w="664" w:type="dxa"/>
            <w:vAlign w:val="center"/>
          </w:tcPr>
          <w:p>
            <w:pPr>
              <w:ind w:left="-4" w:leftChars="-2" w:firstLine="1" w:firstLineChars="1"/>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6"/>
                <w:szCs w:val="21"/>
              </w:rPr>
              <w:t>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ind w:left="-4" w:leftChars="-2" w:firstLine="2" w:firstLineChars="1"/>
              <w:rPr>
                <w:rFonts w:asciiTheme="minorEastAsia" w:hAnsiTheme="minorEastAsia" w:eastAsiaTheme="minorEastAsia" w:cstheme="minorEastAsia"/>
                <w:color w:val="auto"/>
                <w:szCs w:val="21"/>
              </w:rPr>
            </w:pPr>
          </w:p>
        </w:tc>
        <w:tc>
          <w:tcPr>
            <w:tcW w:w="1376" w:type="dxa"/>
            <w:vMerge w:val="restart"/>
            <w:vAlign w:val="center"/>
          </w:tcPr>
          <w:p>
            <w:pPr>
              <w:spacing w:line="300" w:lineRule="exact"/>
              <w:ind w:left="-10" w:leftChars="-5" w:right="-29" w:rightChars="-14" w:firstLine="10" w:firstLineChars="5"/>
              <w:jc w:val="center"/>
              <w:rPr>
                <w:rFonts w:asciiTheme="minorEastAsia" w:hAnsiTheme="minorEastAsia" w:eastAsiaTheme="minorEastAsia" w:cstheme="minorEastAsia"/>
                <w:color w:val="auto"/>
                <w:spacing w:val="-6"/>
                <w:szCs w:val="21"/>
              </w:rPr>
            </w:pPr>
            <w:r>
              <w:rPr>
                <w:rFonts w:hint="eastAsia" w:ascii="宋体" w:hAnsi="宋体" w:cs="宋体"/>
                <w:color w:val="auto"/>
                <w:kern w:val="0"/>
                <w:szCs w:val="21"/>
              </w:rPr>
              <w:t>功能分区</w:t>
            </w:r>
          </w:p>
        </w:tc>
        <w:tc>
          <w:tcPr>
            <w:tcW w:w="6512" w:type="dxa"/>
          </w:tcPr>
          <w:p>
            <w:pPr>
              <w:widowControl/>
              <w:jc w:val="left"/>
              <w:textAlignment w:val="center"/>
              <w:rPr>
                <w:rFonts w:ascii="宋体" w:hAnsi="宋体" w:cs="宋体"/>
                <w:bCs/>
                <w:color w:val="auto"/>
                <w:szCs w:val="21"/>
              </w:rPr>
            </w:pPr>
            <w:r>
              <w:rPr>
                <w:rFonts w:hint="eastAsia" w:ascii="宋体" w:hAnsi="宋体" w:cs="宋体"/>
                <w:bCs/>
                <w:color w:val="auto"/>
                <w:szCs w:val="21"/>
              </w:rPr>
              <w:t>根据供应商提供的</w:t>
            </w:r>
            <w:r>
              <w:rPr>
                <w:rFonts w:hint="eastAsia" w:ascii="宋体" w:hAnsi="宋体" w:cs="宋体"/>
                <w:color w:val="auto"/>
                <w:kern w:val="0"/>
                <w:szCs w:val="21"/>
              </w:rPr>
              <w:t>设计方案抓住重点、主次分明、合理利用、设计理念新颖、定位准确、符合现状条件的同时有所创新等</w:t>
            </w:r>
            <w:r>
              <w:rPr>
                <w:rFonts w:hint="eastAsia" w:ascii="宋体" w:hAnsi="宋体" w:cs="宋体"/>
                <w:bCs/>
                <w:color w:val="auto"/>
                <w:szCs w:val="21"/>
              </w:rPr>
              <w:t>进行综合评分：</w:t>
            </w:r>
          </w:p>
          <w:p>
            <w:pPr>
              <w:widowControl/>
              <w:jc w:val="left"/>
              <w:textAlignment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科学、合理，针对性强，6分；</w:t>
            </w:r>
          </w:p>
          <w:p>
            <w:pPr>
              <w:widowControl/>
              <w:jc w:val="left"/>
              <w:textAlignment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合理，可行，4分；</w:t>
            </w:r>
          </w:p>
          <w:p>
            <w:pPr>
              <w:widowControl/>
              <w:jc w:val="left"/>
              <w:textAlignment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欠合理，基本可行，2分；</w:t>
            </w:r>
          </w:p>
          <w:p>
            <w:pPr>
              <w:rPr>
                <w:rFonts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kern w:val="0"/>
                <w:szCs w:val="21"/>
              </w:rPr>
              <w:t>不可行，0 分。</w:t>
            </w:r>
          </w:p>
        </w:tc>
        <w:tc>
          <w:tcPr>
            <w:tcW w:w="664" w:type="dxa"/>
            <w:vAlign w:val="center"/>
          </w:tcPr>
          <w:p>
            <w:pPr>
              <w:ind w:left="-4" w:leftChars="-2" w:firstLine="2" w:firstLineChars="1"/>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ind w:left="-4" w:leftChars="-2" w:firstLine="2" w:firstLineChars="1"/>
              <w:rPr>
                <w:rFonts w:asciiTheme="minorEastAsia" w:hAnsiTheme="minorEastAsia" w:eastAsiaTheme="minorEastAsia" w:cstheme="minorEastAsia"/>
                <w:color w:val="auto"/>
                <w:szCs w:val="21"/>
              </w:rPr>
            </w:pPr>
          </w:p>
        </w:tc>
        <w:tc>
          <w:tcPr>
            <w:tcW w:w="1376" w:type="dxa"/>
            <w:vMerge w:val="continue"/>
            <w:vAlign w:val="center"/>
          </w:tcPr>
          <w:p>
            <w:pPr>
              <w:jc w:val="center"/>
              <w:rPr>
                <w:rFonts w:asciiTheme="minorEastAsia" w:hAnsiTheme="minorEastAsia" w:eastAsiaTheme="minorEastAsia" w:cstheme="minorEastAsia"/>
                <w:color w:val="auto"/>
                <w:spacing w:val="-6"/>
                <w:szCs w:val="21"/>
              </w:rPr>
            </w:pPr>
          </w:p>
        </w:tc>
        <w:tc>
          <w:tcPr>
            <w:tcW w:w="6512" w:type="dxa"/>
          </w:tcPr>
          <w:p>
            <w:pPr>
              <w:widowControl/>
              <w:jc w:val="left"/>
              <w:textAlignment w:val="center"/>
              <w:rPr>
                <w:rFonts w:ascii="宋体" w:hAnsi="宋体" w:cs="宋体"/>
                <w:bCs/>
                <w:color w:val="auto"/>
                <w:szCs w:val="21"/>
              </w:rPr>
            </w:pPr>
            <w:r>
              <w:rPr>
                <w:rFonts w:hint="eastAsia" w:ascii="宋体" w:hAnsi="宋体" w:cs="宋体"/>
                <w:bCs/>
                <w:color w:val="auto"/>
                <w:szCs w:val="21"/>
              </w:rPr>
              <w:t>根据供应商提供的</w:t>
            </w:r>
            <w:r>
              <w:rPr>
                <w:rFonts w:hint="eastAsia" w:ascii="宋体" w:hAnsi="宋体" w:cs="宋体"/>
                <w:color w:val="auto"/>
                <w:kern w:val="0"/>
                <w:szCs w:val="21"/>
              </w:rPr>
              <w:t>功能布局合理、满足使用需求、综合考虑相关设施的布置与联系等</w:t>
            </w:r>
            <w:r>
              <w:rPr>
                <w:rFonts w:hint="eastAsia" w:ascii="宋体" w:hAnsi="宋体" w:cs="宋体"/>
                <w:bCs/>
                <w:color w:val="auto"/>
                <w:szCs w:val="21"/>
              </w:rPr>
              <w:t>进行综合评分：</w:t>
            </w:r>
          </w:p>
          <w:p>
            <w:pPr>
              <w:widowControl/>
              <w:jc w:val="left"/>
              <w:textAlignment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科学、合理，针对性强，6分；</w:t>
            </w:r>
          </w:p>
          <w:p>
            <w:pPr>
              <w:widowControl/>
              <w:jc w:val="left"/>
              <w:textAlignment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合理，可行，4分；</w:t>
            </w:r>
          </w:p>
          <w:p>
            <w:pPr>
              <w:widowControl/>
              <w:jc w:val="left"/>
              <w:textAlignment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欠合理，基本可行，2分；</w:t>
            </w:r>
          </w:p>
          <w:p>
            <w:pPr>
              <w:rPr>
                <w:rFonts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kern w:val="0"/>
                <w:szCs w:val="21"/>
              </w:rPr>
              <w:t>不可行，0 分。</w:t>
            </w:r>
          </w:p>
        </w:tc>
        <w:tc>
          <w:tcPr>
            <w:tcW w:w="664" w:type="dxa"/>
            <w:vAlign w:val="center"/>
          </w:tcPr>
          <w:p>
            <w:pPr>
              <w:ind w:left="-4" w:leftChars="-2" w:firstLine="2" w:firstLineChars="1"/>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总分</w:t>
            </w:r>
          </w:p>
        </w:tc>
        <w:tc>
          <w:tcPr>
            <w:tcW w:w="8552" w:type="dxa"/>
            <w:gridSpan w:val="3"/>
            <w:vAlign w:val="center"/>
          </w:tcPr>
          <w:p>
            <w:pPr>
              <w:jc w:val="center"/>
              <w:rPr>
                <w:rFonts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100</w:t>
            </w:r>
          </w:p>
        </w:tc>
      </w:tr>
    </w:tbl>
    <w:p>
      <w:pPr>
        <w:spacing w:line="360" w:lineRule="auto"/>
        <w:rPr>
          <w:rFonts w:asciiTheme="minorEastAsia" w:hAnsiTheme="minorEastAsia" w:eastAsiaTheme="minorEastAsia" w:cstheme="minorEastAsia"/>
          <w:b/>
          <w:color w:val="auto"/>
          <w:szCs w:val="21"/>
        </w:rPr>
      </w:pPr>
      <w:bookmarkStart w:id="109" w:name="_Toc16832"/>
      <w:r>
        <w:rPr>
          <w:rFonts w:hint="eastAsia" w:asciiTheme="minorEastAsia" w:hAnsiTheme="minorEastAsia" w:eastAsiaTheme="minorEastAsia" w:cstheme="minorEastAsia"/>
          <w:b/>
          <w:color w:val="auto"/>
          <w:szCs w:val="21"/>
        </w:rPr>
        <w:br w:type="textWrapping"/>
      </w:r>
      <w:r>
        <w:rPr>
          <w:rFonts w:hint="eastAsia" w:asciiTheme="minorEastAsia" w:hAnsiTheme="minorEastAsia" w:eastAsiaTheme="minorEastAsia" w:cstheme="minorEastAsia"/>
          <w:b/>
          <w:color w:val="auto"/>
          <w:szCs w:val="21"/>
        </w:rPr>
        <w:t>注：上述类似业绩证明材料是否具有类似性以及其符合性均由磋商小组判定，如果资料不全或经磋商小组认定不具有类似性的，该项业绩不计分，并由磋商小组在评审报告中记录详细原因。</w:t>
      </w:r>
    </w:p>
    <w:p>
      <w:pPr>
        <w:spacing w:line="360" w:lineRule="auto"/>
        <w:outlineLvl w:val="1"/>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br w:type="textWrapping"/>
      </w:r>
      <w:r>
        <w:rPr>
          <w:rFonts w:hint="eastAsia" w:asciiTheme="minorEastAsia" w:hAnsiTheme="minorEastAsia" w:eastAsiaTheme="minorEastAsia" w:cstheme="minorEastAsia"/>
          <w:b/>
          <w:color w:val="auto"/>
          <w:szCs w:val="21"/>
        </w:rPr>
        <w:br w:type="textWrapping"/>
      </w:r>
      <w:r>
        <w:rPr>
          <w:rFonts w:hint="eastAsia" w:asciiTheme="minorEastAsia" w:hAnsiTheme="minorEastAsia" w:eastAsiaTheme="minorEastAsia" w:cstheme="minorEastAsia"/>
          <w:b/>
          <w:color w:val="auto"/>
          <w:szCs w:val="21"/>
        </w:rPr>
        <w:t>四、评定办法</w:t>
      </w:r>
      <w:bookmarkEnd w:id="109"/>
    </w:p>
    <w:p>
      <w:pPr>
        <w:numPr>
          <w:ilvl w:val="3"/>
          <w:numId w:val="36"/>
        </w:numPr>
        <w:tabs>
          <w:tab w:val="left" w:pos="540"/>
        </w:tabs>
        <w:spacing w:line="360" w:lineRule="auto"/>
        <w:ind w:left="540" w:hanging="54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初步审查标准</w:t>
      </w:r>
    </w:p>
    <w:p>
      <w:pPr>
        <w:numPr>
          <w:ilvl w:val="1"/>
          <w:numId w:val="37"/>
        </w:numPr>
        <w:tabs>
          <w:tab w:val="left" w:pos="540"/>
          <w:tab w:val="clear" w:pos="360"/>
        </w:tabs>
        <w:spacing w:line="360" w:lineRule="auto"/>
        <w:ind w:left="540" w:hanging="54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资格性审查标准：见评定办法前附表。</w:t>
      </w:r>
    </w:p>
    <w:p>
      <w:pPr>
        <w:numPr>
          <w:ilvl w:val="1"/>
          <w:numId w:val="37"/>
        </w:numPr>
        <w:tabs>
          <w:tab w:val="left" w:pos="540"/>
          <w:tab w:val="clear" w:pos="360"/>
        </w:tabs>
        <w:spacing w:line="360" w:lineRule="auto"/>
        <w:ind w:left="540" w:hanging="54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符合性审查标准：见评定办法前附表。</w:t>
      </w:r>
    </w:p>
    <w:p>
      <w:pPr>
        <w:numPr>
          <w:ilvl w:val="1"/>
          <w:numId w:val="37"/>
        </w:numPr>
        <w:tabs>
          <w:tab w:val="left" w:pos="540"/>
          <w:tab w:val="clear" w:pos="360"/>
        </w:tabs>
        <w:spacing w:line="360" w:lineRule="auto"/>
        <w:ind w:left="540" w:hanging="54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确定磋商供应商进行最后报价：见评定方法前附表。</w:t>
      </w:r>
    </w:p>
    <w:p>
      <w:pPr>
        <w:numPr>
          <w:ilvl w:val="3"/>
          <w:numId w:val="36"/>
        </w:numPr>
        <w:tabs>
          <w:tab w:val="left" w:pos="540"/>
        </w:tabs>
        <w:spacing w:line="360" w:lineRule="auto"/>
        <w:ind w:left="540" w:hanging="54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评定方法：见评定办法前附表。</w:t>
      </w:r>
    </w:p>
    <w:p>
      <w:pPr>
        <w:spacing w:line="360" w:lineRule="auto"/>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2.1 分值构成</w:t>
      </w:r>
    </w:p>
    <w:p>
      <w:pPr>
        <w:spacing w:line="360" w:lineRule="auto"/>
        <w:ind w:firstLine="718" w:firstLineChars="342"/>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（1）技术部分：见评标办法前附表；</w:t>
      </w:r>
    </w:p>
    <w:p>
      <w:pPr>
        <w:spacing w:line="360" w:lineRule="auto"/>
        <w:ind w:firstLine="718" w:firstLineChars="342"/>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（2）商务部分：见评标办法前附表；</w:t>
      </w:r>
    </w:p>
    <w:p>
      <w:pPr>
        <w:spacing w:line="360" w:lineRule="auto"/>
        <w:ind w:firstLine="718" w:firstLineChars="342"/>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（3）竞标报价：见评标办法前附表。</w:t>
      </w:r>
    </w:p>
    <w:p>
      <w:pPr>
        <w:spacing w:line="360" w:lineRule="auto"/>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2.2 评标基准价计算</w:t>
      </w:r>
    </w:p>
    <w:p>
      <w:pPr>
        <w:spacing w:line="360" w:lineRule="auto"/>
        <w:ind w:firstLine="840" w:firstLineChars="4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评标基准价计算方法：见评标办法前附表。</w:t>
      </w:r>
    </w:p>
    <w:p>
      <w:pPr>
        <w:spacing w:line="360" w:lineRule="auto"/>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2.3 评分标准</w:t>
      </w:r>
    </w:p>
    <w:p>
      <w:pPr>
        <w:spacing w:line="360" w:lineRule="auto"/>
        <w:ind w:firstLine="718" w:firstLineChars="342"/>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（1）技术部分评分标准：见评标办法前附表；</w:t>
      </w:r>
    </w:p>
    <w:p>
      <w:pPr>
        <w:spacing w:line="360" w:lineRule="auto"/>
        <w:ind w:firstLine="718" w:firstLineChars="342"/>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（2）商务部分评分标准：见评标办法前附表；</w:t>
      </w:r>
    </w:p>
    <w:p>
      <w:pPr>
        <w:spacing w:line="360" w:lineRule="auto"/>
        <w:ind w:firstLine="718" w:firstLineChars="342"/>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（3）竞标报价评分标准：见评标办法前附表。</w:t>
      </w:r>
    </w:p>
    <w:p>
      <w:pPr>
        <w:numPr>
          <w:ilvl w:val="3"/>
          <w:numId w:val="36"/>
        </w:numPr>
        <w:tabs>
          <w:tab w:val="left" w:pos="540"/>
        </w:tabs>
        <w:spacing w:line="360" w:lineRule="auto"/>
        <w:ind w:left="540" w:hanging="54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评定结果</w:t>
      </w:r>
    </w:p>
    <w:p>
      <w:pPr>
        <w:tabs>
          <w:tab w:val="left" w:pos="540"/>
        </w:tabs>
        <w:spacing w:line="360" w:lineRule="auto"/>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3.1</w:t>
      </w:r>
      <w:r>
        <w:rPr>
          <w:rFonts w:hint="eastAsia" w:asciiTheme="minorEastAsia" w:hAnsiTheme="minorEastAsia" w:eastAsiaTheme="minorEastAsia" w:cstheme="minorEastAsia"/>
          <w:snapToGrid w:val="0"/>
          <w:color w:val="auto"/>
          <w:kern w:val="0"/>
          <w:szCs w:val="21"/>
        </w:rPr>
        <w:t xml:space="preserve"> </w:t>
      </w:r>
      <w:r>
        <w:rPr>
          <w:rFonts w:hint="eastAsia" w:asciiTheme="minorEastAsia" w:hAnsiTheme="minorEastAsia" w:eastAsiaTheme="minorEastAsia" w:cstheme="minorEastAsia"/>
          <w:snapToGrid w:val="0"/>
          <w:color w:val="auto"/>
          <w:kern w:val="0"/>
          <w:szCs w:val="21"/>
          <w:lang w:val="zh-CN"/>
        </w:rPr>
        <w:t>磋商小组严格按照本章要求对最终报价进行评定。</w:t>
      </w:r>
    </w:p>
    <w:p>
      <w:pPr>
        <w:tabs>
          <w:tab w:val="left" w:pos="540"/>
        </w:tabs>
        <w:spacing w:line="360" w:lineRule="auto"/>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3.2 完成评定后，</w:t>
      </w:r>
      <w:r>
        <w:rPr>
          <w:rFonts w:hint="eastAsia" w:asciiTheme="minorEastAsia" w:hAnsiTheme="minorEastAsia" w:eastAsiaTheme="minorEastAsia" w:cstheme="minorEastAsia"/>
          <w:snapToGrid w:val="0"/>
          <w:color w:val="auto"/>
          <w:kern w:val="0"/>
          <w:szCs w:val="21"/>
          <w:lang w:val="zh-CN"/>
        </w:rPr>
        <w:t>磋商小组</w:t>
      </w:r>
      <w:r>
        <w:rPr>
          <w:rFonts w:hint="eastAsia" w:asciiTheme="minorEastAsia" w:hAnsiTheme="minorEastAsia" w:eastAsiaTheme="minorEastAsia" w:cstheme="minorEastAsia"/>
          <w:color w:val="auto"/>
          <w:szCs w:val="21"/>
        </w:rPr>
        <w:t>须在评审结果推荐意见上共同签字。</w:t>
      </w:r>
    </w:p>
    <w:p>
      <w:pPr>
        <w:spacing w:line="360" w:lineRule="auto"/>
        <w:ind w:left="420" w:left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rPr>
        <w:t>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numPr>
          <w:ilvl w:val="3"/>
          <w:numId w:val="36"/>
        </w:numPr>
        <w:tabs>
          <w:tab w:val="left" w:pos="540"/>
        </w:tabs>
        <w:spacing w:line="360" w:lineRule="auto"/>
        <w:ind w:left="540" w:hanging="54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其它</w:t>
      </w:r>
    </w:p>
    <w:p>
      <w:pPr>
        <w:spacing w:line="360" w:lineRule="auto"/>
        <w:ind w:left="420" w:leftChars="200"/>
        <w:jc w:val="left"/>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磋商供应商的最终报价均超过了政府采购预算，采购人不能支付的，磋商活动终止；终止后，采购人需要采取调整采购预算或项目配置标准等，或采取其他采购方式的，应当在采购活动开始前获得政府采购监督管理部门批准。</w:t>
      </w:r>
    </w:p>
    <w:p>
      <w:pPr>
        <w:rPr>
          <w:color w:val="auto"/>
        </w:rPr>
      </w:pPr>
    </w:p>
    <w:p>
      <w:pPr>
        <w:rPr>
          <w:color w:val="auto"/>
        </w:rPr>
      </w:pPr>
    </w:p>
    <w:p>
      <w:pPr>
        <w:rPr>
          <w:color w:val="auto"/>
        </w:rPr>
      </w:pPr>
    </w:p>
    <w:p>
      <w:pPr>
        <w:rPr>
          <w:color w:val="auto"/>
        </w:rPr>
      </w:pPr>
    </w:p>
    <w:p>
      <w:pPr>
        <w:spacing w:line="360" w:lineRule="auto"/>
        <w:outlineLvl w:val="1"/>
        <w:rPr>
          <w:rFonts w:asciiTheme="minorEastAsia" w:hAnsiTheme="minorEastAsia" w:eastAsiaTheme="minorEastAsia" w:cstheme="minorEastAsia"/>
          <w:b/>
          <w:color w:val="auto"/>
          <w:szCs w:val="21"/>
        </w:rPr>
      </w:pPr>
      <w:bookmarkStart w:id="110" w:name="_Toc12017"/>
      <w:r>
        <w:rPr>
          <w:rFonts w:hint="eastAsia" w:asciiTheme="minorEastAsia" w:hAnsiTheme="minorEastAsia" w:eastAsiaTheme="minorEastAsia" w:cstheme="minorEastAsia"/>
          <w:b/>
          <w:color w:val="auto"/>
          <w:szCs w:val="21"/>
        </w:rPr>
        <w:t>五、磋商及评审步骤</w:t>
      </w:r>
      <w:bookmarkEnd w:id="110"/>
    </w:p>
    <w:p>
      <w:pPr>
        <w:spacing w:line="360" w:lineRule="auto"/>
        <w:ind w:left="420" w:leftChars="200"/>
        <w:rPr>
          <w:rFonts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磋商及评审步骤分别依次为磋商小组对供应商及其响应文件的资格和符合性检查、磋商小组同供应商的磋商及供应商的最后报价、详细评审。</w:t>
      </w:r>
    </w:p>
    <w:p>
      <w:pPr>
        <w:spacing w:line="360" w:lineRule="auto"/>
        <w:ind w:firstLine="420" w:firstLineChars="200"/>
        <w:rPr>
          <w:rFonts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1.验证委托代理人身份、响应文件密封检查</w:t>
      </w:r>
    </w:p>
    <w:p>
      <w:pPr>
        <w:spacing w:line="360" w:lineRule="auto"/>
        <w:ind w:firstLine="420" w:firstLineChars="200"/>
        <w:rPr>
          <w:rFonts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主持人按以下程序进行：</w:t>
      </w:r>
    </w:p>
    <w:p>
      <w:pPr>
        <w:spacing w:line="360" w:lineRule="auto"/>
        <w:ind w:firstLine="420" w:firstLineChars="200"/>
        <w:rPr>
          <w:rFonts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①宣布会场纪律。</w:t>
      </w:r>
    </w:p>
    <w:p>
      <w:pPr>
        <w:spacing w:line="360" w:lineRule="auto"/>
        <w:ind w:left="420" w:leftChars="200"/>
        <w:rPr>
          <w:rFonts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②公布在响应文件递交截止时间前递交响应文件的供应商名称，并点名确认供应商的委托代理人是否到场（验证委托代理人身份证原件）。</w:t>
      </w:r>
    </w:p>
    <w:p>
      <w:pPr>
        <w:spacing w:line="360" w:lineRule="auto"/>
        <w:ind w:firstLine="420" w:firstLineChars="200"/>
        <w:rPr>
          <w:rFonts w:asciiTheme="minorEastAsia" w:hAnsiTheme="minorEastAsia" w:eastAsiaTheme="minorEastAsia" w:cstheme="minorEastAsia"/>
          <w:b/>
          <w:color w:val="auto"/>
          <w:szCs w:val="28"/>
        </w:rPr>
      </w:pPr>
      <w:r>
        <w:rPr>
          <w:rFonts w:hint="eastAsia" w:asciiTheme="minorEastAsia" w:hAnsiTheme="minorEastAsia" w:eastAsiaTheme="minorEastAsia" w:cstheme="minorEastAsia"/>
          <w:color w:val="auto"/>
          <w:szCs w:val="28"/>
        </w:rPr>
        <w:t>③检查响应文件密封情况。</w:t>
      </w:r>
    </w:p>
    <w:p>
      <w:pPr>
        <w:spacing w:line="360" w:lineRule="auto"/>
        <w:ind w:firstLine="420" w:firstLineChars="200"/>
        <w:rPr>
          <w:rFonts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2.资格和符合性审查</w:t>
      </w:r>
    </w:p>
    <w:p>
      <w:pPr>
        <w:spacing w:line="360" w:lineRule="auto"/>
        <w:ind w:left="420" w:leftChars="200"/>
        <w:rPr>
          <w:rFonts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2.1 磋商小组审查每份响应文件是否实质上响应了采购文件的要求。磋商小组决定其是否响应只根据响应文件本身的内容，而不依据外部的证据，但响应文件有不真实不正确的内容时除外。</w:t>
      </w:r>
    </w:p>
    <w:p>
      <w:pPr>
        <w:spacing w:line="360" w:lineRule="auto"/>
        <w:ind w:left="420" w:leftChars="200"/>
        <w:rPr>
          <w:rFonts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2.2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2.3只有通过了资格和符合性审查的供应商才能进入详细评审阶段。</w:t>
      </w:r>
    </w:p>
    <w:p>
      <w:pPr>
        <w:spacing w:line="360" w:lineRule="auto"/>
        <w:ind w:firstLine="420" w:firstLineChars="200"/>
        <w:rPr>
          <w:rFonts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3.供应商的澄清</w:t>
      </w:r>
    </w:p>
    <w:p>
      <w:pPr>
        <w:spacing w:line="360" w:lineRule="auto"/>
        <w:ind w:left="420" w:leftChars="200"/>
        <w:rPr>
          <w:rFonts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3.1磋商小组要求供应商澄清、说明或者更正响应文件将以书面形式作出。供应商的澄清、说明或者更正应当由法定代表人或其授权代表签字或者加盖公章。</w:t>
      </w:r>
    </w:p>
    <w:p>
      <w:pPr>
        <w:spacing w:line="360" w:lineRule="auto"/>
        <w:ind w:firstLine="420" w:firstLineChars="200"/>
        <w:rPr>
          <w:rFonts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4.磋商及最后报价</w:t>
      </w:r>
    </w:p>
    <w:p>
      <w:pPr>
        <w:spacing w:line="360" w:lineRule="auto"/>
        <w:ind w:left="420" w:leftChars="200"/>
        <w:rPr>
          <w:rFonts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4.1磋商小组所有成员应当集中与单一供应商分别进行磋商，并按照磋商会随机抽签的顺序给予所有参加磋商的供应商平等的磋商机会。</w:t>
      </w:r>
    </w:p>
    <w:p>
      <w:pPr>
        <w:spacing w:line="360" w:lineRule="auto"/>
        <w:ind w:left="420" w:leftChars="200"/>
        <w:rPr>
          <w:rFonts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4.2</w:t>
      </w:r>
      <w:r>
        <w:rPr>
          <w:rFonts w:hint="eastAsia" w:asciiTheme="minorEastAsia" w:hAnsiTheme="minorEastAsia" w:eastAsiaTheme="minorEastAsia" w:cstheme="minorEastAsia"/>
          <w:b/>
          <w:color w:val="auto"/>
          <w:szCs w:val="28"/>
        </w:rPr>
        <w:t>在磋商过程中，若磋商小组无法联系上供应商代表或者供应商代表在接到磋商小组通知后15分钟内不能抵达磋商会现场的，视为该供应商自动退出磋商。</w:t>
      </w:r>
    </w:p>
    <w:p>
      <w:pPr>
        <w:spacing w:line="360" w:lineRule="auto"/>
        <w:ind w:left="420" w:leftChars="200"/>
        <w:rPr>
          <w:rFonts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4.3</w:t>
      </w:r>
      <w:r>
        <w:rPr>
          <w:rFonts w:hint="eastAsia" w:asciiTheme="minorEastAsia" w:hAnsiTheme="minorEastAsia" w:eastAsiaTheme="minorEastAsia" w:cstheme="minorEastAsia"/>
          <w:b/>
          <w:color w:val="auto"/>
          <w:szCs w:val="28"/>
        </w:rPr>
        <w:t>磋商小组在与供应商磋商之前，应首先对参与磋商的供应商代表的身份进行核验，未按采购文件要求提供身份证原件或经核验的供应商代表身份与证明文件（法定代表人身份证明或法定代表人授权委托书）或身份证不符的，磋商小组有权拒绝该供应商参加磋商。</w:t>
      </w:r>
    </w:p>
    <w:p>
      <w:pPr>
        <w:spacing w:line="360" w:lineRule="auto"/>
        <w:ind w:left="420" w:leftChars="200"/>
        <w:jc w:val="left"/>
        <w:rPr>
          <w:rFonts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4.4在磋商过程中，磋商小组可以根据采购文件和磋商情况实质性变动采购需求中的技术、服务要求以及合同草案条款，但不得变动采购文件中的其他内容。实质性变动的内容，经采购人代表确认后，将作为采购文件的有效组成部分，磋商小组应当及时以书面形式同时通知所有参加磋商的供应商。</w:t>
      </w:r>
    </w:p>
    <w:p>
      <w:pPr>
        <w:spacing w:line="360" w:lineRule="auto"/>
        <w:ind w:left="420" w:leftChars="200"/>
        <w:jc w:val="left"/>
        <w:rPr>
          <w:rFonts w:asciiTheme="minorEastAsia" w:hAnsiTheme="minorEastAsia" w:eastAsiaTheme="minorEastAsia" w:cstheme="minorEastAsia"/>
          <w:bCs/>
          <w:color w:val="auto"/>
          <w:szCs w:val="28"/>
        </w:rPr>
      </w:pPr>
      <w:r>
        <w:rPr>
          <w:rFonts w:hint="eastAsia" w:asciiTheme="minorEastAsia" w:hAnsiTheme="minorEastAsia" w:eastAsiaTheme="minorEastAsia" w:cstheme="minorEastAsia"/>
          <w:color w:val="auto"/>
          <w:szCs w:val="28"/>
        </w:rPr>
        <w:t>4.5磋商结束后，磋商小组将要求所有实质性响应的供应商在规定时间内提交最后报价，最后报价是供应商响应文件的有效组成部分。</w:t>
      </w:r>
    </w:p>
    <w:p>
      <w:pPr>
        <w:spacing w:line="360" w:lineRule="auto"/>
        <w:ind w:firstLine="420" w:firstLineChars="200"/>
        <w:rPr>
          <w:rFonts w:asciiTheme="minorEastAsia" w:hAnsiTheme="minorEastAsia" w:eastAsiaTheme="minorEastAsia" w:cstheme="minorEastAsia"/>
          <w:color w:val="auto"/>
          <w:szCs w:val="28"/>
        </w:rPr>
      </w:pPr>
      <w:r>
        <w:rPr>
          <w:rFonts w:hint="eastAsia" w:asciiTheme="minorEastAsia" w:hAnsiTheme="minorEastAsia" w:eastAsiaTheme="minorEastAsia" w:cstheme="minorEastAsia"/>
          <w:bCs/>
          <w:color w:val="auto"/>
          <w:szCs w:val="28"/>
        </w:rPr>
        <w:t>4.6</w:t>
      </w:r>
      <w:r>
        <w:rPr>
          <w:rFonts w:hint="eastAsia" w:asciiTheme="minorEastAsia" w:hAnsiTheme="minorEastAsia" w:eastAsiaTheme="minorEastAsia" w:cstheme="minorEastAsia"/>
          <w:color w:val="auto"/>
          <w:szCs w:val="28"/>
        </w:rPr>
        <w:t>已提交响应文件的供应商，在提交最后报价之前，可以根据磋商情况退出磋商。</w:t>
      </w:r>
    </w:p>
    <w:p>
      <w:pPr>
        <w:spacing w:line="360" w:lineRule="auto"/>
        <w:ind w:firstLine="420" w:firstLineChars="200"/>
        <w:rPr>
          <w:rFonts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4.7符合下列情形，在采购过程中符合要求的供应商可以为2家：</w:t>
      </w:r>
    </w:p>
    <w:p>
      <w:pPr>
        <w:spacing w:line="360" w:lineRule="auto"/>
        <w:ind w:firstLine="420" w:firstLineChars="200"/>
        <w:rPr>
          <w:rFonts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（1）政府购买服务项目（含政府和社会资本合作项目）；</w:t>
      </w:r>
    </w:p>
    <w:p>
      <w:pPr>
        <w:spacing w:line="360" w:lineRule="auto"/>
        <w:ind w:firstLine="420" w:firstLineChars="200"/>
        <w:rPr>
          <w:rFonts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（2）市场竞争不充分的科研项目，以及需要扶持的科技成果转化项目。</w:t>
      </w:r>
    </w:p>
    <w:p>
      <w:pPr>
        <w:spacing w:line="360" w:lineRule="auto"/>
        <w:ind w:firstLine="420" w:firstLineChars="200"/>
        <w:rPr>
          <w:rFonts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5.详细评审</w:t>
      </w:r>
    </w:p>
    <w:p>
      <w:pPr>
        <w:spacing w:line="360" w:lineRule="auto"/>
        <w:ind w:left="420" w:leftChars="200"/>
        <w:jc w:val="left"/>
        <w:rPr>
          <w:rFonts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5.1经磋商确定最终采购需求和提交最后报价的供应商后，由磋商小组采用综合评分法对提交最后报价的供应商的响应文件和最后报价进行综合评分。具体详见“评分细则”。</w:t>
      </w:r>
    </w:p>
    <w:p>
      <w:pPr>
        <w:spacing w:line="360" w:lineRule="auto"/>
        <w:ind w:left="420" w:leftChars="200"/>
        <w:jc w:val="left"/>
        <w:rPr>
          <w:rFonts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5.2评审时，磋商小组各成员应当独立对每个有效响应的文件进行评价、打分，然后汇总每个供应商每项评分因素的得分。</w:t>
      </w:r>
    </w:p>
    <w:p>
      <w:pPr>
        <w:spacing w:line="360" w:lineRule="auto"/>
        <w:ind w:left="420" w:leftChars="200"/>
        <w:jc w:val="left"/>
        <w:rPr>
          <w:rFonts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 xml:space="preserve">5.3采购代理机构负责对各磋商小组成员的总分进行复核和汇总。各项统计结果均精确到小数点后两位。 </w:t>
      </w:r>
    </w:p>
    <w:p>
      <w:pPr>
        <w:spacing w:line="360" w:lineRule="auto"/>
        <w:ind w:left="420" w:leftChars="200"/>
        <w:jc w:val="left"/>
        <w:rPr>
          <w:rFonts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5.4磋商小组应当根据综合评分情况，按照评审得分由高到低顺序（评审得分相同的，按照最后报价由低到高的顺序确定，评审得分且最后报价相同的，按照技术指标优劣顺序确定）推荐3名成交候选供应商，并编写评审报告。</w:t>
      </w:r>
    </w:p>
    <w:p>
      <w:pPr>
        <w:spacing w:line="360" w:lineRule="auto"/>
        <w:ind w:left="420" w:leftChars="200"/>
        <w:jc w:val="left"/>
        <w:rPr>
          <w:rFonts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5.5在评审期间，供应商不得干扰和阻碍评审工作，供应商不得向磋商小组询问评审情况，任何影响和干扰评审工作的行为都可能导致被取消本次评审的资格，并承担相应的法律责任。</w:t>
      </w:r>
    </w:p>
    <w:p>
      <w:pPr>
        <w:spacing w:line="360" w:lineRule="auto"/>
        <w:ind w:left="420" w:left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8"/>
        </w:rPr>
        <w:t>5.6在评审过程中，磋商小组不得与供应商私下交换意见，从采购工作开始，直到授予供应商合同止，凡是属于审查、澄清、评价和比较响应文件的有关资料以及授标意向等，均不得向供应商或其他无关的人员透露。否则，磋商小组应承担法律、法规责任。</w:t>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rPr>
        <w:br w:type="textWrapping"/>
      </w:r>
    </w:p>
    <w:p>
      <w:pPr>
        <w:rPr>
          <w:rFonts w:asciiTheme="minorEastAsia" w:hAnsiTheme="minorEastAsia" w:eastAsiaTheme="minorEastAsia" w:cstheme="minorEastAsia"/>
          <w:color w:val="auto"/>
          <w:kern w:val="0"/>
          <w:szCs w:val="21"/>
        </w:rPr>
      </w:pPr>
      <w:bookmarkStart w:id="111" w:name="_Toc211783328"/>
      <w:bookmarkStart w:id="112" w:name="_Toc318643471"/>
      <w:r>
        <w:rPr>
          <w:rFonts w:hint="eastAsia" w:asciiTheme="minorEastAsia" w:hAnsiTheme="minorEastAsia" w:eastAsiaTheme="minorEastAsia" w:cstheme="minorEastAsia"/>
          <w:color w:val="auto"/>
          <w:sz w:val="36"/>
          <w:szCs w:val="36"/>
        </w:rPr>
        <w:br w:type="page"/>
      </w:r>
    </w:p>
    <w:p>
      <w:pPr>
        <w:pStyle w:val="3"/>
        <w:numPr>
          <w:ilvl w:val="0"/>
          <w:numId w:val="4"/>
        </w:numPr>
        <w:spacing w:line="240" w:lineRule="auto"/>
        <w:jc w:val="center"/>
        <w:rPr>
          <w:rFonts w:asciiTheme="minorEastAsia" w:hAnsiTheme="minorEastAsia" w:eastAsiaTheme="minorEastAsia" w:cstheme="minorEastAsia"/>
          <w:b w:val="0"/>
          <w:color w:val="auto"/>
          <w:kern w:val="0"/>
          <w:szCs w:val="21"/>
        </w:rPr>
      </w:pPr>
      <w:bookmarkStart w:id="113" w:name="_Toc26676"/>
      <w:r>
        <w:rPr>
          <w:rFonts w:hint="eastAsia" w:asciiTheme="minorEastAsia" w:hAnsiTheme="minorEastAsia" w:eastAsiaTheme="minorEastAsia" w:cstheme="minorEastAsia"/>
          <w:color w:val="auto"/>
          <w:sz w:val="36"/>
          <w:szCs w:val="36"/>
        </w:rPr>
        <w:t>合同书</w:t>
      </w:r>
      <w:bookmarkEnd w:id="111"/>
      <w:bookmarkEnd w:id="112"/>
      <w:r>
        <w:rPr>
          <w:rFonts w:hint="eastAsia" w:asciiTheme="minorEastAsia" w:hAnsiTheme="minorEastAsia" w:eastAsiaTheme="minorEastAsia" w:cstheme="minorEastAsia"/>
          <w:color w:val="auto"/>
          <w:sz w:val="36"/>
          <w:szCs w:val="36"/>
        </w:rPr>
        <w:t>格式</w:t>
      </w:r>
      <w:bookmarkEnd w:id="113"/>
    </w:p>
    <w:p>
      <w:pPr>
        <w:ind w:firstLine="420"/>
        <w:jc w:val="center"/>
        <w:rPr>
          <w:rFonts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bCs/>
          <w:color w:val="auto"/>
          <w:szCs w:val="21"/>
        </w:rPr>
        <w:t>（此合同书仅供签订正式合同时参考用）</w:t>
      </w:r>
    </w:p>
    <w:p>
      <w:pPr>
        <w:autoSpaceDE w:val="0"/>
        <w:autoSpaceDN w:val="0"/>
        <w:adjustRightInd w:val="0"/>
        <w:spacing w:line="360" w:lineRule="auto"/>
        <w:jc w:val="center"/>
        <w:rPr>
          <w:rFonts w:asciiTheme="minorEastAsia" w:hAnsiTheme="minorEastAsia" w:eastAsiaTheme="minorEastAsia" w:cstheme="minorEastAsia"/>
          <w:b/>
          <w:color w:val="auto"/>
          <w:kern w:val="0"/>
          <w:sz w:val="22"/>
          <w:szCs w:val="22"/>
        </w:rPr>
      </w:pPr>
      <w:r>
        <w:rPr>
          <w:rFonts w:hint="eastAsia" w:asciiTheme="minorEastAsia" w:hAnsiTheme="minorEastAsia" w:eastAsiaTheme="minorEastAsia" w:cstheme="minorEastAsia"/>
          <w:b/>
          <w:color w:val="auto"/>
          <w:kern w:val="0"/>
          <w:sz w:val="22"/>
          <w:szCs w:val="22"/>
        </w:rPr>
        <w:t>合　　同　　协    议   书</w:t>
      </w:r>
    </w:p>
    <w:p>
      <w:pPr>
        <w:autoSpaceDE w:val="0"/>
        <w:autoSpaceDN w:val="0"/>
        <w:adjustRightInd w:val="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项目名称：</w:t>
      </w:r>
    </w:p>
    <w:p>
      <w:pPr>
        <w:autoSpaceDE w:val="0"/>
        <w:autoSpaceDN w:val="0"/>
        <w:adjustRightInd w:val="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合同编号：</w:t>
      </w:r>
    </w:p>
    <w:p>
      <w:pPr>
        <w:autoSpaceDE w:val="0"/>
        <w:autoSpaceDN w:val="0"/>
        <w:adjustRightInd w:val="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签订日期：</w:t>
      </w:r>
    </w:p>
    <w:p>
      <w:pPr>
        <w:autoSpaceDE w:val="0"/>
        <w:autoSpaceDN w:val="0"/>
        <w:adjustRightInd w:val="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签订合同地点：</w:t>
      </w:r>
    </w:p>
    <w:p>
      <w:pPr>
        <w:pStyle w:val="21"/>
        <w:ind w:firstLine="416"/>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 w:val="21"/>
          <w:szCs w:val="21"/>
        </w:rPr>
        <w:t>本合同由</w:t>
      </w:r>
      <w:r>
        <w:rPr>
          <w:rFonts w:hint="eastAsia" w:asciiTheme="minorEastAsia" w:hAnsiTheme="minorEastAsia" w:eastAsiaTheme="minorEastAsia" w:cstheme="minorEastAsia"/>
          <w:color w:val="auto"/>
          <w:kern w:val="0"/>
          <w:sz w:val="21"/>
          <w:szCs w:val="21"/>
          <w:u w:val="single"/>
        </w:rPr>
        <w:t xml:space="preserve">         </w:t>
      </w:r>
      <w:r>
        <w:rPr>
          <w:rFonts w:hint="eastAsia" w:asciiTheme="minorEastAsia" w:hAnsiTheme="minorEastAsia" w:eastAsiaTheme="minorEastAsia" w:cstheme="minorEastAsia"/>
          <w:color w:val="auto"/>
          <w:kern w:val="0"/>
          <w:sz w:val="21"/>
          <w:szCs w:val="21"/>
        </w:rPr>
        <w:t>（以下简称“需方”）与</w:t>
      </w:r>
      <w:r>
        <w:rPr>
          <w:rFonts w:hint="eastAsia" w:asciiTheme="minorEastAsia" w:hAnsiTheme="minorEastAsia" w:eastAsiaTheme="minorEastAsia" w:cstheme="minorEastAsia"/>
          <w:color w:val="auto"/>
          <w:kern w:val="0"/>
          <w:sz w:val="21"/>
          <w:szCs w:val="21"/>
          <w:u w:val="single"/>
        </w:rPr>
        <w:t xml:space="preserve">            </w:t>
      </w:r>
      <w:r>
        <w:rPr>
          <w:rFonts w:hint="eastAsia" w:asciiTheme="minorEastAsia" w:hAnsiTheme="minorEastAsia" w:eastAsiaTheme="minorEastAsia" w:cstheme="minorEastAsia"/>
          <w:color w:val="auto"/>
          <w:kern w:val="0"/>
          <w:sz w:val="21"/>
          <w:szCs w:val="21"/>
        </w:rPr>
        <w:t>（以下简称“供方”）签订。供方以总金额</w:t>
      </w:r>
      <w:r>
        <w:rPr>
          <w:rFonts w:hint="eastAsia" w:asciiTheme="minorEastAsia" w:hAnsiTheme="minorEastAsia" w:eastAsiaTheme="minorEastAsia" w:cstheme="minorEastAsia"/>
          <w:color w:val="auto"/>
          <w:kern w:val="0"/>
          <w:sz w:val="21"/>
          <w:szCs w:val="21"/>
          <w:u w:val="single"/>
        </w:rPr>
        <w:t xml:space="preserve">           </w:t>
      </w:r>
      <w:r>
        <w:rPr>
          <w:rFonts w:hint="eastAsia" w:asciiTheme="minorEastAsia" w:hAnsiTheme="minorEastAsia" w:eastAsiaTheme="minorEastAsia" w:cstheme="minorEastAsia"/>
          <w:color w:val="auto"/>
          <w:kern w:val="0"/>
          <w:sz w:val="21"/>
          <w:szCs w:val="21"/>
        </w:rPr>
        <w:t>万元人民币（用大写数字书写）向需方提供如下 （工程/货物/服务）：</w:t>
      </w:r>
    </w:p>
    <w:p>
      <w:pPr>
        <w:autoSpaceDE w:val="0"/>
        <w:autoSpaceDN w:val="0"/>
        <w:adjustRightInd w:val="0"/>
        <w:spacing w:line="360" w:lineRule="auto"/>
        <w:rPr>
          <w:rFonts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经双方协商，同意按下列条文执行：</w:t>
      </w:r>
    </w:p>
    <w:p>
      <w:pPr>
        <w:autoSpaceDE w:val="0"/>
        <w:autoSpaceDN w:val="0"/>
        <w:adjustRightInd w:val="0"/>
        <w:spacing w:line="360" w:lineRule="auto"/>
        <w:ind w:left="210" w:hanging="210" w:hangingChars="1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1.本合同供、需双方必须遵守国家颁布的“合同法”，并各自履行应负的全部责任和义务。</w:t>
      </w:r>
    </w:p>
    <w:p>
      <w:pPr>
        <w:autoSpaceDE w:val="0"/>
        <w:autoSpaceDN w:val="0"/>
        <w:adjustRightInd w:val="0"/>
        <w:spacing w:line="360" w:lineRule="auto"/>
        <w:ind w:left="210" w:hanging="210" w:hangingChars="1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2.需方保证按合同条款规定的时间和方式付给供方到期应付的货款，并承担应负的责任和义务。</w:t>
      </w:r>
    </w:p>
    <w:p>
      <w:pPr>
        <w:autoSpaceDE w:val="0"/>
        <w:autoSpaceDN w:val="0"/>
        <w:adjustRightInd w:val="0"/>
        <w:spacing w:line="360" w:lineRule="auto"/>
        <w:ind w:left="210" w:hanging="210" w:hangingChars="1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3.供方保证全部按合同条款规定的内容和交货期向需方提供合格的</w:t>
      </w:r>
      <w:r>
        <w:rPr>
          <w:rFonts w:hint="eastAsia" w:asciiTheme="minorEastAsia" w:hAnsiTheme="minorEastAsia" w:eastAsiaTheme="minorEastAsia" w:cstheme="minorEastAsia"/>
          <w:color w:val="auto"/>
          <w:kern w:val="0"/>
          <w:szCs w:val="21"/>
          <w:u w:val="single"/>
        </w:rPr>
        <w:t>（工程/货物/服务）</w:t>
      </w:r>
      <w:r>
        <w:rPr>
          <w:rFonts w:hint="eastAsia" w:asciiTheme="minorEastAsia" w:hAnsiTheme="minorEastAsia" w:eastAsiaTheme="minorEastAsia" w:cstheme="minorEastAsia"/>
          <w:color w:val="auto"/>
          <w:kern w:val="0"/>
          <w:szCs w:val="21"/>
        </w:rPr>
        <w:t>，并承担应负的责任和义务。</w:t>
      </w:r>
    </w:p>
    <w:p>
      <w:pPr>
        <w:autoSpaceDE w:val="0"/>
        <w:autoSpaceDN w:val="0"/>
        <w:adjustRightInd w:val="0"/>
        <w:spacing w:before="156" w:line="360" w:lineRule="auto"/>
        <w:jc w:val="left"/>
        <w:rPr>
          <w:rFonts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4.</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合同文件</w:t>
      </w:r>
    </w:p>
    <w:p>
      <w:pPr>
        <w:autoSpaceDE w:val="0"/>
        <w:autoSpaceDN w:val="0"/>
        <w:adjustRightInd w:val="0"/>
        <w:spacing w:line="360" w:lineRule="auto"/>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下列文件为本合同不可分割的部分。</w:t>
      </w:r>
    </w:p>
    <w:p>
      <w:pPr>
        <w:autoSpaceDE w:val="0"/>
        <w:autoSpaceDN w:val="0"/>
        <w:adjustRightInd w:val="0"/>
        <w:spacing w:line="360" w:lineRule="auto"/>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4.1</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本竞争性磋商采购文件；</w:t>
      </w:r>
    </w:p>
    <w:p>
      <w:pPr>
        <w:autoSpaceDE w:val="0"/>
        <w:autoSpaceDN w:val="0"/>
        <w:adjustRightInd w:val="0"/>
        <w:spacing w:line="360" w:lineRule="auto"/>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4.2</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供方成交的竞争性磋商响应文件；</w:t>
      </w:r>
    </w:p>
    <w:p>
      <w:pPr>
        <w:autoSpaceDE w:val="0"/>
        <w:autoSpaceDN w:val="0"/>
        <w:adjustRightInd w:val="0"/>
        <w:spacing w:line="360" w:lineRule="auto"/>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4.3</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合同协议书；</w:t>
      </w:r>
    </w:p>
    <w:p>
      <w:pPr>
        <w:autoSpaceDE w:val="0"/>
        <w:autoSpaceDN w:val="0"/>
        <w:adjustRightInd w:val="0"/>
        <w:spacing w:line="360" w:lineRule="auto"/>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4.4</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合同条款；</w:t>
      </w:r>
    </w:p>
    <w:p>
      <w:pPr>
        <w:autoSpaceDE w:val="0"/>
        <w:autoSpaceDN w:val="0"/>
        <w:adjustRightInd w:val="0"/>
        <w:spacing w:line="360" w:lineRule="auto"/>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4.5</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u w:val="single"/>
        </w:rPr>
        <w:t xml:space="preserve">  （政府采购代理机构）  </w:t>
      </w:r>
      <w:r>
        <w:rPr>
          <w:rFonts w:hint="eastAsia" w:asciiTheme="minorEastAsia" w:hAnsiTheme="minorEastAsia" w:eastAsiaTheme="minorEastAsia" w:cstheme="minorEastAsia"/>
          <w:color w:val="auto"/>
          <w:kern w:val="0"/>
          <w:szCs w:val="21"/>
        </w:rPr>
        <w:t>发出的成交通知书；</w:t>
      </w:r>
    </w:p>
    <w:p>
      <w:pPr>
        <w:autoSpaceDE w:val="0"/>
        <w:autoSpaceDN w:val="0"/>
        <w:adjustRightInd w:val="0"/>
        <w:spacing w:line="360" w:lineRule="auto"/>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4.6</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附件：</w:t>
      </w:r>
    </w:p>
    <w:p>
      <w:pPr>
        <w:autoSpaceDE w:val="0"/>
        <w:autoSpaceDN w:val="0"/>
        <w:adjustRightInd w:val="0"/>
        <w:spacing w:line="360" w:lineRule="auto"/>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4.6.1 采购方在采购期间发布的所有补充通知；</w:t>
      </w:r>
    </w:p>
    <w:p>
      <w:pPr>
        <w:autoSpaceDE w:val="0"/>
        <w:autoSpaceDN w:val="0"/>
        <w:adjustRightInd w:val="0"/>
        <w:spacing w:line="360" w:lineRule="auto"/>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4.6.2 供方在磋商期内补充的所有书面文件；</w:t>
      </w:r>
    </w:p>
    <w:p>
      <w:pPr>
        <w:autoSpaceDE w:val="0"/>
        <w:autoSpaceDN w:val="0"/>
        <w:adjustRightInd w:val="0"/>
        <w:spacing w:line="360" w:lineRule="auto"/>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4.6.3 供方在磋商时随同竞争性磋商响应文件一起递送的资料及附图；</w:t>
      </w:r>
    </w:p>
    <w:p>
      <w:pPr>
        <w:autoSpaceDE w:val="0"/>
        <w:autoSpaceDN w:val="0"/>
        <w:adjustRightInd w:val="0"/>
        <w:spacing w:line="360" w:lineRule="auto"/>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4.6.4 在商洽本合同时，双方澄清、确认并共同签字的补充文件、技术协议。</w:t>
      </w:r>
    </w:p>
    <w:p>
      <w:pPr>
        <w:autoSpaceDE w:val="0"/>
        <w:autoSpaceDN w:val="0"/>
        <w:adjustRightInd w:val="0"/>
        <w:spacing w:before="156" w:line="360" w:lineRule="auto"/>
        <w:jc w:val="left"/>
        <w:rPr>
          <w:rFonts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5.</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合同范围和条件</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本合同的范围和条件应与上述规定的合同文件内容相一致。</w:t>
      </w:r>
    </w:p>
    <w:p>
      <w:pPr>
        <w:autoSpaceDE w:val="0"/>
        <w:autoSpaceDN w:val="0"/>
        <w:adjustRightInd w:val="0"/>
        <w:spacing w:before="156" w:line="360" w:lineRule="auto"/>
        <w:rPr>
          <w:rFonts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6.</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货物及数量</w:t>
      </w:r>
    </w:p>
    <w:p>
      <w:pPr>
        <w:pStyle w:val="21"/>
        <w:spacing w:line="360" w:lineRule="auto"/>
        <w:ind w:left="0" w:leftChars="0" w:firstLine="420" w:firstLineChars="200"/>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本合同所提供的</w:t>
      </w:r>
      <w:r>
        <w:rPr>
          <w:rFonts w:hint="eastAsia" w:asciiTheme="minorEastAsia" w:hAnsiTheme="minorEastAsia" w:eastAsiaTheme="minorEastAsia" w:cstheme="minorEastAsia"/>
          <w:color w:val="auto"/>
          <w:kern w:val="0"/>
          <w:sz w:val="21"/>
          <w:szCs w:val="21"/>
          <w:u w:val="single"/>
        </w:rPr>
        <w:t xml:space="preserve">  （工程/货物/服务）  </w:t>
      </w:r>
      <w:r>
        <w:rPr>
          <w:rFonts w:hint="eastAsia" w:asciiTheme="minorEastAsia" w:hAnsiTheme="minorEastAsia" w:eastAsiaTheme="minorEastAsia" w:cstheme="minorEastAsia"/>
          <w:color w:val="auto"/>
          <w:kern w:val="0"/>
          <w:sz w:val="21"/>
          <w:szCs w:val="21"/>
        </w:rPr>
        <w:t>及数量详见竞争性磋商采购文件的要求及供方竞争性磋商响应文件中的承诺。</w:t>
      </w:r>
    </w:p>
    <w:p>
      <w:pPr>
        <w:autoSpaceDE w:val="0"/>
        <w:autoSpaceDN w:val="0"/>
        <w:adjustRightInd w:val="0"/>
        <w:spacing w:before="156" w:line="360" w:lineRule="auto"/>
        <w:rPr>
          <w:rFonts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7.</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付款条件</w:t>
      </w:r>
    </w:p>
    <w:p>
      <w:pPr>
        <w:autoSpaceDE w:val="0"/>
        <w:autoSpaceDN w:val="0"/>
        <w:adjustRightInd w:val="0"/>
        <w:spacing w:line="360" w:lineRule="auto"/>
        <w:ind w:firstLine="420" w:firstLineChars="2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本合同的付款条件在竞争性磋商采购文件中有明确规定。</w:t>
      </w:r>
    </w:p>
    <w:p>
      <w:pPr>
        <w:autoSpaceDE w:val="0"/>
        <w:autoSpaceDN w:val="0"/>
        <w:adjustRightInd w:val="0"/>
        <w:spacing w:before="156" w:line="360" w:lineRule="auto"/>
        <w:rPr>
          <w:rFonts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8.</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合同金额</w:t>
      </w:r>
    </w:p>
    <w:p>
      <w:pPr>
        <w:autoSpaceDE w:val="0"/>
        <w:autoSpaceDN w:val="0"/>
        <w:adjustRightInd w:val="0"/>
        <w:spacing w:line="360" w:lineRule="auto"/>
        <w:ind w:firstLine="420" w:firstLineChars="2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合同总金额见合同书，分项价格在供方的竞争性磋商响应文件中有明确规定。</w:t>
      </w:r>
    </w:p>
    <w:p>
      <w:pPr>
        <w:autoSpaceDE w:val="0"/>
        <w:autoSpaceDN w:val="0"/>
        <w:adjustRightInd w:val="0"/>
        <w:spacing w:before="156" w:line="360" w:lineRule="auto"/>
        <w:jc w:val="left"/>
        <w:rPr>
          <w:rFonts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9.</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交货时间和交货地点</w:t>
      </w:r>
    </w:p>
    <w:p>
      <w:pPr>
        <w:autoSpaceDE w:val="0"/>
        <w:autoSpaceDN w:val="0"/>
        <w:adjustRightInd w:val="0"/>
        <w:spacing w:line="360" w:lineRule="auto"/>
        <w:ind w:firstLine="420" w:firstLineChars="2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本合同中</w:t>
      </w:r>
      <w:r>
        <w:rPr>
          <w:rFonts w:hint="eastAsia" w:asciiTheme="minorEastAsia" w:hAnsiTheme="minorEastAsia" w:eastAsiaTheme="minorEastAsia" w:cstheme="minorEastAsia"/>
          <w:color w:val="auto"/>
          <w:kern w:val="0"/>
          <w:szCs w:val="21"/>
          <w:u w:val="single"/>
        </w:rPr>
        <w:t xml:space="preserve"> （工程/货物/服务） </w:t>
      </w:r>
      <w:r>
        <w:rPr>
          <w:rFonts w:hint="eastAsia" w:asciiTheme="minorEastAsia" w:hAnsiTheme="minorEastAsia" w:eastAsiaTheme="minorEastAsia" w:cstheme="minorEastAsia"/>
          <w:color w:val="auto"/>
          <w:kern w:val="0"/>
          <w:szCs w:val="21"/>
        </w:rPr>
        <w:t>的</w:t>
      </w:r>
      <w:r>
        <w:rPr>
          <w:rFonts w:hint="eastAsia" w:asciiTheme="minorEastAsia" w:hAnsiTheme="minorEastAsia" w:eastAsiaTheme="minorEastAsia" w:cstheme="minorEastAsia"/>
          <w:color w:val="auto"/>
          <w:kern w:val="0"/>
          <w:szCs w:val="21"/>
          <w:u w:val="single"/>
        </w:rPr>
        <w:t xml:space="preserve"> (交货时间/服务完成时间） </w:t>
      </w:r>
      <w:r>
        <w:rPr>
          <w:rFonts w:hint="eastAsia" w:asciiTheme="minorEastAsia" w:hAnsiTheme="minorEastAsia" w:eastAsiaTheme="minorEastAsia" w:cstheme="minorEastAsia"/>
          <w:color w:val="auto"/>
          <w:kern w:val="0"/>
          <w:szCs w:val="21"/>
        </w:rPr>
        <w:t>、</w:t>
      </w:r>
      <w:r>
        <w:rPr>
          <w:rFonts w:hint="eastAsia" w:asciiTheme="minorEastAsia" w:hAnsiTheme="minorEastAsia" w:eastAsiaTheme="minorEastAsia" w:cstheme="minorEastAsia"/>
          <w:color w:val="auto"/>
          <w:kern w:val="0"/>
          <w:szCs w:val="21"/>
          <w:u w:val="single"/>
        </w:rPr>
        <w:t xml:space="preserve"> (交货地点/服务地点） </w:t>
      </w:r>
      <w:r>
        <w:rPr>
          <w:rFonts w:hint="eastAsia" w:asciiTheme="minorEastAsia" w:hAnsiTheme="minorEastAsia" w:eastAsiaTheme="minorEastAsia" w:cstheme="minorEastAsia"/>
          <w:color w:val="auto"/>
          <w:kern w:val="0"/>
          <w:szCs w:val="21"/>
        </w:rPr>
        <w:t>在竞争性磋商采购文件中有明确规定。</w:t>
      </w:r>
    </w:p>
    <w:p>
      <w:pPr>
        <w:autoSpaceDE w:val="0"/>
        <w:autoSpaceDN w:val="0"/>
        <w:adjustRightInd w:val="0"/>
        <w:spacing w:before="156" w:line="360" w:lineRule="auto"/>
        <w:rPr>
          <w:rFonts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10.</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合同生效</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本合同经供、需双方授权代表签字和加盖公章（或合同专用章）后生效。如采购申请公证的，合同需经公证机构公证后生效。</w:t>
      </w:r>
    </w:p>
    <w:p>
      <w:pPr>
        <w:autoSpaceDE w:val="0"/>
        <w:autoSpaceDN w:val="0"/>
        <w:adjustRightInd w:val="0"/>
        <w:spacing w:before="156" w:line="360" w:lineRule="auto"/>
        <w:jc w:val="left"/>
        <w:rPr>
          <w:rFonts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11.</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合同的份数</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本合同正本一式</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份，需方执</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份，供方执</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份；副本一式</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份，需方执</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份，供方执</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份，主管部门执</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w:t>
      </w:r>
    </w:p>
    <w:p>
      <w:pPr>
        <w:autoSpaceDE w:val="0"/>
        <w:autoSpaceDN w:val="0"/>
        <w:adjustRightInd w:val="0"/>
        <w:spacing w:before="156" w:line="360" w:lineRule="auto"/>
        <w:jc w:val="left"/>
        <w:rPr>
          <w:rFonts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12.</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合同的失效</w:t>
      </w:r>
    </w:p>
    <w:p>
      <w:pPr>
        <w:autoSpaceDE w:val="0"/>
        <w:autoSpaceDN w:val="0"/>
        <w:adjustRightInd w:val="0"/>
        <w:spacing w:line="360" w:lineRule="auto"/>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本合同在合同价款结清后失效。</w:t>
      </w:r>
    </w:p>
    <w:p>
      <w:pPr>
        <w:tabs>
          <w:tab w:val="left" w:pos="4615"/>
        </w:tabs>
        <w:autoSpaceDE w:val="0"/>
        <w:autoSpaceDN w:val="0"/>
        <w:adjustRightInd w:val="0"/>
        <w:spacing w:line="360" w:lineRule="auto"/>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需　　方</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供　　方</w:t>
      </w:r>
    </w:p>
    <w:p>
      <w:pPr>
        <w:tabs>
          <w:tab w:val="left" w:pos="4615"/>
        </w:tabs>
        <w:autoSpaceDE w:val="0"/>
        <w:autoSpaceDN w:val="0"/>
        <w:adjustRightInd w:val="0"/>
        <w:spacing w:line="360" w:lineRule="auto"/>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单位名称（盖章）：</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单位名称（盖章）：</w:t>
      </w:r>
    </w:p>
    <w:p>
      <w:pPr>
        <w:tabs>
          <w:tab w:val="left" w:pos="4615"/>
        </w:tabs>
        <w:autoSpaceDE w:val="0"/>
        <w:autoSpaceDN w:val="0"/>
        <w:adjustRightInd w:val="0"/>
        <w:spacing w:line="360" w:lineRule="auto"/>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单位地址：</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单位地址：</w:t>
      </w:r>
    </w:p>
    <w:p>
      <w:pPr>
        <w:tabs>
          <w:tab w:val="left" w:pos="4615"/>
        </w:tabs>
        <w:autoSpaceDE w:val="0"/>
        <w:autoSpaceDN w:val="0"/>
        <w:adjustRightInd w:val="0"/>
        <w:spacing w:line="360" w:lineRule="auto"/>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法人代表授权人(签字)：</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法人代表授权人(签字)：</w:t>
      </w:r>
    </w:p>
    <w:p>
      <w:pPr>
        <w:tabs>
          <w:tab w:val="left" w:pos="4615"/>
        </w:tabs>
        <w:autoSpaceDE w:val="0"/>
        <w:autoSpaceDN w:val="0"/>
        <w:adjustRightInd w:val="0"/>
        <w:spacing w:line="360" w:lineRule="auto"/>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联 系 人：</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联 系 人：</w:t>
      </w:r>
    </w:p>
    <w:p>
      <w:pPr>
        <w:tabs>
          <w:tab w:val="left" w:pos="4615"/>
        </w:tabs>
        <w:autoSpaceDE w:val="0"/>
        <w:autoSpaceDN w:val="0"/>
        <w:adjustRightInd w:val="0"/>
        <w:spacing w:line="360" w:lineRule="auto"/>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电　　话：</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电　　话：</w:t>
      </w:r>
    </w:p>
    <w:p>
      <w:pPr>
        <w:tabs>
          <w:tab w:val="left" w:pos="4615"/>
        </w:tabs>
        <w:autoSpaceDE w:val="0"/>
        <w:autoSpaceDN w:val="0"/>
        <w:adjustRightInd w:val="0"/>
        <w:spacing w:line="360" w:lineRule="auto"/>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传　　真：</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传　　真：</w:t>
      </w:r>
    </w:p>
    <w:p>
      <w:pPr>
        <w:tabs>
          <w:tab w:val="left" w:pos="4615"/>
        </w:tabs>
        <w:autoSpaceDE w:val="0"/>
        <w:autoSpaceDN w:val="0"/>
        <w:adjustRightInd w:val="0"/>
        <w:spacing w:line="360" w:lineRule="auto"/>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邮政编码：</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邮政编码：</w:t>
      </w:r>
    </w:p>
    <w:p>
      <w:pPr>
        <w:tabs>
          <w:tab w:val="left" w:pos="4615"/>
        </w:tabs>
        <w:autoSpaceDE w:val="0"/>
        <w:autoSpaceDN w:val="0"/>
        <w:adjustRightInd w:val="0"/>
        <w:spacing w:line="360" w:lineRule="auto"/>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开户银行：</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开户银行：</w:t>
      </w:r>
    </w:p>
    <w:p>
      <w:pPr>
        <w:tabs>
          <w:tab w:val="left" w:pos="4615"/>
        </w:tabs>
        <w:autoSpaceDE w:val="0"/>
        <w:autoSpaceDN w:val="0"/>
        <w:adjustRightInd w:val="0"/>
        <w:spacing w:line="360" w:lineRule="auto"/>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帐　　号：</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帐　　号：</w:t>
      </w:r>
    </w:p>
    <w:p>
      <w:pPr>
        <w:tabs>
          <w:tab w:val="left" w:pos="4615"/>
        </w:tabs>
        <w:autoSpaceDE w:val="0"/>
        <w:autoSpaceDN w:val="0"/>
        <w:adjustRightInd w:val="0"/>
        <w:spacing w:line="360" w:lineRule="auto"/>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税　　号：</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税　　号：</w:t>
      </w:r>
    </w:p>
    <w:p>
      <w:pPr>
        <w:spacing w:line="360" w:lineRule="auto"/>
        <w:rPr>
          <w:color w:val="auto"/>
        </w:rPr>
      </w:pPr>
      <w:r>
        <w:rPr>
          <w:rFonts w:hint="eastAsia" w:asciiTheme="minorEastAsia" w:hAnsiTheme="minorEastAsia" w:eastAsiaTheme="minorEastAsia" w:cstheme="minorEastAsia"/>
          <w:color w:val="auto"/>
          <w:szCs w:val="21"/>
        </w:rPr>
        <w:t>合同签订地址：</w:t>
      </w:r>
    </w:p>
    <w:p>
      <w:pPr>
        <w:pStyle w:val="3"/>
        <w:numPr>
          <w:ilvl w:val="0"/>
          <w:numId w:val="4"/>
        </w:numPr>
        <w:jc w:val="center"/>
        <w:rPr>
          <w:rFonts w:asciiTheme="minorEastAsia" w:hAnsiTheme="minorEastAsia" w:eastAsiaTheme="minorEastAsia" w:cstheme="minorEastAsia"/>
          <w:color w:val="auto"/>
          <w:sz w:val="36"/>
          <w:szCs w:val="36"/>
        </w:rPr>
      </w:pPr>
      <w:bookmarkStart w:id="114" w:name="_Toc6614"/>
      <w:r>
        <w:rPr>
          <w:rFonts w:hint="eastAsia" w:asciiTheme="minorEastAsia" w:hAnsiTheme="minorEastAsia" w:eastAsiaTheme="minorEastAsia" w:cstheme="minorEastAsia"/>
          <w:color w:val="auto"/>
          <w:sz w:val="36"/>
          <w:szCs w:val="36"/>
        </w:rPr>
        <w:t>竞争性磋商响应文件格式</w:t>
      </w:r>
      <w:bookmarkEnd w:id="114"/>
    </w:p>
    <w:p>
      <w:pPr>
        <w:autoSpaceDE w:val="0"/>
        <w:autoSpaceDN w:val="0"/>
        <w:adjustRightInd w:val="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封面：</w:t>
      </w:r>
    </w:p>
    <w:p>
      <w:pPr>
        <w:autoSpaceDE w:val="0"/>
        <w:autoSpaceDN w:val="0"/>
        <w:adjustRightInd w:val="0"/>
        <w:rPr>
          <w:rFonts w:asciiTheme="minorEastAsia" w:hAnsiTheme="minorEastAsia" w:eastAsiaTheme="minorEastAsia" w:cstheme="minorEastAsia"/>
          <w:color w:val="auto"/>
        </w:rPr>
      </w:pPr>
    </w:p>
    <w:p>
      <w:pPr>
        <w:autoSpaceDE w:val="0"/>
        <w:autoSpaceDN w:val="0"/>
        <w:adjustRightInd w:val="0"/>
        <w:rPr>
          <w:rFonts w:asciiTheme="minorEastAsia" w:hAnsiTheme="minorEastAsia" w:eastAsiaTheme="minorEastAsia" w:cstheme="minorEastAsia"/>
          <w:color w:val="auto"/>
        </w:rPr>
      </w:pPr>
    </w:p>
    <w:p>
      <w:pPr>
        <w:autoSpaceDE w:val="0"/>
        <w:autoSpaceDN w:val="0"/>
        <w:adjustRightInd w:val="0"/>
        <w:jc w:val="center"/>
        <w:rPr>
          <w:rFonts w:asciiTheme="minorEastAsia" w:hAnsiTheme="minorEastAsia" w:eastAsiaTheme="minorEastAsia" w:cstheme="minorEastAsia"/>
          <w:b/>
          <w:color w:val="auto"/>
          <w:sz w:val="84"/>
          <w:szCs w:val="84"/>
        </w:rPr>
      </w:pPr>
      <w:r>
        <w:rPr>
          <w:rFonts w:hint="eastAsia" w:asciiTheme="minorEastAsia" w:hAnsiTheme="minorEastAsia" w:eastAsiaTheme="minorEastAsia" w:cstheme="minorEastAsia"/>
          <w:b/>
          <w:color w:val="auto"/>
          <w:sz w:val="84"/>
          <w:szCs w:val="84"/>
        </w:rPr>
        <w:t>响 应 文 件</w:t>
      </w:r>
    </w:p>
    <w:p>
      <w:pPr>
        <w:autoSpaceDE w:val="0"/>
        <w:autoSpaceDN w:val="0"/>
        <w:adjustRightInd w:val="0"/>
        <w:rPr>
          <w:rFonts w:asciiTheme="minorEastAsia" w:hAnsiTheme="minorEastAsia" w:eastAsiaTheme="minorEastAsia" w:cstheme="minorEastAsia"/>
          <w:color w:val="auto"/>
          <w:szCs w:val="21"/>
        </w:rPr>
      </w:pPr>
    </w:p>
    <w:p>
      <w:pPr>
        <w:autoSpaceDE w:val="0"/>
        <w:autoSpaceDN w:val="0"/>
        <w:adjustRightInd w:val="0"/>
        <w:rPr>
          <w:rFonts w:asciiTheme="minorEastAsia" w:hAnsiTheme="minorEastAsia" w:eastAsiaTheme="minorEastAsia" w:cstheme="minorEastAsia"/>
          <w:color w:val="auto"/>
          <w:szCs w:val="21"/>
        </w:rPr>
      </w:pPr>
    </w:p>
    <w:p>
      <w:pPr>
        <w:autoSpaceDE w:val="0"/>
        <w:autoSpaceDN w:val="0"/>
        <w:adjustRightInd w:val="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（正本/副本）</w:t>
      </w:r>
    </w:p>
    <w:p>
      <w:pPr>
        <w:autoSpaceDE w:val="0"/>
        <w:autoSpaceDN w:val="0"/>
        <w:adjustRightInd w:val="0"/>
        <w:rPr>
          <w:rFonts w:asciiTheme="minorEastAsia" w:hAnsiTheme="minorEastAsia" w:eastAsiaTheme="minorEastAsia" w:cstheme="minorEastAsia"/>
          <w:color w:val="auto"/>
          <w:szCs w:val="21"/>
        </w:rPr>
      </w:pPr>
    </w:p>
    <w:p>
      <w:pPr>
        <w:autoSpaceDE w:val="0"/>
        <w:autoSpaceDN w:val="0"/>
        <w:adjustRightInd w:val="0"/>
        <w:rPr>
          <w:rFonts w:asciiTheme="minorEastAsia" w:hAnsiTheme="minorEastAsia" w:eastAsiaTheme="minorEastAsia" w:cstheme="minorEastAsia"/>
          <w:color w:val="auto"/>
          <w:szCs w:val="21"/>
        </w:rPr>
      </w:pPr>
    </w:p>
    <w:p>
      <w:pPr>
        <w:autoSpaceDE w:val="0"/>
        <w:autoSpaceDN w:val="0"/>
        <w:adjustRightInd w:val="0"/>
        <w:rPr>
          <w:rFonts w:asciiTheme="minorEastAsia" w:hAnsiTheme="minorEastAsia" w:eastAsiaTheme="minorEastAsia" w:cstheme="minorEastAsia"/>
          <w:color w:val="auto"/>
          <w:szCs w:val="21"/>
        </w:rPr>
      </w:pPr>
    </w:p>
    <w:p>
      <w:pPr>
        <w:autoSpaceDE w:val="0"/>
        <w:autoSpaceDN w:val="0"/>
        <w:adjustRightInd w:val="0"/>
        <w:rPr>
          <w:rFonts w:asciiTheme="minorEastAsia" w:hAnsiTheme="minorEastAsia" w:eastAsiaTheme="minorEastAsia" w:cstheme="minorEastAsia"/>
          <w:color w:val="auto"/>
          <w:szCs w:val="21"/>
        </w:rPr>
      </w:pPr>
    </w:p>
    <w:p>
      <w:pPr>
        <w:autoSpaceDE w:val="0"/>
        <w:autoSpaceDN w:val="0"/>
        <w:adjustRightInd w:val="0"/>
        <w:ind w:firstLine="1190" w:firstLineChars="395"/>
        <w:rPr>
          <w:rFonts w:asciiTheme="minorEastAsia" w:hAnsiTheme="minorEastAsia" w:eastAsiaTheme="minorEastAsia" w:cstheme="minorEastAsia"/>
          <w:b/>
          <w:bCs/>
          <w:color w:val="auto"/>
          <w:sz w:val="30"/>
          <w:szCs w:val="30"/>
          <w:u w:val="single"/>
        </w:rPr>
      </w:pPr>
      <w:r>
        <w:rPr>
          <w:rFonts w:hint="eastAsia" w:asciiTheme="minorEastAsia" w:hAnsiTheme="minorEastAsia" w:eastAsiaTheme="minorEastAsia" w:cstheme="minorEastAsia"/>
          <w:b/>
          <w:bCs/>
          <w:color w:val="auto"/>
          <w:sz w:val="30"/>
          <w:szCs w:val="30"/>
        </w:rPr>
        <w:t>项目编号：</w:t>
      </w:r>
      <w:r>
        <w:rPr>
          <w:rFonts w:hint="eastAsia" w:asciiTheme="minorEastAsia" w:hAnsiTheme="minorEastAsia" w:eastAsiaTheme="minorEastAsia" w:cstheme="minorEastAsia"/>
          <w:b/>
          <w:bCs/>
          <w:color w:val="auto"/>
          <w:sz w:val="30"/>
          <w:szCs w:val="30"/>
          <w:u w:val="single"/>
        </w:rPr>
        <w:t xml:space="preserve">                            </w:t>
      </w:r>
    </w:p>
    <w:p>
      <w:pPr>
        <w:tabs>
          <w:tab w:val="left" w:pos="7230"/>
        </w:tabs>
        <w:ind w:firstLine="1190" w:firstLineChars="395"/>
        <w:rPr>
          <w:rFonts w:asciiTheme="minorEastAsia" w:hAnsiTheme="minorEastAsia" w:eastAsiaTheme="minorEastAsia" w:cstheme="minorEastAsia"/>
          <w:b/>
          <w:bCs/>
          <w:color w:val="auto"/>
          <w:sz w:val="30"/>
          <w:szCs w:val="30"/>
          <w:u w:val="single"/>
        </w:rPr>
      </w:pPr>
      <w:r>
        <w:rPr>
          <w:rFonts w:hint="eastAsia" w:asciiTheme="minorEastAsia" w:hAnsiTheme="minorEastAsia" w:eastAsiaTheme="minorEastAsia" w:cstheme="minorEastAsia"/>
          <w:b/>
          <w:bCs/>
          <w:color w:val="auto"/>
          <w:sz w:val="30"/>
          <w:szCs w:val="30"/>
        </w:rPr>
        <w:t>项目名称：</w:t>
      </w:r>
      <w:r>
        <w:rPr>
          <w:rFonts w:hint="eastAsia" w:asciiTheme="minorEastAsia" w:hAnsiTheme="minorEastAsia" w:eastAsiaTheme="minorEastAsia" w:cstheme="minorEastAsia"/>
          <w:b/>
          <w:bCs/>
          <w:color w:val="auto"/>
          <w:sz w:val="30"/>
          <w:szCs w:val="30"/>
          <w:u w:val="single"/>
        </w:rPr>
        <w:t xml:space="preserve">                            </w:t>
      </w:r>
    </w:p>
    <w:p>
      <w:pPr>
        <w:autoSpaceDE w:val="0"/>
        <w:autoSpaceDN w:val="0"/>
        <w:adjustRightInd w:val="0"/>
        <w:ind w:firstLine="1190" w:firstLineChars="395"/>
        <w:rPr>
          <w:rFonts w:asciiTheme="minorEastAsia" w:hAnsiTheme="minorEastAsia" w:eastAsiaTheme="minorEastAsia" w:cstheme="minorEastAsia"/>
          <w:b/>
          <w:bCs/>
          <w:color w:val="auto"/>
          <w:sz w:val="30"/>
          <w:szCs w:val="30"/>
        </w:rPr>
      </w:pPr>
      <w:r>
        <w:rPr>
          <w:rFonts w:hint="eastAsia" w:asciiTheme="minorEastAsia" w:hAnsiTheme="minorEastAsia" w:eastAsiaTheme="minorEastAsia" w:cstheme="minorEastAsia"/>
          <w:b/>
          <w:bCs/>
          <w:color w:val="auto"/>
          <w:sz w:val="30"/>
          <w:szCs w:val="30"/>
          <w:u w:val="single"/>
        </w:rPr>
        <w:t xml:space="preserve">                         </w:t>
      </w:r>
    </w:p>
    <w:p>
      <w:pPr>
        <w:autoSpaceDE w:val="0"/>
        <w:autoSpaceDN w:val="0"/>
        <w:adjustRightInd w:val="0"/>
        <w:rPr>
          <w:rFonts w:asciiTheme="minorEastAsia" w:hAnsiTheme="minorEastAsia" w:eastAsiaTheme="minorEastAsia" w:cstheme="minorEastAsia"/>
          <w:color w:val="auto"/>
          <w:szCs w:val="21"/>
        </w:rPr>
      </w:pPr>
    </w:p>
    <w:p>
      <w:pPr>
        <w:autoSpaceDE w:val="0"/>
        <w:autoSpaceDN w:val="0"/>
        <w:adjustRightInd w:val="0"/>
        <w:rPr>
          <w:rFonts w:asciiTheme="minorEastAsia" w:hAnsiTheme="minorEastAsia" w:eastAsiaTheme="minorEastAsia" w:cstheme="minorEastAsia"/>
          <w:color w:val="auto"/>
          <w:szCs w:val="21"/>
        </w:rPr>
      </w:pPr>
    </w:p>
    <w:p>
      <w:pPr>
        <w:autoSpaceDE w:val="0"/>
        <w:autoSpaceDN w:val="0"/>
        <w:adjustRightInd w:val="0"/>
        <w:rPr>
          <w:rFonts w:asciiTheme="minorEastAsia" w:hAnsiTheme="minorEastAsia" w:eastAsiaTheme="minorEastAsia" w:cstheme="minorEastAsia"/>
          <w:color w:val="auto"/>
          <w:szCs w:val="21"/>
        </w:rPr>
      </w:pPr>
    </w:p>
    <w:p>
      <w:pPr>
        <w:autoSpaceDE w:val="0"/>
        <w:autoSpaceDN w:val="0"/>
        <w:adjustRightInd w:val="0"/>
        <w:rPr>
          <w:rFonts w:asciiTheme="minorEastAsia" w:hAnsiTheme="minorEastAsia" w:eastAsiaTheme="minorEastAsia" w:cstheme="minorEastAsia"/>
          <w:color w:val="auto"/>
          <w:szCs w:val="21"/>
        </w:rPr>
      </w:pPr>
    </w:p>
    <w:p>
      <w:pPr>
        <w:autoSpaceDE w:val="0"/>
        <w:autoSpaceDN w:val="0"/>
        <w:adjustRightInd w:val="0"/>
        <w:rPr>
          <w:rFonts w:asciiTheme="minorEastAsia" w:hAnsiTheme="minorEastAsia" w:eastAsiaTheme="minorEastAsia" w:cstheme="minorEastAsia"/>
          <w:color w:val="auto"/>
          <w:szCs w:val="21"/>
        </w:rPr>
      </w:pPr>
    </w:p>
    <w:p>
      <w:pPr>
        <w:autoSpaceDE w:val="0"/>
        <w:autoSpaceDN w:val="0"/>
        <w:adjustRightInd w:val="0"/>
        <w:rPr>
          <w:rFonts w:asciiTheme="minorEastAsia" w:hAnsiTheme="minorEastAsia" w:eastAsiaTheme="minorEastAsia" w:cstheme="minorEastAsia"/>
          <w:color w:val="auto"/>
          <w:szCs w:val="21"/>
        </w:rPr>
      </w:pPr>
    </w:p>
    <w:p>
      <w:pPr>
        <w:autoSpaceDE w:val="0"/>
        <w:autoSpaceDN w:val="0"/>
        <w:adjustRightInd w:val="0"/>
        <w:rPr>
          <w:rFonts w:asciiTheme="minorEastAsia" w:hAnsiTheme="minorEastAsia" w:eastAsiaTheme="minorEastAsia" w:cstheme="minorEastAsia"/>
          <w:color w:val="auto"/>
          <w:szCs w:val="21"/>
        </w:rPr>
      </w:pPr>
    </w:p>
    <w:p>
      <w:pPr>
        <w:autoSpaceDE w:val="0"/>
        <w:autoSpaceDN w:val="0"/>
        <w:adjustRightInd w:val="0"/>
        <w:rPr>
          <w:rFonts w:asciiTheme="minorEastAsia" w:hAnsiTheme="minorEastAsia" w:eastAsiaTheme="minorEastAsia" w:cstheme="minorEastAsia"/>
          <w:color w:val="auto"/>
          <w:szCs w:val="21"/>
        </w:rPr>
      </w:pPr>
    </w:p>
    <w:p>
      <w:pPr>
        <w:autoSpaceDE w:val="0"/>
        <w:autoSpaceDN w:val="0"/>
        <w:adjustRightInd w:val="0"/>
        <w:rPr>
          <w:rFonts w:asciiTheme="minorEastAsia" w:hAnsiTheme="minorEastAsia" w:eastAsiaTheme="minorEastAsia" w:cstheme="minorEastAsia"/>
          <w:color w:val="auto"/>
          <w:szCs w:val="21"/>
        </w:rPr>
      </w:pPr>
    </w:p>
    <w:p>
      <w:pPr>
        <w:autoSpaceDE w:val="0"/>
        <w:autoSpaceDN w:val="0"/>
        <w:adjustRightInd w:val="0"/>
        <w:rPr>
          <w:rFonts w:asciiTheme="minorEastAsia" w:hAnsiTheme="minorEastAsia" w:eastAsiaTheme="minorEastAsia" w:cstheme="minorEastAsia"/>
          <w:color w:val="auto"/>
          <w:szCs w:val="21"/>
        </w:rPr>
      </w:pPr>
    </w:p>
    <w:p>
      <w:pPr>
        <w:autoSpaceDE w:val="0"/>
        <w:autoSpaceDN w:val="0"/>
        <w:adjustRightInd w:val="0"/>
        <w:spacing w:line="360" w:lineRule="auto"/>
        <w:ind w:firstLine="1260" w:firstLineChars="450"/>
        <w:rPr>
          <w:rFonts w:asciiTheme="minorEastAsia" w:hAnsiTheme="minorEastAsia" w:eastAsiaTheme="minorEastAsia" w:cstheme="minorEastAsia"/>
          <w:b/>
          <w:bCs/>
          <w:color w:val="auto"/>
          <w:sz w:val="32"/>
          <w:u w:val="single"/>
        </w:rPr>
      </w:pPr>
      <w:r>
        <w:rPr>
          <w:rFonts w:hint="eastAsia" w:asciiTheme="minorEastAsia" w:hAnsiTheme="minorEastAsia" w:eastAsiaTheme="minorEastAsia" w:cstheme="minorEastAsia"/>
          <w:color w:val="auto"/>
          <w:sz w:val="28"/>
          <w:szCs w:val="28"/>
        </w:rPr>
        <w:t>磋商供应商名称（盖章）：</w:t>
      </w:r>
      <w:r>
        <w:rPr>
          <w:rFonts w:hint="eastAsia" w:asciiTheme="minorEastAsia" w:hAnsiTheme="minorEastAsia" w:eastAsiaTheme="minorEastAsia" w:cstheme="minorEastAsia"/>
          <w:b/>
          <w:bCs/>
          <w:color w:val="auto"/>
          <w:sz w:val="32"/>
          <w:u w:val="single"/>
        </w:rPr>
        <w:t xml:space="preserve">                       </w:t>
      </w:r>
      <w:bookmarkStart w:id="115" w:name="_Toc5751"/>
      <w:bookmarkStart w:id="116" w:name="_Toc23858"/>
    </w:p>
    <w:p>
      <w:pPr>
        <w:autoSpaceDE w:val="0"/>
        <w:autoSpaceDN w:val="0"/>
        <w:adjustRightInd w:val="0"/>
        <w:spacing w:line="360" w:lineRule="auto"/>
        <w:ind w:firstLine="1260" w:firstLineChars="45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日          期：</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年</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日</w:t>
      </w:r>
    </w:p>
    <w:bookmarkEnd w:id="115"/>
    <w:bookmarkEnd w:id="116"/>
    <w:p>
      <w:pPr>
        <w:autoSpaceDE w:val="0"/>
        <w:autoSpaceDN w:val="0"/>
        <w:adjustRightInd w:val="0"/>
        <w:spacing w:line="360" w:lineRule="auto"/>
        <w:jc w:val="center"/>
        <w:rPr>
          <w:rFonts w:asciiTheme="minorEastAsia" w:hAnsiTheme="minorEastAsia" w:eastAsiaTheme="minorEastAsia" w:cstheme="minorEastAsia"/>
          <w:b/>
          <w:bCs/>
          <w:color w:val="auto"/>
          <w:sz w:val="24"/>
        </w:rPr>
      </w:pPr>
      <w:bookmarkStart w:id="117" w:name="_Toc360174584"/>
      <w:bookmarkStart w:id="118" w:name="_Toc264644272"/>
      <w:bookmarkStart w:id="119" w:name="_Toc11320441"/>
      <w:bookmarkStart w:id="120" w:name="_Toc533330957"/>
      <w:bookmarkStart w:id="121" w:name="_Toc533331084"/>
      <w:bookmarkStart w:id="122" w:name="_Toc211783342"/>
      <w:r>
        <w:rPr>
          <w:rFonts w:hint="eastAsia" w:asciiTheme="minorEastAsia" w:hAnsiTheme="minorEastAsia" w:eastAsiaTheme="minorEastAsia" w:cstheme="minorEastAsia"/>
          <w:b/>
          <w:bCs/>
          <w:color w:val="auto"/>
          <w:sz w:val="24"/>
        </w:rPr>
        <w:br w:type="page"/>
      </w:r>
      <w:r>
        <w:rPr>
          <w:rFonts w:hint="eastAsia" w:asciiTheme="minorEastAsia" w:hAnsiTheme="minorEastAsia" w:eastAsiaTheme="minorEastAsia" w:cstheme="minorEastAsia"/>
          <w:b/>
          <w:bCs/>
          <w:color w:val="auto"/>
          <w:sz w:val="24"/>
        </w:rPr>
        <w:t>响应文件目录</w:t>
      </w:r>
      <w:bookmarkEnd w:id="117"/>
      <w:bookmarkEnd w:id="118"/>
    </w:p>
    <w:p>
      <w:pPr>
        <w:autoSpaceDE w:val="0"/>
        <w:autoSpaceDN w:val="0"/>
        <w:adjustRightInd w:val="0"/>
        <w:rPr>
          <w:rFonts w:asciiTheme="minorEastAsia" w:hAnsiTheme="minorEastAsia" w:eastAsiaTheme="minorEastAsia" w:cstheme="minorEastAsia"/>
          <w:b/>
          <w:bCs/>
          <w:color w:val="auto"/>
          <w:szCs w:val="21"/>
        </w:rPr>
      </w:pPr>
    </w:p>
    <w:p>
      <w:pPr>
        <w:autoSpaceDE w:val="0"/>
        <w:autoSpaceDN w:val="0"/>
        <w:adjustRightInd w:val="0"/>
        <w:spacing w:line="360" w:lineRule="auto"/>
        <w:rPr>
          <w:rFonts w:ascii="宋体" w:hAnsi="宋体" w:cs="宋体"/>
          <w:b/>
          <w:color w:val="auto"/>
          <w:szCs w:val="21"/>
        </w:rPr>
      </w:pPr>
      <w:r>
        <w:rPr>
          <w:rFonts w:hint="eastAsia" w:ascii="宋体" w:hAnsi="宋体" w:cs="宋体"/>
          <w:b/>
          <w:color w:val="auto"/>
          <w:szCs w:val="21"/>
        </w:rPr>
        <w:t>注：响应文件目录及内容每页须顺序编写页码。</w:t>
      </w:r>
    </w:p>
    <w:p>
      <w:pPr>
        <w:autoSpaceDE w:val="0"/>
        <w:autoSpaceDN w:val="0"/>
        <w:adjustRightInd w:val="0"/>
        <w:spacing w:line="360" w:lineRule="auto"/>
        <w:jc w:val="center"/>
        <w:outlineLvl w:val="1"/>
        <w:rPr>
          <w:rFonts w:ascii="宋体" w:hAnsi="宋体" w:cs="宋体"/>
          <w:b/>
          <w:color w:val="auto"/>
          <w:szCs w:val="21"/>
        </w:rPr>
      </w:pPr>
      <w:bookmarkStart w:id="123" w:name="_Toc3298"/>
      <w:r>
        <w:rPr>
          <w:rFonts w:hint="eastAsia" w:ascii="宋体" w:hAnsi="宋体" w:cs="宋体"/>
          <w:b/>
          <w:color w:val="auto"/>
          <w:szCs w:val="21"/>
        </w:rPr>
        <w:br w:type="textWrapping"/>
      </w:r>
      <w:r>
        <w:rPr>
          <w:rFonts w:hint="eastAsia" w:ascii="宋体" w:hAnsi="宋体" w:cs="宋体"/>
          <w:b/>
          <w:color w:val="auto"/>
          <w:szCs w:val="21"/>
        </w:rPr>
        <w:t>一、评分标准索引表</w:t>
      </w:r>
      <w:bookmarkEnd w:id="123"/>
    </w:p>
    <w:tbl>
      <w:tblPr>
        <w:tblStyle w:val="2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7"/>
        <w:gridCol w:w="1285"/>
        <w:gridCol w:w="5358"/>
        <w:gridCol w:w="825"/>
        <w:gridCol w:w="11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687" w:type="dxa"/>
            <w:tcBorders>
              <w:top w:val="single" w:color="auto" w:sz="12" w:space="0"/>
            </w:tcBorders>
            <w:vAlign w:val="center"/>
          </w:tcPr>
          <w:p>
            <w:pPr>
              <w:spacing w:line="360" w:lineRule="auto"/>
              <w:jc w:val="center"/>
              <w:rPr>
                <w:rFonts w:ascii="宋体" w:hAnsi="宋体" w:cs="宋体"/>
                <w:b/>
                <w:bCs/>
                <w:color w:val="auto"/>
                <w:spacing w:val="-6"/>
                <w:szCs w:val="21"/>
              </w:rPr>
            </w:pPr>
            <w:r>
              <w:rPr>
                <w:rFonts w:hint="eastAsia" w:ascii="宋体" w:hAnsi="宋体" w:cs="宋体"/>
                <w:b/>
                <w:bCs/>
                <w:color w:val="auto"/>
                <w:szCs w:val="21"/>
              </w:rPr>
              <w:t>类别</w:t>
            </w:r>
          </w:p>
        </w:tc>
        <w:tc>
          <w:tcPr>
            <w:tcW w:w="1285" w:type="dxa"/>
            <w:tcBorders>
              <w:top w:val="single" w:color="auto" w:sz="12" w:space="0"/>
            </w:tcBorders>
            <w:vAlign w:val="center"/>
          </w:tcPr>
          <w:p>
            <w:pPr>
              <w:spacing w:line="360" w:lineRule="auto"/>
              <w:jc w:val="center"/>
              <w:rPr>
                <w:rFonts w:ascii="宋体" w:hAnsi="宋体" w:cs="宋体"/>
                <w:b/>
                <w:bCs/>
                <w:color w:val="auto"/>
                <w:spacing w:val="-6"/>
                <w:szCs w:val="21"/>
              </w:rPr>
            </w:pPr>
            <w:r>
              <w:rPr>
                <w:rFonts w:hint="eastAsia" w:ascii="宋体" w:hAnsi="宋体" w:cs="宋体"/>
                <w:b/>
                <w:bCs/>
                <w:color w:val="auto"/>
                <w:szCs w:val="21"/>
              </w:rPr>
              <w:t>评审因素</w:t>
            </w:r>
          </w:p>
        </w:tc>
        <w:tc>
          <w:tcPr>
            <w:tcW w:w="5358" w:type="dxa"/>
            <w:tcBorders>
              <w:top w:val="single" w:color="auto" w:sz="12" w:space="0"/>
            </w:tcBorders>
            <w:vAlign w:val="center"/>
          </w:tcPr>
          <w:p>
            <w:pPr>
              <w:spacing w:line="360" w:lineRule="auto"/>
              <w:jc w:val="center"/>
              <w:rPr>
                <w:rFonts w:ascii="宋体" w:hAnsi="宋体" w:cs="宋体"/>
                <w:b/>
                <w:bCs/>
                <w:color w:val="auto"/>
                <w:spacing w:val="-6"/>
                <w:szCs w:val="21"/>
              </w:rPr>
            </w:pPr>
            <w:r>
              <w:rPr>
                <w:rFonts w:hint="eastAsia" w:ascii="宋体" w:hAnsi="宋体" w:cs="宋体"/>
                <w:b/>
                <w:bCs/>
                <w:color w:val="auto"/>
                <w:szCs w:val="21"/>
              </w:rPr>
              <w:t>评审标准</w:t>
            </w:r>
          </w:p>
        </w:tc>
        <w:tc>
          <w:tcPr>
            <w:tcW w:w="825" w:type="dxa"/>
            <w:tcBorders>
              <w:top w:val="single" w:color="auto" w:sz="12" w:space="0"/>
            </w:tcBorders>
            <w:vAlign w:val="center"/>
          </w:tcPr>
          <w:p>
            <w:pPr>
              <w:spacing w:line="360" w:lineRule="auto"/>
              <w:jc w:val="center"/>
              <w:rPr>
                <w:rFonts w:ascii="宋体" w:hAnsi="宋体" w:cs="宋体"/>
                <w:b/>
                <w:bCs/>
                <w:color w:val="auto"/>
                <w:szCs w:val="21"/>
              </w:rPr>
            </w:pPr>
            <w:r>
              <w:rPr>
                <w:rFonts w:hint="eastAsia" w:ascii="宋体" w:hAnsi="宋体" w:cs="宋体"/>
                <w:b/>
                <w:bCs/>
                <w:color w:val="auto"/>
                <w:szCs w:val="21"/>
              </w:rPr>
              <w:t>分值</w:t>
            </w:r>
          </w:p>
        </w:tc>
        <w:tc>
          <w:tcPr>
            <w:tcW w:w="1133" w:type="dxa"/>
            <w:tcBorders>
              <w:top w:val="single" w:color="auto" w:sz="12" w:space="0"/>
            </w:tcBorders>
            <w:vAlign w:val="center"/>
          </w:tcPr>
          <w:p>
            <w:pPr>
              <w:spacing w:line="360" w:lineRule="auto"/>
              <w:jc w:val="center"/>
              <w:rPr>
                <w:rFonts w:ascii="宋体" w:hAnsi="宋体" w:cs="宋体"/>
                <w:b/>
                <w:bCs/>
                <w:color w:val="auto"/>
                <w:szCs w:val="21"/>
              </w:rPr>
            </w:pPr>
            <w:r>
              <w:rPr>
                <w:rFonts w:hint="eastAsia" w:ascii="宋体" w:hAnsi="宋体" w:cs="宋体"/>
                <w:b/>
                <w:bCs/>
                <w:color w:val="auto"/>
                <w:szCs w:val="21"/>
              </w:rPr>
              <w:t>对应页码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687" w:type="dxa"/>
            <w:vAlign w:val="center"/>
          </w:tcPr>
          <w:p>
            <w:pPr>
              <w:widowControl/>
              <w:spacing w:line="360" w:lineRule="auto"/>
              <w:jc w:val="center"/>
              <w:textAlignment w:val="center"/>
              <w:rPr>
                <w:rFonts w:ascii="宋体" w:hAnsi="宋体" w:cs="宋体"/>
                <w:color w:val="auto"/>
                <w:spacing w:val="-6"/>
                <w:szCs w:val="21"/>
              </w:rPr>
            </w:pPr>
          </w:p>
        </w:tc>
        <w:tc>
          <w:tcPr>
            <w:tcW w:w="1285" w:type="dxa"/>
            <w:vAlign w:val="center"/>
          </w:tcPr>
          <w:p>
            <w:pPr>
              <w:widowControl/>
              <w:spacing w:line="360" w:lineRule="auto"/>
              <w:jc w:val="center"/>
              <w:textAlignment w:val="center"/>
              <w:rPr>
                <w:rFonts w:ascii="宋体" w:hAnsi="宋体" w:cs="宋体"/>
                <w:color w:val="auto"/>
                <w:spacing w:val="-6"/>
                <w:szCs w:val="21"/>
              </w:rPr>
            </w:pPr>
          </w:p>
        </w:tc>
        <w:tc>
          <w:tcPr>
            <w:tcW w:w="5358" w:type="dxa"/>
            <w:vAlign w:val="center"/>
          </w:tcPr>
          <w:p>
            <w:pPr>
              <w:widowControl/>
              <w:spacing w:line="360" w:lineRule="auto"/>
              <w:jc w:val="left"/>
              <w:textAlignment w:val="center"/>
              <w:rPr>
                <w:rFonts w:ascii="宋体" w:hAnsi="宋体" w:cs="宋体"/>
                <w:color w:val="auto"/>
                <w:szCs w:val="21"/>
              </w:rPr>
            </w:pPr>
          </w:p>
        </w:tc>
        <w:tc>
          <w:tcPr>
            <w:tcW w:w="825" w:type="dxa"/>
            <w:vAlign w:val="center"/>
          </w:tcPr>
          <w:p>
            <w:pPr>
              <w:widowControl/>
              <w:spacing w:line="360" w:lineRule="auto"/>
              <w:jc w:val="center"/>
              <w:textAlignment w:val="center"/>
              <w:rPr>
                <w:rFonts w:ascii="宋体" w:hAnsi="宋体" w:cs="宋体"/>
                <w:color w:val="auto"/>
                <w:szCs w:val="21"/>
              </w:rPr>
            </w:pPr>
          </w:p>
        </w:tc>
        <w:tc>
          <w:tcPr>
            <w:tcW w:w="1133" w:type="dxa"/>
            <w:vAlign w:val="center"/>
          </w:tcPr>
          <w:p>
            <w:pPr>
              <w:widowControl/>
              <w:spacing w:line="360" w:lineRule="auto"/>
              <w:jc w:val="center"/>
              <w:textAlignment w:val="center"/>
              <w:rPr>
                <w:rFonts w:ascii="宋体" w:hAnsi="宋体" w:cs="宋体"/>
                <w:color w:val="auto"/>
                <w:kern w:val="0"/>
                <w:szCs w:val="21"/>
                <w:lang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vAlign w:val="center"/>
          </w:tcPr>
          <w:p>
            <w:pPr>
              <w:spacing w:line="360" w:lineRule="auto"/>
              <w:jc w:val="center"/>
              <w:rPr>
                <w:rFonts w:ascii="宋体" w:hAnsi="宋体" w:cs="宋体"/>
                <w:color w:val="auto"/>
                <w:spacing w:val="-6"/>
                <w:szCs w:val="21"/>
              </w:rPr>
            </w:pPr>
          </w:p>
        </w:tc>
        <w:tc>
          <w:tcPr>
            <w:tcW w:w="1285" w:type="dxa"/>
            <w:vAlign w:val="center"/>
          </w:tcPr>
          <w:p>
            <w:pPr>
              <w:spacing w:line="360" w:lineRule="auto"/>
              <w:rPr>
                <w:rFonts w:ascii="宋体" w:hAnsi="宋体" w:cs="宋体"/>
                <w:color w:val="auto"/>
                <w:spacing w:val="-6"/>
                <w:kern w:val="0"/>
                <w:szCs w:val="21"/>
              </w:rPr>
            </w:pPr>
          </w:p>
        </w:tc>
        <w:tc>
          <w:tcPr>
            <w:tcW w:w="5358" w:type="dxa"/>
            <w:vAlign w:val="center"/>
          </w:tcPr>
          <w:p>
            <w:pPr>
              <w:spacing w:line="360" w:lineRule="auto"/>
              <w:rPr>
                <w:rFonts w:ascii="宋体" w:hAnsi="宋体" w:cs="宋体"/>
                <w:color w:val="auto"/>
                <w:spacing w:val="-6"/>
                <w:szCs w:val="21"/>
              </w:rPr>
            </w:pPr>
          </w:p>
        </w:tc>
        <w:tc>
          <w:tcPr>
            <w:tcW w:w="825" w:type="dxa"/>
            <w:vAlign w:val="center"/>
          </w:tcPr>
          <w:p>
            <w:pPr>
              <w:spacing w:line="360" w:lineRule="auto"/>
              <w:rPr>
                <w:rFonts w:ascii="宋体" w:hAnsi="宋体" w:cs="宋体"/>
                <w:color w:val="auto"/>
                <w:spacing w:val="-6"/>
                <w:szCs w:val="21"/>
              </w:rPr>
            </w:pPr>
          </w:p>
        </w:tc>
        <w:tc>
          <w:tcPr>
            <w:tcW w:w="1133" w:type="dxa"/>
            <w:vAlign w:val="center"/>
          </w:tcPr>
          <w:p>
            <w:pPr>
              <w:spacing w:line="360" w:lineRule="auto"/>
              <w:rPr>
                <w:rFonts w:ascii="宋体" w:hAnsi="宋体" w:cs="宋体"/>
                <w:color w:val="auto"/>
                <w:spacing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color w:val="auto"/>
                <w:szCs w:val="21"/>
              </w:rPr>
            </w:pPr>
          </w:p>
        </w:tc>
        <w:tc>
          <w:tcPr>
            <w:tcW w:w="1285" w:type="dxa"/>
            <w:vAlign w:val="center"/>
          </w:tcPr>
          <w:p>
            <w:pPr>
              <w:spacing w:line="360" w:lineRule="auto"/>
              <w:rPr>
                <w:rFonts w:ascii="宋体" w:hAnsi="宋体" w:cs="宋体"/>
                <w:color w:val="auto"/>
                <w:spacing w:val="-6"/>
                <w:kern w:val="0"/>
                <w:szCs w:val="21"/>
              </w:rPr>
            </w:pPr>
          </w:p>
        </w:tc>
        <w:tc>
          <w:tcPr>
            <w:tcW w:w="5358" w:type="dxa"/>
            <w:vAlign w:val="center"/>
          </w:tcPr>
          <w:p>
            <w:pPr>
              <w:autoSpaceDE w:val="0"/>
              <w:autoSpaceDN w:val="0"/>
              <w:adjustRightInd w:val="0"/>
              <w:spacing w:line="360" w:lineRule="auto"/>
              <w:ind w:right="71" w:rightChars="34"/>
              <w:rPr>
                <w:rFonts w:ascii="宋体" w:hAnsi="宋体" w:cs="宋体"/>
                <w:color w:val="auto"/>
                <w:spacing w:val="-6"/>
                <w:kern w:val="0"/>
                <w:szCs w:val="21"/>
              </w:rPr>
            </w:pPr>
          </w:p>
        </w:tc>
        <w:tc>
          <w:tcPr>
            <w:tcW w:w="825" w:type="dxa"/>
            <w:vAlign w:val="center"/>
          </w:tcPr>
          <w:p>
            <w:pPr>
              <w:autoSpaceDE w:val="0"/>
              <w:autoSpaceDN w:val="0"/>
              <w:adjustRightInd w:val="0"/>
              <w:spacing w:line="360" w:lineRule="auto"/>
              <w:ind w:right="71" w:rightChars="34"/>
              <w:rPr>
                <w:rFonts w:ascii="宋体" w:hAnsi="宋体" w:cs="宋体"/>
                <w:color w:val="auto"/>
                <w:spacing w:val="-6"/>
                <w:kern w:val="0"/>
                <w:szCs w:val="21"/>
              </w:rPr>
            </w:pPr>
          </w:p>
        </w:tc>
        <w:tc>
          <w:tcPr>
            <w:tcW w:w="1133" w:type="dxa"/>
            <w:vAlign w:val="center"/>
          </w:tcPr>
          <w:p>
            <w:pPr>
              <w:autoSpaceDE w:val="0"/>
              <w:autoSpaceDN w:val="0"/>
              <w:adjustRightInd w:val="0"/>
              <w:spacing w:line="360" w:lineRule="auto"/>
              <w:ind w:right="71" w:rightChars="34"/>
              <w:rPr>
                <w:rFonts w:ascii="宋体" w:hAnsi="宋体" w:cs="宋体"/>
                <w:color w:val="auto"/>
                <w:spacing w:val="-6"/>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color w:val="auto"/>
                <w:szCs w:val="21"/>
              </w:rPr>
            </w:pPr>
          </w:p>
        </w:tc>
        <w:tc>
          <w:tcPr>
            <w:tcW w:w="1285" w:type="dxa"/>
            <w:vAlign w:val="center"/>
          </w:tcPr>
          <w:p>
            <w:pPr>
              <w:spacing w:line="360" w:lineRule="auto"/>
              <w:rPr>
                <w:rFonts w:ascii="宋体" w:hAnsi="宋体" w:cs="宋体"/>
                <w:color w:val="auto"/>
                <w:spacing w:val="-6"/>
                <w:szCs w:val="21"/>
              </w:rPr>
            </w:pPr>
          </w:p>
        </w:tc>
        <w:tc>
          <w:tcPr>
            <w:tcW w:w="5358" w:type="dxa"/>
            <w:vAlign w:val="center"/>
          </w:tcPr>
          <w:p>
            <w:pPr>
              <w:autoSpaceDE w:val="0"/>
              <w:autoSpaceDN w:val="0"/>
              <w:adjustRightInd w:val="0"/>
              <w:spacing w:line="360" w:lineRule="auto"/>
              <w:ind w:right="71" w:rightChars="34"/>
              <w:rPr>
                <w:rFonts w:ascii="宋体" w:hAnsi="宋体" w:cs="宋体"/>
                <w:color w:val="auto"/>
                <w:spacing w:val="-6"/>
                <w:szCs w:val="21"/>
              </w:rPr>
            </w:pPr>
          </w:p>
        </w:tc>
        <w:tc>
          <w:tcPr>
            <w:tcW w:w="825" w:type="dxa"/>
            <w:vAlign w:val="center"/>
          </w:tcPr>
          <w:p>
            <w:pPr>
              <w:autoSpaceDE w:val="0"/>
              <w:autoSpaceDN w:val="0"/>
              <w:adjustRightInd w:val="0"/>
              <w:spacing w:line="360" w:lineRule="auto"/>
              <w:ind w:right="71" w:rightChars="34"/>
              <w:rPr>
                <w:rFonts w:ascii="宋体" w:hAnsi="宋体" w:cs="宋体"/>
                <w:color w:val="auto"/>
                <w:spacing w:val="-6"/>
                <w:szCs w:val="21"/>
              </w:rPr>
            </w:pPr>
          </w:p>
        </w:tc>
        <w:tc>
          <w:tcPr>
            <w:tcW w:w="1133" w:type="dxa"/>
            <w:vAlign w:val="center"/>
          </w:tcPr>
          <w:p>
            <w:pPr>
              <w:autoSpaceDE w:val="0"/>
              <w:autoSpaceDN w:val="0"/>
              <w:adjustRightInd w:val="0"/>
              <w:spacing w:line="360" w:lineRule="auto"/>
              <w:ind w:right="71" w:rightChars="34"/>
              <w:rPr>
                <w:rFonts w:ascii="宋体" w:hAnsi="宋体" w:cs="宋体"/>
                <w:color w:val="auto"/>
                <w:spacing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color w:val="auto"/>
                <w:szCs w:val="21"/>
              </w:rPr>
            </w:pPr>
          </w:p>
        </w:tc>
        <w:tc>
          <w:tcPr>
            <w:tcW w:w="1285" w:type="dxa"/>
            <w:tcBorders>
              <w:bottom w:val="single" w:color="auto" w:sz="4" w:space="0"/>
            </w:tcBorders>
            <w:vAlign w:val="center"/>
          </w:tcPr>
          <w:p>
            <w:pPr>
              <w:spacing w:line="360" w:lineRule="auto"/>
              <w:rPr>
                <w:rFonts w:ascii="宋体" w:hAnsi="宋体" w:cs="宋体"/>
                <w:color w:val="auto"/>
                <w:spacing w:val="-6"/>
                <w:kern w:val="0"/>
                <w:szCs w:val="21"/>
              </w:rPr>
            </w:pPr>
          </w:p>
        </w:tc>
        <w:tc>
          <w:tcPr>
            <w:tcW w:w="5358" w:type="dxa"/>
            <w:tcBorders>
              <w:bottom w:val="single" w:color="auto" w:sz="4" w:space="0"/>
            </w:tcBorders>
            <w:vAlign w:val="center"/>
          </w:tcPr>
          <w:p>
            <w:pPr>
              <w:autoSpaceDE w:val="0"/>
              <w:autoSpaceDN w:val="0"/>
              <w:adjustRightInd w:val="0"/>
              <w:spacing w:line="360" w:lineRule="auto"/>
              <w:ind w:right="71" w:rightChars="34"/>
              <w:rPr>
                <w:rFonts w:ascii="宋体" w:hAnsi="宋体" w:cs="宋体"/>
                <w:color w:val="auto"/>
                <w:spacing w:val="-6"/>
                <w:kern w:val="0"/>
                <w:szCs w:val="21"/>
              </w:rPr>
            </w:pPr>
          </w:p>
        </w:tc>
        <w:tc>
          <w:tcPr>
            <w:tcW w:w="825" w:type="dxa"/>
            <w:tcBorders>
              <w:bottom w:val="single" w:color="auto" w:sz="4" w:space="0"/>
            </w:tcBorders>
            <w:vAlign w:val="center"/>
          </w:tcPr>
          <w:p>
            <w:pPr>
              <w:autoSpaceDE w:val="0"/>
              <w:autoSpaceDN w:val="0"/>
              <w:adjustRightInd w:val="0"/>
              <w:spacing w:line="360" w:lineRule="auto"/>
              <w:ind w:right="71" w:rightChars="34"/>
              <w:rPr>
                <w:rFonts w:ascii="宋体" w:hAnsi="宋体" w:cs="宋体"/>
                <w:color w:val="auto"/>
                <w:spacing w:val="-6"/>
                <w:kern w:val="0"/>
                <w:szCs w:val="21"/>
              </w:rPr>
            </w:pPr>
          </w:p>
        </w:tc>
        <w:tc>
          <w:tcPr>
            <w:tcW w:w="1133" w:type="dxa"/>
            <w:tcBorders>
              <w:bottom w:val="single" w:color="auto" w:sz="4" w:space="0"/>
            </w:tcBorders>
            <w:vAlign w:val="center"/>
          </w:tcPr>
          <w:p>
            <w:pPr>
              <w:autoSpaceDE w:val="0"/>
              <w:autoSpaceDN w:val="0"/>
              <w:adjustRightInd w:val="0"/>
              <w:spacing w:line="360" w:lineRule="auto"/>
              <w:ind w:right="71" w:rightChars="34"/>
              <w:rPr>
                <w:rFonts w:ascii="宋体" w:hAnsi="宋体" w:cs="宋体"/>
                <w:color w:val="auto"/>
                <w:spacing w:val="-6"/>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color w:val="auto"/>
                <w:szCs w:val="21"/>
              </w:rPr>
            </w:pPr>
          </w:p>
        </w:tc>
        <w:tc>
          <w:tcPr>
            <w:tcW w:w="1285" w:type="dxa"/>
            <w:tcBorders>
              <w:top w:val="single" w:color="auto" w:sz="4" w:space="0"/>
            </w:tcBorders>
            <w:vAlign w:val="center"/>
          </w:tcPr>
          <w:p>
            <w:pPr>
              <w:spacing w:line="360" w:lineRule="auto"/>
              <w:rPr>
                <w:rFonts w:ascii="宋体" w:hAnsi="宋体" w:cs="宋体"/>
                <w:color w:val="auto"/>
                <w:spacing w:val="-6"/>
                <w:kern w:val="0"/>
                <w:szCs w:val="21"/>
              </w:rPr>
            </w:pPr>
          </w:p>
        </w:tc>
        <w:tc>
          <w:tcPr>
            <w:tcW w:w="5358" w:type="dxa"/>
            <w:tcBorders>
              <w:top w:val="single" w:color="auto" w:sz="4" w:space="0"/>
            </w:tcBorders>
            <w:vAlign w:val="center"/>
          </w:tcPr>
          <w:p>
            <w:pPr>
              <w:autoSpaceDE w:val="0"/>
              <w:autoSpaceDN w:val="0"/>
              <w:adjustRightInd w:val="0"/>
              <w:spacing w:line="360" w:lineRule="auto"/>
              <w:ind w:right="71" w:rightChars="34"/>
              <w:rPr>
                <w:rFonts w:ascii="宋体" w:hAnsi="宋体" w:cs="宋体"/>
                <w:color w:val="auto"/>
                <w:spacing w:val="-6"/>
                <w:kern w:val="0"/>
                <w:szCs w:val="21"/>
              </w:rPr>
            </w:pPr>
          </w:p>
        </w:tc>
        <w:tc>
          <w:tcPr>
            <w:tcW w:w="825" w:type="dxa"/>
            <w:tcBorders>
              <w:top w:val="single" w:color="auto" w:sz="4" w:space="0"/>
            </w:tcBorders>
            <w:vAlign w:val="center"/>
          </w:tcPr>
          <w:p>
            <w:pPr>
              <w:autoSpaceDE w:val="0"/>
              <w:autoSpaceDN w:val="0"/>
              <w:adjustRightInd w:val="0"/>
              <w:spacing w:line="360" w:lineRule="auto"/>
              <w:ind w:right="71" w:rightChars="34"/>
              <w:rPr>
                <w:rFonts w:ascii="宋体" w:hAnsi="宋体" w:cs="宋体"/>
                <w:color w:val="auto"/>
                <w:spacing w:val="-6"/>
                <w:kern w:val="0"/>
                <w:szCs w:val="21"/>
              </w:rPr>
            </w:pPr>
          </w:p>
        </w:tc>
        <w:tc>
          <w:tcPr>
            <w:tcW w:w="1133" w:type="dxa"/>
            <w:tcBorders>
              <w:top w:val="single" w:color="auto" w:sz="4" w:space="0"/>
            </w:tcBorders>
            <w:vAlign w:val="center"/>
          </w:tcPr>
          <w:p>
            <w:pPr>
              <w:autoSpaceDE w:val="0"/>
              <w:autoSpaceDN w:val="0"/>
              <w:adjustRightInd w:val="0"/>
              <w:spacing w:line="360" w:lineRule="auto"/>
              <w:ind w:right="71" w:rightChars="34"/>
              <w:rPr>
                <w:rFonts w:ascii="宋体" w:hAnsi="宋体" w:cs="宋体"/>
                <w:color w:val="auto"/>
                <w:spacing w:val="-6"/>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vAlign w:val="center"/>
          </w:tcPr>
          <w:p>
            <w:pPr>
              <w:spacing w:line="360" w:lineRule="auto"/>
              <w:jc w:val="center"/>
              <w:rPr>
                <w:rFonts w:ascii="宋体" w:hAnsi="宋体" w:cs="宋体"/>
                <w:color w:val="auto"/>
                <w:spacing w:val="-6"/>
                <w:szCs w:val="21"/>
              </w:rPr>
            </w:pPr>
          </w:p>
        </w:tc>
        <w:tc>
          <w:tcPr>
            <w:tcW w:w="1285" w:type="dxa"/>
            <w:vAlign w:val="center"/>
          </w:tcPr>
          <w:p>
            <w:pPr>
              <w:spacing w:line="360" w:lineRule="auto"/>
              <w:rPr>
                <w:rFonts w:ascii="宋体" w:hAnsi="宋体" w:cs="宋体"/>
                <w:color w:val="auto"/>
                <w:spacing w:val="-6"/>
                <w:szCs w:val="21"/>
              </w:rPr>
            </w:pPr>
          </w:p>
        </w:tc>
        <w:tc>
          <w:tcPr>
            <w:tcW w:w="5358" w:type="dxa"/>
            <w:vAlign w:val="center"/>
          </w:tcPr>
          <w:p>
            <w:pPr>
              <w:spacing w:line="360" w:lineRule="auto"/>
              <w:ind w:left="-4" w:leftChars="-2" w:firstLine="1" w:firstLineChars="1"/>
              <w:rPr>
                <w:rFonts w:ascii="宋体" w:hAnsi="宋体" w:cs="宋体"/>
                <w:color w:val="auto"/>
                <w:spacing w:val="-6"/>
                <w:szCs w:val="21"/>
              </w:rPr>
            </w:pPr>
          </w:p>
        </w:tc>
        <w:tc>
          <w:tcPr>
            <w:tcW w:w="825" w:type="dxa"/>
            <w:vAlign w:val="center"/>
          </w:tcPr>
          <w:p>
            <w:pPr>
              <w:spacing w:line="360" w:lineRule="auto"/>
              <w:ind w:left="-4" w:leftChars="-2" w:firstLine="1" w:firstLineChars="1"/>
              <w:rPr>
                <w:rFonts w:ascii="宋体" w:hAnsi="宋体" w:cs="宋体"/>
                <w:color w:val="auto"/>
                <w:spacing w:val="-6"/>
                <w:szCs w:val="21"/>
              </w:rPr>
            </w:pPr>
          </w:p>
        </w:tc>
        <w:tc>
          <w:tcPr>
            <w:tcW w:w="1133" w:type="dxa"/>
            <w:vAlign w:val="center"/>
          </w:tcPr>
          <w:p>
            <w:pPr>
              <w:spacing w:line="360" w:lineRule="auto"/>
              <w:ind w:left="-4" w:leftChars="-2" w:firstLine="1" w:firstLineChars="1"/>
              <w:rPr>
                <w:rFonts w:ascii="宋体" w:hAnsi="宋体" w:cs="宋体"/>
                <w:color w:val="auto"/>
                <w:spacing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ind w:left="-4" w:leftChars="-2" w:firstLine="2" w:firstLineChars="1"/>
              <w:rPr>
                <w:rFonts w:ascii="宋体" w:hAnsi="宋体" w:cs="宋体"/>
                <w:color w:val="auto"/>
                <w:szCs w:val="21"/>
              </w:rPr>
            </w:pPr>
          </w:p>
        </w:tc>
        <w:tc>
          <w:tcPr>
            <w:tcW w:w="1285" w:type="dxa"/>
            <w:vAlign w:val="center"/>
          </w:tcPr>
          <w:p>
            <w:pPr>
              <w:spacing w:line="360" w:lineRule="auto"/>
              <w:ind w:left="-4" w:leftChars="-2" w:firstLine="2" w:firstLineChars="1"/>
              <w:rPr>
                <w:rFonts w:ascii="宋体" w:hAnsi="宋体" w:cs="宋体"/>
                <w:color w:val="auto"/>
                <w:szCs w:val="21"/>
              </w:rPr>
            </w:pPr>
          </w:p>
        </w:tc>
        <w:tc>
          <w:tcPr>
            <w:tcW w:w="5358" w:type="dxa"/>
            <w:vAlign w:val="center"/>
          </w:tcPr>
          <w:p>
            <w:pPr>
              <w:spacing w:line="360" w:lineRule="auto"/>
              <w:ind w:left="-4" w:leftChars="-2" w:firstLine="2" w:firstLineChars="1"/>
              <w:rPr>
                <w:rFonts w:ascii="宋体" w:hAnsi="宋体" w:cs="宋体"/>
                <w:color w:val="auto"/>
                <w:szCs w:val="21"/>
              </w:rPr>
            </w:pPr>
          </w:p>
        </w:tc>
        <w:tc>
          <w:tcPr>
            <w:tcW w:w="825" w:type="dxa"/>
            <w:vAlign w:val="center"/>
          </w:tcPr>
          <w:p>
            <w:pPr>
              <w:spacing w:line="360" w:lineRule="auto"/>
              <w:ind w:left="-4" w:leftChars="-2" w:firstLine="2" w:firstLineChars="1"/>
              <w:rPr>
                <w:rFonts w:ascii="宋体" w:hAnsi="宋体" w:cs="宋体"/>
                <w:color w:val="auto"/>
                <w:szCs w:val="21"/>
              </w:rPr>
            </w:pPr>
          </w:p>
        </w:tc>
        <w:tc>
          <w:tcPr>
            <w:tcW w:w="1133" w:type="dxa"/>
            <w:vAlign w:val="center"/>
          </w:tcPr>
          <w:p>
            <w:pPr>
              <w:spacing w:line="360" w:lineRule="auto"/>
              <w:ind w:left="-4" w:leftChars="-2" w:firstLine="2" w:firstLineChars="1"/>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color w:val="auto"/>
                <w:szCs w:val="21"/>
              </w:rPr>
            </w:pPr>
          </w:p>
        </w:tc>
        <w:tc>
          <w:tcPr>
            <w:tcW w:w="1285" w:type="dxa"/>
            <w:vAlign w:val="center"/>
          </w:tcPr>
          <w:p>
            <w:pPr>
              <w:spacing w:line="360" w:lineRule="auto"/>
              <w:rPr>
                <w:rFonts w:ascii="宋体" w:hAnsi="宋体" w:cs="宋体"/>
                <w:color w:val="auto"/>
                <w:spacing w:val="-6"/>
                <w:kern w:val="0"/>
                <w:szCs w:val="21"/>
              </w:rPr>
            </w:pPr>
          </w:p>
        </w:tc>
        <w:tc>
          <w:tcPr>
            <w:tcW w:w="5358" w:type="dxa"/>
            <w:vAlign w:val="center"/>
          </w:tcPr>
          <w:p>
            <w:pPr>
              <w:autoSpaceDE w:val="0"/>
              <w:autoSpaceDN w:val="0"/>
              <w:adjustRightInd w:val="0"/>
              <w:spacing w:line="360" w:lineRule="auto"/>
              <w:rPr>
                <w:rFonts w:ascii="宋体" w:hAnsi="宋体" w:cs="宋体"/>
                <w:color w:val="auto"/>
                <w:spacing w:val="-6"/>
                <w:kern w:val="0"/>
                <w:szCs w:val="21"/>
              </w:rPr>
            </w:pPr>
          </w:p>
        </w:tc>
        <w:tc>
          <w:tcPr>
            <w:tcW w:w="825" w:type="dxa"/>
            <w:vAlign w:val="center"/>
          </w:tcPr>
          <w:p>
            <w:pPr>
              <w:autoSpaceDE w:val="0"/>
              <w:autoSpaceDN w:val="0"/>
              <w:adjustRightInd w:val="0"/>
              <w:spacing w:line="360" w:lineRule="auto"/>
              <w:rPr>
                <w:rFonts w:ascii="宋体" w:hAnsi="宋体" w:cs="宋体"/>
                <w:color w:val="auto"/>
                <w:spacing w:val="-6"/>
                <w:kern w:val="0"/>
                <w:szCs w:val="21"/>
              </w:rPr>
            </w:pPr>
          </w:p>
        </w:tc>
        <w:tc>
          <w:tcPr>
            <w:tcW w:w="1133" w:type="dxa"/>
            <w:vAlign w:val="center"/>
          </w:tcPr>
          <w:p>
            <w:pPr>
              <w:autoSpaceDE w:val="0"/>
              <w:autoSpaceDN w:val="0"/>
              <w:adjustRightInd w:val="0"/>
              <w:spacing w:line="360" w:lineRule="auto"/>
              <w:rPr>
                <w:rFonts w:ascii="宋体" w:hAnsi="宋体" w:cs="宋体"/>
                <w:color w:val="auto"/>
                <w:spacing w:val="-6"/>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color w:val="auto"/>
                <w:szCs w:val="21"/>
              </w:rPr>
            </w:pPr>
          </w:p>
        </w:tc>
        <w:tc>
          <w:tcPr>
            <w:tcW w:w="1285" w:type="dxa"/>
            <w:vAlign w:val="center"/>
          </w:tcPr>
          <w:p>
            <w:pPr>
              <w:spacing w:line="360" w:lineRule="auto"/>
              <w:rPr>
                <w:rFonts w:ascii="宋体" w:hAnsi="宋体" w:cs="宋体"/>
                <w:color w:val="auto"/>
                <w:spacing w:val="-6"/>
                <w:szCs w:val="21"/>
              </w:rPr>
            </w:pPr>
          </w:p>
        </w:tc>
        <w:tc>
          <w:tcPr>
            <w:tcW w:w="5358" w:type="dxa"/>
            <w:vAlign w:val="center"/>
          </w:tcPr>
          <w:p>
            <w:pPr>
              <w:spacing w:line="360" w:lineRule="auto"/>
              <w:ind w:left="-4" w:leftChars="-2" w:firstLine="1" w:firstLineChars="1"/>
              <w:rPr>
                <w:rFonts w:ascii="宋体" w:hAnsi="宋体" w:cs="宋体"/>
                <w:color w:val="auto"/>
                <w:spacing w:val="-6"/>
                <w:szCs w:val="21"/>
              </w:rPr>
            </w:pPr>
          </w:p>
        </w:tc>
        <w:tc>
          <w:tcPr>
            <w:tcW w:w="825" w:type="dxa"/>
            <w:vAlign w:val="center"/>
          </w:tcPr>
          <w:p>
            <w:pPr>
              <w:spacing w:line="360" w:lineRule="auto"/>
              <w:ind w:left="-4" w:leftChars="-2" w:firstLine="1" w:firstLineChars="1"/>
              <w:rPr>
                <w:rFonts w:ascii="宋体" w:hAnsi="宋体" w:cs="宋体"/>
                <w:color w:val="auto"/>
                <w:spacing w:val="-6"/>
                <w:szCs w:val="21"/>
              </w:rPr>
            </w:pPr>
          </w:p>
        </w:tc>
        <w:tc>
          <w:tcPr>
            <w:tcW w:w="1133" w:type="dxa"/>
            <w:vAlign w:val="center"/>
          </w:tcPr>
          <w:p>
            <w:pPr>
              <w:spacing w:line="360" w:lineRule="auto"/>
              <w:ind w:left="-4" w:leftChars="-2" w:firstLine="1" w:firstLineChars="1"/>
              <w:rPr>
                <w:rFonts w:ascii="宋体" w:hAnsi="宋体" w:cs="宋体"/>
                <w:color w:val="auto"/>
                <w:spacing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color w:val="auto"/>
                <w:szCs w:val="21"/>
              </w:rPr>
            </w:pPr>
          </w:p>
        </w:tc>
        <w:tc>
          <w:tcPr>
            <w:tcW w:w="1285" w:type="dxa"/>
            <w:vAlign w:val="center"/>
          </w:tcPr>
          <w:p>
            <w:pPr>
              <w:spacing w:line="360" w:lineRule="auto"/>
              <w:rPr>
                <w:rFonts w:ascii="宋体" w:hAnsi="宋体" w:cs="宋体"/>
                <w:color w:val="auto"/>
                <w:spacing w:val="-6"/>
                <w:szCs w:val="21"/>
              </w:rPr>
            </w:pPr>
          </w:p>
        </w:tc>
        <w:tc>
          <w:tcPr>
            <w:tcW w:w="5358" w:type="dxa"/>
            <w:vAlign w:val="center"/>
          </w:tcPr>
          <w:p>
            <w:pPr>
              <w:spacing w:line="360" w:lineRule="auto"/>
              <w:rPr>
                <w:rFonts w:ascii="宋体" w:hAnsi="宋体" w:cs="宋体"/>
                <w:color w:val="auto"/>
                <w:spacing w:val="-6"/>
                <w:szCs w:val="21"/>
              </w:rPr>
            </w:pPr>
          </w:p>
        </w:tc>
        <w:tc>
          <w:tcPr>
            <w:tcW w:w="825" w:type="dxa"/>
            <w:vAlign w:val="center"/>
          </w:tcPr>
          <w:p>
            <w:pPr>
              <w:spacing w:line="360" w:lineRule="auto"/>
              <w:rPr>
                <w:rFonts w:ascii="宋体" w:hAnsi="宋体" w:cs="宋体"/>
                <w:color w:val="auto"/>
                <w:spacing w:val="-6"/>
                <w:szCs w:val="21"/>
              </w:rPr>
            </w:pPr>
          </w:p>
        </w:tc>
        <w:tc>
          <w:tcPr>
            <w:tcW w:w="1133" w:type="dxa"/>
            <w:vAlign w:val="center"/>
          </w:tcPr>
          <w:p>
            <w:pPr>
              <w:spacing w:line="360" w:lineRule="auto"/>
              <w:rPr>
                <w:rFonts w:ascii="宋体" w:hAnsi="宋体" w:cs="宋体"/>
                <w:color w:val="auto"/>
                <w:spacing w:val="-6"/>
                <w:szCs w:val="21"/>
              </w:rPr>
            </w:pPr>
          </w:p>
        </w:tc>
      </w:tr>
    </w:tbl>
    <w:p>
      <w:pPr>
        <w:autoSpaceDE w:val="0"/>
        <w:autoSpaceDN w:val="0"/>
        <w:adjustRightInd w:val="0"/>
        <w:spacing w:line="480" w:lineRule="auto"/>
        <w:rPr>
          <w:rFonts w:asciiTheme="minorEastAsia" w:hAnsiTheme="minorEastAsia" w:eastAsiaTheme="minorEastAsia" w:cstheme="minorEastAsia"/>
          <w:b/>
          <w:color w:val="auto"/>
        </w:rPr>
      </w:pPr>
    </w:p>
    <w:p>
      <w:pPr>
        <w:adjustRightInd w:val="0"/>
        <w:snapToGrid w:val="0"/>
        <w:spacing w:line="48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
          <w:color w:val="auto"/>
        </w:rPr>
        <w:br w:type="textWrapping"/>
      </w:r>
    </w:p>
    <w:p>
      <w:pPr>
        <w:adjustRightInd w:val="0"/>
        <w:snapToGrid w:val="0"/>
        <w:spacing w:line="480" w:lineRule="auto"/>
        <w:jc w:val="center"/>
        <w:outlineLvl w:val="1"/>
        <w:rPr>
          <w:rFonts w:asciiTheme="minorEastAsia" w:hAnsiTheme="minorEastAsia" w:eastAsiaTheme="minorEastAsia" w:cstheme="minorEastAsia"/>
          <w:b/>
          <w:color w:val="auto"/>
        </w:rPr>
      </w:pPr>
      <w:bookmarkStart w:id="124" w:name="_Toc30144"/>
      <w:bookmarkStart w:id="125" w:name="_Toc479184125"/>
      <w:bookmarkStart w:id="126" w:name="_Toc31578"/>
      <w:bookmarkStart w:id="127" w:name="_Toc15789"/>
      <w:r>
        <w:rPr>
          <w:rFonts w:hint="eastAsia" w:asciiTheme="minorEastAsia" w:hAnsiTheme="minorEastAsia" w:eastAsiaTheme="minorEastAsia" w:cstheme="minorEastAsia"/>
          <w:b/>
          <w:color w:val="auto"/>
        </w:rPr>
        <w:t>二、磋商书</w:t>
      </w:r>
      <w:bookmarkEnd w:id="124"/>
      <w:bookmarkEnd w:id="125"/>
      <w:bookmarkEnd w:id="126"/>
      <w:bookmarkEnd w:id="127"/>
    </w:p>
    <w:p>
      <w:pPr>
        <w:pStyle w:val="20"/>
        <w:rPr>
          <w:rFonts w:asciiTheme="minorEastAsia" w:hAnsiTheme="minorEastAsia" w:eastAsiaTheme="minorEastAsia" w:cstheme="minorEastAsia"/>
          <w:b/>
          <w:color w:val="auto"/>
          <w:szCs w:val="21"/>
        </w:rPr>
      </w:pPr>
    </w:p>
    <w:p>
      <w:pPr>
        <w:autoSpaceDE w:val="0"/>
        <w:autoSpaceDN w:val="0"/>
        <w:adjustRightInd w:val="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Cs/>
          <w:color w:val="auto"/>
          <w:szCs w:val="21"/>
          <w:u w:val="single"/>
        </w:rPr>
        <w:t>（政府采购代理机构）：</w:t>
      </w:r>
    </w:p>
    <w:p>
      <w:pPr>
        <w:autoSpaceDE w:val="0"/>
        <w:autoSpaceDN w:val="0"/>
        <w:adjustRightInd w:val="0"/>
        <w:ind w:left="2" w:firstLine="462" w:firstLineChars="22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依据贵方（项目名称/项目编号）项目第</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包服务的磋商邀请，我方代表（姓名、职务）经正式授权并代表供应商（供应商的名称、地址）提交下述文件正本一份，副本</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w:t>
      </w:r>
    </w:p>
    <w:p>
      <w:pPr>
        <w:numPr>
          <w:ilvl w:val="1"/>
          <w:numId w:val="38"/>
        </w:numPr>
        <w:tabs>
          <w:tab w:val="left" w:pos="840"/>
          <w:tab w:val="clear" w:pos="360"/>
        </w:tabs>
        <w:autoSpaceDE w:val="0"/>
        <w:autoSpaceDN w:val="0"/>
        <w:adjustRightInd w:val="0"/>
        <w:ind w:left="840" w:hanging="42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竞争性磋商响应文件；</w:t>
      </w:r>
    </w:p>
    <w:p>
      <w:pPr>
        <w:numPr>
          <w:ilvl w:val="1"/>
          <w:numId w:val="38"/>
        </w:numPr>
        <w:tabs>
          <w:tab w:val="left" w:pos="840"/>
          <w:tab w:val="clear" w:pos="360"/>
        </w:tabs>
        <w:autoSpaceDE w:val="0"/>
        <w:autoSpaceDN w:val="0"/>
        <w:adjustRightInd w:val="0"/>
        <w:ind w:left="840" w:hanging="42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资格证明文件；</w:t>
      </w:r>
    </w:p>
    <w:p>
      <w:pPr>
        <w:numPr>
          <w:ilvl w:val="1"/>
          <w:numId w:val="38"/>
        </w:numPr>
        <w:tabs>
          <w:tab w:val="left" w:pos="840"/>
          <w:tab w:val="clear" w:pos="360"/>
        </w:tabs>
        <w:autoSpaceDE w:val="0"/>
        <w:autoSpaceDN w:val="0"/>
        <w:adjustRightInd w:val="0"/>
        <w:ind w:left="840" w:hanging="42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按采购的规定递交</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元（人民币大写）的保证金（如有）。</w:t>
      </w:r>
    </w:p>
    <w:p>
      <w:pPr>
        <w:autoSpaceDE w:val="0"/>
        <w:autoSpaceDN w:val="0"/>
        <w:adjustRightInd w:val="0"/>
        <w:ind w:firstLine="422" w:firstLineChars="200"/>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并进行如下承诺声明：</w:t>
      </w:r>
    </w:p>
    <w:p>
      <w:pPr>
        <w:numPr>
          <w:ilvl w:val="0"/>
          <w:numId w:val="39"/>
        </w:numPr>
        <w:tabs>
          <w:tab w:val="left" w:pos="840"/>
        </w:tabs>
        <w:autoSpaceDE w:val="0"/>
        <w:autoSpaceDN w:val="0"/>
        <w:adjustRightInd w:val="0"/>
        <w:ind w:firstLine="420" w:firstLineChars="2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zh-CN"/>
        </w:rPr>
        <w:t>我公司在参加本次政府采购活动前</w:t>
      </w:r>
      <w:r>
        <w:rPr>
          <w:rFonts w:hint="eastAsia" w:asciiTheme="minorEastAsia" w:hAnsiTheme="minorEastAsia" w:eastAsiaTheme="minorEastAsia" w:cstheme="minorEastAsia"/>
          <w:color w:val="auto"/>
          <w:kern w:val="0"/>
          <w:szCs w:val="21"/>
        </w:rPr>
        <w:t>3年内在经营活动中没有重大违法记录；</w:t>
      </w:r>
    </w:p>
    <w:p>
      <w:pPr>
        <w:numPr>
          <w:ilvl w:val="0"/>
          <w:numId w:val="39"/>
        </w:numPr>
        <w:tabs>
          <w:tab w:val="left" w:pos="840"/>
        </w:tabs>
        <w:autoSpaceDE w:val="0"/>
        <w:autoSpaceDN w:val="0"/>
        <w:adjustRightInd w:val="0"/>
        <w:ind w:firstLine="420" w:firstLineChars="2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我公司在本响应文件中所提供的全部资格证明文件均真实有效，我方承诺对其真实性负责并承担相应后果；</w:t>
      </w:r>
    </w:p>
    <w:p>
      <w:pPr>
        <w:numPr>
          <w:ilvl w:val="0"/>
          <w:numId w:val="39"/>
        </w:numPr>
        <w:tabs>
          <w:tab w:val="left" w:pos="840"/>
        </w:tabs>
        <w:autoSpaceDE w:val="0"/>
        <w:autoSpaceDN w:val="0"/>
        <w:adjustRightInd w:val="0"/>
        <w:ind w:firstLine="420" w:firstLineChars="2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我公司在本响应文件中所响应的内容均将成为签订合同的依据，并承诺按响应内容提供相应服务；</w:t>
      </w:r>
    </w:p>
    <w:p>
      <w:pPr>
        <w:numPr>
          <w:ilvl w:val="0"/>
          <w:numId w:val="39"/>
        </w:numPr>
        <w:tabs>
          <w:tab w:val="left" w:pos="840"/>
        </w:tabs>
        <w:autoSpaceDE w:val="0"/>
        <w:autoSpaceDN w:val="0"/>
        <w:adjustRightInd w:val="0"/>
        <w:ind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szCs w:val="21"/>
        </w:rPr>
        <w:t>重要声明：</w:t>
      </w:r>
    </w:p>
    <w:p>
      <w:pPr>
        <w:tabs>
          <w:tab w:val="left" w:pos="840"/>
        </w:tabs>
        <w:autoSpaceDE w:val="0"/>
        <w:autoSpaceDN w:val="0"/>
        <w:adjustRightInd w:val="0"/>
        <w:ind w:left="420" w:left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szCs w:val="21"/>
        </w:rPr>
        <w:t>4.1</w:t>
      </w:r>
      <w:r>
        <w:rPr>
          <w:rFonts w:hint="eastAsia" w:asciiTheme="minorEastAsia" w:hAnsiTheme="minorEastAsia" w:eastAsiaTheme="minorEastAsia" w:cstheme="minorEastAsia"/>
          <w:color w:val="auto"/>
        </w:rPr>
        <w:t>与我方单位负责人为同一人的其他单位名称：□无；□有，具体单位名称为：</w:t>
      </w:r>
      <w:r>
        <w:rPr>
          <w:rFonts w:hint="eastAsia" w:asciiTheme="minorEastAsia" w:hAnsiTheme="minorEastAsia" w:eastAsiaTheme="minorEastAsia" w:cstheme="minorEastAsia"/>
          <w:color w:val="auto"/>
          <w:u w:val="single"/>
        </w:rPr>
        <w:t>     </w:t>
      </w:r>
      <w:r>
        <w:rPr>
          <w:rFonts w:hint="eastAsia" w:asciiTheme="minorEastAsia" w:hAnsiTheme="minorEastAsia" w:eastAsiaTheme="minorEastAsia" w:cstheme="minorEastAsia"/>
          <w:color w:val="auto"/>
        </w:rPr>
        <w:t xml:space="preserve">      </w:t>
      </w:r>
    </w:p>
    <w:p>
      <w:pPr>
        <w:tabs>
          <w:tab w:val="left" w:pos="840"/>
        </w:tabs>
        <w:autoSpaceDE w:val="0"/>
        <w:autoSpaceDN w:val="0"/>
        <w:adjustRightInd w:val="0"/>
        <w:ind w:left="420" w:left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4.2与我方存在控股、管理关系的其他单位的名称：□无；□有，具体单位名称为：</w:t>
      </w:r>
      <w:r>
        <w:rPr>
          <w:rFonts w:hint="eastAsia" w:asciiTheme="minorEastAsia" w:hAnsiTheme="minorEastAsia" w:eastAsiaTheme="minorEastAsia" w:cstheme="minorEastAsia"/>
          <w:color w:val="auto"/>
          <w:u w:val="single"/>
        </w:rPr>
        <w:t>     </w:t>
      </w:r>
    </w:p>
    <w:p>
      <w:pPr>
        <w:tabs>
          <w:tab w:val="left" w:pos="840"/>
        </w:tabs>
        <w:autoSpaceDE w:val="0"/>
        <w:autoSpaceDN w:val="0"/>
        <w:adjustRightInd w:val="0"/>
        <w:ind w:left="420" w:left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4.3参与本项目采购活动前，是否为本项目前期准备提供过整体设计、规范编制或者项目管理、监理、检测等服务：□否；□是，已提供的具体服务内容为：</w:t>
      </w:r>
      <w:r>
        <w:rPr>
          <w:rFonts w:hint="eastAsia" w:asciiTheme="minorEastAsia" w:hAnsiTheme="minorEastAsia" w:eastAsiaTheme="minorEastAsia" w:cstheme="minorEastAsia"/>
          <w:color w:val="auto"/>
          <w:u w:val="single"/>
        </w:rPr>
        <w:t>     </w:t>
      </w:r>
    </w:p>
    <w:p>
      <w:pPr>
        <w:rPr>
          <w:color w:val="auto"/>
        </w:rPr>
      </w:pPr>
      <w:r>
        <w:rPr>
          <w:rFonts w:hint="eastAsia" w:asciiTheme="minorEastAsia" w:hAnsiTheme="minorEastAsia" w:eastAsiaTheme="minorEastAsia" w:cstheme="minorEastAsia"/>
          <w:b/>
          <w:bCs/>
          <w:color w:val="auto"/>
        </w:rPr>
        <w:t>（备注：以上3项声明，必须如实选择，选中项用√表示，未选中项用□表示。①“单位负责人”是指单位法定代表人或者法律、行政法规规定代表单位行使职权的主要负责人。②本条所规定的控股、管理关系仅限于直接控股、直接管理关系，不包括间接的控股或管理关系。③供应商如未如实填报，视为提供虚假材料谋取中标，应承担相应法律责任。）</w:t>
      </w:r>
    </w:p>
    <w:p>
      <w:pPr>
        <w:autoSpaceDE w:val="0"/>
        <w:autoSpaceDN w:val="0"/>
        <w:adjustRightInd w:val="0"/>
        <w:ind w:firstLine="420" w:firstLineChars="2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在此，我方宣布同意如下：</w:t>
      </w:r>
    </w:p>
    <w:p>
      <w:pPr>
        <w:numPr>
          <w:ilvl w:val="6"/>
          <w:numId w:val="40"/>
        </w:numPr>
        <w:tabs>
          <w:tab w:val="left" w:pos="840"/>
        </w:tabs>
        <w:autoSpaceDE w:val="0"/>
        <w:autoSpaceDN w:val="0"/>
        <w:adjustRightInd w:val="0"/>
        <w:ind w:left="0" w:firstLine="420" w:firstLineChars="2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所附《报价一览表》中规定的应提交和交付的货物报价总价为</w:t>
      </w:r>
      <w:r>
        <w:rPr>
          <w:rFonts w:hint="eastAsia" w:asciiTheme="minorEastAsia" w:hAnsiTheme="minorEastAsia" w:eastAsiaTheme="minorEastAsia" w:cstheme="minorEastAsia"/>
          <w:color w:val="auto"/>
          <w:kern w:val="0"/>
          <w:szCs w:val="21"/>
          <w:u w:val="single"/>
        </w:rPr>
        <w:t>（注明币种，并用文字和数字表示的报价总价）</w:t>
      </w:r>
      <w:r>
        <w:rPr>
          <w:rFonts w:hint="eastAsia" w:asciiTheme="minorEastAsia" w:hAnsiTheme="minorEastAsia" w:eastAsiaTheme="minorEastAsia" w:cstheme="minorEastAsia"/>
          <w:color w:val="auto"/>
          <w:kern w:val="0"/>
          <w:szCs w:val="21"/>
        </w:rPr>
        <w:t>。</w:t>
      </w:r>
    </w:p>
    <w:p>
      <w:pPr>
        <w:numPr>
          <w:ilvl w:val="6"/>
          <w:numId w:val="40"/>
        </w:numPr>
        <w:tabs>
          <w:tab w:val="left" w:pos="840"/>
        </w:tabs>
        <w:autoSpaceDE w:val="0"/>
        <w:autoSpaceDN w:val="0"/>
        <w:adjustRightInd w:val="0"/>
        <w:ind w:left="0" w:firstLine="420" w:firstLineChars="2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将按竞争性磋商采购文件的约定履行合同责任和义务。</w:t>
      </w:r>
    </w:p>
    <w:p>
      <w:pPr>
        <w:numPr>
          <w:ilvl w:val="6"/>
          <w:numId w:val="40"/>
        </w:numPr>
        <w:tabs>
          <w:tab w:val="left" w:pos="840"/>
        </w:tabs>
        <w:autoSpaceDE w:val="0"/>
        <w:autoSpaceDN w:val="0"/>
        <w:adjustRightInd w:val="0"/>
        <w:ind w:left="0" w:firstLine="420" w:firstLineChars="2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已详细审查全部竞争性磋商采购文件，包括</w:t>
      </w:r>
      <w:r>
        <w:rPr>
          <w:rFonts w:hint="eastAsia" w:asciiTheme="minorEastAsia" w:hAnsiTheme="minorEastAsia" w:eastAsiaTheme="minorEastAsia" w:cstheme="minorEastAsia"/>
          <w:color w:val="auto"/>
          <w:kern w:val="0"/>
          <w:szCs w:val="21"/>
          <w:u w:val="single"/>
        </w:rPr>
        <w:t>（补充文件等）</w:t>
      </w:r>
      <w:r>
        <w:rPr>
          <w:rFonts w:hint="eastAsia" w:asciiTheme="minorEastAsia" w:hAnsiTheme="minorEastAsia" w:eastAsiaTheme="minorEastAsia" w:cstheme="minorEastAsia"/>
          <w:color w:val="auto"/>
          <w:kern w:val="0"/>
          <w:szCs w:val="21"/>
        </w:rPr>
        <w:t>，对此无异议。</w:t>
      </w:r>
    </w:p>
    <w:p>
      <w:pPr>
        <w:numPr>
          <w:ilvl w:val="6"/>
          <w:numId w:val="40"/>
        </w:numPr>
        <w:tabs>
          <w:tab w:val="left" w:pos="840"/>
        </w:tabs>
        <w:autoSpaceDE w:val="0"/>
        <w:autoSpaceDN w:val="0"/>
        <w:adjustRightInd w:val="0"/>
        <w:ind w:left="0" w:firstLine="420" w:firstLineChars="2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本竞争性磋商响应文件的有效期自磋商截止时间起共</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日历天。</w:t>
      </w:r>
    </w:p>
    <w:p>
      <w:pPr>
        <w:numPr>
          <w:ilvl w:val="6"/>
          <w:numId w:val="40"/>
        </w:numPr>
        <w:tabs>
          <w:tab w:val="left" w:pos="840"/>
        </w:tabs>
        <w:autoSpaceDE w:val="0"/>
        <w:autoSpaceDN w:val="0"/>
        <w:adjustRightInd w:val="0"/>
        <w:ind w:left="0" w:firstLine="420" w:firstLineChars="2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接收竞争性磋商采购文件中关于没收保证金的约定。</w:t>
      </w:r>
    </w:p>
    <w:p>
      <w:pPr>
        <w:numPr>
          <w:ilvl w:val="6"/>
          <w:numId w:val="40"/>
        </w:numPr>
        <w:tabs>
          <w:tab w:val="left" w:pos="840"/>
        </w:tabs>
        <w:autoSpaceDE w:val="0"/>
        <w:autoSpaceDN w:val="0"/>
        <w:adjustRightInd w:val="0"/>
        <w:ind w:left="0" w:firstLine="420" w:firstLineChars="2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同意提供按照贵方可能要求的与其报价有关的一切数据或资料。</w:t>
      </w:r>
    </w:p>
    <w:p>
      <w:pPr>
        <w:numPr>
          <w:ilvl w:val="6"/>
          <w:numId w:val="40"/>
        </w:numPr>
        <w:tabs>
          <w:tab w:val="left" w:pos="840"/>
        </w:tabs>
        <w:autoSpaceDE w:val="0"/>
        <w:autoSpaceDN w:val="0"/>
        <w:adjustRightInd w:val="0"/>
        <w:ind w:left="0" w:firstLine="420" w:firstLineChars="2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与本报价有关的一切正式往来信函请寄：</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w:t>
      </w:r>
      <w:r>
        <w:rPr>
          <w:rFonts w:hint="eastAsia" w:asciiTheme="minorEastAsia" w:hAnsiTheme="minorEastAsia" w:eastAsiaTheme="minorEastAsia" w:cstheme="minorEastAsia"/>
          <w:color w:val="auto"/>
          <w:kern w:val="0"/>
          <w:szCs w:val="21"/>
        </w:rPr>
        <w:br w:type="textWrapping"/>
      </w:r>
      <w:r>
        <w:rPr>
          <w:rFonts w:hint="eastAsia" w:asciiTheme="minorEastAsia" w:hAnsiTheme="minorEastAsia" w:eastAsiaTheme="minorEastAsia" w:cstheme="minorEastAsia"/>
          <w:color w:val="auto"/>
          <w:kern w:val="0"/>
          <w:szCs w:val="21"/>
        </w:rPr>
        <w:t xml:space="preserve">    8.  我公司若有幸成为本项目的成交供应商，则我公司承诺按照采购文件及成交结果公告规定的方式、时间和金额向采购代理机构交纳成交服务费。</w:t>
      </w:r>
    </w:p>
    <w:p>
      <w:pPr>
        <w:autoSpaceDE w:val="0"/>
        <w:autoSpaceDN w:val="0"/>
        <w:adjustRightInd w:val="0"/>
        <w:ind w:firstLine="420" w:firstLineChars="200"/>
        <w:jc w:val="left"/>
        <w:rPr>
          <w:rFonts w:asciiTheme="minorEastAsia" w:hAnsiTheme="minorEastAsia" w:eastAsiaTheme="minorEastAsia" w:cstheme="minorEastAsia"/>
          <w:color w:val="auto"/>
          <w:kern w:val="0"/>
          <w:szCs w:val="21"/>
        </w:rPr>
      </w:pPr>
    </w:p>
    <w:p>
      <w:pPr>
        <w:autoSpaceDE w:val="0"/>
        <w:autoSpaceDN w:val="0"/>
        <w:adjustRightInd w:val="0"/>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供    应    商：（盖章）</w:t>
      </w:r>
    </w:p>
    <w:p>
      <w:pPr>
        <w:autoSpaceDE w:val="0"/>
        <w:autoSpaceDN w:val="0"/>
        <w:adjustRightInd w:val="0"/>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法定代表人（签字或盖章）：</w:t>
      </w:r>
    </w:p>
    <w:p>
      <w:pPr>
        <w:autoSpaceDE w:val="0"/>
        <w:autoSpaceDN w:val="0"/>
        <w:adjustRightInd w:val="0"/>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通  讯  地  址：</w:t>
      </w:r>
    </w:p>
    <w:p>
      <w:pPr>
        <w:autoSpaceDE w:val="0"/>
        <w:autoSpaceDN w:val="0"/>
        <w:adjustRightInd w:val="0"/>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传        　真：</w:t>
      </w:r>
    </w:p>
    <w:p>
      <w:pPr>
        <w:autoSpaceDE w:val="0"/>
        <w:autoSpaceDN w:val="0"/>
        <w:adjustRightInd w:val="0"/>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电          话：</w:t>
      </w:r>
    </w:p>
    <w:p>
      <w:pPr>
        <w:autoSpaceDE w:val="0"/>
        <w:autoSpaceDN w:val="0"/>
        <w:adjustRightInd w:val="0"/>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电  子  函  件：</w:t>
      </w:r>
    </w:p>
    <w:p>
      <w:pPr>
        <w:autoSpaceDE w:val="0"/>
        <w:autoSpaceDN w:val="0"/>
        <w:adjustRightInd w:val="0"/>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授权代表（签字）：</w:t>
      </w:r>
    </w:p>
    <w:p>
      <w:pPr>
        <w:autoSpaceDE w:val="0"/>
        <w:autoSpaceDN w:val="0"/>
        <w:adjustRightInd w:val="0"/>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日         期：</w:t>
      </w:r>
    </w:p>
    <w:p>
      <w:pPr>
        <w:tabs>
          <w:tab w:val="left" w:pos="540"/>
        </w:tabs>
        <w:autoSpaceDE w:val="0"/>
        <w:autoSpaceDN w:val="0"/>
        <w:adjustRightInd w:val="0"/>
        <w:jc w:val="center"/>
        <w:outlineLvl w:val="1"/>
        <w:rPr>
          <w:rFonts w:asciiTheme="minorEastAsia" w:hAnsiTheme="minorEastAsia" w:eastAsiaTheme="minorEastAsia" w:cstheme="minorEastAsia"/>
          <w:b/>
          <w:color w:val="auto"/>
        </w:rPr>
      </w:pPr>
      <w:bookmarkStart w:id="128" w:name="_Toc13969"/>
      <w:bookmarkStart w:id="129" w:name="_Toc24205"/>
      <w:bookmarkStart w:id="130" w:name="_Toc31434"/>
      <w:bookmarkStart w:id="131" w:name="_Toc479184126"/>
      <w:r>
        <w:rPr>
          <w:rFonts w:hint="eastAsia" w:asciiTheme="minorEastAsia" w:hAnsiTheme="minorEastAsia" w:eastAsiaTheme="minorEastAsia" w:cstheme="minorEastAsia"/>
          <w:b/>
          <w:color w:val="auto"/>
        </w:rPr>
        <w:br w:type="textWrapping"/>
      </w:r>
      <w:r>
        <w:rPr>
          <w:rFonts w:hint="eastAsia" w:asciiTheme="minorEastAsia" w:hAnsiTheme="minorEastAsia" w:eastAsiaTheme="minorEastAsia" w:cstheme="minorEastAsia"/>
          <w:b/>
          <w:color w:val="auto"/>
        </w:rPr>
        <w:t>三、法定代表人授权书</w:t>
      </w:r>
      <w:bookmarkEnd w:id="128"/>
      <w:bookmarkEnd w:id="129"/>
      <w:bookmarkEnd w:id="130"/>
      <w:bookmarkEnd w:id="131"/>
    </w:p>
    <w:p>
      <w:pPr>
        <w:rPr>
          <w:rFonts w:asciiTheme="minorEastAsia" w:hAnsiTheme="minorEastAsia" w:eastAsiaTheme="minorEastAsia" w:cstheme="minorEastAsia"/>
          <w:color w:val="auto"/>
          <w:kern w:val="0"/>
          <w:szCs w:val="21"/>
        </w:rPr>
      </w:pPr>
    </w:p>
    <w:p>
      <w:pPr>
        <w:rPr>
          <w:rFonts w:asciiTheme="minorEastAsia" w:hAnsiTheme="minorEastAsia" w:eastAsiaTheme="minorEastAsia" w:cstheme="minorEastAsia"/>
          <w:color w:val="auto"/>
          <w:kern w:val="0"/>
          <w:szCs w:val="21"/>
        </w:rPr>
      </w:pPr>
    </w:p>
    <w:p>
      <w:pPr>
        <w:autoSpaceDE w:val="0"/>
        <w:autoSpaceDN w:val="0"/>
        <w:adjustRightInd w:val="0"/>
        <w:spacing w:line="360" w:lineRule="auto"/>
        <w:ind w:firstLine="697"/>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兹授权</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同志为我公司参加贵单位组织的</w:t>
      </w:r>
      <w:r>
        <w:rPr>
          <w:rFonts w:hint="eastAsia" w:asciiTheme="minorEastAsia" w:hAnsiTheme="minorEastAsia" w:eastAsiaTheme="minorEastAsia" w:cstheme="minorEastAsia"/>
          <w:color w:val="auto"/>
          <w:kern w:val="0"/>
          <w:szCs w:val="21"/>
          <w:u w:val="single"/>
        </w:rPr>
        <w:t>（项目名称）</w:t>
      </w:r>
      <w:r>
        <w:rPr>
          <w:rFonts w:hint="eastAsia" w:asciiTheme="minorEastAsia" w:hAnsiTheme="minorEastAsia" w:eastAsiaTheme="minorEastAsia" w:cstheme="minorEastAsia"/>
          <w:color w:val="auto"/>
          <w:kern w:val="0"/>
          <w:szCs w:val="21"/>
        </w:rPr>
        <w:t>采购活动的供应商代表人（磋商代表），全权代表我公司处理在该项目采购活动中的一切事宜。代理期限从</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年 </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月</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日起至</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年 </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月</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日止。</w:t>
      </w:r>
    </w:p>
    <w:p>
      <w:pPr>
        <w:autoSpaceDE w:val="0"/>
        <w:autoSpaceDN w:val="0"/>
        <w:adjustRightInd w:val="0"/>
        <w:spacing w:line="360" w:lineRule="auto"/>
        <w:ind w:firstLine="697"/>
        <w:jc w:val="left"/>
        <w:rPr>
          <w:rFonts w:asciiTheme="minorEastAsia" w:hAnsiTheme="minorEastAsia" w:eastAsiaTheme="minorEastAsia" w:cstheme="minorEastAsia"/>
          <w:color w:val="auto"/>
          <w:kern w:val="0"/>
          <w:szCs w:val="21"/>
        </w:rPr>
      </w:pPr>
    </w:p>
    <w:p>
      <w:pPr>
        <w:autoSpaceDE w:val="0"/>
        <w:autoSpaceDN w:val="0"/>
        <w:adjustRightInd w:val="0"/>
        <w:spacing w:line="360" w:lineRule="auto"/>
        <w:ind w:firstLine="697"/>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授权单位（盖章）：</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 </w:t>
      </w:r>
    </w:p>
    <w:p>
      <w:pPr>
        <w:autoSpaceDE w:val="0"/>
        <w:autoSpaceDN w:val="0"/>
        <w:adjustRightInd w:val="0"/>
        <w:spacing w:line="360" w:lineRule="auto"/>
        <w:ind w:firstLine="697"/>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法定代表人（签字或盖章）：</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 </w:t>
      </w:r>
    </w:p>
    <w:p>
      <w:pPr>
        <w:autoSpaceDE w:val="0"/>
        <w:autoSpaceDN w:val="0"/>
        <w:adjustRightInd w:val="0"/>
        <w:spacing w:line="360" w:lineRule="auto"/>
        <w:ind w:firstLine="697"/>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签发日期：</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年 </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月</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日         </w:t>
      </w:r>
    </w:p>
    <w:p>
      <w:pPr>
        <w:autoSpaceDE w:val="0"/>
        <w:autoSpaceDN w:val="0"/>
        <w:adjustRightInd w:val="0"/>
        <w:spacing w:line="360" w:lineRule="auto"/>
        <w:ind w:firstLine="697"/>
        <w:jc w:val="left"/>
        <w:rPr>
          <w:rFonts w:asciiTheme="minorEastAsia" w:hAnsiTheme="minorEastAsia" w:eastAsiaTheme="minorEastAsia" w:cstheme="minorEastAsia"/>
          <w:color w:val="auto"/>
          <w:kern w:val="0"/>
          <w:szCs w:val="21"/>
        </w:rPr>
      </w:pPr>
    </w:p>
    <w:p>
      <w:pPr>
        <w:autoSpaceDE w:val="0"/>
        <w:autoSpaceDN w:val="0"/>
        <w:adjustRightInd w:val="0"/>
        <w:spacing w:line="360" w:lineRule="auto"/>
        <w:ind w:firstLine="697"/>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附：</w:t>
      </w:r>
      <w:r>
        <w:rPr>
          <w:rFonts w:hint="eastAsia" w:asciiTheme="minorEastAsia" w:hAnsiTheme="minorEastAsia" w:eastAsiaTheme="minorEastAsia" w:cstheme="minorEastAsia"/>
          <w:color w:val="auto"/>
          <w:kern w:val="0"/>
          <w:szCs w:val="21"/>
          <w:u w:val="single"/>
        </w:rPr>
        <w:t xml:space="preserve">                               </w:t>
      </w:r>
    </w:p>
    <w:p>
      <w:pPr>
        <w:autoSpaceDE w:val="0"/>
        <w:autoSpaceDN w:val="0"/>
        <w:adjustRightInd w:val="0"/>
        <w:spacing w:line="360" w:lineRule="auto"/>
        <w:ind w:firstLine="697"/>
        <w:jc w:val="left"/>
        <w:rPr>
          <w:rFonts w:asciiTheme="minorEastAsia" w:hAnsiTheme="minorEastAsia" w:eastAsiaTheme="minorEastAsia" w:cstheme="minorEastAsia"/>
          <w:color w:val="auto"/>
          <w:kern w:val="0"/>
          <w:szCs w:val="21"/>
          <w:u w:val="single"/>
        </w:rPr>
      </w:pPr>
      <w:r>
        <w:rPr>
          <w:rFonts w:hint="eastAsia" w:asciiTheme="minorEastAsia" w:hAnsiTheme="minorEastAsia" w:eastAsiaTheme="minorEastAsia" w:cstheme="minorEastAsia"/>
          <w:color w:val="auto"/>
          <w:kern w:val="0"/>
          <w:szCs w:val="21"/>
        </w:rPr>
        <w:t>授权代表职务：</w:t>
      </w:r>
      <w:r>
        <w:rPr>
          <w:rFonts w:hint="eastAsia" w:asciiTheme="minorEastAsia" w:hAnsiTheme="minorEastAsia" w:eastAsiaTheme="minorEastAsia" w:cstheme="minorEastAsia"/>
          <w:color w:val="auto"/>
          <w:kern w:val="0"/>
          <w:szCs w:val="21"/>
          <w:u w:val="single"/>
        </w:rPr>
        <w:t xml:space="preserve">                            </w:t>
      </w:r>
    </w:p>
    <w:p>
      <w:pPr>
        <w:autoSpaceDE w:val="0"/>
        <w:autoSpaceDN w:val="0"/>
        <w:adjustRightInd w:val="0"/>
        <w:spacing w:line="360" w:lineRule="auto"/>
        <w:ind w:firstLine="697"/>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性别：</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  </w:t>
      </w:r>
    </w:p>
    <w:p>
      <w:pPr>
        <w:autoSpaceDE w:val="0"/>
        <w:autoSpaceDN w:val="0"/>
        <w:adjustRightInd w:val="0"/>
        <w:spacing w:line="360" w:lineRule="auto"/>
        <w:ind w:firstLine="697"/>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授权代表身份证号码：</w:t>
      </w:r>
      <w:r>
        <w:rPr>
          <w:rFonts w:hint="eastAsia" w:asciiTheme="minorEastAsia" w:hAnsiTheme="minorEastAsia" w:eastAsiaTheme="minorEastAsia" w:cstheme="minorEastAsia"/>
          <w:color w:val="auto"/>
          <w:kern w:val="0"/>
          <w:szCs w:val="21"/>
          <w:u w:val="single"/>
        </w:rPr>
        <w:t xml:space="preserve">                                                                                    </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4" w:hRule="atLeast"/>
          <w:jc w:val="center"/>
        </w:trPr>
        <w:tc>
          <w:tcPr>
            <w:tcW w:w="9071" w:type="dxa"/>
          </w:tcPr>
          <w:p>
            <w:pPr>
              <w:autoSpaceDE w:val="0"/>
              <w:autoSpaceDN w:val="0"/>
              <w:adjustRightInd w:val="0"/>
              <w:spacing w:line="360" w:lineRule="auto"/>
              <w:jc w:val="left"/>
              <w:rPr>
                <w:color w:val="auto"/>
              </w:rPr>
            </w:pPr>
            <w:r>
              <w:rPr>
                <w:rFonts w:hint="eastAsia"/>
                <w:color w:val="auto"/>
              </w:rPr>
              <w:t>授权代表身份证正反面（真彩扫描件）：</w:t>
            </w:r>
          </w:p>
          <w:p>
            <w:pPr>
              <w:autoSpaceDE w:val="0"/>
              <w:autoSpaceDN w:val="0"/>
              <w:adjustRightInd w:val="0"/>
              <w:spacing w:line="360" w:lineRule="auto"/>
              <w:jc w:val="left"/>
              <w:rPr>
                <w:color w:val="auto"/>
              </w:rPr>
            </w:pPr>
            <w:r>
              <w:rPr>
                <w:rFonts w:hint="eastAsia"/>
                <w:color w:val="auto"/>
              </w:rPr>
              <w:t>法定代表人身份证正反面（真彩扫描件）：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071" w:type="dxa"/>
          </w:tcPr>
          <w:p>
            <w:pPr>
              <w:autoSpaceDE w:val="0"/>
              <w:autoSpaceDN w:val="0"/>
              <w:adjustRightInd w:val="0"/>
              <w:spacing w:line="360" w:lineRule="auto"/>
              <w:jc w:val="left"/>
              <w:rPr>
                <w:color w:val="auto"/>
              </w:rPr>
            </w:pPr>
            <w:r>
              <w:rPr>
                <w:rFonts w:hint="eastAsia"/>
                <w:b/>
                <w:bCs/>
                <w:color w:val="auto"/>
              </w:rPr>
              <w:t>注：如法定代表人直接参加磋商并签署响应文件，无须提供本授权书。</w:t>
            </w:r>
          </w:p>
        </w:tc>
      </w:tr>
    </w:tbl>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color w:val="auto"/>
          <w:szCs w:val="21"/>
        </w:rPr>
      </w:pPr>
      <w:bookmarkStart w:id="132" w:name="_Toc432149008"/>
      <w:bookmarkStart w:id="133" w:name="_Toc360120184"/>
      <w:bookmarkStart w:id="134" w:name="_Toc479184127"/>
      <w:bookmarkStart w:id="135" w:name="_Toc424832832"/>
      <w:bookmarkStart w:id="136" w:name="_Toc12123"/>
      <w:bookmarkStart w:id="137" w:name="_Toc30428"/>
      <w:bookmarkStart w:id="138" w:name="_Toc30245"/>
      <w:bookmarkStart w:id="139" w:name="_Toc29904"/>
      <w:r>
        <w:rPr>
          <w:rFonts w:hint="eastAsia" w:asciiTheme="minorEastAsia" w:hAnsiTheme="minorEastAsia" w:eastAsiaTheme="minorEastAsia" w:cstheme="minorEastAsia"/>
          <w:b/>
          <w:bCs/>
          <w:color w:val="auto"/>
          <w:kern w:val="0"/>
          <w:szCs w:val="21"/>
        </w:rPr>
        <w:br w:type="textWrapping"/>
      </w:r>
      <w:r>
        <w:rPr>
          <w:rFonts w:hint="eastAsia" w:asciiTheme="minorEastAsia" w:hAnsiTheme="minorEastAsia" w:eastAsiaTheme="minorEastAsia" w:cstheme="minorEastAsia"/>
          <w:b/>
          <w:bCs/>
          <w:color w:val="auto"/>
          <w:kern w:val="0"/>
          <w:szCs w:val="21"/>
        </w:rPr>
        <w:br w:type="textWrapping"/>
      </w:r>
      <w:r>
        <w:rPr>
          <w:rFonts w:hint="eastAsia" w:asciiTheme="minorEastAsia" w:hAnsiTheme="minorEastAsia" w:eastAsiaTheme="minorEastAsia" w:cstheme="minorEastAsia"/>
          <w:b/>
          <w:bCs/>
          <w:color w:val="auto"/>
          <w:kern w:val="0"/>
          <w:szCs w:val="21"/>
        </w:rPr>
        <w:t>四、</w:t>
      </w:r>
      <w:r>
        <w:rPr>
          <w:rFonts w:hint="eastAsia" w:asciiTheme="minorEastAsia" w:hAnsiTheme="minorEastAsia" w:eastAsiaTheme="minorEastAsia" w:cstheme="minorEastAsia"/>
          <w:b/>
          <w:bCs/>
          <w:color w:val="auto"/>
          <w:szCs w:val="21"/>
        </w:rPr>
        <w:t>法定代表人身份证明书</w:t>
      </w:r>
      <w:bookmarkEnd w:id="132"/>
      <w:bookmarkEnd w:id="133"/>
      <w:bookmarkEnd w:id="134"/>
      <w:bookmarkEnd w:id="135"/>
      <w:bookmarkEnd w:id="136"/>
      <w:bookmarkEnd w:id="137"/>
      <w:bookmarkEnd w:id="138"/>
      <w:bookmarkEnd w:id="139"/>
    </w:p>
    <w:p>
      <w:pPr>
        <w:spacing w:line="360" w:lineRule="auto"/>
        <w:rPr>
          <w:rFonts w:asciiTheme="minorEastAsia" w:hAnsiTheme="minorEastAsia" w:eastAsiaTheme="minorEastAsia" w:cstheme="minorEastAsia"/>
          <w:color w:val="auto"/>
          <w:kern w:val="0"/>
          <w:szCs w:val="21"/>
        </w:rPr>
      </w:pPr>
    </w:p>
    <w:p>
      <w:pPr>
        <w:spacing w:line="360" w:lineRule="auto"/>
        <w:ind w:firstLine="630" w:firstLineChars="3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兹证明</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（姓名）</w:t>
      </w:r>
      <w:r>
        <w:rPr>
          <w:rFonts w:hint="eastAsia" w:asciiTheme="minorEastAsia" w:hAnsiTheme="minorEastAsia" w:eastAsiaTheme="minorEastAsia" w:cstheme="minorEastAsia"/>
          <w:color w:val="auto"/>
          <w:szCs w:val="21"/>
        </w:rPr>
        <w:t>在我单位任</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职务</w:t>
      </w:r>
      <w:r>
        <w:rPr>
          <w:rFonts w:hint="eastAsia" w:asciiTheme="minorEastAsia" w:hAnsiTheme="minorEastAsia" w:eastAsiaTheme="minorEastAsia" w:cstheme="minorEastAsia"/>
          <w:color w:val="auto"/>
          <w:kern w:val="0"/>
          <w:szCs w:val="21"/>
        </w:rPr>
        <w:t>，系</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（供应商）的法定代表人。</w:t>
      </w:r>
    </w:p>
    <w:p>
      <w:pPr>
        <w:spacing w:line="360" w:lineRule="auto"/>
        <w:ind w:firstLine="630" w:firstLineChars="300"/>
        <w:rPr>
          <w:rFonts w:asciiTheme="minorEastAsia" w:hAnsiTheme="minorEastAsia" w:eastAsiaTheme="minorEastAsia" w:cstheme="minorEastAsia"/>
          <w:color w:val="auto"/>
          <w:kern w:val="0"/>
          <w:szCs w:val="21"/>
        </w:rPr>
      </w:pPr>
    </w:p>
    <w:p>
      <w:pPr>
        <w:spacing w:line="360" w:lineRule="auto"/>
        <w:ind w:firstLine="630" w:firstLineChars="3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供应商（盖章）：</w:t>
      </w:r>
      <w:r>
        <w:rPr>
          <w:rFonts w:hint="eastAsia" w:asciiTheme="minorEastAsia" w:hAnsiTheme="minorEastAsia" w:eastAsiaTheme="minorEastAsia" w:cstheme="minorEastAsia"/>
          <w:color w:val="auto"/>
          <w:kern w:val="0"/>
          <w:szCs w:val="21"/>
          <w:u w:val="single"/>
        </w:rPr>
        <w:t xml:space="preserve">                             </w:t>
      </w:r>
    </w:p>
    <w:p>
      <w:pPr>
        <w:spacing w:line="360" w:lineRule="auto"/>
        <w:ind w:firstLine="630" w:firstLineChars="3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法定代表人（签字或盖章）：</w:t>
      </w:r>
      <w:r>
        <w:rPr>
          <w:rFonts w:hint="eastAsia" w:asciiTheme="minorEastAsia" w:hAnsiTheme="minorEastAsia" w:eastAsiaTheme="minorEastAsia" w:cstheme="minorEastAsia"/>
          <w:color w:val="auto"/>
          <w:kern w:val="0"/>
          <w:szCs w:val="21"/>
          <w:u w:val="single"/>
        </w:rPr>
        <w:t xml:space="preserve">                         </w:t>
      </w:r>
    </w:p>
    <w:p>
      <w:pPr>
        <w:spacing w:line="360" w:lineRule="auto"/>
        <w:ind w:firstLine="630" w:firstLineChars="3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性别：</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年龄：</w:t>
      </w:r>
      <w:r>
        <w:rPr>
          <w:rFonts w:hint="eastAsia" w:asciiTheme="minorEastAsia" w:hAnsiTheme="minorEastAsia" w:eastAsiaTheme="minorEastAsia" w:cstheme="minorEastAsia"/>
          <w:color w:val="auto"/>
          <w:kern w:val="0"/>
          <w:szCs w:val="21"/>
          <w:u w:val="single"/>
        </w:rPr>
        <w:t xml:space="preserve">        </w:t>
      </w:r>
    </w:p>
    <w:p>
      <w:pPr>
        <w:spacing w:line="360" w:lineRule="auto"/>
        <w:ind w:firstLine="630" w:firstLineChars="30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身份证号码：</w:t>
      </w:r>
      <w:r>
        <w:rPr>
          <w:rFonts w:hint="eastAsia" w:asciiTheme="minorEastAsia" w:hAnsiTheme="minorEastAsia" w:eastAsiaTheme="minorEastAsia" w:cstheme="minorEastAsia"/>
          <w:color w:val="auto"/>
          <w:kern w:val="0"/>
          <w:szCs w:val="21"/>
          <w:u w:val="single"/>
        </w:rPr>
        <w:t xml:space="preserve">                  </w:t>
      </w:r>
    </w:p>
    <w:p>
      <w:pPr>
        <w:spacing w:line="360" w:lineRule="auto"/>
        <w:ind w:firstLine="5985" w:firstLineChars="2850"/>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年</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月</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日</w:t>
      </w:r>
    </w:p>
    <w:p>
      <w:pPr>
        <w:autoSpaceDE w:val="0"/>
        <w:autoSpaceDN w:val="0"/>
        <w:adjustRightInd w:val="0"/>
        <w:spacing w:line="360" w:lineRule="auto"/>
        <w:rPr>
          <w:rFonts w:asciiTheme="minorEastAsia" w:hAnsiTheme="minorEastAsia" w:eastAsiaTheme="minorEastAsia" w:cstheme="minorEastAsia"/>
          <w:color w:val="auto"/>
          <w:kern w:val="0"/>
          <w:szCs w:val="21"/>
        </w:rPr>
      </w:pPr>
    </w:p>
    <w:p>
      <w:pPr>
        <w:autoSpaceDE w:val="0"/>
        <w:autoSpaceDN w:val="0"/>
        <w:adjustRightInd w:val="0"/>
        <w:spacing w:line="360" w:lineRule="auto"/>
        <w:rPr>
          <w:rFonts w:asciiTheme="minorEastAsia" w:hAnsiTheme="minorEastAsia" w:eastAsiaTheme="minorEastAsia" w:cstheme="minorEastAsia"/>
          <w:color w:val="auto"/>
          <w:kern w:val="0"/>
          <w:szCs w:val="21"/>
        </w:rPr>
      </w:pPr>
    </w:p>
    <w:p>
      <w:pPr>
        <w:autoSpaceDE w:val="0"/>
        <w:autoSpaceDN w:val="0"/>
        <w:adjustRightInd w:val="0"/>
        <w:spacing w:line="360" w:lineRule="auto"/>
        <w:rPr>
          <w:rFonts w:asciiTheme="minorEastAsia" w:hAnsiTheme="minorEastAsia" w:eastAsiaTheme="minorEastAsia" w:cstheme="minorEastAsia"/>
          <w:color w:val="auto"/>
          <w:kern w:val="0"/>
          <w:szCs w:val="21"/>
        </w:rPr>
      </w:pP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9071" w:type="dxa"/>
          </w:tcPr>
          <w:p>
            <w:pPr>
              <w:spacing w:line="360" w:lineRule="auto"/>
              <w:rPr>
                <w:rFonts w:asciiTheme="minorEastAsia" w:hAnsiTheme="minorEastAsia" w:eastAsiaTheme="minorEastAsia" w:cstheme="minorEastAsia"/>
                <w:color w:val="auto"/>
                <w:kern w:val="0"/>
                <w:szCs w:val="21"/>
              </w:rPr>
            </w:pPr>
          </w:p>
          <w:p>
            <w:pPr>
              <w:spacing w:line="360" w:lineRule="auto"/>
              <w:rPr>
                <w:rFonts w:asciiTheme="minorEastAsia" w:hAnsiTheme="minorEastAsia" w:eastAsiaTheme="minorEastAsia" w:cstheme="minorEastAsia"/>
                <w:color w:val="auto"/>
                <w:kern w:val="0"/>
                <w:szCs w:val="21"/>
              </w:rPr>
            </w:pPr>
            <w:r>
              <w:rPr>
                <w:rFonts w:hint="eastAsia"/>
                <w:color w:val="auto"/>
              </w:rPr>
              <w:t>法定代表人身份证正反面（真彩扫描件）：</w:t>
            </w:r>
          </w:p>
        </w:tc>
      </w:tr>
    </w:tbl>
    <w:p>
      <w:pPr>
        <w:spacing w:line="360" w:lineRule="auto"/>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注：本表适用于供应商不授权代理人，而由法定代表人直接参加磋商并签署响应文件的情况；</w:t>
      </w:r>
    </w:p>
    <w:p>
      <w:pPr>
        <w:rPr>
          <w:rFonts w:asciiTheme="minorEastAsia" w:hAnsiTheme="minorEastAsia" w:eastAsiaTheme="minorEastAsia" w:cstheme="minorEastAsia"/>
          <w:b/>
          <w:color w:val="auto"/>
          <w:kern w:val="0"/>
          <w:szCs w:val="21"/>
        </w:rPr>
      </w:pPr>
    </w:p>
    <w:p>
      <w:pPr>
        <w:spacing w:line="360" w:lineRule="auto"/>
        <w:rPr>
          <w:rFonts w:asciiTheme="minorEastAsia" w:hAnsiTheme="minorEastAsia" w:eastAsiaTheme="minorEastAsia" w:cstheme="minorEastAsia"/>
          <w:color w:val="auto"/>
          <w:szCs w:val="21"/>
        </w:rPr>
      </w:pPr>
    </w:p>
    <w:p>
      <w:pPr>
        <w:spacing w:line="360" w:lineRule="auto"/>
        <w:rPr>
          <w:rFonts w:asciiTheme="minorEastAsia" w:hAnsiTheme="minorEastAsia" w:eastAsiaTheme="minorEastAsia" w:cstheme="minorEastAsia"/>
          <w:bCs/>
          <w:color w:val="auto"/>
          <w:szCs w:val="21"/>
        </w:rPr>
      </w:pPr>
    </w:p>
    <w:p>
      <w:pPr>
        <w:tabs>
          <w:tab w:val="left" w:pos="3969"/>
        </w:tabs>
        <w:spacing w:line="500" w:lineRule="exact"/>
        <w:rPr>
          <w:rFonts w:asciiTheme="minorEastAsia" w:hAnsiTheme="minorEastAsia" w:eastAsiaTheme="minorEastAsia" w:cstheme="minorEastAsia"/>
          <w:color w:val="auto"/>
          <w:szCs w:val="21"/>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color w:val="auto"/>
          <w:szCs w:val="21"/>
        </w:rPr>
      </w:pPr>
      <w:bookmarkStart w:id="140" w:name="_Toc432149006"/>
      <w:bookmarkStart w:id="141" w:name="_Toc422466732"/>
      <w:r>
        <w:rPr>
          <w:rFonts w:hint="eastAsia" w:asciiTheme="minorEastAsia" w:hAnsiTheme="minorEastAsia" w:eastAsiaTheme="minorEastAsia" w:cstheme="minorEastAsia"/>
          <w:b/>
          <w:bCs/>
          <w:color w:val="auto"/>
          <w:sz w:val="24"/>
        </w:rPr>
        <w:br w:type="page"/>
      </w:r>
      <w:bookmarkStart w:id="142" w:name="_Toc4301"/>
      <w:bookmarkStart w:id="143" w:name="_Toc4741"/>
      <w:bookmarkStart w:id="144" w:name="_Toc17074"/>
      <w:bookmarkStart w:id="145" w:name="_Toc479184128"/>
      <w:r>
        <w:rPr>
          <w:rFonts w:hint="eastAsia" w:asciiTheme="minorEastAsia" w:hAnsiTheme="minorEastAsia" w:eastAsiaTheme="minorEastAsia" w:cstheme="minorEastAsia"/>
          <w:b/>
          <w:bCs/>
          <w:color w:val="auto"/>
          <w:szCs w:val="21"/>
        </w:rPr>
        <w:t>五、报价一览表</w:t>
      </w:r>
      <w:bookmarkEnd w:id="140"/>
      <w:bookmarkEnd w:id="141"/>
      <w:bookmarkEnd w:id="142"/>
      <w:bookmarkEnd w:id="143"/>
      <w:bookmarkEnd w:id="144"/>
      <w:bookmarkEnd w:id="145"/>
    </w:p>
    <w:p>
      <w:pPr>
        <w:adjustRightInd w:val="0"/>
        <w:snapToGrid w:val="0"/>
        <w:ind w:left="-88" w:leftChars="-42"/>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rPr>
        <w:t xml:space="preserve">            </w:t>
      </w:r>
    </w:p>
    <w:p>
      <w:pPr>
        <w:adjustRightInd w:val="0"/>
        <w:snapToGrid w:val="0"/>
        <w:spacing w:line="360" w:lineRule="auto"/>
        <w:rPr>
          <w:rFonts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项目名称：</w:t>
      </w:r>
      <w:r>
        <w:rPr>
          <w:rFonts w:hint="eastAsia" w:asciiTheme="minorEastAsia" w:hAnsiTheme="minorEastAsia" w:eastAsiaTheme="minorEastAsia" w:cstheme="minorEastAsia"/>
          <w:color w:val="auto"/>
          <w:szCs w:val="21"/>
          <w:u w:val="single"/>
        </w:rPr>
        <w:t xml:space="preserve">                         </w:t>
      </w:r>
    </w:p>
    <w:p>
      <w:pPr>
        <w:adjustRightInd w:val="0"/>
        <w:snapToGrid w:val="0"/>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tbl>
      <w:tblPr>
        <w:tblStyle w:val="26"/>
        <w:tblW w:w="85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8"/>
        <w:gridCol w:w="6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供应商名称</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auto"/>
                <w:szCs w:val="21"/>
              </w:rPr>
            </w:pPr>
            <w:r>
              <w:rPr>
                <w:rFonts w:hint="eastAsia" w:ascii="宋体" w:hAnsi="宋体"/>
                <w:color w:val="auto"/>
                <w:szCs w:val="21"/>
              </w:rPr>
              <w:t>供应商地址</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竞标报价</w:t>
            </w:r>
          </w:p>
        </w:tc>
        <w:tc>
          <w:tcPr>
            <w:tcW w:w="6166"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u w:val="single"/>
              </w:rPr>
              <w:t xml:space="preserve">大写：      </w:t>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u w:val="single"/>
              </w:rPr>
              <w:t xml:space="preserve">小写：      </w:t>
            </w:r>
            <w:r>
              <w:rPr>
                <w:rFonts w:hint="eastAsia" w:asciiTheme="minorEastAsia" w:hAnsiTheme="minorEastAsia" w:eastAsiaTheme="minorEastAsia" w:cstheme="minorEastAsia"/>
                <w:color w:val="auto"/>
                <w:szCs w:val="21"/>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服务期</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优惠声明</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auto"/>
                <w:szCs w:val="21"/>
              </w:rPr>
            </w:pPr>
            <w:r>
              <w:rPr>
                <w:rFonts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rPr>
              <w:t xml:space="preserve">有；      </w:t>
            </w:r>
            <w:r>
              <w:rPr>
                <w:rFonts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备注</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如有优惠声明，</w:t>
            </w:r>
            <w:r>
              <w:rPr>
                <w:rFonts w:asciiTheme="minorEastAsia" w:hAnsiTheme="minorEastAsia" w:eastAsiaTheme="minorEastAsia" w:cstheme="minorEastAsia"/>
                <w:color w:val="auto"/>
                <w:szCs w:val="21"/>
              </w:rPr>
              <w:t>优惠声明</w:t>
            </w:r>
            <w:r>
              <w:rPr>
                <w:rFonts w:hint="eastAsia" w:asciiTheme="minorEastAsia" w:hAnsiTheme="minorEastAsia" w:eastAsiaTheme="minorEastAsia" w:cstheme="minorEastAsia"/>
                <w:color w:val="auto"/>
                <w:szCs w:val="21"/>
              </w:rPr>
              <w:t>后的价格必须与竞标报价一致。</w:t>
            </w:r>
          </w:p>
        </w:tc>
      </w:tr>
    </w:tbl>
    <w:p>
      <w:pPr>
        <w:spacing w:line="360" w:lineRule="auto"/>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1"/>
        </w:rPr>
        <w:t>说明</w:t>
      </w:r>
      <w:r>
        <w:rPr>
          <w:rFonts w:hint="eastAsia" w:asciiTheme="minorEastAsia" w:hAnsiTheme="minorEastAsia" w:eastAsiaTheme="minorEastAsia" w:cstheme="minorEastAsia"/>
          <w:bCs/>
          <w:color w:val="auto"/>
          <w:szCs w:val="21"/>
        </w:rPr>
        <w:t>：</w:t>
      </w:r>
      <w:r>
        <w:rPr>
          <w:rFonts w:hint="eastAsia" w:asciiTheme="minorEastAsia" w:hAnsiTheme="minorEastAsia" w:eastAsiaTheme="minorEastAsia" w:cstheme="minorEastAsia"/>
          <w:color w:val="auto"/>
          <w:szCs w:val="21"/>
        </w:rPr>
        <w:t>（1）</w:t>
      </w:r>
      <w:r>
        <w:rPr>
          <w:rFonts w:hint="eastAsia" w:asciiTheme="minorEastAsia" w:hAnsiTheme="minorEastAsia" w:eastAsiaTheme="minorEastAsia" w:cstheme="minorEastAsia"/>
          <w:color w:val="auto"/>
        </w:rPr>
        <w:t>人民币报价,且须精确到小数点后两位。</w:t>
      </w:r>
    </w:p>
    <w:p>
      <w:pPr>
        <w:spacing w:line="360" w:lineRule="auto"/>
        <w:ind w:firstLine="525" w:firstLineChars="25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（2）价格应按照“供应商须知” 的要求报价。</w:t>
      </w:r>
    </w:p>
    <w:p>
      <w:pPr>
        <w:spacing w:line="360" w:lineRule="auto"/>
        <w:rPr>
          <w:rFonts w:asciiTheme="minorEastAsia" w:hAnsiTheme="minorEastAsia" w:eastAsiaTheme="minorEastAsia" w:cstheme="minorEastAsia"/>
          <w:color w:val="auto"/>
          <w:szCs w:val="21"/>
        </w:rPr>
      </w:pPr>
    </w:p>
    <w:p>
      <w:pPr>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磋商供应商法定代表人（签字）：</w:t>
      </w:r>
    </w:p>
    <w:p>
      <w:pPr>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磋商供应商授权代表（签字）：</w:t>
      </w:r>
      <w:r>
        <w:rPr>
          <w:rFonts w:hint="eastAsia" w:asciiTheme="minorEastAsia" w:hAnsiTheme="minorEastAsia" w:eastAsiaTheme="minorEastAsia" w:cstheme="minorEastAsia"/>
          <w:color w:val="auto"/>
          <w:szCs w:val="21"/>
          <w:u w:val="single"/>
        </w:rPr>
        <w:t xml:space="preserve">                        </w:t>
      </w:r>
    </w:p>
    <w:p>
      <w:pPr>
        <w:spacing w:line="360" w:lineRule="auto"/>
        <w:rPr>
          <w:rFonts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磋商供应商名称（盖章）：</w:t>
      </w:r>
      <w:r>
        <w:rPr>
          <w:rFonts w:hint="eastAsia" w:asciiTheme="minorEastAsia" w:hAnsiTheme="minorEastAsia" w:eastAsiaTheme="minorEastAsia" w:cstheme="minorEastAsia"/>
          <w:color w:val="auto"/>
          <w:szCs w:val="21"/>
          <w:u w:val="single"/>
        </w:rPr>
        <w:t xml:space="preserve">                                     </w:t>
      </w:r>
    </w:p>
    <w:p>
      <w:pPr>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时                 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color w:val="auto"/>
          <w:szCs w:val="21"/>
          <w:u w:val="single"/>
        </w:rPr>
      </w:pPr>
      <w:bookmarkStart w:id="146" w:name="_Toc460258117"/>
      <w:bookmarkStart w:id="147" w:name="_Toc259028723"/>
      <w:bookmarkStart w:id="148" w:name="_Toc424832831"/>
      <w:bookmarkStart w:id="149" w:name="_Toc432149007"/>
      <w:r>
        <w:rPr>
          <w:rFonts w:hint="eastAsia" w:asciiTheme="minorEastAsia" w:hAnsiTheme="minorEastAsia" w:eastAsiaTheme="minorEastAsia" w:cstheme="minorEastAsia"/>
          <w:b/>
          <w:bCs/>
          <w:color w:val="auto"/>
          <w:sz w:val="24"/>
        </w:rPr>
        <w:br w:type="page"/>
      </w:r>
      <w:bookmarkStart w:id="150" w:name="_Toc18559"/>
      <w:bookmarkStart w:id="151" w:name="_Toc1079"/>
      <w:bookmarkStart w:id="152" w:name="_Toc479184129"/>
      <w:bookmarkStart w:id="153" w:name="_Toc20867"/>
      <w:r>
        <w:rPr>
          <w:rFonts w:hint="eastAsia" w:asciiTheme="minorEastAsia" w:hAnsiTheme="minorEastAsia" w:eastAsiaTheme="minorEastAsia" w:cstheme="minorEastAsia"/>
          <w:b/>
          <w:bCs/>
          <w:color w:val="auto"/>
          <w:szCs w:val="21"/>
        </w:rPr>
        <w:t>六、</w:t>
      </w:r>
      <w:bookmarkEnd w:id="146"/>
      <w:bookmarkEnd w:id="147"/>
      <w:bookmarkEnd w:id="150"/>
      <w:bookmarkEnd w:id="151"/>
      <w:bookmarkEnd w:id="152"/>
      <w:r>
        <w:rPr>
          <w:rFonts w:hint="eastAsia" w:asciiTheme="minorEastAsia" w:hAnsiTheme="minorEastAsia" w:eastAsiaTheme="minorEastAsia" w:cstheme="minorEastAsia"/>
          <w:b/>
          <w:bCs/>
          <w:color w:val="auto"/>
          <w:szCs w:val="21"/>
        </w:rPr>
        <w:t>报价费用构成表</w:t>
      </w:r>
      <w:bookmarkEnd w:id="153"/>
      <w:r>
        <w:rPr>
          <w:rFonts w:hint="eastAsia" w:asciiTheme="minorEastAsia" w:hAnsiTheme="minorEastAsia" w:eastAsiaTheme="minorEastAsia" w:cstheme="minorEastAsia"/>
          <w:color w:val="auto"/>
          <w:szCs w:val="21"/>
          <w:u w:val="single"/>
        </w:rPr>
        <w:t xml:space="preserve">        </w:t>
      </w:r>
    </w:p>
    <w:p>
      <w:pPr>
        <w:adjustRightInd w:val="0"/>
        <w:snapToGrid w:val="0"/>
        <w:spacing w:line="360" w:lineRule="auto"/>
        <w:rPr>
          <w:rFonts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项目名称：</w:t>
      </w:r>
      <w:r>
        <w:rPr>
          <w:rFonts w:hint="eastAsia" w:asciiTheme="minorEastAsia" w:hAnsiTheme="minorEastAsia" w:eastAsiaTheme="minorEastAsia" w:cstheme="minorEastAsia"/>
          <w:color w:val="auto"/>
          <w:szCs w:val="21"/>
          <w:u w:val="single"/>
        </w:rPr>
        <w:t xml:space="preserve">                         </w:t>
      </w:r>
    </w:p>
    <w:p>
      <w:pPr>
        <w:adjustRightInd w:val="0"/>
        <w:snapToGrid w:val="0"/>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r>
        <w:rPr>
          <w:rFonts w:hint="eastAsia" w:asciiTheme="minorEastAsia" w:hAnsiTheme="minorEastAsia" w:eastAsiaTheme="minorEastAsia" w:cstheme="minorEastAsia"/>
          <w:color w:val="auto"/>
          <w:szCs w:val="21"/>
          <w:u w:val="single"/>
        </w:rPr>
        <w:t xml:space="preserve">                         </w:t>
      </w:r>
    </w:p>
    <w:tbl>
      <w:tblPr>
        <w:tblStyle w:val="2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3630"/>
        <w:gridCol w:w="936"/>
        <w:gridCol w:w="1118"/>
        <w:gridCol w:w="1248"/>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3630" w:type="dxa"/>
            <w:vAlign w:val="center"/>
          </w:tcPr>
          <w:p>
            <w:pPr>
              <w:adjustRightInd w:val="0"/>
              <w:snapToGrid w:val="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名称</w:t>
            </w:r>
          </w:p>
        </w:tc>
        <w:tc>
          <w:tcPr>
            <w:tcW w:w="936" w:type="dxa"/>
            <w:vAlign w:val="center"/>
          </w:tcPr>
          <w:p>
            <w:pPr>
              <w:adjustRightInd w:val="0"/>
              <w:snapToGrid w:val="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数量</w:t>
            </w:r>
          </w:p>
        </w:tc>
        <w:tc>
          <w:tcPr>
            <w:tcW w:w="1118" w:type="dxa"/>
            <w:vAlign w:val="center"/>
          </w:tcPr>
          <w:p>
            <w:pPr>
              <w:adjustRightInd w:val="0"/>
              <w:snapToGrid w:val="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单价</w:t>
            </w:r>
          </w:p>
        </w:tc>
        <w:tc>
          <w:tcPr>
            <w:tcW w:w="1248" w:type="dxa"/>
            <w:vAlign w:val="center"/>
          </w:tcPr>
          <w:p>
            <w:pPr>
              <w:adjustRightInd w:val="0"/>
              <w:snapToGrid w:val="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总价</w:t>
            </w:r>
          </w:p>
        </w:tc>
        <w:tc>
          <w:tcPr>
            <w:tcW w:w="1109" w:type="dxa"/>
            <w:vAlign w:val="center"/>
          </w:tcPr>
          <w:p>
            <w:pPr>
              <w:adjustRightInd w:val="0"/>
              <w:snapToGrid w:val="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3630" w:type="dxa"/>
            <w:vAlign w:val="center"/>
          </w:tcPr>
          <w:p>
            <w:pPr>
              <w:adjustRightInd w:val="0"/>
              <w:snapToGrid w:val="0"/>
              <w:jc w:val="center"/>
              <w:rPr>
                <w:rFonts w:asciiTheme="minorEastAsia" w:hAnsiTheme="minorEastAsia" w:eastAsiaTheme="minorEastAsia" w:cstheme="minorEastAsia"/>
                <w:color w:val="auto"/>
                <w:szCs w:val="21"/>
              </w:rPr>
            </w:pPr>
          </w:p>
        </w:tc>
        <w:tc>
          <w:tcPr>
            <w:tcW w:w="936" w:type="dxa"/>
            <w:vAlign w:val="center"/>
          </w:tcPr>
          <w:p>
            <w:pPr>
              <w:adjustRightInd w:val="0"/>
              <w:snapToGrid w:val="0"/>
              <w:jc w:val="center"/>
              <w:rPr>
                <w:rFonts w:asciiTheme="minorEastAsia" w:hAnsiTheme="minorEastAsia" w:eastAsiaTheme="minorEastAsia" w:cstheme="minorEastAsia"/>
                <w:color w:val="auto"/>
                <w:szCs w:val="21"/>
              </w:rPr>
            </w:pPr>
          </w:p>
        </w:tc>
        <w:tc>
          <w:tcPr>
            <w:tcW w:w="1118" w:type="dxa"/>
            <w:vAlign w:val="center"/>
          </w:tcPr>
          <w:p>
            <w:pPr>
              <w:adjustRightInd w:val="0"/>
              <w:snapToGrid w:val="0"/>
              <w:jc w:val="center"/>
              <w:rPr>
                <w:rFonts w:asciiTheme="minorEastAsia" w:hAnsiTheme="minorEastAsia" w:eastAsiaTheme="minorEastAsia" w:cstheme="minorEastAsia"/>
                <w:color w:val="auto"/>
                <w:szCs w:val="21"/>
              </w:rPr>
            </w:pPr>
          </w:p>
        </w:tc>
        <w:tc>
          <w:tcPr>
            <w:tcW w:w="1248" w:type="dxa"/>
            <w:vAlign w:val="center"/>
          </w:tcPr>
          <w:p>
            <w:pPr>
              <w:adjustRightInd w:val="0"/>
              <w:snapToGrid w:val="0"/>
              <w:jc w:val="center"/>
              <w:rPr>
                <w:rFonts w:asciiTheme="minorEastAsia" w:hAnsiTheme="minorEastAsia" w:eastAsiaTheme="minorEastAsia" w:cstheme="minorEastAsia"/>
                <w:color w:val="auto"/>
                <w:szCs w:val="21"/>
              </w:rPr>
            </w:pPr>
          </w:p>
        </w:tc>
        <w:tc>
          <w:tcPr>
            <w:tcW w:w="1109" w:type="dxa"/>
            <w:vAlign w:val="center"/>
          </w:tcPr>
          <w:p>
            <w:pPr>
              <w:adjustRightInd w:val="0"/>
              <w:snapToGrid w:val="0"/>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3630" w:type="dxa"/>
            <w:vAlign w:val="center"/>
          </w:tcPr>
          <w:p>
            <w:pPr>
              <w:adjustRightInd w:val="0"/>
              <w:snapToGrid w:val="0"/>
              <w:jc w:val="center"/>
              <w:rPr>
                <w:rFonts w:asciiTheme="minorEastAsia" w:hAnsiTheme="minorEastAsia" w:eastAsiaTheme="minorEastAsia" w:cstheme="minorEastAsia"/>
                <w:color w:val="auto"/>
                <w:szCs w:val="21"/>
              </w:rPr>
            </w:pPr>
          </w:p>
        </w:tc>
        <w:tc>
          <w:tcPr>
            <w:tcW w:w="936" w:type="dxa"/>
            <w:vAlign w:val="center"/>
          </w:tcPr>
          <w:p>
            <w:pPr>
              <w:adjustRightInd w:val="0"/>
              <w:snapToGrid w:val="0"/>
              <w:jc w:val="center"/>
              <w:rPr>
                <w:rFonts w:asciiTheme="minorEastAsia" w:hAnsiTheme="minorEastAsia" w:eastAsiaTheme="minorEastAsia" w:cstheme="minorEastAsia"/>
                <w:color w:val="auto"/>
                <w:szCs w:val="21"/>
              </w:rPr>
            </w:pPr>
          </w:p>
        </w:tc>
        <w:tc>
          <w:tcPr>
            <w:tcW w:w="1118" w:type="dxa"/>
            <w:vAlign w:val="center"/>
          </w:tcPr>
          <w:p>
            <w:pPr>
              <w:adjustRightInd w:val="0"/>
              <w:snapToGrid w:val="0"/>
              <w:jc w:val="center"/>
              <w:rPr>
                <w:rFonts w:asciiTheme="minorEastAsia" w:hAnsiTheme="minorEastAsia" w:eastAsiaTheme="minorEastAsia" w:cstheme="minorEastAsia"/>
                <w:color w:val="auto"/>
                <w:szCs w:val="21"/>
              </w:rPr>
            </w:pPr>
          </w:p>
        </w:tc>
        <w:tc>
          <w:tcPr>
            <w:tcW w:w="1248" w:type="dxa"/>
            <w:vAlign w:val="center"/>
          </w:tcPr>
          <w:p>
            <w:pPr>
              <w:adjustRightInd w:val="0"/>
              <w:snapToGrid w:val="0"/>
              <w:jc w:val="center"/>
              <w:rPr>
                <w:rFonts w:asciiTheme="minorEastAsia" w:hAnsiTheme="minorEastAsia" w:eastAsiaTheme="minorEastAsia" w:cstheme="minorEastAsia"/>
                <w:color w:val="auto"/>
                <w:szCs w:val="21"/>
              </w:rPr>
            </w:pPr>
          </w:p>
        </w:tc>
        <w:tc>
          <w:tcPr>
            <w:tcW w:w="1109" w:type="dxa"/>
            <w:vAlign w:val="center"/>
          </w:tcPr>
          <w:p>
            <w:pPr>
              <w:adjustRightInd w:val="0"/>
              <w:snapToGrid w:val="0"/>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3630" w:type="dxa"/>
            <w:vAlign w:val="center"/>
          </w:tcPr>
          <w:p>
            <w:pPr>
              <w:adjustRightInd w:val="0"/>
              <w:snapToGrid w:val="0"/>
              <w:jc w:val="center"/>
              <w:rPr>
                <w:rFonts w:asciiTheme="minorEastAsia" w:hAnsiTheme="minorEastAsia" w:eastAsiaTheme="minorEastAsia" w:cstheme="minorEastAsia"/>
                <w:color w:val="auto"/>
                <w:szCs w:val="21"/>
              </w:rPr>
            </w:pPr>
          </w:p>
        </w:tc>
        <w:tc>
          <w:tcPr>
            <w:tcW w:w="936" w:type="dxa"/>
            <w:vAlign w:val="center"/>
          </w:tcPr>
          <w:p>
            <w:pPr>
              <w:adjustRightInd w:val="0"/>
              <w:snapToGrid w:val="0"/>
              <w:jc w:val="center"/>
              <w:rPr>
                <w:rFonts w:asciiTheme="minorEastAsia" w:hAnsiTheme="minorEastAsia" w:eastAsiaTheme="minorEastAsia" w:cstheme="minorEastAsia"/>
                <w:color w:val="auto"/>
                <w:szCs w:val="21"/>
              </w:rPr>
            </w:pPr>
          </w:p>
        </w:tc>
        <w:tc>
          <w:tcPr>
            <w:tcW w:w="1118" w:type="dxa"/>
            <w:vAlign w:val="center"/>
          </w:tcPr>
          <w:p>
            <w:pPr>
              <w:adjustRightInd w:val="0"/>
              <w:snapToGrid w:val="0"/>
              <w:jc w:val="center"/>
              <w:rPr>
                <w:rFonts w:asciiTheme="minorEastAsia" w:hAnsiTheme="minorEastAsia" w:eastAsiaTheme="minorEastAsia" w:cstheme="minorEastAsia"/>
                <w:color w:val="auto"/>
                <w:szCs w:val="21"/>
              </w:rPr>
            </w:pPr>
          </w:p>
        </w:tc>
        <w:tc>
          <w:tcPr>
            <w:tcW w:w="1248" w:type="dxa"/>
            <w:vAlign w:val="center"/>
          </w:tcPr>
          <w:p>
            <w:pPr>
              <w:adjustRightInd w:val="0"/>
              <w:snapToGrid w:val="0"/>
              <w:jc w:val="center"/>
              <w:rPr>
                <w:rFonts w:asciiTheme="minorEastAsia" w:hAnsiTheme="minorEastAsia" w:eastAsiaTheme="minorEastAsia" w:cstheme="minorEastAsia"/>
                <w:color w:val="auto"/>
                <w:szCs w:val="21"/>
              </w:rPr>
            </w:pPr>
          </w:p>
        </w:tc>
        <w:tc>
          <w:tcPr>
            <w:tcW w:w="1109" w:type="dxa"/>
            <w:vAlign w:val="center"/>
          </w:tcPr>
          <w:p>
            <w:pPr>
              <w:adjustRightInd w:val="0"/>
              <w:snapToGrid w:val="0"/>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w:t>
            </w:r>
          </w:p>
        </w:tc>
        <w:tc>
          <w:tcPr>
            <w:tcW w:w="3630" w:type="dxa"/>
            <w:vAlign w:val="center"/>
          </w:tcPr>
          <w:p>
            <w:pPr>
              <w:adjustRightInd w:val="0"/>
              <w:snapToGrid w:val="0"/>
              <w:jc w:val="center"/>
              <w:rPr>
                <w:rFonts w:asciiTheme="minorEastAsia" w:hAnsiTheme="minorEastAsia" w:eastAsiaTheme="minorEastAsia" w:cstheme="minorEastAsia"/>
                <w:color w:val="auto"/>
                <w:szCs w:val="21"/>
              </w:rPr>
            </w:pPr>
          </w:p>
        </w:tc>
        <w:tc>
          <w:tcPr>
            <w:tcW w:w="936" w:type="dxa"/>
            <w:vAlign w:val="center"/>
          </w:tcPr>
          <w:p>
            <w:pPr>
              <w:adjustRightInd w:val="0"/>
              <w:snapToGrid w:val="0"/>
              <w:jc w:val="center"/>
              <w:rPr>
                <w:rFonts w:asciiTheme="minorEastAsia" w:hAnsiTheme="minorEastAsia" w:eastAsiaTheme="minorEastAsia" w:cstheme="minorEastAsia"/>
                <w:color w:val="auto"/>
                <w:szCs w:val="21"/>
              </w:rPr>
            </w:pPr>
          </w:p>
        </w:tc>
        <w:tc>
          <w:tcPr>
            <w:tcW w:w="1118" w:type="dxa"/>
            <w:vAlign w:val="center"/>
          </w:tcPr>
          <w:p>
            <w:pPr>
              <w:adjustRightInd w:val="0"/>
              <w:snapToGrid w:val="0"/>
              <w:jc w:val="center"/>
              <w:rPr>
                <w:rFonts w:asciiTheme="minorEastAsia" w:hAnsiTheme="minorEastAsia" w:eastAsiaTheme="minorEastAsia" w:cstheme="minorEastAsia"/>
                <w:color w:val="auto"/>
                <w:szCs w:val="21"/>
              </w:rPr>
            </w:pPr>
          </w:p>
        </w:tc>
        <w:tc>
          <w:tcPr>
            <w:tcW w:w="1248" w:type="dxa"/>
            <w:vAlign w:val="center"/>
          </w:tcPr>
          <w:p>
            <w:pPr>
              <w:adjustRightInd w:val="0"/>
              <w:snapToGrid w:val="0"/>
              <w:jc w:val="center"/>
              <w:rPr>
                <w:rFonts w:asciiTheme="minorEastAsia" w:hAnsiTheme="minorEastAsia" w:eastAsiaTheme="minorEastAsia" w:cstheme="minorEastAsia"/>
                <w:color w:val="auto"/>
                <w:szCs w:val="21"/>
              </w:rPr>
            </w:pPr>
          </w:p>
        </w:tc>
        <w:tc>
          <w:tcPr>
            <w:tcW w:w="1109" w:type="dxa"/>
            <w:vAlign w:val="center"/>
          </w:tcPr>
          <w:p>
            <w:pPr>
              <w:adjustRightInd w:val="0"/>
              <w:snapToGrid w:val="0"/>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c>
          <w:tcPr>
            <w:tcW w:w="3630" w:type="dxa"/>
            <w:vAlign w:val="center"/>
          </w:tcPr>
          <w:p>
            <w:pPr>
              <w:adjustRightInd w:val="0"/>
              <w:snapToGrid w:val="0"/>
              <w:jc w:val="center"/>
              <w:rPr>
                <w:rFonts w:asciiTheme="minorEastAsia" w:hAnsiTheme="minorEastAsia" w:eastAsiaTheme="minorEastAsia" w:cstheme="minorEastAsia"/>
                <w:color w:val="auto"/>
                <w:szCs w:val="21"/>
              </w:rPr>
            </w:pPr>
          </w:p>
        </w:tc>
        <w:tc>
          <w:tcPr>
            <w:tcW w:w="936" w:type="dxa"/>
            <w:vAlign w:val="center"/>
          </w:tcPr>
          <w:p>
            <w:pPr>
              <w:adjustRightInd w:val="0"/>
              <w:snapToGrid w:val="0"/>
              <w:jc w:val="center"/>
              <w:rPr>
                <w:rFonts w:asciiTheme="minorEastAsia" w:hAnsiTheme="minorEastAsia" w:eastAsiaTheme="minorEastAsia" w:cstheme="minorEastAsia"/>
                <w:color w:val="auto"/>
                <w:szCs w:val="21"/>
              </w:rPr>
            </w:pPr>
          </w:p>
        </w:tc>
        <w:tc>
          <w:tcPr>
            <w:tcW w:w="1118" w:type="dxa"/>
            <w:vAlign w:val="center"/>
          </w:tcPr>
          <w:p>
            <w:pPr>
              <w:adjustRightInd w:val="0"/>
              <w:snapToGrid w:val="0"/>
              <w:jc w:val="center"/>
              <w:rPr>
                <w:rFonts w:asciiTheme="minorEastAsia" w:hAnsiTheme="minorEastAsia" w:eastAsiaTheme="minorEastAsia" w:cstheme="minorEastAsia"/>
                <w:color w:val="auto"/>
                <w:szCs w:val="21"/>
              </w:rPr>
            </w:pPr>
          </w:p>
        </w:tc>
        <w:tc>
          <w:tcPr>
            <w:tcW w:w="1248" w:type="dxa"/>
            <w:vAlign w:val="center"/>
          </w:tcPr>
          <w:p>
            <w:pPr>
              <w:adjustRightInd w:val="0"/>
              <w:snapToGrid w:val="0"/>
              <w:jc w:val="center"/>
              <w:rPr>
                <w:rFonts w:asciiTheme="minorEastAsia" w:hAnsiTheme="minorEastAsia" w:eastAsiaTheme="minorEastAsia" w:cstheme="minorEastAsia"/>
                <w:color w:val="auto"/>
                <w:szCs w:val="21"/>
              </w:rPr>
            </w:pPr>
          </w:p>
        </w:tc>
        <w:tc>
          <w:tcPr>
            <w:tcW w:w="1109" w:type="dxa"/>
            <w:vAlign w:val="center"/>
          </w:tcPr>
          <w:p>
            <w:pPr>
              <w:adjustRightInd w:val="0"/>
              <w:snapToGrid w:val="0"/>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w:t>
            </w:r>
          </w:p>
        </w:tc>
        <w:tc>
          <w:tcPr>
            <w:tcW w:w="3630" w:type="dxa"/>
            <w:vAlign w:val="center"/>
          </w:tcPr>
          <w:p>
            <w:pPr>
              <w:adjustRightInd w:val="0"/>
              <w:snapToGrid w:val="0"/>
              <w:jc w:val="center"/>
              <w:rPr>
                <w:rFonts w:asciiTheme="minorEastAsia" w:hAnsiTheme="minorEastAsia" w:eastAsiaTheme="minorEastAsia" w:cstheme="minorEastAsia"/>
                <w:color w:val="auto"/>
                <w:szCs w:val="21"/>
              </w:rPr>
            </w:pPr>
          </w:p>
        </w:tc>
        <w:tc>
          <w:tcPr>
            <w:tcW w:w="936" w:type="dxa"/>
            <w:vAlign w:val="center"/>
          </w:tcPr>
          <w:p>
            <w:pPr>
              <w:adjustRightInd w:val="0"/>
              <w:snapToGrid w:val="0"/>
              <w:jc w:val="center"/>
              <w:rPr>
                <w:rFonts w:asciiTheme="minorEastAsia" w:hAnsiTheme="minorEastAsia" w:eastAsiaTheme="minorEastAsia" w:cstheme="minorEastAsia"/>
                <w:color w:val="auto"/>
                <w:szCs w:val="21"/>
              </w:rPr>
            </w:pPr>
          </w:p>
        </w:tc>
        <w:tc>
          <w:tcPr>
            <w:tcW w:w="1118" w:type="dxa"/>
            <w:vAlign w:val="center"/>
          </w:tcPr>
          <w:p>
            <w:pPr>
              <w:adjustRightInd w:val="0"/>
              <w:snapToGrid w:val="0"/>
              <w:jc w:val="center"/>
              <w:rPr>
                <w:rFonts w:asciiTheme="minorEastAsia" w:hAnsiTheme="minorEastAsia" w:eastAsiaTheme="minorEastAsia" w:cstheme="minorEastAsia"/>
                <w:color w:val="auto"/>
                <w:szCs w:val="21"/>
              </w:rPr>
            </w:pPr>
          </w:p>
        </w:tc>
        <w:tc>
          <w:tcPr>
            <w:tcW w:w="1248" w:type="dxa"/>
            <w:vAlign w:val="center"/>
          </w:tcPr>
          <w:p>
            <w:pPr>
              <w:adjustRightInd w:val="0"/>
              <w:snapToGrid w:val="0"/>
              <w:jc w:val="center"/>
              <w:rPr>
                <w:rFonts w:asciiTheme="minorEastAsia" w:hAnsiTheme="minorEastAsia" w:eastAsiaTheme="minorEastAsia" w:cstheme="minorEastAsia"/>
                <w:color w:val="auto"/>
                <w:szCs w:val="21"/>
              </w:rPr>
            </w:pPr>
          </w:p>
        </w:tc>
        <w:tc>
          <w:tcPr>
            <w:tcW w:w="1109" w:type="dxa"/>
            <w:vAlign w:val="center"/>
          </w:tcPr>
          <w:p>
            <w:pPr>
              <w:adjustRightInd w:val="0"/>
              <w:snapToGrid w:val="0"/>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w:t>
            </w:r>
          </w:p>
        </w:tc>
        <w:tc>
          <w:tcPr>
            <w:tcW w:w="3630" w:type="dxa"/>
            <w:vAlign w:val="center"/>
          </w:tcPr>
          <w:p>
            <w:pPr>
              <w:adjustRightInd w:val="0"/>
              <w:snapToGrid w:val="0"/>
              <w:jc w:val="center"/>
              <w:rPr>
                <w:rFonts w:asciiTheme="minorEastAsia" w:hAnsiTheme="minorEastAsia" w:eastAsiaTheme="minorEastAsia" w:cstheme="minorEastAsia"/>
                <w:color w:val="auto"/>
                <w:szCs w:val="21"/>
              </w:rPr>
            </w:pPr>
          </w:p>
        </w:tc>
        <w:tc>
          <w:tcPr>
            <w:tcW w:w="936" w:type="dxa"/>
            <w:vAlign w:val="center"/>
          </w:tcPr>
          <w:p>
            <w:pPr>
              <w:adjustRightInd w:val="0"/>
              <w:snapToGrid w:val="0"/>
              <w:jc w:val="center"/>
              <w:rPr>
                <w:rFonts w:asciiTheme="minorEastAsia" w:hAnsiTheme="minorEastAsia" w:eastAsiaTheme="minorEastAsia" w:cstheme="minorEastAsia"/>
                <w:color w:val="auto"/>
                <w:szCs w:val="21"/>
              </w:rPr>
            </w:pPr>
          </w:p>
        </w:tc>
        <w:tc>
          <w:tcPr>
            <w:tcW w:w="1118" w:type="dxa"/>
            <w:vAlign w:val="center"/>
          </w:tcPr>
          <w:p>
            <w:pPr>
              <w:adjustRightInd w:val="0"/>
              <w:snapToGrid w:val="0"/>
              <w:jc w:val="center"/>
              <w:rPr>
                <w:rFonts w:asciiTheme="minorEastAsia" w:hAnsiTheme="minorEastAsia" w:eastAsiaTheme="minorEastAsia" w:cstheme="minorEastAsia"/>
                <w:color w:val="auto"/>
                <w:szCs w:val="21"/>
              </w:rPr>
            </w:pPr>
          </w:p>
        </w:tc>
        <w:tc>
          <w:tcPr>
            <w:tcW w:w="1248" w:type="dxa"/>
            <w:vAlign w:val="center"/>
          </w:tcPr>
          <w:p>
            <w:pPr>
              <w:adjustRightInd w:val="0"/>
              <w:snapToGrid w:val="0"/>
              <w:jc w:val="center"/>
              <w:rPr>
                <w:rFonts w:asciiTheme="minorEastAsia" w:hAnsiTheme="minorEastAsia" w:eastAsiaTheme="minorEastAsia" w:cstheme="minorEastAsia"/>
                <w:color w:val="auto"/>
                <w:szCs w:val="21"/>
              </w:rPr>
            </w:pPr>
          </w:p>
        </w:tc>
        <w:tc>
          <w:tcPr>
            <w:tcW w:w="1109" w:type="dxa"/>
            <w:vAlign w:val="center"/>
          </w:tcPr>
          <w:p>
            <w:pPr>
              <w:adjustRightInd w:val="0"/>
              <w:snapToGrid w:val="0"/>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w:t>
            </w:r>
          </w:p>
        </w:tc>
        <w:tc>
          <w:tcPr>
            <w:tcW w:w="3630" w:type="dxa"/>
            <w:vAlign w:val="center"/>
          </w:tcPr>
          <w:p>
            <w:pPr>
              <w:adjustRightInd w:val="0"/>
              <w:snapToGrid w:val="0"/>
              <w:jc w:val="center"/>
              <w:rPr>
                <w:rFonts w:asciiTheme="minorEastAsia" w:hAnsiTheme="minorEastAsia" w:eastAsiaTheme="minorEastAsia" w:cstheme="minorEastAsia"/>
                <w:color w:val="auto"/>
                <w:szCs w:val="21"/>
              </w:rPr>
            </w:pPr>
          </w:p>
        </w:tc>
        <w:tc>
          <w:tcPr>
            <w:tcW w:w="936" w:type="dxa"/>
            <w:vAlign w:val="center"/>
          </w:tcPr>
          <w:p>
            <w:pPr>
              <w:adjustRightInd w:val="0"/>
              <w:snapToGrid w:val="0"/>
              <w:jc w:val="center"/>
              <w:rPr>
                <w:rFonts w:asciiTheme="minorEastAsia" w:hAnsiTheme="minorEastAsia" w:eastAsiaTheme="minorEastAsia" w:cstheme="minorEastAsia"/>
                <w:color w:val="auto"/>
                <w:szCs w:val="21"/>
              </w:rPr>
            </w:pPr>
          </w:p>
        </w:tc>
        <w:tc>
          <w:tcPr>
            <w:tcW w:w="1118" w:type="dxa"/>
            <w:vAlign w:val="center"/>
          </w:tcPr>
          <w:p>
            <w:pPr>
              <w:adjustRightInd w:val="0"/>
              <w:snapToGrid w:val="0"/>
              <w:jc w:val="center"/>
              <w:rPr>
                <w:rFonts w:asciiTheme="minorEastAsia" w:hAnsiTheme="minorEastAsia" w:eastAsiaTheme="minorEastAsia" w:cstheme="minorEastAsia"/>
                <w:color w:val="auto"/>
                <w:szCs w:val="21"/>
              </w:rPr>
            </w:pPr>
          </w:p>
        </w:tc>
        <w:tc>
          <w:tcPr>
            <w:tcW w:w="1248" w:type="dxa"/>
            <w:vAlign w:val="center"/>
          </w:tcPr>
          <w:p>
            <w:pPr>
              <w:adjustRightInd w:val="0"/>
              <w:snapToGrid w:val="0"/>
              <w:jc w:val="center"/>
              <w:rPr>
                <w:rFonts w:asciiTheme="minorEastAsia" w:hAnsiTheme="minorEastAsia" w:eastAsiaTheme="minorEastAsia" w:cstheme="minorEastAsia"/>
                <w:color w:val="auto"/>
                <w:szCs w:val="21"/>
              </w:rPr>
            </w:pPr>
          </w:p>
        </w:tc>
        <w:tc>
          <w:tcPr>
            <w:tcW w:w="1109" w:type="dxa"/>
            <w:vAlign w:val="center"/>
          </w:tcPr>
          <w:p>
            <w:pPr>
              <w:adjustRightInd w:val="0"/>
              <w:snapToGrid w:val="0"/>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w:t>
            </w:r>
          </w:p>
        </w:tc>
        <w:tc>
          <w:tcPr>
            <w:tcW w:w="3630" w:type="dxa"/>
            <w:vAlign w:val="center"/>
          </w:tcPr>
          <w:p>
            <w:pPr>
              <w:adjustRightInd w:val="0"/>
              <w:snapToGrid w:val="0"/>
              <w:jc w:val="center"/>
              <w:rPr>
                <w:rFonts w:asciiTheme="minorEastAsia" w:hAnsiTheme="minorEastAsia" w:eastAsiaTheme="minorEastAsia" w:cstheme="minorEastAsia"/>
                <w:color w:val="auto"/>
                <w:szCs w:val="21"/>
              </w:rPr>
            </w:pPr>
          </w:p>
        </w:tc>
        <w:tc>
          <w:tcPr>
            <w:tcW w:w="936" w:type="dxa"/>
            <w:vAlign w:val="center"/>
          </w:tcPr>
          <w:p>
            <w:pPr>
              <w:adjustRightInd w:val="0"/>
              <w:snapToGrid w:val="0"/>
              <w:jc w:val="center"/>
              <w:rPr>
                <w:rFonts w:asciiTheme="minorEastAsia" w:hAnsiTheme="minorEastAsia" w:eastAsiaTheme="minorEastAsia" w:cstheme="minorEastAsia"/>
                <w:color w:val="auto"/>
                <w:szCs w:val="21"/>
              </w:rPr>
            </w:pPr>
          </w:p>
        </w:tc>
        <w:tc>
          <w:tcPr>
            <w:tcW w:w="1118" w:type="dxa"/>
            <w:vAlign w:val="center"/>
          </w:tcPr>
          <w:p>
            <w:pPr>
              <w:adjustRightInd w:val="0"/>
              <w:snapToGrid w:val="0"/>
              <w:jc w:val="center"/>
              <w:rPr>
                <w:rFonts w:asciiTheme="minorEastAsia" w:hAnsiTheme="minorEastAsia" w:eastAsiaTheme="minorEastAsia" w:cstheme="minorEastAsia"/>
                <w:color w:val="auto"/>
                <w:szCs w:val="21"/>
              </w:rPr>
            </w:pPr>
          </w:p>
        </w:tc>
        <w:tc>
          <w:tcPr>
            <w:tcW w:w="1248" w:type="dxa"/>
            <w:vAlign w:val="center"/>
          </w:tcPr>
          <w:p>
            <w:pPr>
              <w:adjustRightInd w:val="0"/>
              <w:snapToGrid w:val="0"/>
              <w:jc w:val="center"/>
              <w:rPr>
                <w:rFonts w:asciiTheme="minorEastAsia" w:hAnsiTheme="minorEastAsia" w:eastAsiaTheme="minorEastAsia" w:cstheme="minorEastAsia"/>
                <w:color w:val="auto"/>
                <w:szCs w:val="21"/>
              </w:rPr>
            </w:pPr>
          </w:p>
        </w:tc>
        <w:tc>
          <w:tcPr>
            <w:tcW w:w="1109" w:type="dxa"/>
            <w:vAlign w:val="center"/>
          </w:tcPr>
          <w:p>
            <w:pPr>
              <w:adjustRightInd w:val="0"/>
              <w:snapToGrid w:val="0"/>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3630" w:type="dxa"/>
            <w:vAlign w:val="center"/>
          </w:tcPr>
          <w:p>
            <w:pPr>
              <w:adjustRightInd w:val="0"/>
              <w:snapToGrid w:val="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936" w:type="dxa"/>
            <w:vAlign w:val="center"/>
          </w:tcPr>
          <w:p>
            <w:pPr>
              <w:adjustRightInd w:val="0"/>
              <w:snapToGrid w:val="0"/>
              <w:jc w:val="center"/>
              <w:rPr>
                <w:rFonts w:asciiTheme="minorEastAsia" w:hAnsiTheme="minorEastAsia" w:eastAsiaTheme="minorEastAsia" w:cstheme="minorEastAsia"/>
                <w:color w:val="auto"/>
                <w:szCs w:val="21"/>
              </w:rPr>
            </w:pPr>
          </w:p>
        </w:tc>
        <w:tc>
          <w:tcPr>
            <w:tcW w:w="1118" w:type="dxa"/>
            <w:vAlign w:val="center"/>
          </w:tcPr>
          <w:p>
            <w:pPr>
              <w:adjustRightInd w:val="0"/>
              <w:snapToGrid w:val="0"/>
              <w:jc w:val="center"/>
              <w:rPr>
                <w:rFonts w:asciiTheme="minorEastAsia" w:hAnsiTheme="minorEastAsia" w:eastAsiaTheme="minorEastAsia" w:cstheme="minorEastAsia"/>
                <w:color w:val="auto"/>
                <w:szCs w:val="21"/>
              </w:rPr>
            </w:pPr>
          </w:p>
        </w:tc>
        <w:tc>
          <w:tcPr>
            <w:tcW w:w="1248" w:type="dxa"/>
            <w:vAlign w:val="center"/>
          </w:tcPr>
          <w:p>
            <w:pPr>
              <w:adjustRightInd w:val="0"/>
              <w:snapToGrid w:val="0"/>
              <w:jc w:val="center"/>
              <w:rPr>
                <w:rFonts w:asciiTheme="minorEastAsia" w:hAnsiTheme="minorEastAsia" w:eastAsiaTheme="minorEastAsia" w:cstheme="minorEastAsia"/>
                <w:color w:val="auto"/>
                <w:szCs w:val="21"/>
              </w:rPr>
            </w:pPr>
          </w:p>
        </w:tc>
        <w:tc>
          <w:tcPr>
            <w:tcW w:w="1109" w:type="dxa"/>
            <w:vAlign w:val="center"/>
          </w:tcPr>
          <w:p>
            <w:pPr>
              <w:adjustRightInd w:val="0"/>
              <w:snapToGrid w:val="0"/>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31" w:type="dxa"/>
            <w:gridSpan w:val="4"/>
            <w:vAlign w:val="center"/>
          </w:tcPr>
          <w:p>
            <w:pPr>
              <w:adjustRightInd w:val="0"/>
              <w:snapToGrid w:val="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总计</w:t>
            </w:r>
          </w:p>
        </w:tc>
        <w:tc>
          <w:tcPr>
            <w:tcW w:w="1248" w:type="dxa"/>
            <w:vAlign w:val="center"/>
          </w:tcPr>
          <w:p>
            <w:pPr>
              <w:adjustRightInd w:val="0"/>
              <w:snapToGrid w:val="0"/>
              <w:jc w:val="center"/>
              <w:rPr>
                <w:rFonts w:asciiTheme="minorEastAsia" w:hAnsiTheme="minorEastAsia" w:eastAsiaTheme="minorEastAsia" w:cstheme="minorEastAsia"/>
                <w:color w:val="auto"/>
                <w:szCs w:val="21"/>
              </w:rPr>
            </w:pPr>
          </w:p>
        </w:tc>
        <w:tc>
          <w:tcPr>
            <w:tcW w:w="1109" w:type="dxa"/>
            <w:vAlign w:val="center"/>
          </w:tcPr>
          <w:p>
            <w:pPr>
              <w:adjustRightInd w:val="0"/>
              <w:snapToGrid w:val="0"/>
              <w:jc w:val="center"/>
              <w:rPr>
                <w:rFonts w:asciiTheme="minorEastAsia" w:hAnsiTheme="minorEastAsia" w:eastAsiaTheme="minorEastAsia" w:cstheme="minorEastAsia"/>
                <w:color w:val="auto"/>
                <w:szCs w:val="21"/>
              </w:rPr>
            </w:pPr>
          </w:p>
        </w:tc>
      </w:tr>
    </w:tbl>
    <w:p>
      <w:pPr>
        <w:adjustRightInd w:val="0"/>
        <w:snapToGrid w:val="0"/>
        <w:rPr>
          <w:rFonts w:asciiTheme="minorEastAsia" w:hAnsiTheme="minorEastAsia" w:eastAsiaTheme="minorEastAsia" w:cstheme="minorEastAsia"/>
          <w:color w:val="auto"/>
          <w:szCs w:val="21"/>
        </w:rPr>
      </w:pPr>
    </w:p>
    <w:p>
      <w:pPr>
        <w:adjustRightInd w:val="0"/>
        <w:snapToGrid w:val="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说明：</w:t>
      </w:r>
    </w:p>
    <w:p>
      <w:pPr>
        <w:numPr>
          <w:ilvl w:val="0"/>
          <w:numId w:val="41"/>
        </w:numPr>
        <w:adjustRightInd w:val="0"/>
        <w:snapToGrid w:val="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所有价格按照“供应商须知”要求执行，</w:t>
      </w:r>
      <w:r>
        <w:rPr>
          <w:rFonts w:hint="eastAsia" w:asciiTheme="minorEastAsia" w:hAnsiTheme="minorEastAsia" w:cstheme="minorEastAsia"/>
          <w:color w:val="auto"/>
          <w:szCs w:val="21"/>
        </w:rPr>
        <w:t>且需</w:t>
      </w:r>
      <w:r>
        <w:rPr>
          <w:rFonts w:hint="eastAsia" w:asciiTheme="minorEastAsia" w:hAnsiTheme="minorEastAsia" w:eastAsiaTheme="minorEastAsia" w:cstheme="minorEastAsia"/>
          <w:color w:val="auto"/>
          <w:szCs w:val="21"/>
        </w:rPr>
        <w:t>精确到小数点后两位。</w:t>
      </w:r>
    </w:p>
    <w:p>
      <w:pPr>
        <w:numPr>
          <w:ilvl w:val="0"/>
          <w:numId w:val="41"/>
        </w:numPr>
        <w:adjustRightInd w:val="0"/>
        <w:snapToGrid w:val="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分项报价总计价格必须与《报价一览表》报价一致。</w:t>
      </w:r>
    </w:p>
    <w:p>
      <w:pPr>
        <w:numPr>
          <w:ilvl w:val="0"/>
          <w:numId w:val="41"/>
        </w:numPr>
        <w:adjustRightInd w:val="0"/>
        <w:snapToGrid w:val="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如果不提供详细的报价费用构成可能将被视为没有实质性响应磋商文件。</w:t>
      </w:r>
    </w:p>
    <w:p>
      <w:pPr>
        <w:adjustRightInd w:val="0"/>
        <w:snapToGrid w:val="0"/>
        <w:spacing w:line="360" w:lineRule="auto"/>
        <w:ind w:left="-88" w:leftChars="-42"/>
        <w:rPr>
          <w:rFonts w:asciiTheme="minorEastAsia" w:hAnsiTheme="minorEastAsia" w:eastAsiaTheme="minorEastAsia" w:cstheme="minorEastAsia"/>
          <w:b/>
          <w:bCs/>
          <w:color w:val="auto"/>
          <w:szCs w:val="21"/>
        </w:rPr>
      </w:pPr>
    </w:p>
    <w:p>
      <w:pPr>
        <w:spacing w:line="360" w:lineRule="auto"/>
        <w:rPr>
          <w:rFonts w:asciiTheme="minorEastAsia" w:hAnsiTheme="minorEastAsia" w:eastAsiaTheme="minorEastAsia" w:cstheme="minorEastAsia"/>
          <w:color w:val="auto"/>
          <w:szCs w:val="21"/>
        </w:rPr>
      </w:pPr>
    </w:p>
    <w:p>
      <w:pPr>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磋商供应商法定代表人（签字）：</w:t>
      </w:r>
    </w:p>
    <w:p>
      <w:pPr>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磋商供应商授权代表（签字）：</w:t>
      </w:r>
      <w:r>
        <w:rPr>
          <w:rFonts w:hint="eastAsia" w:asciiTheme="minorEastAsia" w:hAnsiTheme="minorEastAsia" w:eastAsiaTheme="minorEastAsia" w:cstheme="minorEastAsia"/>
          <w:color w:val="auto"/>
          <w:szCs w:val="21"/>
          <w:u w:val="single"/>
        </w:rPr>
        <w:t xml:space="preserve">                        </w:t>
      </w:r>
    </w:p>
    <w:p>
      <w:pPr>
        <w:spacing w:line="360" w:lineRule="auto"/>
        <w:rPr>
          <w:rFonts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磋商供应商名称（盖章）：</w:t>
      </w:r>
      <w:r>
        <w:rPr>
          <w:rFonts w:hint="eastAsia" w:asciiTheme="minorEastAsia" w:hAnsiTheme="minorEastAsia" w:eastAsiaTheme="minorEastAsia" w:cstheme="minorEastAsia"/>
          <w:color w:val="auto"/>
          <w:szCs w:val="21"/>
          <w:u w:val="single"/>
        </w:rPr>
        <w:t xml:space="preserve">                                     </w:t>
      </w:r>
    </w:p>
    <w:p>
      <w:pPr>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时                 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spacing w:line="360" w:lineRule="auto"/>
        <w:rPr>
          <w:rFonts w:asciiTheme="minorEastAsia" w:hAnsiTheme="minorEastAsia" w:eastAsiaTheme="minorEastAsia" w:cstheme="minorEastAsia"/>
          <w:color w:val="auto"/>
          <w:szCs w:val="21"/>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color w:val="auto"/>
          <w:szCs w:val="21"/>
        </w:rPr>
      </w:pPr>
      <w:r>
        <w:rPr>
          <w:rFonts w:hint="eastAsia" w:asciiTheme="minorEastAsia" w:hAnsiTheme="minorEastAsia" w:eastAsiaTheme="minorEastAsia" w:cstheme="minorEastAsia"/>
          <w:color w:val="auto"/>
          <w:szCs w:val="21"/>
        </w:rPr>
        <w:br w:type="page"/>
      </w:r>
      <w:bookmarkStart w:id="154" w:name="_Toc479184130"/>
      <w:bookmarkStart w:id="155" w:name="_Toc28656"/>
      <w:bookmarkStart w:id="156" w:name="_Toc26825"/>
      <w:bookmarkStart w:id="157" w:name="_Toc30408"/>
      <w:r>
        <w:rPr>
          <w:rFonts w:hint="eastAsia" w:asciiTheme="minorEastAsia" w:hAnsiTheme="minorEastAsia" w:eastAsiaTheme="minorEastAsia" w:cstheme="minorEastAsia"/>
          <w:b/>
          <w:bCs/>
          <w:color w:val="auto"/>
          <w:szCs w:val="21"/>
        </w:rPr>
        <w:t>七、耗材清单</w:t>
      </w:r>
      <w:bookmarkEnd w:id="154"/>
      <w:bookmarkEnd w:id="155"/>
      <w:bookmarkEnd w:id="156"/>
      <w:r>
        <w:rPr>
          <w:rFonts w:hint="eastAsia" w:asciiTheme="minorEastAsia" w:hAnsiTheme="minorEastAsia" w:eastAsiaTheme="minorEastAsia" w:cstheme="minorEastAsia"/>
          <w:b/>
          <w:bCs/>
          <w:color w:val="auto"/>
          <w:szCs w:val="21"/>
        </w:rPr>
        <w:t>（如有）</w:t>
      </w:r>
      <w:bookmarkEnd w:id="157"/>
    </w:p>
    <w:p>
      <w:pPr>
        <w:adjustRightInd w:val="0"/>
        <w:snapToGrid w:val="0"/>
        <w:rPr>
          <w:rFonts w:asciiTheme="minorEastAsia" w:hAnsiTheme="minorEastAsia" w:eastAsiaTheme="minorEastAsia" w:cstheme="minorEastAsia"/>
          <w:b/>
          <w:color w:val="auto"/>
          <w:szCs w:val="21"/>
        </w:rPr>
      </w:pPr>
    </w:p>
    <w:p>
      <w:pPr>
        <w:adjustRightInd w:val="0"/>
        <w:snapToGrid w:val="0"/>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adjustRightInd w:val="0"/>
        <w:snapToGrid w:val="0"/>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序号</w:t>
            </w:r>
          </w:p>
        </w:tc>
        <w:tc>
          <w:tcPr>
            <w:tcW w:w="2295" w:type="dxa"/>
            <w:vAlign w:val="center"/>
          </w:tcPr>
          <w:p>
            <w:pPr>
              <w:widowControl/>
              <w:jc w:val="center"/>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耗材名称</w:t>
            </w:r>
          </w:p>
        </w:tc>
        <w:tc>
          <w:tcPr>
            <w:tcW w:w="1512" w:type="dxa"/>
            <w:vAlign w:val="center"/>
          </w:tcPr>
          <w:p>
            <w:pPr>
              <w:widowControl/>
              <w:jc w:val="center"/>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规格型号</w:t>
            </w:r>
          </w:p>
        </w:tc>
        <w:tc>
          <w:tcPr>
            <w:tcW w:w="1512" w:type="dxa"/>
          </w:tcPr>
          <w:p>
            <w:pPr>
              <w:widowControl/>
              <w:jc w:val="center"/>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制造商名称</w:t>
            </w:r>
          </w:p>
        </w:tc>
        <w:tc>
          <w:tcPr>
            <w:tcW w:w="1513" w:type="dxa"/>
          </w:tcPr>
          <w:p>
            <w:pPr>
              <w:widowControl/>
              <w:jc w:val="center"/>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产地</w:t>
            </w:r>
          </w:p>
        </w:tc>
        <w:tc>
          <w:tcPr>
            <w:tcW w:w="709" w:type="dxa"/>
            <w:vAlign w:val="center"/>
          </w:tcPr>
          <w:p>
            <w:pPr>
              <w:widowControl/>
              <w:jc w:val="center"/>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数量</w:t>
            </w:r>
          </w:p>
        </w:tc>
        <w:tc>
          <w:tcPr>
            <w:tcW w:w="958" w:type="dxa"/>
            <w:vAlign w:val="center"/>
          </w:tcPr>
          <w:p>
            <w:pPr>
              <w:widowControl/>
              <w:jc w:val="center"/>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295" w:type="dxa"/>
            <w:vAlign w:val="center"/>
          </w:tcPr>
          <w:p>
            <w:pPr>
              <w:widowControl/>
              <w:jc w:val="center"/>
              <w:rPr>
                <w:rFonts w:asciiTheme="minorEastAsia" w:hAnsiTheme="minorEastAsia" w:eastAsiaTheme="minorEastAsia" w:cstheme="minorEastAsia"/>
                <w:color w:val="auto"/>
                <w:szCs w:val="21"/>
              </w:rPr>
            </w:pPr>
          </w:p>
        </w:tc>
        <w:tc>
          <w:tcPr>
            <w:tcW w:w="1512" w:type="dxa"/>
            <w:vAlign w:val="center"/>
          </w:tcPr>
          <w:p>
            <w:pPr>
              <w:widowControl/>
              <w:jc w:val="center"/>
              <w:rPr>
                <w:rFonts w:asciiTheme="minorEastAsia" w:hAnsiTheme="minorEastAsia" w:eastAsiaTheme="minorEastAsia" w:cstheme="minorEastAsia"/>
                <w:color w:val="auto"/>
                <w:szCs w:val="21"/>
              </w:rPr>
            </w:pPr>
          </w:p>
        </w:tc>
        <w:tc>
          <w:tcPr>
            <w:tcW w:w="1512" w:type="dxa"/>
          </w:tcPr>
          <w:p>
            <w:pPr>
              <w:widowControl/>
              <w:jc w:val="center"/>
              <w:rPr>
                <w:rFonts w:asciiTheme="minorEastAsia" w:hAnsiTheme="minorEastAsia" w:eastAsiaTheme="minorEastAsia" w:cstheme="minorEastAsia"/>
                <w:color w:val="auto"/>
                <w:szCs w:val="21"/>
              </w:rPr>
            </w:pPr>
          </w:p>
        </w:tc>
        <w:tc>
          <w:tcPr>
            <w:tcW w:w="1513" w:type="dxa"/>
          </w:tcPr>
          <w:p>
            <w:pPr>
              <w:widowControl/>
              <w:jc w:val="center"/>
              <w:rPr>
                <w:rFonts w:asciiTheme="minorEastAsia" w:hAnsiTheme="minorEastAsia" w:eastAsiaTheme="minorEastAsia" w:cstheme="minorEastAsia"/>
                <w:color w:val="auto"/>
                <w:szCs w:val="21"/>
              </w:rPr>
            </w:pPr>
          </w:p>
        </w:tc>
        <w:tc>
          <w:tcPr>
            <w:tcW w:w="709" w:type="dxa"/>
            <w:vAlign w:val="center"/>
          </w:tcPr>
          <w:p>
            <w:pPr>
              <w:widowControl/>
              <w:jc w:val="center"/>
              <w:rPr>
                <w:rFonts w:asciiTheme="minorEastAsia" w:hAnsiTheme="minorEastAsia" w:eastAsiaTheme="minorEastAsia" w:cstheme="minorEastAsia"/>
                <w:color w:val="auto"/>
                <w:szCs w:val="21"/>
              </w:rPr>
            </w:pPr>
          </w:p>
        </w:tc>
        <w:tc>
          <w:tcPr>
            <w:tcW w:w="958" w:type="dxa"/>
            <w:vAlign w:val="center"/>
          </w:tcPr>
          <w:p>
            <w:pPr>
              <w:widowControl/>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295" w:type="dxa"/>
            <w:vAlign w:val="center"/>
          </w:tcPr>
          <w:p>
            <w:pPr>
              <w:widowControl/>
              <w:jc w:val="center"/>
              <w:rPr>
                <w:rFonts w:asciiTheme="minorEastAsia" w:hAnsiTheme="minorEastAsia" w:eastAsiaTheme="minorEastAsia" w:cstheme="minorEastAsia"/>
                <w:color w:val="auto"/>
                <w:szCs w:val="21"/>
              </w:rPr>
            </w:pPr>
          </w:p>
        </w:tc>
        <w:tc>
          <w:tcPr>
            <w:tcW w:w="1512" w:type="dxa"/>
            <w:vAlign w:val="center"/>
          </w:tcPr>
          <w:p>
            <w:pPr>
              <w:widowControl/>
              <w:jc w:val="center"/>
              <w:rPr>
                <w:rFonts w:asciiTheme="minorEastAsia" w:hAnsiTheme="minorEastAsia" w:eastAsiaTheme="minorEastAsia" w:cstheme="minorEastAsia"/>
                <w:color w:val="auto"/>
                <w:szCs w:val="21"/>
              </w:rPr>
            </w:pPr>
          </w:p>
        </w:tc>
        <w:tc>
          <w:tcPr>
            <w:tcW w:w="1512" w:type="dxa"/>
          </w:tcPr>
          <w:p>
            <w:pPr>
              <w:widowControl/>
              <w:jc w:val="center"/>
              <w:rPr>
                <w:rFonts w:asciiTheme="minorEastAsia" w:hAnsiTheme="minorEastAsia" w:eastAsiaTheme="minorEastAsia" w:cstheme="minorEastAsia"/>
                <w:color w:val="auto"/>
                <w:szCs w:val="21"/>
              </w:rPr>
            </w:pPr>
          </w:p>
        </w:tc>
        <w:tc>
          <w:tcPr>
            <w:tcW w:w="1513" w:type="dxa"/>
          </w:tcPr>
          <w:p>
            <w:pPr>
              <w:widowControl/>
              <w:jc w:val="center"/>
              <w:rPr>
                <w:rFonts w:asciiTheme="minorEastAsia" w:hAnsiTheme="minorEastAsia" w:eastAsiaTheme="minorEastAsia" w:cstheme="minorEastAsia"/>
                <w:color w:val="auto"/>
                <w:szCs w:val="21"/>
              </w:rPr>
            </w:pPr>
          </w:p>
        </w:tc>
        <w:tc>
          <w:tcPr>
            <w:tcW w:w="709" w:type="dxa"/>
            <w:vAlign w:val="center"/>
          </w:tcPr>
          <w:p>
            <w:pPr>
              <w:widowControl/>
              <w:jc w:val="center"/>
              <w:rPr>
                <w:rFonts w:asciiTheme="minorEastAsia" w:hAnsiTheme="minorEastAsia" w:eastAsiaTheme="minorEastAsia" w:cstheme="minorEastAsia"/>
                <w:color w:val="auto"/>
                <w:szCs w:val="21"/>
              </w:rPr>
            </w:pPr>
          </w:p>
        </w:tc>
        <w:tc>
          <w:tcPr>
            <w:tcW w:w="958" w:type="dxa"/>
            <w:vAlign w:val="center"/>
          </w:tcPr>
          <w:p>
            <w:pPr>
              <w:widowControl/>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295" w:type="dxa"/>
            <w:vAlign w:val="center"/>
          </w:tcPr>
          <w:p>
            <w:pPr>
              <w:widowControl/>
              <w:jc w:val="center"/>
              <w:rPr>
                <w:rFonts w:asciiTheme="minorEastAsia" w:hAnsiTheme="minorEastAsia" w:eastAsiaTheme="minorEastAsia" w:cstheme="minorEastAsia"/>
                <w:color w:val="auto"/>
                <w:szCs w:val="21"/>
              </w:rPr>
            </w:pPr>
          </w:p>
        </w:tc>
        <w:tc>
          <w:tcPr>
            <w:tcW w:w="1512" w:type="dxa"/>
            <w:vAlign w:val="center"/>
          </w:tcPr>
          <w:p>
            <w:pPr>
              <w:widowControl/>
              <w:jc w:val="center"/>
              <w:rPr>
                <w:rFonts w:asciiTheme="minorEastAsia" w:hAnsiTheme="minorEastAsia" w:eastAsiaTheme="minorEastAsia" w:cstheme="minorEastAsia"/>
                <w:color w:val="auto"/>
                <w:szCs w:val="21"/>
              </w:rPr>
            </w:pPr>
          </w:p>
        </w:tc>
        <w:tc>
          <w:tcPr>
            <w:tcW w:w="1512" w:type="dxa"/>
          </w:tcPr>
          <w:p>
            <w:pPr>
              <w:widowControl/>
              <w:jc w:val="center"/>
              <w:rPr>
                <w:rFonts w:asciiTheme="minorEastAsia" w:hAnsiTheme="minorEastAsia" w:eastAsiaTheme="minorEastAsia" w:cstheme="minorEastAsia"/>
                <w:color w:val="auto"/>
                <w:szCs w:val="21"/>
              </w:rPr>
            </w:pPr>
          </w:p>
        </w:tc>
        <w:tc>
          <w:tcPr>
            <w:tcW w:w="1513" w:type="dxa"/>
          </w:tcPr>
          <w:p>
            <w:pPr>
              <w:widowControl/>
              <w:jc w:val="center"/>
              <w:rPr>
                <w:rFonts w:asciiTheme="minorEastAsia" w:hAnsiTheme="minorEastAsia" w:eastAsiaTheme="minorEastAsia" w:cstheme="minorEastAsia"/>
                <w:color w:val="auto"/>
                <w:szCs w:val="21"/>
              </w:rPr>
            </w:pPr>
          </w:p>
        </w:tc>
        <w:tc>
          <w:tcPr>
            <w:tcW w:w="709" w:type="dxa"/>
            <w:vAlign w:val="center"/>
          </w:tcPr>
          <w:p>
            <w:pPr>
              <w:widowControl/>
              <w:jc w:val="center"/>
              <w:rPr>
                <w:rFonts w:asciiTheme="minorEastAsia" w:hAnsiTheme="minorEastAsia" w:eastAsiaTheme="minorEastAsia" w:cstheme="minorEastAsia"/>
                <w:color w:val="auto"/>
                <w:szCs w:val="21"/>
              </w:rPr>
            </w:pPr>
          </w:p>
        </w:tc>
        <w:tc>
          <w:tcPr>
            <w:tcW w:w="958" w:type="dxa"/>
            <w:vAlign w:val="center"/>
          </w:tcPr>
          <w:p>
            <w:pPr>
              <w:widowControl/>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w:t>
            </w:r>
          </w:p>
        </w:tc>
        <w:tc>
          <w:tcPr>
            <w:tcW w:w="2295" w:type="dxa"/>
            <w:vAlign w:val="center"/>
          </w:tcPr>
          <w:p>
            <w:pPr>
              <w:widowControl/>
              <w:jc w:val="center"/>
              <w:rPr>
                <w:rFonts w:asciiTheme="minorEastAsia" w:hAnsiTheme="minorEastAsia" w:eastAsiaTheme="minorEastAsia" w:cstheme="minorEastAsia"/>
                <w:color w:val="auto"/>
                <w:szCs w:val="21"/>
              </w:rPr>
            </w:pPr>
          </w:p>
        </w:tc>
        <w:tc>
          <w:tcPr>
            <w:tcW w:w="1512" w:type="dxa"/>
            <w:vAlign w:val="center"/>
          </w:tcPr>
          <w:p>
            <w:pPr>
              <w:widowControl/>
              <w:jc w:val="left"/>
              <w:rPr>
                <w:rFonts w:asciiTheme="minorEastAsia" w:hAnsiTheme="minorEastAsia" w:eastAsiaTheme="minorEastAsia" w:cstheme="minorEastAsia"/>
                <w:color w:val="auto"/>
                <w:kern w:val="0"/>
                <w:szCs w:val="21"/>
              </w:rPr>
            </w:pPr>
          </w:p>
        </w:tc>
        <w:tc>
          <w:tcPr>
            <w:tcW w:w="1512" w:type="dxa"/>
          </w:tcPr>
          <w:p>
            <w:pPr>
              <w:widowControl/>
              <w:jc w:val="center"/>
              <w:rPr>
                <w:rFonts w:asciiTheme="minorEastAsia" w:hAnsiTheme="minorEastAsia" w:eastAsiaTheme="minorEastAsia" w:cstheme="minorEastAsia"/>
                <w:color w:val="auto"/>
                <w:szCs w:val="21"/>
              </w:rPr>
            </w:pPr>
          </w:p>
        </w:tc>
        <w:tc>
          <w:tcPr>
            <w:tcW w:w="1513" w:type="dxa"/>
          </w:tcPr>
          <w:p>
            <w:pPr>
              <w:widowControl/>
              <w:jc w:val="center"/>
              <w:rPr>
                <w:rFonts w:asciiTheme="minorEastAsia" w:hAnsiTheme="minorEastAsia" w:eastAsiaTheme="minorEastAsia" w:cstheme="minorEastAsia"/>
                <w:color w:val="auto"/>
                <w:szCs w:val="21"/>
              </w:rPr>
            </w:pPr>
          </w:p>
        </w:tc>
        <w:tc>
          <w:tcPr>
            <w:tcW w:w="709" w:type="dxa"/>
            <w:vAlign w:val="center"/>
          </w:tcPr>
          <w:p>
            <w:pPr>
              <w:widowControl/>
              <w:jc w:val="center"/>
              <w:rPr>
                <w:rFonts w:asciiTheme="minorEastAsia" w:hAnsiTheme="minorEastAsia" w:eastAsiaTheme="minorEastAsia" w:cstheme="minorEastAsia"/>
                <w:color w:val="auto"/>
                <w:szCs w:val="21"/>
              </w:rPr>
            </w:pPr>
          </w:p>
        </w:tc>
        <w:tc>
          <w:tcPr>
            <w:tcW w:w="958" w:type="dxa"/>
            <w:vAlign w:val="center"/>
          </w:tcPr>
          <w:p>
            <w:pPr>
              <w:widowControl/>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c>
          <w:tcPr>
            <w:tcW w:w="2295" w:type="dxa"/>
            <w:vAlign w:val="center"/>
          </w:tcPr>
          <w:p>
            <w:pPr>
              <w:widowControl/>
              <w:jc w:val="center"/>
              <w:rPr>
                <w:rFonts w:asciiTheme="minorEastAsia" w:hAnsiTheme="minorEastAsia" w:eastAsiaTheme="minorEastAsia" w:cstheme="minorEastAsia"/>
                <w:color w:val="auto"/>
                <w:szCs w:val="21"/>
              </w:rPr>
            </w:pPr>
          </w:p>
        </w:tc>
        <w:tc>
          <w:tcPr>
            <w:tcW w:w="1512" w:type="dxa"/>
            <w:vAlign w:val="center"/>
          </w:tcPr>
          <w:p>
            <w:pPr>
              <w:widowControl/>
              <w:jc w:val="center"/>
              <w:rPr>
                <w:rFonts w:asciiTheme="minorEastAsia" w:hAnsiTheme="minorEastAsia" w:eastAsiaTheme="minorEastAsia" w:cstheme="minorEastAsia"/>
                <w:color w:val="auto"/>
                <w:szCs w:val="21"/>
              </w:rPr>
            </w:pPr>
          </w:p>
        </w:tc>
        <w:tc>
          <w:tcPr>
            <w:tcW w:w="1512" w:type="dxa"/>
          </w:tcPr>
          <w:p>
            <w:pPr>
              <w:jc w:val="center"/>
              <w:rPr>
                <w:rFonts w:asciiTheme="minorEastAsia" w:hAnsiTheme="minorEastAsia" w:eastAsiaTheme="minorEastAsia" w:cstheme="minorEastAsia"/>
                <w:color w:val="auto"/>
                <w:szCs w:val="21"/>
              </w:rPr>
            </w:pPr>
          </w:p>
        </w:tc>
        <w:tc>
          <w:tcPr>
            <w:tcW w:w="1513" w:type="dxa"/>
          </w:tcPr>
          <w:p>
            <w:pPr>
              <w:jc w:val="center"/>
              <w:rPr>
                <w:rFonts w:asciiTheme="minorEastAsia" w:hAnsiTheme="minorEastAsia" w:eastAsiaTheme="minorEastAsia" w:cstheme="minorEastAsia"/>
                <w:color w:val="auto"/>
                <w:szCs w:val="21"/>
              </w:rPr>
            </w:pPr>
          </w:p>
        </w:tc>
        <w:tc>
          <w:tcPr>
            <w:tcW w:w="709" w:type="dxa"/>
            <w:vAlign w:val="center"/>
          </w:tcPr>
          <w:p>
            <w:pPr>
              <w:jc w:val="center"/>
              <w:rPr>
                <w:rFonts w:asciiTheme="minorEastAsia" w:hAnsiTheme="minorEastAsia" w:eastAsiaTheme="minorEastAsia" w:cstheme="minorEastAsia"/>
                <w:color w:val="auto"/>
                <w:szCs w:val="21"/>
              </w:rPr>
            </w:pPr>
          </w:p>
        </w:tc>
        <w:tc>
          <w:tcPr>
            <w:tcW w:w="958" w:type="dxa"/>
            <w:vAlign w:val="center"/>
          </w:tcPr>
          <w:p>
            <w:pPr>
              <w:widowControl/>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w:t>
            </w:r>
          </w:p>
        </w:tc>
        <w:tc>
          <w:tcPr>
            <w:tcW w:w="2295" w:type="dxa"/>
            <w:vAlign w:val="center"/>
          </w:tcPr>
          <w:p>
            <w:pPr>
              <w:widowControl/>
              <w:jc w:val="center"/>
              <w:rPr>
                <w:rFonts w:asciiTheme="minorEastAsia" w:hAnsiTheme="minorEastAsia" w:eastAsiaTheme="minorEastAsia" w:cstheme="minorEastAsia"/>
                <w:color w:val="auto"/>
                <w:szCs w:val="21"/>
              </w:rPr>
            </w:pPr>
          </w:p>
        </w:tc>
        <w:tc>
          <w:tcPr>
            <w:tcW w:w="1512" w:type="dxa"/>
            <w:vAlign w:val="center"/>
          </w:tcPr>
          <w:p>
            <w:pPr>
              <w:widowControl/>
              <w:jc w:val="center"/>
              <w:rPr>
                <w:rFonts w:asciiTheme="minorEastAsia" w:hAnsiTheme="minorEastAsia" w:eastAsiaTheme="minorEastAsia" w:cstheme="minorEastAsia"/>
                <w:color w:val="auto"/>
                <w:szCs w:val="21"/>
              </w:rPr>
            </w:pPr>
          </w:p>
        </w:tc>
        <w:tc>
          <w:tcPr>
            <w:tcW w:w="1512" w:type="dxa"/>
          </w:tcPr>
          <w:p>
            <w:pPr>
              <w:jc w:val="center"/>
              <w:rPr>
                <w:rFonts w:asciiTheme="minorEastAsia" w:hAnsiTheme="minorEastAsia" w:eastAsiaTheme="minorEastAsia" w:cstheme="minorEastAsia"/>
                <w:color w:val="auto"/>
                <w:szCs w:val="21"/>
              </w:rPr>
            </w:pPr>
          </w:p>
        </w:tc>
        <w:tc>
          <w:tcPr>
            <w:tcW w:w="1513" w:type="dxa"/>
          </w:tcPr>
          <w:p>
            <w:pPr>
              <w:jc w:val="center"/>
              <w:rPr>
                <w:rFonts w:asciiTheme="minorEastAsia" w:hAnsiTheme="minorEastAsia" w:eastAsiaTheme="minorEastAsia" w:cstheme="minorEastAsia"/>
                <w:color w:val="auto"/>
                <w:szCs w:val="21"/>
              </w:rPr>
            </w:pPr>
          </w:p>
        </w:tc>
        <w:tc>
          <w:tcPr>
            <w:tcW w:w="709" w:type="dxa"/>
            <w:vAlign w:val="center"/>
          </w:tcPr>
          <w:p>
            <w:pPr>
              <w:jc w:val="center"/>
              <w:rPr>
                <w:rFonts w:asciiTheme="minorEastAsia" w:hAnsiTheme="minorEastAsia" w:eastAsiaTheme="minorEastAsia" w:cstheme="minorEastAsia"/>
                <w:color w:val="auto"/>
                <w:szCs w:val="21"/>
              </w:rPr>
            </w:pPr>
          </w:p>
        </w:tc>
        <w:tc>
          <w:tcPr>
            <w:tcW w:w="958" w:type="dxa"/>
            <w:vAlign w:val="center"/>
          </w:tcPr>
          <w:p>
            <w:pPr>
              <w:widowControl/>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w:t>
            </w:r>
          </w:p>
        </w:tc>
        <w:tc>
          <w:tcPr>
            <w:tcW w:w="2295" w:type="dxa"/>
            <w:vAlign w:val="center"/>
          </w:tcPr>
          <w:p>
            <w:pPr>
              <w:widowControl/>
              <w:jc w:val="center"/>
              <w:rPr>
                <w:rFonts w:asciiTheme="minorEastAsia" w:hAnsiTheme="minorEastAsia" w:eastAsiaTheme="minorEastAsia" w:cstheme="minorEastAsia"/>
                <w:color w:val="auto"/>
                <w:szCs w:val="21"/>
              </w:rPr>
            </w:pPr>
          </w:p>
        </w:tc>
        <w:tc>
          <w:tcPr>
            <w:tcW w:w="1512" w:type="dxa"/>
            <w:vAlign w:val="center"/>
          </w:tcPr>
          <w:p>
            <w:pPr>
              <w:widowControl/>
              <w:jc w:val="center"/>
              <w:rPr>
                <w:rFonts w:asciiTheme="minorEastAsia" w:hAnsiTheme="minorEastAsia" w:eastAsiaTheme="minorEastAsia" w:cstheme="minorEastAsia"/>
                <w:color w:val="auto"/>
                <w:szCs w:val="21"/>
              </w:rPr>
            </w:pPr>
          </w:p>
        </w:tc>
        <w:tc>
          <w:tcPr>
            <w:tcW w:w="1512" w:type="dxa"/>
          </w:tcPr>
          <w:p>
            <w:pPr>
              <w:jc w:val="center"/>
              <w:rPr>
                <w:rFonts w:asciiTheme="minorEastAsia" w:hAnsiTheme="minorEastAsia" w:eastAsiaTheme="minorEastAsia" w:cstheme="minorEastAsia"/>
                <w:color w:val="auto"/>
                <w:szCs w:val="21"/>
              </w:rPr>
            </w:pPr>
          </w:p>
        </w:tc>
        <w:tc>
          <w:tcPr>
            <w:tcW w:w="1513" w:type="dxa"/>
          </w:tcPr>
          <w:p>
            <w:pPr>
              <w:jc w:val="center"/>
              <w:rPr>
                <w:rFonts w:asciiTheme="minorEastAsia" w:hAnsiTheme="minorEastAsia" w:eastAsiaTheme="minorEastAsia" w:cstheme="minorEastAsia"/>
                <w:color w:val="auto"/>
                <w:szCs w:val="21"/>
              </w:rPr>
            </w:pPr>
          </w:p>
        </w:tc>
        <w:tc>
          <w:tcPr>
            <w:tcW w:w="709" w:type="dxa"/>
            <w:vAlign w:val="center"/>
          </w:tcPr>
          <w:p>
            <w:pPr>
              <w:jc w:val="center"/>
              <w:rPr>
                <w:rFonts w:asciiTheme="minorEastAsia" w:hAnsiTheme="minorEastAsia" w:eastAsiaTheme="minorEastAsia" w:cstheme="minorEastAsia"/>
                <w:color w:val="auto"/>
                <w:szCs w:val="21"/>
              </w:rPr>
            </w:pPr>
          </w:p>
        </w:tc>
        <w:tc>
          <w:tcPr>
            <w:tcW w:w="958" w:type="dxa"/>
            <w:vAlign w:val="center"/>
          </w:tcPr>
          <w:p>
            <w:pPr>
              <w:widowControl/>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w:t>
            </w:r>
          </w:p>
        </w:tc>
        <w:tc>
          <w:tcPr>
            <w:tcW w:w="2295" w:type="dxa"/>
            <w:vAlign w:val="center"/>
          </w:tcPr>
          <w:p>
            <w:pPr>
              <w:widowControl/>
              <w:jc w:val="center"/>
              <w:rPr>
                <w:rFonts w:asciiTheme="minorEastAsia" w:hAnsiTheme="minorEastAsia" w:eastAsiaTheme="minorEastAsia" w:cstheme="minorEastAsia"/>
                <w:color w:val="auto"/>
                <w:szCs w:val="21"/>
              </w:rPr>
            </w:pPr>
          </w:p>
        </w:tc>
        <w:tc>
          <w:tcPr>
            <w:tcW w:w="1512" w:type="dxa"/>
            <w:vAlign w:val="center"/>
          </w:tcPr>
          <w:p>
            <w:pPr>
              <w:widowControl/>
              <w:jc w:val="center"/>
              <w:rPr>
                <w:rFonts w:asciiTheme="minorEastAsia" w:hAnsiTheme="minorEastAsia" w:eastAsiaTheme="minorEastAsia" w:cstheme="minorEastAsia"/>
                <w:color w:val="auto"/>
                <w:szCs w:val="21"/>
              </w:rPr>
            </w:pPr>
          </w:p>
        </w:tc>
        <w:tc>
          <w:tcPr>
            <w:tcW w:w="1512" w:type="dxa"/>
          </w:tcPr>
          <w:p>
            <w:pPr>
              <w:jc w:val="center"/>
              <w:rPr>
                <w:rFonts w:asciiTheme="minorEastAsia" w:hAnsiTheme="minorEastAsia" w:eastAsiaTheme="minorEastAsia" w:cstheme="minorEastAsia"/>
                <w:color w:val="auto"/>
                <w:szCs w:val="21"/>
              </w:rPr>
            </w:pPr>
          </w:p>
        </w:tc>
        <w:tc>
          <w:tcPr>
            <w:tcW w:w="1513" w:type="dxa"/>
          </w:tcPr>
          <w:p>
            <w:pPr>
              <w:jc w:val="center"/>
              <w:rPr>
                <w:rFonts w:asciiTheme="minorEastAsia" w:hAnsiTheme="minorEastAsia" w:eastAsiaTheme="minorEastAsia" w:cstheme="minorEastAsia"/>
                <w:color w:val="auto"/>
                <w:szCs w:val="21"/>
              </w:rPr>
            </w:pPr>
          </w:p>
        </w:tc>
        <w:tc>
          <w:tcPr>
            <w:tcW w:w="709" w:type="dxa"/>
            <w:vAlign w:val="center"/>
          </w:tcPr>
          <w:p>
            <w:pPr>
              <w:jc w:val="center"/>
              <w:rPr>
                <w:rFonts w:asciiTheme="minorEastAsia" w:hAnsiTheme="minorEastAsia" w:eastAsiaTheme="minorEastAsia" w:cstheme="minorEastAsia"/>
                <w:color w:val="auto"/>
                <w:szCs w:val="21"/>
              </w:rPr>
            </w:pPr>
          </w:p>
        </w:tc>
        <w:tc>
          <w:tcPr>
            <w:tcW w:w="958" w:type="dxa"/>
            <w:vAlign w:val="center"/>
          </w:tcPr>
          <w:p>
            <w:pPr>
              <w:widowControl/>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w:t>
            </w:r>
          </w:p>
        </w:tc>
        <w:tc>
          <w:tcPr>
            <w:tcW w:w="2295" w:type="dxa"/>
            <w:vAlign w:val="center"/>
          </w:tcPr>
          <w:p>
            <w:pPr>
              <w:widowControl/>
              <w:jc w:val="center"/>
              <w:rPr>
                <w:rFonts w:asciiTheme="minorEastAsia" w:hAnsiTheme="minorEastAsia" w:eastAsiaTheme="minorEastAsia" w:cstheme="minorEastAsia"/>
                <w:color w:val="auto"/>
                <w:szCs w:val="21"/>
              </w:rPr>
            </w:pPr>
          </w:p>
        </w:tc>
        <w:tc>
          <w:tcPr>
            <w:tcW w:w="1512" w:type="dxa"/>
            <w:vAlign w:val="center"/>
          </w:tcPr>
          <w:p>
            <w:pPr>
              <w:widowControl/>
              <w:jc w:val="center"/>
              <w:rPr>
                <w:rFonts w:asciiTheme="minorEastAsia" w:hAnsiTheme="minorEastAsia" w:eastAsiaTheme="minorEastAsia" w:cstheme="minorEastAsia"/>
                <w:color w:val="auto"/>
                <w:szCs w:val="21"/>
              </w:rPr>
            </w:pPr>
          </w:p>
        </w:tc>
        <w:tc>
          <w:tcPr>
            <w:tcW w:w="1512" w:type="dxa"/>
          </w:tcPr>
          <w:p>
            <w:pPr>
              <w:jc w:val="center"/>
              <w:rPr>
                <w:rFonts w:asciiTheme="minorEastAsia" w:hAnsiTheme="minorEastAsia" w:eastAsiaTheme="minorEastAsia" w:cstheme="minorEastAsia"/>
                <w:color w:val="auto"/>
                <w:szCs w:val="21"/>
              </w:rPr>
            </w:pPr>
          </w:p>
        </w:tc>
        <w:tc>
          <w:tcPr>
            <w:tcW w:w="1513" w:type="dxa"/>
          </w:tcPr>
          <w:p>
            <w:pPr>
              <w:jc w:val="center"/>
              <w:rPr>
                <w:rFonts w:asciiTheme="minorEastAsia" w:hAnsiTheme="minorEastAsia" w:eastAsiaTheme="minorEastAsia" w:cstheme="minorEastAsia"/>
                <w:color w:val="auto"/>
                <w:szCs w:val="21"/>
              </w:rPr>
            </w:pPr>
          </w:p>
        </w:tc>
        <w:tc>
          <w:tcPr>
            <w:tcW w:w="709" w:type="dxa"/>
            <w:vAlign w:val="center"/>
          </w:tcPr>
          <w:p>
            <w:pPr>
              <w:jc w:val="center"/>
              <w:rPr>
                <w:rFonts w:asciiTheme="minorEastAsia" w:hAnsiTheme="minorEastAsia" w:eastAsiaTheme="minorEastAsia" w:cstheme="minorEastAsia"/>
                <w:color w:val="auto"/>
                <w:szCs w:val="21"/>
              </w:rPr>
            </w:pPr>
          </w:p>
        </w:tc>
        <w:tc>
          <w:tcPr>
            <w:tcW w:w="958" w:type="dxa"/>
            <w:vAlign w:val="center"/>
          </w:tcPr>
          <w:p>
            <w:pPr>
              <w:widowControl/>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10</w:t>
            </w:r>
          </w:p>
        </w:tc>
        <w:tc>
          <w:tcPr>
            <w:tcW w:w="2295" w:type="dxa"/>
            <w:vAlign w:val="center"/>
          </w:tcPr>
          <w:p>
            <w:pPr>
              <w:widowControl/>
              <w:jc w:val="center"/>
              <w:rPr>
                <w:rFonts w:asciiTheme="minorEastAsia" w:hAnsiTheme="minorEastAsia" w:eastAsiaTheme="minorEastAsia" w:cstheme="minorEastAsia"/>
                <w:color w:val="auto"/>
                <w:szCs w:val="21"/>
              </w:rPr>
            </w:pPr>
          </w:p>
        </w:tc>
        <w:tc>
          <w:tcPr>
            <w:tcW w:w="1512" w:type="dxa"/>
            <w:vAlign w:val="center"/>
          </w:tcPr>
          <w:p>
            <w:pPr>
              <w:widowControl/>
              <w:jc w:val="center"/>
              <w:rPr>
                <w:rFonts w:asciiTheme="minorEastAsia" w:hAnsiTheme="minorEastAsia" w:eastAsiaTheme="minorEastAsia" w:cstheme="minorEastAsia"/>
                <w:color w:val="auto"/>
                <w:szCs w:val="21"/>
              </w:rPr>
            </w:pPr>
          </w:p>
        </w:tc>
        <w:tc>
          <w:tcPr>
            <w:tcW w:w="1512" w:type="dxa"/>
          </w:tcPr>
          <w:p>
            <w:pPr>
              <w:jc w:val="center"/>
              <w:rPr>
                <w:rFonts w:asciiTheme="minorEastAsia" w:hAnsiTheme="minorEastAsia" w:eastAsiaTheme="minorEastAsia" w:cstheme="minorEastAsia"/>
                <w:color w:val="auto"/>
                <w:szCs w:val="21"/>
              </w:rPr>
            </w:pPr>
          </w:p>
        </w:tc>
        <w:tc>
          <w:tcPr>
            <w:tcW w:w="1513" w:type="dxa"/>
          </w:tcPr>
          <w:p>
            <w:pPr>
              <w:jc w:val="center"/>
              <w:rPr>
                <w:rFonts w:asciiTheme="minorEastAsia" w:hAnsiTheme="minorEastAsia" w:eastAsiaTheme="minorEastAsia" w:cstheme="minorEastAsia"/>
                <w:color w:val="auto"/>
                <w:szCs w:val="21"/>
              </w:rPr>
            </w:pPr>
          </w:p>
        </w:tc>
        <w:tc>
          <w:tcPr>
            <w:tcW w:w="709" w:type="dxa"/>
            <w:vAlign w:val="center"/>
          </w:tcPr>
          <w:p>
            <w:pPr>
              <w:jc w:val="center"/>
              <w:rPr>
                <w:rFonts w:asciiTheme="minorEastAsia" w:hAnsiTheme="minorEastAsia" w:eastAsiaTheme="minorEastAsia" w:cstheme="minorEastAsia"/>
                <w:color w:val="auto"/>
                <w:szCs w:val="21"/>
              </w:rPr>
            </w:pPr>
          </w:p>
        </w:tc>
        <w:tc>
          <w:tcPr>
            <w:tcW w:w="958" w:type="dxa"/>
            <w:vAlign w:val="center"/>
          </w:tcPr>
          <w:p>
            <w:pPr>
              <w:widowControl/>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11</w:t>
            </w:r>
          </w:p>
        </w:tc>
        <w:tc>
          <w:tcPr>
            <w:tcW w:w="2295" w:type="dxa"/>
            <w:vAlign w:val="center"/>
          </w:tcPr>
          <w:p>
            <w:pPr>
              <w:widowControl/>
              <w:jc w:val="center"/>
              <w:rPr>
                <w:rFonts w:asciiTheme="minorEastAsia" w:hAnsiTheme="minorEastAsia" w:eastAsiaTheme="minorEastAsia" w:cstheme="minorEastAsia"/>
                <w:color w:val="auto"/>
                <w:szCs w:val="21"/>
              </w:rPr>
            </w:pPr>
          </w:p>
        </w:tc>
        <w:tc>
          <w:tcPr>
            <w:tcW w:w="1512" w:type="dxa"/>
            <w:vAlign w:val="center"/>
          </w:tcPr>
          <w:p>
            <w:pPr>
              <w:widowControl/>
              <w:jc w:val="center"/>
              <w:rPr>
                <w:rFonts w:asciiTheme="minorEastAsia" w:hAnsiTheme="minorEastAsia" w:eastAsiaTheme="minorEastAsia" w:cstheme="minorEastAsia"/>
                <w:color w:val="auto"/>
                <w:szCs w:val="21"/>
              </w:rPr>
            </w:pPr>
          </w:p>
        </w:tc>
        <w:tc>
          <w:tcPr>
            <w:tcW w:w="1512" w:type="dxa"/>
          </w:tcPr>
          <w:p>
            <w:pPr>
              <w:jc w:val="center"/>
              <w:rPr>
                <w:rFonts w:asciiTheme="minorEastAsia" w:hAnsiTheme="minorEastAsia" w:eastAsiaTheme="minorEastAsia" w:cstheme="minorEastAsia"/>
                <w:color w:val="auto"/>
                <w:szCs w:val="21"/>
              </w:rPr>
            </w:pPr>
          </w:p>
        </w:tc>
        <w:tc>
          <w:tcPr>
            <w:tcW w:w="1513" w:type="dxa"/>
          </w:tcPr>
          <w:p>
            <w:pPr>
              <w:jc w:val="center"/>
              <w:rPr>
                <w:rFonts w:asciiTheme="minorEastAsia" w:hAnsiTheme="minorEastAsia" w:eastAsiaTheme="minorEastAsia" w:cstheme="minorEastAsia"/>
                <w:color w:val="auto"/>
                <w:szCs w:val="21"/>
              </w:rPr>
            </w:pPr>
          </w:p>
        </w:tc>
        <w:tc>
          <w:tcPr>
            <w:tcW w:w="709" w:type="dxa"/>
            <w:vAlign w:val="center"/>
          </w:tcPr>
          <w:p>
            <w:pPr>
              <w:jc w:val="center"/>
              <w:rPr>
                <w:rFonts w:asciiTheme="minorEastAsia" w:hAnsiTheme="minorEastAsia" w:eastAsiaTheme="minorEastAsia" w:cstheme="minorEastAsia"/>
                <w:color w:val="auto"/>
                <w:szCs w:val="21"/>
              </w:rPr>
            </w:pPr>
          </w:p>
        </w:tc>
        <w:tc>
          <w:tcPr>
            <w:tcW w:w="958" w:type="dxa"/>
            <w:vAlign w:val="center"/>
          </w:tcPr>
          <w:p>
            <w:pPr>
              <w:widowControl/>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12</w:t>
            </w:r>
          </w:p>
        </w:tc>
        <w:tc>
          <w:tcPr>
            <w:tcW w:w="2295" w:type="dxa"/>
            <w:vAlign w:val="center"/>
          </w:tcPr>
          <w:p>
            <w:pPr>
              <w:widowControl/>
              <w:jc w:val="center"/>
              <w:rPr>
                <w:rFonts w:asciiTheme="minorEastAsia" w:hAnsiTheme="minorEastAsia" w:eastAsiaTheme="minorEastAsia" w:cstheme="minorEastAsia"/>
                <w:color w:val="auto"/>
                <w:szCs w:val="21"/>
              </w:rPr>
            </w:pPr>
          </w:p>
        </w:tc>
        <w:tc>
          <w:tcPr>
            <w:tcW w:w="1512" w:type="dxa"/>
            <w:vAlign w:val="center"/>
          </w:tcPr>
          <w:p>
            <w:pPr>
              <w:widowControl/>
              <w:jc w:val="center"/>
              <w:rPr>
                <w:rFonts w:asciiTheme="minorEastAsia" w:hAnsiTheme="minorEastAsia" w:eastAsiaTheme="minorEastAsia" w:cstheme="minorEastAsia"/>
                <w:color w:val="auto"/>
                <w:szCs w:val="21"/>
              </w:rPr>
            </w:pPr>
          </w:p>
        </w:tc>
        <w:tc>
          <w:tcPr>
            <w:tcW w:w="1512" w:type="dxa"/>
          </w:tcPr>
          <w:p>
            <w:pPr>
              <w:jc w:val="center"/>
              <w:rPr>
                <w:rFonts w:asciiTheme="minorEastAsia" w:hAnsiTheme="minorEastAsia" w:eastAsiaTheme="minorEastAsia" w:cstheme="minorEastAsia"/>
                <w:color w:val="auto"/>
                <w:szCs w:val="21"/>
              </w:rPr>
            </w:pPr>
          </w:p>
        </w:tc>
        <w:tc>
          <w:tcPr>
            <w:tcW w:w="1513" w:type="dxa"/>
          </w:tcPr>
          <w:p>
            <w:pPr>
              <w:jc w:val="center"/>
              <w:rPr>
                <w:rFonts w:asciiTheme="minorEastAsia" w:hAnsiTheme="minorEastAsia" w:eastAsiaTheme="minorEastAsia" w:cstheme="minorEastAsia"/>
                <w:color w:val="auto"/>
                <w:szCs w:val="21"/>
              </w:rPr>
            </w:pPr>
          </w:p>
        </w:tc>
        <w:tc>
          <w:tcPr>
            <w:tcW w:w="709" w:type="dxa"/>
            <w:vAlign w:val="center"/>
          </w:tcPr>
          <w:p>
            <w:pPr>
              <w:jc w:val="center"/>
              <w:rPr>
                <w:rFonts w:asciiTheme="minorEastAsia" w:hAnsiTheme="minorEastAsia" w:eastAsiaTheme="minorEastAsia" w:cstheme="minorEastAsia"/>
                <w:color w:val="auto"/>
                <w:szCs w:val="21"/>
              </w:rPr>
            </w:pPr>
          </w:p>
        </w:tc>
        <w:tc>
          <w:tcPr>
            <w:tcW w:w="958" w:type="dxa"/>
            <w:vAlign w:val="center"/>
          </w:tcPr>
          <w:p>
            <w:pPr>
              <w:widowControl/>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2295" w:type="dxa"/>
            <w:vAlign w:val="center"/>
          </w:tcPr>
          <w:p>
            <w:pPr>
              <w:widowControl/>
              <w:jc w:val="center"/>
              <w:rPr>
                <w:rFonts w:asciiTheme="minorEastAsia" w:hAnsiTheme="minorEastAsia" w:eastAsiaTheme="minorEastAsia" w:cstheme="minorEastAsia"/>
                <w:color w:val="auto"/>
                <w:szCs w:val="21"/>
              </w:rPr>
            </w:pPr>
          </w:p>
        </w:tc>
        <w:tc>
          <w:tcPr>
            <w:tcW w:w="1512" w:type="dxa"/>
            <w:vAlign w:val="center"/>
          </w:tcPr>
          <w:p>
            <w:pPr>
              <w:widowControl/>
              <w:jc w:val="center"/>
              <w:rPr>
                <w:rFonts w:asciiTheme="minorEastAsia" w:hAnsiTheme="minorEastAsia" w:eastAsiaTheme="minorEastAsia" w:cstheme="minorEastAsia"/>
                <w:color w:val="auto"/>
                <w:szCs w:val="21"/>
              </w:rPr>
            </w:pPr>
          </w:p>
        </w:tc>
        <w:tc>
          <w:tcPr>
            <w:tcW w:w="1512" w:type="dxa"/>
          </w:tcPr>
          <w:p>
            <w:pPr>
              <w:jc w:val="center"/>
              <w:rPr>
                <w:rFonts w:asciiTheme="minorEastAsia" w:hAnsiTheme="minorEastAsia" w:eastAsiaTheme="minorEastAsia" w:cstheme="minorEastAsia"/>
                <w:color w:val="auto"/>
                <w:szCs w:val="21"/>
              </w:rPr>
            </w:pPr>
          </w:p>
        </w:tc>
        <w:tc>
          <w:tcPr>
            <w:tcW w:w="1513" w:type="dxa"/>
          </w:tcPr>
          <w:p>
            <w:pPr>
              <w:jc w:val="center"/>
              <w:rPr>
                <w:rFonts w:asciiTheme="minorEastAsia" w:hAnsiTheme="minorEastAsia" w:eastAsiaTheme="minorEastAsia" w:cstheme="minorEastAsia"/>
                <w:color w:val="auto"/>
                <w:szCs w:val="21"/>
              </w:rPr>
            </w:pPr>
          </w:p>
        </w:tc>
        <w:tc>
          <w:tcPr>
            <w:tcW w:w="709" w:type="dxa"/>
            <w:vAlign w:val="center"/>
          </w:tcPr>
          <w:p>
            <w:pPr>
              <w:jc w:val="center"/>
              <w:rPr>
                <w:rFonts w:asciiTheme="minorEastAsia" w:hAnsiTheme="minorEastAsia" w:eastAsiaTheme="minorEastAsia" w:cstheme="minorEastAsia"/>
                <w:color w:val="auto"/>
                <w:szCs w:val="21"/>
              </w:rPr>
            </w:pPr>
          </w:p>
        </w:tc>
        <w:tc>
          <w:tcPr>
            <w:tcW w:w="958" w:type="dxa"/>
            <w:vAlign w:val="center"/>
          </w:tcPr>
          <w:p>
            <w:pPr>
              <w:widowControl/>
              <w:jc w:val="center"/>
              <w:rPr>
                <w:rFonts w:asciiTheme="minorEastAsia" w:hAnsiTheme="minorEastAsia" w:eastAsiaTheme="minorEastAsia" w:cstheme="minorEastAsia"/>
                <w:color w:val="auto"/>
                <w:szCs w:val="21"/>
              </w:rPr>
            </w:pPr>
          </w:p>
        </w:tc>
      </w:tr>
    </w:tbl>
    <w:p>
      <w:pPr>
        <w:spacing w:line="360" w:lineRule="auto"/>
        <w:rPr>
          <w:rFonts w:asciiTheme="minorEastAsia" w:hAnsiTheme="minorEastAsia" w:eastAsiaTheme="minorEastAsia" w:cstheme="minorEastAsia"/>
          <w:color w:val="auto"/>
          <w:szCs w:val="21"/>
        </w:rPr>
      </w:pPr>
    </w:p>
    <w:p>
      <w:pPr>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磋商供应商授权代表（签字）：</w:t>
      </w:r>
      <w:r>
        <w:rPr>
          <w:rFonts w:hint="eastAsia" w:asciiTheme="minorEastAsia" w:hAnsiTheme="minorEastAsia" w:eastAsiaTheme="minorEastAsia" w:cstheme="minorEastAsia"/>
          <w:color w:val="auto"/>
          <w:szCs w:val="21"/>
          <w:u w:val="single"/>
        </w:rPr>
        <w:t xml:space="preserve">                        </w:t>
      </w:r>
    </w:p>
    <w:p>
      <w:pPr>
        <w:spacing w:line="360" w:lineRule="auto"/>
        <w:rPr>
          <w:rFonts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磋商供应商名称（盖章）：</w:t>
      </w:r>
      <w:r>
        <w:rPr>
          <w:rFonts w:hint="eastAsia" w:asciiTheme="minorEastAsia" w:hAnsiTheme="minorEastAsia" w:eastAsiaTheme="minorEastAsia" w:cstheme="minorEastAsia"/>
          <w:color w:val="auto"/>
          <w:szCs w:val="21"/>
          <w:u w:val="single"/>
        </w:rPr>
        <w:t xml:space="preserve">                                     </w:t>
      </w:r>
    </w:p>
    <w:p>
      <w:pPr>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时                 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left"/>
        <w:rPr>
          <w:rFonts w:asciiTheme="minorEastAsia" w:hAnsiTheme="minorEastAsia" w:eastAsiaTheme="minorEastAsia" w:cstheme="minorEastAsia"/>
          <w:color w:val="auto"/>
          <w:szCs w:val="21"/>
        </w:rPr>
      </w:pPr>
    </w:p>
    <w:p>
      <w:pPr>
        <w:rPr>
          <w:color w:val="auto"/>
        </w:rPr>
      </w:pPr>
    </w:p>
    <w:p>
      <w:pPr>
        <w:tabs>
          <w:tab w:val="left" w:pos="540"/>
        </w:tabs>
        <w:autoSpaceDE w:val="0"/>
        <w:autoSpaceDN w:val="0"/>
        <w:adjustRightInd w:val="0"/>
        <w:spacing w:line="360" w:lineRule="auto"/>
        <w:jc w:val="left"/>
        <w:rPr>
          <w:rFonts w:asciiTheme="minorEastAsia" w:hAnsiTheme="minorEastAsia" w:eastAsiaTheme="minorEastAsia" w:cstheme="minorEastAsia"/>
          <w:color w:val="auto"/>
          <w:szCs w:val="21"/>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color w:val="auto"/>
          <w:szCs w:val="21"/>
        </w:rPr>
      </w:pPr>
      <w:r>
        <w:rPr>
          <w:rFonts w:hint="eastAsia" w:asciiTheme="minorEastAsia" w:hAnsiTheme="minorEastAsia" w:eastAsiaTheme="minorEastAsia" w:cstheme="minorEastAsia"/>
          <w:color w:val="auto"/>
          <w:szCs w:val="21"/>
        </w:rPr>
        <w:br w:type="page"/>
      </w:r>
      <w:bookmarkStart w:id="158" w:name="_Toc7535"/>
      <w:bookmarkStart w:id="159" w:name="_Toc32726"/>
      <w:bookmarkStart w:id="160" w:name="_Toc479184131"/>
      <w:bookmarkStart w:id="161" w:name="_Toc22463"/>
      <w:r>
        <w:rPr>
          <w:rFonts w:hint="eastAsia" w:asciiTheme="minorEastAsia" w:hAnsiTheme="minorEastAsia" w:eastAsiaTheme="minorEastAsia" w:cstheme="minorEastAsia"/>
          <w:b/>
          <w:bCs/>
          <w:color w:val="auto"/>
          <w:szCs w:val="21"/>
        </w:rPr>
        <w:t>八、拟投入设备/备件、工具情况</w:t>
      </w:r>
      <w:bookmarkEnd w:id="158"/>
      <w:bookmarkEnd w:id="159"/>
      <w:bookmarkEnd w:id="160"/>
      <w:r>
        <w:rPr>
          <w:rFonts w:hint="eastAsia" w:asciiTheme="minorEastAsia" w:hAnsiTheme="minorEastAsia" w:eastAsiaTheme="minorEastAsia" w:cstheme="minorEastAsia"/>
          <w:b/>
          <w:bCs/>
          <w:color w:val="auto"/>
          <w:szCs w:val="21"/>
        </w:rPr>
        <w:t>（如有）</w:t>
      </w:r>
      <w:bookmarkEnd w:id="161"/>
    </w:p>
    <w:p>
      <w:pPr>
        <w:spacing w:line="360" w:lineRule="auto"/>
        <w:rPr>
          <w:rFonts w:asciiTheme="minorEastAsia" w:hAnsiTheme="minorEastAsia" w:eastAsiaTheme="minorEastAsia" w:cstheme="minorEastAsia"/>
          <w:color w:val="auto"/>
          <w:szCs w:val="21"/>
        </w:rPr>
      </w:pPr>
    </w:p>
    <w:p>
      <w:pPr>
        <w:adjustRightInd w:val="0"/>
        <w:snapToGrid w:val="0"/>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adjustRightInd w:val="0"/>
        <w:snapToGrid w:val="0"/>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序号</w:t>
            </w:r>
          </w:p>
        </w:tc>
        <w:tc>
          <w:tcPr>
            <w:tcW w:w="2295" w:type="dxa"/>
            <w:vAlign w:val="center"/>
          </w:tcPr>
          <w:p>
            <w:pPr>
              <w:widowControl/>
              <w:jc w:val="center"/>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设备</w:t>
            </w:r>
            <w:r>
              <w:rPr>
                <w:rFonts w:hint="eastAsia" w:asciiTheme="minorEastAsia" w:hAnsiTheme="minorEastAsia" w:eastAsiaTheme="minorEastAsia" w:cstheme="minorEastAsia"/>
                <w:b/>
                <w:bCs/>
                <w:color w:val="auto"/>
                <w:szCs w:val="21"/>
              </w:rPr>
              <w:t>/备件</w:t>
            </w:r>
            <w:r>
              <w:rPr>
                <w:rFonts w:hint="eastAsia" w:asciiTheme="minorEastAsia" w:hAnsiTheme="minorEastAsia" w:eastAsiaTheme="minorEastAsia" w:cstheme="minorEastAsia"/>
                <w:b/>
                <w:color w:val="auto"/>
                <w:szCs w:val="21"/>
              </w:rPr>
              <w:t>名称</w:t>
            </w:r>
          </w:p>
        </w:tc>
        <w:tc>
          <w:tcPr>
            <w:tcW w:w="1512" w:type="dxa"/>
            <w:vAlign w:val="center"/>
          </w:tcPr>
          <w:p>
            <w:pPr>
              <w:widowControl/>
              <w:jc w:val="center"/>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规格型号</w:t>
            </w:r>
          </w:p>
        </w:tc>
        <w:tc>
          <w:tcPr>
            <w:tcW w:w="1512" w:type="dxa"/>
          </w:tcPr>
          <w:p>
            <w:pPr>
              <w:widowControl/>
              <w:jc w:val="center"/>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制造商名称</w:t>
            </w:r>
          </w:p>
        </w:tc>
        <w:tc>
          <w:tcPr>
            <w:tcW w:w="1513" w:type="dxa"/>
          </w:tcPr>
          <w:p>
            <w:pPr>
              <w:widowControl/>
              <w:jc w:val="center"/>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产地</w:t>
            </w:r>
          </w:p>
        </w:tc>
        <w:tc>
          <w:tcPr>
            <w:tcW w:w="709" w:type="dxa"/>
            <w:vAlign w:val="center"/>
          </w:tcPr>
          <w:p>
            <w:pPr>
              <w:widowControl/>
              <w:jc w:val="center"/>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数量</w:t>
            </w:r>
          </w:p>
        </w:tc>
        <w:tc>
          <w:tcPr>
            <w:tcW w:w="958" w:type="dxa"/>
            <w:vAlign w:val="center"/>
          </w:tcPr>
          <w:p>
            <w:pPr>
              <w:widowControl/>
              <w:jc w:val="center"/>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295" w:type="dxa"/>
            <w:vAlign w:val="center"/>
          </w:tcPr>
          <w:p>
            <w:pPr>
              <w:widowControl/>
              <w:jc w:val="center"/>
              <w:rPr>
                <w:rFonts w:asciiTheme="minorEastAsia" w:hAnsiTheme="minorEastAsia" w:eastAsiaTheme="minorEastAsia" w:cstheme="minorEastAsia"/>
                <w:color w:val="auto"/>
                <w:szCs w:val="21"/>
              </w:rPr>
            </w:pPr>
          </w:p>
        </w:tc>
        <w:tc>
          <w:tcPr>
            <w:tcW w:w="1512" w:type="dxa"/>
            <w:vAlign w:val="center"/>
          </w:tcPr>
          <w:p>
            <w:pPr>
              <w:widowControl/>
              <w:jc w:val="center"/>
              <w:rPr>
                <w:rFonts w:asciiTheme="minorEastAsia" w:hAnsiTheme="minorEastAsia" w:eastAsiaTheme="minorEastAsia" w:cstheme="minorEastAsia"/>
                <w:color w:val="auto"/>
                <w:szCs w:val="21"/>
              </w:rPr>
            </w:pPr>
          </w:p>
        </w:tc>
        <w:tc>
          <w:tcPr>
            <w:tcW w:w="1512" w:type="dxa"/>
          </w:tcPr>
          <w:p>
            <w:pPr>
              <w:widowControl/>
              <w:jc w:val="center"/>
              <w:rPr>
                <w:rFonts w:asciiTheme="minorEastAsia" w:hAnsiTheme="minorEastAsia" w:eastAsiaTheme="minorEastAsia" w:cstheme="minorEastAsia"/>
                <w:color w:val="auto"/>
                <w:szCs w:val="21"/>
              </w:rPr>
            </w:pPr>
          </w:p>
        </w:tc>
        <w:tc>
          <w:tcPr>
            <w:tcW w:w="1513" w:type="dxa"/>
          </w:tcPr>
          <w:p>
            <w:pPr>
              <w:widowControl/>
              <w:jc w:val="center"/>
              <w:rPr>
                <w:rFonts w:asciiTheme="minorEastAsia" w:hAnsiTheme="minorEastAsia" w:eastAsiaTheme="minorEastAsia" w:cstheme="minorEastAsia"/>
                <w:color w:val="auto"/>
                <w:szCs w:val="21"/>
              </w:rPr>
            </w:pPr>
          </w:p>
        </w:tc>
        <w:tc>
          <w:tcPr>
            <w:tcW w:w="709" w:type="dxa"/>
            <w:vAlign w:val="center"/>
          </w:tcPr>
          <w:p>
            <w:pPr>
              <w:widowControl/>
              <w:jc w:val="center"/>
              <w:rPr>
                <w:rFonts w:asciiTheme="minorEastAsia" w:hAnsiTheme="minorEastAsia" w:eastAsiaTheme="minorEastAsia" w:cstheme="minorEastAsia"/>
                <w:color w:val="auto"/>
                <w:szCs w:val="21"/>
              </w:rPr>
            </w:pPr>
          </w:p>
        </w:tc>
        <w:tc>
          <w:tcPr>
            <w:tcW w:w="958" w:type="dxa"/>
            <w:vAlign w:val="center"/>
          </w:tcPr>
          <w:p>
            <w:pPr>
              <w:widowControl/>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295" w:type="dxa"/>
            <w:vAlign w:val="center"/>
          </w:tcPr>
          <w:p>
            <w:pPr>
              <w:widowControl/>
              <w:jc w:val="center"/>
              <w:rPr>
                <w:rFonts w:asciiTheme="minorEastAsia" w:hAnsiTheme="minorEastAsia" w:eastAsiaTheme="minorEastAsia" w:cstheme="minorEastAsia"/>
                <w:color w:val="auto"/>
                <w:szCs w:val="21"/>
              </w:rPr>
            </w:pPr>
          </w:p>
        </w:tc>
        <w:tc>
          <w:tcPr>
            <w:tcW w:w="1512" w:type="dxa"/>
            <w:vAlign w:val="center"/>
          </w:tcPr>
          <w:p>
            <w:pPr>
              <w:widowControl/>
              <w:jc w:val="center"/>
              <w:rPr>
                <w:rFonts w:asciiTheme="minorEastAsia" w:hAnsiTheme="minorEastAsia" w:eastAsiaTheme="minorEastAsia" w:cstheme="minorEastAsia"/>
                <w:color w:val="auto"/>
                <w:szCs w:val="21"/>
              </w:rPr>
            </w:pPr>
          </w:p>
        </w:tc>
        <w:tc>
          <w:tcPr>
            <w:tcW w:w="1512" w:type="dxa"/>
          </w:tcPr>
          <w:p>
            <w:pPr>
              <w:widowControl/>
              <w:jc w:val="center"/>
              <w:rPr>
                <w:rFonts w:asciiTheme="minorEastAsia" w:hAnsiTheme="minorEastAsia" w:eastAsiaTheme="minorEastAsia" w:cstheme="minorEastAsia"/>
                <w:color w:val="auto"/>
                <w:szCs w:val="21"/>
              </w:rPr>
            </w:pPr>
          </w:p>
        </w:tc>
        <w:tc>
          <w:tcPr>
            <w:tcW w:w="1513" w:type="dxa"/>
          </w:tcPr>
          <w:p>
            <w:pPr>
              <w:widowControl/>
              <w:jc w:val="center"/>
              <w:rPr>
                <w:rFonts w:asciiTheme="minorEastAsia" w:hAnsiTheme="minorEastAsia" w:eastAsiaTheme="minorEastAsia" w:cstheme="minorEastAsia"/>
                <w:color w:val="auto"/>
                <w:szCs w:val="21"/>
              </w:rPr>
            </w:pPr>
          </w:p>
        </w:tc>
        <w:tc>
          <w:tcPr>
            <w:tcW w:w="709" w:type="dxa"/>
            <w:vAlign w:val="center"/>
          </w:tcPr>
          <w:p>
            <w:pPr>
              <w:widowControl/>
              <w:jc w:val="center"/>
              <w:rPr>
                <w:rFonts w:asciiTheme="minorEastAsia" w:hAnsiTheme="minorEastAsia" w:eastAsiaTheme="minorEastAsia" w:cstheme="minorEastAsia"/>
                <w:color w:val="auto"/>
                <w:szCs w:val="21"/>
              </w:rPr>
            </w:pPr>
          </w:p>
        </w:tc>
        <w:tc>
          <w:tcPr>
            <w:tcW w:w="958" w:type="dxa"/>
            <w:vAlign w:val="center"/>
          </w:tcPr>
          <w:p>
            <w:pPr>
              <w:widowControl/>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295" w:type="dxa"/>
            <w:vAlign w:val="center"/>
          </w:tcPr>
          <w:p>
            <w:pPr>
              <w:widowControl/>
              <w:jc w:val="center"/>
              <w:rPr>
                <w:rFonts w:asciiTheme="minorEastAsia" w:hAnsiTheme="minorEastAsia" w:eastAsiaTheme="minorEastAsia" w:cstheme="minorEastAsia"/>
                <w:color w:val="auto"/>
                <w:szCs w:val="21"/>
              </w:rPr>
            </w:pPr>
          </w:p>
        </w:tc>
        <w:tc>
          <w:tcPr>
            <w:tcW w:w="1512" w:type="dxa"/>
            <w:vAlign w:val="center"/>
          </w:tcPr>
          <w:p>
            <w:pPr>
              <w:widowControl/>
              <w:jc w:val="center"/>
              <w:rPr>
                <w:rFonts w:asciiTheme="minorEastAsia" w:hAnsiTheme="minorEastAsia" w:eastAsiaTheme="minorEastAsia" w:cstheme="minorEastAsia"/>
                <w:color w:val="auto"/>
                <w:szCs w:val="21"/>
              </w:rPr>
            </w:pPr>
          </w:p>
        </w:tc>
        <w:tc>
          <w:tcPr>
            <w:tcW w:w="1512" w:type="dxa"/>
          </w:tcPr>
          <w:p>
            <w:pPr>
              <w:widowControl/>
              <w:jc w:val="center"/>
              <w:rPr>
                <w:rFonts w:asciiTheme="minorEastAsia" w:hAnsiTheme="minorEastAsia" w:eastAsiaTheme="minorEastAsia" w:cstheme="minorEastAsia"/>
                <w:color w:val="auto"/>
                <w:szCs w:val="21"/>
              </w:rPr>
            </w:pPr>
          </w:p>
        </w:tc>
        <w:tc>
          <w:tcPr>
            <w:tcW w:w="1513" w:type="dxa"/>
          </w:tcPr>
          <w:p>
            <w:pPr>
              <w:widowControl/>
              <w:jc w:val="center"/>
              <w:rPr>
                <w:rFonts w:asciiTheme="minorEastAsia" w:hAnsiTheme="minorEastAsia" w:eastAsiaTheme="minorEastAsia" w:cstheme="minorEastAsia"/>
                <w:color w:val="auto"/>
                <w:szCs w:val="21"/>
              </w:rPr>
            </w:pPr>
          </w:p>
        </w:tc>
        <w:tc>
          <w:tcPr>
            <w:tcW w:w="709" w:type="dxa"/>
            <w:vAlign w:val="center"/>
          </w:tcPr>
          <w:p>
            <w:pPr>
              <w:widowControl/>
              <w:jc w:val="center"/>
              <w:rPr>
                <w:rFonts w:asciiTheme="minorEastAsia" w:hAnsiTheme="minorEastAsia" w:eastAsiaTheme="minorEastAsia" w:cstheme="minorEastAsia"/>
                <w:color w:val="auto"/>
                <w:szCs w:val="21"/>
              </w:rPr>
            </w:pPr>
          </w:p>
        </w:tc>
        <w:tc>
          <w:tcPr>
            <w:tcW w:w="958" w:type="dxa"/>
            <w:vAlign w:val="center"/>
          </w:tcPr>
          <w:p>
            <w:pPr>
              <w:widowControl/>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w:t>
            </w:r>
          </w:p>
        </w:tc>
        <w:tc>
          <w:tcPr>
            <w:tcW w:w="2295" w:type="dxa"/>
            <w:vAlign w:val="center"/>
          </w:tcPr>
          <w:p>
            <w:pPr>
              <w:widowControl/>
              <w:jc w:val="center"/>
              <w:rPr>
                <w:rFonts w:asciiTheme="minorEastAsia" w:hAnsiTheme="minorEastAsia" w:eastAsiaTheme="minorEastAsia" w:cstheme="minorEastAsia"/>
                <w:color w:val="auto"/>
                <w:szCs w:val="21"/>
              </w:rPr>
            </w:pPr>
          </w:p>
        </w:tc>
        <w:tc>
          <w:tcPr>
            <w:tcW w:w="1512" w:type="dxa"/>
            <w:vAlign w:val="center"/>
          </w:tcPr>
          <w:p>
            <w:pPr>
              <w:widowControl/>
              <w:jc w:val="left"/>
              <w:rPr>
                <w:rFonts w:asciiTheme="minorEastAsia" w:hAnsiTheme="minorEastAsia" w:eastAsiaTheme="minorEastAsia" w:cstheme="minorEastAsia"/>
                <w:color w:val="auto"/>
                <w:kern w:val="0"/>
                <w:szCs w:val="21"/>
              </w:rPr>
            </w:pPr>
          </w:p>
        </w:tc>
        <w:tc>
          <w:tcPr>
            <w:tcW w:w="1512" w:type="dxa"/>
          </w:tcPr>
          <w:p>
            <w:pPr>
              <w:widowControl/>
              <w:jc w:val="center"/>
              <w:rPr>
                <w:rFonts w:asciiTheme="minorEastAsia" w:hAnsiTheme="minorEastAsia" w:eastAsiaTheme="minorEastAsia" w:cstheme="minorEastAsia"/>
                <w:color w:val="auto"/>
                <w:szCs w:val="21"/>
              </w:rPr>
            </w:pPr>
          </w:p>
        </w:tc>
        <w:tc>
          <w:tcPr>
            <w:tcW w:w="1513" w:type="dxa"/>
          </w:tcPr>
          <w:p>
            <w:pPr>
              <w:widowControl/>
              <w:jc w:val="center"/>
              <w:rPr>
                <w:rFonts w:asciiTheme="minorEastAsia" w:hAnsiTheme="minorEastAsia" w:eastAsiaTheme="minorEastAsia" w:cstheme="minorEastAsia"/>
                <w:color w:val="auto"/>
                <w:szCs w:val="21"/>
              </w:rPr>
            </w:pPr>
          </w:p>
        </w:tc>
        <w:tc>
          <w:tcPr>
            <w:tcW w:w="709" w:type="dxa"/>
            <w:vAlign w:val="center"/>
          </w:tcPr>
          <w:p>
            <w:pPr>
              <w:widowControl/>
              <w:jc w:val="center"/>
              <w:rPr>
                <w:rFonts w:asciiTheme="minorEastAsia" w:hAnsiTheme="minorEastAsia" w:eastAsiaTheme="minorEastAsia" w:cstheme="minorEastAsia"/>
                <w:color w:val="auto"/>
                <w:szCs w:val="21"/>
              </w:rPr>
            </w:pPr>
          </w:p>
        </w:tc>
        <w:tc>
          <w:tcPr>
            <w:tcW w:w="958" w:type="dxa"/>
            <w:vAlign w:val="center"/>
          </w:tcPr>
          <w:p>
            <w:pPr>
              <w:widowControl/>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c>
          <w:tcPr>
            <w:tcW w:w="2295" w:type="dxa"/>
            <w:vAlign w:val="center"/>
          </w:tcPr>
          <w:p>
            <w:pPr>
              <w:widowControl/>
              <w:jc w:val="center"/>
              <w:rPr>
                <w:rFonts w:asciiTheme="minorEastAsia" w:hAnsiTheme="minorEastAsia" w:eastAsiaTheme="minorEastAsia" w:cstheme="minorEastAsia"/>
                <w:color w:val="auto"/>
                <w:szCs w:val="21"/>
              </w:rPr>
            </w:pPr>
          </w:p>
        </w:tc>
        <w:tc>
          <w:tcPr>
            <w:tcW w:w="1512" w:type="dxa"/>
            <w:vAlign w:val="center"/>
          </w:tcPr>
          <w:p>
            <w:pPr>
              <w:widowControl/>
              <w:jc w:val="center"/>
              <w:rPr>
                <w:rFonts w:asciiTheme="minorEastAsia" w:hAnsiTheme="minorEastAsia" w:eastAsiaTheme="minorEastAsia" w:cstheme="minorEastAsia"/>
                <w:color w:val="auto"/>
                <w:szCs w:val="21"/>
              </w:rPr>
            </w:pPr>
          </w:p>
        </w:tc>
        <w:tc>
          <w:tcPr>
            <w:tcW w:w="1512" w:type="dxa"/>
          </w:tcPr>
          <w:p>
            <w:pPr>
              <w:jc w:val="center"/>
              <w:rPr>
                <w:rFonts w:asciiTheme="minorEastAsia" w:hAnsiTheme="minorEastAsia" w:eastAsiaTheme="minorEastAsia" w:cstheme="minorEastAsia"/>
                <w:color w:val="auto"/>
                <w:szCs w:val="21"/>
              </w:rPr>
            </w:pPr>
          </w:p>
        </w:tc>
        <w:tc>
          <w:tcPr>
            <w:tcW w:w="1513" w:type="dxa"/>
          </w:tcPr>
          <w:p>
            <w:pPr>
              <w:jc w:val="center"/>
              <w:rPr>
                <w:rFonts w:asciiTheme="minorEastAsia" w:hAnsiTheme="minorEastAsia" w:eastAsiaTheme="minorEastAsia" w:cstheme="minorEastAsia"/>
                <w:color w:val="auto"/>
                <w:szCs w:val="21"/>
              </w:rPr>
            </w:pPr>
          </w:p>
        </w:tc>
        <w:tc>
          <w:tcPr>
            <w:tcW w:w="709" w:type="dxa"/>
            <w:vAlign w:val="center"/>
          </w:tcPr>
          <w:p>
            <w:pPr>
              <w:jc w:val="center"/>
              <w:rPr>
                <w:rFonts w:asciiTheme="minorEastAsia" w:hAnsiTheme="minorEastAsia" w:eastAsiaTheme="minorEastAsia" w:cstheme="minorEastAsia"/>
                <w:color w:val="auto"/>
                <w:szCs w:val="21"/>
              </w:rPr>
            </w:pPr>
          </w:p>
        </w:tc>
        <w:tc>
          <w:tcPr>
            <w:tcW w:w="958" w:type="dxa"/>
            <w:vAlign w:val="center"/>
          </w:tcPr>
          <w:p>
            <w:pPr>
              <w:widowControl/>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w:t>
            </w:r>
          </w:p>
        </w:tc>
        <w:tc>
          <w:tcPr>
            <w:tcW w:w="2295" w:type="dxa"/>
            <w:vAlign w:val="center"/>
          </w:tcPr>
          <w:p>
            <w:pPr>
              <w:widowControl/>
              <w:jc w:val="center"/>
              <w:rPr>
                <w:rFonts w:asciiTheme="minorEastAsia" w:hAnsiTheme="minorEastAsia" w:eastAsiaTheme="minorEastAsia" w:cstheme="minorEastAsia"/>
                <w:color w:val="auto"/>
                <w:szCs w:val="21"/>
              </w:rPr>
            </w:pPr>
          </w:p>
        </w:tc>
        <w:tc>
          <w:tcPr>
            <w:tcW w:w="1512" w:type="dxa"/>
            <w:vAlign w:val="center"/>
          </w:tcPr>
          <w:p>
            <w:pPr>
              <w:widowControl/>
              <w:jc w:val="center"/>
              <w:rPr>
                <w:rFonts w:asciiTheme="minorEastAsia" w:hAnsiTheme="minorEastAsia" w:eastAsiaTheme="minorEastAsia" w:cstheme="minorEastAsia"/>
                <w:color w:val="auto"/>
                <w:szCs w:val="21"/>
              </w:rPr>
            </w:pPr>
          </w:p>
        </w:tc>
        <w:tc>
          <w:tcPr>
            <w:tcW w:w="1512" w:type="dxa"/>
          </w:tcPr>
          <w:p>
            <w:pPr>
              <w:jc w:val="center"/>
              <w:rPr>
                <w:rFonts w:asciiTheme="minorEastAsia" w:hAnsiTheme="minorEastAsia" w:eastAsiaTheme="minorEastAsia" w:cstheme="minorEastAsia"/>
                <w:color w:val="auto"/>
                <w:szCs w:val="21"/>
              </w:rPr>
            </w:pPr>
          </w:p>
        </w:tc>
        <w:tc>
          <w:tcPr>
            <w:tcW w:w="1513" w:type="dxa"/>
          </w:tcPr>
          <w:p>
            <w:pPr>
              <w:jc w:val="center"/>
              <w:rPr>
                <w:rFonts w:asciiTheme="minorEastAsia" w:hAnsiTheme="minorEastAsia" w:eastAsiaTheme="minorEastAsia" w:cstheme="minorEastAsia"/>
                <w:color w:val="auto"/>
                <w:szCs w:val="21"/>
              </w:rPr>
            </w:pPr>
          </w:p>
        </w:tc>
        <w:tc>
          <w:tcPr>
            <w:tcW w:w="709" w:type="dxa"/>
            <w:vAlign w:val="center"/>
          </w:tcPr>
          <w:p>
            <w:pPr>
              <w:jc w:val="center"/>
              <w:rPr>
                <w:rFonts w:asciiTheme="minorEastAsia" w:hAnsiTheme="minorEastAsia" w:eastAsiaTheme="minorEastAsia" w:cstheme="minorEastAsia"/>
                <w:color w:val="auto"/>
                <w:szCs w:val="21"/>
              </w:rPr>
            </w:pPr>
          </w:p>
        </w:tc>
        <w:tc>
          <w:tcPr>
            <w:tcW w:w="958" w:type="dxa"/>
            <w:vAlign w:val="center"/>
          </w:tcPr>
          <w:p>
            <w:pPr>
              <w:widowControl/>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w:t>
            </w:r>
          </w:p>
        </w:tc>
        <w:tc>
          <w:tcPr>
            <w:tcW w:w="2295" w:type="dxa"/>
            <w:vAlign w:val="center"/>
          </w:tcPr>
          <w:p>
            <w:pPr>
              <w:widowControl/>
              <w:jc w:val="center"/>
              <w:rPr>
                <w:rFonts w:asciiTheme="minorEastAsia" w:hAnsiTheme="minorEastAsia" w:eastAsiaTheme="minorEastAsia" w:cstheme="minorEastAsia"/>
                <w:color w:val="auto"/>
                <w:szCs w:val="21"/>
              </w:rPr>
            </w:pPr>
          </w:p>
        </w:tc>
        <w:tc>
          <w:tcPr>
            <w:tcW w:w="1512" w:type="dxa"/>
            <w:vAlign w:val="center"/>
          </w:tcPr>
          <w:p>
            <w:pPr>
              <w:widowControl/>
              <w:jc w:val="center"/>
              <w:rPr>
                <w:rFonts w:asciiTheme="minorEastAsia" w:hAnsiTheme="minorEastAsia" w:eastAsiaTheme="minorEastAsia" w:cstheme="minorEastAsia"/>
                <w:color w:val="auto"/>
                <w:szCs w:val="21"/>
              </w:rPr>
            </w:pPr>
          </w:p>
        </w:tc>
        <w:tc>
          <w:tcPr>
            <w:tcW w:w="1512" w:type="dxa"/>
          </w:tcPr>
          <w:p>
            <w:pPr>
              <w:jc w:val="center"/>
              <w:rPr>
                <w:rFonts w:asciiTheme="minorEastAsia" w:hAnsiTheme="minorEastAsia" w:eastAsiaTheme="minorEastAsia" w:cstheme="minorEastAsia"/>
                <w:color w:val="auto"/>
                <w:szCs w:val="21"/>
              </w:rPr>
            </w:pPr>
          </w:p>
        </w:tc>
        <w:tc>
          <w:tcPr>
            <w:tcW w:w="1513" w:type="dxa"/>
          </w:tcPr>
          <w:p>
            <w:pPr>
              <w:jc w:val="center"/>
              <w:rPr>
                <w:rFonts w:asciiTheme="minorEastAsia" w:hAnsiTheme="minorEastAsia" w:eastAsiaTheme="minorEastAsia" w:cstheme="minorEastAsia"/>
                <w:color w:val="auto"/>
                <w:szCs w:val="21"/>
              </w:rPr>
            </w:pPr>
          </w:p>
        </w:tc>
        <w:tc>
          <w:tcPr>
            <w:tcW w:w="709" w:type="dxa"/>
            <w:vAlign w:val="center"/>
          </w:tcPr>
          <w:p>
            <w:pPr>
              <w:jc w:val="center"/>
              <w:rPr>
                <w:rFonts w:asciiTheme="minorEastAsia" w:hAnsiTheme="minorEastAsia" w:eastAsiaTheme="minorEastAsia" w:cstheme="minorEastAsia"/>
                <w:color w:val="auto"/>
                <w:szCs w:val="21"/>
              </w:rPr>
            </w:pPr>
          </w:p>
        </w:tc>
        <w:tc>
          <w:tcPr>
            <w:tcW w:w="958" w:type="dxa"/>
            <w:vAlign w:val="center"/>
          </w:tcPr>
          <w:p>
            <w:pPr>
              <w:widowControl/>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w:t>
            </w:r>
          </w:p>
        </w:tc>
        <w:tc>
          <w:tcPr>
            <w:tcW w:w="2295" w:type="dxa"/>
            <w:vAlign w:val="center"/>
          </w:tcPr>
          <w:p>
            <w:pPr>
              <w:widowControl/>
              <w:jc w:val="center"/>
              <w:rPr>
                <w:rFonts w:asciiTheme="minorEastAsia" w:hAnsiTheme="minorEastAsia" w:eastAsiaTheme="minorEastAsia" w:cstheme="minorEastAsia"/>
                <w:color w:val="auto"/>
                <w:szCs w:val="21"/>
              </w:rPr>
            </w:pPr>
          </w:p>
        </w:tc>
        <w:tc>
          <w:tcPr>
            <w:tcW w:w="1512" w:type="dxa"/>
            <w:vAlign w:val="center"/>
          </w:tcPr>
          <w:p>
            <w:pPr>
              <w:widowControl/>
              <w:jc w:val="center"/>
              <w:rPr>
                <w:rFonts w:asciiTheme="minorEastAsia" w:hAnsiTheme="minorEastAsia" w:eastAsiaTheme="minorEastAsia" w:cstheme="minorEastAsia"/>
                <w:color w:val="auto"/>
                <w:szCs w:val="21"/>
              </w:rPr>
            </w:pPr>
          </w:p>
        </w:tc>
        <w:tc>
          <w:tcPr>
            <w:tcW w:w="1512" w:type="dxa"/>
          </w:tcPr>
          <w:p>
            <w:pPr>
              <w:jc w:val="center"/>
              <w:rPr>
                <w:rFonts w:asciiTheme="minorEastAsia" w:hAnsiTheme="minorEastAsia" w:eastAsiaTheme="minorEastAsia" w:cstheme="minorEastAsia"/>
                <w:color w:val="auto"/>
                <w:szCs w:val="21"/>
              </w:rPr>
            </w:pPr>
          </w:p>
        </w:tc>
        <w:tc>
          <w:tcPr>
            <w:tcW w:w="1513" w:type="dxa"/>
          </w:tcPr>
          <w:p>
            <w:pPr>
              <w:jc w:val="center"/>
              <w:rPr>
                <w:rFonts w:asciiTheme="minorEastAsia" w:hAnsiTheme="minorEastAsia" w:eastAsiaTheme="minorEastAsia" w:cstheme="minorEastAsia"/>
                <w:color w:val="auto"/>
                <w:szCs w:val="21"/>
              </w:rPr>
            </w:pPr>
          </w:p>
        </w:tc>
        <w:tc>
          <w:tcPr>
            <w:tcW w:w="709" w:type="dxa"/>
            <w:vAlign w:val="center"/>
          </w:tcPr>
          <w:p>
            <w:pPr>
              <w:jc w:val="center"/>
              <w:rPr>
                <w:rFonts w:asciiTheme="minorEastAsia" w:hAnsiTheme="minorEastAsia" w:eastAsiaTheme="minorEastAsia" w:cstheme="minorEastAsia"/>
                <w:color w:val="auto"/>
                <w:szCs w:val="21"/>
              </w:rPr>
            </w:pPr>
          </w:p>
        </w:tc>
        <w:tc>
          <w:tcPr>
            <w:tcW w:w="958" w:type="dxa"/>
            <w:vAlign w:val="center"/>
          </w:tcPr>
          <w:p>
            <w:pPr>
              <w:widowControl/>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w:t>
            </w:r>
          </w:p>
        </w:tc>
        <w:tc>
          <w:tcPr>
            <w:tcW w:w="2295" w:type="dxa"/>
            <w:vAlign w:val="center"/>
          </w:tcPr>
          <w:p>
            <w:pPr>
              <w:widowControl/>
              <w:jc w:val="center"/>
              <w:rPr>
                <w:rFonts w:asciiTheme="minorEastAsia" w:hAnsiTheme="minorEastAsia" w:eastAsiaTheme="minorEastAsia" w:cstheme="minorEastAsia"/>
                <w:color w:val="auto"/>
                <w:szCs w:val="21"/>
              </w:rPr>
            </w:pPr>
          </w:p>
        </w:tc>
        <w:tc>
          <w:tcPr>
            <w:tcW w:w="1512" w:type="dxa"/>
            <w:vAlign w:val="center"/>
          </w:tcPr>
          <w:p>
            <w:pPr>
              <w:widowControl/>
              <w:jc w:val="center"/>
              <w:rPr>
                <w:rFonts w:asciiTheme="minorEastAsia" w:hAnsiTheme="minorEastAsia" w:eastAsiaTheme="minorEastAsia" w:cstheme="minorEastAsia"/>
                <w:color w:val="auto"/>
                <w:szCs w:val="21"/>
              </w:rPr>
            </w:pPr>
          </w:p>
        </w:tc>
        <w:tc>
          <w:tcPr>
            <w:tcW w:w="1512" w:type="dxa"/>
          </w:tcPr>
          <w:p>
            <w:pPr>
              <w:jc w:val="center"/>
              <w:rPr>
                <w:rFonts w:asciiTheme="minorEastAsia" w:hAnsiTheme="minorEastAsia" w:eastAsiaTheme="minorEastAsia" w:cstheme="minorEastAsia"/>
                <w:color w:val="auto"/>
                <w:szCs w:val="21"/>
              </w:rPr>
            </w:pPr>
          </w:p>
        </w:tc>
        <w:tc>
          <w:tcPr>
            <w:tcW w:w="1513" w:type="dxa"/>
          </w:tcPr>
          <w:p>
            <w:pPr>
              <w:jc w:val="center"/>
              <w:rPr>
                <w:rFonts w:asciiTheme="minorEastAsia" w:hAnsiTheme="minorEastAsia" w:eastAsiaTheme="minorEastAsia" w:cstheme="minorEastAsia"/>
                <w:color w:val="auto"/>
                <w:szCs w:val="21"/>
              </w:rPr>
            </w:pPr>
          </w:p>
        </w:tc>
        <w:tc>
          <w:tcPr>
            <w:tcW w:w="709" w:type="dxa"/>
            <w:vAlign w:val="center"/>
          </w:tcPr>
          <w:p>
            <w:pPr>
              <w:jc w:val="center"/>
              <w:rPr>
                <w:rFonts w:asciiTheme="minorEastAsia" w:hAnsiTheme="minorEastAsia" w:eastAsiaTheme="minorEastAsia" w:cstheme="minorEastAsia"/>
                <w:color w:val="auto"/>
                <w:szCs w:val="21"/>
              </w:rPr>
            </w:pPr>
          </w:p>
        </w:tc>
        <w:tc>
          <w:tcPr>
            <w:tcW w:w="958" w:type="dxa"/>
            <w:vAlign w:val="center"/>
          </w:tcPr>
          <w:p>
            <w:pPr>
              <w:widowControl/>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10</w:t>
            </w:r>
          </w:p>
        </w:tc>
        <w:tc>
          <w:tcPr>
            <w:tcW w:w="2295" w:type="dxa"/>
            <w:vAlign w:val="center"/>
          </w:tcPr>
          <w:p>
            <w:pPr>
              <w:widowControl/>
              <w:jc w:val="center"/>
              <w:rPr>
                <w:rFonts w:asciiTheme="minorEastAsia" w:hAnsiTheme="minorEastAsia" w:eastAsiaTheme="minorEastAsia" w:cstheme="minorEastAsia"/>
                <w:color w:val="auto"/>
                <w:szCs w:val="21"/>
              </w:rPr>
            </w:pPr>
          </w:p>
        </w:tc>
        <w:tc>
          <w:tcPr>
            <w:tcW w:w="1512" w:type="dxa"/>
            <w:vAlign w:val="center"/>
          </w:tcPr>
          <w:p>
            <w:pPr>
              <w:widowControl/>
              <w:jc w:val="center"/>
              <w:rPr>
                <w:rFonts w:asciiTheme="minorEastAsia" w:hAnsiTheme="minorEastAsia" w:eastAsiaTheme="minorEastAsia" w:cstheme="minorEastAsia"/>
                <w:color w:val="auto"/>
                <w:szCs w:val="21"/>
              </w:rPr>
            </w:pPr>
          </w:p>
        </w:tc>
        <w:tc>
          <w:tcPr>
            <w:tcW w:w="1512" w:type="dxa"/>
          </w:tcPr>
          <w:p>
            <w:pPr>
              <w:jc w:val="center"/>
              <w:rPr>
                <w:rFonts w:asciiTheme="minorEastAsia" w:hAnsiTheme="minorEastAsia" w:eastAsiaTheme="minorEastAsia" w:cstheme="minorEastAsia"/>
                <w:color w:val="auto"/>
                <w:szCs w:val="21"/>
              </w:rPr>
            </w:pPr>
          </w:p>
        </w:tc>
        <w:tc>
          <w:tcPr>
            <w:tcW w:w="1513" w:type="dxa"/>
          </w:tcPr>
          <w:p>
            <w:pPr>
              <w:jc w:val="center"/>
              <w:rPr>
                <w:rFonts w:asciiTheme="minorEastAsia" w:hAnsiTheme="minorEastAsia" w:eastAsiaTheme="minorEastAsia" w:cstheme="minorEastAsia"/>
                <w:color w:val="auto"/>
                <w:szCs w:val="21"/>
              </w:rPr>
            </w:pPr>
          </w:p>
        </w:tc>
        <w:tc>
          <w:tcPr>
            <w:tcW w:w="709" w:type="dxa"/>
            <w:vAlign w:val="center"/>
          </w:tcPr>
          <w:p>
            <w:pPr>
              <w:jc w:val="center"/>
              <w:rPr>
                <w:rFonts w:asciiTheme="minorEastAsia" w:hAnsiTheme="minorEastAsia" w:eastAsiaTheme="minorEastAsia" w:cstheme="minorEastAsia"/>
                <w:color w:val="auto"/>
                <w:szCs w:val="21"/>
              </w:rPr>
            </w:pPr>
          </w:p>
        </w:tc>
        <w:tc>
          <w:tcPr>
            <w:tcW w:w="958" w:type="dxa"/>
            <w:vAlign w:val="center"/>
          </w:tcPr>
          <w:p>
            <w:pPr>
              <w:widowControl/>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11</w:t>
            </w:r>
          </w:p>
        </w:tc>
        <w:tc>
          <w:tcPr>
            <w:tcW w:w="2295" w:type="dxa"/>
            <w:vAlign w:val="center"/>
          </w:tcPr>
          <w:p>
            <w:pPr>
              <w:widowControl/>
              <w:jc w:val="center"/>
              <w:rPr>
                <w:rFonts w:asciiTheme="minorEastAsia" w:hAnsiTheme="minorEastAsia" w:eastAsiaTheme="minorEastAsia" w:cstheme="minorEastAsia"/>
                <w:color w:val="auto"/>
                <w:szCs w:val="21"/>
              </w:rPr>
            </w:pPr>
          </w:p>
        </w:tc>
        <w:tc>
          <w:tcPr>
            <w:tcW w:w="1512" w:type="dxa"/>
            <w:vAlign w:val="center"/>
          </w:tcPr>
          <w:p>
            <w:pPr>
              <w:widowControl/>
              <w:jc w:val="center"/>
              <w:rPr>
                <w:rFonts w:asciiTheme="minorEastAsia" w:hAnsiTheme="minorEastAsia" w:eastAsiaTheme="minorEastAsia" w:cstheme="minorEastAsia"/>
                <w:color w:val="auto"/>
                <w:szCs w:val="21"/>
              </w:rPr>
            </w:pPr>
          </w:p>
        </w:tc>
        <w:tc>
          <w:tcPr>
            <w:tcW w:w="1512" w:type="dxa"/>
          </w:tcPr>
          <w:p>
            <w:pPr>
              <w:jc w:val="center"/>
              <w:rPr>
                <w:rFonts w:asciiTheme="minorEastAsia" w:hAnsiTheme="minorEastAsia" w:eastAsiaTheme="minorEastAsia" w:cstheme="minorEastAsia"/>
                <w:color w:val="auto"/>
                <w:szCs w:val="21"/>
              </w:rPr>
            </w:pPr>
          </w:p>
        </w:tc>
        <w:tc>
          <w:tcPr>
            <w:tcW w:w="1513" w:type="dxa"/>
          </w:tcPr>
          <w:p>
            <w:pPr>
              <w:jc w:val="center"/>
              <w:rPr>
                <w:rFonts w:asciiTheme="minorEastAsia" w:hAnsiTheme="minorEastAsia" w:eastAsiaTheme="minorEastAsia" w:cstheme="minorEastAsia"/>
                <w:color w:val="auto"/>
                <w:szCs w:val="21"/>
              </w:rPr>
            </w:pPr>
          </w:p>
        </w:tc>
        <w:tc>
          <w:tcPr>
            <w:tcW w:w="709" w:type="dxa"/>
            <w:vAlign w:val="center"/>
          </w:tcPr>
          <w:p>
            <w:pPr>
              <w:jc w:val="center"/>
              <w:rPr>
                <w:rFonts w:asciiTheme="minorEastAsia" w:hAnsiTheme="minorEastAsia" w:eastAsiaTheme="minorEastAsia" w:cstheme="minorEastAsia"/>
                <w:color w:val="auto"/>
                <w:szCs w:val="21"/>
              </w:rPr>
            </w:pPr>
          </w:p>
        </w:tc>
        <w:tc>
          <w:tcPr>
            <w:tcW w:w="958" w:type="dxa"/>
            <w:vAlign w:val="center"/>
          </w:tcPr>
          <w:p>
            <w:pPr>
              <w:widowControl/>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12</w:t>
            </w:r>
          </w:p>
        </w:tc>
        <w:tc>
          <w:tcPr>
            <w:tcW w:w="2295" w:type="dxa"/>
            <w:vAlign w:val="center"/>
          </w:tcPr>
          <w:p>
            <w:pPr>
              <w:widowControl/>
              <w:jc w:val="center"/>
              <w:rPr>
                <w:rFonts w:asciiTheme="minorEastAsia" w:hAnsiTheme="minorEastAsia" w:eastAsiaTheme="minorEastAsia" w:cstheme="minorEastAsia"/>
                <w:color w:val="auto"/>
                <w:szCs w:val="21"/>
              </w:rPr>
            </w:pPr>
          </w:p>
        </w:tc>
        <w:tc>
          <w:tcPr>
            <w:tcW w:w="1512" w:type="dxa"/>
            <w:vAlign w:val="center"/>
          </w:tcPr>
          <w:p>
            <w:pPr>
              <w:widowControl/>
              <w:jc w:val="center"/>
              <w:rPr>
                <w:rFonts w:asciiTheme="minorEastAsia" w:hAnsiTheme="minorEastAsia" w:eastAsiaTheme="minorEastAsia" w:cstheme="minorEastAsia"/>
                <w:color w:val="auto"/>
                <w:szCs w:val="21"/>
              </w:rPr>
            </w:pPr>
          </w:p>
        </w:tc>
        <w:tc>
          <w:tcPr>
            <w:tcW w:w="1512" w:type="dxa"/>
          </w:tcPr>
          <w:p>
            <w:pPr>
              <w:jc w:val="center"/>
              <w:rPr>
                <w:rFonts w:asciiTheme="minorEastAsia" w:hAnsiTheme="minorEastAsia" w:eastAsiaTheme="minorEastAsia" w:cstheme="minorEastAsia"/>
                <w:color w:val="auto"/>
                <w:szCs w:val="21"/>
              </w:rPr>
            </w:pPr>
          </w:p>
        </w:tc>
        <w:tc>
          <w:tcPr>
            <w:tcW w:w="1513" w:type="dxa"/>
          </w:tcPr>
          <w:p>
            <w:pPr>
              <w:jc w:val="center"/>
              <w:rPr>
                <w:rFonts w:asciiTheme="minorEastAsia" w:hAnsiTheme="minorEastAsia" w:eastAsiaTheme="minorEastAsia" w:cstheme="minorEastAsia"/>
                <w:color w:val="auto"/>
                <w:szCs w:val="21"/>
              </w:rPr>
            </w:pPr>
          </w:p>
        </w:tc>
        <w:tc>
          <w:tcPr>
            <w:tcW w:w="709" w:type="dxa"/>
            <w:vAlign w:val="center"/>
          </w:tcPr>
          <w:p>
            <w:pPr>
              <w:jc w:val="center"/>
              <w:rPr>
                <w:rFonts w:asciiTheme="minorEastAsia" w:hAnsiTheme="minorEastAsia" w:eastAsiaTheme="minorEastAsia" w:cstheme="minorEastAsia"/>
                <w:color w:val="auto"/>
                <w:szCs w:val="21"/>
              </w:rPr>
            </w:pPr>
          </w:p>
        </w:tc>
        <w:tc>
          <w:tcPr>
            <w:tcW w:w="958" w:type="dxa"/>
            <w:vAlign w:val="center"/>
          </w:tcPr>
          <w:p>
            <w:pPr>
              <w:widowControl/>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2295" w:type="dxa"/>
            <w:vAlign w:val="center"/>
          </w:tcPr>
          <w:p>
            <w:pPr>
              <w:widowControl/>
              <w:jc w:val="center"/>
              <w:rPr>
                <w:rFonts w:asciiTheme="minorEastAsia" w:hAnsiTheme="minorEastAsia" w:eastAsiaTheme="minorEastAsia" w:cstheme="minorEastAsia"/>
                <w:color w:val="auto"/>
                <w:szCs w:val="21"/>
              </w:rPr>
            </w:pPr>
          </w:p>
        </w:tc>
        <w:tc>
          <w:tcPr>
            <w:tcW w:w="1512" w:type="dxa"/>
            <w:vAlign w:val="center"/>
          </w:tcPr>
          <w:p>
            <w:pPr>
              <w:widowControl/>
              <w:jc w:val="center"/>
              <w:rPr>
                <w:rFonts w:asciiTheme="minorEastAsia" w:hAnsiTheme="minorEastAsia" w:eastAsiaTheme="minorEastAsia" w:cstheme="minorEastAsia"/>
                <w:color w:val="auto"/>
                <w:szCs w:val="21"/>
              </w:rPr>
            </w:pPr>
          </w:p>
        </w:tc>
        <w:tc>
          <w:tcPr>
            <w:tcW w:w="1512" w:type="dxa"/>
          </w:tcPr>
          <w:p>
            <w:pPr>
              <w:jc w:val="center"/>
              <w:rPr>
                <w:rFonts w:asciiTheme="minorEastAsia" w:hAnsiTheme="minorEastAsia" w:eastAsiaTheme="minorEastAsia" w:cstheme="minorEastAsia"/>
                <w:color w:val="auto"/>
                <w:szCs w:val="21"/>
              </w:rPr>
            </w:pPr>
          </w:p>
        </w:tc>
        <w:tc>
          <w:tcPr>
            <w:tcW w:w="1513" w:type="dxa"/>
          </w:tcPr>
          <w:p>
            <w:pPr>
              <w:jc w:val="center"/>
              <w:rPr>
                <w:rFonts w:asciiTheme="minorEastAsia" w:hAnsiTheme="minorEastAsia" w:eastAsiaTheme="minorEastAsia" w:cstheme="minorEastAsia"/>
                <w:color w:val="auto"/>
                <w:szCs w:val="21"/>
              </w:rPr>
            </w:pPr>
          </w:p>
        </w:tc>
        <w:tc>
          <w:tcPr>
            <w:tcW w:w="709" w:type="dxa"/>
            <w:vAlign w:val="center"/>
          </w:tcPr>
          <w:p>
            <w:pPr>
              <w:jc w:val="center"/>
              <w:rPr>
                <w:rFonts w:asciiTheme="minorEastAsia" w:hAnsiTheme="minorEastAsia" w:eastAsiaTheme="minorEastAsia" w:cstheme="minorEastAsia"/>
                <w:color w:val="auto"/>
                <w:szCs w:val="21"/>
              </w:rPr>
            </w:pPr>
          </w:p>
        </w:tc>
        <w:tc>
          <w:tcPr>
            <w:tcW w:w="958" w:type="dxa"/>
            <w:vAlign w:val="center"/>
          </w:tcPr>
          <w:p>
            <w:pPr>
              <w:widowControl/>
              <w:jc w:val="center"/>
              <w:rPr>
                <w:rFonts w:asciiTheme="minorEastAsia" w:hAnsiTheme="minorEastAsia" w:eastAsiaTheme="minorEastAsia" w:cstheme="minorEastAsia"/>
                <w:color w:val="auto"/>
                <w:szCs w:val="21"/>
              </w:rPr>
            </w:pPr>
          </w:p>
        </w:tc>
      </w:tr>
    </w:tbl>
    <w:p>
      <w:pPr>
        <w:spacing w:line="360" w:lineRule="auto"/>
        <w:rPr>
          <w:rFonts w:asciiTheme="minorEastAsia" w:hAnsiTheme="minorEastAsia" w:eastAsiaTheme="minorEastAsia" w:cstheme="minorEastAsia"/>
          <w:color w:val="auto"/>
          <w:szCs w:val="21"/>
        </w:rPr>
      </w:pPr>
    </w:p>
    <w:p>
      <w:pPr>
        <w:rPr>
          <w:color w:val="auto"/>
        </w:rPr>
      </w:pPr>
    </w:p>
    <w:p>
      <w:pPr>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磋商供应商授权代表（签字）：</w:t>
      </w:r>
      <w:r>
        <w:rPr>
          <w:rFonts w:hint="eastAsia" w:asciiTheme="minorEastAsia" w:hAnsiTheme="minorEastAsia" w:eastAsiaTheme="minorEastAsia" w:cstheme="minorEastAsia"/>
          <w:color w:val="auto"/>
          <w:szCs w:val="21"/>
          <w:u w:val="single"/>
        </w:rPr>
        <w:t xml:space="preserve">                        </w:t>
      </w:r>
    </w:p>
    <w:p>
      <w:pPr>
        <w:spacing w:line="360" w:lineRule="auto"/>
        <w:rPr>
          <w:rFonts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磋商供应商名称（盖章）：</w:t>
      </w:r>
      <w:r>
        <w:rPr>
          <w:rFonts w:hint="eastAsia" w:asciiTheme="minorEastAsia" w:hAnsiTheme="minorEastAsia" w:eastAsiaTheme="minorEastAsia" w:cstheme="minorEastAsia"/>
          <w:color w:val="auto"/>
          <w:szCs w:val="21"/>
          <w:u w:val="single"/>
        </w:rPr>
        <w:t xml:space="preserve">                                     </w:t>
      </w:r>
    </w:p>
    <w:p>
      <w:pPr>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时                 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color w:val="auto"/>
          <w:szCs w:val="21"/>
        </w:rPr>
      </w:pPr>
      <w:r>
        <w:rPr>
          <w:rFonts w:hint="eastAsia" w:asciiTheme="minorEastAsia" w:hAnsiTheme="minorEastAsia" w:eastAsiaTheme="minorEastAsia" w:cstheme="minorEastAsia"/>
          <w:color w:val="auto"/>
          <w:szCs w:val="21"/>
        </w:rPr>
        <w:br w:type="page"/>
      </w:r>
      <w:bookmarkStart w:id="162" w:name="_Toc27053"/>
      <w:bookmarkStart w:id="163" w:name="_Toc10449"/>
      <w:bookmarkStart w:id="164" w:name="_Toc479184132"/>
      <w:bookmarkStart w:id="165" w:name="_Toc450827818"/>
      <w:bookmarkStart w:id="166" w:name="_Toc12473"/>
      <w:r>
        <w:rPr>
          <w:rFonts w:hint="eastAsia" w:asciiTheme="minorEastAsia" w:hAnsiTheme="minorEastAsia" w:eastAsiaTheme="minorEastAsia" w:cstheme="minorEastAsia"/>
          <w:b/>
          <w:bCs/>
          <w:color w:val="auto"/>
          <w:szCs w:val="21"/>
        </w:rPr>
        <w:t>九、缴纳保证金的银行凭证</w:t>
      </w:r>
      <w:bookmarkEnd w:id="162"/>
      <w:bookmarkEnd w:id="163"/>
      <w:bookmarkEnd w:id="164"/>
      <w:bookmarkEnd w:id="165"/>
      <w:r>
        <w:rPr>
          <w:rFonts w:hint="eastAsia" w:asciiTheme="minorEastAsia" w:hAnsiTheme="minorEastAsia" w:eastAsiaTheme="minorEastAsia" w:cstheme="minorEastAsia"/>
          <w:b/>
          <w:bCs/>
          <w:color w:val="auto"/>
          <w:szCs w:val="21"/>
        </w:rPr>
        <w:t>（如有）</w:t>
      </w:r>
      <w:bookmarkEnd w:id="166"/>
    </w:p>
    <w:p>
      <w:pPr>
        <w:spacing w:line="360" w:lineRule="auto"/>
        <w:jc w:val="center"/>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 xml:space="preserve">         </w:t>
      </w:r>
    </w:p>
    <w:p>
      <w:pPr>
        <w:spacing w:line="360" w:lineRule="auto"/>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中经国际招标集团有限公司：</w:t>
      </w:r>
    </w:p>
    <w:p>
      <w:pPr>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      </w:t>
      </w:r>
      <w:r>
        <w:rPr>
          <w:rFonts w:hint="eastAsia" w:asciiTheme="minorEastAsia" w:hAnsiTheme="minorEastAsia" w:eastAsiaTheme="minorEastAsia" w:cstheme="minorEastAsia"/>
          <w:bCs/>
          <w:color w:val="auto"/>
          <w:szCs w:val="21"/>
          <w:u w:val="single"/>
        </w:rPr>
        <w:t xml:space="preserve">                       (供应商全称)</w:t>
      </w:r>
      <w:r>
        <w:rPr>
          <w:rFonts w:hint="eastAsia" w:asciiTheme="minorEastAsia" w:hAnsiTheme="minorEastAsia" w:eastAsiaTheme="minorEastAsia" w:cstheme="minorEastAsia"/>
          <w:bCs/>
          <w:color w:val="auto"/>
          <w:szCs w:val="21"/>
        </w:rPr>
        <w:t xml:space="preserve"> 参加贵方组织的，采购编号为</w:t>
      </w:r>
      <w:r>
        <w:rPr>
          <w:rFonts w:hint="eastAsia" w:asciiTheme="minorEastAsia" w:hAnsiTheme="minorEastAsia" w:eastAsiaTheme="minorEastAsia" w:cstheme="minorEastAsia"/>
          <w:bCs/>
          <w:color w:val="auto"/>
          <w:szCs w:val="21"/>
          <w:u w:val="single"/>
        </w:rPr>
        <w:t xml:space="preserve">           </w:t>
      </w:r>
      <w:r>
        <w:rPr>
          <w:rFonts w:hint="eastAsia" w:asciiTheme="minorEastAsia" w:hAnsiTheme="minorEastAsia" w:eastAsiaTheme="minorEastAsia" w:cstheme="minorEastAsia"/>
          <w:bCs/>
          <w:color w:val="auto"/>
          <w:szCs w:val="21"/>
        </w:rPr>
        <w:t>的采购活动。</w:t>
      </w:r>
      <w:r>
        <w:rPr>
          <w:rFonts w:hint="eastAsia" w:asciiTheme="minorEastAsia" w:hAnsiTheme="minorEastAsia" w:eastAsiaTheme="minorEastAsia" w:cstheme="minorEastAsia"/>
          <w:color w:val="auto"/>
          <w:szCs w:val="21"/>
        </w:rPr>
        <w:t>按竞争性磋商文件的规定，已递交人民币</w:t>
      </w:r>
      <w:r>
        <w:rPr>
          <w:rFonts w:hint="eastAsia" w:asciiTheme="minorEastAsia" w:hAnsiTheme="minorEastAsia" w:eastAsiaTheme="minorEastAsia" w:cstheme="minorEastAsia"/>
          <w:color w:val="auto"/>
          <w:szCs w:val="21"/>
          <w:u w:val="single"/>
        </w:rPr>
        <w:t xml:space="preserve">（大写）  　　 </w:t>
      </w:r>
      <w:r>
        <w:rPr>
          <w:rFonts w:hint="eastAsia" w:asciiTheme="minorEastAsia" w:hAnsiTheme="minorEastAsia" w:eastAsiaTheme="minorEastAsia" w:cstheme="minorEastAsia"/>
          <w:color w:val="auto"/>
          <w:szCs w:val="21"/>
        </w:rPr>
        <w:t xml:space="preserve"> 元的保证金。</w:t>
      </w:r>
    </w:p>
    <w:p>
      <w:pPr>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 应 商 名 称 ：</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供应商开户银行：</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供应商银行账号：</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spacing w:line="360" w:lineRule="auto"/>
        <w:rPr>
          <w:rFonts w:asciiTheme="minorEastAsia" w:hAnsiTheme="minorEastAsia" w:eastAsiaTheme="minorEastAsia" w:cstheme="minorEastAsia"/>
          <w:color w:val="auto"/>
          <w:szCs w:val="21"/>
        </w:rPr>
      </w:pPr>
    </w:p>
    <w:p>
      <w:pPr>
        <w:spacing w:line="360" w:lineRule="auto"/>
        <w:rPr>
          <w:rFonts w:asciiTheme="minorEastAsia" w:hAnsiTheme="minorEastAsia" w:eastAsiaTheme="minorEastAsia" w:cstheme="minorEastAsia"/>
          <w:color w:val="auto"/>
          <w:szCs w:val="21"/>
        </w:rPr>
      </w:pPr>
    </w:p>
    <w:p>
      <w:pPr>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磋商供应商法定代表人（签字）：</w:t>
      </w:r>
    </w:p>
    <w:p>
      <w:pPr>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磋商供应商授权代表（签字）：</w:t>
      </w:r>
      <w:r>
        <w:rPr>
          <w:rFonts w:hint="eastAsia" w:asciiTheme="minorEastAsia" w:hAnsiTheme="minorEastAsia" w:eastAsiaTheme="minorEastAsia" w:cstheme="minorEastAsia"/>
          <w:color w:val="auto"/>
          <w:szCs w:val="21"/>
          <w:u w:val="single"/>
        </w:rPr>
        <w:t xml:space="preserve">                       </w:t>
      </w:r>
    </w:p>
    <w:p>
      <w:pPr>
        <w:spacing w:line="360" w:lineRule="auto"/>
        <w:rPr>
          <w:rFonts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磋商供应商名称（盖章）：</w:t>
      </w:r>
      <w:r>
        <w:rPr>
          <w:rFonts w:hint="eastAsia" w:asciiTheme="minorEastAsia" w:hAnsiTheme="minorEastAsia" w:eastAsiaTheme="minorEastAsia" w:cstheme="minorEastAsia"/>
          <w:color w:val="auto"/>
          <w:szCs w:val="21"/>
          <w:u w:val="single"/>
        </w:rPr>
        <w:t xml:space="preserve">                                     </w:t>
      </w:r>
    </w:p>
    <w:p>
      <w:pPr>
        <w:spacing w:line="360" w:lineRule="auto"/>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color w:val="auto"/>
          <w:szCs w:val="21"/>
        </w:rPr>
        <w:t>时                 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spacing w:line="360" w:lineRule="auto"/>
        <w:rPr>
          <w:rFonts w:asciiTheme="minorEastAsia" w:hAnsiTheme="minorEastAsia" w:eastAsiaTheme="minorEastAsia" w:cstheme="minorEastAsia"/>
          <w:bCs/>
          <w:color w:val="auto"/>
          <w:szCs w:val="21"/>
        </w:rPr>
      </w:pPr>
    </w:p>
    <w:p>
      <w:pPr>
        <w:spacing w:line="360" w:lineRule="auto"/>
        <w:rPr>
          <w:rFonts w:asciiTheme="minorEastAsia" w:hAnsiTheme="minorEastAsia" w:eastAsiaTheme="minorEastAsia" w:cstheme="minorEastAsia"/>
          <w:bCs/>
          <w:color w:val="auto"/>
          <w:szCs w:val="21"/>
        </w:rPr>
      </w:pPr>
    </w:p>
    <w:tbl>
      <w:tblPr>
        <w:tblStyle w:val="2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7" w:hRule="atLeast"/>
        </w:trPr>
        <w:tc>
          <w:tcPr>
            <w:tcW w:w="8820" w:type="dxa"/>
          </w:tcPr>
          <w:p>
            <w:pPr>
              <w:spacing w:line="360" w:lineRule="auto"/>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粘贴转账或电汇银行凭证（复印件）</w:t>
            </w:r>
          </w:p>
          <w:p>
            <w:pPr>
              <w:spacing w:line="360" w:lineRule="auto"/>
              <w:rPr>
                <w:rFonts w:asciiTheme="minorEastAsia" w:hAnsiTheme="minorEastAsia" w:eastAsiaTheme="minorEastAsia" w:cstheme="minorEastAsia"/>
                <w:bCs/>
                <w:color w:val="auto"/>
                <w:szCs w:val="21"/>
              </w:rPr>
            </w:pPr>
          </w:p>
          <w:p>
            <w:pPr>
              <w:spacing w:line="360" w:lineRule="auto"/>
              <w:rPr>
                <w:rFonts w:asciiTheme="minorEastAsia" w:hAnsiTheme="minorEastAsia" w:eastAsiaTheme="minorEastAsia" w:cstheme="minorEastAsia"/>
                <w:bCs/>
                <w:color w:val="auto"/>
                <w:szCs w:val="21"/>
              </w:rPr>
            </w:pPr>
          </w:p>
          <w:p>
            <w:pPr>
              <w:spacing w:line="360" w:lineRule="auto"/>
              <w:rPr>
                <w:rFonts w:asciiTheme="minorEastAsia" w:hAnsiTheme="minorEastAsia" w:eastAsiaTheme="minorEastAsia" w:cstheme="minorEastAsia"/>
                <w:bCs/>
                <w:color w:val="auto"/>
                <w:szCs w:val="21"/>
              </w:rPr>
            </w:pPr>
          </w:p>
          <w:p>
            <w:pPr>
              <w:spacing w:line="360" w:lineRule="auto"/>
              <w:rPr>
                <w:rFonts w:asciiTheme="minorEastAsia" w:hAnsiTheme="minorEastAsia" w:eastAsiaTheme="minorEastAsia" w:cstheme="minorEastAsia"/>
                <w:bCs/>
                <w:color w:val="auto"/>
                <w:szCs w:val="21"/>
              </w:rPr>
            </w:pPr>
          </w:p>
          <w:p>
            <w:pPr>
              <w:spacing w:line="360" w:lineRule="auto"/>
              <w:rPr>
                <w:rFonts w:asciiTheme="minorEastAsia" w:hAnsiTheme="minorEastAsia" w:eastAsiaTheme="minorEastAsia" w:cstheme="minorEastAsia"/>
                <w:bCs/>
                <w:color w:val="auto"/>
                <w:szCs w:val="21"/>
              </w:rPr>
            </w:pPr>
          </w:p>
          <w:p>
            <w:pPr>
              <w:spacing w:line="360" w:lineRule="auto"/>
              <w:rPr>
                <w:rFonts w:asciiTheme="minorEastAsia" w:hAnsiTheme="minorEastAsia" w:eastAsiaTheme="minorEastAsia" w:cstheme="minorEastAsia"/>
                <w:bCs/>
                <w:color w:val="auto"/>
                <w:szCs w:val="21"/>
              </w:rPr>
            </w:pPr>
          </w:p>
          <w:p>
            <w:pPr>
              <w:spacing w:line="360" w:lineRule="auto"/>
              <w:rPr>
                <w:rFonts w:asciiTheme="minorEastAsia" w:hAnsiTheme="minorEastAsia" w:eastAsiaTheme="minorEastAsia" w:cstheme="minorEastAsia"/>
                <w:bCs/>
                <w:color w:val="auto"/>
                <w:szCs w:val="21"/>
              </w:rPr>
            </w:pPr>
          </w:p>
        </w:tc>
      </w:tr>
    </w:tbl>
    <w:p>
      <w:pPr>
        <w:adjustRightInd w:val="0"/>
        <w:snapToGrid w:val="0"/>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注： 请供应商认真填写银行信息，并要求与粘贴转账或电汇银行凭证的相关信息一致，采购代理机构将依据此凭证信息退还保证金。</w:t>
      </w:r>
    </w:p>
    <w:bookmarkEnd w:id="148"/>
    <w:bookmarkEnd w:id="149"/>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 w:val="24"/>
        </w:rPr>
        <w:br w:type="page"/>
      </w:r>
      <w:bookmarkStart w:id="167" w:name="_Toc479184133"/>
      <w:bookmarkStart w:id="168" w:name="_Toc10142"/>
      <w:bookmarkStart w:id="169" w:name="_Toc422466736"/>
      <w:bookmarkStart w:id="170" w:name="_Toc28200"/>
      <w:bookmarkStart w:id="171" w:name="_Toc1591"/>
      <w:bookmarkStart w:id="172" w:name="_Toc432149012"/>
      <w:r>
        <w:rPr>
          <w:rFonts w:hint="eastAsia" w:asciiTheme="minorEastAsia" w:hAnsiTheme="minorEastAsia" w:eastAsiaTheme="minorEastAsia" w:cstheme="minorEastAsia"/>
          <w:b/>
          <w:bCs/>
          <w:color w:val="auto"/>
          <w:szCs w:val="21"/>
        </w:rPr>
        <w:t>十、偏离说明表</w:t>
      </w:r>
      <w:bookmarkEnd w:id="167"/>
      <w:bookmarkEnd w:id="168"/>
      <w:bookmarkEnd w:id="169"/>
      <w:bookmarkEnd w:id="170"/>
      <w:bookmarkEnd w:id="171"/>
      <w:bookmarkEnd w:id="172"/>
    </w:p>
    <w:p>
      <w:pPr>
        <w:adjustRightInd w:val="0"/>
        <w:snapToGrid w:val="0"/>
        <w:rPr>
          <w:rFonts w:asciiTheme="minorEastAsia" w:hAnsiTheme="minorEastAsia" w:eastAsiaTheme="minorEastAsia" w:cstheme="minorEastAsia"/>
          <w:color w:val="auto"/>
          <w:szCs w:val="21"/>
        </w:rPr>
      </w:pPr>
    </w:p>
    <w:p>
      <w:pPr>
        <w:adjustRightInd w:val="0"/>
        <w:snapToGrid w:val="0"/>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adjustRightInd w:val="0"/>
        <w:snapToGrid w:val="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874"/>
        <w:gridCol w:w="344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shd w:val="clear" w:color="auto" w:fill="C0C0C0"/>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序号</w:t>
            </w:r>
          </w:p>
        </w:tc>
        <w:tc>
          <w:tcPr>
            <w:tcW w:w="2874" w:type="dxa"/>
            <w:shd w:val="clear" w:color="auto" w:fill="C0C0C0"/>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采购需求</w:t>
            </w:r>
          </w:p>
        </w:tc>
        <w:tc>
          <w:tcPr>
            <w:tcW w:w="3449" w:type="dxa"/>
            <w:shd w:val="clear" w:color="auto" w:fill="C0C0C0"/>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报价响应</w:t>
            </w:r>
          </w:p>
        </w:tc>
        <w:tc>
          <w:tcPr>
            <w:tcW w:w="1675" w:type="dxa"/>
            <w:shd w:val="clear" w:color="auto" w:fill="C0C0C0"/>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资格性要求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D7D7D7" w:themeFill="background1" w:themeFillShade="D8"/>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
                <w:color w:val="auto"/>
                <w:szCs w:val="21"/>
                <w:shd w:val="clear" w:color="auto" w:fill="D7D7D7" w:themeFill="background1" w:themeFillShade="D8"/>
              </w:rPr>
              <w:t>符合性要求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287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r>
    </w:tbl>
    <w:p>
      <w:pPr>
        <w:adjustRightInd w:val="0"/>
        <w:snapToGrid w:val="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说明：</w:t>
      </w:r>
    </w:p>
    <w:p>
      <w:pPr>
        <w:numPr>
          <w:ilvl w:val="7"/>
          <w:numId w:val="42"/>
        </w:numPr>
        <w:tabs>
          <w:tab w:val="left" w:pos="540"/>
        </w:tabs>
        <w:adjustRightInd w:val="0"/>
        <w:snapToGrid w:val="0"/>
        <w:ind w:left="540" w:hanging="54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供应商应对竞争性磋商采购文件的各项要求，逐条说明竞争性磋商响应文件做出的实质性响应，并申明竞争性磋商响应文件的偏离和例外。优于竞争性磋商采购文件要求的为正偏离，不满足的为负偏离。</w:t>
      </w:r>
    </w:p>
    <w:p>
      <w:pPr>
        <w:numPr>
          <w:ilvl w:val="7"/>
          <w:numId w:val="42"/>
        </w:numPr>
        <w:tabs>
          <w:tab w:val="left" w:pos="540"/>
        </w:tabs>
        <w:adjustRightInd w:val="0"/>
        <w:snapToGrid w:val="0"/>
        <w:ind w:left="540" w:hanging="54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对有具体参数要求的指标，磋商供应商必须提供所投产品的具体参数值。如果仅注明“符合”，“满足”或简单复制竞争性磋商采购文件要求，将可能导致报价被拒绝。</w:t>
      </w:r>
    </w:p>
    <w:p>
      <w:pPr>
        <w:adjustRightInd w:val="0"/>
        <w:snapToGrid w:val="0"/>
        <w:ind w:firstLine="420"/>
        <w:rPr>
          <w:rFonts w:asciiTheme="minorEastAsia" w:hAnsiTheme="minorEastAsia" w:eastAsiaTheme="minorEastAsia" w:cstheme="minorEastAsia"/>
          <w:color w:val="auto"/>
          <w:szCs w:val="21"/>
        </w:rPr>
      </w:pPr>
    </w:p>
    <w:p>
      <w:pPr>
        <w:adjustRightInd w:val="0"/>
        <w:snapToGrid w:val="0"/>
        <w:rPr>
          <w:rFonts w:asciiTheme="minorEastAsia" w:hAnsiTheme="minorEastAsia" w:eastAsiaTheme="minorEastAsia" w:cstheme="minorEastAsia"/>
          <w:color w:val="auto"/>
          <w:szCs w:val="21"/>
        </w:rPr>
      </w:pPr>
    </w:p>
    <w:p>
      <w:pPr>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磋商供应商授权代表（签字）：</w:t>
      </w:r>
      <w:r>
        <w:rPr>
          <w:rFonts w:hint="eastAsia" w:asciiTheme="minorEastAsia" w:hAnsiTheme="minorEastAsia" w:eastAsiaTheme="minorEastAsia" w:cstheme="minorEastAsia"/>
          <w:color w:val="auto"/>
          <w:szCs w:val="21"/>
          <w:u w:val="single"/>
        </w:rPr>
        <w:t xml:space="preserve">                        </w:t>
      </w:r>
    </w:p>
    <w:p>
      <w:pPr>
        <w:spacing w:line="360" w:lineRule="auto"/>
        <w:rPr>
          <w:rFonts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名称（盖章 ）：</w:t>
      </w:r>
      <w:r>
        <w:rPr>
          <w:rFonts w:hint="eastAsia" w:asciiTheme="minorEastAsia" w:hAnsiTheme="minorEastAsia" w:eastAsiaTheme="minorEastAsia" w:cstheme="minorEastAsia"/>
          <w:color w:val="auto"/>
          <w:szCs w:val="21"/>
          <w:u w:val="single"/>
        </w:rPr>
        <w:t xml:space="preserve">                                     </w:t>
      </w:r>
    </w:p>
    <w:p>
      <w:pPr>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rPr>
          <w:rFonts w:asciiTheme="minorEastAsia" w:hAnsiTheme="minorEastAsia" w:eastAsiaTheme="minorEastAsia" w:cstheme="minorEastAsia"/>
          <w:b/>
          <w:color w:val="auto"/>
          <w:kern w:val="0"/>
          <w:szCs w:val="21"/>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color w:val="auto"/>
          <w:kern w:val="0"/>
          <w:szCs w:val="21"/>
        </w:rPr>
        <w:br w:type="page"/>
      </w:r>
      <w:bookmarkStart w:id="173" w:name="_Toc432149013"/>
      <w:bookmarkStart w:id="174" w:name="_Toc479184134"/>
      <w:bookmarkStart w:id="175" w:name="_Toc28283"/>
      <w:bookmarkStart w:id="176" w:name="_Toc362935521"/>
      <w:bookmarkStart w:id="177" w:name="_Toc32060"/>
      <w:bookmarkStart w:id="178" w:name="_Toc7457"/>
      <w:r>
        <w:rPr>
          <w:rFonts w:hint="eastAsia" w:asciiTheme="minorEastAsia" w:hAnsiTheme="minorEastAsia" w:eastAsiaTheme="minorEastAsia" w:cstheme="minorEastAsia"/>
          <w:b/>
          <w:color w:val="auto"/>
          <w:kern w:val="0"/>
          <w:szCs w:val="21"/>
        </w:rPr>
        <w:t>十一、</w:t>
      </w:r>
      <w:r>
        <w:rPr>
          <w:rFonts w:hint="eastAsia" w:asciiTheme="minorEastAsia" w:hAnsiTheme="minorEastAsia" w:eastAsiaTheme="minorEastAsia" w:cstheme="minorEastAsia"/>
          <w:b/>
          <w:bCs/>
          <w:color w:val="auto"/>
          <w:szCs w:val="21"/>
        </w:rPr>
        <w:t>类似业绩一览表</w:t>
      </w:r>
      <w:bookmarkEnd w:id="173"/>
      <w:bookmarkEnd w:id="174"/>
      <w:bookmarkEnd w:id="175"/>
      <w:bookmarkEnd w:id="176"/>
      <w:bookmarkEnd w:id="177"/>
      <w:r>
        <w:rPr>
          <w:rFonts w:hint="eastAsia" w:asciiTheme="minorEastAsia" w:hAnsiTheme="minorEastAsia" w:eastAsiaTheme="minorEastAsia" w:cstheme="minorEastAsia"/>
          <w:b/>
          <w:bCs/>
          <w:color w:val="auto"/>
          <w:szCs w:val="21"/>
        </w:rPr>
        <w:br w:type="textWrapping"/>
      </w:r>
      <w:bookmarkEnd w:id="178"/>
    </w:p>
    <w:p>
      <w:pPr>
        <w:adjustRightInd w:val="0"/>
        <w:snapToGrid w:val="0"/>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color w:val="auto"/>
          <w:szCs w:val="21"/>
        </w:rPr>
        <w:t>项目编号：</w:t>
      </w:r>
    </w:p>
    <w:tbl>
      <w:tblPr>
        <w:tblStyle w:val="26"/>
        <w:tblW w:w="92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422"/>
        <w:gridCol w:w="824"/>
        <w:gridCol w:w="1237"/>
        <w:gridCol w:w="971"/>
        <w:gridCol w:w="912"/>
        <w:gridCol w:w="1345"/>
        <w:gridCol w:w="1192"/>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87"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序号</w:t>
            </w:r>
          </w:p>
        </w:tc>
        <w:tc>
          <w:tcPr>
            <w:tcW w:w="1422"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项目名称</w:t>
            </w:r>
          </w:p>
        </w:tc>
        <w:tc>
          <w:tcPr>
            <w:tcW w:w="824"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业主单位</w:t>
            </w:r>
          </w:p>
        </w:tc>
        <w:tc>
          <w:tcPr>
            <w:tcW w:w="1237"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合同签订</w:t>
            </w:r>
          </w:p>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6"/>
                <w:szCs w:val="21"/>
              </w:rPr>
              <w:t>时间</w:t>
            </w:r>
          </w:p>
        </w:tc>
        <w:tc>
          <w:tcPr>
            <w:tcW w:w="971"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合同金额</w:t>
            </w:r>
          </w:p>
        </w:tc>
        <w:tc>
          <w:tcPr>
            <w:tcW w:w="912"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项目负责人</w:t>
            </w:r>
          </w:p>
        </w:tc>
        <w:tc>
          <w:tcPr>
            <w:tcW w:w="1345"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业主单位联系人及电话</w:t>
            </w:r>
          </w:p>
        </w:tc>
        <w:tc>
          <w:tcPr>
            <w:tcW w:w="1192"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中标公告网页链接（如有）</w:t>
            </w:r>
          </w:p>
        </w:tc>
        <w:tc>
          <w:tcPr>
            <w:tcW w:w="646"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142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w:t>
            </w:r>
          </w:p>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824"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1237"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971"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91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1345"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119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64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142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824"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1237"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971"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91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1345"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119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64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142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824"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1237"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971"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91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1345"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119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64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142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824"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1237"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971"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91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1345"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119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64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142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824"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1237"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971"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91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1345"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119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64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142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824"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1237"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971"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91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1345"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119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64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142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824"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1237"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971"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91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1345"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119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64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142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824"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1237"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971"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91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1345"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1192"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c>
          <w:tcPr>
            <w:tcW w:w="646" w:type="dxa"/>
          </w:tcPr>
          <w:p>
            <w:pPr>
              <w:adjustRightInd w:val="0"/>
              <w:snapToGrid w:val="0"/>
              <w:spacing w:before="31" w:beforeLines="10" w:after="31" w:afterLines="10"/>
              <w:ind w:left="21" w:leftChars="10" w:right="21" w:rightChars="10"/>
              <w:jc w:val="center"/>
              <w:rPr>
                <w:rFonts w:asciiTheme="minorEastAsia" w:hAnsiTheme="minorEastAsia" w:eastAsiaTheme="minorEastAsia" w:cstheme="minorEastAsia"/>
                <w:color w:val="auto"/>
                <w:szCs w:val="21"/>
              </w:rPr>
            </w:pPr>
          </w:p>
        </w:tc>
      </w:tr>
    </w:tbl>
    <w:p>
      <w:pPr>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说明：</w:t>
      </w:r>
    </w:p>
    <w:p>
      <w:pPr>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1.附磋商供应商承担类似项目的情况填入本表中，提供业绩合同等评分标准要求的相关证明材料。 无证明材料的内容评审时将不予考虑。</w:t>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rPr>
        <w:t>2.公开竞标成交的类似业绩，还应提供成交/中标公告网页链接。</w:t>
      </w:r>
    </w:p>
    <w:p>
      <w:pPr>
        <w:spacing w:line="360" w:lineRule="auto"/>
        <w:rPr>
          <w:rFonts w:asciiTheme="minorEastAsia" w:hAnsiTheme="minorEastAsia" w:eastAsiaTheme="minorEastAsia" w:cstheme="minorEastAsia"/>
          <w:color w:val="auto"/>
          <w:szCs w:val="21"/>
        </w:rPr>
      </w:pPr>
      <w:bookmarkStart w:id="179" w:name="_Toc454806053"/>
      <w:bookmarkStart w:id="180" w:name="_Toc460258118"/>
      <w:r>
        <w:rPr>
          <w:rFonts w:hint="eastAsia" w:asciiTheme="minorEastAsia" w:hAnsiTheme="minorEastAsia" w:eastAsiaTheme="minorEastAsia" w:cstheme="minorEastAsia"/>
          <w:b/>
          <w:bCs/>
          <w:color w:val="auto"/>
          <w:sz w:val="24"/>
        </w:rPr>
        <w:br w:type="textWrapping"/>
      </w:r>
      <w:r>
        <w:rPr>
          <w:rFonts w:hint="eastAsia" w:asciiTheme="minorEastAsia" w:hAnsiTheme="minorEastAsia" w:eastAsiaTheme="minorEastAsia" w:cstheme="minorEastAsia"/>
          <w:b/>
          <w:bCs/>
          <w:color w:val="auto"/>
          <w:sz w:val="24"/>
        </w:rPr>
        <w:br w:type="textWrapping"/>
      </w:r>
      <w:r>
        <w:rPr>
          <w:rFonts w:hint="eastAsia" w:asciiTheme="minorEastAsia" w:hAnsiTheme="minorEastAsia" w:eastAsiaTheme="minorEastAsia" w:cstheme="minorEastAsia"/>
          <w:color w:val="auto"/>
          <w:szCs w:val="21"/>
        </w:rPr>
        <w:t>磋商供应商授权代表（签字）：</w:t>
      </w:r>
      <w:r>
        <w:rPr>
          <w:rFonts w:hint="eastAsia" w:asciiTheme="minorEastAsia" w:hAnsiTheme="minorEastAsia" w:eastAsiaTheme="minorEastAsia" w:cstheme="minorEastAsia"/>
          <w:color w:val="auto"/>
          <w:szCs w:val="21"/>
          <w:u w:val="single"/>
        </w:rPr>
        <w:t xml:space="preserve">                        </w:t>
      </w:r>
    </w:p>
    <w:p>
      <w:pPr>
        <w:spacing w:line="360" w:lineRule="auto"/>
        <w:rPr>
          <w:rFonts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名称（盖章 ）：</w:t>
      </w:r>
      <w:r>
        <w:rPr>
          <w:rFonts w:hint="eastAsia" w:asciiTheme="minorEastAsia" w:hAnsiTheme="minorEastAsia" w:eastAsiaTheme="minorEastAsia" w:cstheme="minorEastAsia"/>
          <w:color w:val="auto"/>
          <w:szCs w:val="21"/>
          <w:u w:val="single"/>
        </w:rPr>
        <w:t xml:space="preserve">                                     </w:t>
      </w:r>
    </w:p>
    <w:p>
      <w:pPr>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 w:val="24"/>
        </w:rPr>
        <w:br w:type="page"/>
      </w:r>
      <w:bookmarkStart w:id="181" w:name="_Toc20207"/>
      <w:bookmarkStart w:id="182" w:name="_Toc479184135"/>
      <w:bookmarkStart w:id="183" w:name="_Toc4834"/>
      <w:bookmarkStart w:id="184" w:name="_Toc30455"/>
      <w:r>
        <w:rPr>
          <w:rFonts w:hint="eastAsia" w:asciiTheme="minorEastAsia" w:hAnsiTheme="minorEastAsia" w:eastAsiaTheme="minorEastAsia" w:cstheme="minorEastAsia"/>
          <w:b/>
          <w:bCs/>
          <w:color w:val="auto"/>
          <w:szCs w:val="21"/>
        </w:rPr>
        <w:t>十二、拟投入项目组人员一览表</w:t>
      </w:r>
      <w:bookmarkEnd w:id="179"/>
      <w:bookmarkEnd w:id="180"/>
      <w:bookmarkEnd w:id="181"/>
      <w:bookmarkEnd w:id="182"/>
      <w:bookmarkEnd w:id="183"/>
      <w:bookmarkEnd w:id="184"/>
    </w:p>
    <w:p>
      <w:pPr>
        <w:adjustRightInd w:val="0"/>
        <w:snapToGrid w:val="0"/>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adjustRightInd w:val="0"/>
        <w:snapToGrid w:val="0"/>
        <w:spacing w:line="360" w:lineRule="auto"/>
        <w:ind w:left="-181" w:leftChars="-86" w:firstLine="180" w:firstLineChars="86"/>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834"/>
        <w:gridCol w:w="2208"/>
        <w:gridCol w:w="850"/>
        <w:gridCol w:w="693"/>
        <w:gridCol w:w="877"/>
        <w:gridCol w:w="877"/>
        <w:gridCol w:w="1383"/>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834"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姓名</w:t>
            </w:r>
          </w:p>
        </w:tc>
        <w:tc>
          <w:tcPr>
            <w:tcW w:w="2208"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在本项目中担当职位</w:t>
            </w:r>
          </w:p>
        </w:tc>
        <w:tc>
          <w:tcPr>
            <w:tcW w:w="850"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年龄</w:t>
            </w:r>
          </w:p>
        </w:tc>
        <w:tc>
          <w:tcPr>
            <w:tcW w:w="693"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学历</w:t>
            </w: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职务</w:t>
            </w: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职称</w:t>
            </w:r>
          </w:p>
        </w:tc>
        <w:tc>
          <w:tcPr>
            <w:tcW w:w="1383"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从业经历</w:t>
            </w:r>
          </w:p>
        </w:tc>
        <w:tc>
          <w:tcPr>
            <w:tcW w:w="710"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834"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项目负责人</w:t>
            </w:r>
          </w:p>
        </w:tc>
        <w:tc>
          <w:tcPr>
            <w:tcW w:w="850"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834"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r>
    </w:tbl>
    <w:p>
      <w:pPr>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说明：附拟投入项目组人员身份证、劳动合同、社保证明、</w:t>
      </w:r>
      <w:r>
        <w:rPr>
          <w:rFonts w:hint="eastAsia"/>
          <w:color w:val="auto"/>
        </w:rPr>
        <w:t>职称证书、学历证书</w:t>
      </w:r>
      <w:r>
        <w:rPr>
          <w:rFonts w:hint="eastAsia" w:asciiTheme="minorEastAsia" w:hAnsiTheme="minorEastAsia" w:eastAsiaTheme="minorEastAsia" w:cstheme="minorEastAsia"/>
          <w:color w:val="auto"/>
          <w:szCs w:val="21"/>
        </w:rPr>
        <w:t>等评分标准要求的其他相关证明材料。无证明材料的内容评审时将不予考虑。</w:t>
      </w:r>
    </w:p>
    <w:p>
      <w:pPr>
        <w:spacing w:line="360" w:lineRule="auto"/>
        <w:rPr>
          <w:rFonts w:asciiTheme="minorEastAsia" w:hAnsiTheme="minorEastAsia" w:eastAsiaTheme="minorEastAsia" w:cstheme="minorEastAsia"/>
          <w:color w:val="auto"/>
          <w:szCs w:val="21"/>
        </w:rPr>
      </w:pPr>
    </w:p>
    <w:p>
      <w:pPr>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br w:type="textWrapping"/>
      </w:r>
      <w:r>
        <w:rPr>
          <w:rFonts w:hint="eastAsia" w:asciiTheme="minorEastAsia" w:hAnsiTheme="minorEastAsia" w:eastAsiaTheme="minorEastAsia" w:cstheme="minorEastAsia"/>
          <w:color w:val="auto"/>
          <w:kern w:val="0"/>
          <w:szCs w:val="21"/>
        </w:rPr>
        <w:br w:type="textWrapping"/>
      </w:r>
      <w:r>
        <w:rPr>
          <w:rFonts w:hint="eastAsia" w:asciiTheme="minorEastAsia" w:hAnsiTheme="minorEastAsia" w:eastAsiaTheme="minorEastAsia" w:cstheme="minorEastAsia"/>
          <w:color w:val="auto"/>
          <w:szCs w:val="21"/>
        </w:rPr>
        <w:t>磋商供应商授权代表（签字）：</w:t>
      </w:r>
      <w:r>
        <w:rPr>
          <w:rFonts w:hint="eastAsia" w:asciiTheme="minorEastAsia" w:hAnsiTheme="minorEastAsia" w:eastAsiaTheme="minorEastAsia" w:cstheme="minorEastAsia"/>
          <w:color w:val="auto"/>
          <w:szCs w:val="21"/>
          <w:u w:val="single"/>
        </w:rPr>
        <w:t xml:space="preserve">                        </w:t>
      </w:r>
    </w:p>
    <w:p>
      <w:pPr>
        <w:spacing w:line="360" w:lineRule="auto"/>
        <w:rPr>
          <w:rFonts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名称（盖章 ）：</w:t>
      </w:r>
      <w:r>
        <w:rPr>
          <w:rFonts w:hint="eastAsia" w:asciiTheme="minorEastAsia" w:hAnsiTheme="minorEastAsia" w:eastAsiaTheme="minorEastAsia" w:cstheme="minorEastAsia"/>
          <w:color w:val="auto"/>
          <w:szCs w:val="21"/>
          <w:u w:val="single"/>
        </w:rPr>
        <w:t xml:space="preserve">                                     </w:t>
      </w:r>
    </w:p>
    <w:p>
      <w:pPr>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color w:val="auto"/>
          <w:szCs w:val="21"/>
        </w:rPr>
      </w:pPr>
      <w:r>
        <w:rPr>
          <w:rFonts w:hint="eastAsia" w:asciiTheme="minorEastAsia" w:hAnsiTheme="minorEastAsia" w:eastAsiaTheme="minorEastAsia" w:cstheme="minorEastAsia"/>
          <w:color w:val="auto"/>
          <w:kern w:val="0"/>
          <w:szCs w:val="21"/>
        </w:rPr>
        <w:br w:type="page"/>
      </w:r>
      <w:bookmarkStart w:id="185" w:name="_Toc432149014"/>
      <w:bookmarkStart w:id="186" w:name="_Toc26838"/>
      <w:bookmarkStart w:id="187" w:name="_Toc24501"/>
      <w:bookmarkStart w:id="188" w:name="_Toc422466737"/>
      <w:bookmarkStart w:id="189" w:name="_Toc479184136"/>
      <w:bookmarkStart w:id="190" w:name="_Toc10429"/>
      <w:r>
        <w:rPr>
          <w:rFonts w:hint="eastAsia" w:asciiTheme="minorEastAsia" w:hAnsiTheme="minorEastAsia" w:eastAsiaTheme="minorEastAsia" w:cstheme="minorEastAsia"/>
          <w:b/>
          <w:bCs/>
          <w:color w:val="auto"/>
          <w:kern w:val="0"/>
          <w:szCs w:val="21"/>
        </w:rPr>
        <w:t>十三、</w:t>
      </w:r>
      <w:r>
        <w:rPr>
          <w:rFonts w:hint="eastAsia" w:asciiTheme="minorEastAsia" w:hAnsiTheme="minorEastAsia" w:eastAsiaTheme="minorEastAsia" w:cstheme="minorEastAsia"/>
          <w:b/>
          <w:bCs/>
          <w:color w:val="auto"/>
          <w:szCs w:val="21"/>
        </w:rPr>
        <w:t>供应商的资格声明</w:t>
      </w:r>
      <w:bookmarkEnd w:id="185"/>
      <w:bookmarkEnd w:id="186"/>
      <w:bookmarkEnd w:id="187"/>
      <w:bookmarkEnd w:id="188"/>
      <w:bookmarkEnd w:id="189"/>
      <w:bookmarkEnd w:id="190"/>
    </w:p>
    <w:p>
      <w:pPr>
        <w:rPr>
          <w:rFonts w:asciiTheme="minorEastAsia" w:hAnsiTheme="minorEastAsia" w:eastAsiaTheme="minorEastAsia" w:cstheme="minorEastAsia"/>
          <w:color w:val="auto"/>
          <w:szCs w:val="21"/>
        </w:rPr>
      </w:pPr>
    </w:p>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1.名称及基本情况：</w:t>
      </w:r>
    </w:p>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（1）供应商名称：</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（2）地址：</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邮箱：</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电话：</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传真：</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（3）成立或注册日期：</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（4）公司性质：</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（5）法定代表人或主要负责人：</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（6）员工人数：</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（7）注册资本：</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（8）实收资本：</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（9）上年末资产负债率：</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1）固定资产</w:t>
      </w:r>
    </w:p>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原值：</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净值：</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2）流动资产：</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3）长期负债：</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4）短期负债：</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2．与报价服务内容有关的情况：</w:t>
      </w:r>
    </w:p>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（1）供应商提供此响应服务内容的经验（包括年限、项目业主、额定能力、商业运营的起始日期等）；</w:t>
      </w:r>
    </w:p>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（2）服务网点分布（可另行附表）：</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737"/>
        <w:gridCol w:w="226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服务网点名称和地址</w:t>
            </w:r>
          </w:p>
        </w:tc>
        <w:tc>
          <w:tcPr>
            <w:tcW w:w="1737" w:type="dxa"/>
            <w:vAlign w:val="center"/>
          </w:tcPr>
          <w:p>
            <w:pPr>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主要服务范围</w:t>
            </w:r>
          </w:p>
        </w:tc>
        <w:tc>
          <w:tcPr>
            <w:tcW w:w="2269" w:type="dxa"/>
            <w:vAlign w:val="center"/>
          </w:tcPr>
          <w:p>
            <w:pPr>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服务人员数</w:t>
            </w:r>
          </w:p>
        </w:tc>
        <w:tc>
          <w:tcPr>
            <w:tcW w:w="2268" w:type="dxa"/>
            <w:vAlign w:val="center"/>
          </w:tcPr>
          <w:p>
            <w:pPr>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内部等级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asciiTheme="minorEastAsia" w:hAnsiTheme="minorEastAsia" w:eastAsiaTheme="minorEastAsia" w:cstheme="minorEastAsia"/>
                <w:color w:val="auto"/>
                <w:szCs w:val="21"/>
              </w:rPr>
            </w:pPr>
          </w:p>
        </w:tc>
        <w:tc>
          <w:tcPr>
            <w:tcW w:w="1737" w:type="dxa"/>
            <w:vAlign w:val="center"/>
          </w:tcPr>
          <w:p>
            <w:pPr>
              <w:spacing w:line="360" w:lineRule="auto"/>
              <w:jc w:val="center"/>
              <w:rPr>
                <w:rFonts w:asciiTheme="minorEastAsia" w:hAnsiTheme="minorEastAsia" w:eastAsiaTheme="minorEastAsia" w:cstheme="minorEastAsia"/>
                <w:color w:val="auto"/>
                <w:szCs w:val="21"/>
              </w:rPr>
            </w:pPr>
          </w:p>
        </w:tc>
        <w:tc>
          <w:tcPr>
            <w:tcW w:w="2269" w:type="dxa"/>
            <w:vAlign w:val="center"/>
          </w:tcPr>
          <w:p>
            <w:pPr>
              <w:spacing w:line="360" w:lineRule="auto"/>
              <w:jc w:val="center"/>
              <w:rPr>
                <w:rFonts w:asciiTheme="minorEastAsia" w:hAnsiTheme="minorEastAsia" w:eastAsiaTheme="minorEastAsia" w:cstheme="minorEastAsia"/>
                <w:color w:val="auto"/>
                <w:szCs w:val="21"/>
              </w:rPr>
            </w:pPr>
          </w:p>
        </w:tc>
        <w:tc>
          <w:tcPr>
            <w:tcW w:w="2268" w:type="dxa"/>
            <w:vAlign w:val="center"/>
          </w:tcPr>
          <w:p>
            <w:pPr>
              <w:spacing w:line="360" w:lineRule="auto"/>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asciiTheme="minorEastAsia" w:hAnsiTheme="minorEastAsia" w:eastAsiaTheme="minorEastAsia" w:cstheme="minorEastAsia"/>
                <w:color w:val="auto"/>
                <w:szCs w:val="21"/>
              </w:rPr>
            </w:pPr>
          </w:p>
        </w:tc>
        <w:tc>
          <w:tcPr>
            <w:tcW w:w="1737" w:type="dxa"/>
            <w:vAlign w:val="center"/>
          </w:tcPr>
          <w:p>
            <w:pPr>
              <w:spacing w:line="360" w:lineRule="auto"/>
              <w:jc w:val="center"/>
              <w:rPr>
                <w:rFonts w:asciiTheme="minorEastAsia" w:hAnsiTheme="minorEastAsia" w:eastAsiaTheme="minorEastAsia" w:cstheme="minorEastAsia"/>
                <w:color w:val="auto"/>
                <w:szCs w:val="21"/>
              </w:rPr>
            </w:pPr>
          </w:p>
        </w:tc>
        <w:tc>
          <w:tcPr>
            <w:tcW w:w="2269" w:type="dxa"/>
            <w:vAlign w:val="center"/>
          </w:tcPr>
          <w:p>
            <w:pPr>
              <w:spacing w:line="360" w:lineRule="auto"/>
              <w:jc w:val="center"/>
              <w:rPr>
                <w:rFonts w:asciiTheme="minorEastAsia" w:hAnsiTheme="minorEastAsia" w:eastAsiaTheme="minorEastAsia" w:cstheme="minorEastAsia"/>
                <w:color w:val="auto"/>
                <w:szCs w:val="21"/>
              </w:rPr>
            </w:pPr>
          </w:p>
        </w:tc>
        <w:tc>
          <w:tcPr>
            <w:tcW w:w="2268" w:type="dxa"/>
            <w:vAlign w:val="center"/>
          </w:tcPr>
          <w:p>
            <w:pPr>
              <w:spacing w:line="360" w:lineRule="auto"/>
              <w:jc w:val="center"/>
              <w:rPr>
                <w:rFonts w:asciiTheme="minorEastAsia" w:hAnsiTheme="minorEastAsia" w:eastAsiaTheme="minorEastAsia" w:cstheme="minorEastAsia"/>
                <w:color w:val="auto"/>
                <w:szCs w:val="21"/>
              </w:rPr>
            </w:pPr>
          </w:p>
        </w:tc>
      </w:tr>
    </w:tbl>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3．供应商认为需要声明的其他情况：</w:t>
      </w:r>
    </w:p>
    <w:p>
      <w:pPr>
        <w:ind w:firstLine="210" w:firstLineChars="1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color w:val="auto"/>
          <w:szCs w:val="21"/>
        </w:rPr>
        <w:t>兹证明上述声明是真实的、正确的，并提供了全部能提供的资料和数据，我们同意遵照</w:t>
      </w:r>
      <w:r>
        <w:rPr>
          <w:rFonts w:hint="eastAsia" w:asciiTheme="minorEastAsia" w:hAnsiTheme="minorEastAsia" w:eastAsiaTheme="minorEastAsia" w:cstheme="minorEastAsia"/>
          <w:bCs/>
          <w:color w:val="auto"/>
          <w:szCs w:val="21"/>
          <w:u w:val="single"/>
        </w:rPr>
        <w:t>采购代理机构</w:t>
      </w:r>
      <w:r>
        <w:rPr>
          <w:rFonts w:hint="eastAsia" w:asciiTheme="minorEastAsia" w:hAnsiTheme="minorEastAsia" w:eastAsiaTheme="minorEastAsia" w:cstheme="minorEastAsia"/>
          <w:bCs/>
          <w:color w:val="auto"/>
          <w:szCs w:val="21"/>
        </w:rPr>
        <w:t>要求出示的有关证明文件。</w:t>
      </w:r>
    </w:p>
    <w:p>
      <w:pPr>
        <w:spacing w:line="360" w:lineRule="auto"/>
        <w:ind w:firstLine="210" w:firstLineChars="100"/>
        <w:rPr>
          <w:rFonts w:asciiTheme="minorEastAsia" w:hAnsiTheme="minorEastAsia" w:eastAsiaTheme="minorEastAsia" w:cstheme="minorEastAsia"/>
          <w:bCs/>
          <w:color w:val="auto"/>
          <w:szCs w:val="21"/>
        </w:rPr>
      </w:pPr>
    </w:p>
    <w:p>
      <w:pPr>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电      话：                     </w:t>
      </w:r>
    </w:p>
    <w:p>
      <w:pPr>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传      真：</w:t>
      </w:r>
    </w:p>
    <w:p>
      <w:pPr>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磋商供应商授权代表（签字）：</w:t>
      </w:r>
      <w:r>
        <w:rPr>
          <w:rFonts w:hint="eastAsia" w:asciiTheme="minorEastAsia" w:hAnsiTheme="minorEastAsia" w:eastAsiaTheme="minorEastAsia" w:cstheme="minorEastAsia"/>
          <w:color w:val="auto"/>
          <w:szCs w:val="21"/>
          <w:u w:val="single"/>
        </w:rPr>
        <w:t xml:space="preserve">                        </w:t>
      </w:r>
    </w:p>
    <w:p>
      <w:pPr>
        <w:spacing w:line="360" w:lineRule="auto"/>
        <w:rPr>
          <w:rFonts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名称（盖章 ）：</w:t>
      </w:r>
      <w:r>
        <w:rPr>
          <w:rFonts w:hint="eastAsia" w:asciiTheme="minorEastAsia" w:hAnsiTheme="minorEastAsia" w:eastAsiaTheme="minorEastAsia" w:cstheme="minorEastAsia"/>
          <w:color w:val="auto"/>
          <w:szCs w:val="21"/>
          <w:u w:val="single"/>
        </w:rPr>
        <w:t xml:space="preserve">                                     </w:t>
      </w:r>
    </w:p>
    <w:p>
      <w:pPr>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color w:val="auto"/>
          <w:szCs w:val="21"/>
        </w:rPr>
      </w:pPr>
      <w:r>
        <w:rPr>
          <w:rFonts w:hint="eastAsia" w:asciiTheme="minorEastAsia" w:hAnsiTheme="minorEastAsia" w:eastAsiaTheme="minorEastAsia" w:cstheme="minorEastAsia"/>
          <w:color w:val="auto"/>
          <w:kern w:val="0"/>
          <w:szCs w:val="21"/>
        </w:rPr>
        <w:br w:type="page"/>
      </w:r>
      <w:bookmarkStart w:id="191" w:name="_Toc25412"/>
      <w:bookmarkStart w:id="192" w:name="_Toc450827823"/>
      <w:bookmarkStart w:id="193" w:name="_Toc17527"/>
      <w:bookmarkStart w:id="194" w:name="_Toc17331"/>
      <w:bookmarkStart w:id="195" w:name="_Toc479184137"/>
      <w:bookmarkStart w:id="196" w:name="_Toc259028731"/>
      <w:r>
        <w:rPr>
          <w:rFonts w:hint="eastAsia" w:asciiTheme="minorEastAsia" w:hAnsiTheme="minorEastAsia" w:eastAsiaTheme="minorEastAsia" w:cstheme="minorEastAsia"/>
          <w:b/>
          <w:bCs/>
          <w:color w:val="auto"/>
          <w:kern w:val="0"/>
          <w:szCs w:val="21"/>
        </w:rPr>
        <w:t>十四、</w:t>
      </w:r>
      <w:r>
        <w:rPr>
          <w:rFonts w:hint="eastAsia" w:asciiTheme="minorEastAsia" w:hAnsiTheme="minorEastAsia" w:eastAsiaTheme="minorEastAsia" w:cstheme="minorEastAsia"/>
          <w:b/>
          <w:bCs/>
          <w:color w:val="auto"/>
          <w:szCs w:val="21"/>
        </w:rPr>
        <w:t>资格证明文件</w:t>
      </w:r>
      <w:bookmarkEnd w:id="191"/>
      <w:bookmarkEnd w:id="192"/>
      <w:bookmarkEnd w:id="193"/>
      <w:bookmarkEnd w:id="194"/>
      <w:bookmarkEnd w:id="195"/>
      <w:bookmarkEnd w:id="196"/>
    </w:p>
    <w:p>
      <w:pPr>
        <w:rPr>
          <w:rFonts w:asciiTheme="minorEastAsia" w:hAnsiTheme="minorEastAsia" w:eastAsiaTheme="minorEastAsia" w:cstheme="minorEastAsia"/>
          <w:color w:val="auto"/>
          <w:szCs w:val="21"/>
        </w:rPr>
      </w:pPr>
    </w:p>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提供第一章第二款资格要求的资格证明文件的真彩扫描件。</w:t>
      </w:r>
    </w:p>
    <w:p>
      <w:pPr>
        <w:rPr>
          <w:rFonts w:asciiTheme="minorEastAsia" w:hAnsiTheme="minorEastAsia" w:eastAsiaTheme="minorEastAsia" w:cstheme="minorEastAsia"/>
          <w:color w:val="auto"/>
          <w:szCs w:val="21"/>
        </w:rPr>
      </w:pPr>
    </w:p>
    <w:p>
      <w:pPr>
        <w:adjustRightInd w:val="0"/>
        <w:snapToGrid w:val="0"/>
        <w:spacing w:line="360" w:lineRule="auto"/>
        <w:ind w:left="-88" w:leftChars="-42"/>
        <w:jc w:val="center"/>
        <w:rPr>
          <w:rFonts w:asciiTheme="minorEastAsia" w:hAnsiTheme="minorEastAsia" w:eastAsiaTheme="minorEastAsia" w:cstheme="minorEastAsia"/>
          <w:color w:val="auto"/>
          <w:szCs w:val="21"/>
        </w:rPr>
      </w:pPr>
    </w:p>
    <w:p>
      <w:pPr>
        <w:spacing w:line="360" w:lineRule="auto"/>
        <w:ind w:left="168" w:leftChars="80"/>
        <w:jc w:val="center"/>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p>
    <w:p>
      <w:pPr>
        <w:spacing w:line="360" w:lineRule="auto"/>
        <w:ind w:left="168" w:leftChars="80"/>
        <w:jc w:val="center"/>
        <w:outlineLvl w:val="1"/>
        <w:rPr>
          <w:rFonts w:asciiTheme="minorEastAsia" w:hAnsiTheme="minorEastAsia" w:eastAsiaTheme="minorEastAsia" w:cstheme="minorEastAsia"/>
          <w:b/>
          <w:bCs/>
          <w:color w:val="auto"/>
          <w:szCs w:val="21"/>
        </w:rPr>
      </w:pPr>
      <w:bookmarkStart w:id="197" w:name="_Toc32162"/>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bookmarkStart w:id="198" w:name="_Toc18555"/>
      <w:bookmarkStart w:id="199" w:name="_Toc290207179"/>
      <w:bookmarkStart w:id="200" w:name="_Toc364868916"/>
      <w:bookmarkStart w:id="201" w:name="_Toc5793"/>
      <w:bookmarkStart w:id="202" w:name="_Toc32187"/>
      <w:bookmarkStart w:id="203" w:name="_Toc427239751"/>
      <w:bookmarkStart w:id="204" w:name="_Toc358447587"/>
      <w:r>
        <w:rPr>
          <w:rFonts w:hint="eastAsia" w:asciiTheme="minorEastAsia" w:hAnsiTheme="minorEastAsia" w:eastAsiaTheme="minorEastAsia" w:cstheme="minorEastAsia"/>
          <w:b/>
          <w:bCs/>
          <w:color w:val="auto"/>
          <w:kern w:val="0"/>
          <w:szCs w:val="21"/>
        </w:rPr>
        <w:t>十五、</w:t>
      </w:r>
      <w:bookmarkEnd w:id="198"/>
      <w:bookmarkEnd w:id="199"/>
      <w:bookmarkEnd w:id="200"/>
      <w:bookmarkEnd w:id="201"/>
      <w:bookmarkEnd w:id="202"/>
      <w:bookmarkEnd w:id="203"/>
      <w:bookmarkEnd w:id="204"/>
      <w:bookmarkStart w:id="205" w:name="_Toc479184138"/>
      <w:bookmarkStart w:id="206" w:name="_Toc27229"/>
      <w:bookmarkStart w:id="207" w:name="_Toc460258123"/>
      <w:bookmarkStart w:id="208" w:name="_Toc29785"/>
      <w:r>
        <w:rPr>
          <w:rFonts w:hint="eastAsia" w:asciiTheme="minorEastAsia" w:hAnsiTheme="minorEastAsia" w:eastAsiaTheme="minorEastAsia" w:cstheme="minorEastAsia"/>
          <w:b/>
          <w:color w:val="auto"/>
        </w:rPr>
        <w:t>报价技术文件</w:t>
      </w:r>
      <w:bookmarkEnd w:id="197"/>
      <w:bookmarkEnd w:id="205"/>
      <w:bookmarkEnd w:id="206"/>
      <w:bookmarkEnd w:id="207"/>
      <w:bookmarkEnd w:id="208"/>
    </w:p>
    <w:p>
      <w:pPr>
        <w:rPr>
          <w:rFonts w:asciiTheme="minorEastAsia" w:hAnsiTheme="minorEastAsia" w:eastAsiaTheme="minorEastAsia" w:cstheme="minorEastAsia"/>
          <w:color w:val="auto"/>
          <w:szCs w:val="21"/>
        </w:rPr>
      </w:pPr>
    </w:p>
    <w:p>
      <w:pPr>
        <w:pStyle w:val="97"/>
        <w:spacing w:line="360" w:lineRule="auto"/>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由供应商自行编制，目录清晰、内容详尽、易于理解和评审并富有建设性的技术方案将在评审时具有优势。</w:t>
      </w:r>
    </w:p>
    <w:p>
      <w:pPr>
        <w:adjustRightInd w:val="0"/>
        <w:snapToGrid w:val="0"/>
        <w:spacing w:line="360" w:lineRule="auto"/>
        <w:ind w:left="-88" w:leftChars="-42" w:firstLine="422" w:firstLineChars="200"/>
        <w:jc w:val="left"/>
        <w:rPr>
          <w:rFonts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以下内容仅供参考，格式自拟。</w:t>
      </w:r>
    </w:p>
    <w:p>
      <w:pPr>
        <w:numPr>
          <w:ilvl w:val="1"/>
          <w:numId w:val="43"/>
        </w:numPr>
        <w:tabs>
          <w:tab w:val="left" w:pos="640"/>
          <w:tab w:val="clear" w:pos="0"/>
        </w:tabs>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项目概况及对本项目总体要求的理解</w:t>
      </w:r>
    </w:p>
    <w:p>
      <w:pPr>
        <w:numPr>
          <w:ilvl w:val="1"/>
          <w:numId w:val="43"/>
        </w:numPr>
        <w:tabs>
          <w:tab w:val="left" w:pos="640"/>
          <w:tab w:val="clear" w:pos="0"/>
        </w:tabs>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项目实施方案</w:t>
      </w:r>
    </w:p>
    <w:p>
      <w:pPr>
        <w:numPr>
          <w:ilvl w:val="1"/>
          <w:numId w:val="43"/>
        </w:numPr>
        <w:tabs>
          <w:tab w:val="left" w:pos="640"/>
          <w:tab w:val="clear" w:pos="0"/>
        </w:tabs>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项目重点及难点解析</w:t>
      </w:r>
    </w:p>
    <w:p>
      <w:pPr>
        <w:numPr>
          <w:ilvl w:val="1"/>
          <w:numId w:val="43"/>
        </w:numPr>
        <w:tabs>
          <w:tab w:val="left" w:pos="640"/>
          <w:tab w:val="clear" w:pos="0"/>
        </w:tabs>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质量控制措施</w:t>
      </w:r>
    </w:p>
    <w:p>
      <w:pPr>
        <w:numPr>
          <w:ilvl w:val="1"/>
          <w:numId w:val="43"/>
        </w:numPr>
        <w:tabs>
          <w:tab w:val="left" w:pos="640"/>
          <w:tab w:val="clear" w:pos="0"/>
        </w:tabs>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进度控制措施</w:t>
      </w:r>
    </w:p>
    <w:p>
      <w:pPr>
        <w:numPr>
          <w:ilvl w:val="1"/>
          <w:numId w:val="43"/>
        </w:numPr>
        <w:tabs>
          <w:tab w:val="left" w:pos="640"/>
          <w:tab w:val="clear" w:pos="0"/>
        </w:tabs>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对本项目的合理化建议</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color w:val="auto"/>
        </w:rPr>
      </w:pPr>
      <w:r>
        <w:rPr>
          <w:rFonts w:hint="eastAsia" w:asciiTheme="minorEastAsia" w:hAnsiTheme="minorEastAsia" w:eastAsiaTheme="minorEastAsia" w:cstheme="minorEastAsia"/>
          <w:color w:val="auto"/>
        </w:rPr>
        <w:br w:type="page"/>
      </w:r>
      <w:bookmarkStart w:id="209" w:name="_Toc8098"/>
      <w:bookmarkStart w:id="210" w:name="_Toc422466739"/>
      <w:bookmarkStart w:id="211" w:name="_Toc479184140"/>
      <w:bookmarkStart w:id="212" w:name="_Toc2101"/>
      <w:bookmarkStart w:id="213" w:name="_Toc356836516"/>
      <w:bookmarkStart w:id="214" w:name="_Toc432149016"/>
      <w:bookmarkStart w:id="215" w:name="_Toc12119"/>
      <w:bookmarkStart w:id="216" w:name="_Toc22465"/>
      <w:bookmarkStart w:id="217" w:name="_Toc355802499"/>
      <w:bookmarkStart w:id="218" w:name="_Toc11098"/>
      <w:r>
        <w:rPr>
          <w:rFonts w:hint="eastAsia" w:asciiTheme="minorEastAsia" w:hAnsiTheme="minorEastAsia" w:eastAsiaTheme="minorEastAsia" w:cstheme="minorEastAsia"/>
          <w:b/>
          <w:color w:val="auto"/>
        </w:rPr>
        <w:t>十六、</w:t>
      </w:r>
      <w:bookmarkEnd w:id="209"/>
      <w:bookmarkEnd w:id="210"/>
      <w:bookmarkEnd w:id="211"/>
      <w:bookmarkEnd w:id="212"/>
      <w:bookmarkEnd w:id="213"/>
      <w:bookmarkEnd w:id="214"/>
      <w:bookmarkEnd w:id="215"/>
      <w:bookmarkEnd w:id="216"/>
      <w:bookmarkEnd w:id="217"/>
      <w:r>
        <w:rPr>
          <w:rFonts w:hint="eastAsia" w:asciiTheme="minorEastAsia" w:hAnsiTheme="minorEastAsia" w:eastAsiaTheme="minorEastAsia" w:cstheme="minorEastAsia"/>
          <w:b/>
          <w:color w:val="auto"/>
          <w:lang w:val="zh-CN"/>
        </w:rPr>
        <w:t>中小企业声明函（工程、服务）（若</w:t>
      </w:r>
      <w:r>
        <w:rPr>
          <w:rFonts w:hint="eastAsia" w:asciiTheme="minorEastAsia" w:hAnsiTheme="minorEastAsia" w:eastAsiaTheme="minorEastAsia" w:cstheme="minorEastAsia"/>
          <w:b/>
          <w:color w:val="auto"/>
        </w:rPr>
        <w:t>符合</w:t>
      </w:r>
      <w:r>
        <w:rPr>
          <w:rFonts w:hint="eastAsia" w:asciiTheme="minorEastAsia" w:hAnsiTheme="minorEastAsia" w:eastAsiaTheme="minorEastAsia" w:cstheme="minorEastAsia"/>
          <w:b/>
          <w:color w:val="auto"/>
          <w:lang w:val="zh-CN"/>
        </w:rPr>
        <w:t>）</w:t>
      </w:r>
      <w:bookmarkEnd w:id="218"/>
    </w:p>
    <w:p>
      <w:pPr>
        <w:spacing w:line="360" w:lineRule="auto"/>
        <w:jc w:val="center"/>
        <w:rPr>
          <w:rFonts w:ascii="宋体" w:hAnsi="宋体" w:cs="宋体"/>
          <w:color w:val="auto"/>
          <w:szCs w:val="21"/>
        </w:rPr>
      </w:pPr>
      <w:r>
        <w:rPr>
          <w:rFonts w:hint="eastAsia" w:asciiTheme="minorEastAsia" w:hAnsiTheme="minorEastAsia" w:eastAsiaTheme="minorEastAsia" w:cstheme="minorEastAsia"/>
          <w:color w:val="auto"/>
          <w:spacing w:val="6"/>
          <w:szCs w:val="21"/>
        </w:rPr>
        <w:t xml:space="preserve"> </w:t>
      </w:r>
      <w:r>
        <w:rPr>
          <w:rFonts w:ascii="宋体" w:hAnsi="宋体" w:cs="宋体"/>
          <w:color w:val="auto"/>
          <w:szCs w:val="21"/>
        </w:rPr>
        <w:t>中小企业声明函（</w:t>
      </w:r>
      <w:r>
        <w:rPr>
          <w:rFonts w:hint="eastAsia" w:ascii="宋体" w:hAnsi="宋体" w:cs="宋体"/>
          <w:color w:val="auto"/>
          <w:szCs w:val="21"/>
        </w:rPr>
        <w:t>工程、服务</w:t>
      </w:r>
      <w:r>
        <w:rPr>
          <w:rFonts w:ascii="宋体" w:hAnsi="宋体" w:cs="宋体"/>
          <w:color w:val="auto"/>
          <w:szCs w:val="21"/>
        </w:rPr>
        <w:t>）</w:t>
      </w:r>
    </w:p>
    <w:p>
      <w:pPr>
        <w:spacing w:line="360" w:lineRule="auto"/>
        <w:ind w:firstLine="420" w:firstLineChars="200"/>
        <w:rPr>
          <w:rFonts w:ascii="宋体" w:hAnsi="宋体" w:cs="宋体"/>
          <w:color w:val="auto"/>
          <w:szCs w:val="21"/>
        </w:rPr>
      </w:pPr>
      <w:r>
        <w:rPr>
          <w:rFonts w:hint="eastAsia" w:ascii="宋体" w:hAnsi="宋体" w:cs="宋体"/>
          <w:color w:val="auto"/>
          <w:szCs w:val="21"/>
        </w:rPr>
        <w:t>本公司（联合体）郑重声明，根据《政府采购促进中小企业发展管理办法》（财库﹝2020﹞46 号）的规定，本公司（联合体）参加</w:t>
      </w:r>
      <w:r>
        <w:rPr>
          <w:rFonts w:hint="eastAsia" w:ascii="宋体" w:hAnsi="宋体" w:cs="宋体"/>
          <w:color w:val="auto"/>
          <w:szCs w:val="21"/>
          <w:u w:val="single"/>
        </w:rPr>
        <w:t xml:space="preserve">          </w:t>
      </w:r>
      <w:r>
        <w:rPr>
          <w:rFonts w:ascii="宋体" w:hAnsi="宋体" w:cs="宋体"/>
          <w:color w:val="auto"/>
          <w:szCs w:val="21"/>
          <w:u w:val="single"/>
        </w:rPr>
        <w:t>（单位名称）</w:t>
      </w:r>
      <w:r>
        <w:rPr>
          <w:rFonts w:ascii="宋体" w:hAnsi="宋体" w:cs="宋体"/>
          <w:color w:val="auto"/>
          <w:szCs w:val="21"/>
        </w:rPr>
        <w:t>的</w:t>
      </w:r>
      <w:r>
        <w:rPr>
          <w:rFonts w:hint="eastAsia" w:ascii="宋体" w:hAnsi="宋体" w:cs="宋体"/>
          <w:color w:val="auto"/>
          <w:szCs w:val="21"/>
          <w:u w:val="single"/>
        </w:rPr>
        <w:t xml:space="preserve">          </w:t>
      </w:r>
      <w:r>
        <w:rPr>
          <w:rFonts w:ascii="宋体" w:hAnsi="宋体" w:cs="宋体"/>
          <w:color w:val="auto"/>
          <w:szCs w:val="21"/>
          <w:u w:val="single"/>
        </w:rPr>
        <w:t>（项目名称）</w:t>
      </w:r>
      <w:r>
        <w:rPr>
          <w:rFonts w:ascii="宋体" w:hAnsi="宋体" w:cs="宋体"/>
          <w:color w:val="auto"/>
          <w:szCs w:val="21"/>
        </w:rPr>
        <w:t>采购活动，</w:t>
      </w:r>
      <w:r>
        <w:rPr>
          <w:rFonts w:hint="eastAsia" w:ascii="宋体" w:hAnsi="宋体" w:cs="宋体"/>
          <w:color w:val="auto"/>
          <w:szCs w:val="21"/>
        </w:rPr>
        <w:t>工程的施工单位全部为符合政策要求的中小企业（或者：服务全部由符合政策要求的中小企业承接）。相关企业（含联合体中的中小企业、签订分包意向协议的中小企业）的具体情况如下：</w:t>
      </w:r>
      <w:r>
        <w:rPr>
          <w:rFonts w:ascii="宋体" w:hAnsi="宋体" w:cs="宋体"/>
          <w:color w:val="auto"/>
          <w:szCs w:val="21"/>
        </w:rPr>
        <w:br w:type="textWrapping"/>
      </w:r>
      <w:r>
        <w:rPr>
          <w:rFonts w:hint="eastAsia" w:ascii="宋体" w:hAnsi="宋体" w:cs="宋体"/>
          <w:color w:val="auto"/>
          <w:szCs w:val="21"/>
        </w:rPr>
        <w:t xml:space="preserve">    </w:t>
      </w:r>
      <w:r>
        <w:rPr>
          <w:rFonts w:ascii="宋体" w:hAnsi="宋体" w:cs="宋体"/>
          <w:color w:val="auto"/>
          <w:szCs w:val="21"/>
        </w:rPr>
        <w:t xml:space="preserve">1. </w:t>
      </w:r>
      <w:r>
        <w:rPr>
          <w:rFonts w:hint="eastAsia" w:ascii="宋体" w:hAnsi="宋体" w:cs="宋体"/>
          <w:color w:val="auto"/>
          <w:szCs w:val="21"/>
          <w:u w:val="single"/>
        </w:rPr>
        <w:t xml:space="preserve">        </w:t>
      </w:r>
      <w:r>
        <w:rPr>
          <w:rFonts w:ascii="宋体" w:hAnsi="宋体" w:cs="宋体"/>
          <w:color w:val="auto"/>
          <w:szCs w:val="21"/>
          <w:u w:val="single"/>
        </w:rPr>
        <w:t>（标的名称）</w:t>
      </w:r>
      <w:r>
        <w:rPr>
          <w:rFonts w:ascii="宋体" w:hAnsi="宋体" w:cs="宋体"/>
          <w:color w:val="auto"/>
          <w:szCs w:val="21"/>
        </w:rPr>
        <w:t xml:space="preserve"> ，属于</w:t>
      </w:r>
      <w:r>
        <w:rPr>
          <w:rFonts w:hint="eastAsia" w:ascii="宋体" w:hAnsi="宋体" w:cs="宋体"/>
          <w:color w:val="auto"/>
          <w:szCs w:val="21"/>
          <w:u w:val="single"/>
        </w:rPr>
        <w:t xml:space="preserve">               </w:t>
      </w:r>
      <w:r>
        <w:rPr>
          <w:rFonts w:ascii="宋体" w:hAnsi="宋体" w:cs="宋体"/>
          <w:color w:val="auto"/>
          <w:szCs w:val="21"/>
          <w:u w:val="single"/>
        </w:rPr>
        <w:t>（采购文件中明确的所属行业）</w:t>
      </w:r>
      <w:r>
        <w:rPr>
          <w:rFonts w:ascii="宋体" w:hAnsi="宋体" w:cs="宋体"/>
          <w:color w:val="auto"/>
          <w:szCs w:val="21"/>
        </w:rPr>
        <w:t xml:space="preserve"> 行业；</w:t>
      </w:r>
      <w:r>
        <w:rPr>
          <w:rFonts w:hint="eastAsia" w:ascii="宋体" w:hAnsi="宋体" w:cs="宋体"/>
          <w:color w:val="auto"/>
          <w:szCs w:val="21"/>
        </w:rPr>
        <w:t>承建（承接）企业为</w:t>
      </w:r>
      <w:r>
        <w:rPr>
          <w:rFonts w:hint="eastAsia" w:ascii="宋体" w:hAnsi="宋体" w:cs="宋体"/>
          <w:color w:val="auto"/>
          <w:szCs w:val="21"/>
          <w:u w:val="single"/>
        </w:rPr>
        <w:t xml:space="preserve">     </w:t>
      </w:r>
      <w:r>
        <w:rPr>
          <w:rFonts w:ascii="宋体" w:hAnsi="宋体" w:cs="宋体"/>
          <w:color w:val="auto"/>
          <w:szCs w:val="21"/>
          <w:u w:val="single"/>
        </w:rPr>
        <w:t>（企业名称）</w:t>
      </w:r>
      <w:r>
        <w:rPr>
          <w:rFonts w:ascii="宋体" w:hAnsi="宋体" w:cs="宋体"/>
          <w:color w:val="auto"/>
          <w:szCs w:val="21"/>
        </w:rPr>
        <w:t>，从业人员</w:t>
      </w:r>
      <w:r>
        <w:rPr>
          <w:rFonts w:hint="eastAsia" w:ascii="宋体" w:hAnsi="宋体" w:cs="宋体"/>
          <w:color w:val="auto"/>
          <w:szCs w:val="21"/>
          <w:u w:val="single"/>
        </w:rPr>
        <w:t xml:space="preserve">        </w:t>
      </w:r>
      <w:r>
        <w:rPr>
          <w:rFonts w:ascii="宋体" w:hAnsi="宋体" w:cs="宋体"/>
          <w:color w:val="auto"/>
          <w:szCs w:val="21"/>
        </w:rPr>
        <w:t>人，营业收入为</w:t>
      </w:r>
      <w:r>
        <w:rPr>
          <w:rFonts w:hint="eastAsia" w:ascii="宋体" w:hAnsi="宋体" w:cs="宋体"/>
          <w:color w:val="auto"/>
          <w:szCs w:val="21"/>
          <w:u w:val="single"/>
        </w:rPr>
        <w:t xml:space="preserve">        </w:t>
      </w:r>
      <w:r>
        <w:rPr>
          <w:rFonts w:ascii="宋体" w:hAnsi="宋体" w:cs="宋体"/>
          <w:color w:val="auto"/>
          <w:szCs w:val="21"/>
        </w:rPr>
        <w:t>万元，资产总额为</w:t>
      </w:r>
      <w:r>
        <w:rPr>
          <w:rFonts w:hint="eastAsia" w:ascii="宋体" w:hAnsi="宋体" w:cs="宋体"/>
          <w:color w:val="auto"/>
          <w:szCs w:val="21"/>
          <w:u w:val="single"/>
        </w:rPr>
        <w:t xml:space="preserve">        </w:t>
      </w:r>
      <w:r>
        <w:rPr>
          <w:rFonts w:ascii="宋体" w:hAnsi="宋体" w:cs="宋体"/>
          <w:color w:val="auto"/>
          <w:szCs w:val="21"/>
        </w:rPr>
        <w:t>万元，属于</w:t>
      </w:r>
      <w:r>
        <w:rPr>
          <w:rFonts w:ascii="宋体" w:hAnsi="宋体" w:cs="宋体"/>
          <w:color w:val="auto"/>
          <w:szCs w:val="21"/>
          <w:u w:val="single"/>
        </w:rPr>
        <w:t>（中型企业、小型企业、微型企业）；</w:t>
      </w:r>
      <w:r>
        <w:rPr>
          <w:rFonts w:ascii="宋体" w:hAnsi="宋体" w:cs="宋体"/>
          <w:color w:val="auto"/>
          <w:szCs w:val="21"/>
        </w:rPr>
        <w:t xml:space="preserve"> </w:t>
      </w:r>
      <w:r>
        <w:rPr>
          <w:rFonts w:ascii="宋体" w:hAnsi="宋体" w:cs="宋体"/>
          <w:color w:val="auto"/>
          <w:szCs w:val="21"/>
        </w:rPr>
        <w:br w:type="textWrapping"/>
      </w:r>
      <w:r>
        <w:rPr>
          <w:rFonts w:hint="eastAsia" w:ascii="宋体" w:hAnsi="宋体" w:cs="宋体"/>
          <w:color w:val="auto"/>
          <w:szCs w:val="21"/>
        </w:rPr>
        <w:t xml:space="preserve">    </w:t>
      </w:r>
      <w:r>
        <w:rPr>
          <w:rFonts w:ascii="宋体" w:hAnsi="宋体" w:cs="宋体"/>
          <w:color w:val="auto"/>
          <w:szCs w:val="21"/>
        </w:rPr>
        <w:t xml:space="preserve">2. </w:t>
      </w:r>
      <w:r>
        <w:rPr>
          <w:rFonts w:hint="eastAsia" w:ascii="宋体" w:hAnsi="宋体" w:cs="宋体"/>
          <w:color w:val="auto"/>
          <w:szCs w:val="21"/>
          <w:u w:val="single"/>
        </w:rPr>
        <w:t xml:space="preserve">        </w:t>
      </w:r>
      <w:r>
        <w:rPr>
          <w:rFonts w:ascii="宋体" w:hAnsi="宋体" w:cs="宋体"/>
          <w:color w:val="auto"/>
          <w:szCs w:val="21"/>
          <w:u w:val="single"/>
        </w:rPr>
        <w:t>（标的名称）</w:t>
      </w:r>
      <w:r>
        <w:rPr>
          <w:rFonts w:ascii="宋体" w:hAnsi="宋体" w:cs="宋体"/>
          <w:color w:val="auto"/>
          <w:szCs w:val="21"/>
        </w:rPr>
        <w:t xml:space="preserve"> ，属于</w:t>
      </w:r>
      <w:r>
        <w:rPr>
          <w:rFonts w:hint="eastAsia" w:ascii="宋体" w:hAnsi="宋体" w:cs="宋体"/>
          <w:color w:val="auto"/>
          <w:szCs w:val="21"/>
          <w:u w:val="single"/>
        </w:rPr>
        <w:t xml:space="preserve">               </w:t>
      </w:r>
      <w:r>
        <w:rPr>
          <w:rFonts w:ascii="宋体" w:hAnsi="宋体" w:cs="宋体"/>
          <w:color w:val="auto"/>
          <w:szCs w:val="21"/>
          <w:u w:val="single"/>
        </w:rPr>
        <w:t>（采购文件中明确的所属行业）</w:t>
      </w:r>
      <w:r>
        <w:rPr>
          <w:rFonts w:ascii="宋体" w:hAnsi="宋体" w:cs="宋体"/>
          <w:color w:val="auto"/>
          <w:szCs w:val="21"/>
        </w:rPr>
        <w:t>行业；</w:t>
      </w:r>
      <w:r>
        <w:rPr>
          <w:rFonts w:hint="eastAsia" w:ascii="宋体" w:hAnsi="宋体" w:cs="宋体"/>
          <w:color w:val="auto"/>
          <w:szCs w:val="21"/>
        </w:rPr>
        <w:t>承建（承接）企业为</w:t>
      </w:r>
      <w:r>
        <w:rPr>
          <w:rFonts w:hint="eastAsia" w:ascii="宋体" w:hAnsi="宋体" w:cs="宋体"/>
          <w:color w:val="auto"/>
          <w:szCs w:val="21"/>
          <w:u w:val="single"/>
        </w:rPr>
        <w:t xml:space="preserve">     </w:t>
      </w:r>
      <w:r>
        <w:rPr>
          <w:rFonts w:ascii="宋体" w:hAnsi="宋体" w:cs="宋体"/>
          <w:color w:val="auto"/>
          <w:szCs w:val="21"/>
          <w:u w:val="single"/>
        </w:rPr>
        <w:t>（企业名称）</w:t>
      </w:r>
      <w:r>
        <w:rPr>
          <w:rFonts w:ascii="宋体" w:hAnsi="宋体" w:cs="宋体"/>
          <w:color w:val="auto"/>
          <w:szCs w:val="21"/>
        </w:rPr>
        <w:t>，从业人员</w:t>
      </w:r>
      <w:r>
        <w:rPr>
          <w:rFonts w:hint="eastAsia" w:ascii="宋体" w:hAnsi="宋体" w:cs="宋体"/>
          <w:color w:val="auto"/>
          <w:szCs w:val="21"/>
          <w:u w:val="single"/>
        </w:rPr>
        <w:t xml:space="preserve">        </w:t>
      </w:r>
      <w:r>
        <w:rPr>
          <w:rFonts w:ascii="宋体" w:hAnsi="宋体" w:cs="宋体"/>
          <w:color w:val="auto"/>
          <w:szCs w:val="21"/>
        </w:rPr>
        <w:t>人，营业收入为</w:t>
      </w:r>
      <w:r>
        <w:rPr>
          <w:rFonts w:hint="eastAsia" w:ascii="宋体" w:hAnsi="宋体" w:cs="宋体"/>
          <w:color w:val="auto"/>
          <w:szCs w:val="21"/>
          <w:u w:val="single"/>
        </w:rPr>
        <w:t xml:space="preserve">        </w:t>
      </w:r>
      <w:r>
        <w:rPr>
          <w:rFonts w:ascii="宋体" w:hAnsi="宋体" w:cs="宋体"/>
          <w:color w:val="auto"/>
          <w:szCs w:val="21"/>
        </w:rPr>
        <w:t>万元，资产总额为</w:t>
      </w:r>
      <w:r>
        <w:rPr>
          <w:rFonts w:hint="eastAsia" w:ascii="宋体" w:hAnsi="宋体" w:cs="宋体"/>
          <w:color w:val="auto"/>
          <w:szCs w:val="21"/>
          <w:u w:val="single"/>
        </w:rPr>
        <w:t xml:space="preserve">        </w:t>
      </w:r>
      <w:r>
        <w:rPr>
          <w:rFonts w:ascii="宋体" w:hAnsi="宋体" w:cs="宋体"/>
          <w:color w:val="auto"/>
          <w:szCs w:val="21"/>
        </w:rPr>
        <w:t>万元，属于</w:t>
      </w:r>
      <w:r>
        <w:rPr>
          <w:rFonts w:ascii="宋体" w:hAnsi="宋体" w:cs="宋体"/>
          <w:color w:val="auto"/>
          <w:szCs w:val="21"/>
          <w:u w:val="single"/>
        </w:rPr>
        <w:t>（中型企业、小型企业、微型企业）</w:t>
      </w:r>
      <w:r>
        <w:rPr>
          <w:rFonts w:ascii="宋体" w:hAnsi="宋体" w:cs="宋体"/>
          <w:color w:val="auto"/>
          <w:szCs w:val="21"/>
        </w:rPr>
        <w:t xml:space="preserve">； </w:t>
      </w:r>
      <w:r>
        <w:rPr>
          <w:rFonts w:ascii="宋体" w:hAnsi="宋体" w:cs="宋体"/>
          <w:color w:val="auto"/>
          <w:szCs w:val="21"/>
        </w:rPr>
        <w:br w:type="textWrapping"/>
      </w:r>
      <w:r>
        <w:rPr>
          <w:rFonts w:hint="eastAsia" w:ascii="宋体" w:hAnsi="宋体" w:cs="宋体"/>
          <w:color w:val="auto"/>
          <w:szCs w:val="21"/>
        </w:rPr>
        <w:t xml:space="preserve">    </w:t>
      </w:r>
      <w:r>
        <w:rPr>
          <w:rFonts w:ascii="宋体" w:hAnsi="宋体" w:cs="宋体"/>
          <w:color w:val="auto"/>
          <w:szCs w:val="21"/>
        </w:rPr>
        <w:t xml:space="preserve">…… </w:t>
      </w:r>
      <w:r>
        <w:rPr>
          <w:rFonts w:ascii="宋体" w:hAnsi="宋体" w:cs="宋体"/>
          <w:color w:val="auto"/>
          <w:szCs w:val="21"/>
        </w:rPr>
        <w:br w:type="textWrapping"/>
      </w:r>
      <w:r>
        <w:rPr>
          <w:rFonts w:hint="eastAsia" w:ascii="宋体" w:hAnsi="宋体" w:cs="宋体"/>
          <w:color w:val="auto"/>
          <w:szCs w:val="21"/>
        </w:rPr>
        <w:t xml:space="preserve">    </w:t>
      </w:r>
      <w:r>
        <w:rPr>
          <w:rFonts w:ascii="宋体" w:hAnsi="宋体" w:cs="宋体"/>
          <w:color w:val="auto"/>
          <w:szCs w:val="21"/>
        </w:rPr>
        <w:t xml:space="preserve">以上企业，不属于大企业的分支机构，不存在控股股东为大企业的情形，也不存在与大企业的负责人为同一人的情形。 </w:t>
      </w:r>
      <w:r>
        <w:rPr>
          <w:rFonts w:ascii="宋体" w:hAnsi="宋体" w:cs="宋体"/>
          <w:color w:val="auto"/>
          <w:szCs w:val="21"/>
        </w:rPr>
        <w:br w:type="textWrapping"/>
      </w:r>
      <w:r>
        <w:rPr>
          <w:rFonts w:hint="eastAsia" w:ascii="宋体" w:hAnsi="宋体" w:cs="宋体"/>
          <w:color w:val="auto"/>
          <w:szCs w:val="21"/>
        </w:rPr>
        <w:t xml:space="preserve">    </w:t>
      </w:r>
      <w:r>
        <w:rPr>
          <w:rFonts w:ascii="宋体" w:hAnsi="宋体" w:cs="宋体"/>
          <w:color w:val="auto"/>
          <w:szCs w:val="21"/>
        </w:rPr>
        <w:t xml:space="preserve">本企业对上述声明内容的真实性负责。如有虚假，将依法承担相应责任。 </w:t>
      </w:r>
    </w:p>
    <w:p>
      <w:pPr>
        <w:spacing w:line="360" w:lineRule="auto"/>
        <w:ind w:firstLine="6930" w:firstLineChars="3300"/>
        <w:rPr>
          <w:rFonts w:ascii="宋体" w:hAnsi="宋体" w:cs="宋体"/>
          <w:color w:val="auto"/>
          <w:szCs w:val="21"/>
        </w:rPr>
      </w:pPr>
      <w:r>
        <w:rPr>
          <w:rFonts w:ascii="宋体" w:hAnsi="宋体" w:cs="宋体"/>
          <w:color w:val="auto"/>
          <w:szCs w:val="21"/>
        </w:rPr>
        <w:t xml:space="preserve">企业名称（盖章）： </w:t>
      </w:r>
    </w:p>
    <w:p>
      <w:pPr>
        <w:spacing w:line="360" w:lineRule="auto"/>
        <w:ind w:firstLine="420" w:firstLineChars="200"/>
        <w:jc w:val="center"/>
        <w:rPr>
          <w:rFonts w:ascii="宋体" w:hAnsi="宋体" w:cs="宋体"/>
          <w:color w:val="auto"/>
          <w:szCs w:val="21"/>
        </w:rPr>
      </w:pPr>
      <w:r>
        <w:rPr>
          <w:rFonts w:hint="eastAsia" w:ascii="宋体" w:hAnsi="宋体" w:cs="宋体"/>
          <w:color w:val="auto"/>
          <w:szCs w:val="21"/>
        </w:rPr>
        <w:t xml:space="preserve">                                                </w:t>
      </w:r>
      <w:r>
        <w:rPr>
          <w:rFonts w:ascii="宋体" w:hAnsi="宋体" w:cs="宋体"/>
          <w:color w:val="auto"/>
          <w:szCs w:val="21"/>
        </w:rPr>
        <w:t>日 期：</w:t>
      </w:r>
    </w:p>
    <w:p>
      <w:pPr>
        <w:spacing w:line="360" w:lineRule="auto"/>
        <w:rPr>
          <w:rFonts w:ascii="宋体" w:hAnsi="宋体" w:cs="宋体"/>
          <w:color w:val="auto"/>
          <w:szCs w:val="21"/>
        </w:rPr>
      </w:pPr>
    </w:p>
    <w:p>
      <w:pPr>
        <w:spacing w:line="360" w:lineRule="auto"/>
        <w:rPr>
          <w:rFonts w:ascii="宋体" w:hAnsi="宋体" w:cs="宋体"/>
          <w:color w:val="auto"/>
          <w:szCs w:val="21"/>
        </w:rPr>
      </w:pPr>
    </w:p>
    <w:p>
      <w:pPr>
        <w:spacing w:line="360" w:lineRule="auto"/>
        <w:rPr>
          <w:rFonts w:ascii="宋体" w:hAnsi="宋体" w:cs="宋体"/>
          <w:color w:val="auto"/>
          <w:szCs w:val="21"/>
        </w:rPr>
      </w:pPr>
    </w:p>
    <w:p>
      <w:pPr>
        <w:spacing w:line="360" w:lineRule="auto"/>
        <w:rPr>
          <w:rFonts w:ascii="宋体" w:hAnsi="宋体" w:cs="宋体"/>
          <w:color w:val="auto"/>
          <w:szCs w:val="21"/>
        </w:rPr>
      </w:pPr>
    </w:p>
    <w:p>
      <w:pPr>
        <w:spacing w:line="360" w:lineRule="auto"/>
        <w:ind w:firstLine="420" w:firstLineChars="200"/>
        <w:rPr>
          <w:color w:val="auto"/>
          <w:szCs w:val="21"/>
        </w:rPr>
      </w:pPr>
      <w:r>
        <w:rPr>
          <w:rFonts w:ascii="宋体" w:hAnsi="宋体" w:cs="宋体"/>
          <w:color w:val="auto"/>
          <w:szCs w:val="21"/>
        </w:rPr>
        <w:t>从业人员、营业收入、资产总额填报上一年度数据，无上一年度数据的新成立企业可不填报。</w:t>
      </w:r>
    </w:p>
    <w:p>
      <w:pPr>
        <w:spacing w:line="360" w:lineRule="auto"/>
        <w:ind w:firstLine="444"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color w:val="auto"/>
          <w:szCs w:val="21"/>
        </w:rPr>
        <w:t>磋商供应商授权代表（签字）：</w:t>
      </w:r>
      <w:r>
        <w:rPr>
          <w:rFonts w:hint="eastAsia" w:asciiTheme="minorEastAsia" w:hAnsiTheme="minorEastAsia" w:eastAsiaTheme="minorEastAsia" w:cstheme="minorEastAsia"/>
          <w:color w:val="auto"/>
          <w:szCs w:val="21"/>
          <w:u w:val="single"/>
        </w:rPr>
        <w:t xml:space="preserve">                        </w:t>
      </w:r>
    </w:p>
    <w:p>
      <w:pPr>
        <w:spacing w:line="360" w:lineRule="auto"/>
        <w:rPr>
          <w:rFonts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名称（盖章 ）：</w:t>
      </w:r>
      <w:r>
        <w:rPr>
          <w:rFonts w:hint="eastAsia" w:asciiTheme="minorEastAsia" w:hAnsiTheme="minorEastAsia" w:eastAsiaTheme="minorEastAsia" w:cstheme="minorEastAsia"/>
          <w:color w:val="auto"/>
          <w:szCs w:val="21"/>
          <w:u w:val="single"/>
        </w:rPr>
        <w:t xml:space="preserve">                                     </w:t>
      </w:r>
    </w:p>
    <w:p>
      <w:pPr>
        <w:spacing w:line="360" w:lineRule="auto"/>
        <w:rPr>
          <w:rFonts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spacing w:line="360" w:lineRule="auto"/>
        <w:ind w:firstLine="444" w:firstLineChars="200"/>
        <w:rPr>
          <w:rFonts w:asciiTheme="minorEastAsia" w:hAnsiTheme="minorEastAsia" w:eastAsiaTheme="minorEastAsia" w:cstheme="minorEastAsia"/>
          <w:color w:val="auto"/>
          <w:spacing w:val="6"/>
          <w:szCs w:val="21"/>
        </w:rPr>
      </w:pPr>
    </w:p>
    <w:bookmarkEnd w:id="119"/>
    <w:bookmarkEnd w:id="120"/>
    <w:bookmarkEnd w:id="121"/>
    <w:bookmarkEnd w:id="122"/>
    <w:p>
      <w:pPr>
        <w:adjustRightInd w:val="0"/>
        <w:snapToGrid w:val="0"/>
        <w:jc w:val="center"/>
        <w:outlineLvl w:val="1"/>
        <w:rPr>
          <w:rFonts w:asciiTheme="minorEastAsia" w:hAnsiTheme="minorEastAsia" w:eastAsiaTheme="minorEastAsia" w:cstheme="minorEastAsia"/>
          <w:b/>
          <w:color w:val="auto"/>
        </w:rPr>
      </w:pPr>
      <w:bookmarkStart w:id="219" w:name="_Toc10220"/>
      <w:bookmarkStart w:id="220" w:name="_Toc476839034"/>
      <w:bookmarkStart w:id="221" w:name="_Toc7229"/>
      <w:bookmarkStart w:id="222" w:name="_Toc30406"/>
      <w:bookmarkStart w:id="223" w:name="_Toc479184141"/>
      <w:bookmarkStart w:id="224" w:name="_Toc4320"/>
      <w:r>
        <w:rPr>
          <w:rFonts w:hint="eastAsia" w:asciiTheme="minorEastAsia" w:hAnsiTheme="minorEastAsia" w:eastAsiaTheme="minorEastAsia" w:cstheme="minorEastAsia"/>
          <w:b/>
          <w:bCs/>
          <w:color w:val="auto"/>
          <w:spacing w:val="6"/>
          <w:szCs w:val="21"/>
        </w:rPr>
        <w:t>十七、</w:t>
      </w:r>
      <w:r>
        <w:rPr>
          <w:rFonts w:hint="eastAsia" w:asciiTheme="minorEastAsia" w:hAnsiTheme="minorEastAsia" w:eastAsiaTheme="minorEastAsia" w:cstheme="minorEastAsia"/>
          <w:b/>
          <w:bCs/>
          <w:color w:val="auto"/>
          <w:lang w:val="zh-CN"/>
        </w:rPr>
        <w:t>监狱企业证</w:t>
      </w:r>
      <w:r>
        <w:rPr>
          <w:rFonts w:hint="eastAsia" w:asciiTheme="minorEastAsia" w:hAnsiTheme="minorEastAsia" w:eastAsiaTheme="minorEastAsia" w:cstheme="minorEastAsia"/>
          <w:b/>
          <w:color w:val="auto"/>
          <w:lang w:val="zh-CN"/>
        </w:rPr>
        <w:t>明文</w:t>
      </w:r>
      <w:r>
        <w:rPr>
          <w:rFonts w:hint="eastAsia" w:asciiTheme="minorEastAsia" w:hAnsiTheme="minorEastAsia" w:eastAsiaTheme="minorEastAsia" w:cstheme="minorEastAsia"/>
          <w:b/>
          <w:color w:val="auto"/>
        </w:rPr>
        <w:t>件</w:t>
      </w:r>
      <w:r>
        <w:rPr>
          <w:rFonts w:hint="eastAsia" w:asciiTheme="minorEastAsia" w:hAnsiTheme="minorEastAsia" w:eastAsiaTheme="minorEastAsia" w:cstheme="minorEastAsia"/>
          <w:b/>
          <w:color w:val="auto"/>
          <w:lang w:val="zh-CN"/>
        </w:rPr>
        <w:t>（若</w:t>
      </w:r>
      <w:r>
        <w:rPr>
          <w:rFonts w:hint="eastAsia" w:asciiTheme="minorEastAsia" w:hAnsiTheme="minorEastAsia" w:eastAsiaTheme="minorEastAsia" w:cstheme="minorEastAsia"/>
          <w:b/>
          <w:color w:val="auto"/>
        </w:rPr>
        <w:t>符合</w:t>
      </w:r>
      <w:r>
        <w:rPr>
          <w:rFonts w:hint="eastAsia" w:asciiTheme="minorEastAsia" w:hAnsiTheme="minorEastAsia" w:eastAsiaTheme="minorEastAsia" w:cstheme="minorEastAsia"/>
          <w:b/>
          <w:color w:val="auto"/>
          <w:lang w:val="zh-CN"/>
        </w:rPr>
        <w:t>）</w:t>
      </w:r>
      <w:bookmarkEnd w:id="219"/>
    </w:p>
    <w:p>
      <w:pPr>
        <w:adjustRightInd w:val="0"/>
        <w:snapToGrid w:val="0"/>
        <w:jc w:val="center"/>
        <w:rPr>
          <w:rFonts w:asciiTheme="minorEastAsia" w:hAnsiTheme="minorEastAsia" w:eastAsiaTheme="minorEastAsia" w:cstheme="minorEastAsia"/>
          <w:color w:val="auto"/>
          <w:spacing w:val="6"/>
          <w:szCs w:val="21"/>
        </w:rPr>
      </w:pPr>
    </w:p>
    <w:p>
      <w:pPr>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color w:val="auto"/>
          <w:spacing w:val="6"/>
          <w:szCs w:val="21"/>
        </w:rPr>
        <w:t>供应商如是监狱企业，提供相关证明文件。</w:t>
      </w:r>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color w:val="auto"/>
          <w:szCs w:val="21"/>
        </w:rPr>
        <w:t>磋商供应商授权代表（签字）：</w:t>
      </w:r>
      <w:r>
        <w:rPr>
          <w:rFonts w:hint="eastAsia" w:asciiTheme="minorEastAsia" w:hAnsiTheme="minorEastAsia" w:eastAsiaTheme="minorEastAsia" w:cstheme="minorEastAsia"/>
          <w:color w:val="auto"/>
          <w:szCs w:val="21"/>
          <w:u w:val="single"/>
        </w:rPr>
        <w:t xml:space="preserve">                        </w:t>
      </w:r>
    </w:p>
    <w:p>
      <w:pPr>
        <w:spacing w:line="360" w:lineRule="auto"/>
        <w:rPr>
          <w:rFonts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名称（盖章 ）：</w:t>
      </w:r>
      <w:r>
        <w:rPr>
          <w:rFonts w:hint="eastAsia" w:asciiTheme="minorEastAsia" w:hAnsiTheme="minorEastAsia" w:eastAsiaTheme="minorEastAsia" w:cstheme="minorEastAsia"/>
          <w:color w:val="auto"/>
          <w:szCs w:val="21"/>
          <w:u w:val="single"/>
        </w:rPr>
        <w:t xml:space="preserve">                                     </w:t>
      </w:r>
    </w:p>
    <w:p>
      <w:pPr>
        <w:adjustRightInd w:val="0"/>
        <w:snapToGrid w:val="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adjustRightInd w:val="0"/>
        <w:snapToGrid w:val="0"/>
        <w:rPr>
          <w:rFonts w:asciiTheme="minorEastAsia" w:hAnsiTheme="minorEastAsia" w:eastAsiaTheme="minorEastAsia" w:cstheme="minorEastAsia"/>
          <w:color w:val="auto"/>
          <w:spacing w:val="6"/>
          <w:szCs w:val="21"/>
        </w:rPr>
      </w:pPr>
    </w:p>
    <w:p>
      <w:pPr>
        <w:adjustRightInd w:val="0"/>
        <w:snapToGrid w:val="0"/>
        <w:rPr>
          <w:rFonts w:asciiTheme="minorEastAsia" w:hAnsiTheme="minorEastAsia" w:eastAsiaTheme="minorEastAsia" w:cstheme="minorEastAsia"/>
          <w:color w:val="auto"/>
          <w:spacing w:val="6"/>
          <w:szCs w:val="21"/>
        </w:rPr>
      </w:pPr>
    </w:p>
    <w:p>
      <w:pPr>
        <w:rPr>
          <w:color w:val="auto"/>
        </w:rPr>
      </w:pP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p>
    <w:p>
      <w:pPr>
        <w:adjustRightInd w:val="0"/>
        <w:snapToGrid w:val="0"/>
        <w:jc w:val="center"/>
        <w:outlineLvl w:val="1"/>
        <w:rPr>
          <w:rFonts w:asciiTheme="minorEastAsia" w:hAnsiTheme="minorEastAsia" w:eastAsiaTheme="minorEastAsia" w:cstheme="minorEastAsia"/>
          <w:b/>
          <w:color w:val="auto"/>
          <w:lang w:val="zh-CN"/>
        </w:rPr>
      </w:pPr>
      <w:bookmarkStart w:id="225" w:name="_Toc27762"/>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b/>
          <w:color w:val="auto"/>
        </w:rPr>
        <w:t>十八、</w:t>
      </w:r>
      <w:r>
        <w:rPr>
          <w:rFonts w:hint="eastAsia" w:asciiTheme="minorEastAsia" w:hAnsiTheme="minorEastAsia" w:eastAsiaTheme="minorEastAsia" w:cstheme="minorEastAsia"/>
          <w:b/>
          <w:color w:val="auto"/>
          <w:lang w:val="zh-CN"/>
        </w:rPr>
        <w:t>残疾人福利性单位声明函（若</w:t>
      </w:r>
      <w:r>
        <w:rPr>
          <w:rFonts w:hint="eastAsia" w:asciiTheme="minorEastAsia" w:hAnsiTheme="minorEastAsia" w:eastAsiaTheme="minorEastAsia" w:cstheme="minorEastAsia"/>
          <w:b/>
          <w:color w:val="auto"/>
        </w:rPr>
        <w:t>符合</w:t>
      </w:r>
      <w:r>
        <w:rPr>
          <w:rFonts w:hint="eastAsia" w:asciiTheme="minorEastAsia" w:hAnsiTheme="minorEastAsia" w:eastAsiaTheme="minorEastAsia" w:cstheme="minorEastAsia"/>
          <w:b/>
          <w:color w:val="auto"/>
          <w:lang w:val="zh-CN"/>
        </w:rPr>
        <w:t>）</w:t>
      </w:r>
      <w:bookmarkEnd w:id="225"/>
    </w:p>
    <w:p>
      <w:pPr>
        <w:pStyle w:val="14"/>
        <w:spacing w:line="360" w:lineRule="auto"/>
        <w:ind w:firstLine="415" w:firstLineChars="198"/>
        <w:jc w:val="left"/>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郑重声明，根据《财政部民政部中国残疾人联合会关于促进残疾人就业政府采购政策的通知》（财库〔2017〕141号）的规定，本单位为符合条件的残疾人福利性单位（详见“残疾人福利性单位应当满足的条件”）。</w:t>
      </w:r>
    </w:p>
    <w:p>
      <w:pPr>
        <w:pStyle w:val="14"/>
        <w:spacing w:line="360" w:lineRule="auto"/>
        <w:ind w:firstLine="415" w:firstLineChars="198"/>
        <w:jc w:val="left"/>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本单位授权</w:t>
      </w:r>
      <w:r>
        <w:rPr>
          <w:rFonts w:hint="eastAsia" w:asciiTheme="minorEastAsia" w:hAnsiTheme="minorEastAsia" w:eastAsiaTheme="minorEastAsia" w:cstheme="minorEastAsia"/>
          <w:color w:val="auto"/>
          <w:sz w:val="21"/>
          <w:u w:val="single"/>
        </w:rPr>
        <w:t xml:space="preserve">     （供应商） </w:t>
      </w:r>
      <w:r>
        <w:rPr>
          <w:rFonts w:hint="eastAsia" w:asciiTheme="minorEastAsia" w:hAnsiTheme="minorEastAsia" w:eastAsiaTheme="minorEastAsia" w:cstheme="minorEastAsia"/>
          <w:color w:val="auto"/>
          <w:sz w:val="21"/>
        </w:rPr>
        <w:t>参加</w:t>
      </w:r>
      <w:r>
        <w:rPr>
          <w:rFonts w:hint="eastAsia" w:asciiTheme="minorEastAsia" w:hAnsiTheme="minorEastAsia" w:eastAsiaTheme="minorEastAsia" w:cstheme="minorEastAsia"/>
          <w:color w:val="auto"/>
          <w:sz w:val="21"/>
          <w:u w:val="single"/>
        </w:rPr>
        <w:t xml:space="preserve">     （采购人）</w:t>
      </w:r>
      <w:r>
        <w:rPr>
          <w:rFonts w:hint="eastAsia" w:asciiTheme="minorEastAsia" w:hAnsiTheme="minorEastAsia" w:eastAsiaTheme="minorEastAsia" w:cstheme="minorEastAsia"/>
          <w:color w:val="auto"/>
          <w:sz w:val="21"/>
        </w:rPr>
        <w:t>的</w:t>
      </w:r>
      <w:r>
        <w:rPr>
          <w:rFonts w:hint="eastAsia" w:asciiTheme="minorEastAsia" w:hAnsiTheme="minorEastAsia" w:eastAsiaTheme="minorEastAsia" w:cstheme="minorEastAsia"/>
          <w:color w:val="auto"/>
          <w:sz w:val="21"/>
          <w:u w:val="single"/>
        </w:rPr>
        <w:t>    </w:t>
      </w:r>
      <w:r>
        <w:rPr>
          <w:rFonts w:hint="eastAsia" w:asciiTheme="minorEastAsia" w:hAnsiTheme="minorEastAsia" w:eastAsiaTheme="minorEastAsia" w:cstheme="minorEastAsia"/>
          <w:color w:val="auto"/>
          <w:sz w:val="21"/>
        </w:rPr>
        <w:t>项目（项目编号：_____）采购活动提供本单位制造的货物（由本单位承担工程/提供服务）。或者提供其他残疾人福利性单位制造的货物（不包括使用非残疾人福利性单位注册商标的货物）。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color w:val="auto"/>
          <w:szCs w:val="21"/>
        </w:rPr>
        <w:t>本单位对上述声明的真实性负责。如有虚假，将依法承担相应责任。</w:t>
      </w:r>
    </w:p>
    <w:p>
      <w:pPr>
        <w:pStyle w:val="14"/>
        <w:spacing w:line="360" w:lineRule="auto"/>
        <w:jc w:val="left"/>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bCs/>
          <w:color w:val="auto"/>
          <w:sz w:val="21"/>
        </w:rPr>
        <w:t>说明：</w:t>
      </w:r>
      <w:r>
        <w:rPr>
          <w:rFonts w:hint="eastAsia" w:asciiTheme="minorEastAsia" w:hAnsiTheme="minorEastAsia" w:eastAsiaTheme="minorEastAsia" w:cstheme="minorEastAsia"/>
          <w:color w:val="auto"/>
          <w:sz w:val="21"/>
        </w:rPr>
        <w:t>1、供应商所投货物为自己制造的，也应按本声明函格式填写。</w:t>
      </w:r>
    </w:p>
    <w:p>
      <w:pPr>
        <w:pStyle w:val="14"/>
        <w:spacing w:line="360" w:lineRule="auto"/>
        <w:ind w:left="1033" w:leftChars="342" w:hanging="315" w:hangingChars="150"/>
        <w:jc w:val="left"/>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2、组成联合体的大中型企业和其他自然人、法人或者其他组织，与残疾人福利性单位之间不得存在投资关系。</w:t>
      </w:r>
    </w:p>
    <w:p>
      <w:pPr>
        <w:pStyle w:val="14"/>
        <w:spacing w:line="360" w:lineRule="auto"/>
        <w:ind w:left="1033" w:leftChars="342" w:hanging="315" w:hangingChars="150"/>
        <w:jc w:val="lef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1"/>
        </w:rPr>
        <w:t>3、如以联合体方式参与本项目响应的供应商，则应由联合体双方签字盖章。</w:t>
      </w:r>
    </w:p>
    <w:p>
      <w:pPr>
        <w:spacing w:before="100" w:beforeAutospacing="1" w:after="100" w:afterAutospacing="1"/>
        <w:jc w:val="left"/>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制造商（</w:t>
      </w:r>
      <w:r>
        <w:rPr>
          <w:rFonts w:hint="eastAsia" w:asciiTheme="minorEastAsia" w:hAnsiTheme="minorEastAsia" w:eastAsiaTheme="minorEastAsia" w:cstheme="minorEastAsia"/>
          <w:color w:val="auto"/>
          <w:szCs w:val="21"/>
        </w:rPr>
        <w:t>盖章</w:t>
      </w:r>
      <w:r>
        <w:rPr>
          <w:rFonts w:hint="eastAsia" w:asciiTheme="minorEastAsia" w:hAnsiTheme="minorEastAsia" w:eastAsiaTheme="minorEastAsia" w:cstheme="minorEastAsia"/>
          <w:color w:val="auto"/>
          <w:szCs w:val="21"/>
          <w:lang w:val="zh-CN"/>
        </w:rPr>
        <w:t>）：</w:t>
      </w:r>
    </w:p>
    <w:p>
      <w:pPr>
        <w:spacing w:before="100" w:beforeAutospacing="1" w:after="100" w:afterAutospacing="1"/>
        <w:jc w:val="left"/>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制造商法定代表人（签字）：</w:t>
      </w:r>
    </w:p>
    <w:p>
      <w:pPr>
        <w:spacing w:before="100" w:beforeAutospacing="1" w:after="100" w:afterAutospacing="1"/>
        <w:jc w:val="left"/>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磋商供应商法定代表人（签字）：</w:t>
      </w:r>
    </w:p>
    <w:p>
      <w:pPr>
        <w:spacing w:before="100" w:beforeAutospacing="1" w:after="100" w:afterAutospacing="1"/>
        <w:jc w:val="left"/>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 xml:space="preserve">磋商供应商授权代表（签字）：                        </w:t>
      </w:r>
    </w:p>
    <w:p>
      <w:pPr>
        <w:spacing w:before="100" w:beforeAutospacing="1" w:after="100" w:afterAutospacing="1"/>
        <w:jc w:val="left"/>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磋商供应商名称（</w:t>
      </w:r>
      <w:r>
        <w:rPr>
          <w:rFonts w:hint="eastAsia" w:asciiTheme="minorEastAsia" w:hAnsiTheme="minorEastAsia" w:eastAsiaTheme="minorEastAsia" w:cstheme="minorEastAsia"/>
          <w:color w:val="auto"/>
          <w:szCs w:val="21"/>
        </w:rPr>
        <w:t>盖章</w:t>
      </w:r>
      <w:r>
        <w:rPr>
          <w:rFonts w:hint="eastAsia" w:asciiTheme="minorEastAsia" w:hAnsiTheme="minorEastAsia" w:eastAsiaTheme="minorEastAsia" w:cstheme="minorEastAsia"/>
          <w:color w:val="auto"/>
          <w:szCs w:val="21"/>
          <w:lang w:val="zh-CN"/>
        </w:rPr>
        <w:t xml:space="preserve">）：                                     </w:t>
      </w:r>
    </w:p>
    <w:p>
      <w:pPr>
        <w:spacing w:before="100" w:beforeAutospacing="1" w:after="100" w:afterAutospacing="1"/>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时                 间：           年          月          日</w:t>
      </w:r>
    </w:p>
    <w:p>
      <w:pPr>
        <w:spacing w:before="100" w:beforeAutospacing="1" w:after="100" w:afterAutospacing="1"/>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br w:type="textWrapping"/>
      </w:r>
      <w:r>
        <w:rPr>
          <w:rFonts w:hint="eastAsia" w:asciiTheme="minorEastAsia" w:hAnsiTheme="minorEastAsia" w:eastAsiaTheme="minorEastAsia" w:cstheme="minorEastAsia"/>
          <w:color w:val="auto"/>
          <w:szCs w:val="21"/>
          <w:lang w:val="zh-CN"/>
        </w:rPr>
        <w:t>备注：享受政府采购支持政策的残疾人福利性单位应当同时满足以下条件：</w:t>
      </w:r>
    </w:p>
    <w:p>
      <w:pPr>
        <w:numPr>
          <w:ilvl w:val="0"/>
          <w:numId w:val="44"/>
        </w:numPr>
        <w:spacing w:before="100" w:beforeAutospacing="1" w:after="100" w:afterAutospacing="1"/>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安置的残疾人占本单位在职职工人数的比例不低于 25%（含 25%），并且安置的残疾人人数不少于 10 人（含 10 人）；</w:t>
      </w:r>
    </w:p>
    <w:p>
      <w:pPr>
        <w:numPr>
          <w:ilvl w:val="0"/>
          <w:numId w:val="44"/>
        </w:numPr>
        <w:spacing w:before="100" w:beforeAutospacing="1" w:after="100" w:afterAutospacing="1"/>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依法与安置的每位残疾人签订了一年以上（含一年）的劳动合同或服务协议；</w:t>
      </w:r>
    </w:p>
    <w:p>
      <w:pPr>
        <w:numPr>
          <w:ilvl w:val="0"/>
          <w:numId w:val="44"/>
        </w:numPr>
        <w:spacing w:before="100" w:beforeAutospacing="1" w:after="100" w:afterAutospacing="1"/>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为安置的每位残疾人按月足额缴纳了基本养老保险、基本医疗保险、失业保险、工伤保险和生育保险等社会保险费；</w:t>
      </w:r>
    </w:p>
    <w:p>
      <w:pPr>
        <w:numPr>
          <w:ilvl w:val="0"/>
          <w:numId w:val="44"/>
        </w:numPr>
        <w:spacing w:before="100" w:beforeAutospacing="1" w:after="100" w:afterAutospacing="1"/>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通过银行等金融机构向安置的每位残疾人，按月支付了不低于单位所在区县适用的经省级人民政府批准的月最低工资标准的工资；</w:t>
      </w:r>
    </w:p>
    <w:p>
      <w:pPr>
        <w:numPr>
          <w:ilvl w:val="0"/>
          <w:numId w:val="44"/>
        </w:numPr>
        <w:spacing w:before="100" w:beforeAutospacing="1" w:after="100" w:afterAutospacing="1"/>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w:t>
      </w:r>
    </w:p>
    <w:p>
      <w:pPr>
        <w:spacing w:before="100" w:beforeAutospacing="1" w:after="100" w:afterAutospacing="1" w:line="360" w:lineRule="auto"/>
        <w:jc w:val="center"/>
        <w:outlineLvl w:val="1"/>
        <w:rPr>
          <w:rFonts w:asciiTheme="minorEastAsia" w:hAnsiTheme="minorEastAsia" w:eastAsiaTheme="minorEastAsia" w:cstheme="minorEastAsia"/>
          <w:bCs/>
          <w:color w:val="auto"/>
          <w:szCs w:val="21"/>
          <w:u w:val="single"/>
        </w:rPr>
      </w:pPr>
      <w:bookmarkStart w:id="226" w:name="_Toc19935"/>
      <w:r>
        <w:rPr>
          <w:rFonts w:hint="eastAsia" w:asciiTheme="minorEastAsia" w:hAnsiTheme="minorEastAsia" w:eastAsiaTheme="minorEastAsia" w:cstheme="minorEastAsia"/>
          <w:b/>
          <w:color w:val="auto"/>
        </w:rPr>
        <w:t>十九、节能环保产品证明材料（若符合）</w:t>
      </w:r>
      <w:bookmarkEnd w:id="226"/>
    </w:p>
    <w:p>
      <w:pPr>
        <w:adjustRightInd w:val="0"/>
        <w:snapToGrid w:val="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spacing w:before="100" w:beforeAutospacing="1" w:after="100" w:afterAutospacing="1"/>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rPr>
        <w:t>（1）节能产品：</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109"/>
        <w:gridCol w:w="1370"/>
        <w:gridCol w:w="639"/>
        <w:gridCol w:w="639"/>
        <w:gridCol w:w="639"/>
        <w:gridCol w:w="1383"/>
        <w:gridCol w:w="1304"/>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1109"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设备名称</w:t>
            </w:r>
          </w:p>
        </w:tc>
        <w:tc>
          <w:tcPr>
            <w:tcW w:w="1370"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制造商名称</w:t>
            </w:r>
          </w:p>
        </w:tc>
        <w:tc>
          <w:tcPr>
            <w:tcW w:w="639"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品牌</w:t>
            </w:r>
          </w:p>
        </w:tc>
        <w:tc>
          <w:tcPr>
            <w:tcW w:w="639"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型号</w:t>
            </w:r>
          </w:p>
        </w:tc>
        <w:tc>
          <w:tcPr>
            <w:tcW w:w="639"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数量</w:t>
            </w:r>
          </w:p>
        </w:tc>
        <w:tc>
          <w:tcPr>
            <w:tcW w:w="1383"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单价（万元）</w:t>
            </w:r>
          </w:p>
        </w:tc>
        <w:tc>
          <w:tcPr>
            <w:tcW w:w="1304"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总价（万元）</w:t>
            </w:r>
          </w:p>
        </w:tc>
        <w:tc>
          <w:tcPr>
            <w:tcW w:w="1349"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属强制采购或优先采购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1109"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1109"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1109"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1109"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r>
    </w:tbl>
    <w:p>
      <w:pPr>
        <w:spacing w:before="100" w:beforeAutospacing="1" w:after="100" w:afterAutospacing="1"/>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（2）环保产品：</w:t>
      </w:r>
    </w:p>
    <w:tbl>
      <w:tblPr>
        <w:tblStyle w:val="2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306"/>
        <w:gridCol w:w="1613"/>
        <w:gridCol w:w="849"/>
        <w:gridCol w:w="849"/>
        <w:gridCol w:w="849"/>
        <w:gridCol w:w="1487"/>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1306"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设备名称</w:t>
            </w:r>
          </w:p>
        </w:tc>
        <w:tc>
          <w:tcPr>
            <w:tcW w:w="1613"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制造商名称</w:t>
            </w:r>
          </w:p>
        </w:tc>
        <w:tc>
          <w:tcPr>
            <w:tcW w:w="849"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品牌</w:t>
            </w:r>
          </w:p>
        </w:tc>
        <w:tc>
          <w:tcPr>
            <w:tcW w:w="849"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型号</w:t>
            </w:r>
          </w:p>
        </w:tc>
        <w:tc>
          <w:tcPr>
            <w:tcW w:w="849"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数量</w:t>
            </w:r>
          </w:p>
        </w:tc>
        <w:tc>
          <w:tcPr>
            <w:tcW w:w="1487"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单价（万元）</w:t>
            </w:r>
          </w:p>
        </w:tc>
        <w:tc>
          <w:tcPr>
            <w:tcW w:w="1389"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1306"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1306"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1306"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1306"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color w:val="auto"/>
                <w:szCs w:val="21"/>
              </w:rPr>
            </w:pPr>
          </w:p>
        </w:tc>
      </w:tr>
    </w:tbl>
    <w:p>
      <w:pPr>
        <w:spacing w:before="100" w:beforeAutospacing="1" w:after="100" w:afterAutospacing="1" w:line="360" w:lineRule="auto"/>
        <w:rPr>
          <w:rFonts w:asciiTheme="minorEastAsia" w:hAnsiTheme="minorEastAsia" w:eastAsiaTheme="minorEastAsia" w:cstheme="minorEastAsia"/>
          <w:bCs/>
          <w:color w:val="auto"/>
          <w:szCs w:val="21"/>
          <w:u w:val="single"/>
        </w:rPr>
      </w:pPr>
      <w:r>
        <w:rPr>
          <w:rFonts w:hint="eastAsia" w:asciiTheme="minorEastAsia" w:hAnsiTheme="minorEastAsia" w:eastAsiaTheme="minorEastAsia" w:cstheme="minorEastAsia"/>
          <w:color w:val="auto"/>
          <w:szCs w:val="21"/>
        </w:rPr>
        <w:t>注：供应商所提供产品如为节能环保产品，则应按本磋商文件第四章“政策支持”提供相关证明材料，并将节能、环保产品分别列入上表中，未填写本表或未提供有效认证证书的不给予价格扣除。</w:t>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rPr>
        <w:br w:type="textWrapping"/>
      </w:r>
    </w:p>
    <w:p>
      <w:pPr>
        <w:spacing w:before="100" w:beforeAutospacing="1" w:after="100" w:afterAutospacing="1"/>
        <w:jc w:val="left"/>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 xml:space="preserve">磋商供应商授权代表（签字）：                        </w:t>
      </w:r>
    </w:p>
    <w:p>
      <w:pPr>
        <w:spacing w:before="100" w:beforeAutospacing="1" w:after="100" w:afterAutospacing="1"/>
        <w:jc w:val="left"/>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磋商供应商名称（</w:t>
      </w:r>
      <w:r>
        <w:rPr>
          <w:rFonts w:hint="eastAsia" w:asciiTheme="minorEastAsia" w:hAnsiTheme="minorEastAsia" w:eastAsiaTheme="minorEastAsia" w:cstheme="minorEastAsia"/>
          <w:color w:val="auto"/>
          <w:szCs w:val="21"/>
        </w:rPr>
        <w:t>盖章</w:t>
      </w:r>
      <w:r>
        <w:rPr>
          <w:rFonts w:hint="eastAsia" w:asciiTheme="minorEastAsia" w:hAnsiTheme="minorEastAsia" w:eastAsiaTheme="minorEastAsia" w:cstheme="minorEastAsia"/>
          <w:color w:val="auto"/>
          <w:szCs w:val="21"/>
          <w:lang w:val="zh-CN"/>
        </w:rPr>
        <w:t xml:space="preserve">）：                                     </w:t>
      </w:r>
    </w:p>
    <w:p>
      <w:pPr>
        <w:spacing w:before="100" w:beforeAutospacing="1" w:after="100" w:afterAutospacing="1" w:line="360" w:lineRule="auto"/>
        <w:rPr>
          <w:rFonts w:asciiTheme="minorEastAsia" w:hAnsiTheme="minorEastAsia" w:eastAsiaTheme="minorEastAsia" w:cstheme="minorEastAsia"/>
          <w:bCs/>
          <w:color w:val="auto"/>
          <w:szCs w:val="21"/>
          <w:u w:val="single"/>
        </w:rPr>
      </w:pPr>
      <w:r>
        <w:rPr>
          <w:rFonts w:hint="eastAsia" w:asciiTheme="minorEastAsia" w:hAnsiTheme="minorEastAsia" w:eastAsiaTheme="minorEastAsia" w:cstheme="minorEastAsia"/>
          <w:color w:val="auto"/>
          <w:szCs w:val="21"/>
          <w:lang w:val="zh-CN"/>
        </w:rPr>
        <w:t>时                 间：           年          月          日</w:t>
      </w:r>
      <w:r>
        <w:rPr>
          <w:rFonts w:hint="eastAsia" w:asciiTheme="minorEastAsia" w:hAnsiTheme="minorEastAsia" w:eastAsiaTheme="minorEastAsia" w:cstheme="minorEastAsia"/>
          <w:color w:val="auto"/>
          <w:szCs w:val="21"/>
        </w:rPr>
        <w:t xml:space="preserve"> </w:t>
      </w:r>
    </w:p>
    <w:p>
      <w:pPr>
        <w:spacing w:before="100" w:beforeAutospacing="1" w:after="100" w:afterAutospacing="1"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u w:val="single"/>
        </w:rPr>
        <w:br w:type="textWrapping"/>
      </w:r>
    </w:p>
    <w:p>
      <w:pPr>
        <w:adjustRightInd w:val="0"/>
        <w:snapToGrid w:val="0"/>
        <w:spacing w:line="360" w:lineRule="auto"/>
        <w:jc w:val="center"/>
        <w:outlineLvl w:val="1"/>
        <w:rPr>
          <w:rFonts w:asciiTheme="minorEastAsia" w:hAnsiTheme="minorEastAsia" w:eastAsiaTheme="minorEastAsia" w:cstheme="minorEastAsia"/>
          <w:b/>
          <w:color w:val="auto"/>
        </w:rPr>
      </w:pPr>
      <w:bookmarkStart w:id="227" w:name="_Toc17296"/>
      <w:r>
        <w:rPr>
          <w:rFonts w:hint="eastAsia" w:asciiTheme="minorEastAsia" w:hAnsiTheme="minorEastAsia" w:eastAsiaTheme="minorEastAsia" w:cstheme="minorEastAsia"/>
          <w:b/>
          <w:bCs/>
          <w:color w:val="auto"/>
          <w:spacing w:val="6"/>
          <w:szCs w:val="21"/>
        </w:rPr>
        <w:t>二十、</w:t>
      </w:r>
      <w:r>
        <w:rPr>
          <w:rFonts w:hint="eastAsia" w:asciiTheme="minorEastAsia" w:hAnsiTheme="minorEastAsia" w:eastAsiaTheme="minorEastAsia" w:cstheme="minorEastAsia"/>
          <w:b/>
          <w:color w:val="auto"/>
        </w:rPr>
        <w:t>无重大违法记录声明</w:t>
      </w:r>
      <w:bookmarkEnd w:id="220"/>
      <w:bookmarkEnd w:id="221"/>
      <w:bookmarkEnd w:id="222"/>
      <w:bookmarkEnd w:id="223"/>
      <w:bookmarkEnd w:id="224"/>
      <w:bookmarkEnd w:id="227"/>
    </w:p>
    <w:p>
      <w:pPr>
        <w:spacing w:line="480" w:lineRule="auto"/>
        <w:jc w:val="center"/>
        <w:rPr>
          <w:rFonts w:asciiTheme="minorEastAsia" w:hAnsiTheme="minorEastAsia" w:eastAsiaTheme="minorEastAsia" w:cstheme="minorEastAsia"/>
          <w:b/>
          <w:bCs/>
          <w:color w:val="auto"/>
          <w:kern w:val="0"/>
          <w:sz w:val="24"/>
        </w:rPr>
      </w:pPr>
      <w:r>
        <w:rPr>
          <w:rFonts w:hint="eastAsia" w:asciiTheme="minorEastAsia" w:hAnsiTheme="minorEastAsia" w:eastAsiaTheme="minorEastAsia" w:cstheme="minorEastAsia"/>
          <w:b/>
          <w:bCs/>
          <w:color w:val="auto"/>
          <w:kern w:val="0"/>
          <w:sz w:val="24"/>
        </w:rPr>
        <w:t>（磋商供应商应在此基础上，根据本单位实际情况进行声明）</w:t>
      </w:r>
    </w:p>
    <w:p>
      <w:pPr>
        <w:spacing w:line="48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采购人和采购代理机构：</w:t>
      </w:r>
    </w:p>
    <w:p>
      <w:pPr>
        <w:spacing w:line="48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我方在此声明，我方在参加本</w:t>
      </w:r>
      <w:r>
        <w:rPr>
          <w:rFonts w:hint="eastAsia" w:asciiTheme="minorEastAsia" w:hAnsiTheme="minorEastAsia" w:eastAsiaTheme="minorEastAsia" w:cstheme="minorEastAsia"/>
          <w:color w:val="auto"/>
          <w:kern w:val="0"/>
          <w:szCs w:val="21"/>
          <w:shd w:val="clear" w:color="auto" w:fill="FFFFFF"/>
        </w:rPr>
        <w:t>次政府采购活动前三年内，在经营活动中没有以下重大违法记录：</w:t>
      </w:r>
    </w:p>
    <w:p>
      <w:pPr>
        <w:spacing w:line="48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1.我方因违法经营被追究过刑事责任；</w:t>
      </w:r>
    </w:p>
    <w:p>
      <w:pPr>
        <w:spacing w:line="48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2.我方因违法经营被责令停产停业、吊销许可证或者执照；</w:t>
      </w:r>
    </w:p>
    <w:p>
      <w:pPr>
        <w:spacing w:line="48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3.我方因违法经营被处以较大数额罚款等行政处罚。</w:t>
      </w:r>
    </w:p>
    <w:p>
      <w:pPr>
        <w:spacing w:line="48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特此声明！</w:t>
      </w:r>
    </w:p>
    <w:p>
      <w:pPr>
        <w:spacing w:line="48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 </w:t>
      </w:r>
    </w:p>
    <w:p>
      <w:pPr>
        <w:spacing w:line="48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 </w:t>
      </w:r>
    </w:p>
    <w:p>
      <w:pPr>
        <w:spacing w:before="100" w:beforeAutospacing="1" w:after="100" w:afterAutospacing="1"/>
        <w:jc w:val="left"/>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磋商供应商法定代表人（签字）：</w:t>
      </w:r>
    </w:p>
    <w:p>
      <w:pPr>
        <w:spacing w:before="100" w:beforeAutospacing="1" w:after="100" w:afterAutospacing="1"/>
        <w:jc w:val="left"/>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 xml:space="preserve">磋商供应商授权代表（签字）：                        </w:t>
      </w:r>
    </w:p>
    <w:p>
      <w:pPr>
        <w:spacing w:before="100" w:beforeAutospacing="1" w:after="100" w:afterAutospacing="1"/>
        <w:jc w:val="left"/>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磋商供应商名称（</w:t>
      </w:r>
      <w:r>
        <w:rPr>
          <w:rFonts w:hint="eastAsia" w:asciiTheme="minorEastAsia" w:hAnsiTheme="minorEastAsia" w:eastAsiaTheme="minorEastAsia" w:cstheme="minorEastAsia"/>
          <w:color w:val="auto"/>
          <w:szCs w:val="21"/>
        </w:rPr>
        <w:t>盖章</w:t>
      </w:r>
      <w:r>
        <w:rPr>
          <w:rFonts w:hint="eastAsia" w:asciiTheme="minorEastAsia" w:hAnsiTheme="minorEastAsia" w:eastAsiaTheme="minorEastAsia" w:cstheme="minorEastAsia"/>
          <w:color w:val="auto"/>
          <w:szCs w:val="21"/>
          <w:lang w:val="zh-CN"/>
        </w:rPr>
        <w:t xml:space="preserve">）：                                     </w:t>
      </w:r>
    </w:p>
    <w:p>
      <w:pPr>
        <w:ind w:firstLine="420" w:firstLineChars="200"/>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zh-CN"/>
        </w:rPr>
        <w:t>时                 间：           年          月          日</w:t>
      </w:r>
      <w:r>
        <w:rPr>
          <w:rFonts w:hint="eastAsia" w:asciiTheme="minorEastAsia" w:hAnsiTheme="minorEastAsia" w:eastAsiaTheme="minorEastAsia" w:cstheme="minorEastAsia"/>
          <w:color w:val="auto"/>
          <w:szCs w:val="21"/>
        </w:rPr>
        <w:t xml:space="preserve"> </w:t>
      </w:r>
    </w:p>
    <w:p>
      <w:pPr>
        <w:ind w:firstLine="420" w:firstLineChars="200"/>
        <w:jc w:val="center"/>
        <w:outlineLvl w:val="1"/>
        <w:rPr>
          <w:rFonts w:asciiTheme="minorEastAsia" w:hAnsiTheme="minorEastAsia" w:eastAsiaTheme="minorEastAsia" w:cstheme="minorEastAsia"/>
          <w:b/>
          <w:bCs/>
          <w:color w:val="auto"/>
          <w:spacing w:val="6"/>
          <w:szCs w:val="21"/>
        </w:rPr>
        <w:sectPr>
          <w:footerReference r:id="rId7" w:type="default"/>
          <w:type w:val="continuous"/>
          <w:pgSz w:w="11906" w:h="16838"/>
          <w:pgMar w:top="1417" w:right="1417" w:bottom="1417" w:left="1417" w:header="851" w:footer="992" w:gutter="0"/>
          <w:cols w:space="720" w:num="1"/>
          <w:docGrid w:type="lines" w:linePitch="312" w:charSpace="0"/>
        </w:sectPr>
      </w:pPr>
      <w:bookmarkStart w:id="228" w:name="_Toc5812"/>
      <w:bookmarkStart w:id="229" w:name="_Toc24513"/>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kern w:val="0"/>
          <w:szCs w:val="21"/>
          <w:shd w:val="clear" w:color="auto" w:fill="FFFFFF"/>
        </w:rPr>
        <w:br w:type="textWrapping"/>
      </w:r>
      <w:r>
        <w:rPr>
          <w:rFonts w:hint="eastAsia" w:asciiTheme="minorEastAsia" w:hAnsiTheme="minorEastAsia" w:eastAsiaTheme="minorEastAsia" w:cstheme="minorEastAsia"/>
          <w:b/>
          <w:bCs/>
          <w:color w:val="auto"/>
          <w:spacing w:val="6"/>
          <w:szCs w:val="21"/>
        </w:rPr>
        <w:t>二十一、磋商供应商认为应该提交的其它文件（格式自拟）</w:t>
      </w:r>
      <w:bookmarkEnd w:id="228"/>
      <w:r>
        <w:rPr>
          <w:rFonts w:hint="eastAsia" w:asciiTheme="minorEastAsia" w:hAnsiTheme="minorEastAsia" w:eastAsiaTheme="minorEastAsia" w:cstheme="minorEastAsia"/>
          <w:b/>
          <w:bCs/>
          <w:color w:val="auto"/>
          <w:spacing w:val="6"/>
          <w:szCs w:val="21"/>
        </w:rPr>
        <w:br w:type="textWrapping"/>
      </w:r>
      <w:r>
        <w:rPr>
          <w:rFonts w:hint="eastAsia" w:asciiTheme="minorEastAsia" w:hAnsiTheme="minorEastAsia" w:eastAsiaTheme="minorEastAsia" w:cstheme="minorEastAsia"/>
          <w:b/>
          <w:bCs/>
          <w:color w:val="auto"/>
          <w:spacing w:val="6"/>
          <w:szCs w:val="21"/>
        </w:rPr>
        <w:br w:type="textWrapping"/>
      </w:r>
      <w:r>
        <w:rPr>
          <w:rFonts w:hint="eastAsia" w:asciiTheme="minorEastAsia" w:hAnsiTheme="minorEastAsia" w:eastAsiaTheme="minorEastAsia" w:cstheme="minorEastAsia"/>
          <w:b/>
          <w:bCs/>
          <w:color w:val="auto"/>
          <w:spacing w:val="6"/>
          <w:szCs w:val="21"/>
        </w:rPr>
        <w:br w:type="textWrapping"/>
      </w:r>
      <w:r>
        <w:rPr>
          <w:rFonts w:hint="eastAsia" w:asciiTheme="minorEastAsia" w:hAnsiTheme="minorEastAsia" w:eastAsiaTheme="minorEastAsia" w:cstheme="minorEastAsia"/>
          <w:b/>
          <w:bCs/>
          <w:color w:val="auto"/>
          <w:spacing w:val="6"/>
          <w:szCs w:val="21"/>
        </w:rPr>
        <w:br w:type="textWrapping"/>
      </w:r>
      <w:r>
        <w:rPr>
          <w:rFonts w:hint="eastAsia" w:asciiTheme="minorEastAsia" w:hAnsiTheme="minorEastAsia" w:eastAsiaTheme="minorEastAsia" w:cstheme="minorEastAsia"/>
          <w:b/>
          <w:bCs/>
          <w:color w:val="auto"/>
          <w:spacing w:val="6"/>
          <w:szCs w:val="21"/>
        </w:rPr>
        <w:br w:type="textWrapping"/>
      </w:r>
      <w:r>
        <w:rPr>
          <w:rFonts w:hint="eastAsia" w:asciiTheme="minorEastAsia" w:hAnsiTheme="minorEastAsia" w:eastAsiaTheme="minorEastAsia" w:cstheme="minorEastAsia"/>
          <w:b/>
          <w:bCs/>
          <w:color w:val="auto"/>
          <w:spacing w:val="6"/>
          <w:szCs w:val="21"/>
        </w:rPr>
        <w:br w:type="textWrapping"/>
      </w:r>
      <w:r>
        <w:rPr>
          <w:rFonts w:hint="eastAsia" w:asciiTheme="minorEastAsia" w:hAnsiTheme="minorEastAsia" w:eastAsiaTheme="minorEastAsia" w:cstheme="minorEastAsia"/>
          <w:b/>
          <w:bCs/>
          <w:color w:val="auto"/>
          <w:spacing w:val="6"/>
          <w:szCs w:val="21"/>
        </w:rPr>
        <w:br w:type="textWrapping"/>
      </w:r>
      <w:bookmarkEnd w:id="229"/>
    </w:p>
    <w:tbl>
      <w:tblPr>
        <w:tblStyle w:val="26"/>
        <w:tblW w:w="5484" w:type="pct"/>
        <w:tblInd w:w="-466" w:type="dxa"/>
        <w:tblLayout w:type="fixed"/>
        <w:tblCellMar>
          <w:top w:w="0" w:type="dxa"/>
          <w:left w:w="0" w:type="dxa"/>
          <w:bottom w:w="0" w:type="dxa"/>
          <w:right w:w="0" w:type="dxa"/>
        </w:tblCellMar>
      </w:tblPr>
      <w:tblGrid>
        <w:gridCol w:w="1163"/>
        <w:gridCol w:w="662"/>
        <w:gridCol w:w="760"/>
        <w:gridCol w:w="819"/>
        <w:gridCol w:w="665"/>
        <w:gridCol w:w="783"/>
        <w:gridCol w:w="783"/>
        <w:gridCol w:w="657"/>
        <w:gridCol w:w="767"/>
        <w:gridCol w:w="747"/>
        <w:gridCol w:w="793"/>
        <w:gridCol w:w="685"/>
        <w:gridCol w:w="699"/>
      </w:tblGrid>
      <w:tr>
        <w:tblPrEx>
          <w:tblCellMar>
            <w:top w:w="0" w:type="dxa"/>
            <w:left w:w="0" w:type="dxa"/>
            <w:bottom w:w="0" w:type="dxa"/>
            <w:right w:w="0" w:type="dxa"/>
          </w:tblCellMar>
        </w:tblPrEx>
        <w:trPr>
          <w:trHeight w:val="720" w:hRule="atLeast"/>
          <w:tblHeader/>
        </w:trPr>
        <w:tc>
          <w:tcPr>
            <w:tcW w:w="5000" w:type="pct"/>
            <w:gridSpan w:val="13"/>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b/>
                <w:color w:val="auto"/>
                <w:sz w:val="40"/>
                <w:szCs w:val="40"/>
              </w:rPr>
            </w:pPr>
            <w:r>
              <w:rPr>
                <w:rFonts w:hint="eastAsia" w:ascii="黑体" w:hAnsi="宋体" w:eastAsia="黑体" w:cs="黑体"/>
                <w:b/>
                <w:color w:val="auto"/>
                <w:kern w:val="0"/>
                <w:sz w:val="40"/>
                <w:szCs w:val="40"/>
                <w:lang w:bidi="ar"/>
              </w:rPr>
              <w:t>中小企业划型标准规定（工信部联企业[2011]300号）</w:t>
            </w:r>
          </w:p>
        </w:tc>
      </w:tr>
      <w:tr>
        <w:trPr>
          <w:trHeight w:val="270" w:hRule="atLeast"/>
          <w:tblHeader/>
        </w:trPr>
        <w:tc>
          <w:tcPr>
            <w:tcW w:w="583" w:type="pct"/>
            <w:vMerge w:val="restart"/>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行业</w:t>
            </w:r>
          </w:p>
        </w:tc>
        <w:tc>
          <w:tcPr>
            <w:tcW w:w="1123" w:type="pct"/>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中小微型企业（</w:t>
            </w:r>
            <w:r>
              <w:rPr>
                <w:rFonts w:hint="eastAsia" w:ascii="宋体" w:hAnsi="宋体" w:cs="宋体"/>
                <w:b/>
                <w:color w:val="auto"/>
                <w:kern w:val="0"/>
                <w:szCs w:val="21"/>
                <w:lang w:bidi="ar"/>
              </w:rPr>
              <w:t>或</w:t>
            </w:r>
            <w:r>
              <w:rPr>
                <w:rFonts w:hint="eastAsia" w:ascii="宋体" w:hAnsi="宋体" w:cs="宋体"/>
                <w:color w:val="auto"/>
                <w:kern w:val="0"/>
                <w:szCs w:val="21"/>
                <w:lang w:bidi="ar"/>
              </w:rPr>
              <w:t>）</w:t>
            </w:r>
          </w:p>
        </w:tc>
        <w:tc>
          <w:tcPr>
            <w:tcW w:w="1117" w:type="pct"/>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中型企业（</w:t>
            </w:r>
            <w:r>
              <w:rPr>
                <w:rFonts w:hint="eastAsia" w:ascii="宋体" w:hAnsi="宋体" w:cs="宋体"/>
                <w:b/>
                <w:color w:val="auto"/>
                <w:kern w:val="0"/>
                <w:szCs w:val="21"/>
                <w:lang w:bidi="ar"/>
              </w:rPr>
              <w:t>且</w:t>
            </w:r>
            <w:r>
              <w:rPr>
                <w:rFonts w:hint="eastAsia" w:ascii="宋体" w:hAnsi="宋体" w:cs="宋体"/>
                <w:color w:val="auto"/>
                <w:kern w:val="0"/>
                <w:szCs w:val="21"/>
                <w:lang w:bidi="ar"/>
              </w:rPr>
              <w:t>）</w:t>
            </w:r>
          </w:p>
        </w:tc>
        <w:tc>
          <w:tcPr>
            <w:tcW w:w="1087" w:type="pct"/>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小型企业（</w:t>
            </w:r>
            <w:r>
              <w:rPr>
                <w:rFonts w:hint="eastAsia" w:ascii="宋体" w:hAnsi="宋体" w:cs="宋体"/>
                <w:b/>
                <w:color w:val="auto"/>
                <w:kern w:val="0"/>
                <w:szCs w:val="21"/>
                <w:lang w:bidi="ar"/>
              </w:rPr>
              <w:t>且</w:t>
            </w:r>
            <w:r>
              <w:rPr>
                <w:rFonts w:hint="eastAsia" w:ascii="宋体" w:hAnsi="宋体" w:cs="宋体"/>
                <w:color w:val="auto"/>
                <w:kern w:val="0"/>
                <w:szCs w:val="21"/>
                <w:lang w:bidi="ar"/>
              </w:rPr>
              <w:t>）</w:t>
            </w:r>
          </w:p>
        </w:tc>
        <w:tc>
          <w:tcPr>
            <w:tcW w:w="1088" w:type="pct"/>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微型企业（</w:t>
            </w:r>
            <w:r>
              <w:rPr>
                <w:rFonts w:hint="eastAsia" w:ascii="宋体" w:hAnsi="宋体" w:cs="宋体"/>
                <w:b/>
                <w:color w:val="auto"/>
                <w:kern w:val="0"/>
                <w:szCs w:val="21"/>
                <w:lang w:bidi="ar"/>
              </w:rPr>
              <w:t>或</w:t>
            </w:r>
            <w:r>
              <w:rPr>
                <w:rFonts w:hint="eastAsia" w:ascii="宋体" w:hAnsi="宋体" w:cs="宋体"/>
                <w:color w:val="auto"/>
                <w:kern w:val="0"/>
                <w:szCs w:val="21"/>
                <w:lang w:bidi="ar"/>
              </w:rPr>
              <w:t>）</w:t>
            </w:r>
          </w:p>
        </w:tc>
      </w:tr>
      <w:tr>
        <w:tblPrEx>
          <w:tblCellMar>
            <w:top w:w="0" w:type="dxa"/>
            <w:left w:w="0" w:type="dxa"/>
            <w:bottom w:w="0" w:type="dxa"/>
            <w:right w:w="0" w:type="dxa"/>
          </w:tblCellMar>
        </w:tblPrEx>
        <w:trPr>
          <w:trHeight w:val="270" w:hRule="atLeast"/>
          <w:tblHeader/>
        </w:trPr>
        <w:tc>
          <w:tcPr>
            <w:tcW w:w="583" w:type="pct"/>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从业人员</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营业收入</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资产总额</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从业人员</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营业收入</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资产总额</w:t>
            </w: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从业人员</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营业收入</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资产总额</w:t>
            </w: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从业人员</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营业收入</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资产总额</w:t>
            </w: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农、林、牧、渔业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20000万元以下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500万元及以上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50万元及以上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50万元以下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color w:val="auto"/>
                <w:szCs w:val="21"/>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工业（包括采矿业，制造业，电力、热力、燃气及水生产和供应业）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1000人以下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40000万元以下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300人及以上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2000万元及以上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20人及以上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300万元及以上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20人以下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300万元以下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color w:val="auto"/>
                <w:szCs w:val="21"/>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建筑业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80000万元以下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80000万元以下</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6000万元及以上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5000万元及以上</w:t>
            </w: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300万元及以上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300万元及以上</w:t>
            </w: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300万元以下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300万元以下</w:t>
            </w: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批发业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200人以下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40000万元以下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20人及以上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5000万元及以上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5人及以上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1000万元及以上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5人以下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1000万元以下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color w:val="auto"/>
                <w:szCs w:val="21"/>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零售业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300人以下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20000万元以下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50人及以上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500万元及以上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color w:val="auto"/>
                <w:szCs w:val="21"/>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交通运输业（不含铁路运输业）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1000人以下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30000万元以下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300人及以上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3000万元及以上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20人及以上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200万元及以上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20人以下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200万元以下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color w:val="auto"/>
                <w:szCs w:val="21"/>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仓储业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200人以下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30000万元以下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20人及以上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20人以下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color w:val="auto"/>
                <w:szCs w:val="21"/>
              </w:rPr>
            </w:pPr>
          </w:p>
        </w:tc>
      </w:tr>
      <w:tr>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邮政业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1000人以下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30000万元以下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300人及以上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2000万元及以上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20人及以上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20人以下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color w:val="auto"/>
                <w:szCs w:val="21"/>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住宿业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300人以下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2000万元及以上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color w:val="auto"/>
                <w:szCs w:val="21"/>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餐饮业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300人以下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2000万元及以上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color w:val="auto"/>
                <w:szCs w:val="21"/>
              </w:rPr>
            </w:pPr>
          </w:p>
        </w:tc>
      </w:tr>
      <w:tr>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信息传输业（包括电信、互联网和相关服务）</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2000人以下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100000万元以下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color w:val="auto"/>
                <w:szCs w:val="21"/>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软件和信息技术服务业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300人以下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50万元及以上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50万元以下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color w:val="auto"/>
                <w:szCs w:val="21"/>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房地产开发经营</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200000万元以下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5000万元及以上</w:t>
            </w: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2000万元及以上</w:t>
            </w: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2000万元以下</w:t>
            </w: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物业管理</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1000人以下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5000万元以下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300人及以上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100人及以上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500万元及以上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100人以下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500万元以下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color w:val="auto"/>
                <w:szCs w:val="21"/>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租赁和商务服务业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300人以下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120000万元以下</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8000万元及以上</w:t>
            </w: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100万元及以上</w:t>
            </w: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100万元以下</w:t>
            </w:r>
          </w:p>
        </w:tc>
      </w:tr>
      <w:tr>
        <w:tblPrEx>
          <w:tblCellMar>
            <w:top w:w="0" w:type="dxa"/>
            <w:left w:w="0" w:type="dxa"/>
            <w:bottom w:w="0" w:type="dxa"/>
            <w:right w:w="0" w:type="dxa"/>
          </w:tblCellMar>
        </w:tblPrEx>
        <w:trPr>
          <w:trHeight w:val="1065" w:hRule="atLeast"/>
        </w:trPr>
        <w:tc>
          <w:tcPr>
            <w:tcW w:w="583" w:type="pct"/>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其他未列明行业（包括科学研究和技术服务业，水利、环境和公共设施管理业，居民服务、修理和其他服务业，社会工作，文化、体育和娱乐业等）</w:t>
            </w:r>
          </w:p>
        </w:tc>
        <w:tc>
          <w:tcPr>
            <w:tcW w:w="332"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300人以下</w:t>
            </w:r>
          </w:p>
        </w:tc>
        <w:tc>
          <w:tcPr>
            <w:tcW w:w="381"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409"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33"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100人及以上</w:t>
            </w:r>
          </w:p>
        </w:tc>
        <w:tc>
          <w:tcPr>
            <w:tcW w:w="392"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91"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29"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10人及以上</w:t>
            </w:r>
          </w:p>
        </w:tc>
        <w:tc>
          <w:tcPr>
            <w:tcW w:w="384"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73"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97"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10人以下</w:t>
            </w:r>
          </w:p>
        </w:tc>
        <w:tc>
          <w:tcPr>
            <w:tcW w:w="343"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rPr>
            </w:pPr>
          </w:p>
        </w:tc>
        <w:tc>
          <w:tcPr>
            <w:tcW w:w="347" w:type="pct"/>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cs="宋体"/>
                <w:color w:val="auto"/>
                <w:szCs w:val="21"/>
              </w:rPr>
            </w:pPr>
          </w:p>
        </w:tc>
      </w:tr>
      <w:tr>
        <w:tblPrEx>
          <w:tblCellMar>
            <w:top w:w="0" w:type="dxa"/>
            <w:left w:w="0" w:type="dxa"/>
            <w:bottom w:w="0" w:type="dxa"/>
            <w:right w:w="0" w:type="dxa"/>
          </w:tblCellMar>
        </w:tblPrEx>
        <w:trPr>
          <w:trHeight w:val="270" w:hRule="atLeast"/>
        </w:trPr>
        <w:tc>
          <w:tcPr>
            <w:tcW w:w="5000" w:type="pct"/>
            <w:gridSpan w:val="13"/>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auto"/>
                <w:szCs w:val="21"/>
              </w:rPr>
            </w:pPr>
            <w:r>
              <w:rPr>
                <w:rFonts w:hint="eastAsia" w:ascii="宋体" w:hAnsi="宋体" w:cs="宋体"/>
                <w:color w:val="auto"/>
                <w:kern w:val="0"/>
                <w:szCs w:val="21"/>
                <w:lang w:bidi="ar"/>
              </w:rPr>
              <w:t>本规定适用于在中华人民共和国境内依法设立的各类所有制和各种组织形式的企业。</w:t>
            </w:r>
            <w:r>
              <w:rPr>
                <w:rFonts w:hint="eastAsia" w:ascii="宋体" w:hAnsi="宋体" w:cs="宋体"/>
                <w:b/>
                <w:color w:val="auto"/>
                <w:kern w:val="0"/>
                <w:szCs w:val="21"/>
                <w:lang w:bidi="ar"/>
              </w:rPr>
              <w:t>个体工商户</w:t>
            </w:r>
            <w:r>
              <w:rPr>
                <w:rFonts w:hint="eastAsia" w:ascii="宋体" w:hAnsi="宋体" w:cs="宋体"/>
                <w:color w:val="auto"/>
                <w:kern w:val="0"/>
                <w:szCs w:val="21"/>
                <w:lang w:bidi="ar"/>
              </w:rPr>
              <w:t>和本规定以外的行业，参照本规定进行划型。</w:t>
            </w:r>
          </w:p>
        </w:tc>
      </w:tr>
      <w:tr>
        <w:tblPrEx>
          <w:tblCellMar>
            <w:top w:w="0" w:type="dxa"/>
            <w:left w:w="0" w:type="dxa"/>
            <w:bottom w:w="0" w:type="dxa"/>
            <w:right w:w="0" w:type="dxa"/>
          </w:tblCellMar>
        </w:tblPrEx>
        <w:trPr>
          <w:trHeight w:val="270" w:hRule="atLeast"/>
        </w:trPr>
        <w:tc>
          <w:tcPr>
            <w:tcW w:w="5000" w:type="pct"/>
            <w:gridSpan w:val="13"/>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auto"/>
                <w:szCs w:val="21"/>
              </w:rPr>
            </w:pPr>
            <w:r>
              <w:rPr>
                <w:rFonts w:hint="eastAsia" w:ascii="宋体" w:hAnsi="宋体" w:cs="宋体"/>
                <w:color w:val="auto"/>
                <w:kern w:val="0"/>
                <w:szCs w:val="21"/>
                <w:lang w:bidi="ar"/>
              </w:rPr>
              <w:t>本规定的中型企业标准上限即为大型企业标准的下限，国家统计部门据此制定大中小微型企业的统计分类。国务院有关部门据此进行相关数据分析，不得制定与本规定不一致的企业划型标准。</w:t>
            </w:r>
          </w:p>
        </w:tc>
      </w:tr>
    </w:tbl>
    <w:p>
      <w:pPr>
        <w:pStyle w:val="4"/>
        <w:rPr>
          <w:color w:val="auto"/>
        </w:rPr>
      </w:pPr>
    </w:p>
    <w:sectPr>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10006FF" w:usb1="4000205B" w:usb2="00000010" w:usb3="00000000" w:csb0="2000019F" w:csb1="00000000"/>
  </w:font>
  <w:font w:name="font-weight : 400">
    <w:altName w:val="Courier New"/>
    <w:panose1 w:val="00000000000000000000"/>
    <w:charset w:val="00"/>
    <w:family w:val="auto"/>
    <w:pitch w:val="default"/>
    <w:sig w:usb0="00000000" w:usb1="00000000" w:usb2="00000000" w:usb3="00000000" w:csb0="00040001" w:csb1="00000000"/>
  </w:font>
  <w:font w:name="MS Shell Dlg">
    <w:altName w:val="Microsoft Sans Serif"/>
    <w:panose1 w:val="020B0604020202020204"/>
    <w:charset w:val="00"/>
    <w:family w:val="swiss"/>
    <w:pitch w:val="default"/>
    <w:sig w:usb0="00000000" w:usb1="00000000" w:usb2="00000029" w:usb3="00000000" w:csb0="000101FF" w:csb1="00000000"/>
  </w:font>
  <w:font w:name="Microsoft Sans Serif">
    <w:panose1 w:val="020B0604020202020204"/>
    <w:charset w:val="00"/>
    <w:family w:val="auto"/>
    <w:pitch w:val="default"/>
    <w:sig w:usb0="E5002EFF" w:usb1="C000605B" w:usb2="00000029" w:usb3="00000000" w:csb0="200101FF" w:csb1="2028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30"/>
      </w:rPr>
    </w:pPr>
    <w:r>
      <w:fldChar w:fldCharType="begin"/>
    </w:r>
    <w:r>
      <w:rPr>
        <w:rStyle w:val="30"/>
      </w:rPr>
      <w:instrText xml:space="preserve">PAGE  </w:instrText>
    </w:r>
    <w:r>
      <w:fldChar w:fldCharType="end"/>
    </w:r>
  </w:p>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 PAGE   \* MERGEFORMAT </w:instrText>
    </w:r>
    <w:r>
      <w:fldChar w:fldCharType="separate"/>
    </w:r>
    <w:r>
      <w:rPr>
        <w:lang w:val="zh-CN"/>
      </w:rPr>
      <w:t>36</w:t>
    </w:r>
    <w:r>
      <w:fldChar w:fldCharType="end"/>
    </w:r>
  </w:p>
  <w:p>
    <w:pPr>
      <w:pStyle w:val="1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PowerPlusWaterMarkObject2" o:spid="_x0000_s2049" o:spt="136" type="#_x0000_t136" style="position:absolute;left:0pt;height:200.25pt;width:600.75pt;mso-position-horizontal:center;mso-position-horizontal-relative:page;mso-position-vertical:center;mso-position-vertical-relative:page;rotation:20643840f;z-index:-251657216;mso-width-relative:page;mso-height-relative:page;" fillcolor="#FF0000" filled="t" stroked="f" coordsize="21600,21600" o:allowincell="f">
          <v:path/>
          <v:fill on="t" opacity="32768f" focussize="0,0"/>
          <v:stroke on="f"/>
          <v:imagedata o:title=""/>
          <o:lock v:ext="edit" text="f"/>
          <v:textpath on="t" fitshape="t" fitpath="t" trim="t" xscale="f" string="第一稿" style="font-family:宋体;font-size:9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4B8943"/>
    <w:multiLevelType w:val="singleLevel"/>
    <w:tmpl w:val="FF4B8943"/>
    <w:lvl w:ilvl="0" w:tentative="0">
      <w:start w:val="1"/>
      <w:numFmt w:val="decimal"/>
      <w:suff w:val="nothing"/>
      <w:lvlText w:val="（%1）"/>
      <w:lvlJc w:val="left"/>
    </w:lvl>
  </w:abstractNum>
  <w:abstractNum w:abstractNumId="1">
    <w:nsid w:val="0000000C"/>
    <w:multiLevelType w:val="multilevel"/>
    <w:tmpl w:val="0000000C"/>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420"/>
        </w:tabs>
        <w:ind w:left="420"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2">
    <w:nsid w:val="00F67C5B"/>
    <w:multiLevelType w:val="multilevel"/>
    <w:tmpl w:val="00F67C5B"/>
    <w:lvl w:ilvl="0" w:tentative="0">
      <w:start w:val="8"/>
      <w:numFmt w:val="decimal"/>
      <w:lvlText w:val="%1"/>
      <w:lvlJc w:val="left"/>
      <w:pPr>
        <w:tabs>
          <w:tab w:val="left" w:pos="360"/>
        </w:tabs>
        <w:ind w:left="360" w:hanging="360"/>
      </w:pPr>
      <w:rPr>
        <w:rFonts w:hint="default"/>
        <w:b/>
      </w:rPr>
    </w:lvl>
    <w:lvl w:ilvl="1" w:tentative="0">
      <w:start w:val="1"/>
      <w:numFmt w:val="decimal"/>
      <w:lvlText w:val="%1.%2"/>
      <w:lvlJc w:val="left"/>
      <w:pPr>
        <w:tabs>
          <w:tab w:val="left" w:pos="360"/>
        </w:tabs>
        <w:ind w:left="360" w:hanging="360"/>
      </w:pPr>
      <w:rPr>
        <w:rFonts w:hint="default"/>
        <w:b w:val="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1080"/>
        </w:tabs>
        <w:ind w:left="1080" w:hanging="108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440"/>
        </w:tabs>
        <w:ind w:left="1440" w:hanging="144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800"/>
        </w:tabs>
        <w:ind w:left="1800" w:hanging="180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3">
    <w:nsid w:val="044F5BAD"/>
    <w:multiLevelType w:val="singleLevel"/>
    <w:tmpl w:val="044F5BAD"/>
    <w:lvl w:ilvl="0" w:tentative="0">
      <w:start w:val="1"/>
      <w:numFmt w:val="decimal"/>
      <w:suff w:val="nothing"/>
      <w:lvlText w:val="（%1）"/>
      <w:lvlJc w:val="left"/>
    </w:lvl>
  </w:abstractNum>
  <w:abstractNum w:abstractNumId="4">
    <w:nsid w:val="06F92C31"/>
    <w:multiLevelType w:val="multilevel"/>
    <w:tmpl w:val="06F92C31"/>
    <w:lvl w:ilvl="0" w:tentative="0">
      <w:start w:val="10"/>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5">
    <w:nsid w:val="10152ABE"/>
    <w:multiLevelType w:val="multilevel"/>
    <w:tmpl w:val="10152ABE"/>
    <w:lvl w:ilvl="0" w:tentative="0">
      <w:start w:val="1"/>
      <w:numFmt w:val="decimal"/>
      <w:lvlText w:val="%1）"/>
      <w:lvlJc w:val="left"/>
      <w:pPr>
        <w:tabs>
          <w:tab w:val="left" w:pos="780"/>
        </w:tabs>
        <w:ind w:left="780" w:hanging="360"/>
      </w:pPr>
      <w:rPr>
        <w:rFonts w:hint="default"/>
      </w:rPr>
    </w:lvl>
    <w:lvl w:ilvl="1" w:tentative="0">
      <w:start w:val="1"/>
      <w:numFmt w:val="decimal"/>
      <w:lvlText w:val="%2、"/>
      <w:lvlJc w:val="left"/>
      <w:pPr>
        <w:tabs>
          <w:tab w:val="left" w:pos="0"/>
        </w:tabs>
        <w:ind w:left="0" w:firstLine="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
    <w:nsid w:val="11726340"/>
    <w:multiLevelType w:val="multilevel"/>
    <w:tmpl w:val="11726340"/>
    <w:lvl w:ilvl="0" w:tentative="0">
      <w:start w:val="15"/>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7">
    <w:nsid w:val="118D7FF0"/>
    <w:multiLevelType w:val="multilevel"/>
    <w:tmpl w:val="118D7FF0"/>
    <w:lvl w:ilvl="0" w:tentative="0">
      <w:start w:val="1"/>
      <w:numFmt w:val="chineseCountingThousand"/>
      <w:lvlText w:val="%1、"/>
      <w:lvlJc w:val="left"/>
      <w:pPr>
        <w:tabs>
          <w:tab w:val="left" w:pos="425"/>
        </w:tabs>
        <w:ind w:left="425" w:firstLine="0"/>
      </w:pPr>
      <w:rPr>
        <w:rFonts w:hint="default"/>
      </w:rPr>
    </w:lvl>
    <w:lvl w:ilvl="1" w:tentative="0">
      <w:start w:val="1"/>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040"/>
        </w:tabs>
        <w:ind w:left="2040" w:hanging="360"/>
      </w:pPr>
      <w:rPr>
        <w:rFonts w:hint="default"/>
      </w:rPr>
    </w:lvl>
    <w:lvl w:ilvl="5" w:tentative="0">
      <w:start w:val="1"/>
      <w:numFmt w:val="lowerLetter"/>
      <w:lvlText w:val="%6）"/>
      <w:lvlJc w:val="left"/>
      <w:pPr>
        <w:tabs>
          <w:tab w:val="left" w:pos="2460"/>
        </w:tabs>
        <w:ind w:left="2460" w:hanging="360"/>
      </w:pPr>
      <w:rPr>
        <w:rFonts w:hint="default" w:ascii="宋体" w:hAnsi="宋体"/>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56E5987"/>
    <w:multiLevelType w:val="multilevel"/>
    <w:tmpl w:val="156E5987"/>
    <w:lvl w:ilvl="0" w:tentative="0">
      <w:start w:val="19"/>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9">
    <w:nsid w:val="15907297"/>
    <w:multiLevelType w:val="multilevel"/>
    <w:tmpl w:val="15907297"/>
    <w:lvl w:ilvl="0" w:tentative="0">
      <w:start w:val="1"/>
      <w:numFmt w:val="decimal"/>
      <w:pStyle w:val="79"/>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pStyle w:val="91"/>
      <w:lvlText w:val="%1.%2.%3"/>
      <w:lvlJc w:val="left"/>
      <w:pPr>
        <w:tabs>
          <w:tab w:val="left" w:pos="720"/>
        </w:tabs>
        <w:ind w:left="720" w:hanging="153"/>
      </w:pPr>
      <w:rPr>
        <w:rFonts w:hint="eastAsia"/>
      </w:rPr>
    </w:lvl>
    <w:lvl w:ilvl="3" w:tentative="0">
      <w:start w:val="1"/>
      <w:numFmt w:val="decimal"/>
      <w:pStyle w:val="78"/>
      <w:lvlText w:val="%1.%2.%3.%4"/>
      <w:lvlJc w:val="left"/>
      <w:pPr>
        <w:tabs>
          <w:tab w:val="left" w:pos="864"/>
        </w:tabs>
        <w:ind w:left="864" w:hanging="13"/>
      </w:pPr>
      <w:rPr>
        <w:rFonts w:hint="eastAsia"/>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0">
    <w:nsid w:val="159114E6"/>
    <w:multiLevelType w:val="multilevel"/>
    <w:tmpl w:val="159114E6"/>
    <w:lvl w:ilvl="0" w:tentative="0">
      <w:start w:val="14"/>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1">
    <w:nsid w:val="179B3BE8"/>
    <w:multiLevelType w:val="multilevel"/>
    <w:tmpl w:val="179B3BE8"/>
    <w:lvl w:ilvl="0" w:tentative="0">
      <w:start w:val="1"/>
      <w:numFmt w:val="chineseCountingThousand"/>
      <w:lvlText w:val="%1、"/>
      <w:lvlJc w:val="left"/>
      <w:pPr>
        <w:ind w:left="420" w:hanging="420"/>
      </w:p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97549D3"/>
    <w:multiLevelType w:val="multilevel"/>
    <w:tmpl w:val="197549D3"/>
    <w:lvl w:ilvl="0" w:tentative="0">
      <w:start w:val="1"/>
      <w:numFmt w:val="japaneseCounting"/>
      <w:lvlText w:val="第%1章"/>
      <w:lvlJc w:val="left"/>
      <w:pPr>
        <w:tabs>
          <w:tab w:val="left" w:pos="1305"/>
        </w:tabs>
        <w:ind w:left="1305" w:hanging="1305"/>
      </w:pPr>
      <w:rPr>
        <w:rFonts w:hint="default"/>
        <w:b/>
        <w:sz w:val="36"/>
        <w:szCs w:val="36"/>
      </w:rPr>
    </w:lvl>
    <w:lvl w:ilvl="1" w:tentative="0">
      <w:start w:val="1"/>
      <w:numFmt w:val="japaneseCounting"/>
      <w:lvlText w:val="%2、"/>
      <w:lvlJc w:val="left"/>
      <w:pPr>
        <w:tabs>
          <w:tab w:val="left" w:pos="840"/>
        </w:tabs>
        <w:ind w:left="840" w:hanging="420"/>
      </w:pPr>
      <w:rPr>
        <w:rFonts w:hint="default"/>
        <w:b/>
        <w:sz w:val="21"/>
        <w:szCs w:val="21"/>
      </w:rPr>
    </w:lvl>
    <w:lvl w:ilvl="2" w:tentative="0">
      <w:start w:val="6"/>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1C8005C7"/>
    <w:multiLevelType w:val="multilevel"/>
    <w:tmpl w:val="1C8005C7"/>
    <w:lvl w:ilvl="0" w:tentative="0">
      <w:start w:val="1"/>
      <w:numFmt w:val="decimal"/>
      <w:lvlText w:val="%1、"/>
      <w:lvlJc w:val="left"/>
      <w:pPr>
        <w:tabs>
          <w:tab w:val="left" w:pos="540"/>
        </w:tabs>
        <w:ind w:left="540" w:hanging="360"/>
      </w:pPr>
      <w:rPr>
        <w:rFonts w:hint="default"/>
        <w:b/>
      </w:rPr>
    </w:lvl>
    <w:lvl w:ilvl="1" w:tentative="0">
      <w:start w:val="1"/>
      <w:numFmt w:val="decimal"/>
      <w:lvlText w:val="（%2）"/>
      <w:lvlJc w:val="left"/>
      <w:pPr>
        <w:tabs>
          <w:tab w:val="left" w:pos="1094"/>
        </w:tabs>
        <w:ind w:left="1094" w:hanging="674"/>
      </w:pPr>
      <w:rPr>
        <w:rFonts w:hint="default"/>
      </w:rPr>
    </w:lvl>
    <w:lvl w:ilvl="2" w:tentative="0">
      <w:start w:val="1"/>
      <w:numFmt w:val="lowerLetter"/>
      <w:lvlText w:val="%3）"/>
      <w:lvlJc w:val="left"/>
      <w:pPr>
        <w:tabs>
          <w:tab w:val="left" w:pos="1620"/>
        </w:tabs>
        <w:ind w:left="1620" w:hanging="360"/>
      </w:pPr>
      <w:rPr>
        <w:rFonts w:hint="default"/>
        <w:b w:val="0"/>
      </w:rPr>
    </w:lvl>
    <w:lvl w:ilvl="3" w:tentative="0">
      <w:start w:val="1"/>
      <w:numFmt w:val="decimal"/>
      <w:lvlText w:val="%4）"/>
      <w:lvlJc w:val="left"/>
      <w:pPr>
        <w:tabs>
          <w:tab w:val="left" w:pos="2040"/>
        </w:tabs>
        <w:ind w:left="2040" w:hanging="360"/>
      </w:pPr>
      <w:rPr>
        <w:rFonts w:hint="default"/>
      </w:rPr>
    </w:lvl>
    <w:lvl w:ilvl="4" w:tentative="0">
      <w:start w:val="1"/>
      <w:numFmt w:val="decimal"/>
      <w:lvlText w:val="%5."/>
      <w:lvlJc w:val="left"/>
      <w:pPr>
        <w:tabs>
          <w:tab w:val="left" w:pos="2460"/>
        </w:tabs>
        <w:ind w:left="2460" w:hanging="360"/>
      </w:pPr>
      <w:rPr>
        <w:rFonts w:hint="default"/>
        <w:b/>
        <w:sz w:val="24"/>
        <w:szCs w:val="24"/>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4">
    <w:nsid w:val="20BA2AF0"/>
    <w:multiLevelType w:val="singleLevel"/>
    <w:tmpl w:val="20BA2AF0"/>
    <w:lvl w:ilvl="0" w:tentative="0">
      <w:start w:val="1"/>
      <w:numFmt w:val="decimal"/>
      <w:suff w:val="space"/>
      <w:lvlText w:val="%1）"/>
      <w:lvlJc w:val="left"/>
    </w:lvl>
  </w:abstractNum>
  <w:abstractNum w:abstractNumId="15">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16">
    <w:nsid w:val="277F6DC9"/>
    <w:multiLevelType w:val="multilevel"/>
    <w:tmpl w:val="277F6DC9"/>
    <w:lvl w:ilvl="0" w:tentative="0">
      <w:start w:val="1"/>
      <w:numFmt w:val="decimal"/>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7">
    <w:nsid w:val="2AA957BB"/>
    <w:multiLevelType w:val="multilevel"/>
    <w:tmpl w:val="2AA957BB"/>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lvlText w:val="%1.%2.%3"/>
      <w:lvlJc w:val="left"/>
      <w:pPr>
        <w:tabs>
          <w:tab w:val="left" w:pos="720"/>
        </w:tabs>
        <w:ind w:left="720" w:hanging="153"/>
      </w:pPr>
      <w:rPr>
        <w:rFonts w:hint="eastAsia"/>
      </w:rPr>
    </w:lvl>
    <w:lvl w:ilvl="3" w:tentative="0">
      <w:start w:val="1"/>
      <w:numFmt w:val="bullet"/>
      <w:pStyle w:val="85"/>
      <w:lvlText w:val=""/>
      <w:lvlJc w:val="left"/>
      <w:pPr>
        <w:tabs>
          <w:tab w:val="left" w:pos="1271"/>
        </w:tabs>
        <w:ind w:left="1271" w:hanging="420"/>
      </w:pPr>
      <w:rPr>
        <w:rFonts w:hint="default" w:ascii="Wingdings" w:hAnsi="Wingdings"/>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8">
    <w:nsid w:val="2C7A7351"/>
    <w:multiLevelType w:val="multilevel"/>
    <w:tmpl w:val="2C7A7351"/>
    <w:lvl w:ilvl="0" w:tentative="0">
      <w:start w:val="21"/>
      <w:numFmt w:val="decimal"/>
      <w:lvlText w:val="%1"/>
      <w:lvlJc w:val="left"/>
      <w:pPr>
        <w:tabs>
          <w:tab w:val="left" w:pos="480"/>
        </w:tabs>
        <w:ind w:left="480" w:hanging="480"/>
      </w:pPr>
      <w:rPr>
        <w:rFonts w:hint="default"/>
      </w:rPr>
    </w:lvl>
    <w:lvl w:ilvl="1" w:tentative="0">
      <w:start w:val="1"/>
      <w:numFmt w:val="decimal"/>
      <w:lvlText w:val="%1.%2"/>
      <w:lvlJc w:val="left"/>
      <w:pPr>
        <w:tabs>
          <w:tab w:val="left" w:pos="480"/>
        </w:tabs>
        <w:ind w:left="48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9">
    <w:nsid w:val="2F576453"/>
    <w:multiLevelType w:val="multilevel"/>
    <w:tmpl w:val="2F576453"/>
    <w:lvl w:ilvl="0" w:tentative="0">
      <w:start w:val="12"/>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0">
    <w:nsid w:val="35135A59"/>
    <w:multiLevelType w:val="multilevel"/>
    <w:tmpl w:val="35135A59"/>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1">
    <w:nsid w:val="359C51AA"/>
    <w:multiLevelType w:val="multilevel"/>
    <w:tmpl w:val="359C51AA"/>
    <w:lvl w:ilvl="0" w:tentative="0">
      <w:start w:val="18"/>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2">
    <w:nsid w:val="44274878"/>
    <w:multiLevelType w:val="multilevel"/>
    <w:tmpl w:val="44274878"/>
    <w:lvl w:ilvl="0" w:tentative="0">
      <w:start w:val="27"/>
      <w:numFmt w:val="decimal"/>
      <w:lvlText w:val="%1"/>
      <w:lvlJc w:val="left"/>
      <w:pPr>
        <w:ind w:left="360" w:hanging="360"/>
      </w:pPr>
      <w:rPr>
        <w:rFonts w:hint="default"/>
      </w:rPr>
    </w:lvl>
    <w:lvl w:ilvl="1" w:tentative="0">
      <w:start w:val="1"/>
      <w:numFmt w:val="decimal"/>
      <w:isLgl/>
      <w:lvlText w:val="%1.%2"/>
      <w:lvlJc w:val="left"/>
      <w:pPr>
        <w:ind w:left="510" w:hanging="510"/>
      </w:pPr>
      <w:rPr>
        <w:rFonts w:hint="default"/>
      </w:rPr>
    </w:lvl>
    <w:lvl w:ilvl="2" w:tentative="0">
      <w:start w:val="1"/>
      <w:numFmt w:val="decimal"/>
      <w:isLgl/>
      <w:lvlText w:val="%1.%2.%3"/>
      <w:lvlJc w:val="left"/>
      <w:pPr>
        <w:ind w:left="510" w:hanging="510"/>
      </w:pPr>
      <w:rPr>
        <w:rFonts w:hint="default"/>
      </w:rPr>
    </w:lvl>
    <w:lvl w:ilvl="3" w:tentative="0">
      <w:start w:val="1"/>
      <w:numFmt w:val="decimal"/>
      <w:isLgl/>
      <w:lvlText w:val="%1.%2.%3.%4"/>
      <w:lvlJc w:val="left"/>
      <w:pPr>
        <w:ind w:left="510" w:hanging="510"/>
      </w:pPr>
      <w:rPr>
        <w:rFonts w:hint="default"/>
      </w:rPr>
    </w:lvl>
    <w:lvl w:ilvl="4" w:tentative="0">
      <w:start w:val="1"/>
      <w:numFmt w:val="decimal"/>
      <w:isLgl/>
      <w:lvlText w:val="%1.%2.%3.%4.%5"/>
      <w:lvlJc w:val="left"/>
      <w:pPr>
        <w:ind w:left="510" w:hanging="510"/>
      </w:pPr>
      <w:rPr>
        <w:rFonts w:hint="default"/>
      </w:rPr>
    </w:lvl>
    <w:lvl w:ilvl="5" w:tentative="0">
      <w:start w:val="1"/>
      <w:numFmt w:val="decimal"/>
      <w:isLgl/>
      <w:lvlText w:val="%1.%2.%3.%4.%5.%6"/>
      <w:lvlJc w:val="left"/>
      <w:pPr>
        <w:ind w:left="510" w:hanging="510"/>
      </w:pPr>
      <w:rPr>
        <w:rFonts w:hint="default"/>
      </w:rPr>
    </w:lvl>
    <w:lvl w:ilvl="6" w:tentative="0">
      <w:start w:val="1"/>
      <w:numFmt w:val="decimal"/>
      <w:isLgl/>
      <w:lvlText w:val="%1.%2.%3.%4.%5.%6.%7"/>
      <w:lvlJc w:val="left"/>
      <w:pPr>
        <w:ind w:left="510" w:hanging="510"/>
      </w:pPr>
      <w:rPr>
        <w:rFonts w:hint="default"/>
      </w:rPr>
    </w:lvl>
    <w:lvl w:ilvl="7" w:tentative="0">
      <w:start w:val="1"/>
      <w:numFmt w:val="decimal"/>
      <w:isLgl/>
      <w:lvlText w:val="%1.%2.%3.%4.%5.%6.%7.%8"/>
      <w:lvlJc w:val="left"/>
      <w:pPr>
        <w:ind w:left="510" w:hanging="510"/>
      </w:pPr>
      <w:rPr>
        <w:rFonts w:hint="default"/>
      </w:rPr>
    </w:lvl>
    <w:lvl w:ilvl="8" w:tentative="0">
      <w:start w:val="1"/>
      <w:numFmt w:val="decimal"/>
      <w:isLgl/>
      <w:lvlText w:val="%1.%2.%3.%4.%5.%6.%7.%8.%9"/>
      <w:lvlJc w:val="left"/>
      <w:pPr>
        <w:ind w:left="510" w:hanging="510"/>
      </w:pPr>
      <w:rPr>
        <w:rFonts w:hint="default"/>
      </w:rPr>
    </w:lvl>
  </w:abstractNum>
  <w:abstractNum w:abstractNumId="23">
    <w:nsid w:val="46450AAB"/>
    <w:multiLevelType w:val="multilevel"/>
    <w:tmpl w:val="46450AAB"/>
    <w:lvl w:ilvl="0" w:tentative="0">
      <w:start w:val="11"/>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4">
    <w:nsid w:val="46C95EB7"/>
    <w:multiLevelType w:val="multilevel"/>
    <w:tmpl w:val="46C95EB7"/>
    <w:lvl w:ilvl="0" w:tentative="0">
      <w:start w:val="1"/>
      <w:numFmt w:val="decimal"/>
      <w:lvlText w:val="%1、"/>
      <w:lvlJc w:val="left"/>
      <w:pPr>
        <w:tabs>
          <w:tab w:val="left" w:pos="1305"/>
        </w:tabs>
        <w:ind w:left="1305" w:hanging="360"/>
      </w:pPr>
      <w:rPr>
        <w:rFonts w:hint="default"/>
      </w:rPr>
    </w:lvl>
    <w:lvl w:ilvl="1" w:tentative="0">
      <w:start w:val="1"/>
      <w:numFmt w:val="japaneseCounting"/>
      <w:lvlText w:val="%2、"/>
      <w:lvlJc w:val="left"/>
      <w:pPr>
        <w:tabs>
          <w:tab w:val="left" w:pos="1305"/>
        </w:tabs>
        <w:ind w:left="1305" w:hanging="465"/>
      </w:pPr>
      <w:rPr>
        <w:rFonts w:hint="default" w:cs="黑体"/>
      </w:rPr>
    </w:lvl>
    <w:lvl w:ilvl="2" w:tentative="0">
      <w:start w:val="1"/>
      <w:numFmt w:val="decimal"/>
      <w:lvlText w:val="%3)"/>
      <w:lvlJc w:val="left"/>
      <w:pPr>
        <w:tabs>
          <w:tab w:val="left" w:pos="1500"/>
        </w:tabs>
        <w:ind w:left="1500" w:hanging="240"/>
      </w:pPr>
      <w:rPr>
        <w:rFonts w:hint="default"/>
      </w:rPr>
    </w:lvl>
    <w:lvl w:ilvl="3" w:tentative="0">
      <w:start w:val="1"/>
      <w:numFmt w:val="decimal"/>
      <w:lvlText w:val="%4）"/>
      <w:lvlJc w:val="left"/>
      <w:pPr>
        <w:tabs>
          <w:tab w:val="left" w:pos="2040"/>
        </w:tabs>
        <w:ind w:left="2040" w:hanging="360"/>
      </w:pPr>
      <w:rPr>
        <w:rFonts w:hint="default"/>
      </w:rPr>
    </w:lvl>
    <w:lvl w:ilvl="4" w:tentative="0">
      <w:start w:val="4"/>
      <w:numFmt w:val="decimal"/>
      <w:lvlText w:val="%5．"/>
      <w:lvlJc w:val="left"/>
      <w:pPr>
        <w:tabs>
          <w:tab w:val="left" w:pos="2460"/>
        </w:tabs>
        <w:ind w:left="2460" w:hanging="360"/>
      </w:pPr>
      <w:rPr>
        <w:rFonts w:hint="default"/>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5">
    <w:nsid w:val="48D858E8"/>
    <w:multiLevelType w:val="multilevel"/>
    <w:tmpl w:val="48D858E8"/>
    <w:lvl w:ilvl="0" w:tentative="0">
      <w:start w:val="4"/>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6">
    <w:nsid w:val="4B331C36"/>
    <w:multiLevelType w:val="multilevel"/>
    <w:tmpl w:val="4B331C36"/>
    <w:lvl w:ilvl="0" w:tentative="0">
      <w:start w:val="1"/>
      <w:numFmt w:val="japaneseCounting"/>
      <w:pStyle w:val="90"/>
      <w:lvlText w:val="第%1章"/>
      <w:lvlJc w:val="left"/>
      <w:pPr>
        <w:tabs>
          <w:tab w:val="left" w:pos="1275"/>
        </w:tabs>
        <w:ind w:left="1275" w:hanging="1275"/>
      </w:pPr>
      <w:rPr>
        <w:rFonts w:hint="default"/>
        <w:b/>
        <w:sz w:val="36"/>
        <w:szCs w:val="36"/>
      </w:rPr>
    </w:lvl>
    <w:lvl w:ilvl="1" w:tentative="0">
      <w:start w:val="1"/>
      <w:numFmt w:val="japaneseCounting"/>
      <w:lvlText w:val="%2、"/>
      <w:lvlJc w:val="left"/>
      <w:pPr>
        <w:tabs>
          <w:tab w:val="left" w:pos="420"/>
        </w:tabs>
        <w:ind w:left="420" w:hanging="420"/>
      </w:pPr>
      <w:rPr>
        <w:rFonts w:hint="default"/>
        <w:sz w:val="21"/>
        <w:szCs w:val="21"/>
      </w:rPr>
    </w:lvl>
    <w:lvl w:ilvl="2" w:tentative="0">
      <w:start w:val="1"/>
      <w:numFmt w:val="decimal"/>
      <w:lvlText w:val="%3、"/>
      <w:lvlJc w:val="left"/>
      <w:pPr>
        <w:tabs>
          <w:tab w:val="left" w:pos="420"/>
        </w:tabs>
        <w:ind w:left="0" w:firstLine="420"/>
      </w:pPr>
      <w:rPr>
        <w:rFonts w:hint="default"/>
        <w:b w:val="0"/>
        <w:sz w:val="21"/>
        <w:szCs w:val="21"/>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4F7C056F"/>
    <w:multiLevelType w:val="multilevel"/>
    <w:tmpl w:val="4F7C056F"/>
    <w:lvl w:ilvl="0" w:tentative="0">
      <w:start w:val="17"/>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8">
    <w:nsid w:val="54D12799"/>
    <w:multiLevelType w:val="multilevel"/>
    <w:tmpl w:val="54D12799"/>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9">
    <w:nsid w:val="552E1C8E"/>
    <w:multiLevelType w:val="singleLevel"/>
    <w:tmpl w:val="552E1C8E"/>
    <w:lvl w:ilvl="0" w:tentative="0">
      <w:start w:val="1"/>
      <w:numFmt w:val="decimal"/>
      <w:suff w:val="nothing"/>
      <w:lvlText w:val="%1．"/>
      <w:lvlJc w:val="left"/>
      <w:pPr>
        <w:ind w:left="0" w:firstLine="400"/>
      </w:pPr>
      <w:rPr>
        <w:rFonts w:hint="default"/>
      </w:rPr>
    </w:lvl>
  </w:abstractNum>
  <w:abstractNum w:abstractNumId="30">
    <w:nsid w:val="57063C4C"/>
    <w:multiLevelType w:val="singleLevel"/>
    <w:tmpl w:val="57063C4C"/>
    <w:lvl w:ilvl="0" w:tentative="0">
      <w:start w:val="1"/>
      <w:numFmt w:val="decimal"/>
      <w:suff w:val="nothing"/>
      <w:lvlText w:val="%1．"/>
      <w:lvlJc w:val="left"/>
      <w:pPr>
        <w:ind w:left="26" w:firstLine="400"/>
      </w:pPr>
      <w:rPr>
        <w:rFonts w:hint="default"/>
      </w:rPr>
    </w:lvl>
  </w:abstractNum>
  <w:abstractNum w:abstractNumId="31">
    <w:nsid w:val="5E076C81"/>
    <w:multiLevelType w:val="multilevel"/>
    <w:tmpl w:val="5E076C81"/>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2">
    <w:nsid w:val="5F4F21DF"/>
    <w:multiLevelType w:val="multilevel"/>
    <w:tmpl w:val="5F4F21DF"/>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3">
    <w:nsid w:val="6065484F"/>
    <w:multiLevelType w:val="multilevel"/>
    <w:tmpl w:val="6065484F"/>
    <w:lvl w:ilvl="0" w:tentative="0">
      <w:start w:val="7"/>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4">
    <w:nsid w:val="615413D2"/>
    <w:multiLevelType w:val="multilevel"/>
    <w:tmpl w:val="615413D2"/>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5">
    <w:nsid w:val="68C50813"/>
    <w:multiLevelType w:val="multilevel"/>
    <w:tmpl w:val="68C50813"/>
    <w:lvl w:ilvl="0" w:tentative="0">
      <w:start w:val="9"/>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6">
    <w:nsid w:val="6CEA2025"/>
    <w:multiLevelType w:val="multilevel"/>
    <w:tmpl w:val="6CEA2025"/>
    <w:lvl w:ilvl="0" w:tentative="0">
      <w:start w:val="1"/>
      <w:numFmt w:val="none"/>
      <w:pStyle w:val="67"/>
      <w:suff w:val="nothing"/>
      <w:lvlText w:val="%1"/>
      <w:lvlJc w:val="left"/>
      <w:pPr>
        <w:ind w:left="0" w:firstLine="0"/>
      </w:pPr>
      <w:rPr>
        <w:rFonts w:hint="default" w:ascii="Times New Roman" w:hAnsi="Times New Roman"/>
        <w:b/>
        <w:i w:val="0"/>
        <w:sz w:val="21"/>
      </w:rPr>
    </w:lvl>
    <w:lvl w:ilvl="1" w:tentative="0">
      <w:start w:val="1"/>
      <w:numFmt w:val="decimal"/>
      <w:pStyle w:val="70"/>
      <w:suff w:val="nothing"/>
      <w:lvlText w:val="%1%2　"/>
      <w:lvlJc w:val="left"/>
      <w:pPr>
        <w:ind w:left="180" w:firstLine="0"/>
      </w:pPr>
      <w:rPr>
        <w:rFonts w:hint="eastAsia" w:ascii="黑体" w:hAnsi="Times New Roman" w:eastAsia="黑体"/>
        <w:b/>
        <w:i w:val="0"/>
        <w:sz w:val="24"/>
        <w:szCs w:val="24"/>
      </w:rPr>
    </w:lvl>
    <w:lvl w:ilvl="2" w:tentative="0">
      <w:start w:val="1"/>
      <w:numFmt w:val="decimal"/>
      <w:pStyle w:val="76"/>
      <w:suff w:val="nothing"/>
      <w:lvlText w:val="%1%2.%3　"/>
      <w:lvlJc w:val="left"/>
      <w:pPr>
        <w:ind w:left="720" w:firstLine="0"/>
      </w:pPr>
      <w:rPr>
        <w:rFonts w:hint="eastAsia" w:ascii="黑体" w:hAnsi="Times New Roman" w:eastAsia="黑体"/>
        <w:b w:val="0"/>
        <w:i w:val="0"/>
        <w:sz w:val="21"/>
      </w:rPr>
    </w:lvl>
    <w:lvl w:ilvl="3" w:tentative="0">
      <w:start w:val="1"/>
      <w:numFmt w:val="decimal"/>
      <w:pStyle w:val="75"/>
      <w:suff w:val="nothing"/>
      <w:lvlText w:val="%1%2.4.%4　"/>
      <w:lvlJc w:val="left"/>
      <w:pPr>
        <w:ind w:left="420" w:firstLine="0"/>
      </w:pPr>
      <w:rPr>
        <w:rFonts w:hint="eastAsia" w:ascii="黑体" w:hAnsi="Times New Roman" w:eastAsia="黑体"/>
        <w:b w:val="0"/>
        <w:i w:val="0"/>
        <w:sz w:val="21"/>
      </w:rPr>
    </w:lvl>
    <w:lvl w:ilvl="4" w:tentative="0">
      <w:start w:val="1"/>
      <w:numFmt w:val="decimal"/>
      <w:pStyle w:val="82"/>
      <w:suff w:val="nothing"/>
      <w:lvlText w:val="5.%12.5.%5　"/>
      <w:lvlJc w:val="left"/>
      <w:pPr>
        <w:ind w:left="420" w:firstLine="0"/>
      </w:pPr>
      <w:rPr>
        <w:rFonts w:hint="eastAsia" w:ascii="黑体" w:hAnsi="Times New Roman" w:eastAsia="黑体"/>
        <w:b w:val="0"/>
        <w:i w:val="0"/>
        <w:sz w:val="21"/>
      </w:rPr>
    </w:lvl>
    <w:lvl w:ilvl="5" w:tentative="0">
      <w:start w:val="1"/>
      <w:numFmt w:val="decimal"/>
      <w:pStyle w:val="88"/>
      <w:suff w:val="nothing"/>
      <w:lvlText w:val="%1%2.%3.%4.%5.%6　"/>
      <w:lvlJc w:val="left"/>
      <w:pPr>
        <w:ind w:left="0" w:firstLine="0"/>
      </w:pPr>
      <w:rPr>
        <w:rFonts w:hint="eastAsia" w:ascii="黑体" w:hAnsi="Times New Roman" w:eastAsia="黑体"/>
        <w:b w:val="0"/>
        <w:i w:val="0"/>
        <w:sz w:val="21"/>
      </w:rPr>
    </w:lvl>
    <w:lvl w:ilvl="6" w:tentative="0">
      <w:start w:val="1"/>
      <w:numFmt w:val="decimal"/>
      <w:pStyle w:val="8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7">
    <w:nsid w:val="6F113A89"/>
    <w:multiLevelType w:val="multilevel"/>
    <w:tmpl w:val="6F113A89"/>
    <w:lvl w:ilvl="0" w:tentative="0">
      <w:start w:val="16"/>
      <w:numFmt w:val="decimal"/>
      <w:lvlText w:val="%1"/>
      <w:lvlJc w:val="left"/>
      <w:pPr>
        <w:tabs>
          <w:tab w:val="left" w:pos="600"/>
        </w:tabs>
        <w:ind w:left="600" w:hanging="600"/>
      </w:pPr>
      <w:rPr>
        <w:rFonts w:hint="default"/>
      </w:rPr>
    </w:lvl>
    <w:lvl w:ilvl="1" w:tentative="0">
      <w:start w:val="1"/>
      <w:numFmt w:val="decimal"/>
      <w:lvlText w:val="%1.%2"/>
      <w:lvlJc w:val="left"/>
      <w:pPr>
        <w:tabs>
          <w:tab w:val="left" w:pos="600"/>
        </w:tabs>
        <w:ind w:left="600" w:hanging="600"/>
      </w:pPr>
      <w:rPr>
        <w:rFonts w:hint="default"/>
      </w:rPr>
    </w:lvl>
    <w:lvl w:ilvl="2" w:tentative="0">
      <w:start w:val="1"/>
      <w:numFmt w:val="decimal"/>
      <w:lvlText w:val="%1.%2.%3"/>
      <w:lvlJc w:val="left"/>
      <w:pPr>
        <w:tabs>
          <w:tab w:val="left" w:pos="600"/>
        </w:tabs>
        <w:ind w:left="600" w:hanging="600"/>
      </w:pPr>
      <w:rPr>
        <w:rFonts w:hint="default"/>
      </w:rPr>
    </w:lvl>
    <w:lvl w:ilvl="3" w:tentative="0">
      <w:start w:val="1"/>
      <w:numFmt w:val="decimal"/>
      <w:lvlText w:val="%1.%2.%3.%4"/>
      <w:lvlJc w:val="left"/>
      <w:pPr>
        <w:tabs>
          <w:tab w:val="left" w:pos="600"/>
        </w:tabs>
        <w:ind w:left="600" w:hanging="600"/>
      </w:pPr>
      <w:rPr>
        <w:rFonts w:hint="default"/>
      </w:rPr>
    </w:lvl>
    <w:lvl w:ilvl="4" w:tentative="0">
      <w:start w:val="1"/>
      <w:numFmt w:val="decimal"/>
      <w:lvlText w:val="%1.%2.%3.%4.%5"/>
      <w:lvlJc w:val="left"/>
      <w:pPr>
        <w:tabs>
          <w:tab w:val="left" w:pos="600"/>
        </w:tabs>
        <w:ind w:left="600" w:hanging="600"/>
      </w:pPr>
      <w:rPr>
        <w:rFonts w:hint="default"/>
      </w:rPr>
    </w:lvl>
    <w:lvl w:ilvl="5" w:tentative="0">
      <w:start w:val="1"/>
      <w:numFmt w:val="decimal"/>
      <w:lvlText w:val="%1.%2.%3.%4.%5.%6"/>
      <w:lvlJc w:val="left"/>
      <w:pPr>
        <w:tabs>
          <w:tab w:val="left" w:pos="600"/>
        </w:tabs>
        <w:ind w:left="600" w:hanging="600"/>
      </w:pPr>
      <w:rPr>
        <w:rFonts w:hint="default"/>
      </w:rPr>
    </w:lvl>
    <w:lvl w:ilvl="6" w:tentative="0">
      <w:start w:val="1"/>
      <w:numFmt w:val="decimal"/>
      <w:lvlText w:val="%1.%2.%3.%4.%5.%6.%7"/>
      <w:lvlJc w:val="left"/>
      <w:pPr>
        <w:tabs>
          <w:tab w:val="left" w:pos="600"/>
        </w:tabs>
        <w:ind w:left="600" w:hanging="600"/>
      </w:pPr>
      <w:rPr>
        <w:rFonts w:hint="default"/>
      </w:rPr>
    </w:lvl>
    <w:lvl w:ilvl="7" w:tentative="0">
      <w:start w:val="1"/>
      <w:numFmt w:val="decimal"/>
      <w:lvlText w:val="%1.%2.%3.%4.%5.%6.%7.%8"/>
      <w:lvlJc w:val="left"/>
      <w:pPr>
        <w:tabs>
          <w:tab w:val="left" w:pos="600"/>
        </w:tabs>
        <w:ind w:left="600" w:hanging="600"/>
      </w:pPr>
      <w:rPr>
        <w:rFonts w:hint="default"/>
      </w:rPr>
    </w:lvl>
    <w:lvl w:ilvl="8" w:tentative="0">
      <w:start w:val="1"/>
      <w:numFmt w:val="decimal"/>
      <w:lvlText w:val="%1.%2.%3.%4.%5.%6.%7.%8.%9"/>
      <w:lvlJc w:val="left"/>
      <w:pPr>
        <w:tabs>
          <w:tab w:val="left" w:pos="600"/>
        </w:tabs>
        <w:ind w:left="600" w:hanging="600"/>
      </w:pPr>
      <w:rPr>
        <w:rFonts w:hint="default"/>
      </w:rPr>
    </w:lvl>
  </w:abstractNum>
  <w:abstractNum w:abstractNumId="38">
    <w:nsid w:val="715F29F2"/>
    <w:multiLevelType w:val="multilevel"/>
    <w:tmpl w:val="715F29F2"/>
    <w:lvl w:ilvl="0" w:tentative="0">
      <w:start w:val="13"/>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9">
    <w:nsid w:val="76195D75"/>
    <w:multiLevelType w:val="multilevel"/>
    <w:tmpl w:val="76195D75"/>
    <w:lvl w:ilvl="0" w:tentative="0">
      <w:start w:val="28"/>
      <w:numFmt w:val="decimal"/>
      <w:lvlText w:val="%1、"/>
      <w:lvlJc w:val="left"/>
      <w:pPr>
        <w:ind w:left="465" w:hanging="4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762D7317"/>
    <w:multiLevelType w:val="multilevel"/>
    <w:tmpl w:val="762D7317"/>
    <w:lvl w:ilvl="0" w:tentative="0">
      <w:start w:val="22"/>
      <w:numFmt w:val="decimal"/>
      <w:lvlText w:val="%1"/>
      <w:lvlJc w:val="left"/>
      <w:pPr>
        <w:tabs>
          <w:tab w:val="left" w:pos="480"/>
        </w:tabs>
        <w:ind w:left="480" w:hanging="480"/>
      </w:pPr>
      <w:rPr>
        <w:rFonts w:hint="default"/>
      </w:rPr>
    </w:lvl>
    <w:lvl w:ilvl="1" w:tentative="0">
      <w:start w:val="1"/>
      <w:numFmt w:val="decimal"/>
      <w:lvlText w:val="%1.%2"/>
      <w:lvlJc w:val="left"/>
      <w:pPr>
        <w:tabs>
          <w:tab w:val="left" w:pos="840"/>
        </w:tabs>
        <w:ind w:left="84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1">
    <w:nsid w:val="7D1440D7"/>
    <w:multiLevelType w:val="multilevel"/>
    <w:tmpl w:val="7D1440D7"/>
    <w:lvl w:ilvl="0" w:tentative="0">
      <w:start w:val="1"/>
      <w:numFmt w:val="decimal"/>
      <w:lvlText w:val="%1）"/>
      <w:lvlJc w:val="left"/>
      <w:pPr>
        <w:tabs>
          <w:tab w:val="left" w:pos="2040"/>
        </w:tabs>
        <w:ind w:left="2040" w:hanging="360"/>
      </w:pPr>
      <w:rPr>
        <w:rFonts w:hint="default"/>
      </w:rPr>
    </w:lvl>
    <w:lvl w:ilvl="1" w:tentative="0">
      <w:start w:val="3"/>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eastAsia" w:ascii="宋体" w:hAnsi="宋体" w:eastAsia="宋体" w:cs="Times New Roman"/>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rPr>
        <w:b w:val="0"/>
        <w:sz w:val="21"/>
        <w:szCs w:val="21"/>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2">
    <w:nsid w:val="7F03740D"/>
    <w:multiLevelType w:val="multilevel"/>
    <w:tmpl w:val="7F03740D"/>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3">
    <w:nsid w:val="7FC50114"/>
    <w:multiLevelType w:val="multilevel"/>
    <w:tmpl w:val="7FC50114"/>
    <w:lvl w:ilvl="0" w:tentative="0">
      <w:start w:val="3"/>
      <w:numFmt w:val="decimal"/>
      <w:lvlText w:val="%1"/>
      <w:lvlJc w:val="left"/>
      <w:pPr>
        <w:tabs>
          <w:tab w:val="left" w:pos="360"/>
        </w:tabs>
        <w:ind w:left="360" w:hanging="360"/>
      </w:pPr>
      <w:rPr>
        <w:rFonts w:hint="default" w:cs="宋体"/>
      </w:rPr>
    </w:lvl>
    <w:lvl w:ilvl="1" w:tentative="0">
      <w:start w:val="1"/>
      <w:numFmt w:val="decimal"/>
      <w:lvlText w:val="%1.%2"/>
      <w:lvlJc w:val="left"/>
      <w:pPr>
        <w:tabs>
          <w:tab w:val="left" w:pos="360"/>
        </w:tabs>
        <w:ind w:left="360" w:hanging="360"/>
      </w:pPr>
      <w:rPr>
        <w:rFonts w:hint="default" w:cs="宋体"/>
      </w:rPr>
    </w:lvl>
    <w:lvl w:ilvl="2" w:tentative="0">
      <w:start w:val="1"/>
      <w:numFmt w:val="decimal"/>
      <w:lvlText w:val="%1.%2.%3"/>
      <w:lvlJc w:val="left"/>
      <w:pPr>
        <w:tabs>
          <w:tab w:val="left" w:pos="720"/>
        </w:tabs>
        <w:ind w:left="720" w:hanging="720"/>
      </w:pPr>
      <w:rPr>
        <w:rFonts w:hint="default" w:cs="宋体"/>
      </w:rPr>
    </w:lvl>
    <w:lvl w:ilvl="3" w:tentative="0">
      <w:start w:val="1"/>
      <w:numFmt w:val="decimal"/>
      <w:lvlText w:val="%1.%2.%3.%4"/>
      <w:lvlJc w:val="left"/>
      <w:pPr>
        <w:tabs>
          <w:tab w:val="left" w:pos="1080"/>
        </w:tabs>
        <w:ind w:left="1080" w:hanging="1080"/>
      </w:pPr>
      <w:rPr>
        <w:rFonts w:hint="default" w:cs="宋体"/>
      </w:rPr>
    </w:lvl>
    <w:lvl w:ilvl="4" w:tentative="0">
      <w:start w:val="1"/>
      <w:numFmt w:val="decimal"/>
      <w:lvlText w:val="%1.%2.%3.%4.%5"/>
      <w:lvlJc w:val="left"/>
      <w:pPr>
        <w:tabs>
          <w:tab w:val="left" w:pos="1080"/>
        </w:tabs>
        <w:ind w:left="1080" w:hanging="1080"/>
      </w:pPr>
      <w:rPr>
        <w:rFonts w:hint="default" w:cs="宋体"/>
      </w:rPr>
    </w:lvl>
    <w:lvl w:ilvl="5" w:tentative="0">
      <w:start w:val="1"/>
      <w:numFmt w:val="decimal"/>
      <w:lvlText w:val="%1.%2.%3.%4.%5.%6"/>
      <w:lvlJc w:val="left"/>
      <w:pPr>
        <w:tabs>
          <w:tab w:val="left" w:pos="1440"/>
        </w:tabs>
        <w:ind w:left="1440" w:hanging="1440"/>
      </w:pPr>
      <w:rPr>
        <w:rFonts w:hint="default" w:cs="宋体"/>
      </w:rPr>
    </w:lvl>
    <w:lvl w:ilvl="6" w:tentative="0">
      <w:start w:val="1"/>
      <w:numFmt w:val="decimal"/>
      <w:lvlText w:val="%1.%2.%3.%4.%5.%6.%7"/>
      <w:lvlJc w:val="left"/>
      <w:pPr>
        <w:tabs>
          <w:tab w:val="left" w:pos="1440"/>
        </w:tabs>
        <w:ind w:left="1440" w:hanging="1440"/>
      </w:pPr>
      <w:rPr>
        <w:rFonts w:hint="default" w:cs="宋体"/>
      </w:rPr>
    </w:lvl>
    <w:lvl w:ilvl="7" w:tentative="0">
      <w:start w:val="1"/>
      <w:numFmt w:val="decimal"/>
      <w:lvlText w:val="%1.%2.%3.%4.%5.%6.%7.%8"/>
      <w:lvlJc w:val="left"/>
      <w:pPr>
        <w:tabs>
          <w:tab w:val="left" w:pos="1800"/>
        </w:tabs>
        <w:ind w:left="1800" w:hanging="1800"/>
      </w:pPr>
      <w:rPr>
        <w:rFonts w:hint="default" w:cs="宋体"/>
      </w:rPr>
    </w:lvl>
    <w:lvl w:ilvl="8" w:tentative="0">
      <w:start w:val="1"/>
      <w:numFmt w:val="decimal"/>
      <w:lvlText w:val="%1.%2.%3.%4.%5.%6.%7.%8.%9"/>
      <w:lvlJc w:val="left"/>
      <w:pPr>
        <w:tabs>
          <w:tab w:val="left" w:pos="1800"/>
        </w:tabs>
        <w:ind w:left="1800" w:hanging="1800"/>
      </w:pPr>
      <w:rPr>
        <w:rFonts w:hint="default" w:cs="宋体"/>
      </w:rPr>
    </w:lvl>
  </w:abstractNum>
  <w:num w:numId="1">
    <w:abstractNumId w:val="36"/>
  </w:num>
  <w:num w:numId="2">
    <w:abstractNumId w:val="9"/>
  </w:num>
  <w:num w:numId="3">
    <w:abstractNumId w:val="17"/>
  </w:num>
  <w:num w:numId="4">
    <w:abstractNumId w:val="26"/>
  </w:num>
  <w:num w:numId="5">
    <w:abstractNumId w:val="12"/>
  </w:num>
  <w:num w:numId="6">
    <w:abstractNumId w:val="11"/>
  </w:num>
  <w:num w:numId="7">
    <w:abstractNumId w:val="0"/>
  </w:num>
  <w:num w:numId="8">
    <w:abstractNumId w:val="30"/>
  </w:num>
  <w:num w:numId="9">
    <w:abstractNumId w:val="7"/>
  </w:num>
  <w:num w:numId="10">
    <w:abstractNumId w:val="13"/>
  </w:num>
  <w:num w:numId="11">
    <w:abstractNumId w:val="32"/>
  </w:num>
  <w:num w:numId="12">
    <w:abstractNumId w:val="42"/>
  </w:num>
  <w:num w:numId="13">
    <w:abstractNumId w:val="43"/>
  </w:num>
  <w:num w:numId="14">
    <w:abstractNumId w:val="25"/>
  </w:num>
  <w:num w:numId="15">
    <w:abstractNumId w:val="28"/>
  </w:num>
  <w:num w:numId="16">
    <w:abstractNumId w:val="31"/>
  </w:num>
  <w:num w:numId="17">
    <w:abstractNumId w:val="33"/>
  </w:num>
  <w:num w:numId="18">
    <w:abstractNumId w:val="2"/>
  </w:num>
  <w:num w:numId="19">
    <w:abstractNumId w:val="35"/>
  </w:num>
  <w:num w:numId="20">
    <w:abstractNumId w:val="4"/>
  </w:num>
  <w:num w:numId="21">
    <w:abstractNumId w:val="23"/>
  </w:num>
  <w:num w:numId="22">
    <w:abstractNumId w:val="19"/>
  </w:num>
  <w:num w:numId="23">
    <w:abstractNumId w:val="38"/>
  </w:num>
  <w:num w:numId="24">
    <w:abstractNumId w:val="10"/>
  </w:num>
  <w:num w:numId="25">
    <w:abstractNumId w:val="24"/>
  </w:num>
  <w:num w:numId="26">
    <w:abstractNumId w:val="6"/>
  </w:num>
  <w:num w:numId="27">
    <w:abstractNumId w:val="37"/>
  </w:num>
  <w:num w:numId="28">
    <w:abstractNumId w:val="41"/>
  </w:num>
  <w:num w:numId="29">
    <w:abstractNumId w:val="27"/>
  </w:num>
  <w:num w:numId="30">
    <w:abstractNumId w:val="21"/>
  </w:num>
  <w:num w:numId="31">
    <w:abstractNumId w:val="8"/>
  </w:num>
  <w:num w:numId="32">
    <w:abstractNumId w:val="18"/>
  </w:num>
  <w:num w:numId="33">
    <w:abstractNumId w:val="40"/>
  </w:num>
  <w:num w:numId="34">
    <w:abstractNumId w:val="22"/>
  </w:num>
  <w:num w:numId="35">
    <w:abstractNumId w:val="14"/>
  </w:num>
  <w:num w:numId="36">
    <w:abstractNumId w:val="39"/>
  </w:num>
  <w:num w:numId="37">
    <w:abstractNumId w:val="34"/>
  </w:num>
  <w:num w:numId="38">
    <w:abstractNumId w:val="15"/>
  </w:num>
  <w:num w:numId="39">
    <w:abstractNumId w:val="29"/>
  </w:num>
  <w:num w:numId="40">
    <w:abstractNumId w:val="1"/>
  </w:num>
  <w:num w:numId="41">
    <w:abstractNumId w:val="16"/>
  </w:num>
  <w:num w:numId="42">
    <w:abstractNumId w:val="20"/>
  </w:num>
  <w:num w:numId="43">
    <w:abstractNumId w:val="5"/>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68"/>
    <w:rsid w:val="000033B9"/>
    <w:rsid w:val="000047AE"/>
    <w:rsid w:val="00004A24"/>
    <w:rsid w:val="00004EFB"/>
    <w:rsid w:val="00007E56"/>
    <w:rsid w:val="0001587C"/>
    <w:rsid w:val="00015F4D"/>
    <w:rsid w:val="000215F4"/>
    <w:rsid w:val="00022666"/>
    <w:rsid w:val="00023392"/>
    <w:rsid w:val="000239A8"/>
    <w:rsid w:val="00024103"/>
    <w:rsid w:val="000253AD"/>
    <w:rsid w:val="0002669A"/>
    <w:rsid w:val="00026C24"/>
    <w:rsid w:val="00027066"/>
    <w:rsid w:val="0003059B"/>
    <w:rsid w:val="0003259A"/>
    <w:rsid w:val="0003403B"/>
    <w:rsid w:val="00034188"/>
    <w:rsid w:val="00034401"/>
    <w:rsid w:val="00034C37"/>
    <w:rsid w:val="00034DD0"/>
    <w:rsid w:val="00036612"/>
    <w:rsid w:val="00040CD1"/>
    <w:rsid w:val="00041FF2"/>
    <w:rsid w:val="00042D58"/>
    <w:rsid w:val="00043B68"/>
    <w:rsid w:val="00044766"/>
    <w:rsid w:val="00045299"/>
    <w:rsid w:val="00047217"/>
    <w:rsid w:val="00052BAD"/>
    <w:rsid w:val="00054956"/>
    <w:rsid w:val="000601EB"/>
    <w:rsid w:val="00060505"/>
    <w:rsid w:val="00061770"/>
    <w:rsid w:val="000626FF"/>
    <w:rsid w:val="000637D5"/>
    <w:rsid w:val="00064234"/>
    <w:rsid w:val="00064EC5"/>
    <w:rsid w:val="00065B60"/>
    <w:rsid w:val="00066D4A"/>
    <w:rsid w:val="0006772A"/>
    <w:rsid w:val="0007168B"/>
    <w:rsid w:val="00073173"/>
    <w:rsid w:val="000738DC"/>
    <w:rsid w:val="000740E4"/>
    <w:rsid w:val="0007591B"/>
    <w:rsid w:val="000764B9"/>
    <w:rsid w:val="000808FD"/>
    <w:rsid w:val="00083858"/>
    <w:rsid w:val="00084E33"/>
    <w:rsid w:val="0008685D"/>
    <w:rsid w:val="000874D5"/>
    <w:rsid w:val="0008753B"/>
    <w:rsid w:val="000879E8"/>
    <w:rsid w:val="00087F0E"/>
    <w:rsid w:val="000927C7"/>
    <w:rsid w:val="000935C0"/>
    <w:rsid w:val="0009702B"/>
    <w:rsid w:val="00097DC4"/>
    <w:rsid w:val="000A08A5"/>
    <w:rsid w:val="000A1233"/>
    <w:rsid w:val="000A20A7"/>
    <w:rsid w:val="000A3F65"/>
    <w:rsid w:val="000A4D68"/>
    <w:rsid w:val="000A50F6"/>
    <w:rsid w:val="000A54F4"/>
    <w:rsid w:val="000A6C98"/>
    <w:rsid w:val="000B0404"/>
    <w:rsid w:val="000B0E4B"/>
    <w:rsid w:val="000B1147"/>
    <w:rsid w:val="000B1258"/>
    <w:rsid w:val="000B1404"/>
    <w:rsid w:val="000B25DE"/>
    <w:rsid w:val="000B27B8"/>
    <w:rsid w:val="000B3274"/>
    <w:rsid w:val="000B4D1A"/>
    <w:rsid w:val="000B6702"/>
    <w:rsid w:val="000C005A"/>
    <w:rsid w:val="000C114A"/>
    <w:rsid w:val="000C2471"/>
    <w:rsid w:val="000C3488"/>
    <w:rsid w:val="000C3DA3"/>
    <w:rsid w:val="000C420C"/>
    <w:rsid w:val="000C6D16"/>
    <w:rsid w:val="000C7ACA"/>
    <w:rsid w:val="000D017D"/>
    <w:rsid w:val="000D0DD2"/>
    <w:rsid w:val="000D3FD9"/>
    <w:rsid w:val="000D680D"/>
    <w:rsid w:val="000D75EB"/>
    <w:rsid w:val="000E044D"/>
    <w:rsid w:val="000E1552"/>
    <w:rsid w:val="000E1D32"/>
    <w:rsid w:val="000E2E3B"/>
    <w:rsid w:val="000E4823"/>
    <w:rsid w:val="000F09C3"/>
    <w:rsid w:val="000F25D9"/>
    <w:rsid w:val="000F2A59"/>
    <w:rsid w:val="000F661F"/>
    <w:rsid w:val="00100A0F"/>
    <w:rsid w:val="00101897"/>
    <w:rsid w:val="001025BD"/>
    <w:rsid w:val="00102981"/>
    <w:rsid w:val="00102DF0"/>
    <w:rsid w:val="00104978"/>
    <w:rsid w:val="001074B3"/>
    <w:rsid w:val="0010789F"/>
    <w:rsid w:val="001141C4"/>
    <w:rsid w:val="00114D60"/>
    <w:rsid w:val="001163B1"/>
    <w:rsid w:val="00116C7E"/>
    <w:rsid w:val="00124AA6"/>
    <w:rsid w:val="00125943"/>
    <w:rsid w:val="00127C5B"/>
    <w:rsid w:val="00132D20"/>
    <w:rsid w:val="00134B30"/>
    <w:rsid w:val="00134FD7"/>
    <w:rsid w:val="0013620B"/>
    <w:rsid w:val="001408A8"/>
    <w:rsid w:val="00142545"/>
    <w:rsid w:val="0014282F"/>
    <w:rsid w:val="0014397E"/>
    <w:rsid w:val="00145432"/>
    <w:rsid w:val="001478B2"/>
    <w:rsid w:val="00150976"/>
    <w:rsid w:val="00150BBE"/>
    <w:rsid w:val="00150C35"/>
    <w:rsid w:val="00151409"/>
    <w:rsid w:val="00151CA6"/>
    <w:rsid w:val="00152FC8"/>
    <w:rsid w:val="00155948"/>
    <w:rsid w:val="001627D3"/>
    <w:rsid w:val="00162FE0"/>
    <w:rsid w:val="0016373B"/>
    <w:rsid w:val="00170342"/>
    <w:rsid w:val="00172C43"/>
    <w:rsid w:val="00173A77"/>
    <w:rsid w:val="0017427A"/>
    <w:rsid w:val="001744CA"/>
    <w:rsid w:val="001749AF"/>
    <w:rsid w:val="00175CFD"/>
    <w:rsid w:val="00175F5F"/>
    <w:rsid w:val="001777D8"/>
    <w:rsid w:val="0018039E"/>
    <w:rsid w:val="00181E47"/>
    <w:rsid w:val="001839B5"/>
    <w:rsid w:val="00185050"/>
    <w:rsid w:val="00185F86"/>
    <w:rsid w:val="00186CF1"/>
    <w:rsid w:val="00187F0E"/>
    <w:rsid w:val="00191399"/>
    <w:rsid w:val="00192611"/>
    <w:rsid w:val="001930D2"/>
    <w:rsid w:val="00194A27"/>
    <w:rsid w:val="00197EF1"/>
    <w:rsid w:val="001A02ED"/>
    <w:rsid w:val="001A1937"/>
    <w:rsid w:val="001A263A"/>
    <w:rsid w:val="001A2EB5"/>
    <w:rsid w:val="001A36FE"/>
    <w:rsid w:val="001A3E2E"/>
    <w:rsid w:val="001A4886"/>
    <w:rsid w:val="001A4FEF"/>
    <w:rsid w:val="001B0296"/>
    <w:rsid w:val="001B07C7"/>
    <w:rsid w:val="001B07DE"/>
    <w:rsid w:val="001B1154"/>
    <w:rsid w:val="001B20B0"/>
    <w:rsid w:val="001B727F"/>
    <w:rsid w:val="001B78A1"/>
    <w:rsid w:val="001C1736"/>
    <w:rsid w:val="001C1DA4"/>
    <w:rsid w:val="001C33E7"/>
    <w:rsid w:val="001C3B5D"/>
    <w:rsid w:val="001C4413"/>
    <w:rsid w:val="001C5A5B"/>
    <w:rsid w:val="001C6428"/>
    <w:rsid w:val="001C6B84"/>
    <w:rsid w:val="001D4194"/>
    <w:rsid w:val="001D4319"/>
    <w:rsid w:val="001D572B"/>
    <w:rsid w:val="001D7585"/>
    <w:rsid w:val="001E0C05"/>
    <w:rsid w:val="001E3837"/>
    <w:rsid w:val="001E3E08"/>
    <w:rsid w:val="001E3F69"/>
    <w:rsid w:val="001E56C2"/>
    <w:rsid w:val="001E63BF"/>
    <w:rsid w:val="001E744E"/>
    <w:rsid w:val="001F0E30"/>
    <w:rsid w:val="001F0E43"/>
    <w:rsid w:val="001F15DC"/>
    <w:rsid w:val="001F4124"/>
    <w:rsid w:val="001F44D4"/>
    <w:rsid w:val="001F6F7C"/>
    <w:rsid w:val="00202287"/>
    <w:rsid w:val="00203024"/>
    <w:rsid w:val="00204550"/>
    <w:rsid w:val="00205017"/>
    <w:rsid w:val="00205438"/>
    <w:rsid w:val="002062AF"/>
    <w:rsid w:val="002063F0"/>
    <w:rsid w:val="00207D04"/>
    <w:rsid w:val="00207DD9"/>
    <w:rsid w:val="00211F1C"/>
    <w:rsid w:val="00213D50"/>
    <w:rsid w:val="00220C09"/>
    <w:rsid w:val="00225358"/>
    <w:rsid w:val="002261E6"/>
    <w:rsid w:val="00226DC3"/>
    <w:rsid w:val="00227ED9"/>
    <w:rsid w:val="00230501"/>
    <w:rsid w:val="002339D1"/>
    <w:rsid w:val="00233ACA"/>
    <w:rsid w:val="00235704"/>
    <w:rsid w:val="002359B0"/>
    <w:rsid w:val="00235C97"/>
    <w:rsid w:val="00235F58"/>
    <w:rsid w:val="00235F62"/>
    <w:rsid w:val="00240060"/>
    <w:rsid w:val="00243A8A"/>
    <w:rsid w:val="00247965"/>
    <w:rsid w:val="002509F0"/>
    <w:rsid w:val="00251B5C"/>
    <w:rsid w:val="002530F4"/>
    <w:rsid w:val="00253653"/>
    <w:rsid w:val="00253BAC"/>
    <w:rsid w:val="0025542B"/>
    <w:rsid w:val="0025626F"/>
    <w:rsid w:val="00256A91"/>
    <w:rsid w:val="002603F9"/>
    <w:rsid w:val="002623C9"/>
    <w:rsid w:val="0026428F"/>
    <w:rsid w:val="002646B0"/>
    <w:rsid w:val="00265C3F"/>
    <w:rsid w:val="00267586"/>
    <w:rsid w:val="00267DB6"/>
    <w:rsid w:val="00270533"/>
    <w:rsid w:val="00271F95"/>
    <w:rsid w:val="002729C3"/>
    <w:rsid w:val="00273196"/>
    <w:rsid w:val="0027335E"/>
    <w:rsid w:val="002739FC"/>
    <w:rsid w:val="00273FBB"/>
    <w:rsid w:val="0027522F"/>
    <w:rsid w:val="002759DC"/>
    <w:rsid w:val="00280409"/>
    <w:rsid w:val="00281E10"/>
    <w:rsid w:val="002852EB"/>
    <w:rsid w:val="002861D3"/>
    <w:rsid w:val="00287848"/>
    <w:rsid w:val="00290E4C"/>
    <w:rsid w:val="00293D8B"/>
    <w:rsid w:val="002942BF"/>
    <w:rsid w:val="0029782F"/>
    <w:rsid w:val="0029786C"/>
    <w:rsid w:val="002A2523"/>
    <w:rsid w:val="002A4287"/>
    <w:rsid w:val="002A4B44"/>
    <w:rsid w:val="002A5FE4"/>
    <w:rsid w:val="002A6048"/>
    <w:rsid w:val="002A6253"/>
    <w:rsid w:val="002A62EA"/>
    <w:rsid w:val="002A647B"/>
    <w:rsid w:val="002A64F2"/>
    <w:rsid w:val="002A7BA2"/>
    <w:rsid w:val="002B18B4"/>
    <w:rsid w:val="002B1B84"/>
    <w:rsid w:val="002B1F08"/>
    <w:rsid w:val="002B2E16"/>
    <w:rsid w:val="002B4AA4"/>
    <w:rsid w:val="002B4E54"/>
    <w:rsid w:val="002B58F7"/>
    <w:rsid w:val="002C151B"/>
    <w:rsid w:val="002C1964"/>
    <w:rsid w:val="002C2691"/>
    <w:rsid w:val="002C2825"/>
    <w:rsid w:val="002C41E4"/>
    <w:rsid w:val="002C461D"/>
    <w:rsid w:val="002C4CD2"/>
    <w:rsid w:val="002C5671"/>
    <w:rsid w:val="002C57F2"/>
    <w:rsid w:val="002C62DA"/>
    <w:rsid w:val="002D1657"/>
    <w:rsid w:val="002D44D6"/>
    <w:rsid w:val="002D4D2D"/>
    <w:rsid w:val="002D682B"/>
    <w:rsid w:val="002D78B4"/>
    <w:rsid w:val="002D79E1"/>
    <w:rsid w:val="002E034F"/>
    <w:rsid w:val="002E03D7"/>
    <w:rsid w:val="002E3B90"/>
    <w:rsid w:val="002E5B25"/>
    <w:rsid w:val="002E621E"/>
    <w:rsid w:val="002E6941"/>
    <w:rsid w:val="002E7568"/>
    <w:rsid w:val="002E7BCB"/>
    <w:rsid w:val="002F04D7"/>
    <w:rsid w:val="002F4524"/>
    <w:rsid w:val="002F4F9A"/>
    <w:rsid w:val="00300A17"/>
    <w:rsid w:val="00300DE8"/>
    <w:rsid w:val="00301075"/>
    <w:rsid w:val="00303733"/>
    <w:rsid w:val="00304C84"/>
    <w:rsid w:val="00306010"/>
    <w:rsid w:val="003072A8"/>
    <w:rsid w:val="00307CF7"/>
    <w:rsid w:val="00310E92"/>
    <w:rsid w:val="0031173B"/>
    <w:rsid w:val="00311C3E"/>
    <w:rsid w:val="003120D8"/>
    <w:rsid w:val="00312B4A"/>
    <w:rsid w:val="003219E3"/>
    <w:rsid w:val="00323623"/>
    <w:rsid w:val="00326087"/>
    <w:rsid w:val="0032719C"/>
    <w:rsid w:val="003278E1"/>
    <w:rsid w:val="00330A2D"/>
    <w:rsid w:val="00330B2E"/>
    <w:rsid w:val="00330B59"/>
    <w:rsid w:val="003328A4"/>
    <w:rsid w:val="00332C49"/>
    <w:rsid w:val="00333FA6"/>
    <w:rsid w:val="00335AF3"/>
    <w:rsid w:val="00337E74"/>
    <w:rsid w:val="00340003"/>
    <w:rsid w:val="00340409"/>
    <w:rsid w:val="00341769"/>
    <w:rsid w:val="00342802"/>
    <w:rsid w:val="003433E3"/>
    <w:rsid w:val="00343E09"/>
    <w:rsid w:val="003469C4"/>
    <w:rsid w:val="00346C9E"/>
    <w:rsid w:val="0034708C"/>
    <w:rsid w:val="0035254D"/>
    <w:rsid w:val="0035442F"/>
    <w:rsid w:val="003544F2"/>
    <w:rsid w:val="00360437"/>
    <w:rsid w:val="003614ED"/>
    <w:rsid w:val="0036151C"/>
    <w:rsid w:val="003636FC"/>
    <w:rsid w:val="00363B0E"/>
    <w:rsid w:val="0036524C"/>
    <w:rsid w:val="00365CE5"/>
    <w:rsid w:val="00366A63"/>
    <w:rsid w:val="00371F39"/>
    <w:rsid w:val="00371F92"/>
    <w:rsid w:val="00374C54"/>
    <w:rsid w:val="00377473"/>
    <w:rsid w:val="0037775F"/>
    <w:rsid w:val="003804FB"/>
    <w:rsid w:val="00382FC0"/>
    <w:rsid w:val="00383978"/>
    <w:rsid w:val="00384AB1"/>
    <w:rsid w:val="00385E6D"/>
    <w:rsid w:val="003861E9"/>
    <w:rsid w:val="003911FB"/>
    <w:rsid w:val="00392E5E"/>
    <w:rsid w:val="003939DC"/>
    <w:rsid w:val="00395273"/>
    <w:rsid w:val="0039777F"/>
    <w:rsid w:val="003A0645"/>
    <w:rsid w:val="003A0D8F"/>
    <w:rsid w:val="003A345A"/>
    <w:rsid w:val="003A3569"/>
    <w:rsid w:val="003A3BED"/>
    <w:rsid w:val="003A40C4"/>
    <w:rsid w:val="003A53FA"/>
    <w:rsid w:val="003A6DDF"/>
    <w:rsid w:val="003B229A"/>
    <w:rsid w:val="003B2550"/>
    <w:rsid w:val="003B2851"/>
    <w:rsid w:val="003B2E90"/>
    <w:rsid w:val="003B3303"/>
    <w:rsid w:val="003C0602"/>
    <w:rsid w:val="003C09A4"/>
    <w:rsid w:val="003C25C8"/>
    <w:rsid w:val="003C26BA"/>
    <w:rsid w:val="003C347E"/>
    <w:rsid w:val="003C40BC"/>
    <w:rsid w:val="003D2108"/>
    <w:rsid w:val="003D3DE1"/>
    <w:rsid w:val="003D43F4"/>
    <w:rsid w:val="003D4CCD"/>
    <w:rsid w:val="003E1DFB"/>
    <w:rsid w:val="003E3023"/>
    <w:rsid w:val="003E434A"/>
    <w:rsid w:val="003E5FD1"/>
    <w:rsid w:val="003F2162"/>
    <w:rsid w:val="003F2483"/>
    <w:rsid w:val="003F5780"/>
    <w:rsid w:val="003F5C2F"/>
    <w:rsid w:val="003F61E2"/>
    <w:rsid w:val="003F6EBF"/>
    <w:rsid w:val="0040035B"/>
    <w:rsid w:val="00400767"/>
    <w:rsid w:val="00400FF3"/>
    <w:rsid w:val="00401592"/>
    <w:rsid w:val="00401B39"/>
    <w:rsid w:val="00401F8D"/>
    <w:rsid w:val="00403EC7"/>
    <w:rsid w:val="00404737"/>
    <w:rsid w:val="00404AC0"/>
    <w:rsid w:val="0040715A"/>
    <w:rsid w:val="0041082C"/>
    <w:rsid w:val="00412EE9"/>
    <w:rsid w:val="00413598"/>
    <w:rsid w:val="004142D1"/>
    <w:rsid w:val="00414D62"/>
    <w:rsid w:val="004151E7"/>
    <w:rsid w:val="0041672A"/>
    <w:rsid w:val="004168C6"/>
    <w:rsid w:val="00421282"/>
    <w:rsid w:val="004212E6"/>
    <w:rsid w:val="00421300"/>
    <w:rsid w:val="004225F2"/>
    <w:rsid w:val="00423062"/>
    <w:rsid w:val="00425599"/>
    <w:rsid w:val="00426AE9"/>
    <w:rsid w:val="004317F4"/>
    <w:rsid w:val="00431F70"/>
    <w:rsid w:val="004330C5"/>
    <w:rsid w:val="00435FDF"/>
    <w:rsid w:val="004417F5"/>
    <w:rsid w:val="00441812"/>
    <w:rsid w:val="00444B91"/>
    <w:rsid w:val="00444D72"/>
    <w:rsid w:val="00450A56"/>
    <w:rsid w:val="004529FE"/>
    <w:rsid w:val="00453191"/>
    <w:rsid w:val="004536D3"/>
    <w:rsid w:val="00454F59"/>
    <w:rsid w:val="004574D4"/>
    <w:rsid w:val="00460CF7"/>
    <w:rsid w:val="00462FA9"/>
    <w:rsid w:val="0046424E"/>
    <w:rsid w:val="004650B1"/>
    <w:rsid w:val="004654A9"/>
    <w:rsid w:val="00466CD9"/>
    <w:rsid w:val="00470049"/>
    <w:rsid w:val="00471C4F"/>
    <w:rsid w:val="00473C97"/>
    <w:rsid w:val="00474CAA"/>
    <w:rsid w:val="00475D91"/>
    <w:rsid w:val="00476316"/>
    <w:rsid w:val="004813F2"/>
    <w:rsid w:val="004840EA"/>
    <w:rsid w:val="004866AA"/>
    <w:rsid w:val="004877AD"/>
    <w:rsid w:val="00487B13"/>
    <w:rsid w:val="00487CDF"/>
    <w:rsid w:val="0049128D"/>
    <w:rsid w:val="00491BD8"/>
    <w:rsid w:val="0049242C"/>
    <w:rsid w:val="00492661"/>
    <w:rsid w:val="00494B84"/>
    <w:rsid w:val="004962D7"/>
    <w:rsid w:val="00497E9A"/>
    <w:rsid w:val="004A07F3"/>
    <w:rsid w:val="004A0A22"/>
    <w:rsid w:val="004A23AB"/>
    <w:rsid w:val="004A26B9"/>
    <w:rsid w:val="004A3BF6"/>
    <w:rsid w:val="004A3EC8"/>
    <w:rsid w:val="004A4250"/>
    <w:rsid w:val="004A4EB1"/>
    <w:rsid w:val="004A51E7"/>
    <w:rsid w:val="004A5714"/>
    <w:rsid w:val="004A583E"/>
    <w:rsid w:val="004A7813"/>
    <w:rsid w:val="004A7E77"/>
    <w:rsid w:val="004B1E35"/>
    <w:rsid w:val="004B3A16"/>
    <w:rsid w:val="004B3E63"/>
    <w:rsid w:val="004B4034"/>
    <w:rsid w:val="004B43E3"/>
    <w:rsid w:val="004B5BE2"/>
    <w:rsid w:val="004B673B"/>
    <w:rsid w:val="004B69BD"/>
    <w:rsid w:val="004B6BF2"/>
    <w:rsid w:val="004B7C76"/>
    <w:rsid w:val="004C01B4"/>
    <w:rsid w:val="004C36E8"/>
    <w:rsid w:val="004C3992"/>
    <w:rsid w:val="004C5ABD"/>
    <w:rsid w:val="004C7CF4"/>
    <w:rsid w:val="004D2C5A"/>
    <w:rsid w:val="004D3E0A"/>
    <w:rsid w:val="004D4E37"/>
    <w:rsid w:val="004D64B3"/>
    <w:rsid w:val="004D667C"/>
    <w:rsid w:val="004D674E"/>
    <w:rsid w:val="004D7E2E"/>
    <w:rsid w:val="004E0CE5"/>
    <w:rsid w:val="004E1FCE"/>
    <w:rsid w:val="004E5B0B"/>
    <w:rsid w:val="004E68F9"/>
    <w:rsid w:val="004F1700"/>
    <w:rsid w:val="004F1836"/>
    <w:rsid w:val="004F1C14"/>
    <w:rsid w:val="004F3520"/>
    <w:rsid w:val="004F463B"/>
    <w:rsid w:val="004F4AE7"/>
    <w:rsid w:val="004F4ED7"/>
    <w:rsid w:val="004F5FEC"/>
    <w:rsid w:val="004F62B8"/>
    <w:rsid w:val="0050076B"/>
    <w:rsid w:val="00502D31"/>
    <w:rsid w:val="00502FE2"/>
    <w:rsid w:val="00503655"/>
    <w:rsid w:val="00503A40"/>
    <w:rsid w:val="00503DBA"/>
    <w:rsid w:val="00504F72"/>
    <w:rsid w:val="00506AFD"/>
    <w:rsid w:val="00510CC0"/>
    <w:rsid w:val="00512066"/>
    <w:rsid w:val="00512E41"/>
    <w:rsid w:val="00513F7B"/>
    <w:rsid w:val="00514311"/>
    <w:rsid w:val="005149E1"/>
    <w:rsid w:val="00521C3F"/>
    <w:rsid w:val="00523722"/>
    <w:rsid w:val="00525EA0"/>
    <w:rsid w:val="0052675A"/>
    <w:rsid w:val="00530AC1"/>
    <w:rsid w:val="00530AEB"/>
    <w:rsid w:val="00531BAA"/>
    <w:rsid w:val="0053207C"/>
    <w:rsid w:val="00534A40"/>
    <w:rsid w:val="00535705"/>
    <w:rsid w:val="005366C2"/>
    <w:rsid w:val="00536974"/>
    <w:rsid w:val="00543F14"/>
    <w:rsid w:val="005522F1"/>
    <w:rsid w:val="005535DE"/>
    <w:rsid w:val="005538A7"/>
    <w:rsid w:val="0055465D"/>
    <w:rsid w:val="00554B6C"/>
    <w:rsid w:val="00554CD6"/>
    <w:rsid w:val="00555455"/>
    <w:rsid w:val="00555470"/>
    <w:rsid w:val="0055601F"/>
    <w:rsid w:val="00557813"/>
    <w:rsid w:val="00561D16"/>
    <w:rsid w:val="00564205"/>
    <w:rsid w:val="00567C36"/>
    <w:rsid w:val="00567F98"/>
    <w:rsid w:val="00570148"/>
    <w:rsid w:val="00570D42"/>
    <w:rsid w:val="00571337"/>
    <w:rsid w:val="00572087"/>
    <w:rsid w:val="00572729"/>
    <w:rsid w:val="00572851"/>
    <w:rsid w:val="00572CBA"/>
    <w:rsid w:val="00572F28"/>
    <w:rsid w:val="005730AB"/>
    <w:rsid w:val="0057497A"/>
    <w:rsid w:val="00575D74"/>
    <w:rsid w:val="00576EB0"/>
    <w:rsid w:val="00576FD7"/>
    <w:rsid w:val="00577616"/>
    <w:rsid w:val="00580693"/>
    <w:rsid w:val="005809F8"/>
    <w:rsid w:val="0058131F"/>
    <w:rsid w:val="005829E5"/>
    <w:rsid w:val="00583E5E"/>
    <w:rsid w:val="00590C4F"/>
    <w:rsid w:val="005913E3"/>
    <w:rsid w:val="005945E8"/>
    <w:rsid w:val="00595EB3"/>
    <w:rsid w:val="00596FB7"/>
    <w:rsid w:val="0059796C"/>
    <w:rsid w:val="005A07C7"/>
    <w:rsid w:val="005A1094"/>
    <w:rsid w:val="005A158B"/>
    <w:rsid w:val="005A18A8"/>
    <w:rsid w:val="005A5010"/>
    <w:rsid w:val="005A66DA"/>
    <w:rsid w:val="005B1331"/>
    <w:rsid w:val="005B34C8"/>
    <w:rsid w:val="005B3A1F"/>
    <w:rsid w:val="005B6422"/>
    <w:rsid w:val="005B6680"/>
    <w:rsid w:val="005B674D"/>
    <w:rsid w:val="005C1616"/>
    <w:rsid w:val="005C1B3A"/>
    <w:rsid w:val="005C4110"/>
    <w:rsid w:val="005C4B6B"/>
    <w:rsid w:val="005D08DC"/>
    <w:rsid w:val="005D2929"/>
    <w:rsid w:val="005D4A76"/>
    <w:rsid w:val="005D7313"/>
    <w:rsid w:val="005E02CE"/>
    <w:rsid w:val="005E1654"/>
    <w:rsid w:val="005E2A51"/>
    <w:rsid w:val="005E34B3"/>
    <w:rsid w:val="005E466A"/>
    <w:rsid w:val="005E6B54"/>
    <w:rsid w:val="005E754F"/>
    <w:rsid w:val="005F0A04"/>
    <w:rsid w:val="005F1228"/>
    <w:rsid w:val="005F33C9"/>
    <w:rsid w:val="005F3D99"/>
    <w:rsid w:val="005F5ED3"/>
    <w:rsid w:val="006001B3"/>
    <w:rsid w:val="00601AE5"/>
    <w:rsid w:val="0060350F"/>
    <w:rsid w:val="00603B97"/>
    <w:rsid w:val="00604B0F"/>
    <w:rsid w:val="00604C27"/>
    <w:rsid w:val="00605E39"/>
    <w:rsid w:val="00610024"/>
    <w:rsid w:val="00610A77"/>
    <w:rsid w:val="006134CF"/>
    <w:rsid w:val="00613E47"/>
    <w:rsid w:val="006146CA"/>
    <w:rsid w:val="00614F81"/>
    <w:rsid w:val="0061537F"/>
    <w:rsid w:val="006156F7"/>
    <w:rsid w:val="006158ED"/>
    <w:rsid w:val="006160A3"/>
    <w:rsid w:val="00616747"/>
    <w:rsid w:val="00617325"/>
    <w:rsid w:val="006177F7"/>
    <w:rsid w:val="0062159F"/>
    <w:rsid w:val="00623215"/>
    <w:rsid w:val="00624015"/>
    <w:rsid w:val="00624ABD"/>
    <w:rsid w:val="006256B1"/>
    <w:rsid w:val="006260DB"/>
    <w:rsid w:val="00626356"/>
    <w:rsid w:val="0062642C"/>
    <w:rsid w:val="00626EA7"/>
    <w:rsid w:val="00634D15"/>
    <w:rsid w:val="006351F3"/>
    <w:rsid w:val="00635EA5"/>
    <w:rsid w:val="00636117"/>
    <w:rsid w:val="00641E86"/>
    <w:rsid w:val="0064217E"/>
    <w:rsid w:val="00642979"/>
    <w:rsid w:val="00645283"/>
    <w:rsid w:val="006459D5"/>
    <w:rsid w:val="00646657"/>
    <w:rsid w:val="00646713"/>
    <w:rsid w:val="006477EE"/>
    <w:rsid w:val="00650533"/>
    <w:rsid w:val="00650FBC"/>
    <w:rsid w:val="0065141E"/>
    <w:rsid w:val="00653135"/>
    <w:rsid w:val="006536A2"/>
    <w:rsid w:val="006545B0"/>
    <w:rsid w:val="00654CED"/>
    <w:rsid w:val="00660348"/>
    <w:rsid w:val="006604C1"/>
    <w:rsid w:val="0066378A"/>
    <w:rsid w:val="006674BB"/>
    <w:rsid w:val="00667F16"/>
    <w:rsid w:val="00670FAB"/>
    <w:rsid w:val="00671072"/>
    <w:rsid w:val="00671594"/>
    <w:rsid w:val="0067167B"/>
    <w:rsid w:val="00671E63"/>
    <w:rsid w:val="006762CB"/>
    <w:rsid w:val="0067778A"/>
    <w:rsid w:val="006808BD"/>
    <w:rsid w:val="0068114C"/>
    <w:rsid w:val="00682105"/>
    <w:rsid w:val="0068216D"/>
    <w:rsid w:val="00682453"/>
    <w:rsid w:val="0068470E"/>
    <w:rsid w:val="00685219"/>
    <w:rsid w:val="0068527F"/>
    <w:rsid w:val="00685D09"/>
    <w:rsid w:val="006870B3"/>
    <w:rsid w:val="006879A5"/>
    <w:rsid w:val="00692797"/>
    <w:rsid w:val="00692D08"/>
    <w:rsid w:val="006938E5"/>
    <w:rsid w:val="00693DC5"/>
    <w:rsid w:val="00694BD6"/>
    <w:rsid w:val="006979DD"/>
    <w:rsid w:val="006979ED"/>
    <w:rsid w:val="006A04CE"/>
    <w:rsid w:val="006A06C3"/>
    <w:rsid w:val="006A197B"/>
    <w:rsid w:val="006A24E0"/>
    <w:rsid w:val="006A349B"/>
    <w:rsid w:val="006A4EB4"/>
    <w:rsid w:val="006B070B"/>
    <w:rsid w:val="006B1662"/>
    <w:rsid w:val="006B212E"/>
    <w:rsid w:val="006B3A4C"/>
    <w:rsid w:val="006B411E"/>
    <w:rsid w:val="006B42FC"/>
    <w:rsid w:val="006B4EC8"/>
    <w:rsid w:val="006B5102"/>
    <w:rsid w:val="006C0618"/>
    <w:rsid w:val="006C11E1"/>
    <w:rsid w:val="006C1B17"/>
    <w:rsid w:val="006C1FBB"/>
    <w:rsid w:val="006C5486"/>
    <w:rsid w:val="006C6067"/>
    <w:rsid w:val="006C667E"/>
    <w:rsid w:val="006D001D"/>
    <w:rsid w:val="006D04DA"/>
    <w:rsid w:val="006D171A"/>
    <w:rsid w:val="006D1ABC"/>
    <w:rsid w:val="006D4C38"/>
    <w:rsid w:val="006D65EF"/>
    <w:rsid w:val="006D7C32"/>
    <w:rsid w:val="006E0B77"/>
    <w:rsid w:val="006E2B1D"/>
    <w:rsid w:val="006E3DDC"/>
    <w:rsid w:val="006E4106"/>
    <w:rsid w:val="006E43A8"/>
    <w:rsid w:val="006E506B"/>
    <w:rsid w:val="006E5F4F"/>
    <w:rsid w:val="006E6948"/>
    <w:rsid w:val="006E7106"/>
    <w:rsid w:val="006E7519"/>
    <w:rsid w:val="006F04AD"/>
    <w:rsid w:val="006F1B49"/>
    <w:rsid w:val="006F571B"/>
    <w:rsid w:val="006F7746"/>
    <w:rsid w:val="0070076E"/>
    <w:rsid w:val="007018B6"/>
    <w:rsid w:val="00702B2E"/>
    <w:rsid w:val="007031A3"/>
    <w:rsid w:val="00703AC7"/>
    <w:rsid w:val="007060C5"/>
    <w:rsid w:val="00707CF9"/>
    <w:rsid w:val="00707D6D"/>
    <w:rsid w:val="00707DBC"/>
    <w:rsid w:val="00714FB9"/>
    <w:rsid w:val="00717640"/>
    <w:rsid w:val="0072062D"/>
    <w:rsid w:val="007242CF"/>
    <w:rsid w:val="007245AA"/>
    <w:rsid w:val="00725281"/>
    <w:rsid w:val="00726F23"/>
    <w:rsid w:val="0072778E"/>
    <w:rsid w:val="00727E0F"/>
    <w:rsid w:val="00731178"/>
    <w:rsid w:val="007312BC"/>
    <w:rsid w:val="0073210B"/>
    <w:rsid w:val="00732911"/>
    <w:rsid w:val="00737A9A"/>
    <w:rsid w:val="0074030C"/>
    <w:rsid w:val="007440C9"/>
    <w:rsid w:val="00744474"/>
    <w:rsid w:val="00744AF1"/>
    <w:rsid w:val="00745998"/>
    <w:rsid w:val="0074606E"/>
    <w:rsid w:val="00746605"/>
    <w:rsid w:val="00747D48"/>
    <w:rsid w:val="00750AD7"/>
    <w:rsid w:val="00752756"/>
    <w:rsid w:val="00753955"/>
    <w:rsid w:val="007540A6"/>
    <w:rsid w:val="00755C30"/>
    <w:rsid w:val="0075697C"/>
    <w:rsid w:val="00756CDD"/>
    <w:rsid w:val="00757482"/>
    <w:rsid w:val="00760970"/>
    <w:rsid w:val="00763507"/>
    <w:rsid w:val="00763BB1"/>
    <w:rsid w:val="00767104"/>
    <w:rsid w:val="007671A0"/>
    <w:rsid w:val="007704EF"/>
    <w:rsid w:val="00770A6C"/>
    <w:rsid w:val="007749F0"/>
    <w:rsid w:val="00775959"/>
    <w:rsid w:val="00776424"/>
    <w:rsid w:val="00776942"/>
    <w:rsid w:val="00777FB3"/>
    <w:rsid w:val="007804D2"/>
    <w:rsid w:val="00780BC2"/>
    <w:rsid w:val="00781507"/>
    <w:rsid w:val="00781ABE"/>
    <w:rsid w:val="007836C9"/>
    <w:rsid w:val="00785C0A"/>
    <w:rsid w:val="007864D7"/>
    <w:rsid w:val="00791159"/>
    <w:rsid w:val="00791934"/>
    <w:rsid w:val="0079516C"/>
    <w:rsid w:val="00797750"/>
    <w:rsid w:val="007A123B"/>
    <w:rsid w:val="007A196A"/>
    <w:rsid w:val="007A25EF"/>
    <w:rsid w:val="007A294B"/>
    <w:rsid w:val="007B3F0C"/>
    <w:rsid w:val="007B3F75"/>
    <w:rsid w:val="007B6DA5"/>
    <w:rsid w:val="007B732F"/>
    <w:rsid w:val="007C0895"/>
    <w:rsid w:val="007C1124"/>
    <w:rsid w:val="007C1383"/>
    <w:rsid w:val="007C1FED"/>
    <w:rsid w:val="007C31C0"/>
    <w:rsid w:val="007C3714"/>
    <w:rsid w:val="007C48B8"/>
    <w:rsid w:val="007C5ABA"/>
    <w:rsid w:val="007D050F"/>
    <w:rsid w:val="007D21B0"/>
    <w:rsid w:val="007D24DD"/>
    <w:rsid w:val="007D3CB1"/>
    <w:rsid w:val="007D45A7"/>
    <w:rsid w:val="007D6D18"/>
    <w:rsid w:val="007D72D3"/>
    <w:rsid w:val="007E5890"/>
    <w:rsid w:val="007F1C25"/>
    <w:rsid w:val="007F3188"/>
    <w:rsid w:val="007F3E56"/>
    <w:rsid w:val="007F41A7"/>
    <w:rsid w:val="007F626E"/>
    <w:rsid w:val="007F63EE"/>
    <w:rsid w:val="007F6D9D"/>
    <w:rsid w:val="007F79E9"/>
    <w:rsid w:val="007F7E37"/>
    <w:rsid w:val="00801928"/>
    <w:rsid w:val="00801FC4"/>
    <w:rsid w:val="00802723"/>
    <w:rsid w:val="00802A21"/>
    <w:rsid w:val="008030F0"/>
    <w:rsid w:val="008041E8"/>
    <w:rsid w:val="00806D9B"/>
    <w:rsid w:val="00810B21"/>
    <w:rsid w:val="0081277D"/>
    <w:rsid w:val="00814014"/>
    <w:rsid w:val="008144BF"/>
    <w:rsid w:val="00815C7B"/>
    <w:rsid w:val="00816A3A"/>
    <w:rsid w:val="00817FDB"/>
    <w:rsid w:val="00820BF3"/>
    <w:rsid w:val="00821774"/>
    <w:rsid w:val="008219F7"/>
    <w:rsid w:val="00827143"/>
    <w:rsid w:val="00827B66"/>
    <w:rsid w:val="00827F6B"/>
    <w:rsid w:val="00830F70"/>
    <w:rsid w:val="00832EEC"/>
    <w:rsid w:val="00833768"/>
    <w:rsid w:val="00835BF5"/>
    <w:rsid w:val="008364C2"/>
    <w:rsid w:val="00843EAB"/>
    <w:rsid w:val="008441E4"/>
    <w:rsid w:val="0084442E"/>
    <w:rsid w:val="00845552"/>
    <w:rsid w:val="00847218"/>
    <w:rsid w:val="00850D24"/>
    <w:rsid w:val="00852233"/>
    <w:rsid w:val="00861300"/>
    <w:rsid w:val="0086145F"/>
    <w:rsid w:val="00862348"/>
    <w:rsid w:val="00862913"/>
    <w:rsid w:val="00862D43"/>
    <w:rsid w:val="00863138"/>
    <w:rsid w:val="00863E09"/>
    <w:rsid w:val="0086480A"/>
    <w:rsid w:val="00865A89"/>
    <w:rsid w:val="0087020A"/>
    <w:rsid w:val="008725A7"/>
    <w:rsid w:val="00872D36"/>
    <w:rsid w:val="00872DBC"/>
    <w:rsid w:val="00873E1E"/>
    <w:rsid w:val="00874A3A"/>
    <w:rsid w:val="00875DC5"/>
    <w:rsid w:val="00876041"/>
    <w:rsid w:val="00877518"/>
    <w:rsid w:val="00880645"/>
    <w:rsid w:val="00880C2C"/>
    <w:rsid w:val="00880D52"/>
    <w:rsid w:val="00883BAD"/>
    <w:rsid w:val="00885A85"/>
    <w:rsid w:val="00886B49"/>
    <w:rsid w:val="00886EA3"/>
    <w:rsid w:val="00887DFA"/>
    <w:rsid w:val="008907B5"/>
    <w:rsid w:val="00891535"/>
    <w:rsid w:val="00891902"/>
    <w:rsid w:val="0089246F"/>
    <w:rsid w:val="00892800"/>
    <w:rsid w:val="0089307F"/>
    <w:rsid w:val="0089324E"/>
    <w:rsid w:val="00895994"/>
    <w:rsid w:val="008966B7"/>
    <w:rsid w:val="00896C4D"/>
    <w:rsid w:val="008A01C7"/>
    <w:rsid w:val="008A0C04"/>
    <w:rsid w:val="008A2560"/>
    <w:rsid w:val="008A4F3B"/>
    <w:rsid w:val="008A5126"/>
    <w:rsid w:val="008A66AC"/>
    <w:rsid w:val="008B0B14"/>
    <w:rsid w:val="008B134A"/>
    <w:rsid w:val="008B1B48"/>
    <w:rsid w:val="008B32F6"/>
    <w:rsid w:val="008B3BC4"/>
    <w:rsid w:val="008B3FB6"/>
    <w:rsid w:val="008B5DEC"/>
    <w:rsid w:val="008B6D40"/>
    <w:rsid w:val="008B7299"/>
    <w:rsid w:val="008C044F"/>
    <w:rsid w:val="008C0B33"/>
    <w:rsid w:val="008C100A"/>
    <w:rsid w:val="008C2D08"/>
    <w:rsid w:val="008C4638"/>
    <w:rsid w:val="008C468D"/>
    <w:rsid w:val="008C72B6"/>
    <w:rsid w:val="008C7F35"/>
    <w:rsid w:val="008D01C5"/>
    <w:rsid w:val="008D08F5"/>
    <w:rsid w:val="008D2BF3"/>
    <w:rsid w:val="008D5E9E"/>
    <w:rsid w:val="008D61BC"/>
    <w:rsid w:val="008D75BB"/>
    <w:rsid w:val="008E0380"/>
    <w:rsid w:val="008E2D0E"/>
    <w:rsid w:val="008E3209"/>
    <w:rsid w:val="008E413B"/>
    <w:rsid w:val="008E6EBC"/>
    <w:rsid w:val="008F489B"/>
    <w:rsid w:val="008F499F"/>
    <w:rsid w:val="008F4F52"/>
    <w:rsid w:val="008F51E2"/>
    <w:rsid w:val="008F5B8F"/>
    <w:rsid w:val="008F644C"/>
    <w:rsid w:val="008F7222"/>
    <w:rsid w:val="008F73EC"/>
    <w:rsid w:val="008F7D97"/>
    <w:rsid w:val="008F7DFE"/>
    <w:rsid w:val="00902321"/>
    <w:rsid w:val="00902F8F"/>
    <w:rsid w:val="00904A42"/>
    <w:rsid w:val="00907076"/>
    <w:rsid w:val="00910EA0"/>
    <w:rsid w:val="00912F2B"/>
    <w:rsid w:val="00913D05"/>
    <w:rsid w:val="0091414C"/>
    <w:rsid w:val="00914B20"/>
    <w:rsid w:val="00914BE7"/>
    <w:rsid w:val="009178A6"/>
    <w:rsid w:val="00917C1E"/>
    <w:rsid w:val="00917FB4"/>
    <w:rsid w:val="009210FA"/>
    <w:rsid w:val="00921BFC"/>
    <w:rsid w:val="00922766"/>
    <w:rsid w:val="00923012"/>
    <w:rsid w:val="00923501"/>
    <w:rsid w:val="00926F06"/>
    <w:rsid w:val="00927AB7"/>
    <w:rsid w:val="009303EC"/>
    <w:rsid w:val="009306DA"/>
    <w:rsid w:val="00931FDE"/>
    <w:rsid w:val="009328A8"/>
    <w:rsid w:val="0093528A"/>
    <w:rsid w:val="00936267"/>
    <w:rsid w:val="009374DA"/>
    <w:rsid w:val="00937BA0"/>
    <w:rsid w:val="00937E5A"/>
    <w:rsid w:val="00940072"/>
    <w:rsid w:val="00940CF1"/>
    <w:rsid w:val="00943458"/>
    <w:rsid w:val="009436EA"/>
    <w:rsid w:val="00943A5C"/>
    <w:rsid w:val="0094405F"/>
    <w:rsid w:val="00944249"/>
    <w:rsid w:val="009455B4"/>
    <w:rsid w:val="009470FB"/>
    <w:rsid w:val="00952E9A"/>
    <w:rsid w:val="00953E0F"/>
    <w:rsid w:val="00954B96"/>
    <w:rsid w:val="0095669C"/>
    <w:rsid w:val="0095783C"/>
    <w:rsid w:val="00961751"/>
    <w:rsid w:val="009636A9"/>
    <w:rsid w:val="0096405B"/>
    <w:rsid w:val="00964CB2"/>
    <w:rsid w:val="00964E1C"/>
    <w:rsid w:val="00965D07"/>
    <w:rsid w:val="00965D33"/>
    <w:rsid w:val="00966EF1"/>
    <w:rsid w:val="00967882"/>
    <w:rsid w:val="0096794D"/>
    <w:rsid w:val="00967DC1"/>
    <w:rsid w:val="00970B31"/>
    <w:rsid w:val="009715EF"/>
    <w:rsid w:val="009733BE"/>
    <w:rsid w:val="00975060"/>
    <w:rsid w:val="009755FA"/>
    <w:rsid w:val="009824B0"/>
    <w:rsid w:val="00982DA0"/>
    <w:rsid w:val="00983222"/>
    <w:rsid w:val="00983DAD"/>
    <w:rsid w:val="00984980"/>
    <w:rsid w:val="00985BD5"/>
    <w:rsid w:val="00985D2D"/>
    <w:rsid w:val="009864A9"/>
    <w:rsid w:val="0098656F"/>
    <w:rsid w:val="00990834"/>
    <w:rsid w:val="009908BA"/>
    <w:rsid w:val="009928DA"/>
    <w:rsid w:val="00992BB0"/>
    <w:rsid w:val="009938D0"/>
    <w:rsid w:val="00995CC4"/>
    <w:rsid w:val="0099610A"/>
    <w:rsid w:val="00996BC0"/>
    <w:rsid w:val="009A0565"/>
    <w:rsid w:val="009A15EA"/>
    <w:rsid w:val="009A27C5"/>
    <w:rsid w:val="009A3164"/>
    <w:rsid w:val="009A4BE1"/>
    <w:rsid w:val="009A768D"/>
    <w:rsid w:val="009A7F27"/>
    <w:rsid w:val="009B1812"/>
    <w:rsid w:val="009B1C94"/>
    <w:rsid w:val="009B4F95"/>
    <w:rsid w:val="009B5055"/>
    <w:rsid w:val="009B54B9"/>
    <w:rsid w:val="009B7DF7"/>
    <w:rsid w:val="009C09E4"/>
    <w:rsid w:val="009C0F8B"/>
    <w:rsid w:val="009C7765"/>
    <w:rsid w:val="009C7D28"/>
    <w:rsid w:val="009D2759"/>
    <w:rsid w:val="009D28E3"/>
    <w:rsid w:val="009D3663"/>
    <w:rsid w:val="009D4ED9"/>
    <w:rsid w:val="009D500A"/>
    <w:rsid w:val="009D614A"/>
    <w:rsid w:val="009D6F8C"/>
    <w:rsid w:val="009D750F"/>
    <w:rsid w:val="009E0D84"/>
    <w:rsid w:val="009E282B"/>
    <w:rsid w:val="009E2EED"/>
    <w:rsid w:val="009E42F9"/>
    <w:rsid w:val="009E493A"/>
    <w:rsid w:val="009E5351"/>
    <w:rsid w:val="009E6358"/>
    <w:rsid w:val="009E7F9E"/>
    <w:rsid w:val="009F038F"/>
    <w:rsid w:val="009F066C"/>
    <w:rsid w:val="009F185E"/>
    <w:rsid w:val="009F1F76"/>
    <w:rsid w:val="009F269D"/>
    <w:rsid w:val="009F2D80"/>
    <w:rsid w:val="009F4F0D"/>
    <w:rsid w:val="009F7DF3"/>
    <w:rsid w:val="00A00F87"/>
    <w:rsid w:val="00A00F93"/>
    <w:rsid w:val="00A023CA"/>
    <w:rsid w:val="00A02467"/>
    <w:rsid w:val="00A04D12"/>
    <w:rsid w:val="00A065EA"/>
    <w:rsid w:val="00A06C3E"/>
    <w:rsid w:val="00A10636"/>
    <w:rsid w:val="00A10E37"/>
    <w:rsid w:val="00A11896"/>
    <w:rsid w:val="00A12E3B"/>
    <w:rsid w:val="00A15BC6"/>
    <w:rsid w:val="00A163B5"/>
    <w:rsid w:val="00A20CD5"/>
    <w:rsid w:val="00A219B2"/>
    <w:rsid w:val="00A21C3F"/>
    <w:rsid w:val="00A2303A"/>
    <w:rsid w:val="00A248D1"/>
    <w:rsid w:val="00A24E6E"/>
    <w:rsid w:val="00A25B12"/>
    <w:rsid w:val="00A275D2"/>
    <w:rsid w:val="00A27D50"/>
    <w:rsid w:val="00A307DD"/>
    <w:rsid w:val="00A31DDE"/>
    <w:rsid w:val="00A3507B"/>
    <w:rsid w:val="00A37517"/>
    <w:rsid w:val="00A37624"/>
    <w:rsid w:val="00A3762D"/>
    <w:rsid w:val="00A407B6"/>
    <w:rsid w:val="00A41BC5"/>
    <w:rsid w:val="00A42929"/>
    <w:rsid w:val="00A43083"/>
    <w:rsid w:val="00A442B8"/>
    <w:rsid w:val="00A468C1"/>
    <w:rsid w:val="00A47FB8"/>
    <w:rsid w:val="00A523FE"/>
    <w:rsid w:val="00A525FE"/>
    <w:rsid w:val="00A528E9"/>
    <w:rsid w:val="00A531C3"/>
    <w:rsid w:val="00A536B2"/>
    <w:rsid w:val="00A53EE5"/>
    <w:rsid w:val="00A54301"/>
    <w:rsid w:val="00A57C3F"/>
    <w:rsid w:val="00A60CC2"/>
    <w:rsid w:val="00A61805"/>
    <w:rsid w:val="00A61E5C"/>
    <w:rsid w:val="00A64C1E"/>
    <w:rsid w:val="00A66DDD"/>
    <w:rsid w:val="00A676D7"/>
    <w:rsid w:val="00A67C90"/>
    <w:rsid w:val="00A7003F"/>
    <w:rsid w:val="00A705D2"/>
    <w:rsid w:val="00A729CB"/>
    <w:rsid w:val="00A75944"/>
    <w:rsid w:val="00A822B8"/>
    <w:rsid w:val="00A84B6B"/>
    <w:rsid w:val="00A901B3"/>
    <w:rsid w:val="00A908A8"/>
    <w:rsid w:val="00A90A4B"/>
    <w:rsid w:val="00A91316"/>
    <w:rsid w:val="00A92D14"/>
    <w:rsid w:val="00A930B3"/>
    <w:rsid w:val="00A93E19"/>
    <w:rsid w:val="00A9510F"/>
    <w:rsid w:val="00A96B78"/>
    <w:rsid w:val="00AA2694"/>
    <w:rsid w:val="00AA415B"/>
    <w:rsid w:val="00AA4552"/>
    <w:rsid w:val="00AA5C52"/>
    <w:rsid w:val="00AA679C"/>
    <w:rsid w:val="00AB0731"/>
    <w:rsid w:val="00AB1663"/>
    <w:rsid w:val="00AB4505"/>
    <w:rsid w:val="00AB550D"/>
    <w:rsid w:val="00AB6072"/>
    <w:rsid w:val="00AC0904"/>
    <w:rsid w:val="00AC28BC"/>
    <w:rsid w:val="00AC2FB0"/>
    <w:rsid w:val="00AC48C4"/>
    <w:rsid w:val="00AC5864"/>
    <w:rsid w:val="00AC5D4F"/>
    <w:rsid w:val="00AC715E"/>
    <w:rsid w:val="00AD1AC0"/>
    <w:rsid w:val="00AD304E"/>
    <w:rsid w:val="00AD39B1"/>
    <w:rsid w:val="00AD40D0"/>
    <w:rsid w:val="00AD4583"/>
    <w:rsid w:val="00AD5216"/>
    <w:rsid w:val="00AD6354"/>
    <w:rsid w:val="00AE0801"/>
    <w:rsid w:val="00AE1389"/>
    <w:rsid w:val="00AE26A8"/>
    <w:rsid w:val="00AE38CE"/>
    <w:rsid w:val="00AE4551"/>
    <w:rsid w:val="00AE4812"/>
    <w:rsid w:val="00AE57C7"/>
    <w:rsid w:val="00AF01E1"/>
    <w:rsid w:val="00AF146D"/>
    <w:rsid w:val="00AF18C1"/>
    <w:rsid w:val="00AF29C6"/>
    <w:rsid w:val="00AF2F47"/>
    <w:rsid w:val="00AF34B1"/>
    <w:rsid w:val="00AF547E"/>
    <w:rsid w:val="00AF6159"/>
    <w:rsid w:val="00AF6971"/>
    <w:rsid w:val="00AF7C72"/>
    <w:rsid w:val="00B01171"/>
    <w:rsid w:val="00B01DFC"/>
    <w:rsid w:val="00B04E90"/>
    <w:rsid w:val="00B06876"/>
    <w:rsid w:val="00B069E1"/>
    <w:rsid w:val="00B06D52"/>
    <w:rsid w:val="00B06D8E"/>
    <w:rsid w:val="00B06F27"/>
    <w:rsid w:val="00B0722E"/>
    <w:rsid w:val="00B1009C"/>
    <w:rsid w:val="00B11429"/>
    <w:rsid w:val="00B14B9C"/>
    <w:rsid w:val="00B155E2"/>
    <w:rsid w:val="00B16B10"/>
    <w:rsid w:val="00B1701C"/>
    <w:rsid w:val="00B20A90"/>
    <w:rsid w:val="00B20EFC"/>
    <w:rsid w:val="00B22A37"/>
    <w:rsid w:val="00B23DE2"/>
    <w:rsid w:val="00B249F9"/>
    <w:rsid w:val="00B24FDF"/>
    <w:rsid w:val="00B26B04"/>
    <w:rsid w:val="00B27230"/>
    <w:rsid w:val="00B27F30"/>
    <w:rsid w:val="00B3268D"/>
    <w:rsid w:val="00B32A0B"/>
    <w:rsid w:val="00B34544"/>
    <w:rsid w:val="00B34AFF"/>
    <w:rsid w:val="00B34DA8"/>
    <w:rsid w:val="00B4076D"/>
    <w:rsid w:val="00B41659"/>
    <w:rsid w:val="00B424D0"/>
    <w:rsid w:val="00B44FCC"/>
    <w:rsid w:val="00B4537B"/>
    <w:rsid w:val="00B479C6"/>
    <w:rsid w:val="00B50799"/>
    <w:rsid w:val="00B50D1C"/>
    <w:rsid w:val="00B5371E"/>
    <w:rsid w:val="00B568EE"/>
    <w:rsid w:val="00B56F4C"/>
    <w:rsid w:val="00B62002"/>
    <w:rsid w:val="00B6448A"/>
    <w:rsid w:val="00B64578"/>
    <w:rsid w:val="00B65773"/>
    <w:rsid w:val="00B67CB7"/>
    <w:rsid w:val="00B70006"/>
    <w:rsid w:val="00B703A6"/>
    <w:rsid w:val="00B717D9"/>
    <w:rsid w:val="00B72D8D"/>
    <w:rsid w:val="00B7432A"/>
    <w:rsid w:val="00B75CE4"/>
    <w:rsid w:val="00B82552"/>
    <w:rsid w:val="00B847BC"/>
    <w:rsid w:val="00B87D2A"/>
    <w:rsid w:val="00B90642"/>
    <w:rsid w:val="00B9095A"/>
    <w:rsid w:val="00B91BCA"/>
    <w:rsid w:val="00B91DF7"/>
    <w:rsid w:val="00B92730"/>
    <w:rsid w:val="00B93231"/>
    <w:rsid w:val="00B93373"/>
    <w:rsid w:val="00BA00F1"/>
    <w:rsid w:val="00BA19BA"/>
    <w:rsid w:val="00BA22CD"/>
    <w:rsid w:val="00BA26AC"/>
    <w:rsid w:val="00BA4CC2"/>
    <w:rsid w:val="00BA57A4"/>
    <w:rsid w:val="00BA5C3D"/>
    <w:rsid w:val="00BB06BE"/>
    <w:rsid w:val="00BB163F"/>
    <w:rsid w:val="00BB28F5"/>
    <w:rsid w:val="00BB54AE"/>
    <w:rsid w:val="00BB5CCC"/>
    <w:rsid w:val="00BB6214"/>
    <w:rsid w:val="00BB674D"/>
    <w:rsid w:val="00BB6FAD"/>
    <w:rsid w:val="00BB70AE"/>
    <w:rsid w:val="00BB7148"/>
    <w:rsid w:val="00BB7A84"/>
    <w:rsid w:val="00BB7C5A"/>
    <w:rsid w:val="00BC0580"/>
    <w:rsid w:val="00BC2936"/>
    <w:rsid w:val="00BC2D2F"/>
    <w:rsid w:val="00BC3058"/>
    <w:rsid w:val="00BC4BC5"/>
    <w:rsid w:val="00BC618C"/>
    <w:rsid w:val="00BC668D"/>
    <w:rsid w:val="00BD0880"/>
    <w:rsid w:val="00BD41A3"/>
    <w:rsid w:val="00BD47E4"/>
    <w:rsid w:val="00BD6E58"/>
    <w:rsid w:val="00BE011D"/>
    <w:rsid w:val="00BE1CE7"/>
    <w:rsid w:val="00BE4909"/>
    <w:rsid w:val="00BE62F1"/>
    <w:rsid w:val="00BE6845"/>
    <w:rsid w:val="00BF02ED"/>
    <w:rsid w:val="00BF150C"/>
    <w:rsid w:val="00BF1EC8"/>
    <w:rsid w:val="00BF314E"/>
    <w:rsid w:val="00BF3507"/>
    <w:rsid w:val="00BF3723"/>
    <w:rsid w:val="00BF45E3"/>
    <w:rsid w:val="00BF4615"/>
    <w:rsid w:val="00BF47EA"/>
    <w:rsid w:val="00BF6183"/>
    <w:rsid w:val="00BF700F"/>
    <w:rsid w:val="00C02FDF"/>
    <w:rsid w:val="00C05D13"/>
    <w:rsid w:val="00C06A5E"/>
    <w:rsid w:val="00C07810"/>
    <w:rsid w:val="00C07DF7"/>
    <w:rsid w:val="00C110CF"/>
    <w:rsid w:val="00C1247A"/>
    <w:rsid w:val="00C128BA"/>
    <w:rsid w:val="00C12B4F"/>
    <w:rsid w:val="00C135B6"/>
    <w:rsid w:val="00C13671"/>
    <w:rsid w:val="00C13C97"/>
    <w:rsid w:val="00C14851"/>
    <w:rsid w:val="00C1499B"/>
    <w:rsid w:val="00C14CEA"/>
    <w:rsid w:val="00C1588A"/>
    <w:rsid w:val="00C163FC"/>
    <w:rsid w:val="00C16FED"/>
    <w:rsid w:val="00C21B3A"/>
    <w:rsid w:val="00C22576"/>
    <w:rsid w:val="00C225E9"/>
    <w:rsid w:val="00C2315C"/>
    <w:rsid w:val="00C240F4"/>
    <w:rsid w:val="00C24558"/>
    <w:rsid w:val="00C245ED"/>
    <w:rsid w:val="00C2619E"/>
    <w:rsid w:val="00C30F01"/>
    <w:rsid w:val="00C30FAA"/>
    <w:rsid w:val="00C310AB"/>
    <w:rsid w:val="00C33951"/>
    <w:rsid w:val="00C358E1"/>
    <w:rsid w:val="00C35D3B"/>
    <w:rsid w:val="00C4054B"/>
    <w:rsid w:val="00C41365"/>
    <w:rsid w:val="00C4455F"/>
    <w:rsid w:val="00C44DAC"/>
    <w:rsid w:val="00C466ED"/>
    <w:rsid w:val="00C47BA5"/>
    <w:rsid w:val="00C51480"/>
    <w:rsid w:val="00C51981"/>
    <w:rsid w:val="00C52068"/>
    <w:rsid w:val="00C522D0"/>
    <w:rsid w:val="00C53D0A"/>
    <w:rsid w:val="00C56227"/>
    <w:rsid w:val="00C576BB"/>
    <w:rsid w:val="00C64E40"/>
    <w:rsid w:val="00C655F9"/>
    <w:rsid w:val="00C67B1C"/>
    <w:rsid w:val="00C70B7D"/>
    <w:rsid w:val="00C71F13"/>
    <w:rsid w:val="00C74990"/>
    <w:rsid w:val="00C755C2"/>
    <w:rsid w:val="00C76323"/>
    <w:rsid w:val="00C7768B"/>
    <w:rsid w:val="00C77D8A"/>
    <w:rsid w:val="00C83AA7"/>
    <w:rsid w:val="00C843FB"/>
    <w:rsid w:val="00C84AA3"/>
    <w:rsid w:val="00C84FB0"/>
    <w:rsid w:val="00C919FC"/>
    <w:rsid w:val="00C948C2"/>
    <w:rsid w:val="00C958B5"/>
    <w:rsid w:val="00CA0315"/>
    <w:rsid w:val="00CA19E3"/>
    <w:rsid w:val="00CA36F9"/>
    <w:rsid w:val="00CA3F1A"/>
    <w:rsid w:val="00CA4173"/>
    <w:rsid w:val="00CA4B87"/>
    <w:rsid w:val="00CA4FDC"/>
    <w:rsid w:val="00CA53F1"/>
    <w:rsid w:val="00CA5F9D"/>
    <w:rsid w:val="00CA6032"/>
    <w:rsid w:val="00CA6C52"/>
    <w:rsid w:val="00CB0AFF"/>
    <w:rsid w:val="00CB1770"/>
    <w:rsid w:val="00CB2D84"/>
    <w:rsid w:val="00CC11C4"/>
    <w:rsid w:val="00CC19CF"/>
    <w:rsid w:val="00CC1D01"/>
    <w:rsid w:val="00CC253A"/>
    <w:rsid w:val="00CC3BB3"/>
    <w:rsid w:val="00CC4DD4"/>
    <w:rsid w:val="00CC4DED"/>
    <w:rsid w:val="00CC78BB"/>
    <w:rsid w:val="00CD2DA3"/>
    <w:rsid w:val="00CD4654"/>
    <w:rsid w:val="00CD6CDB"/>
    <w:rsid w:val="00CE00BF"/>
    <w:rsid w:val="00CE12C1"/>
    <w:rsid w:val="00CE22DA"/>
    <w:rsid w:val="00CE3138"/>
    <w:rsid w:val="00CE6BBD"/>
    <w:rsid w:val="00CF1554"/>
    <w:rsid w:val="00CF176D"/>
    <w:rsid w:val="00CF39DE"/>
    <w:rsid w:val="00CF4E4F"/>
    <w:rsid w:val="00D01E68"/>
    <w:rsid w:val="00D024A3"/>
    <w:rsid w:val="00D02874"/>
    <w:rsid w:val="00D02A08"/>
    <w:rsid w:val="00D031CC"/>
    <w:rsid w:val="00D04A2A"/>
    <w:rsid w:val="00D06401"/>
    <w:rsid w:val="00D06F60"/>
    <w:rsid w:val="00D07EC6"/>
    <w:rsid w:val="00D1073A"/>
    <w:rsid w:val="00D10941"/>
    <w:rsid w:val="00D1359D"/>
    <w:rsid w:val="00D179CB"/>
    <w:rsid w:val="00D25C8B"/>
    <w:rsid w:val="00D26C1D"/>
    <w:rsid w:val="00D27170"/>
    <w:rsid w:val="00D32097"/>
    <w:rsid w:val="00D32C0C"/>
    <w:rsid w:val="00D33089"/>
    <w:rsid w:val="00D330C2"/>
    <w:rsid w:val="00D35313"/>
    <w:rsid w:val="00D35E91"/>
    <w:rsid w:val="00D366D3"/>
    <w:rsid w:val="00D370EF"/>
    <w:rsid w:val="00D41830"/>
    <w:rsid w:val="00D420DA"/>
    <w:rsid w:val="00D4244C"/>
    <w:rsid w:val="00D4482B"/>
    <w:rsid w:val="00D4634F"/>
    <w:rsid w:val="00D4649B"/>
    <w:rsid w:val="00D46A99"/>
    <w:rsid w:val="00D47AA9"/>
    <w:rsid w:val="00D50289"/>
    <w:rsid w:val="00D502DF"/>
    <w:rsid w:val="00D50355"/>
    <w:rsid w:val="00D50991"/>
    <w:rsid w:val="00D54F4C"/>
    <w:rsid w:val="00D61731"/>
    <w:rsid w:val="00D62FA1"/>
    <w:rsid w:val="00D62FB1"/>
    <w:rsid w:val="00D63289"/>
    <w:rsid w:val="00D6386B"/>
    <w:rsid w:val="00D63A65"/>
    <w:rsid w:val="00D64B1C"/>
    <w:rsid w:val="00D65F11"/>
    <w:rsid w:val="00D66BEF"/>
    <w:rsid w:val="00D66E0A"/>
    <w:rsid w:val="00D66F5B"/>
    <w:rsid w:val="00D7026D"/>
    <w:rsid w:val="00D71C30"/>
    <w:rsid w:val="00D73CDA"/>
    <w:rsid w:val="00D756AA"/>
    <w:rsid w:val="00D77C2D"/>
    <w:rsid w:val="00D81D88"/>
    <w:rsid w:val="00D8219D"/>
    <w:rsid w:val="00D825A8"/>
    <w:rsid w:val="00D82972"/>
    <w:rsid w:val="00D8513D"/>
    <w:rsid w:val="00D85781"/>
    <w:rsid w:val="00D879D3"/>
    <w:rsid w:val="00D90B34"/>
    <w:rsid w:val="00D91609"/>
    <w:rsid w:val="00D91C67"/>
    <w:rsid w:val="00D949F2"/>
    <w:rsid w:val="00D95270"/>
    <w:rsid w:val="00D95A49"/>
    <w:rsid w:val="00D9785E"/>
    <w:rsid w:val="00D97C18"/>
    <w:rsid w:val="00DA19F6"/>
    <w:rsid w:val="00DA2121"/>
    <w:rsid w:val="00DA2BAA"/>
    <w:rsid w:val="00DA2F10"/>
    <w:rsid w:val="00DA31EC"/>
    <w:rsid w:val="00DA3991"/>
    <w:rsid w:val="00DA795E"/>
    <w:rsid w:val="00DA7C01"/>
    <w:rsid w:val="00DB10CA"/>
    <w:rsid w:val="00DB2349"/>
    <w:rsid w:val="00DB2409"/>
    <w:rsid w:val="00DB3B8E"/>
    <w:rsid w:val="00DB4103"/>
    <w:rsid w:val="00DB443D"/>
    <w:rsid w:val="00DB4916"/>
    <w:rsid w:val="00DB4EEE"/>
    <w:rsid w:val="00DC1E5E"/>
    <w:rsid w:val="00DC40FB"/>
    <w:rsid w:val="00DC5D82"/>
    <w:rsid w:val="00DD285D"/>
    <w:rsid w:val="00DD4BB1"/>
    <w:rsid w:val="00DD582D"/>
    <w:rsid w:val="00DD6384"/>
    <w:rsid w:val="00DD779B"/>
    <w:rsid w:val="00DE1100"/>
    <w:rsid w:val="00DE41DA"/>
    <w:rsid w:val="00DE4C70"/>
    <w:rsid w:val="00DE516F"/>
    <w:rsid w:val="00DE553E"/>
    <w:rsid w:val="00DE6326"/>
    <w:rsid w:val="00DE704E"/>
    <w:rsid w:val="00DE72B2"/>
    <w:rsid w:val="00DE7D72"/>
    <w:rsid w:val="00DF05BA"/>
    <w:rsid w:val="00DF06F1"/>
    <w:rsid w:val="00DF2072"/>
    <w:rsid w:val="00DF3162"/>
    <w:rsid w:val="00DF4B93"/>
    <w:rsid w:val="00DF54EC"/>
    <w:rsid w:val="00DF563A"/>
    <w:rsid w:val="00DF57A2"/>
    <w:rsid w:val="00DF6CB9"/>
    <w:rsid w:val="00E00598"/>
    <w:rsid w:val="00E00A1F"/>
    <w:rsid w:val="00E04828"/>
    <w:rsid w:val="00E05138"/>
    <w:rsid w:val="00E06085"/>
    <w:rsid w:val="00E07F13"/>
    <w:rsid w:val="00E10C23"/>
    <w:rsid w:val="00E12CBE"/>
    <w:rsid w:val="00E12F48"/>
    <w:rsid w:val="00E14589"/>
    <w:rsid w:val="00E1504F"/>
    <w:rsid w:val="00E1565A"/>
    <w:rsid w:val="00E15853"/>
    <w:rsid w:val="00E169DC"/>
    <w:rsid w:val="00E17A1F"/>
    <w:rsid w:val="00E17C70"/>
    <w:rsid w:val="00E20141"/>
    <w:rsid w:val="00E2064E"/>
    <w:rsid w:val="00E20EA7"/>
    <w:rsid w:val="00E21BB1"/>
    <w:rsid w:val="00E23640"/>
    <w:rsid w:val="00E25E48"/>
    <w:rsid w:val="00E26C6A"/>
    <w:rsid w:val="00E31B9F"/>
    <w:rsid w:val="00E32C81"/>
    <w:rsid w:val="00E3476B"/>
    <w:rsid w:val="00E34992"/>
    <w:rsid w:val="00E34F15"/>
    <w:rsid w:val="00E3719A"/>
    <w:rsid w:val="00E4297C"/>
    <w:rsid w:val="00E43371"/>
    <w:rsid w:val="00E4351C"/>
    <w:rsid w:val="00E46EAE"/>
    <w:rsid w:val="00E47233"/>
    <w:rsid w:val="00E509F9"/>
    <w:rsid w:val="00E531C6"/>
    <w:rsid w:val="00E55EEF"/>
    <w:rsid w:val="00E56639"/>
    <w:rsid w:val="00E61628"/>
    <w:rsid w:val="00E631C0"/>
    <w:rsid w:val="00E636F3"/>
    <w:rsid w:val="00E65FB3"/>
    <w:rsid w:val="00E6677A"/>
    <w:rsid w:val="00E66884"/>
    <w:rsid w:val="00E675E5"/>
    <w:rsid w:val="00E6778C"/>
    <w:rsid w:val="00E70299"/>
    <w:rsid w:val="00E70F2F"/>
    <w:rsid w:val="00E7183C"/>
    <w:rsid w:val="00E7288B"/>
    <w:rsid w:val="00E73F70"/>
    <w:rsid w:val="00E76991"/>
    <w:rsid w:val="00E76CF7"/>
    <w:rsid w:val="00E801B1"/>
    <w:rsid w:val="00E805C4"/>
    <w:rsid w:val="00E8197B"/>
    <w:rsid w:val="00E83105"/>
    <w:rsid w:val="00E85D3B"/>
    <w:rsid w:val="00E87ADE"/>
    <w:rsid w:val="00E90FED"/>
    <w:rsid w:val="00E9230C"/>
    <w:rsid w:val="00E95F06"/>
    <w:rsid w:val="00E971DA"/>
    <w:rsid w:val="00EA096A"/>
    <w:rsid w:val="00EA0E26"/>
    <w:rsid w:val="00EA1449"/>
    <w:rsid w:val="00EA1636"/>
    <w:rsid w:val="00EA220B"/>
    <w:rsid w:val="00EA6092"/>
    <w:rsid w:val="00EA7517"/>
    <w:rsid w:val="00EA7BC9"/>
    <w:rsid w:val="00EB103B"/>
    <w:rsid w:val="00EB287E"/>
    <w:rsid w:val="00EB553B"/>
    <w:rsid w:val="00EB5BFE"/>
    <w:rsid w:val="00EB7491"/>
    <w:rsid w:val="00EC25B9"/>
    <w:rsid w:val="00EC4122"/>
    <w:rsid w:val="00EC61CE"/>
    <w:rsid w:val="00EC7ECD"/>
    <w:rsid w:val="00ED18AC"/>
    <w:rsid w:val="00ED298B"/>
    <w:rsid w:val="00ED5833"/>
    <w:rsid w:val="00ED59A7"/>
    <w:rsid w:val="00ED670D"/>
    <w:rsid w:val="00EE0C22"/>
    <w:rsid w:val="00EE7D80"/>
    <w:rsid w:val="00EF024D"/>
    <w:rsid w:val="00EF0400"/>
    <w:rsid w:val="00EF0960"/>
    <w:rsid w:val="00EF2BD1"/>
    <w:rsid w:val="00EF2BEE"/>
    <w:rsid w:val="00EF488E"/>
    <w:rsid w:val="00EF4F43"/>
    <w:rsid w:val="00EF5EB5"/>
    <w:rsid w:val="00EF5FCA"/>
    <w:rsid w:val="00EF605C"/>
    <w:rsid w:val="00EF7EEC"/>
    <w:rsid w:val="00F00AD9"/>
    <w:rsid w:val="00F04722"/>
    <w:rsid w:val="00F05F22"/>
    <w:rsid w:val="00F06418"/>
    <w:rsid w:val="00F072E6"/>
    <w:rsid w:val="00F07C47"/>
    <w:rsid w:val="00F11779"/>
    <w:rsid w:val="00F140BD"/>
    <w:rsid w:val="00F15112"/>
    <w:rsid w:val="00F23168"/>
    <w:rsid w:val="00F245B7"/>
    <w:rsid w:val="00F2575A"/>
    <w:rsid w:val="00F26A21"/>
    <w:rsid w:val="00F30ABF"/>
    <w:rsid w:val="00F30DCE"/>
    <w:rsid w:val="00F31A10"/>
    <w:rsid w:val="00F32776"/>
    <w:rsid w:val="00F32D0E"/>
    <w:rsid w:val="00F343EB"/>
    <w:rsid w:val="00F35E25"/>
    <w:rsid w:val="00F364D0"/>
    <w:rsid w:val="00F36871"/>
    <w:rsid w:val="00F40477"/>
    <w:rsid w:val="00F44260"/>
    <w:rsid w:val="00F449B9"/>
    <w:rsid w:val="00F449BD"/>
    <w:rsid w:val="00F507A1"/>
    <w:rsid w:val="00F53FEA"/>
    <w:rsid w:val="00F55C2D"/>
    <w:rsid w:val="00F56FF4"/>
    <w:rsid w:val="00F61558"/>
    <w:rsid w:val="00F62592"/>
    <w:rsid w:val="00F67C5A"/>
    <w:rsid w:val="00F73460"/>
    <w:rsid w:val="00F73F5B"/>
    <w:rsid w:val="00F74ADE"/>
    <w:rsid w:val="00F75A0B"/>
    <w:rsid w:val="00F80D96"/>
    <w:rsid w:val="00F81BC8"/>
    <w:rsid w:val="00F81D39"/>
    <w:rsid w:val="00F84475"/>
    <w:rsid w:val="00F85698"/>
    <w:rsid w:val="00F85CFD"/>
    <w:rsid w:val="00F860CA"/>
    <w:rsid w:val="00F86A96"/>
    <w:rsid w:val="00F8753D"/>
    <w:rsid w:val="00F87816"/>
    <w:rsid w:val="00F9150F"/>
    <w:rsid w:val="00F91DE5"/>
    <w:rsid w:val="00F942E1"/>
    <w:rsid w:val="00F95689"/>
    <w:rsid w:val="00F956B3"/>
    <w:rsid w:val="00F95BCA"/>
    <w:rsid w:val="00F964A8"/>
    <w:rsid w:val="00F972CC"/>
    <w:rsid w:val="00F97F5E"/>
    <w:rsid w:val="00FA056A"/>
    <w:rsid w:val="00FA0573"/>
    <w:rsid w:val="00FA21AC"/>
    <w:rsid w:val="00FA31E9"/>
    <w:rsid w:val="00FA5904"/>
    <w:rsid w:val="00FA618E"/>
    <w:rsid w:val="00FA6954"/>
    <w:rsid w:val="00FB3003"/>
    <w:rsid w:val="00FB3077"/>
    <w:rsid w:val="00FB378E"/>
    <w:rsid w:val="00FB5396"/>
    <w:rsid w:val="00FB6B63"/>
    <w:rsid w:val="00FC1687"/>
    <w:rsid w:val="00FC2B18"/>
    <w:rsid w:val="00FD04E5"/>
    <w:rsid w:val="00FD2069"/>
    <w:rsid w:val="00FD3749"/>
    <w:rsid w:val="00FD3A95"/>
    <w:rsid w:val="00FD48D9"/>
    <w:rsid w:val="00FD570D"/>
    <w:rsid w:val="00FD5DD2"/>
    <w:rsid w:val="00FE1606"/>
    <w:rsid w:val="00FE49F6"/>
    <w:rsid w:val="00FE4FCC"/>
    <w:rsid w:val="00FE5911"/>
    <w:rsid w:val="00FE74DB"/>
    <w:rsid w:val="00FE7B3D"/>
    <w:rsid w:val="00FF0B24"/>
    <w:rsid w:val="00FF14B0"/>
    <w:rsid w:val="00FF2088"/>
    <w:rsid w:val="00FF2ECB"/>
    <w:rsid w:val="00FF33F6"/>
    <w:rsid w:val="00FF349E"/>
    <w:rsid w:val="00FF3CAB"/>
    <w:rsid w:val="00FF3F80"/>
    <w:rsid w:val="00FF45DF"/>
    <w:rsid w:val="010B1330"/>
    <w:rsid w:val="012F2FDA"/>
    <w:rsid w:val="01461ACD"/>
    <w:rsid w:val="01745FE5"/>
    <w:rsid w:val="018D0205"/>
    <w:rsid w:val="01C12A88"/>
    <w:rsid w:val="01D07706"/>
    <w:rsid w:val="01D97163"/>
    <w:rsid w:val="0221271C"/>
    <w:rsid w:val="02263749"/>
    <w:rsid w:val="022D649C"/>
    <w:rsid w:val="02351774"/>
    <w:rsid w:val="023A6ECB"/>
    <w:rsid w:val="02420646"/>
    <w:rsid w:val="028223A8"/>
    <w:rsid w:val="029D4FA6"/>
    <w:rsid w:val="02A9706C"/>
    <w:rsid w:val="02DE374B"/>
    <w:rsid w:val="0300517D"/>
    <w:rsid w:val="031C10FC"/>
    <w:rsid w:val="031C67BA"/>
    <w:rsid w:val="033F3CD6"/>
    <w:rsid w:val="03511571"/>
    <w:rsid w:val="035E37BC"/>
    <w:rsid w:val="03745129"/>
    <w:rsid w:val="03A25185"/>
    <w:rsid w:val="03A92E0C"/>
    <w:rsid w:val="03A93F07"/>
    <w:rsid w:val="03DD17F0"/>
    <w:rsid w:val="03F25E1C"/>
    <w:rsid w:val="03F730D5"/>
    <w:rsid w:val="040E4213"/>
    <w:rsid w:val="04137380"/>
    <w:rsid w:val="04160294"/>
    <w:rsid w:val="0421064D"/>
    <w:rsid w:val="0424709F"/>
    <w:rsid w:val="04273734"/>
    <w:rsid w:val="042C6AE4"/>
    <w:rsid w:val="0439748C"/>
    <w:rsid w:val="045D48A5"/>
    <w:rsid w:val="04663DEE"/>
    <w:rsid w:val="048B6224"/>
    <w:rsid w:val="049C3EF3"/>
    <w:rsid w:val="04BC1BA0"/>
    <w:rsid w:val="04CC44AE"/>
    <w:rsid w:val="04CC4566"/>
    <w:rsid w:val="04FD23FC"/>
    <w:rsid w:val="05005426"/>
    <w:rsid w:val="051576B1"/>
    <w:rsid w:val="055A38B5"/>
    <w:rsid w:val="059C5F8E"/>
    <w:rsid w:val="05AD5736"/>
    <w:rsid w:val="05CA2818"/>
    <w:rsid w:val="05CD1124"/>
    <w:rsid w:val="05D75A41"/>
    <w:rsid w:val="05FA06DD"/>
    <w:rsid w:val="06023A8F"/>
    <w:rsid w:val="0611621E"/>
    <w:rsid w:val="062C5A12"/>
    <w:rsid w:val="063F258E"/>
    <w:rsid w:val="065044F8"/>
    <w:rsid w:val="0653482B"/>
    <w:rsid w:val="06B7286F"/>
    <w:rsid w:val="06C116BD"/>
    <w:rsid w:val="06C767F8"/>
    <w:rsid w:val="06EA2FBD"/>
    <w:rsid w:val="06FE4AAE"/>
    <w:rsid w:val="070157D1"/>
    <w:rsid w:val="07117CDC"/>
    <w:rsid w:val="07354BE2"/>
    <w:rsid w:val="07457C0D"/>
    <w:rsid w:val="07506DDE"/>
    <w:rsid w:val="078360F1"/>
    <w:rsid w:val="079555F7"/>
    <w:rsid w:val="07AA21A6"/>
    <w:rsid w:val="07B323DD"/>
    <w:rsid w:val="07C67401"/>
    <w:rsid w:val="07D33E7D"/>
    <w:rsid w:val="07DA2552"/>
    <w:rsid w:val="07E61182"/>
    <w:rsid w:val="07F0255A"/>
    <w:rsid w:val="07F876CF"/>
    <w:rsid w:val="07FA3FC0"/>
    <w:rsid w:val="08376BE0"/>
    <w:rsid w:val="083F0656"/>
    <w:rsid w:val="08483779"/>
    <w:rsid w:val="085D5FC0"/>
    <w:rsid w:val="0886626A"/>
    <w:rsid w:val="08912C45"/>
    <w:rsid w:val="08AD0CF8"/>
    <w:rsid w:val="08AD503B"/>
    <w:rsid w:val="08C76CFD"/>
    <w:rsid w:val="08E340CC"/>
    <w:rsid w:val="08E95B0E"/>
    <w:rsid w:val="090C54BE"/>
    <w:rsid w:val="092936B1"/>
    <w:rsid w:val="092A049B"/>
    <w:rsid w:val="092B3782"/>
    <w:rsid w:val="096A4BCE"/>
    <w:rsid w:val="098226D8"/>
    <w:rsid w:val="09894939"/>
    <w:rsid w:val="09A02CD8"/>
    <w:rsid w:val="09C67157"/>
    <w:rsid w:val="09F4276E"/>
    <w:rsid w:val="0A165448"/>
    <w:rsid w:val="0A502EA2"/>
    <w:rsid w:val="0A5758F7"/>
    <w:rsid w:val="0A67144A"/>
    <w:rsid w:val="0A71618F"/>
    <w:rsid w:val="0A7E1671"/>
    <w:rsid w:val="0AA37590"/>
    <w:rsid w:val="0AC165DA"/>
    <w:rsid w:val="0AC16F66"/>
    <w:rsid w:val="0B1111D6"/>
    <w:rsid w:val="0B435CD5"/>
    <w:rsid w:val="0B456825"/>
    <w:rsid w:val="0B4B17AC"/>
    <w:rsid w:val="0B4F5787"/>
    <w:rsid w:val="0B625354"/>
    <w:rsid w:val="0B6438A9"/>
    <w:rsid w:val="0BC22757"/>
    <w:rsid w:val="0BD0342B"/>
    <w:rsid w:val="0BE3070D"/>
    <w:rsid w:val="0BF06979"/>
    <w:rsid w:val="0C367BBD"/>
    <w:rsid w:val="0C3C4113"/>
    <w:rsid w:val="0C4159CC"/>
    <w:rsid w:val="0C4225D4"/>
    <w:rsid w:val="0C49239C"/>
    <w:rsid w:val="0C4E57C8"/>
    <w:rsid w:val="0C6F4FC2"/>
    <w:rsid w:val="0C7336D0"/>
    <w:rsid w:val="0CC36F40"/>
    <w:rsid w:val="0CF02600"/>
    <w:rsid w:val="0D162766"/>
    <w:rsid w:val="0D215ABE"/>
    <w:rsid w:val="0D41682C"/>
    <w:rsid w:val="0D50445B"/>
    <w:rsid w:val="0D526216"/>
    <w:rsid w:val="0D7807F1"/>
    <w:rsid w:val="0D895A46"/>
    <w:rsid w:val="0D9B67EB"/>
    <w:rsid w:val="0DB362DD"/>
    <w:rsid w:val="0DD1236C"/>
    <w:rsid w:val="0DE45CCC"/>
    <w:rsid w:val="0DE86CEC"/>
    <w:rsid w:val="0E09521B"/>
    <w:rsid w:val="0E0A51BD"/>
    <w:rsid w:val="0E133949"/>
    <w:rsid w:val="0E141CA7"/>
    <w:rsid w:val="0E386D2E"/>
    <w:rsid w:val="0E442D5B"/>
    <w:rsid w:val="0E4E7B59"/>
    <w:rsid w:val="0E6E5960"/>
    <w:rsid w:val="0EA807C9"/>
    <w:rsid w:val="0EAE4301"/>
    <w:rsid w:val="0ED27024"/>
    <w:rsid w:val="0ED41F63"/>
    <w:rsid w:val="0ED94F19"/>
    <w:rsid w:val="0EDC5EDB"/>
    <w:rsid w:val="0EE82229"/>
    <w:rsid w:val="0F1458F0"/>
    <w:rsid w:val="0F1B0DB7"/>
    <w:rsid w:val="0F3425BB"/>
    <w:rsid w:val="0F6C7EA7"/>
    <w:rsid w:val="0F6E10DC"/>
    <w:rsid w:val="0FA03F81"/>
    <w:rsid w:val="0FA32A0E"/>
    <w:rsid w:val="0FC5121F"/>
    <w:rsid w:val="0FC52200"/>
    <w:rsid w:val="0FC57219"/>
    <w:rsid w:val="0FF11896"/>
    <w:rsid w:val="0FF743B8"/>
    <w:rsid w:val="1023278F"/>
    <w:rsid w:val="104114BC"/>
    <w:rsid w:val="104C091D"/>
    <w:rsid w:val="104D6F99"/>
    <w:rsid w:val="104F21E7"/>
    <w:rsid w:val="105170A9"/>
    <w:rsid w:val="10681B45"/>
    <w:rsid w:val="10D545EB"/>
    <w:rsid w:val="10E51E7E"/>
    <w:rsid w:val="1109548A"/>
    <w:rsid w:val="11156035"/>
    <w:rsid w:val="111F2499"/>
    <w:rsid w:val="11296D36"/>
    <w:rsid w:val="1146103D"/>
    <w:rsid w:val="116C7384"/>
    <w:rsid w:val="11A20E56"/>
    <w:rsid w:val="11C06CB3"/>
    <w:rsid w:val="12107133"/>
    <w:rsid w:val="12305D0B"/>
    <w:rsid w:val="12423595"/>
    <w:rsid w:val="12595354"/>
    <w:rsid w:val="12676ACE"/>
    <w:rsid w:val="128C79F5"/>
    <w:rsid w:val="12987FD1"/>
    <w:rsid w:val="12C3649B"/>
    <w:rsid w:val="12D57C7C"/>
    <w:rsid w:val="12DE2F04"/>
    <w:rsid w:val="12E1444B"/>
    <w:rsid w:val="12F453F7"/>
    <w:rsid w:val="12F70776"/>
    <w:rsid w:val="13424AAD"/>
    <w:rsid w:val="135A65CD"/>
    <w:rsid w:val="13681291"/>
    <w:rsid w:val="139A72A6"/>
    <w:rsid w:val="13D75C16"/>
    <w:rsid w:val="14171AEC"/>
    <w:rsid w:val="141A71FC"/>
    <w:rsid w:val="14225F28"/>
    <w:rsid w:val="14393E39"/>
    <w:rsid w:val="1439492C"/>
    <w:rsid w:val="144E282E"/>
    <w:rsid w:val="14905D77"/>
    <w:rsid w:val="14C13D98"/>
    <w:rsid w:val="14C818C6"/>
    <w:rsid w:val="14D17473"/>
    <w:rsid w:val="14D2285A"/>
    <w:rsid w:val="14F848F0"/>
    <w:rsid w:val="1533008F"/>
    <w:rsid w:val="153D3401"/>
    <w:rsid w:val="155142E7"/>
    <w:rsid w:val="15544C42"/>
    <w:rsid w:val="15632066"/>
    <w:rsid w:val="157752E5"/>
    <w:rsid w:val="15855A36"/>
    <w:rsid w:val="158E06A1"/>
    <w:rsid w:val="15932B1E"/>
    <w:rsid w:val="15AC596F"/>
    <w:rsid w:val="15AF36C0"/>
    <w:rsid w:val="15E62FA3"/>
    <w:rsid w:val="15EB4BCD"/>
    <w:rsid w:val="15EE7CEF"/>
    <w:rsid w:val="160D691C"/>
    <w:rsid w:val="16333435"/>
    <w:rsid w:val="16391530"/>
    <w:rsid w:val="166C136C"/>
    <w:rsid w:val="168C0198"/>
    <w:rsid w:val="16C6539F"/>
    <w:rsid w:val="16C83962"/>
    <w:rsid w:val="16ED23AA"/>
    <w:rsid w:val="1730286B"/>
    <w:rsid w:val="173E2364"/>
    <w:rsid w:val="1761710C"/>
    <w:rsid w:val="17756A1D"/>
    <w:rsid w:val="17762425"/>
    <w:rsid w:val="17812612"/>
    <w:rsid w:val="17871823"/>
    <w:rsid w:val="1789592C"/>
    <w:rsid w:val="17933C9F"/>
    <w:rsid w:val="17B13E29"/>
    <w:rsid w:val="17D67A38"/>
    <w:rsid w:val="17DB1463"/>
    <w:rsid w:val="17ED5B45"/>
    <w:rsid w:val="17EE7984"/>
    <w:rsid w:val="18260DD1"/>
    <w:rsid w:val="182656C2"/>
    <w:rsid w:val="1826598A"/>
    <w:rsid w:val="18303541"/>
    <w:rsid w:val="183735E3"/>
    <w:rsid w:val="1858215D"/>
    <w:rsid w:val="186D03ED"/>
    <w:rsid w:val="18744310"/>
    <w:rsid w:val="18A12DFD"/>
    <w:rsid w:val="18A922F3"/>
    <w:rsid w:val="18B137E8"/>
    <w:rsid w:val="18D46399"/>
    <w:rsid w:val="18F56002"/>
    <w:rsid w:val="19125034"/>
    <w:rsid w:val="191D2489"/>
    <w:rsid w:val="192F50C9"/>
    <w:rsid w:val="19633F03"/>
    <w:rsid w:val="199C3850"/>
    <w:rsid w:val="199E02FC"/>
    <w:rsid w:val="19BA1CE3"/>
    <w:rsid w:val="19DF55C2"/>
    <w:rsid w:val="19FA7D22"/>
    <w:rsid w:val="19FC2D96"/>
    <w:rsid w:val="1A0C61A8"/>
    <w:rsid w:val="1A132F57"/>
    <w:rsid w:val="1A300E03"/>
    <w:rsid w:val="1A5E69E5"/>
    <w:rsid w:val="1A5F760F"/>
    <w:rsid w:val="1A6F3E95"/>
    <w:rsid w:val="1A6F6E85"/>
    <w:rsid w:val="1AB70FFB"/>
    <w:rsid w:val="1AB745E3"/>
    <w:rsid w:val="1AD51B88"/>
    <w:rsid w:val="1B2058A0"/>
    <w:rsid w:val="1B566A66"/>
    <w:rsid w:val="1B8565CF"/>
    <w:rsid w:val="1B9104B0"/>
    <w:rsid w:val="1BAC363D"/>
    <w:rsid w:val="1BBB7E3E"/>
    <w:rsid w:val="1BCA3781"/>
    <w:rsid w:val="1BD60F79"/>
    <w:rsid w:val="1C0C60A0"/>
    <w:rsid w:val="1C41527E"/>
    <w:rsid w:val="1C49412F"/>
    <w:rsid w:val="1C4F5FC4"/>
    <w:rsid w:val="1C64078D"/>
    <w:rsid w:val="1C685476"/>
    <w:rsid w:val="1C81524F"/>
    <w:rsid w:val="1CA121A3"/>
    <w:rsid w:val="1CDF257F"/>
    <w:rsid w:val="1CE40841"/>
    <w:rsid w:val="1CF405AE"/>
    <w:rsid w:val="1CFB22F4"/>
    <w:rsid w:val="1D014450"/>
    <w:rsid w:val="1D2A2C86"/>
    <w:rsid w:val="1D2A6659"/>
    <w:rsid w:val="1D41310E"/>
    <w:rsid w:val="1D426DC5"/>
    <w:rsid w:val="1D4377C2"/>
    <w:rsid w:val="1D54682E"/>
    <w:rsid w:val="1D575B51"/>
    <w:rsid w:val="1D6C2520"/>
    <w:rsid w:val="1D9E396B"/>
    <w:rsid w:val="1D9F4A19"/>
    <w:rsid w:val="1DA05599"/>
    <w:rsid w:val="1DAB519B"/>
    <w:rsid w:val="1DC65420"/>
    <w:rsid w:val="1DC94DC3"/>
    <w:rsid w:val="1E0649A4"/>
    <w:rsid w:val="1E316CE9"/>
    <w:rsid w:val="1E474E6F"/>
    <w:rsid w:val="1E4D30A6"/>
    <w:rsid w:val="1E6843C7"/>
    <w:rsid w:val="1EA60FCA"/>
    <w:rsid w:val="1EA87417"/>
    <w:rsid w:val="1ED70A99"/>
    <w:rsid w:val="1F343D8F"/>
    <w:rsid w:val="1F353005"/>
    <w:rsid w:val="1F35766F"/>
    <w:rsid w:val="1F65672E"/>
    <w:rsid w:val="1F6B4880"/>
    <w:rsid w:val="1F6D18D3"/>
    <w:rsid w:val="1F855EC8"/>
    <w:rsid w:val="1F865B87"/>
    <w:rsid w:val="1F8D0E35"/>
    <w:rsid w:val="1FAD401E"/>
    <w:rsid w:val="1FB611E4"/>
    <w:rsid w:val="1FBA2E91"/>
    <w:rsid w:val="1FC02D54"/>
    <w:rsid w:val="1FD92D82"/>
    <w:rsid w:val="1FEE1F52"/>
    <w:rsid w:val="206F1CDA"/>
    <w:rsid w:val="20950348"/>
    <w:rsid w:val="20981E88"/>
    <w:rsid w:val="20A10137"/>
    <w:rsid w:val="20B97750"/>
    <w:rsid w:val="20BD2343"/>
    <w:rsid w:val="20C125E5"/>
    <w:rsid w:val="20F77EBA"/>
    <w:rsid w:val="20FC4D5B"/>
    <w:rsid w:val="20FE0571"/>
    <w:rsid w:val="212F48FD"/>
    <w:rsid w:val="215274AB"/>
    <w:rsid w:val="21B23C30"/>
    <w:rsid w:val="21D5663A"/>
    <w:rsid w:val="21DE0782"/>
    <w:rsid w:val="220D5F91"/>
    <w:rsid w:val="220F017A"/>
    <w:rsid w:val="223D6488"/>
    <w:rsid w:val="224F423C"/>
    <w:rsid w:val="226C521C"/>
    <w:rsid w:val="227710AB"/>
    <w:rsid w:val="229B4E78"/>
    <w:rsid w:val="22C77F82"/>
    <w:rsid w:val="22E50F21"/>
    <w:rsid w:val="22F562BD"/>
    <w:rsid w:val="231C3AC6"/>
    <w:rsid w:val="23261385"/>
    <w:rsid w:val="233970A1"/>
    <w:rsid w:val="2345547A"/>
    <w:rsid w:val="2390118C"/>
    <w:rsid w:val="23A33225"/>
    <w:rsid w:val="23A3458B"/>
    <w:rsid w:val="23A83880"/>
    <w:rsid w:val="23AC3B0D"/>
    <w:rsid w:val="23AE3EA4"/>
    <w:rsid w:val="23BD797B"/>
    <w:rsid w:val="23CC13DF"/>
    <w:rsid w:val="241374BB"/>
    <w:rsid w:val="24210897"/>
    <w:rsid w:val="242E0AC8"/>
    <w:rsid w:val="24474E0A"/>
    <w:rsid w:val="244E4AD0"/>
    <w:rsid w:val="246B4679"/>
    <w:rsid w:val="249900C5"/>
    <w:rsid w:val="24BF7D42"/>
    <w:rsid w:val="255D2F2A"/>
    <w:rsid w:val="256C5A3D"/>
    <w:rsid w:val="257963F1"/>
    <w:rsid w:val="259B03C3"/>
    <w:rsid w:val="25A7402B"/>
    <w:rsid w:val="25FE15DC"/>
    <w:rsid w:val="26683D33"/>
    <w:rsid w:val="26806C09"/>
    <w:rsid w:val="26863962"/>
    <w:rsid w:val="26FA6E39"/>
    <w:rsid w:val="271E4603"/>
    <w:rsid w:val="272A0710"/>
    <w:rsid w:val="274B3FF9"/>
    <w:rsid w:val="27555997"/>
    <w:rsid w:val="276E4B45"/>
    <w:rsid w:val="277E0E1B"/>
    <w:rsid w:val="27914775"/>
    <w:rsid w:val="27C13C20"/>
    <w:rsid w:val="27E47883"/>
    <w:rsid w:val="28031DED"/>
    <w:rsid w:val="280C6761"/>
    <w:rsid w:val="28120519"/>
    <w:rsid w:val="281327C3"/>
    <w:rsid w:val="28195AAE"/>
    <w:rsid w:val="2823540A"/>
    <w:rsid w:val="28311120"/>
    <w:rsid w:val="28323569"/>
    <w:rsid w:val="28326E12"/>
    <w:rsid w:val="28504863"/>
    <w:rsid w:val="287013AF"/>
    <w:rsid w:val="28943CBF"/>
    <w:rsid w:val="28E96526"/>
    <w:rsid w:val="28F77A34"/>
    <w:rsid w:val="29213FAC"/>
    <w:rsid w:val="294019F3"/>
    <w:rsid w:val="295F6F3A"/>
    <w:rsid w:val="298168E8"/>
    <w:rsid w:val="2985741A"/>
    <w:rsid w:val="29880DC9"/>
    <w:rsid w:val="299658C8"/>
    <w:rsid w:val="29C74336"/>
    <w:rsid w:val="29D3585D"/>
    <w:rsid w:val="2A0C4705"/>
    <w:rsid w:val="2A0E44BE"/>
    <w:rsid w:val="2A104C01"/>
    <w:rsid w:val="2A2219FF"/>
    <w:rsid w:val="2A2649D3"/>
    <w:rsid w:val="2A2F0453"/>
    <w:rsid w:val="2A375CB0"/>
    <w:rsid w:val="2A4F7A8E"/>
    <w:rsid w:val="2A5C693A"/>
    <w:rsid w:val="2A9D1044"/>
    <w:rsid w:val="2AA14EFF"/>
    <w:rsid w:val="2AE42B9F"/>
    <w:rsid w:val="2AE96027"/>
    <w:rsid w:val="2AFA4FF0"/>
    <w:rsid w:val="2AFF35D3"/>
    <w:rsid w:val="2B0A651F"/>
    <w:rsid w:val="2B132D50"/>
    <w:rsid w:val="2B2133D5"/>
    <w:rsid w:val="2B4455B7"/>
    <w:rsid w:val="2B6076B4"/>
    <w:rsid w:val="2B617D56"/>
    <w:rsid w:val="2BEA29C3"/>
    <w:rsid w:val="2BEA69E1"/>
    <w:rsid w:val="2BEB27E3"/>
    <w:rsid w:val="2BEB2E9D"/>
    <w:rsid w:val="2BF61207"/>
    <w:rsid w:val="2C036BC4"/>
    <w:rsid w:val="2C2E6F83"/>
    <w:rsid w:val="2C397AEF"/>
    <w:rsid w:val="2C620007"/>
    <w:rsid w:val="2CD367CC"/>
    <w:rsid w:val="2CDD2B9E"/>
    <w:rsid w:val="2D022F3E"/>
    <w:rsid w:val="2D09394F"/>
    <w:rsid w:val="2D6345E9"/>
    <w:rsid w:val="2D7E4209"/>
    <w:rsid w:val="2D9A55C1"/>
    <w:rsid w:val="2D9B288E"/>
    <w:rsid w:val="2DAF3FC3"/>
    <w:rsid w:val="2DBD42B5"/>
    <w:rsid w:val="2DCB5DC1"/>
    <w:rsid w:val="2DCE5309"/>
    <w:rsid w:val="2DE2242A"/>
    <w:rsid w:val="2DFC2B7D"/>
    <w:rsid w:val="2E194ACD"/>
    <w:rsid w:val="2E4225F7"/>
    <w:rsid w:val="2E463849"/>
    <w:rsid w:val="2E4B01D1"/>
    <w:rsid w:val="2E522374"/>
    <w:rsid w:val="2E5A5340"/>
    <w:rsid w:val="2E677780"/>
    <w:rsid w:val="2E6E73D5"/>
    <w:rsid w:val="2E81141D"/>
    <w:rsid w:val="2E9A7ADA"/>
    <w:rsid w:val="2EC304B4"/>
    <w:rsid w:val="2F1B0798"/>
    <w:rsid w:val="2F235807"/>
    <w:rsid w:val="2F4F0438"/>
    <w:rsid w:val="2F506BFB"/>
    <w:rsid w:val="2F750379"/>
    <w:rsid w:val="2F7E2CC0"/>
    <w:rsid w:val="2F854365"/>
    <w:rsid w:val="2F921764"/>
    <w:rsid w:val="2F98405A"/>
    <w:rsid w:val="2FD11EB8"/>
    <w:rsid w:val="303D5772"/>
    <w:rsid w:val="306E40F7"/>
    <w:rsid w:val="30B15581"/>
    <w:rsid w:val="30B93848"/>
    <w:rsid w:val="30BD1E67"/>
    <w:rsid w:val="30BE1DE8"/>
    <w:rsid w:val="30C20775"/>
    <w:rsid w:val="31253510"/>
    <w:rsid w:val="313177AD"/>
    <w:rsid w:val="31341EAD"/>
    <w:rsid w:val="31423CC5"/>
    <w:rsid w:val="3157256E"/>
    <w:rsid w:val="31665B97"/>
    <w:rsid w:val="31854B7E"/>
    <w:rsid w:val="31E86EE4"/>
    <w:rsid w:val="31F33D55"/>
    <w:rsid w:val="31FD6157"/>
    <w:rsid w:val="32171B71"/>
    <w:rsid w:val="322B53E9"/>
    <w:rsid w:val="325F51EC"/>
    <w:rsid w:val="32915ABA"/>
    <w:rsid w:val="329C1497"/>
    <w:rsid w:val="32D72576"/>
    <w:rsid w:val="32D93319"/>
    <w:rsid w:val="330D0307"/>
    <w:rsid w:val="332C3D97"/>
    <w:rsid w:val="334A372A"/>
    <w:rsid w:val="335C422F"/>
    <w:rsid w:val="3360351F"/>
    <w:rsid w:val="33620CB2"/>
    <w:rsid w:val="33B17CDB"/>
    <w:rsid w:val="33CA37CB"/>
    <w:rsid w:val="33DD0184"/>
    <w:rsid w:val="33E04B57"/>
    <w:rsid w:val="33FA7456"/>
    <w:rsid w:val="34024883"/>
    <w:rsid w:val="342009A3"/>
    <w:rsid w:val="34264530"/>
    <w:rsid w:val="342C6E98"/>
    <w:rsid w:val="343E2F3B"/>
    <w:rsid w:val="344F7140"/>
    <w:rsid w:val="34755DB1"/>
    <w:rsid w:val="349E0FB2"/>
    <w:rsid w:val="34A96A1A"/>
    <w:rsid w:val="34B370D1"/>
    <w:rsid w:val="34C27532"/>
    <w:rsid w:val="34CA52FD"/>
    <w:rsid w:val="34E622D6"/>
    <w:rsid w:val="3518700F"/>
    <w:rsid w:val="35227F85"/>
    <w:rsid w:val="352B5FF0"/>
    <w:rsid w:val="352F2FF3"/>
    <w:rsid w:val="35375748"/>
    <w:rsid w:val="35486C73"/>
    <w:rsid w:val="3569462D"/>
    <w:rsid w:val="359E09BB"/>
    <w:rsid w:val="3600191D"/>
    <w:rsid w:val="361A4DE1"/>
    <w:rsid w:val="361F592F"/>
    <w:rsid w:val="362B3643"/>
    <w:rsid w:val="362F79EA"/>
    <w:rsid w:val="364416D7"/>
    <w:rsid w:val="36516B14"/>
    <w:rsid w:val="36556C85"/>
    <w:rsid w:val="3675230B"/>
    <w:rsid w:val="36766F5C"/>
    <w:rsid w:val="36777C43"/>
    <w:rsid w:val="367E7A3F"/>
    <w:rsid w:val="36C1347A"/>
    <w:rsid w:val="36C31B41"/>
    <w:rsid w:val="36C45CB1"/>
    <w:rsid w:val="36C532A1"/>
    <w:rsid w:val="36CE234D"/>
    <w:rsid w:val="36D347D3"/>
    <w:rsid w:val="36DA50A9"/>
    <w:rsid w:val="36E42C99"/>
    <w:rsid w:val="3736228A"/>
    <w:rsid w:val="37671725"/>
    <w:rsid w:val="376F122C"/>
    <w:rsid w:val="3798526A"/>
    <w:rsid w:val="37B72EB1"/>
    <w:rsid w:val="37C539FC"/>
    <w:rsid w:val="37C806F3"/>
    <w:rsid w:val="37C85C3C"/>
    <w:rsid w:val="37CF1603"/>
    <w:rsid w:val="3815387A"/>
    <w:rsid w:val="384D5D81"/>
    <w:rsid w:val="38585500"/>
    <w:rsid w:val="385D1C71"/>
    <w:rsid w:val="388E1434"/>
    <w:rsid w:val="38BA5460"/>
    <w:rsid w:val="38C62FF5"/>
    <w:rsid w:val="38D62476"/>
    <w:rsid w:val="38E27127"/>
    <w:rsid w:val="39027E88"/>
    <w:rsid w:val="39075875"/>
    <w:rsid w:val="391904A1"/>
    <w:rsid w:val="391C718D"/>
    <w:rsid w:val="394D30B0"/>
    <w:rsid w:val="395466DA"/>
    <w:rsid w:val="39624091"/>
    <w:rsid w:val="397C6037"/>
    <w:rsid w:val="39D43B66"/>
    <w:rsid w:val="39EC03FA"/>
    <w:rsid w:val="3A072568"/>
    <w:rsid w:val="3A1E303B"/>
    <w:rsid w:val="3A1F74C9"/>
    <w:rsid w:val="3A224445"/>
    <w:rsid w:val="3A2A1F54"/>
    <w:rsid w:val="3A2D40D1"/>
    <w:rsid w:val="3A314B02"/>
    <w:rsid w:val="3A5C2602"/>
    <w:rsid w:val="3A5E6F34"/>
    <w:rsid w:val="3A765F75"/>
    <w:rsid w:val="3A79657B"/>
    <w:rsid w:val="3A8B77C7"/>
    <w:rsid w:val="3A9A32EA"/>
    <w:rsid w:val="3ACD391F"/>
    <w:rsid w:val="3B026D00"/>
    <w:rsid w:val="3B1471CB"/>
    <w:rsid w:val="3B655681"/>
    <w:rsid w:val="3B6C4553"/>
    <w:rsid w:val="3B6F3ABC"/>
    <w:rsid w:val="3B7527F4"/>
    <w:rsid w:val="3BAA143A"/>
    <w:rsid w:val="3BC378A6"/>
    <w:rsid w:val="3BD67C57"/>
    <w:rsid w:val="3BDC08FD"/>
    <w:rsid w:val="3BE42ECD"/>
    <w:rsid w:val="3BFE1CAB"/>
    <w:rsid w:val="3C10260E"/>
    <w:rsid w:val="3C274A05"/>
    <w:rsid w:val="3C7511AE"/>
    <w:rsid w:val="3C8D1A37"/>
    <w:rsid w:val="3C9B364F"/>
    <w:rsid w:val="3CA977D2"/>
    <w:rsid w:val="3CC733AF"/>
    <w:rsid w:val="3CF76813"/>
    <w:rsid w:val="3CFC6063"/>
    <w:rsid w:val="3D0702D4"/>
    <w:rsid w:val="3D1319B5"/>
    <w:rsid w:val="3D260CA6"/>
    <w:rsid w:val="3D520CCB"/>
    <w:rsid w:val="3D5C6974"/>
    <w:rsid w:val="3D6678B0"/>
    <w:rsid w:val="3D70364C"/>
    <w:rsid w:val="3D772181"/>
    <w:rsid w:val="3D823D30"/>
    <w:rsid w:val="3D9A5A43"/>
    <w:rsid w:val="3DCE6FB3"/>
    <w:rsid w:val="3DD16176"/>
    <w:rsid w:val="3E0D7410"/>
    <w:rsid w:val="3E104E3F"/>
    <w:rsid w:val="3E1D6E9C"/>
    <w:rsid w:val="3E4A1BED"/>
    <w:rsid w:val="3E662345"/>
    <w:rsid w:val="3E82228B"/>
    <w:rsid w:val="3E8242C1"/>
    <w:rsid w:val="3EB33AF3"/>
    <w:rsid w:val="3EFD0DF6"/>
    <w:rsid w:val="3EFE49C6"/>
    <w:rsid w:val="3F0A5B5C"/>
    <w:rsid w:val="3F1A0890"/>
    <w:rsid w:val="3F3F5846"/>
    <w:rsid w:val="3F71500B"/>
    <w:rsid w:val="3F801023"/>
    <w:rsid w:val="3F8064EB"/>
    <w:rsid w:val="3F982DCA"/>
    <w:rsid w:val="3FD12D26"/>
    <w:rsid w:val="3FDE4917"/>
    <w:rsid w:val="402F3ADF"/>
    <w:rsid w:val="40306F5A"/>
    <w:rsid w:val="40452510"/>
    <w:rsid w:val="40476BB3"/>
    <w:rsid w:val="404C05E7"/>
    <w:rsid w:val="40546FB6"/>
    <w:rsid w:val="40554803"/>
    <w:rsid w:val="407A60D5"/>
    <w:rsid w:val="40961808"/>
    <w:rsid w:val="40AB4DEE"/>
    <w:rsid w:val="40D24BBE"/>
    <w:rsid w:val="40EC4043"/>
    <w:rsid w:val="412008E0"/>
    <w:rsid w:val="413A6D3B"/>
    <w:rsid w:val="413D5E5E"/>
    <w:rsid w:val="41515AC7"/>
    <w:rsid w:val="41902B9F"/>
    <w:rsid w:val="41C02331"/>
    <w:rsid w:val="41C13A63"/>
    <w:rsid w:val="41C67037"/>
    <w:rsid w:val="41D229E1"/>
    <w:rsid w:val="41E12821"/>
    <w:rsid w:val="41EC6E94"/>
    <w:rsid w:val="41F72149"/>
    <w:rsid w:val="420E77D2"/>
    <w:rsid w:val="42415ACC"/>
    <w:rsid w:val="427D539F"/>
    <w:rsid w:val="42991E30"/>
    <w:rsid w:val="42CE0B28"/>
    <w:rsid w:val="42CF6367"/>
    <w:rsid w:val="42DE1CCC"/>
    <w:rsid w:val="42FC0B99"/>
    <w:rsid w:val="4308546B"/>
    <w:rsid w:val="430E36C9"/>
    <w:rsid w:val="43263445"/>
    <w:rsid w:val="43276BE6"/>
    <w:rsid w:val="434157E3"/>
    <w:rsid w:val="43494860"/>
    <w:rsid w:val="434D380E"/>
    <w:rsid w:val="435F1CB2"/>
    <w:rsid w:val="436D1B9F"/>
    <w:rsid w:val="43934189"/>
    <w:rsid w:val="439D4850"/>
    <w:rsid w:val="43C27232"/>
    <w:rsid w:val="43DC77CE"/>
    <w:rsid w:val="43DD3717"/>
    <w:rsid w:val="43ED069F"/>
    <w:rsid w:val="43F21951"/>
    <w:rsid w:val="442A6E5A"/>
    <w:rsid w:val="445C4B8F"/>
    <w:rsid w:val="44796121"/>
    <w:rsid w:val="44833851"/>
    <w:rsid w:val="448A40F8"/>
    <w:rsid w:val="44982752"/>
    <w:rsid w:val="44BF6F86"/>
    <w:rsid w:val="44C45031"/>
    <w:rsid w:val="44D53AB2"/>
    <w:rsid w:val="44F27B0D"/>
    <w:rsid w:val="4518777A"/>
    <w:rsid w:val="452E2D04"/>
    <w:rsid w:val="45485BDE"/>
    <w:rsid w:val="454C183F"/>
    <w:rsid w:val="45945C30"/>
    <w:rsid w:val="459F2306"/>
    <w:rsid w:val="45A51B52"/>
    <w:rsid w:val="45A832FE"/>
    <w:rsid w:val="45AB6174"/>
    <w:rsid w:val="45BA63E5"/>
    <w:rsid w:val="45CC5EDC"/>
    <w:rsid w:val="45F73D47"/>
    <w:rsid w:val="462D2575"/>
    <w:rsid w:val="46467FD8"/>
    <w:rsid w:val="46522858"/>
    <w:rsid w:val="46601D33"/>
    <w:rsid w:val="4666746C"/>
    <w:rsid w:val="467505FA"/>
    <w:rsid w:val="468720BA"/>
    <w:rsid w:val="46895AFC"/>
    <w:rsid w:val="46BA2F04"/>
    <w:rsid w:val="46BC623F"/>
    <w:rsid w:val="46D855B9"/>
    <w:rsid w:val="470D2C74"/>
    <w:rsid w:val="477570F1"/>
    <w:rsid w:val="47B41AAA"/>
    <w:rsid w:val="47CD38AD"/>
    <w:rsid w:val="47DB16D8"/>
    <w:rsid w:val="48416760"/>
    <w:rsid w:val="48466F81"/>
    <w:rsid w:val="4847049F"/>
    <w:rsid w:val="484D02A2"/>
    <w:rsid w:val="486B647A"/>
    <w:rsid w:val="48896934"/>
    <w:rsid w:val="48C12AEC"/>
    <w:rsid w:val="48D072A1"/>
    <w:rsid w:val="48D1341D"/>
    <w:rsid w:val="48D63F90"/>
    <w:rsid w:val="48E0279A"/>
    <w:rsid w:val="48E64C8E"/>
    <w:rsid w:val="48FA7B87"/>
    <w:rsid w:val="48FC12D4"/>
    <w:rsid w:val="4916087F"/>
    <w:rsid w:val="4919356E"/>
    <w:rsid w:val="492A7740"/>
    <w:rsid w:val="492B7467"/>
    <w:rsid w:val="49300AA7"/>
    <w:rsid w:val="49391CB0"/>
    <w:rsid w:val="493C3A20"/>
    <w:rsid w:val="49401E21"/>
    <w:rsid w:val="49526EB9"/>
    <w:rsid w:val="49684311"/>
    <w:rsid w:val="496D00AD"/>
    <w:rsid w:val="49742114"/>
    <w:rsid w:val="49754CB4"/>
    <w:rsid w:val="49921F0F"/>
    <w:rsid w:val="49C87B2C"/>
    <w:rsid w:val="49CE6B8E"/>
    <w:rsid w:val="49D72FF3"/>
    <w:rsid w:val="49E0102B"/>
    <w:rsid w:val="4A026FC1"/>
    <w:rsid w:val="4A2945F2"/>
    <w:rsid w:val="4A29762E"/>
    <w:rsid w:val="4A486AD4"/>
    <w:rsid w:val="4A5A0B06"/>
    <w:rsid w:val="4A615154"/>
    <w:rsid w:val="4A96607C"/>
    <w:rsid w:val="4AB92E92"/>
    <w:rsid w:val="4AD646F7"/>
    <w:rsid w:val="4B2134B8"/>
    <w:rsid w:val="4B24233C"/>
    <w:rsid w:val="4B2734DA"/>
    <w:rsid w:val="4B330A0B"/>
    <w:rsid w:val="4B5E55F9"/>
    <w:rsid w:val="4B685D82"/>
    <w:rsid w:val="4B7B4674"/>
    <w:rsid w:val="4B7C1135"/>
    <w:rsid w:val="4B7C663B"/>
    <w:rsid w:val="4B812078"/>
    <w:rsid w:val="4B896F57"/>
    <w:rsid w:val="4BF71347"/>
    <w:rsid w:val="4BF97932"/>
    <w:rsid w:val="4C0E21DB"/>
    <w:rsid w:val="4C141E75"/>
    <w:rsid w:val="4C2850B8"/>
    <w:rsid w:val="4C2A4039"/>
    <w:rsid w:val="4C2E02EB"/>
    <w:rsid w:val="4C501CC2"/>
    <w:rsid w:val="4C847BBF"/>
    <w:rsid w:val="4CAE60E3"/>
    <w:rsid w:val="4CEE1D13"/>
    <w:rsid w:val="4D032DA9"/>
    <w:rsid w:val="4D0C6DBE"/>
    <w:rsid w:val="4D25615C"/>
    <w:rsid w:val="4D36054D"/>
    <w:rsid w:val="4D41137F"/>
    <w:rsid w:val="4D524AEA"/>
    <w:rsid w:val="4D5724F7"/>
    <w:rsid w:val="4D757452"/>
    <w:rsid w:val="4D8C3F82"/>
    <w:rsid w:val="4DBC14B8"/>
    <w:rsid w:val="4DDC29C3"/>
    <w:rsid w:val="4DE936C7"/>
    <w:rsid w:val="4DF23555"/>
    <w:rsid w:val="4E050D4C"/>
    <w:rsid w:val="4E06569E"/>
    <w:rsid w:val="4E093792"/>
    <w:rsid w:val="4E1D26B7"/>
    <w:rsid w:val="4E1F052C"/>
    <w:rsid w:val="4E451D41"/>
    <w:rsid w:val="4E7A454C"/>
    <w:rsid w:val="4E85341C"/>
    <w:rsid w:val="4E9A6D77"/>
    <w:rsid w:val="4E9B7B12"/>
    <w:rsid w:val="4EC47712"/>
    <w:rsid w:val="4EDD3C61"/>
    <w:rsid w:val="4EF1457F"/>
    <w:rsid w:val="4F2C40A0"/>
    <w:rsid w:val="4F2F3B98"/>
    <w:rsid w:val="4F380B7A"/>
    <w:rsid w:val="4F420D1A"/>
    <w:rsid w:val="4F4B0CB3"/>
    <w:rsid w:val="4F4F0EBF"/>
    <w:rsid w:val="4F551D3F"/>
    <w:rsid w:val="4F8C4B40"/>
    <w:rsid w:val="4F9F62E6"/>
    <w:rsid w:val="4FAA5CD5"/>
    <w:rsid w:val="4FBD187E"/>
    <w:rsid w:val="4FBF7CF0"/>
    <w:rsid w:val="4FD11AC0"/>
    <w:rsid w:val="4FFC278C"/>
    <w:rsid w:val="50231F54"/>
    <w:rsid w:val="50244473"/>
    <w:rsid w:val="502F75EB"/>
    <w:rsid w:val="50400243"/>
    <w:rsid w:val="50494336"/>
    <w:rsid w:val="50784012"/>
    <w:rsid w:val="507C7D8B"/>
    <w:rsid w:val="50813C12"/>
    <w:rsid w:val="5087463E"/>
    <w:rsid w:val="50A11680"/>
    <w:rsid w:val="50B24049"/>
    <w:rsid w:val="50B77550"/>
    <w:rsid w:val="50C773AE"/>
    <w:rsid w:val="50CD6602"/>
    <w:rsid w:val="510D0F23"/>
    <w:rsid w:val="51197B59"/>
    <w:rsid w:val="51215D4C"/>
    <w:rsid w:val="5130178D"/>
    <w:rsid w:val="5152731C"/>
    <w:rsid w:val="51615030"/>
    <w:rsid w:val="51627812"/>
    <w:rsid w:val="51D33F6D"/>
    <w:rsid w:val="52045DB4"/>
    <w:rsid w:val="5229705D"/>
    <w:rsid w:val="522C275E"/>
    <w:rsid w:val="523B42BA"/>
    <w:rsid w:val="529000F6"/>
    <w:rsid w:val="5296149A"/>
    <w:rsid w:val="52A65672"/>
    <w:rsid w:val="52BA4073"/>
    <w:rsid w:val="52CD7B31"/>
    <w:rsid w:val="52D576F4"/>
    <w:rsid w:val="52DF170A"/>
    <w:rsid w:val="52E25B6D"/>
    <w:rsid w:val="52F362FB"/>
    <w:rsid w:val="52F4161A"/>
    <w:rsid w:val="52F965A5"/>
    <w:rsid w:val="53081AD8"/>
    <w:rsid w:val="530E6DD1"/>
    <w:rsid w:val="53235275"/>
    <w:rsid w:val="53240623"/>
    <w:rsid w:val="53321C03"/>
    <w:rsid w:val="533415F9"/>
    <w:rsid w:val="534823B8"/>
    <w:rsid w:val="534A49AF"/>
    <w:rsid w:val="535657D0"/>
    <w:rsid w:val="535868CC"/>
    <w:rsid w:val="53597EDB"/>
    <w:rsid w:val="538A5F7C"/>
    <w:rsid w:val="538D066D"/>
    <w:rsid w:val="53934B1D"/>
    <w:rsid w:val="53A2278E"/>
    <w:rsid w:val="53CB788B"/>
    <w:rsid w:val="53E32E36"/>
    <w:rsid w:val="53F60F5A"/>
    <w:rsid w:val="54203B94"/>
    <w:rsid w:val="5424233E"/>
    <w:rsid w:val="542A3DC2"/>
    <w:rsid w:val="542C299E"/>
    <w:rsid w:val="543642C1"/>
    <w:rsid w:val="5461235D"/>
    <w:rsid w:val="54667BA2"/>
    <w:rsid w:val="547E7555"/>
    <w:rsid w:val="54863FE2"/>
    <w:rsid w:val="54A01FAE"/>
    <w:rsid w:val="54A1363F"/>
    <w:rsid w:val="54C0256E"/>
    <w:rsid w:val="54C334B7"/>
    <w:rsid w:val="54D4667D"/>
    <w:rsid w:val="54D55C56"/>
    <w:rsid w:val="54EC389B"/>
    <w:rsid w:val="54F847D9"/>
    <w:rsid w:val="55126190"/>
    <w:rsid w:val="55346174"/>
    <w:rsid w:val="553D1731"/>
    <w:rsid w:val="555F3833"/>
    <w:rsid w:val="55667780"/>
    <w:rsid w:val="556E493A"/>
    <w:rsid w:val="55941D63"/>
    <w:rsid w:val="559C0CE1"/>
    <w:rsid w:val="55D11119"/>
    <w:rsid w:val="55DB1F79"/>
    <w:rsid w:val="560A42BD"/>
    <w:rsid w:val="560C1D89"/>
    <w:rsid w:val="56353B20"/>
    <w:rsid w:val="56443B98"/>
    <w:rsid w:val="56453A77"/>
    <w:rsid w:val="566B4C2E"/>
    <w:rsid w:val="56757259"/>
    <w:rsid w:val="56CB4BCB"/>
    <w:rsid w:val="56F4711F"/>
    <w:rsid w:val="57391A95"/>
    <w:rsid w:val="573F3C9E"/>
    <w:rsid w:val="574C52C4"/>
    <w:rsid w:val="57526FDB"/>
    <w:rsid w:val="57572F35"/>
    <w:rsid w:val="575B33A4"/>
    <w:rsid w:val="57674A5D"/>
    <w:rsid w:val="57841519"/>
    <w:rsid w:val="57B25019"/>
    <w:rsid w:val="57BB6F5D"/>
    <w:rsid w:val="57C90530"/>
    <w:rsid w:val="57CE0836"/>
    <w:rsid w:val="57DA7697"/>
    <w:rsid w:val="57FB6CB9"/>
    <w:rsid w:val="582F44F7"/>
    <w:rsid w:val="583F27F2"/>
    <w:rsid w:val="58455B6D"/>
    <w:rsid w:val="584D29B0"/>
    <w:rsid w:val="584F7C49"/>
    <w:rsid w:val="585A5CC1"/>
    <w:rsid w:val="586013DF"/>
    <w:rsid w:val="587A0690"/>
    <w:rsid w:val="5888302C"/>
    <w:rsid w:val="5889129A"/>
    <w:rsid w:val="58A43ABE"/>
    <w:rsid w:val="58AD528C"/>
    <w:rsid w:val="58B31955"/>
    <w:rsid w:val="58BA1500"/>
    <w:rsid w:val="58BA45A1"/>
    <w:rsid w:val="58DA2888"/>
    <w:rsid w:val="58EF0759"/>
    <w:rsid w:val="592034CA"/>
    <w:rsid w:val="594F6915"/>
    <w:rsid w:val="59737A65"/>
    <w:rsid w:val="59842DF4"/>
    <w:rsid w:val="598F4E97"/>
    <w:rsid w:val="59A0359A"/>
    <w:rsid w:val="59CC7DC9"/>
    <w:rsid w:val="59E52D9A"/>
    <w:rsid w:val="5A300449"/>
    <w:rsid w:val="5A482DEE"/>
    <w:rsid w:val="5A55295D"/>
    <w:rsid w:val="5A5B4022"/>
    <w:rsid w:val="5A7E104A"/>
    <w:rsid w:val="5A8208A0"/>
    <w:rsid w:val="5A861FD5"/>
    <w:rsid w:val="5ADE2E08"/>
    <w:rsid w:val="5AE3253A"/>
    <w:rsid w:val="5AEA30C9"/>
    <w:rsid w:val="5AEA3475"/>
    <w:rsid w:val="5AF54C6B"/>
    <w:rsid w:val="5B087B94"/>
    <w:rsid w:val="5B0C2FBE"/>
    <w:rsid w:val="5B0E3E89"/>
    <w:rsid w:val="5B124740"/>
    <w:rsid w:val="5B3E7FCE"/>
    <w:rsid w:val="5B3F66E7"/>
    <w:rsid w:val="5B872AE6"/>
    <w:rsid w:val="5BA77753"/>
    <w:rsid w:val="5BC025EF"/>
    <w:rsid w:val="5C1203C7"/>
    <w:rsid w:val="5C1F35AE"/>
    <w:rsid w:val="5C2023E0"/>
    <w:rsid w:val="5C3905BF"/>
    <w:rsid w:val="5C4B278D"/>
    <w:rsid w:val="5C66397A"/>
    <w:rsid w:val="5C7349B6"/>
    <w:rsid w:val="5C824C05"/>
    <w:rsid w:val="5C8723CB"/>
    <w:rsid w:val="5C8725EE"/>
    <w:rsid w:val="5C9125C3"/>
    <w:rsid w:val="5CB0251A"/>
    <w:rsid w:val="5CB97030"/>
    <w:rsid w:val="5CC97332"/>
    <w:rsid w:val="5CD66F29"/>
    <w:rsid w:val="5CFF67D4"/>
    <w:rsid w:val="5D187049"/>
    <w:rsid w:val="5D1D2427"/>
    <w:rsid w:val="5D6C3EA2"/>
    <w:rsid w:val="5D756277"/>
    <w:rsid w:val="5D955FBD"/>
    <w:rsid w:val="5DA62524"/>
    <w:rsid w:val="5DAC3919"/>
    <w:rsid w:val="5DB36259"/>
    <w:rsid w:val="5DBD33B2"/>
    <w:rsid w:val="5DC223CB"/>
    <w:rsid w:val="5DF66637"/>
    <w:rsid w:val="5DFF6858"/>
    <w:rsid w:val="5E185132"/>
    <w:rsid w:val="5E272402"/>
    <w:rsid w:val="5E277957"/>
    <w:rsid w:val="5E2A0167"/>
    <w:rsid w:val="5E505734"/>
    <w:rsid w:val="5E5D68E8"/>
    <w:rsid w:val="5E802A96"/>
    <w:rsid w:val="5E9074FF"/>
    <w:rsid w:val="5EB62A77"/>
    <w:rsid w:val="5EB80355"/>
    <w:rsid w:val="5EBB2226"/>
    <w:rsid w:val="5EBE5F24"/>
    <w:rsid w:val="5ED61633"/>
    <w:rsid w:val="5EF07004"/>
    <w:rsid w:val="5F0E1E9A"/>
    <w:rsid w:val="5F6E58DA"/>
    <w:rsid w:val="5F860C23"/>
    <w:rsid w:val="5FC44411"/>
    <w:rsid w:val="5FC502AF"/>
    <w:rsid w:val="60523204"/>
    <w:rsid w:val="605C7AA6"/>
    <w:rsid w:val="605F132B"/>
    <w:rsid w:val="605F50CE"/>
    <w:rsid w:val="608510A4"/>
    <w:rsid w:val="608762FF"/>
    <w:rsid w:val="609E1C45"/>
    <w:rsid w:val="60BD4FD1"/>
    <w:rsid w:val="60D507D0"/>
    <w:rsid w:val="60EA1511"/>
    <w:rsid w:val="60EB6C34"/>
    <w:rsid w:val="60FD5C7B"/>
    <w:rsid w:val="611D33DB"/>
    <w:rsid w:val="613D7E7B"/>
    <w:rsid w:val="6148590B"/>
    <w:rsid w:val="617162E9"/>
    <w:rsid w:val="61957B84"/>
    <w:rsid w:val="61997B1B"/>
    <w:rsid w:val="61A52BAA"/>
    <w:rsid w:val="61B160E0"/>
    <w:rsid w:val="61DA154B"/>
    <w:rsid w:val="61E00EBE"/>
    <w:rsid w:val="61FA0AE4"/>
    <w:rsid w:val="623438BB"/>
    <w:rsid w:val="624B10F0"/>
    <w:rsid w:val="624F3E48"/>
    <w:rsid w:val="62635981"/>
    <w:rsid w:val="628B066D"/>
    <w:rsid w:val="629A2553"/>
    <w:rsid w:val="629B3E75"/>
    <w:rsid w:val="629B5D43"/>
    <w:rsid w:val="62A36D1F"/>
    <w:rsid w:val="62A40365"/>
    <w:rsid w:val="62A469A9"/>
    <w:rsid w:val="62A92FF1"/>
    <w:rsid w:val="62B90FFE"/>
    <w:rsid w:val="62C2442B"/>
    <w:rsid w:val="62F6018D"/>
    <w:rsid w:val="63016E3A"/>
    <w:rsid w:val="63034141"/>
    <w:rsid w:val="63045E00"/>
    <w:rsid w:val="630A731B"/>
    <w:rsid w:val="63386B48"/>
    <w:rsid w:val="633A3FE7"/>
    <w:rsid w:val="63562840"/>
    <w:rsid w:val="637141EC"/>
    <w:rsid w:val="63805B1F"/>
    <w:rsid w:val="63834973"/>
    <w:rsid w:val="638F3DC7"/>
    <w:rsid w:val="6397194C"/>
    <w:rsid w:val="63DA4B5E"/>
    <w:rsid w:val="64273E62"/>
    <w:rsid w:val="642E2892"/>
    <w:rsid w:val="64500536"/>
    <w:rsid w:val="64AD7C37"/>
    <w:rsid w:val="64B05758"/>
    <w:rsid w:val="64BE4B0D"/>
    <w:rsid w:val="65075A96"/>
    <w:rsid w:val="650E600B"/>
    <w:rsid w:val="650F0C7B"/>
    <w:rsid w:val="651244AA"/>
    <w:rsid w:val="6536533B"/>
    <w:rsid w:val="65652812"/>
    <w:rsid w:val="657925FC"/>
    <w:rsid w:val="65B221E6"/>
    <w:rsid w:val="65E9332F"/>
    <w:rsid w:val="66426031"/>
    <w:rsid w:val="665809FD"/>
    <w:rsid w:val="66593B74"/>
    <w:rsid w:val="66651C8A"/>
    <w:rsid w:val="66675176"/>
    <w:rsid w:val="669F2C65"/>
    <w:rsid w:val="66B94751"/>
    <w:rsid w:val="66BE6B53"/>
    <w:rsid w:val="66C55FD8"/>
    <w:rsid w:val="66D333AF"/>
    <w:rsid w:val="67192A34"/>
    <w:rsid w:val="674A4927"/>
    <w:rsid w:val="676441C0"/>
    <w:rsid w:val="677243C5"/>
    <w:rsid w:val="678568CD"/>
    <w:rsid w:val="67A24F14"/>
    <w:rsid w:val="67BB4EAD"/>
    <w:rsid w:val="67E453F6"/>
    <w:rsid w:val="67ED1A7F"/>
    <w:rsid w:val="67F130F8"/>
    <w:rsid w:val="67F84AFE"/>
    <w:rsid w:val="680878A3"/>
    <w:rsid w:val="68340476"/>
    <w:rsid w:val="683870E8"/>
    <w:rsid w:val="68457681"/>
    <w:rsid w:val="684977D5"/>
    <w:rsid w:val="68552C50"/>
    <w:rsid w:val="685D34E7"/>
    <w:rsid w:val="68941380"/>
    <w:rsid w:val="68A0458C"/>
    <w:rsid w:val="68A8123A"/>
    <w:rsid w:val="68B84F4C"/>
    <w:rsid w:val="68D11B82"/>
    <w:rsid w:val="69055229"/>
    <w:rsid w:val="6929374C"/>
    <w:rsid w:val="692F20BB"/>
    <w:rsid w:val="69784C3F"/>
    <w:rsid w:val="69C1095D"/>
    <w:rsid w:val="69EE16D0"/>
    <w:rsid w:val="6A0138F7"/>
    <w:rsid w:val="6A143728"/>
    <w:rsid w:val="6A1E155A"/>
    <w:rsid w:val="6A6968C8"/>
    <w:rsid w:val="6A7B5447"/>
    <w:rsid w:val="6ABB48C8"/>
    <w:rsid w:val="6ADB012D"/>
    <w:rsid w:val="6AE3748E"/>
    <w:rsid w:val="6AF53FAE"/>
    <w:rsid w:val="6B1C3EC6"/>
    <w:rsid w:val="6B574638"/>
    <w:rsid w:val="6B615C8D"/>
    <w:rsid w:val="6B67068F"/>
    <w:rsid w:val="6B6E2E8D"/>
    <w:rsid w:val="6BAB6FBB"/>
    <w:rsid w:val="6BB568D4"/>
    <w:rsid w:val="6BC75CD2"/>
    <w:rsid w:val="6BDF79C7"/>
    <w:rsid w:val="6BE146ED"/>
    <w:rsid w:val="6C0B074D"/>
    <w:rsid w:val="6C1458EF"/>
    <w:rsid w:val="6C231806"/>
    <w:rsid w:val="6C275F8B"/>
    <w:rsid w:val="6C3B15FF"/>
    <w:rsid w:val="6C3B431E"/>
    <w:rsid w:val="6C3E5116"/>
    <w:rsid w:val="6C725FD7"/>
    <w:rsid w:val="6C852D02"/>
    <w:rsid w:val="6CA76A79"/>
    <w:rsid w:val="6CC0649B"/>
    <w:rsid w:val="6CEA2C90"/>
    <w:rsid w:val="6CFA5C74"/>
    <w:rsid w:val="6D2C0314"/>
    <w:rsid w:val="6D2C4A68"/>
    <w:rsid w:val="6D3B2E78"/>
    <w:rsid w:val="6D3C3AC0"/>
    <w:rsid w:val="6D410335"/>
    <w:rsid w:val="6D4305C3"/>
    <w:rsid w:val="6D48445E"/>
    <w:rsid w:val="6D500B73"/>
    <w:rsid w:val="6D666AA6"/>
    <w:rsid w:val="6D687043"/>
    <w:rsid w:val="6D7D6DC8"/>
    <w:rsid w:val="6D885EAB"/>
    <w:rsid w:val="6D953F0C"/>
    <w:rsid w:val="6DB67EBB"/>
    <w:rsid w:val="6DEF52E3"/>
    <w:rsid w:val="6E0E6A1E"/>
    <w:rsid w:val="6E2D763E"/>
    <w:rsid w:val="6E382C1C"/>
    <w:rsid w:val="6E420FB1"/>
    <w:rsid w:val="6E95768E"/>
    <w:rsid w:val="6EA14900"/>
    <w:rsid w:val="6EB27AA3"/>
    <w:rsid w:val="6EF9461D"/>
    <w:rsid w:val="6F1348E9"/>
    <w:rsid w:val="6F2A01FE"/>
    <w:rsid w:val="6F2A71A4"/>
    <w:rsid w:val="6F37422A"/>
    <w:rsid w:val="6F487F58"/>
    <w:rsid w:val="6F7B18AD"/>
    <w:rsid w:val="6F887FB7"/>
    <w:rsid w:val="6F9415EA"/>
    <w:rsid w:val="6FA13D0F"/>
    <w:rsid w:val="6FB72F84"/>
    <w:rsid w:val="6FCA5E7C"/>
    <w:rsid w:val="6FE3419F"/>
    <w:rsid w:val="6FF4146C"/>
    <w:rsid w:val="6FF778F1"/>
    <w:rsid w:val="700346D4"/>
    <w:rsid w:val="700706FE"/>
    <w:rsid w:val="700B4E58"/>
    <w:rsid w:val="70287F2C"/>
    <w:rsid w:val="709A492D"/>
    <w:rsid w:val="70AF69EB"/>
    <w:rsid w:val="70F97D93"/>
    <w:rsid w:val="71080DF4"/>
    <w:rsid w:val="71181113"/>
    <w:rsid w:val="711D7CA6"/>
    <w:rsid w:val="71227E63"/>
    <w:rsid w:val="714C6333"/>
    <w:rsid w:val="71614B6B"/>
    <w:rsid w:val="71874C72"/>
    <w:rsid w:val="718D2905"/>
    <w:rsid w:val="719909D2"/>
    <w:rsid w:val="719B61D4"/>
    <w:rsid w:val="71A10922"/>
    <w:rsid w:val="71D214DD"/>
    <w:rsid w:val="72091DAA"/>
    <w:rsid w:val="72267D97"/>
    <w:rsid w:val="724E29D1"/>
    <w:rsid w:val="72737252"/>
    <w:rsid w:val="728564F5"/>
    <w:rsid w:val="728B7ACE"/>
    <w:rsid w:val="728E70EC"/>
    <w:rsid w:val="72914DBF"/>
    <w:rsid w:val="729701CD"/>
    <w:rsid w:val="72AB431D"/>
    <w:rsid w:val="72B20310"/>
    <w:rsid w:val="72DA09BB"/>
    <w:rsid w:val="72DC619D"/>
    <w:rsid w:val="72DF0101"/>
    <w:rsid w:val="72E745EF"/>
    <w:rsid w:val="72F95434"/>
    <w:rsid w:val="730E0485"/>
    <w:rsid w:val="730E4D7D"/>
    <w:rsid w:val="731466EF"/>
    <w:rsid w:val="73212A01"/>
    <w:rsid w:val="73322FF0"/>
    <w:rsid w:val="733712FB"/>
    <w:rsid w:val="73460FB0"/>
    <w:rsid w:val="73513F28"/>
    <w:rsid w:val="735A7119"/>
    <w:rsid w:val="736127BE"/>
    <w:rsid w:val="739E0038"/>
    <w:rsid w:val="73B34591"/>
    <w:rsid w:val="73D850A2"/>
    <w:rsid w:val="73DE7F6C"/>
    <w:rsid w:val="73E14FB1"/>
    <w:rsid w:val="73E365CE"/>
    <w:rsid w:val="73E64B1D"/>
    <w:rsid w:val="740735EA"/>
    <w:rsid w:val="7408106C"/>
    <w:rsid w:val="743D6213"/>
    <w:rsid w:val="7468110F"/>
    <w:rsid w:val="749E2818"/>
    <w:rsid w:val="74BE4E97"/>
    <w:rsid w:val="74C76B0E"/>
    <w:rsid w:val="74D504C8"/>
    <w:rsid w:val="74F679F1"/>
    <w:rsid w:val="74F841F7"/>
    <w:rsid w:val="75003D28"/>
    <w:rsid w:val="750445F2"/>
    <w:rsid w:val="751D637E"/>
    <w:rsid w:val="751F2555"/>
    <w:rsid w:val="753504B8"/>
    <w:rsid w:val="75466A74"/>
    <w:rsid w:val="75506896"/>
    <w:rsid w:val="758418D8"/>
    <w:rsid w:val="75A17528"/>
    <w:rsid w:val="75AA6AC3"/>
    <w:rsid w:val="75B749A9"/>
    <w:rsid w:val="75CD3F16"/>
    <w:rsid w:val="76781DCD"/>
    <w:rsid w:val="768B3877"/>
    <w:rsid w:val="76D84698"/>
    <w:rsid w:val="76DE77C7"/>
    <w:rsid w:val="77527CA0"/>
    <w:rsid w:val="775865D7"/>
    <w:rsid w:val="775B4584"/>
    <w:rsid w:val="776234AF"/>
    <w:rsid w:val="776D12AE"/>
    <w:rsid w:val="77AD0FE0"/>
    <w:rsid w:val="77BE7384"/>
    <w:rsid w:val="77E30F43"/>
    <w:rsid w:val="78473A3B"/>
    <w:rsid w:val="787E4AA3"/>
    <w:rsid w:val="78821B50"/>
    <w:rsid w:val="788E2A2A"/>
    <w:rsid w:val="78BC088E"/>
    <w:rsid w:val="78C52EE0"/>
    <w:rsid w:val="78D23C9C"/>
    <w:rsid w:val="78E91D68"/>
    <w:rsid w:val="7913610A"/>
    <w:rsid w:val="791A167A"/>
    <w:rsid w:val="79473261"/>
    <w:rsid w:val="796B6F7E"/>
    <w:rsid w:val="79935707"/>
    <w:rsid w:val="799A2128"/>
    <w:rsid w:val="79C30D65"/>
    <w:rsid w:val="79CC3295"/>
    <w:rsid w:val="79F17E25"/>
    <w:rsid w:val="7A0B1561"/>
    <w:rsid w:val="7A25258A"/>
    <w:rsid w:val="7A290229"/>
    <w:rsid w:val="7A2C646D"/>
    <w:rsid w:val="7A55546C"/>
    <w:rsid w:val="7A743686"/>
    <w:rsid w:val="7A7A4A93"/>
    <w:rsid w:val="7A824E2E"/>
    <w:rsid w:val="7A93705D"/>
    <w:rsid w:val="7A9E7BE0"/>
    <w:rsid w:val="7AFF6437"/>
    <w:rsid w:val="7B021BF1"/>
    <w:rsid w:val="7B073756"/>
    <w:rsid w:val="7B583BC8"/>
    <w:rsid w:val="7B9F2862"/>
    <w:rsid w:val="7BA9751C"/>
    <w:rsid w:val="7BAB44F6"/>
    <w:rsid w:val="7BB856C6"/>
    <w:rsid w:val="7BBB27D3"/>
    <w:rsid w:val="7BBC001C"/>
    <w:rsid w:val="7BC24A45"/>
    <w:rsid w:val="7BC91D43"/>
    <w:rsid w:val="7BD52A90"/>
    <w:rsid w:val="7BEB5C69"/>
    <w:rsid w:val="7BF91A77"/>
    <w:rsid w:val="7C076616"/>
    <w:rsid w:val="7C0D60AB"/>
    <w:rsid w:val="7C295DFC"/>
    <w:rsid w:val="7C4B37FA"/>
    <w:rsid w:val="7C58255B"/>
    <w:rsid w:val="7C5B5FF8"/>
    <w:rsid w:val="7C7C070E"/>
    <w:rsid w:val="7C910DB6"/>
    <w:rsid w:val="7CF03F88"/>
    <w:rsid w:val="7CF73786"/>
    <w:rsid w:val="7D5E51C4"/>
    <w:rsid w:val="7D7525FB"/>
    <w:rsid w:val="7DC111D1"/>
    <w:rsid w:val="7DC43A43"/>
    <w:rsid w:val="7DC74225"/>
    <w:rsid w:val="7DDA69EF"/>
    <w:rsid w:val="7DE30977"/>
    <w:rsid w:val="7E165F98"/>
    <w:rsid w:val="7E542EB1"/>
    <w:rsid w:val="7E6C26A2"/>
    <w:rsid w:val="7E6F0B56"/>
    <w:rsid w:val="7E7B2376"/>
    <w:rsid w:val="7EB35583"/>
    <w:rsid w:val="7EB5276C"/>
    <w:rsid w:val="7EBC57D7"/>
    <w:rsid w:val="7ED0794B"/>
    <w:rsid w:val="7ED70A6F"/>
    <w:rsid w:val="7EE20D78"/>
    <w:rsid w:val="7F293E4E"/>
    <w:rsid w:val="7F3206AA"/>
    <w:rsid w:val="7F5E6382"/>
    <w:rsid w:val="7F5F2553"/>
    <w:rsid w:val="7F89742A"/>
    <w:rsid w:val="7F965783"/>
    <w:rsid w:val="7F9B22D0"/>
    <w:rsid w:val="7F9E5D8E"/>
    <w:rsid w:val="7F9F74D0"/>
    <w:rsid w:val="7FA200C0"/>
    <w:rsid w:val="7FA23B7F"/>
    <w:rsid w:val="7FBE60DA"/>
    <w:rsid w:val="7FBF3588"/>
    <w:rsid w:val="7FDE4F4F"/>
    <w:rsid w:val="7FEB69A3"/>
    <w:rsid w:val="7FFB0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7">
    <w:name w:val="Normal Indent"/>
    <w:basedOn w:val="1"/>
    <w:qFormat/>
    <w:uiPriority w:val="0"/>
    <w:pPr>
      <w:ind w:firstLine="420"/>
    </w:pPr>
    <w:rPr>
      <w:szCs w:val="20"/>
    </w:rPr>
  </w:style>
  <w:style w:type="paragraph" w:styleId="8">
    <w:name w:val="Document Map"/>
    <w:basedOn w:val="1"/>
    <w:link w:val="35"/>
    <w:qFormat/>
    <w:uiPriority w:val="0"/>
    <w:rPr>
      <w:rFonts w:ascii="宋体" w:hAnsi="Tahoma"/>
      <w:sz w:val="18"/>
      <w:szCs w:val="18"/>
    </w:rPr>
  </w:style>
  <w:style w:type="paragraph" w:styleId="9">
    <w:name w:val="annotation text"/>
    <w:basedOn w:val="1"/>
    <w:link w:val="64"/>
    <w:semiHidden/>
    <w:qFormat/>
    <w:uiPriority w:val="99"/>
    <w:pPr>
      <w:jc w:val="left"/>
    </w:pPr>
    <w:rPr>
      <w:rFonts w:ascii="Tahoma" w:hAnsi="Tahoma"/>
    </w:rPr>
  </w:style>
  <w:style w:type="paragraph" w:styleId="10">
    <w:name w:val="Body Text 3"/>
    <w:basedOn w:val="1"/>
    <w:qFormat/>
    <w:uiPriority w:val="0"/>
    <w:rPr>
      <w:kern w:val="0"/>
      <w:sz w:val="16"/>
      <w:szCs w:val="16"/>
    </w:rPr>
  </w:style>
  <w:style w:type="paragraph" w:styleId="11">
    <w:name w:val="Body Text Indent"/>
    <w:basedOn w:val="1"/>
    <w:qFormat/>
    <w:uiPriority w:val="0"/>
    <w:pPr>
      <w:spacing w:after="120"/>
      <w:ind w:left="420" w:leftChars="200"/>
    </w:pPr>
  </w:style>
  <w:style w:type="paragraph" w:styleId="12">
    <w:name w:val="Block Text"/>
    <w:basedOn w:val="1"/>
    <w:qFormat/>
    <w:uiPriority w:val="0"/>
    <w:pPr>
      <w:autoSpaceDE w:val="0"/>
      <w:autoSpaceDN w:val="0"/>
      <w:adjustRightInd w:val="0"/>
      <w:spacing w:line="500" w:lineRule="exact"/>
      <w:ind w:left="391" w:right="246"/>
    </w:pPr>
    <w:rPr>
      <w:rFonts w:ascii="仿宋_GB2312" w:eastAsia="仿宋_GB2312"/>
      <w:kern w:val="0"/>
      <w:sz w:val="24"/>
    </w:rPr>
  </w:style>
  <w:style w:type="paragraph" w:styleId="13">
    <w:name w:val="toc 3"/>
    <w:basedOn w:val="1"/>
    <w:next w:val="1"/>
    <w:unhideWhenUsed/>
    <w:qFormat/>
    <w:uiPriority w:val="39"/>
    <w:pPr>
      <w:ind w:left="840" w:leftChars="400"/>
    </w:pPr>
    <w:rPr>
      <w:sz w:val="28"/>
    </w:rPr>
  </w:style>
  <w:style w:type="paragraph" w:styleId="14">
    <w:name w:val="Plain Text"/>
    <w:basedOn w:val="1"/>
    <w:qFormat/>
    <w:uiPriority w:val="0"/>
    <w:rPr>
      <w:rFonts w:ascii="宋体" w:hAnsi="Courier New" w:eastAsia="楷体_GB2312"/>
      <w:snapToGrid w:val="0"/>
      <w:color w:val="000000"/>
      <w:kern w:val="0"/>
      <w:sz w:val="32"/>
      <w:szCs w:val="21"/>
    </w:rPr>
  </w:style>
  <w:style w:type="paragraph" w:styleId="15">
    <w:name w:val="Date"/>
    <w:basedOn w:val="1"/>
    <w:next w:val="1"/>
    <w:qFormat/>
    <w:uiPriority w:val="0"/>
    <w:rPr>
      <w:rFonts w:ascii="楷体_GB2312" w:eastAsia="楷体_GB2312"/>
      <w:color w:val="000000"/>
      <w:kern w:val="0"/>
      <w:sz w:val="32"/>
      <w:szCs w:val="32"/>
    </w:rPr>
  </w:style>
  <w:style w:type="paragraph" w:styleId="16">
    <w:name w:val="Body Text Indent 2"/>
    <w:basedOn w:val="1"/>
    <w:qFormat/>
    <w:uiPriority w:val="0"/>
    <w:pPr>
      <w:autoSpaceDE w:val="0"/>
      <w:autoSpaceDN w:val="0"/>
      <w:adjustRightInd w:val="0"/>
      <w:spacing w:line="489" w:lineRule="atLeast"/>
      <w:ind w:firstLine="709"/>
      <w:jc w:val="left"/>
    </w:pPr>
    <w:rPr>
      <w:rFonts w:ascii="华文仿宋" w:hAnsi="华文仿宋" w:eastAsia="华文仿宋"/>
      <w:color w:val="000000"/>
      <w:kern w:val="0"/>
      <w:sz w:val="32"/>
      <w:szCs w:val="32"/>
    </w:rPr>
  </w:style>
  <w:style w:type="paragraph" w:styleId="17">
    <w:name w:val="Balloon Text"/>
    <w:basedOn w:val="1"/>
    <w:unhideWhenUsed/>
    <w:qFormat/>
    <w:uiPriority w:val="0"/>
    <w:rPr>
      <w:sz w:val="18"/>
      <w:szCs w:val="18"/>
    </w:rPr>
  </w:style>
  <w:style w:type="paragraph" w:styleId="18">
    <w:name w:val="footer"/>
    <w:basedOn w:val="1"/>
    <w:link w:val="58"/>
    <w:qFormat/>
    <w:uiPriority w:val="99"/>
    <w:pPr>
      <w:tabs>
        <w:tab w:val="center" w:pos="4153"/>
        <w:tab w:val="right" w:pos="8306"/>
      </w:tabs>
      <w:snapToGrid w:val="0"/>
      <w:jc w:val="left"/>
    </w:pPr>
    <w:rPr>
      <w:rFonts w:ascii="Tahoma" w:hAnsi="Tahoma"/>
      <w:sz w:val="18"/>
      <w:szCs w:val="18"/>
    </w:rPr>
  </w:style>
  <w:style w:type="paragraph" w:styleId="19">
    <w:name w:val="header"/>
    <w:basedOn w:val="1"/>
    <w:next w:val="12"/>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style>
  <w:style w:type="paragraph" w:styleId="21">
    <w:name w:val="Body Text Indent 3"/>
    <w:basedOn w:val="1"/>
    <w:qFormat/>
    <w:uiPriority w:val="0"/>
    <w:pPr>
      <w:ind w:left="359" w:leftChars="171" w:firstLine="554" w:firstLineChars="198"/>
    </w:pPr>
    <w:rPr>
      <w:sz w:val="28"/>
      <w:szCs w:val="20"/>
    </w:rPr>
  </w:style>
  <w:style w:type="paragraph" w:styleId="22">
    <w:name w:val="toc 2"/>
    <w:basedOn w:val="1"/>
    <w:next w:val="1"/>
    <w:qFormat/>
    <w:uiPriority w:val="39"/>
    <w:pPr>
      <w:ind w:left="420" w:leftChars="200"/>
    </w:pPr>
  </w:style>
  <w:style w:type="paragraph" w:styleId="23">
    <w:name w:val="Body Text 2"/>
    <w:basedOn w:val="1"/>
    <w:qFormat/>
    <w:uiPriority w:val="0"/>
    <w:pPr>
      <w:spacing w:after="120" w:line="480" w:lineRule="auto"/>
    </w:pPr>
  </w:style>
  <w:style w:type="paragraph" w:styleId="24">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25">
    <w:name w:val="annotation subject"/>
    <w:basedOn w:val="9"/>
    <w:next w:val="9"/>
    <w:link w:val="62"/>
    <w:qFormat/>
    <w:uiPriority w:val="0"/>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0"/>
    <w:rPr>
      <w:rFonts w:ascii="Tahoma" w:hAnsi="Tahoma"/>
      <w:b/>
      <w:bCs/>
      <w:sz w:val="24"/>
    </w:rPr>
  </w:style>
  <w:style w:type="character" w:styleId="30">
    <w:name w:val="page number"/>
    <w:basedOn w:val="28"/>
    <w:qFormat/>
    <w:uiPriority w:val="0"/>
  </w:style>
  <w:style w:type="character" w:styleId="31">
    <w:name w:val="FollowedHyperlink"/>
    <w:qFormat/>
    <w:uiPriority w:val="0"/>
    <w:rPr>
      <w:rFonts w:ascii="Tahoma" w:hAnsi="Tahoma"/>
      <w:color w:val="000000"/>
      <w:sz w:val="18"/>
      <w:szCs w:val="18"/>
      <w:u w:val="none"/>
    </w:rPr>
  </w:style>
  <w:style w:type="character" w:styleId="32">
    <w:name w:val="Hyperlink"/>
    <w:qFormat/>
    <w:uiPriority w:val="99"/>
    <w:rPr>
      <w:rFonts w:ascii="Tahoma" w:hAnsi="Tahoma"/>
      <w:color w:val="0000FF"/>
      <w:sz w:val="24"/>
      <w:u w:val="single"/>
    </w:rPr>
  </w:style>
  <w:style w:type="character" w:styleId="33">
    <w:name w:val="annotation reference"/>
    <w:unhideWhenUsed/>
    <w:qFormat/>
    <w:uiPriority w:val="99"/>
    <w:rPr>
      <w:rFonts w:ascii="Tahoma" w:hAnsi="Tahoma"/>
      <w:sz w:val="21"/>
      <w:szCs w:val="21"/>
    </w:rPr>
  </w:style>
  <w:style w:type="character" w:customStyle="1" w:styleId="34">
    <w:name w:val="cfdate"/>
    <w:basedOn w:val="28"/>
    <w:qFormat/>
    <w:uiPriority w:val="0"/>
    <w:rPr>
      <w:color w:val="333333"/>
      <w:sz w:val="18"/>
      <w:szCs w:val="18"/>
    </w:rPr>
  </w:style>
  <w:style w:type="character" w:customStyle="1" w:styleId="35">
    <w:name w:val="文档结构图 字符"/>
    <w:link w:val="8"/>
    <w:qFormat/>
    <w:uiPriority w:val="0"/>
    <w:rPr>
      <w:rFonts w:ascii="宋体" w:hAnsi="Tahoma"/>
      <w:kern w:val="2"/>
      <w:sz w:val="18"/>
      <w:szCs w:val="18"/>
    </w:rPr>
  </w:style>
  <w:style w:type="character" w:customStyle="1" w:styleId="36">
    <w:name w:val="copyright"/>
    <w:basedOn w:val="28"/>
    <w:qFormat/>
    <w:uiPriority w:val="0"/>
  </w:style>
  <w:style w:type="character" w:customStyle="1" w:styleId="37">
    <w:name w:val="Char Char6"/>
    <w:qFormat/>
    <w:uiPriority w:val="0"/>
    <w:rPr>
      <w:rFonts w:ascii="Tahoma" w:hAnsi="Tahoma" w:eastAsia="宋体"/>
      <w:b/>
      <w:bCs/>
      <w:kern w:val="2"/>
      <w:sz w:val="32"/>
      <w:szCs w:val="32"/>
      <w:lang w:val="en-US" w:eastAsia="zh-CN" w:bidi="ar-SA"/>
    </w:rPr>
  </w:style>
  <w:style w:type="character" w:customStyle="1" w:styleId="38">
    <w:name w:val="qxdate"/>
    <w:basedOn w:val="28"/>
    <w:qFormat/>
    <w:uiPriority w:val="0"/>
    <w:rPr>
      <w:color w:val="333333"/>
      <w:sz w:val="18"/>
      <w:szCs w:val="18"/>
    </w:rPr>
  </w:style>
  <w:style w:type="character" w:customStyle="1" w:styleId="39">
    <w:name w:val="gjfg"/>
    <w:basedOn w:val="28"/>
    <w:qFormat/>
    <w:uiPriority w:val="0"/>
  </w:style>
  <w:style w:type="character" w:customStyle="1" w:styleId="40">
    <w:name w:val="Char Char3"/>
    <w:semiHidden/>
    <w:qFormat/>
    <w:uiPriority w:val="0"/>
    <w:rPr>
      <w:rFonts w:ascii="Tahoma" w:hAnsi="Tahoma" w:eastAsia="宋体"/>
      <w:kern w:val="2"/>
      <w:sz w:val="18"/>
      <w:szCs w:val="18"/>
      <w:lang w:val="en-US" w:eastAsia="zh-CN" w:bidi="ar-SA"/>
    </w:rPr>
  </w:style>
  <w:style w:type="character" w:customStyle="1" w:styleId="41">
    <w:name w:val="普通文字 Char2"/>
    <w:qFormat/>
    <w:uiPriority w:val="0"/>
    <w:rPr>
      <w:rFonts w:ascii="宋体" w:hAnsi="Courier New" w:eastAsia="楷体_GB2312"/>
      <w:snapToGrid w:val="0"/>
      <w:color w:val="000000"/>
      <w:sz w:val="32"/>
      <w:szCs w:val="21"/>
      <w:lang w:val="en-US" w:eastAsia="zh-CN" w:bidi="ar-SA"/>
    </w:rPr>
  </w:style>
  <w:style w:type="character" w:customStyle="1" w:styleId="42">
    <w:name w:val="Char Char4"/>
    <w:qFormat/>
    <w:uiPriority w:val="0"/>
    <w:rPr>
      <w:rFonts w:ascii="Tahoma" w:hAnsi="Tahoma" w:eastAsia="宋体"/>
      <w:kern w:val="2"/>
      <w:sz w:val="18"/>
      <w:szCs w:val="18"/>
      <w:lang w:val="en-US" w:eastAsia="zh-CN" w:bidi="ar-SA"/>
    </w:rPr>
  </w:style>
  <w:style w:type="character" w:customStyle="1" w:styleId="43">
    <w:name w:val="font51"/>
    <w:qFormat/>
    <w:uiPriority w:val="0"/>
    <w:rPr>
      <w:rFonts w:hint="eastAsia" w:ascii="宋体" w:hAnsi="宋体" w:eastAsia="宋体" w:cs="宋体"/>
      <w:color w:val="000000"/>
      <w:sz w:val="21"/>
      <w:szCs w:val="21"/>
      <w:u w:val="none"/>
    </w:rPr>
  </w:style>
  <w:style w:type="character" w:customStyle="1" w:styleId="44">
    <w:name w:val="Char Char1"/>
    <w:semiHidden/>
    <w:qFormat/>
    <w:uiPriority w:val="0"/>
    <w:rPr>
      <w:rFonts w:ascii="Tahoma" w:hAnsi="Tahoma" w:eastAsia="宋体"/>
      <w:kern w:val="2"/>
      <w:sz w:val="28"/>
      <w:lang w:val="en-US" w:eastAsia="zh-CN" w:bidi="ar-SA"/>
    </w:rPr>
  </w:style>
  <w:style w:type="character" w:customStyle="1" w:styleId="45">
    <w:name w:val="profont1"/>
    <w:qFormat/>
    <w:uiPriority w:val="0"/>
    <w:rPr>
      <w:rFonts w:hint="default" w:ascii="Verdana" w:hAnsi="Verdana"/>
      <w:b/>
      <w:bCs/>
      <w:color w:val="333333"/>
      <w:sz w:val="24"/>
      <w:szCs w:val="24"/>
      <w:u w:val="none"/>
    </w:rPr>
  </w:style>
  <w:style w:type="character" w:customStyle="1" w:styleId="46">
    <w:name w:val="标题 2 Char"/>
    <w:qFormat/>
    <w:uiPriority w:val="0"/>
    <w:rPr>
      <w:rFonts w:ascii="Arial" w:hAnsi="Arial" w:eastAsia="黑体"/>
      <w:b/>
      <w:bCs/>
      <w:kern w:val="2"/>
      <w:sz w:val="32"/>
      <w:szCs w:val="32"/>
      <w:lang w:val="en-US" w:eastAsia="zh-CN" w:bidi="ar-SA"/>
    </w:rPr>
  </w:style>
  <w:style w:type="character" w:customStyle="1" w:styleId="47">
    <w:name w:val="Char Char5"/>
    <w:qFormat/>
    <w:uiPriority w:val="0"/>
    <w:rPr>
      <w:rFonts w:ascii="Tahoma" w:hAnsi="Tahoma" w:eastAsia="宋体"/>
      <w:kern w:val="2"/>
      <w:sz w:val="18"/>
      <w:szCs w:val="18"/>
      <w:lang w:val="en-US" w:eastAsia="zh-CN" w:bidi="ar-SA"/>
    </w:rPr>
  </w:style>
  <w:style w:type="character" w:customStyle="1" w:styleId="48">
    <w:name w:val="标题 1.1 Char1"/>
    <w:qFormat/>
    <w:uiPriority w:val="0"/>
    <w:rPr>
      <w:rFonts w:ascii="Arial" w:hAnsi="Arial" w:eastAsia="黑体"/>
      <w:b/>
      <w:bCs/>
      <w:kern w:val="2"/>
      <w:sz w:val="32"/>
      <w:szCs w:val="32"/>
      <w:lang w:val="en-US" w:eastAsia="zh-CN" w:bidi="ar-SA"/>
    </w:rPr>
  </w:style>
  <w:style w:type="character" w:customStyle="1" w:styleId="49">
    <w:name w:val="font01"/>
    <w:qFormat/>
    <w:uiPriority w:val="0"/>
    <w:rPr>
      <w:rFonts w:hint="eastAsia" w:ascii="宋体" w:hAnsi="宋体" w:eastAsia="宋体" w:cs="宋体"/>
      <w:color w:val="000000"/>
      <w:sz w:val="24"/>
      <w:szCs w:val="24"/>
      <w:u w:val="none"/>
    </w:rPr>
  </w:style>
  <w:style w:type="character" w:customStyle="1" w:styleId="50">
    <w:name w:val="font11"/>
    <w:qFormat/>
    <w:uiPriority w:val="0"/>
    <w:rPr>
      <w:rFonts w:hint="eastAsia" w:ascii="宋体" w:hAnsi="宋体" w:eastAsia="宋体" w:cs="宋体"/>
      <w:b/>
      <w:color w:val="000000"/>
      <w:sz w:val="24"/>
      <w:szCs w:val="24"/>
      <w:u w:val="none"/>
    </w:rPr>
  </w:style>
  <w:style w:type="character" w:customStyle="1" w:styleId="51">
    <w:name w:val="Char Char"/>
    <w:qFormat/>
    <w:uiPriority w:val="0"/>
    <w:rPr>
      <w:rFonts w:ascii="Tahoma" w:hAnsi="Tahoma"/>
      <w:kern w:val="2"/>
      <w:sz w:val="21"/>
      <w:szCs w:val="24"/>
    </w:rPr>
  </w:style>
  <w:style w:type="character" w:customStyle="1" w:styleId="52">
    <w:name w:val="style111"/>
    <w:qFormat/>
    <w:uiPriority w:val="0"/>
    <w:rPr>
      <w:rFonts w:ascii="Tahoma" w:hAnsi="Tahoma"/>
      <w:sz w:val="22"/>
      <w:szCs w:val="22"/>
    </w:rPr>
  </w:style>
  <w:style w:type="character" w:customStyle="1" w:styleId="53">
    <w:name w:val="displayarti"/>
    <w:basedOn w:val="28"/>
    <w:qFormat/>
    <w:uiPriority w:val="0"/>
    <w:rPr>
      <w:color w:val="FFFFFF"/>
      <w:shd w:val="clear" w:color="auto" w:fill="A00000"/>
    </w:rPr>
  </w:style>
  <w:style w:type="character" w:customStyle="1" w:styleId="54">
    <w:name w:val="Char Char7"/>
    <w:qFormat/>
    <w:uiPriority w:val="0"/>
    <w:rPr>
      <w:rFonts w:ascii="Tahoma" w:hAnsi="Tahoma" w:eastAsia="宋体"/>
      <w:b/>
      <w:bCs/>
      <w:kern w:val="44"/>
      <w:sz w:val="44"/>
      <w:szCs w:val="44"/>
      <w:lang w:val="en-US" w:eastAsia="zh-CN" w:bidi="ar-SA"/>
    </w:rPr>
  </w:style>
  <w:style w:type="character" w:customStyle="1" w:styleId="55">
    <w:name w:val="font31"/>
    <w:qFormat/>
    <w:uiPriority w:val="0"/>
    <w:rPr>
      <w:rFonts w:hint="eastAsia" w:ascii="宋体" w:hAnsi="宋体" w:eastAsia="宋体" w:cs="宋体"/>
      <w:color w:val="000000"/>
      <w:sz w:val="21"/>
      <w:szCs w:val="21"/>
      <w:u w:val="none"/>
    </w:rPr>
  </w:style>
  <w:style w:type="character" w:customStyle="1" w:styleId="56">
    <w:name w:val="Char Char2"/>
    <w:qFormat/>
    <w:uiPriority w:val="0"/>
    <w:rPr>
      <w:rFonts w:ascii="华文仿宋" w:hAnsi="华文仿宋" w:eastAsia="华文仿宋"/>
      <w:color w:val="000000"/>
      <w:sz w:val="32"/>
      <w:szCs w:val="32"/>
      <w:lang w:val="en-US" w:eastAsia="zh-CN" w:bidi="ar-SA"/>
    </w:rPr>
  </w:style>
  <w:style w:type="character" w:customStyle="1" w:styleId="57">
    <w:name w:val="style51"/>
    <w:qFormat/>
    <w:uiPriority w:val="0"/>
    <w:rPr>
      <w:rFonts w:ascii="Tahoma" w:hAnsi="Tahoma"/>
      <w:b/>
      <w:bCs/>
      <w:color w:val="814107"/>
      <w:sz w:val="21"/>
      <w:szCs w:val="21"/>
    </w:rPr>
  </w:style>
  <w:style w:type="character" w:customStyle="1" w:styleId="58">
    <w:name w:val="页脚 字符"/>
    <w:link w:val="18"/>
    <w:qFormat/>
    <w:uiPriority w:val="99"/>
    <w:rPr>
      <w:rFonts w:ascii="Tahoma" w:hAnsi="Tahoma"/>
      <w:kern w:val="2"/>
      <w:sz w:val="18"/>
      <w:szCs w:val="18"/>
    </w:rPr>
  </w:style>
  <w:style w:type="character" w:customStyle="1" w:styleId="59">
    <w:name w:val="标题 1.1 Char"/>
    <w:qFormat/>
    <w:uiPriority w:val="0"/>
    <w:rPr>
      <w:rFonts w:ascii="仿宋_GB2312" w:hAnsi="Arial" w:eastAsia="仿宋_GB2312" w:cs="Arial"/>
      <w:b/>
      <w:bCs/>
      <w:kern w:val="2"/>
      <w:sz w:val="24"/>
      <w:szCs w:val="24"/>
      <w:lang w:val="en-US" w:eastAsia="zh-CN" w:bidi="ar-SA"/>
    </w:rPr>
  </w:style>
  <w:style w:type="character" w:customStyle="1" w:styleId="60">
    <w:name w:val="普通文字 Char1"/>
    <w:qFormat/>
    <w:uiPriority w:val="0"/>
    <w:rPr>
      <w:rFonts w:ascii="宋体" w:hAnsi="Courier New" w:eastAsia="宋体"/>
      <w:kern w:val="2"/>
      <w:sz w:val="21"/>
      <w:szCs w:val="21"/>
      <w:lang w:val="en-US" w:eastAsia="zh-CN" w:bidi="ar-SA"/>
    </w:rPr>
  </w:style>
  <w:style w:type="character" w:customStyle="1" w:styleId="61">
    <w:name w:val="font41"/>
    <w:qFormat/>
    <w:uiPriority w:val="0"/>
    <w:rPr>
      <w:rFonts w:ascii="font-weight : 400" w:hAnsi="font-weight : 400" w:eastAsia="font-weight : 400" w:cs="font-weight : 400"/>
      <w:color w:val="000000"/>
      <w:sz w:val="21"/>
      <w:szCs w:val="21"/>
      <w:u w:val="none"/>
    </w:rPr>
  </w:style>
  <w:style w:type="character" w:customStyle="1" w:styleId="62">
    <w:name w:val="批注主题 字符"/>
    <w:link w:val="25"/>
    <w:qFormat/>
    <w:uiPriority w:val="0"/>
    <w:rPr>
      <w:rFonts w:ascii="Tahoma" w:hAnsi="Tahoma"/>
      <w:b/>
      <w:bCs/>
      <w:kern w:val="2"/>
      <w:sz w:val="21"/>
      <w:szCs w:val="24"/>
    </w:rPr>
  </w:style>
  <w:style w:type="character" w:customStyle="1" w:styleId="63">
    <w:name w:val="redfilefwwh"/>
    <w:basedOn w:val="28"/>
    <w:qFormat/>
    <w:uiPriority w:val="0"/>
    <w:rPr>
      <w:color w:val="BA2636"/>
      <w:sz w:val="18"/>
      <w:szCs w:val="18"/>
    </w:rPr>
  </w:style>
  <w:style w:type="character" w:customStyle="1" w:styleId="64">
    <w:name w:val="批注文字 字符"/>
    <w:link w:val="9"/>
    <w:semiHidden/>
    <w:qFormat/>
    <w:uiPriority w:val="99"/>
    <w:rPr>
      <w:rFonts w:ascii="Tahoma" w:hAnsi="Tahoma"/>
      <w:kern w:val="2"/>
      <w:sz w:val="21"/>
      <w:szCs w:val="24"/>
    </w:rPr>
  </w:style>
  <w:style w:type="character" w:customStyle="1" w:styleId="65">
    <w:name w:val="redfilenumber"/>
    <w:basedOn w:val="28"/>
    <w:qFormat/>
    <w:uiPriority w:val="0"/>
    <w:rPr>
      <w:color w:val="BA2636"/>
      <w:sz w:val="18"/>
      <w:szCs w:val="18"/>
    </w:rPr>
  </w:style>
  <w:style w:type="paragraph" w:customStyle="1" w:styleId="66">
    <w:name w:val="Char1 Char Char Char"/>
    <w:basedOn w:val="1"/>
    <w:qFormat/>
    <w:uiPriority w:val="0"/>
    <w:pPr>
      <w:adjustRightInd w:val="0"/>
      <w:spacing w:line="360" w:lineRule="auto"/>
    </w:pPr>
    <w:rPr>
      <w:kern w:val="0"/>
      <w:sz w:val="24"/>
      <w:szCs w:val="20"/>
    </w:rPr>
  </w:style>
  <w:style w:type="paragraph" w:customStyle="1" w:styleId="67">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8">
    <w:name w:val="_Style 2"/>
    <w:basedOn w:val="1"/>
    <w:qFormat/>
    <w:uiPriority w:val="34"/>
    <w:pPr>
      <w:ind w:firstLine="420" w:firstLineChars="200"/>
    </w:pPr>
  </w:style>
  <w:style w:type="paragraph" w:customStyle="1" w:styleId="69">
    <w:name w:val="Char Char Char Char Char Char"/>
    <w:basedOn w:val="1"/>
    <w:qFormat/>
    <w:uiPriority w:val="0"/>
    <w:rPr>
      <w:rFonts w:ascii="Tahoma" w:hAnsi="Tahoma"/>
      <w:sz w:val="24"/>
    </w:rPr>
  </w:style>
  <w:style w:type="paragraph" w:customStyle="1" w:styleId="70">
    <w:name w:val="章标题"/>
    <w:next w:val="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71">
    <w:name w:val="Char Char Char"/>
    <w:basedOn w:val="1"/>
    <w:qFormat/>
    <w:uiPriority w:val="0"/>
    <w:rPr>
      <w:rFonts w:ascii="Tahoma" w:hAnsi="Tahoma"/>
      <w:sz w:val="24"/>
      <w:szCs w:val="20"/>
    </w:rPr>
  </w:style>
  <w:style w:type="paragraph" w:customStyle="1" w:styleId="72">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3">
    <w:name w:val="样式 宋体 三号 加粗 居中 行距: 最小值 12 磅"/>
    <w:basedOn w:val="1"/>
    <w:qFormat/>
    <w:uiPriority w:val="0"/>
    <w:pPr>
      <w:spacing w:line="240" w:lineRule="atLeast"/>
      <w:jc w:val="center"/>
    </w:pPr>
    <w:rPr>
      <w:rFonts w:ascii="宋体" w:hAnsi="宋体" w:cs="宋体"/>
      <w:b/>
      <w:bCs/>
      <w:szCs w:val="20"/>
    </w:rPr>
  </w:style>
  <w:style w:type="paragraph" w:customStyle="1" w:styleId="7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75">
    <w:name w:val="二级条标题"/>
    <w:basedOn w:val="76"/>
    <w:next w:val="1"/>
    <w:qFormat/>
    <w:uiPriority w:val="0"/>
    <w:pPr>
      <w:numPr>
        <w:ilvl w:val="3"/>
      </w:numPr>
      <w:outlineLvl w:val="3"/>
    </w:pPr>
  </w:style>
  <w:style w:type="paragraph" w:customStyle="1" w:styleId="76">
    <w:name w:val="一级条标题"/>
    <w:basedOn w:val="70"/>
    <w:next w:val="1"/>
    <w:qFormat/>
    <w:uiPriority w:val="0"/>
    <w:pPr>
      <w:numPr>
        <w:ilvl w:val="2"/>
      </w:numPr>
      <w:spacing w:beforeLines="0" w:afterLines="0"/>
      <w:outlineLvl w:val="2"/>
    </w:pPr>
  </w:style>
  <w:style w:type="paragraph" w:customStyle="1" w:styleId="77">
    <w:name w:val="Char Char Char1"/>
    <w:basedOn w:val="1"/>
    <w:qFormat/>
    <w:uiPriority w:val="0"/>
    <w:rPr>
      <w:rFonts w:ascii="Tahoma" w:hAnsi="Tahoma"/>
      <w:sz w:val="24"/>
      <w:szCs w:val="20"/>
    </w:rPr>
  </w:style>
  <w:style w:type="paragraph" w:customStyle="1" w:styleId="78">
    <w:name w:val="样式5"/>
    <w:basedOn w:val="79"/>
    <w:qFormat/>
    <w:uiPriority w:val="0"/>
    <w:pPr>
      <w:numPr>
        <w:ilvl w:val="3"/>
      </w:numPr>
      <w:tabs>
        <w:tab w:val="left" w:pos="432"/>
      </w:tabs>
      <w:spacing w:before="156"/>
    </w:pPr>
  </w:style>
  <w:style w:type="paragraph" w:customStyle="1" w:styleId="79">
    <w:name w:val="样式4"/>
    <w:basedOn w:val="1"/>
    <w:qFormat/>
    <w:uiPriority w:val="0"/>
    <w:pPr>
      <w:numPr>
        <w:ilvl w:val="0"/>
        <w:numId w:val="2"/>
      </w:numPr>
      <w:spacing w:beforeLines="50"/>
      <w:outlineLvl w:val="2"/>
    </w:pPr>
    <w:rPr>
      <w:rFonts w:ascii="宋体" w:hAnsi="宋体" w:cs="MS Shell Dlg"/>
      <w:b/>
      <w:kern w:val="0"/>
      <w:szCs w:val="21"/>
    </w:rPr>
  </w:style>
  <w:style w:type="paragraph" w:customStyle="1" w:styleId="80">
    <w:name w:val="Char"/>
    <w:basedOn w:val="1"/>
    <w:qFormat/>
    <w:uiPriority w:val="0"/>
    <w:pPr>
      <w:adjustRightInd w:val="0"/>
      <w:spacing w:line="360" w:lineRule="auto"/>
    </w:pPr>
    <w:rPr>
      <w:kern w:val="0"/>
      <w:sz w:val="24"/>
      <w:szCs w:val="20"/>
    </w:rPr>
  </w:style>
  <w:style w:type="paragraph" w:customStyle="1" w:styleId="81">
    <w:name w:val="Char1"/>
    <w:basedOn w:val="1"/>
    <w:qFormat/>
    <w:uiPriority w:val="0"/>
    <w:pPr>
      <w:adjustRightInd w:val="0"/>
      <w:spacing w:line="360" w:lineRule="auto"/>
    </w:pPr>
    <w:rPr>
      <w:kern w:val="0"/>
      <w:sz w:val="24"/>
      <w:szCs w:val="20"/>
    </w:rPr>
  </w:style>
  <w:style w:type="paragraph" w:customStyle="1" w:styleId="82">
    <w:name w:val="三级条标题"/>
    <w:basedOn w:val="75"/>
    <w:next w:val="1"/>
    <w:qFormat/>
    <w:uiPriority w:val="0"/>
    <w:pPr>
      <w:numPr>
        <w:ilvl w:val="4"/>
      </w:numPr>
      <w:outlineLvl w:val="4"/>
    </w:pPr>
  </w:style>
  <w:style w:type="paragraph" w:customStyle="1" w:styleId="83">
    <w:name w:val="Char Char8"/>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4">
    <w:name w:val="Char Char Char Char Char Char Char"/>
    <w:basedOn w:val="1"/>
    <w:qFormat/>
    <w:uiPriority w:val="0"/>
    <w:rPr>
      <w:rFonts w:ascii="Tahoma" w:hAnsi="Tahoma" w:cs="Arial"/>
      <w:szCs w:val="21"/>
    </w:rPr>
  </w:style>
  <w:style w:type="paragraph" w:customStyle="1" w:styleId="85">
    <w:name w:val="样式8"/>
    <w:basedOn w:val="1"/>
    <w:qFormat/>
    <w:uiPriority w:val="0"/>
    <w:pPr>
      <w:numPr>
        <w:ilvl w:val="3"/>
        <w:numId w:val="3"/>
      </w:numPr>
      <w:tabs>
        <w:tab w:val="left" w:pos="1838"/>
        <w:tab w:val="clear" w:pos="1271"/>
      </w:tabs>
      <w:ind w:left="1838"/>
      <w:outlineLvl w:val="2"/>
    </w:pPr>
    <w:rPr>
      <w:rFonts w:ascii="宋体" w:hAnsi="宋体" w:cs="MS Shell Dlg"/>
      <w:kern w:val="0"/>
      <w:szCs w:val="21"/>
    </w:rPr>
  </w:style>
  <w:style w:type="paragraph" w:customStyle="1" w:styleId="86">
    <w:name w:val="px12black"/>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7">
    <w:name w:val="五级条标题"/>
    <w:basedOn w:val="88"/>
    <w:next w:val="1"/>
    <w:qFormat/>
    <w:uiPriority w:val="0"/>
    <w:pPr>
      <w:numPr>
        <w:ilvl w:val="6"/>
      </w:numPr>
      <w:outlineLvl w:val="6"/>
    </w:pPr>
  </w:style>
  <w:style w:type="paragraph" w:customStyle="1" w:styleId="88">
    <w:name w:val="四级条标题"/>
    <w:basedOn w:val="82"/>
    <w:next w:val="1"/>
    <w:qFormat/>
    <w:uiPriority w:val="0"/>
    <w:pPr>
      <w:numPr>
        <w:ilvl w:val="5"/>
      </w:numPr>
      <w:outlineLvl w:val="5"/>
    </w:pPr>
  </w:style>
  <w:style w:type="paragraph" w:customStyle="1" w:styleId="89">
    <w:name w:val="Normal Indent1"/>
    <w:basedOn w:val="1"/>
    <w:qFormat/>
    <w:uiPriority w:val="99"/>
    <w:pPr>
      <w:autoSpaceDE w:val="0"/>
      <w:autoSpaceDN w:val="0"/>
      <w:adjustRightInd w:val="0"/>
      <w:ind w:firstLine="420"/>
    </w:pPr>
    <w:rPr>
      <w:kern w:val="0"/>
      <w:szCs w:val="21"/>
    </w:rPr>
  </w:style>
  <w:style w:type="paragraph" w:customStyle="1" w:styleId="90">
    <w:name w:val="样式1"/>
    <w:basedOn w:val="1"/>
    <w:qFormat/>
    <w:uiPriority w:val="0"/>
    <w:pPr>
      <w:numPr>
        <w:ilvl w:val="0"/>
        <w:numId w:val="4"/>
      </w:numPr>
      <w:adjustRightInd w:val="0"/>
      <w:textAlignment w:val="baseline"/>
    </w:pPr>
    <w:rPr>
      <w:rFonts w:ascii="宋体" w:hAnsi="宋体"/>
      <w:kern w:val="0"/>
      <w:szCs w:val="21"/>
    </w:rPr>
  </w:style>
  <w:style w:type="paragraph" w:customStyle="1" w:styleId="91">
    <w:name w:val="样式6"/>
    <w:basedOn w:val="79"/>
    <w:qFormat/>
    <w:uiPriority w:val="0"/>
    <w:pPr>
      <w:numPr>
        <w:ilvl w:val="2"/>
      </w:numPr>
      <w:tabs>
        <w:tab w:val="clear" w:pos="432"/>
      </w:tabs>
      <w:spacing w:before="156"/>
      <w:outlineLvl w:val="4"/>
    </w:pPr>
    <w:rPr>
      <w:rFonts w:ascii="MS Shell Dlg" w:hAnsi="MS Shell Dlg"/>
    </w:rPr>
  </w:style>
  <w:style w:type="paragraph" w:styleId="92">
    <w:name w:val="List Paragraph"/>
    <w:basedOn w:val="1"/>
    <w:qFormat/>
    <w:uiPriority w:val="34"/>
    <w:pPr>
      <w:ind w:firstLine="420" w:firstLineChars="200"/>
    </w:pPr>
    <w:rPr>
      <w:sz w:val="28"/>
    </w:rPr>
  </w:style>
  <w:style w:type="paragraph" w:customStyle="1" w:styleId="93">
    <w:name w:val="列出段落1"/>
    <w:basedOn w:val="1"/>
    <w:qFormat/>
    <w:uiPriority w:val="0"/>
    <w:pPr>
      <w:ind w:firstLine="420" w:firstLineChars="200"/>
    </w:pPr>
    <w:rPr>
      <w:rFonts w:ascii="Calibri" w:hAnsi="Calibri"/>
      <w:kern w:val="0"/>
      <w:sz w:val="20"/>
      <w:szCs w:val="20"/>
    </w:rPr>
  </w:style>
  <w:style w:type="paragraph" w:customStyle="1" w:styleId="94">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95">
    <w:name w:val="Table Paragraph"/>
    <w:basedOn w:val="1"/>
    <w:unhideWhenUsed/>
    <w:qFormat/>
    <w:uiPriority w:val="1"/>
    <w:rPr>
      <w:rFonts w:hint="eastAsia"/>
      <w:sz w:val="24"/>
    </w:rPr>
  </w:style>
  <w:style w:type="paragraph" w:customStyle="1" w:styleId="96">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97">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8">
    <w:name w:val="列出段落2"/>
    <w:basedOn w:val="1"/>
    <w:qFormat/>
    <w:uiPriority w:val="0"/>
    <w:pPr>
      <w:ind w:firstLine="420"/>
    </w:pPr>
    <w:rPr>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D8CC5E-2DD9-405E-92A1-0FCA19AF4B5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6530</Words>
  <Characters>37222</Characters>
  <Lines>310</Lines>
  <Paragraphs>87</Paragraphs>
  <TotalTime>2</TotalTime>
  <ScaleCrop>false</ScaleCrop>
  <LinksUpToDate>false</LinksUpToDate>
  <CharactersWithSpaces>43665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2018-07-02T23:53:00Z</dcterms:created>
  <dc:creator>风之客</dc:creator>
  <cp:lastModifiedBy>乐观螃蟹横着走</cp:lastModifiedBy>
  <cp:lastPrinted>2020-07-23T09:32:00Z</cp:lastPrinted>
  <dcterms:modified xsi:type="dcterms:W3CDTF">2021-06-06T08:40:09Z</dcterms:modified>
  <dc:title>湖 北  招 标</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77216C4D3E7B47F4A87CE106BC0B50AA</vt:lpwstr>
  </property>
</Properties>
</file>