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z w:val="92"/>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jc w:val="center"/>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line="320"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预算执行计划：</w:t>
            </w:r>
          </w:p>
        </w:tc>
        <w:tc>
          <w:tcPr>
            <w:tcW w:w="6053" w:type="dxa"/>
            <w:tcBorders>
              <w:top w:val="nil"/>
              <w:left w:val="nil"/>
              <w:bottom w:val="nil"/>
              <w:right w:val="nil"/>
              <w:tl2br w:val="nil"/>
              <w:tr2bl w:val="nil"/>
            </w:tcBorders>
            <w:vAlign w:val="center"/>
          </w:tcPr>
          <w:p>
            <w:pPr>
              <w:pStyle w:val="95"/>
              <w:kinsoku w:val="0"/>
              <w:overflowPunct w:val="0"/>
              <w:spacing w:line="320"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编 号：</w:t>
            </w:r>
          </w:p>
        </w:tc>
        <w:tc>
          <w:tcPr>
            <w:tcW w:w="6053" w:type="dxa"/>
            <w:tcBorders>
              <w:top w:val="nil"/>
              <w:left w:val="nil"/>
              <w:bottom w:val="nil"/>
              <w:right w:val="nil"/>
              <w:tl2br w:val="nil"/>
              <w:tr2bl w:val="nil"/>
            </w:tcBorders>
            <w:vAlign w:val="center"/>
          </w:tcPr>
          <w:p>
            <w:pPr>
              <w:pStyle w:val="95"/>
              <w:kinsoku w:val="0"/>
              <w:overflowPunct w:val="0"/>
              <w:spacing w:before="122"/>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ZJZB-202011-298</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名 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rPr>
                <w:rFonts w:hint="eastAsia" w:asciiTheme="minorEastAsia" w:hAnsiTheme="minorEastAsia" w:eastAsiaTheme="minorEastAsia" w:cstheme="minorEastAsia"/>
                <w:b/>
                <w:sz w:val="28"/>
                <w:lang w:eastAsia="zh-CN"/>
              </w:rPr>
            </w:pPr>
            <w:r>
              <w:rPr>
                <w:rFonts w:hint="eastAsia" w:asciiTheme="minorEastAsia" w:hAnsiTheme="minorEastAsia" w:eastAsiaTheme="minorEastAsia" w:cstheme="minorEastAsia"/>
                <w:b/>
                <w:sz w:val="28"/>
                <w:lang w:eastAsia="zh-CN"/>
              </w:rPr>
              <w:t>武汉工程大学两校区小型绿化专业养护施工单位遴选入库项目（二次）</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服务</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武汉工程大学</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2020年11月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asciiTheme="minorEastAsia" w:hAnsiTheme="minorEastAsia" w:eastAsiaTheme="minorEastAsia" w:cstheme="minorEastAsia"/>
          <w:b/>
          <w:bCs/>
          <w:szCs w:val="21"/>
          <w:lang w:val="zh-CN"/>
        </w:rPr>
      </w:pPr>
    </w:p>
    <w:p>
      <w:pPr>
        <w:pStyle w:val="20"/>
        <w:tabs>
          <w:tab w:val="right" w:leader="dot" w:pos="9072"/>
        </w:tabs>
        <w:spacing w:line="360" w:lineRule="auto"/>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_Toc32487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_Toc32487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_Toc5430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一、 </w:t>
      </w:r>
      <w:r>
        <w:rPr>
          <w:rFonts w:hint="eastAsia" w:ascii="宋体" w:hAnsi="宋体" w:eastAsia="宋体" w:cs="宋体"/>
          <w:szCs w:val="21"/>
        </w:rPr>
        <w:t>项目基本情况</w:t>
      </w:r>
      <w:r>
        <w:tab/>
      </w:r>
      <w:r>
        <w:fldChar w:fldCharType="begin"/>
      </w:r>
      <w:r>
        <w:instrText xml:space="preserve"> PAGEREF _Toc5430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_Toc12131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申请人的资格要求</w:t>
      </w:r>
      <w:r>
        <w:tab/>
      </w:r>
      <w:r>
        <w:fldChar w:fldCharType="begin"/>
      </w:r>
      <w:r>
        <w:instrText xml:space="preserve"> PAGEREF _Toc12131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_Toc7357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获取采购文件</w:t>
      </w:r>
      <w:r>
        <w:tab/>
      </w:r>
      <w:r>
        <w:fldChar w:fldCharType="begin"/>
      </w:r>
      <w:r>
        <w:instrText xml:space="preserve"> PAGEREF _Toc7357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_Toc26498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响应文件提交</w:t>
      </w:r>
      <w:r>
        <w:tab/>
      </w:r>
      <w:r>
        <w:fldChar w:fldCharType="begin"/>
      </w:r>
      <w:r>
        <w:instrText xml:space="preserve"> PAGEREF _Toc26498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_Toc15207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开启</w:t>
      </w:r>
      <w:r>
        <w:tab/>
      </w:r>
      <w:r>
        <w:fldChar w:fldCharType="begin"/>
      </w:r>
      <w:r>
        <w:instrText xml:space="preserve"> PAGEREF _Toc15207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_Toc7432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公告期限</w:t>
      </w:r>
      <w:r>
        <w:tab/>
      </w:r>
      <w:r>
        <w:fldChar w:fldCharType="begin"/>
      </w:r>
      <w:r>
        <w:instrText xml:space="preserve"> PAGEREF _Toc7432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_Toc12904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七、 </w:t>
      </w:r>
      <w:r>
        <w:rPr>
          <w:rFonts w:hint="eastAsia" w:asciiTheme="minorEastAsia" w:hAnsiTheme="minorEastAsia" w:eastAsiaTheme="minorEastAsia" w:cstheme="minorEastAsia"/>
          <w:szCs w:val="21"/>
        </w:rPr>
        <w:t>其他补充事宜</w:t>
      </w:r>
      <w:r>
        <w:tab/>
      </w:r>
      <w:r>
        <w:fldChar w:fldCharType="begin"/>
      </w:r>
      <w:r>
        <w:instrText xml:space="preserve"> PAGEREF _Toc12904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_Toc3309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八、 </w:t>
      </w:r>
      <w:r>
        <w:rPr>
          <w:rFonts w:hint="eastAsia" w:asciiTheme="minorEastAsia" w:hAnsiTheme="minorEastAsia" w:eastAsiaTheme="minorEastAsia" w:cstheme="minorEastAsia"/>
          <w:szCs w:val="21"/>
        </w:rPr>
        <w:t>凡对本次采购提出询问，请按以下方式联系</w:t>
      </w:r>
      <w:r>
        <w:tab/>
      </w:r>
      <w:r>
        <w:fldChar w:fldCharType="begin"/>
      </w:r>
      <w:r>
        <w:instrText xml:space="preserve"> PAGEREF _Toc3309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_Toc4384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九、 </w:t>
      </w:r>
      <w:r>
        <w:rPr>
          <w:rFonts w:hint="eastAsia" w:asciiTheme="minorEastAsia" w:hAnsiTheme="minorEastAsia" w:eastAsiaTheme="minorEastAsia" w:cstheme="minorEastAsia"/>
          <w:szCs w:val="21"/>
        </w:rPr>
        <w:t>注意事项</w:t>
      </w:r>
      <w:r>
        <w:tab/>
      </w:r>
      <w:r>
        <w:fldChar w:fldCharType="begin"/>
      </w:r>
      <w:r>
        <w:instrText xml:space="preserve"> PAGEREF _Toc4384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_Toc24118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_Toc24118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_Toc27415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_Toc27415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_Toc9336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_Toc25339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_Toc25339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_Toc1902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_Toc1902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_Toc23125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_Toc23125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_Toc16462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_Toc16462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_Toc21516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_Toc21516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_Toc25282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_Toc25282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_Toc18427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_Toc18427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_Toc22193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_Toc22552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_Toc22552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_Toc20793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_Toc20793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_Toc7173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_Toc7173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_Toc20103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_Toc7683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_Toc7683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_Toc23413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_Toc23413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_Toc15518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_Toc15518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_Toc13590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_Toc13590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_Toc32392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_Toc32392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_Toc13715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_Toc13715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_Toc4733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_Toc268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_Toc17197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_Toc17197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_Toc14931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_Toc10100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_Toc10100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_Toc1730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_Toc1730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_Toc22901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_Toc22901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_Toc8569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_Toc8569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_Toc4934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_Toc449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_Toc18007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_Toc30067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_Toc30067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_Toc10938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_Toc10938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_Toc22406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_Toc22406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_Toc28143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_Toc28143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_Toc3131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_Toc9453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_Toc9453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_Toc30594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_Toc30594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_Toc884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_Toc884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_Toc1919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_Toc10988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_Toc31845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_Toc31845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_Toc13674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_Toc13674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0"/>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_Toc8192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_Toc8192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_Toc1410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_Toc29340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_Toc29340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0"/>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_Toc27160 </w:instrText>
      </w:r>
      <w:r>
        <w:fldChar w:fldCharType="separate"/>
      </w:r>
      <w:r>
        <w:t>28</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_Toc16440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_Toc16440 </w:instrText>
      </w:r>
      <w:r>
        <w:fldChar w:fldCharType="separate"/>
      </w:r>
      <w:r>
        <w:t>28</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_Toc23887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_Toc23887 </w:instrText>
      </w:r>
      <w:r>
        <w:fldChar w:fldCharType="separate"/>
      </w:r>
      <w:r>
        <w:t>31</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_Toc26648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_Toc26648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_Toc8253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四、评定办法</w:t>
      </w:r>
      <w:r>
        <w:tab/>
      </w:r>
      <w:r>
        <w:fldChar w:fldCharType="begin"/>
      </w:r>
      <w:r>
        <w:instrText xml:space="preserve"> PAGEREF _Toc8253 </w:instrText>
      </w:r>
      <w:r>
        <w:fldChar w:fldCharType="separate"/>
      </w:r>
      <w:r>
        <w:t>36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_Toc12863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0"/>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_Toc16666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_Toc16666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0"/>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_Toc10578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_Toc10578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_Toc18431 </w:instrText>
      </w:r>
      <w:r>
        <w:rPr>
          <w:rFonts w:hint="eastAsia" w:asciiTheme="minorEastAsia" w:hAnsiTheme="minorEastAsia" w:eastAsiaTheme="minorEastAsia" w:cstheme="minorEastAsia"/>
        </w:rPr>
        <w:fldChar w:fldCharType="separate"/>
      </w:r>
      <w:r>
        <w:rPr>
          <w:rFonts w:hint="eastAsia" w:ascii="宋体" w:hAnsi="宋体" w:cs="宋体"/>
          <w:szCs w:val="21"/>
        </w:rPr>
        <w:t xml:space="preserve"> 一、评分标准索引表</w:t>
      </w:r>
      <w:r>
        <w:tab/>
      </w:r>
      <w:r>
        <w:fldChar w:fldCharType="begin"/>
      </w:r>
      <w:r>
        <w:instrText xml:space="preserve"> PAGEREF _Toc18431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_Toc25839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二、磋商书</w:t>
      </w:r>
      <w:r>
        <w:tab/>
      </w:r>
      <w:r>
        <w:fldChar w:fldCharType="begin"/>
      </w:r>
      <w:r>
        <w:instrText xml:space="preserve"> PAGEREF _Toc25839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_Toc26217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三、法定代表人授权书</w:t>
      </w:r>
      <w:r>
        <w:tab/>
      </w:r>
      <w:r>
        <w:fldChar w:fldCharType="begin"/>
      </w:r>
      <w:r>
        <w:instrText xml:space="preserve"> PAGEREF _Toc26217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_Toc20364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四、</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_Toc20364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_Toc10276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五、报价一览表（本项目不适用）</w:t>
      </w:r>
      <w:r>
        <w:tab/>
      </w:r>
      <w:r>
        <w:fldChar w:fldCharType="begin"/>
      </w:r>
      <w:r>
        <w:instrText xml:space="preserve"> PAGEREF _Toc10276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六、报价费用构成表（本项目不适用）</w:t>
      </w:r>
      <w:r>
        <w:tab/>
      </w:r>
      <w:r>
        <w:fldChar w:fldCharType="begin"/>
      </w:r>
      <w:r>
        <w:instrText xml:space="preserve"> PAGEREF _Toc3143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_Toc22606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七、耗材清单（如有）</w:t>
      </w:r>
      <w:r>
        <w:tab/>
      </w:r>
      <w:r>
        <w:fldChar w:fldCharType="begin"/>
      </w:r>
      <w:r>
        <w:instrText xml:space="preserve"> PAGEREF _Toc22606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八、拟投入设备/备件、工具情况（如有）</w:t>
      </w:r>
      <w:r>
        <w:tab/>
      </w:r>
      <w:r>
        <w:fldChar w:fldCharType="begin"/>
      </w:r>
      <w:r>
        <w:instrText xml:space="preserve"> PAGEREF _Toc1113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_Toc9092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九、缴纳保证金的银行凭证（如有）</w:t>
      </w:r>
      <w:r>
        <w:tab/>
      </w:r>
      <w:r>
        <w:fldChar w:fldCharType="begin"/>
      </w:r>
      <w:r>
        <w:instrText xml:space="preserve"> PAGEREF _Toc9092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_Toc8461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十、偏离说明表</w:t>
      </w:r>
      <w:r>
        <w:tab/>
      </w:r>
      <w:r>
        <w:fldChar w:fldCharType="begin"/>
      </w:r>
      <w:r>
        <w:instrText xml:space="preserve"> PAGEREF _Toc8461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十一、</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_Toc2179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_Toc7775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十二、拟投入项目组人员一览表</w:t>
      </w:r>
      <w:r>
        <w:tab/>
      </w:r>
      <w:r>
        <w:fldChar w:fldCharType="begin"/>
      </w:r>
      <w:r>
        <w:instrText xml:space="preserve"> PAGEREF _Toc7775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_Toc29374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供应商的资格声明</w:t>
      </w:r>
      <w:r>
        <w:tab/>
      </w:r>
      <w:r>
        <w:fldChar w:fldCharType="begin"/>
      </w:r>
      <w:r>
        <w:instrText xml:space="preserve"> PAGEREF _Toc29374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十四、</w:t>
      </w:r>
      <w:r>
        <w:rPr>
          <w:rFonts w:hint="eastAsia" w:asciiTheme="minorEastAsia" w:hAnsiTheme="minorEastAsia" w:eastAsiaTheme="minorEastAsia" w:cstheme="minorEastAsia"/>
          <w:bCs/>
          <w:szCs w:val="21"/>
        </w:rPr>
        <w:t>资格证明文件</w:t>
      </w:r>
      <w:r>
        <w:tab/>
      </w:r>
      <w:r>
        <w:fldChar w:fldCharType="begin"/>
      </w:r>
      <w:r>
        <w:instrText xml:space="preserve"> PAGEREF _Toc951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十六、中小企业声明函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_Toc30393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_Toc31580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十七、</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_Toc31580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_Toc9771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rPr>
        <w:t>十八、</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_Toc9771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_Toc18060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十九、节能环保产品证明材料（若符合）</w:t>
      </w:r>
      <w:r>
        <w:tab/>
      </w:r>
      <w:r>
        <w:fldChar w:fldCharType="begin"/>
      </w:r>
      <w:r>
        <w:instrText xml:space="preserve"> PAGEREF _Toc18060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二十、</w:t>
      </w:r>
      <w:r>
        <w:rPr>
          <w:rFonts w:hint="eastAsia" w:asciiTheme="minorEastAsia" w:hAnsiTheme="minorEastAsia" w:eastAsiaTheme="minorEastAsia" w:cstheme="minorEastAsia"/>
        </w:rPr>
        <w:t>无重大违法记录声明</w:t>
      </w:r>
      <w:r>
        <w:tab/>
      </w:r>
      <w:r>
        <w:fldChar w:fldCharType="begin"/>
      </w:r>
      <w:r>
        <w:instrText xml:space="preserve"> PAGEREF _Toc25134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 xml:space="preserve">二十一、磋商供应商认为应该提交的其它文件（格式自拟）         </w:t>
      </w:r>
      <w:r>
        <w:tab/>
      </w:r>
      <w:r>
        <w:fldChar w:fldCharType="begin"/>
      </w:r>
      <w:r>
        <w:instrText xml:space="preserve"> PAGEREF _Toc1040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spacing w:line="360" w:lineRule="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_Toc25351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附件一：</w:t>
      </w:r>
      <w:r>
        <w:tab/>
      </w:r>
      <w:r>
        <w:fldChar w:fldCharType="begin"/>
      </w:r>
      <w:r>
        <w:instrText xml:space="preserve"> PAGEREF _Toc25351 </w:instrText>
      </w:r>
      <w:r>
        <w:fldChar w:fldCharType="separate"/>
      </w:r>
      <w:r>
        <w:t>62</w:t>
      </w:r>
      <w:r>
        <w:fldChar w:fldCharType="end"/>
      </w:r>
      <w:r>
        <w:rPr>
          <w:rFonts w:hint="eastAsia" w:asciiTheme="minorEastAsia" w:hAnsiTheme="minorEastAsia" w:eastAsiaTheme="minorEastAsia" w:cstheme="minorEastAsia"/>
        </w:rPr>
        <w:fldChar w:fldCharType="end"/>
      </w:r>
    </w:p>
    <w:p>
      <w:pPr>
        <w:spacing w:line="360" w:lineRule="auto"/>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b/>
          <w:bCs/>
          <w:sz w:val="24"/>
        </w:rPr>
      </w:pPr>
      <w:bookmarkStart w:id="0" w:name="_Toc32487"/>
      <w:bookmarkStart w:id="1" w:name="_Toc6866"/>
      <w:r>
        <w:rPr>
          <w:rFonts w:hint="eastAsia" w:ascii="宋体" w:hAnsi="宋体" w:cs="宋体"/>
          <w:b/>
          <w:sz w:val="36"/>
          <w:szCs w:val="36"/>
        </w:rPr>
        <w:t>竞争性磋商公告</w:t>
      </w:r>
      <w:bookmarkEnd w:id="0"/>
      <w:bookmarkEnd w:id="1"/>
      <w:bookmarkStart w:id="2" w:name="_Toc152042288"/>
      <w:bookmarkStart w:id="3" w:name="_Toc152045512"/>
      <w:bookmarkStart w:id="4" w:name="_Toc9976"/>
      <w:bookmarkStart w:id="5" w:name="_Toc179632528"/>
      <w:bookmarkStart w:id="6" w:name="_Toc524908844"/>
      <w:bookmarkStart w:id="7" w:name="_Toc144974480"/>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szCs w:val="21"/>
        </w:rPr>
      </w:pPr>
      <w:r>
        <w:rPr>
          <w:rFonts w:hint="eastAsia" w:ascii="宋体" w:hAnsi="宋体" w:cs="宋体"/>
          <w:b/>
          <w:bCs/>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szCs w:val="21"/>
        </w:rPr>
      </w:pPr>
      <w:r>
        <w:rPr>
          <w:rFonts w:hint="eastAsia" w:ascii="宋体" w:hAnsi="宋体" w:cs="宋体"/>
          <w:color w:val="000000"/>
          <w:szCs w:val="21"/>
          <w:u w:val="single"/>
          <w:lang w:eastAsia="zh-CN"/>
        </w:rPr>
        <w:t>武汉工程大学两校区小型绿化专业养护施工单位遴选入库项目（二次）</w:t>
      </w:r>
      <w:r>
        <w:rPr>
          <w:rFonts w:hint="eastAsia" w:ascii="宋体" w:hAnsi="宋体" w:cs="宋体"/>
          <w:szCs w:val="21"/>
        </w:rPr>
        <w:t>的潜在供应商应在</w:t>
      </w:r>
      <w:r>
        <w:rPr>
          <w:rFonts w:hint="eastAsia" w:ascii="宋体" w:hAnsi="宋体" w:cs="宋体"/>
          <w:color w:val="000000"/>
          <w:szCs w:val="21"/>
          <w:u w:val="single"/>
        </w:rPr>
        <w:t>中经国际招标集团有限公司（武昌区中北路岳家嘴立交山河企业大厦4</w:t>
      </w:r>
      <w:r>
        <w:rPr>
          <w:rFonts w:hint="eastAsia" w:ascii="宋体" w:hAnsi="宋体" w:cs="宋体"/>
          <w:szCs w:val="21"/>
          <w:u w:val="single"/>
        </w:rPr>
        <w:t>8楼4805室）</w:t>
      </w:r>
      <w:r>
        <w:rPr>
          <w:rFonts w:hint="eastAsia" w:ascii="宋体" w:hAnsi="宋体" w:cs="宋体"/>
          <w:szCs w:val="21"/>
        </w:rPr>
        <w:t>获取采购文件，并于</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2</w:t>
      </w:r>
      <w:r>
        <w:rPr>
          <w:rFonts w:hint="eastAsia" w:ascii="宋体" w:hAnsi="宋体" w:cs="宋体"/>
          <w:szCs w:val="21"/>
          <w:u w:val="single"/>
        </w:rPr>
        <w:t>日</w:t>
      </w:r>
      <w:r>
        <w:rPr>
          <w:rFonts w:hint="eastAsia" w:ascii="宋体" w:hAnsi="宋体" w:cs="宋体"/>
          <w:szCs w:val="21"/>
          <w:u w:val="single"/>
          <w:lang w:val="en-US" w:eastAsia="zh-CN"/>
        </w:rPr>
        <w:t>9</w:t>
      </w:r>
      <w:r>
        <w:rPr>
          <w:rFonts w:hint="eastAsia" w:ascii="宋体" w:hAnsi="宋体" w:cs="宋体"/>
          <w:szCs w:val="21"/>
          <w:u w:val="single"/>
        </w:rPr>
        <w:t>点</w:t>
      </w:r>
      <w:r>
        <w:rPr>
          <w:rFonts w:hint="eastAsia" w:ascii="宋体" w:hAnsi="宋体" w:cs="宋体"/>
          <w:szCs w:val="21"/>
          <w:u w:val="single"/>
          <w:lang w:val="en-US" w:eastAsia="zh-CN"/>
        </w:rPr>
        <w:t>30</w:t>
      </w:r>
      <w:r>
        <w:rPr>
          <w:rFonts w:hint="eastAsia" w:ascii="宋体" w:hAnsi="宋体" w:cs="宋体"/>
          <w:szCs w:val="21"/>
          <w:u w:val="single"/>
        </w:rPr>
        <w:t>分</w:t>
      </w:r>
      <w:r>
        <w:rPr>
          <w:rFonts w:hint="eastAsia" w:ascii="宋体" w:hAnsi="宋体" w:cs="宋体"/>
          <w:szCs w:val="21"/>
        </w:rPr>
        <w:t>（北京时间）前递交响应文件。</w:t>
      </w:r>
    </w:p>
    <w:p>
      <w:pPr>
        <w:pStyle w:val="4"/>
        <w:numPr>
          <w:ilvl w:val="0"/>
          <w:numId w:val="6"/>
        </w:numPr>
        <w:spacing w:line="360" w:lineRule="auto"/>
        <w:jc w:val="left"/>
        <w:rPr>
          <w:rFonts w:ascii="宋体" w:hAnsi="宋体" w:eastAsia="宋体" w:cs="宋体"/>
          <w:color w:val="000000"/>
          <w:sz w:val="21"/>
          <w:szCs w:val="21"/>
        </w:rPr>
      </w:pPr>
      <w:bookmarkStart w:id="8" w:name="_Toc5430"/>
      <w:r>
        <w:rPr>
          <w:rFonts w:hint="eastAsia" w:ascii="宋体" w:hAnsi="宋体" w:eastAsia="宋体" w:cs="宋体"/>
          <w:color w:val="000000"/>
          <w:sz w:val="21"/>
          <w:szCs w:val="21"/>
        </w:rPr>
        <w:t>项目基本情况</w:t>
      </w:r>
      <w:bookmarkEnd w:id="8"/>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1、项目编号：ZJZB-202011-298；</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2、采购计划备案号：/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3、项目名称：</w:t>
      </w:r>
      <w:r>
        <w:rPr>
          <w:rFonts w:hint="eastAsia" w:asciiTheme="minorEastAsia" w:hAnsiTheme="minorEastAsia" w:eastAsiaTheme="minorEastAsia" w:cstheme="minorEastAsia"/>
          <w:szCs w:val="21"/>
          <w:lang w:eastAsia="zh-CN"/>
        </w:rPr>
        <w:t>武汉工程大学两校区小型绿化专业养护施工单位遴选入库项目（二次）</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4、采购方式：竞争性磋商</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5、预算金额：/</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6、最高限价：/</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7、采购需求：</w:t>
      </w:r>
      <w:r>
        <w:rPr>
          <w:rFonts w:hint="eastAsia" w:asciiTheme="minorEastAsia" w:hAnsiTheme="minorEastAsia" w:eastAsiaTheme="minorEastAsia" w:cstheme="minorEastAsia"/>
          <w:szCs w:val="21"/>
          <w:lang w:val="en-US" w:eastAsia="zh-CN"/>
        </w:rPr>
        <w:t>最多</w:t>
      </w:r>
      <w:r>
        <w:rPr>
          <w:rFonts w:hint="eastAsia" w:asciiTheme="minorEastAsia" w:hAnsiTheme="minorEastAsia" w:eastAsiaTheme="minorEastAsia" w:cstheme="minorEastAsia"/>
          <w:szCs w:val="21"/>
        </w:rPr>
        <w:t>遴选</w:t>
      </w:r>
      <w:r>
        <w:rPr>
          <w:rFonts w:hint="eastAsia" w:asciiTheme="minorEastAsia" w:hAnsiTheme="minorEastAsia" w:eastAsiaTheme="minorEastAsia" w:cstheme="minorEastAsia"/>
          <w:szCs w:val="21"/>
          <w:lang w:val="en-US" w:eastAsia="zh-CN"/>
        </w:rPr>
        <w:t>五</w:t>
      </w:r>
      <w:r>
        <w:rPr>
          <w:rFonts w:hint="eastAsia" w:asciiTheme="minorEastAsia" w:hAnsiTheme="minorEastAsia" w:eastAsiaTheme="minorEastAsia" w:cstheme="minorEastAsia"/>
          <w:szCs w:val="21"/>
        </w:rPr>
        <w:t>家供应商，提供武汉工程大学包括但不限于对两校区校园内超过5米及以上枯枝、病枝修剪、拦头专业养护、树木移栽等小型绿化工程提供绿化专业施工服务。具体项目服务内容，另行入围合同约定。(详见采购文件第三章“项目采购需求”）</w:t>
      </w:r>
    </w:p>
    <w:p>
      <w:pPr>
        <w:numPr>
          <w:ilvl w:val="0"/>
          <w:numId w:val="7"/>
        </w:numPr>
        <w:spacing w:line="360" w:lineRule="auto"/>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类别：服务</w:t>
      </w:r>
    </w:p>
    <w:p>
      <w:pPr>
        <w:numPr>
          <w:ilvl w:val="0"/>
          <w:numId w:val="7"/>
        </w:numPr>
        <w:spacing w:line="360" w:lineRule="auto"/>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服务期：采取1+1+1模式，合同首次签订一年，依据服务考核情况决定是否续签下一年合同，续签合同最长不超过二年，总服务期不超过三年。若有政策变化，依据政策变化执行。</w:t>
      </w:r>
    </w:p>
    <w:p>
      <w:pPr>
        <w:numPr>
          <w:ilvl w:val="0"/>
          <w:numId w:val="7"/>
        </w:numPr>
        <w:spacing w:line="360" w:lineRule="auto"/>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其他：供应商报价须包含该采购需求的全部内容。</w:t>
      </w:r>
    </w:p>
    <w:p>
      <w:pPr>
        <w:spacing w:line="360" w:lineRule="auto"/>
        <w:jc w:val="left"/>
        <w:rPr>
          <w:rFonts w:asciiTheme="minorEastAsia" w:hAnsiTheme="minorEastAsia" w:eastAsiaTheme="minorEastAsia" w:cstheme="minorEastAsia"/>
          <w:strike/>
          <w:szCs w:val="21"/>
        </w:rPr>
      </w:pPr>
      <w:r>
        <w:rPr>
          <w:rFonts w:hint="eastAsia" w:asciiTheme="minorEastAsia" w:hAnsiTheme="minorEastAsia" w:eastAsiaTheme="minorEastAsia" w:cstheme="minorEastAsia"/>
          <w:szCs w:val="21"/>
        </w:rPr>
        <w:t>8、合同履行期限：</w:t>
      </w:r>
      <w:r>
        <w:rPr>
          <w:rFonts w:hint="eastAsia" w:asciiTheme="minorEastAsia" w:hAnsiTheme="minorEastAsia" w:eastAsiaTheme="minorEastAsia" w:cstheme="minorEastAsia"/>
          <w:szCs w:val="21"/>
          <w:u w:val="single"/>
        </w:rPr>
        <w:t xml:space="preserve">见服务期；                   </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9、本项目</w:t>
      </w:r>
      <w:r>
        <w:rPr>
          <w:rFonts w:hint="eastAsia" w:asciiTheme="minorEastAsia" w:hAnsiTheme="minorEastAsia" w:eastAsiaTheme="minorEastAsia" w:cstheme="minorEastAsia"/>
          <w:szCs w:val="21"/>
          <w:u w:val="single"/>
        </w:rPr>
        <w:t>不接受</w:t>
      </w:r>
      <w:r>
        <w:rPr>
          <w:rFonts w:hint="eastAsia" w:asciiTheme="minorEastAsia" w:hAnsiTheme="minorEastAsia" w:eastAsiaTheme="minorEastAsia" w:cstheme="minorEastAsia"/>
          <w:szCs w:val="21"/>
        </w:rPr>
        <w:t>联合体竞标；</w:t>
      </w:r>
    </w:p>
    <w:p>
      <w:pPr>
        <w:pStyle w:val="4"/>
        <w:numPr>
          <w:ilvl w:val="0"/>
          <w:numId w:val="6"/>
        </w:numPr>
        <w:spacing w:line="360" w:lineRule="auto"/>
        <w:jc w:val="left"/>
        <w:rPr>
          <w:rFonts w:asciiTheme="minorEastAsia" w:hAnsiTheme="minorEastAsia" w:eastAsiaTheme="minorEastAsia" w:cstheme="minorEastAsia"/>
          <w:sz w:val="21"/>
          <w:szCs w:val="21"/>
        </w:rPr>
      </w:pPr>
      <w:bookmarkStart w:id="9" w:name="_Toc12131"/>
      <w:r>
        <w:rPr>
          <w:rFonts w:hint="eastAsia" w:asciiTheme="minorEastAsia" w:hAnsiTheme="minorEastAsia" w:eastAsiaTheme="minorEastAsia" w:cstheme="minorEastAsia"/>
          <w:sz w:val="21"/>
          <w:szCs w:val="21"/>
        </w:rPr>
        <w:t>申请人的资格要求</w:t>
      </w:r>
      <w:bookmarkEnd w:id="9"/>
    </w:p>
    <w:p>
      <w:pPr>
        <w:numPr>
          <w:ilvl w:val="0"/>
          <w:numId w:val="8"/>
        </w:num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满足《中华人民共和国政府采购法》第二十二条规定；</w:t>
      </w:r>
    </w:p>
    <w:p>
      <w:pPr>
        <w:spacing w:line="360" w:lineRule="auto"/>
        <w:ind w:left="446"/>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1.1具有独立承担民事责任的能力；</w:t>
      </w:r>
    </w:p>
    <w:p>
      <w:pPr>
        <w:spacing w:line="360" w:lineRule="auto"/>
        <w:ind w:left="420" w:firstLine="315" w:firstLineChars="15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1.2具有良好的商业信誉和健全的财务会计制度；</w:t>
      </w:r>
    </w:p>
    <w:p>
      <w:pPr>
        <w:spacing w:line="360" w:lineRule="auto"/>
        <w:ind w:left="420" w:firstLine="315" w:firstLineChars="15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1.3具有履行合同所必需的设备和专业技术能力；</w:t>
      </w:r>
    </w:p>
    <w:p>
      <w:pPr>
        <w:spacing w:line="360" w:lineRule="auto"/>
        <w:ind w:left="420" w:firstLine="315" w:firstLineChars="15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1.4有依法缴纳税收和社会保障资金的良好记录；</w:t>
      </w:r>
    </w:p>
    <w:p>
      <w:pPr>
        <w:spacing w:line="360" w:lineRule="auto"/>
        <w:ind w:left="420" w:firstLine="315" w:firstLineChars="15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1.6法律、行政法规规定的其他条件；</w:t>
      </w:r>
    </w:p>
    <w:p>
      <w:pPr>
        <w:numPr>
          <w:ilvl w:val="0"/>
          <w:numId w:val="8"/>
        </w:num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单位负责人为同一人或者存在直接控股、管理关系的不同投标人，不得参加本项目同一合同项下的政府采购活动。</w:t>
      </w:r>
    </w:p>
    <w:p>
      <w:pPr>
        <w:numPr>
          <w:ilvl w:val="0"/>
          <w:numId w:val="8"/>
        </w:num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000000"/>
          <w:szCs w:val="21"/>
        </w:rPr>
        <w:t>未被列入失信被执行人、重大税收违法案件当事人名单，未被列入政府采购严重违法失信行</w:t>
      </w:r>
      <w:r>
        <w:rPr>
          <w:rFonts w:hint="eastAsia" w:asciiTheme="minorEastAsia" w:hAnsiTheme="minorEastAsia" w:eastAsiaTheme="minorEastAsia" w:cstheme="minorEastAsia"/>
          <w:color w:val="auto"/>
          <w:szCs w:val="21"/>
        </w:rPr>
        <w:t>为记录名单。</w:t>
      </w:r>
    </w:p>
    <w:p>
      <w:pPr>
        <w:numPr>
          <w:ilvl w:val="0"/>
          <w:numId w:val="8"/>
        </w:num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落实政府采购政策需满足的资格要求：详见采购文件；</w:t>
      </w:r>
    </w:p>
    <w:p>
      <w:pPr>
        <w:numPr>
          <w:ilvl w:val="0"/>
          <w:numId w:val="8"/>
        </w:numPr>
        <w:spacing w:line="360" w:lineRule="auto"/>
        <w:ind w:left="26" w:leftChars="0" w:firstLine="422"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本项目的特定资格要求：</w:t>
      </w:r>
      <w:r>
        <w:rPr>
          <w:rFonts w:hint="eastAsia" w:asciiTheme="minorEastAsia" w:hAnsiTheme="minorEastAsia" w:eastAsiaTheme="minorEastAsia" w:cstheme="minorEastAsia"/>
          <w:color w:val="auto"/>
          <w:szCs w:val="21"/>
        </w:rPr>
        <w:t xml:space="preserve"> </w:t>
      </w:r>
    </w:p>
    <w:p>
      <w:pPr>
        <w:numPr>
          <w:ilvl w:val="0"/>
          <w:numId w:val="0"/>
        </w:numPr>
        <w:spacing w:line="360" w:lineRule="auto"/>
        <w:ind w:leftChars="200"/>
        <w:jc w:val="left"/>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auto"/>
          <w:szCs w:val="21"/>
          <w:highlight w:val="none"/>
        </w:rPr>
        <w:t>6.1供应</w:t>
      </w:r>
      <w:r>
        <w:rPr>
          <w:rFonts w:hint="eastAsia" w:asciiTheme="minorEastAsia" w:hAnsiTheme="minorEastAsia" w:eastAsiaTheme="minorEastAsia" w:cstheme="minorEastAsia"/>
          <w:szCs w:val="21"/>
          <w:highlight w:val="none"/>
        </w:rPr>
        <w:t>商营业执照的经营范围需具有园林绿化</w:t>
      </w:r>
      <w:r>
        <w:rPr>
          <w:rFonts w:hint="eastAsia" w:asciiTheme="minorEastAsia" w:hAnsiTheme="minorEastAsia" w:eastAsiaTheme="minorEastAsia" w:cstheme="minorEastAsia"/>
          <w:color w:val="auto"/>
          <w:szCs w:val="21"/>
          <w:highlight w:val="none"/>
        </w:rPr>
        <w:t>工程施工等满足采购需求的经营范围；</w:t>
      </w:r>
      <w:r>
        <w:rPr>
          <w:rFonts w:hint="eastAsia" w:asciiTheme="minorEastAsia" w:hAnsiTheme="minorEastAsia" w:eastAsiaTheme="minorEastAsia" w:cstheme="minorEastAsia"/>
          <w:color w:val="FF0000"/>
          <w:szCs w:val="21"/>
          <w:highlight w:val="none"/>
          <w:u w:val="single"/>
        </w:rPr>
        <w:t xml:space="preserve">    </w:t>
      </w:r>
      <w:r>
        <w:rPr>
          <w:rFonts w:hint="eastAsia" w:asciiTheme="minorEastAsia" w:hAnsiTheme="minorEastAsia" w:eastAsiaTheme="minorEastAsia" w:cstheme="minorEastAsia"/>
          <w:color w:val="FF0000"/>
          <w:szCs w:val="21"/>
          <w:u w:val="single"/>
        </w:rPr>
        <w:t xml:space="preserve">            </w:t>
      </w:r>
    </w:p>
    <w:p>
      <w:pPr>
        <w:pStyle w:val="4"/>
        <w:numPr>
          <w:ilvl w:val="0"/>
          <w:numId w:val="6"/>
        </w:numPr>
        <w:spacing w:line="360" w:lineRule="auto"/>
        <w:jc w:val="left"/>
        <w:rPr>
          <w:rFonts w:asciiTheme="minorEastAsia" w:hAnsiTheme="minorEastAsia" w:eastAsiaTheme="minorEastAsia" w:cstheme="minorEastAsia"/>
          <w:sz w:val="21"/>
          <w:szCs w:val="21"/>
        </w:rPr>
      </w:pPr>
      <w:bookmarkStart w:id="10" w:name="_Toc7357"/>
      <w:bookmarkStart w:id="11" w:name="_Toc334539185"/>
      <w:r>
        <w:rPr>
          <w:rFonts w:hint="eastAsia" w:asciiTheme="minorEastAsia" w:hAnsiTheme="minorEastAsia" w:eastAsiaTheme="minorEastAsia" w:cstheme="minorEastAsia"/>
          <w:sz w:val="21"/>
          <w:szCs w:val="21"/>
        </w:rPr>
        <w:t>获取采购文件</w:t>
      </w:r>
      <w:bookmarkEnd w:id="10"/>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w:t>
      </w:r>
      <w:r>
        <w:rPr>
          <w:rFonts w:hint="eastAsia" w:asciiTheme="minorEastAsia" w:hAnsiTheme="minorEastAsia" w:eastAsiaTheme="minorEastAsia" w:cstheme="minorEastAsia"/>
          <w:szCs w:val="21"/>
          <w:u w:val="single"/>
        </w:rPr>
        <w:t>2020年</w:t>
      </w:r>
      <w:r>
        <w:rPr>
          <w:rFonts w:hint="eastAsia" w:asciiTheme="minorEastAsia" w:hAnsiTheme="minorEastAsia" w:eastAsiaTheme="minorEastAsia" w:cstheme="minorEastAsia"/>
          <w:szCs w:val="21"/>
          <w:u w:val="single"/>
          <w:lang w:val="en-US" w:eastAsia="zh-CN"/>
        </w:rPr>
        <w:t>11</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23</w:t>
      </w:r>
      <w:r>
        <w:rPr>
          <w:rFonts w:hint="eastAsia" w:asciiTheme="minorEastAsia" w:hAnsiTheme="minorEastAsia" w:eastAsiaTheme="minorEastAsia" w:cstheme="minorEastAsia"/>
          <w:szCs w:val="21"/>
          <w:u w:val="single"/>
        </w:rPr>
        <w:t>日至2020年</w:t>
      </w:r>
      <w:r>
        <w:rPr>
          <w:rFonts w:hint="eastAsia" w:asciiTheme="minorEastAsia" w:hAnsiTheme="minorEastAsia" w:eastAsiaTheme="minorEastAsia" w:cstheme="minorEastAsia"/>
          <w:szCs w:val="21"/>
          <w:u w:val="single"/>
          <w:lang w:val="en-US" w:eastAsia="zh-CN"/>
        </w:rPr>
        <w:t>11</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27</w:t>
      </w:r>
      <w:r>
        <w:rPr>
          <w:rFonts w:hint="eastAsia" w:asciiTheme="minorEastAsia" w:hAnsiTheme="minorEastAsia" w:eastAsiaTheme="minorEastAsia" w:cstheme="minorEastAsia"/>
          <w:szCs w:val="21"/>
          <w:u w:val="single"/>
        </w:rPr>
        <w:t>日</w:t>
      </w:r>
      <w:r>
        <w:rPr>
          <w:rFonts w:hint="eastAsia" w:asciiTheme="minorEastAsia" w:hAnsiTheme="minorEastAsia" w:eastAsiaTheme="minorEastAsia" w:cstheme="minorEastAsia"/>
          <w:szCs w:val="21"/>
        </w:rPr>
        <w:t>（提供期限自本公告发布之日起至少5个工作日），每天上午09:00至12:00，下午14:30至17:00（北京时间，法定节假日除外）</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地点：武昌区中北路岳家嘴立交山河企业大厦48楼4805室；</w:t>
      </w:r>
      <w:bookmarkStart w:id="231" w:name="_GoBack"/>
      <w:bookmarkEnd w:id="231"/>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现场获取：</w:t>
      </w:r>
      <w:bookmarkEnd w:id="11"/>
      <w:r>
        <w:rPr>
          <w:rFonts w:hint="eastAsia" w:asciiTheme="minorEastAsia" w:hAnsiTheme="minorEastAsia" w:eastAsiaTheme="minorEastAsia" w:cstheme="minorEastAsia"/>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格式详见《政府采购促进中小企业发展暂行办法》(财库【2011】181号)（如项目非专门面向中小微企业，则不需要中小企业声明函）；</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szCs w:val="21"/>
        </w:rPr>
        <w:t>售价：采购文件人民币400元/本，售后不退，不办理邮寄；</w:t>
      </w:r>
    </w:p>
    <w:p>
      <w:pPr>
        <w:pStyle w:val="4"/>
        <w:numPr>
          <w:ilvl w:val="0"/>
          <w:numId w:val="6"/>
        </w:numPr>
        <w:spacing w:line="360" w:lineRule="auto"/>
        <w:jc w:val="left"/>
        <w:rPr>
          <w:rFonts w:asciiTheme="minorEastAsia" w:hAnsiTheme="minorEastAsia" w:eastAsiaTheme="minorEastAsia" w:cstheme="minorEastAsia"/>
          <w:sz w:val="21"/>
          <w:szCs w:val="21"/>
        </w:rPr>
      </w:pPr>
      <w:bookmarkStart w:id="12" w:name="_Toc26498"/>
      <w:r>
        <w:rPr>
          <w:rFonts w:hint="eastAsia" w:asciiTheme="minorEastAsia" w:hAnsiTheme="minorEastAsia" w:eastAsiaTheme="minorEastAsia" w:cstheme="minorEastAsia"/>
          <w:sz w:val="21"/>
          <w:szCs w:val="21"/>
        </w:rPr>
        <w:t>响应文件提交</w:t>
      </w:r>
      <w:bookmarkEnd w:id="12"/>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开始时间：2020年</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点</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分（北京时间）</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截止时间：2020年</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点</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分（北京时间）</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地点：武昌区中北路岳家嘴立交山河企业大厦4806室</w:t>
      </w:r>
    </w:p>
    <w:p>
      <w:pPr>
        <w:pStyle w:val="4"/>
        <w:numPr>
          <w:ilvl w:val="0"/>
          <w:numId w:val="6"/>
        </w:numPr>
        <w:spacing w:line="360" w:lineRule="auto"/>
        <w:jc w:val="left"/>
        <w:rPr>
          <w:rFonts w:asciiTheme="minorEastAsia" w:hAnsiTheme="minorEastAsia" w:eastAsiaTheme="minorEastAsia" w:cstheme="minorEastAsia"/>
          <w:sz w:val="21"/>
          <w:szCs w:val="21"/>
        </w:rPr>
      </w:pPr>
      <w:bookmarkStart w:id="13" w:name="_Toc15207"/>
      <w:r>
        <w:rPr>
          <w:rFonts w:hint="eastAsia" w:asciiTheme="minorEastAsia" w:hAnsiTheme="minorEastAsia" w:eastAsiaTheme="minorEastAsia" w:cstheme="minorEastAsia"/>
          <w:sz w:val="21"/>
          <w:szCs w:val="21"/>
        </w:rPr>
        <w:t>开启</w:t>
      </w:r>
      <w:bookmarkEnd w:id="13"/>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时间：2020年</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点</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分（北京时间）</w:t>
      </w:r>
    </w:p>
    <w:p>
      <w:pPr>
        <w:pStyle w:val="4"/>
        <w:numPr>
          <w:ilvl w:val="0"/>
          <w:numId w:val="6"/>
        </w:numPr>
        <w:spacing w:line="360" w:lineRule="auto"/>
        <w:jc w:val="left"/>
        <w:rPr>
          <w:rFonts w:asciiTheme="minorEastAsia" w:hAnsiTheme="minorEastAsia" w:eastAsiaTheme="minorEastAsia" w:cstheme="minorEastAsia"/>
          <w:sz w:val="21"/>
          <w:szCs w:val="21"/>
        </w:rPr>
      </w:pPr>
      <w:bookmarkStart w:id="14" w:name="_Toc7432"/>
      <w:r>
        <w:rPr>
          <w:rFonts w:hint="eastAsia" w:asciiTheme="minorEastAsia" w:hAnsiTheme="minorEastAsia" w:eastAsiaTheme="minorEastAsia" w:cstheme="minorEastAsia"/>
          <w:sz w:val="21"/>
          <w:szCs w:val="21"/>
        </w:rPr>
        <w:t>公告期限</w:t>
      </w:r>
      <w:bookmarkEnd w:id="14"/>
    </w:p>
    <w:p>
      <w:pPr>
        <w:spacing w:line="360" w:lineRule="auto"/>
        <w:ind w:firstLine="420" w:firstLineChars="200"/>
        <w:jc w:val="left"/>
        <w:rPr>
          <w:rFonts w:asciiTheme="minorEastAsia" w:hAnsiTheme="minorEastAsia" w:eastAsiaTheme="minorEastAsia" w:cstheme="minorEastAsia"/>
          <w:szCs w:val="21"/>
        </w:rPr>
      </w:pPr>
      <w:bookmarkStart w:id="15" w:name="_Toc334539188"/>
      <w:bookmarkStart w:id="16" w:name="_Toc259607751"/>
      <w:bookmarkStart w:id="17" w:name="_Toc276368888"/>
      <w:bookmarkStart w:id="18" w:name="_Toc6021"/>
      <w:bookmarkStart w:id="19" w:name="_Toc320898024"/>
      <w:bookmarkStart w:id="20" w:name="_Toc317262251"/>
      <w:r>
        <w:rPr>
          <w:rFonts w:hint="eastAsia" w:asciiTheme="minorEastAsia" w:hAnsiTheme="minorEastAsia" w:eastAsiaTheme="minorEastAsia" w:cstheme="minorEastAsia"/>
          <w:szCs w:val="21"/>
        </w:rPr>
        <w:t>自本公告发布之日起至少5个工作日</w:t>
      </w:r>
    </w:p>
    <w:bookmarkEnd w:id="15"/>
    <w:bookmarkEnd w:id="16"/>
    <w:bookmarkEnd w:id="17"/>
    <w:bookmarkEnd w:id="18"/>
    <w:bookmarkEnd w:id="19"/>
    <w:bookmarkEnd w:id="20"/>
    <w:p>
      <w:pPr>
        <w:pStyle w:val="4"/>
        <w:numPr>
          <w:ilvl w:val="0"/>
          <w:numId w:val="6"/>
        </w:numPr>
        <w:spacing w:line="360" w:lineRule="auto"/>
        <w:jc w:val="left"/>
        <w:rPr>
          <w:rFonts w:asciiTheme="minorEastAsia" w:hAnsiTheme="minorEastAsia" w:eastAsiaTheme="minorEastAsia" w:cstheme="minorEastAsia"/>
          <w:sz w:val="21"/>
          <w:szCs w:val="21"/>
        </w:rPr>
      </w:pPr>
      <w:bookmarkStart w:id="21" w:name="_Toc12904"/>
      <w:r>
        <w:rPr>
          <w:rFonts w:hint="eastAsia" w:asciiTheme="minorEastAsia" w:hAnsiTheme="minorEastAsia" w:eastAsiaTheme="minorEastAsia" w:cstheme="minorEastAsia"/>
          <w:sz w:val="21"/>
          <w:szCs w:val="21"/>
        </w:rPr>
        <w:t>其他补充事宜</w:t>
      </w:r>
      <w:bookmarkEnd w:id="21"/>
    </w:p>
    <w:p>
      <w:pPr>
        <w:spacing w:line="360" w:lineRule="auto"/>
        <w:ind w:firstLine="420" w:firstLineChars="200"/>
        <w:jc w:val="left"/>
        <w:rPr>
          <w:rFonts w:asciiTheme="minorEastAsia" w:hAnsiTheme="minorEastAsia" w:eastAsiaTheme="minorEastAsia" w:cstheme="minorEastAsia"/>
          <w:szCs w:val="21"/>
        </w:rPr>
      </w:pPr>
      <w:bookmarkStart w:id="22" w:name="_Toc259028279"/>
      <w:r>
        <w:rPr>
          <w:rFonts w:hint="eastAsia" w:asciiTheme="minorEastAsia" w:hAnsiTheme="minorEastAsia" w:eastAsiaTheme="minorEastAsia" w:cstheme="minorEastAsia"/>
          <w:szCs w:val="21"/>
        </w:rPr>
        <w:t>1.本项目是否专门面向中小企业、监狱企业、残疾人福利性单位：否</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2.供应商如需查询技术要求可到我处查阅采购文件第三章相关内容。</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 xml:space="preserve">    3.本项目将在以下网站发布所有信息，请参加本项目竞标的供应商密切关注。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（1）《中经国际招标集团有限公司官网》（网址：</w:t>
      </w:r>
      <w:r>
        <w:fldChar w:fldCharType="begin"/>
      </w:r>
      <w:r>
        <w:instrText xml:space="preserve"> HYPERLINK "http://www.ceitcl.com/）" </w:instrText>
      </w:r>
      <w:r>
        <w:fldChar w:fldCharType="separate"/>
      </w:r>
      <w:r>
        <w:rPr>
          <w:rFonts w:hint="eastAsia" w:asciiTheme="minorEastAsia" w:hAnsiTheme="minorEastAsia" w:eastAsiaTheme="minorEastAsia" w:cstheme="minorEastAsia"/>
          <w:szCs w:val="21"/>
        </w:rPr>
        <w:t>http://www.ceitcl.com/）</w:t>
      </w:r>
      <w:r>
        <w:rPr>
          <w:rFonts w:hint="eastAsia" w:asciiTheme="minorEastAsia" w:hAnsiTheme="minorEastAsia" w:eastAsiaTheme="minorEastAsia" w:cstheme="minorEastAsia"/>
          <w:szCs w:val="21"/>
        </w:rPr>
        <w:fldChar w:fldCharType="end"/>
      </w:r>
    </w:p>
    <w:p>
      <w:pPr>
        <w:spacing w:line="360" w:lineRule="auto"/>
        <w:ind w:firstLine="420"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（2）《中国招标投标公共服务平台》（网址：http://www.cebpubservice.com/）</w:t>
      </w:r>
    </w:p>
    <w:bookmarkEnd w:id="22"/>
    <w:p>
      <w:pPr>
        <w:pStyle w:val="4"/>
        <w:numPr>
          <w:ilvl w:val="0"/>
          <w:numId w:val="6"/>
        </w:numPr>
        <w:spacing w:line="360" w:lineRule="auto"/>
        <w:jc w:val="left"/>
        <w:rPr>
          <w:rFonts w:asciiTheme="minorEastAsia" w:hAnsiTheme="minorEastAsia" w:eastAsiaTheme="minorEastAsia" w:cstheme="minorEastAsia"/>
          <w:sz w:val="21"/>
          <w:szCs w:val="21"/>
        </w:rPr>
      </w:pPr>
      <w:bookmarkStart w:id="23" w:name="_Toc3309"/>
      <w:r>
        <w:rPr>
          <w:rFonts w:hint="eastAsia" w:asciiTheme="minorEastAsia" w:hAnsiTheme="minorEastAsia" w:eastAsiaTheme="minorEastAsia" w:cstheme="minorEastAsia"/>
          <w:sz w:val="21"/>
          <w:szCs w:val="21"/>
        </w:rPr>
        <w:t>凡对本次采购提出询问，请按以下方式联系</w:t>
      </w:r>
      <w:bookmarkEnd w:id="23"/>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1.采购人信息</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称：武汉工程大学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址：武汉市东湖新技术开发区光谷一路206号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联系方式：027-81624665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2.采购代理机构信息</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称：中经国际招标集团有限公司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址：武昌区中北路岳家嘴立交山河企业大厦48楼4805、4806室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联系方式：027-87820788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3.项目联系方式</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项目联系人：张梦、方雪菲、刘思雨</w:t>
      </w:r>
    </w:p>
    <w:p>
      <w:p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电    　话：027-87820788</w:t>
      </w:r>
      <w:r>
        <w:rPr>
          <w:rFonts w:hint="eastAsia" w:asciiTheme="minorEastAsia" w:hAnsiTheme="minorEastAsia" w:eastAsiaTheme="minorEastAsia" w:cstheme="minorEastAsia"/>
          <w:color w:val="FF0000"/>
          <w:szCs w:val="21"/>
        </w:rPr>
        <w:t>　　</w:t>
      </w:r>
    </w:p>
    <w:p>
      <w:pPr>
        <w:pStyle w:val="4"/>
        <w:numPr>
          <w:ilvl w:val="0"/>
          <w:numId w:val="6"/>
        </w:num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24714"/>
      <w:bookmarkStart w:id="25" w:name="_Toc4384"/>
      <w:r>
        <w:rPr>
          <w:rFonts w:hint="eastAsia" w:asciiTheme="minorEastAsia" w:hAnsiTheme="minorEastAsia" w:eastAsiaTheme="minorEastAsia" w:cstheme="minorEastAsia"/>
          <w:sz w:val="21"/>
          <w:szCs w:val="21"/>
        </w:rPr>
        <w:t>注意事项</w:t>
      </w:r>
      <w:bookmarkEnd w:id="24"/>
      <w:bookmarkEnd w:id="25"/>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2020年</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20</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0"/>
        <w:rPr>
          <w:rFonts w:asciiTheme="minorEastAsia" w:hAnsiTheme="minorEastAsia" w:eastAsiaTheme="minorEastAsia" w:cstheme="minorEastAsia"/>
        </w:rPr>
      </w:pPr>
    </w:p>
    <w:p>
      <w:pPr>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2"/>
          <w:szCs w:val="32"/>
        </w:rPr>
      </w:pPr>
      <w:bookmarkStart w:id="26" w:name="_Toc24118"/>
      <w:r>
        <w:rPr>
          <w:rFonts w:hint="eastAsia" w:asciiTheme="minorEastAsia" w:hAnsiTheme="minorEastAsia" w:eastAsiaTheme="minorEastAsia" w:cstheme="minorEastAsia"/>
          <w:sz w:val="36"/>
          <w:szCs w:val="36"/>
        </w:rPr>
        <w:t>供应商须知</w:t>
      </w:r>
      <w:bookmarkEnd w:id="26"/>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7" w:name="_Toc27415"/>
      <w:r>
        <w:rPr>
          <w:rFonts w:hint="eastAsia" w:asciiTheme="minorEastAsia" w:hAnsiTheme="minorEastAsia" w:eastAsiaTheme="minorEastAsia" w:cstheme="minorEastAsia"/>
          <w:b/>
          <w:szCs w:val="21"/>
        </w:rPr>
        <w:t>《供应商须知前附表》</w:t>
      </w:r>
      <w:bookmarkEnd w:id="27"/>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FF0000"/>
                <w:kern w:val="2"/>
                <w:sz w:val="21"/>
                <w:szCs w:val="21"/>
                <w:lang w:val="zh-CN"/>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采购人</w:t>
            </w:r>
          </w:p>
        </w:tc>
        <w:tc>
          <w:tcPr>
            <w:tcW w:w="6130" w:type="dxa"/>
            <w:vAlign w:val="center"/>
          </w:tcPr>
          <w:p>
            <w:pPr>
              <w:jc w:val="left"/>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color w:val="000000" w:themeColor="text1"/>
                <w:szCs w:val="21"/>
                <w14:textFill>
                  <w14:solidFill>
                    <w14:schemeClr w14:val="tx1"/>
                  </w14:solidFill>
                </w14:textFill>
              </w:rPr>
              <w:t>武汉工程大学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color w:val="FF0000"/>
                <w:kern w:val="2"/>
                <w:sz w:val="21"/>
                <w:szCs w:val="21"/>
                <w:lang w:val="zh-CN"/>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武汉工程大学上级管理部门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Lines="10" w:beforeAutospacing="0"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国家发展与改革委员会办公厅发改办价格【2003】857号文的规定，经与采购人协商，由中标人按国家发展计划委员会计价格【2002】1980号文规定的取费标准的61.7%向采购代理机构支付招标代理服务费。招标代理服务费由中标人在领取成交通知书的同时，向采购代理机构支付。不足肆仟元按肆仟元保底收费计取。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hint="eastAsia" w:asciiTheme="minorEastAsia" w:hAnsiTheme="minorEastAsia" w:eastAsiaTheme="minorEastAsia" w:cstheme="minorEastAsia"/>
                <w:sz w:val="21"/>
                <w:szCs w:val="21"/>
                <w:lang w:val="en-US" w:eastAsia="zh-CN"/>
              </w:rPr>
              <w:t>11</w:t>
            </w:r>
            <w:r>
              <w:rPr>
                <w:rFonts w:asciiTheme="minorEastAsia" w:hAnsiTheme="minorEastAsia" w:eastAsiaTheme="minorEastAsia" w:cstheme="minorEastAsia"/>
                <w:sz w:val="21"/>
                <w:szCs w:val="21"/>
                <w:lang w:val="zh-CN"/>
              </w:rPr>
              <w:t>月</w:t>
            </w:r>
            <w:r>
              <w:rPr>
                <w:rFonts w:hint="eastAsia" w:asciiTheme="minorEastAsia" w:hAnsiTheme="minorEastAsia" w:eastAsiaTheme="minorEastAsia" w:cstheme="minorEastAsia"/>
                <w:sz w:val="21"/>
                <w:szCs w:val="21"/>
                <w:lang w:val="en-US" w:eastAsia="zh-CN"/>
              </w:rPr>
              <w:t>28</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竞争性磋商</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1、具有独立承担民事责任的能力（经营范围需满足采购需求）；</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2、具有良好的商业信誉和健全的财务会计制度；（自拟）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3、具有履行合同所必需的设备和专业技术能力的证明材料；（自拟）</w:t>
            </w:r>
          </w:p>
          <w:p>
            <w:pPr>
              <w:autoSpaceDE w:val="0"/>
              <w:autoSpaceDN w:val="0"/>
              <w:adjustRightInd w:val="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4、具有依法缴纳税收和社会保障资金的良好记录；（自拟）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5、参加政府采购活动前三年内，在经营活动中没有重大违法记录；（自拟）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bCs/>
                <w:szCs w:val="21"/>
                <w:lang w:val="zh-CN"/>
              </w:rPr>
              <w:t>6、符合本文件第一章第二款资格要求的所有证明资料。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供应商不得存在的其他情形</w:t>
            </w:r>
          </w:p>
        </w:tc>
        <w:tc>
          <w:tcPr>
            <w:tcW w:w="6130" w:type="dxa"/>
            <w:vAlign w:val="center"/>
          </w:tcPr>
          <w:p>
            <w:pPr>
              <w:numPr>
                <w:ilvl w:val="0"/>
                <w:numId w:val="9"/>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9"/>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r>
              <w:rPr>
                <w:rFonts w:hint="eastAsia" w:asciiTheme="minorEastAsia" w:hAnsiTheme="minorEastAsia" w:eastAsiaTheme="minorEastAsia" w:cstheme="minorEastAsia"/>
                <w:b/>
                <w:bCs/>
                <w:snapToGrid w:val="0"/>
                <w:kern w:val="0"/>
                <w:szCs w:val="21"/>
                <w:lang w:val="zh-CN"/>
              </w:rPr>
              <w:t>（</w:t>
            </w:r>
            <w:r>
              <w:rPr>
                <w:rFonts w:hint="eastAsia" w:asciiTheme="minorEastAsia" w:hAnsiTheme="minorEastAsia" w:eastAsiaTheme="minorEastAsia" w:cstheme="minorEastAsia"/>
                <w:b/>
                <w:bCs/>
                <w:snapToGrid w:val="0"/>
                <w:kern w:val="0"/>
                <w:szCs w:val="21"/>
              </w:rPr>
              <w:t>本项目不适用</w:t>
            </w:r>
            <w:r>
              <w:rPr>
                <w:rFonts w:hint="eastAsia" w:asciiTheme="minorEastAsia" w:hAnsiTheme="minorEastAsia" w:eastAsiaTheme="minorEastAsia" w:cstheme="minorEastAsia"/>
                <w:b/>
                <w:bCs/>
                <w:snapToGrid w:val="0"/>
                <w:kern w:val="0"/>
                <w:szCs w:val="21"/>
                <w:lang w:val="zh-CN"/>
              </w:rPr>
              <w:t>）</w:t>
            </w:r>
          </w:p>
        </w:tc>
        <w:tc>
          <w:tcPr>
            <w:tcW w:w="6130" w:type="dxa"/>
            <w:vAlign w:val="center"/>
          </w:tcPr>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    额：/</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户    名：中经国际招标集团有限公司湖北分公司</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开户银行：中国农业银行股份有限公司武汉岳家嘴支行</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帐    号：17053001040009288</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szCs w:val="21"/>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1、投标文件纸质版：正本一份（需为彩色打印件），副本</w:t>
            </w:r>
            <w:r>
              <w:rPr>
                <w:rFonts w:hint="eastAsia" w:asciiTheme="minorEastAsia" w:hAnsiTheme="minorEastAsia" w:eastAsiaTheme="minorEastAsia" w:cstheme="minorEastAsia"/>
                <w:szCs w:val="21"/>
                <w:u w:val="single"/>
              </w:rPr>
              <w:t xml:space="preserve"> 两 </w:t>
            </w:r>
            <w:r>
              <w:rPr>
                <w:rFonts w:hint="eastAsia" w:asciiTheme="minorEastAsia" w:hAnsiTheme="minorEastAsia" w:eastAsiaTheme="minorEastAsia" w:cstheme="minorEastAsia"/>
                <w:szCs w:val="21"/>
              </w:rPr>
              <w:t>份；</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2、投标文件电子版：</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要求，投标文件电子版内容：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投标文件电子版格式：WORD格式和加</w:t>
            </w:r>
            <w:r>
              <w:rPr>
                <w:rFonts w:hint="eastAsia" w:asciiTheme="minorEastAsia" w:hAnsiTheme="minorEastAsia" w:eastAsiaTheme="minorEastAsia" w:cstheme="minorEastAsia"/>
                <w:szCs w:val="21"/>
                <w:u w:val="single"/>
              </w:rPr>
              <w:t>盖公章后的PDF扫描件格式；</w:t>
            </w:r>
          </w:p>
          <w:p>
            <w:pPr>
              <w:autoSpaceDE w:val="0"/>
              <w:autoSpaceDN w:val="0"/>
              <w:adjustRightInd w:val="0"/>
              <w:ind w:firstLine="840" w:firstLineChars="40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投标文件电子版形式：</w:t>
            </w:r>
            <w:r>
              <w:rPr>
                <w:rFonts w:hint="eastAsia" w:asciiTheme="minorEastAsia" w:hAnsiTheme="minorEastAsia" w:eastAsiaTheme="minorEastAsia" w:cstheme="minorEastAsia"/>
                <w:szCs w:val="21"/>
                <w:u w:val="single"/>
              </w:rPr>
              <w:t xml:space="preserve"> U盘1份</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3、手持法定代表人授权委托书（或法定代表人身份证明书）、单独密封提供的报价一览表；</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纸质投标文件应采用胶粘方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样品</w:t>
            </w:r>
          </w:p>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snapToGrid w:val="0"/>
                <w:kern w:val="0"/>
                <w:szCs w:val="21"/>
                <w:lang w:val="zh-CN"/>
              </w:rPr>
              <w:t>（</w:t>
            </w:r>
            <w:r>
              <w:rPr>
                <w:rFonts w:hint="eastAsia" w:asciiTheme="minorEastAsia" w:hAnsiTheme="minorEastAsia" w:eastAsiaTheme="minorEastAsia" w:cstheme="minorEastAsia"/>
                <w:b/>
                <w:bCs/>
                <w:snapToGrid w:val="0"/>
                <w:kern w:val="0"/>
                <w:szCs w:val="21"/>
              </w:rPr>
              <w:t>本项目不适用</w:t>
            </w:r>
            <w:r>
              <w:rPr>
                <w:rFonts w:hint="eastAsia" w:asciiTheme="minorEastAsia" w:hAnsiTheme="minorEastAsia" w:eastAsiaTheme="minorEastAsia" w:cstheme="minorEastAsia"/>
                <w:b/>
                <w:bCs/>
                <w:snapToGrid w:val="0"/>
                <w:kern w:val="0"/>
                <w:szCs w:val="21"/>
                <w:lang w:val="zh-CN"/>
              </w:rPr>
              <w:t>）</w:t>
            </w:r>
          </w:p>
        </w:tc>
        <w:tc>
          <w:tcPr>
            <w:tcW w:w="6130" w:type="dxa"/>
            <w:vAlign w:val="center"/>
          </w:tcPr>
          <w:p>
            <w:pPr>
              <w:autoSpaceDE w:val="0"/>
              <w:autoSpaceDN w:val="0"/>
              <w:adjustRightInd w:val="0"/>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szCs w:val="21"/>
              </w:rPr>
              <w:t>为磋商小组详细介绍供应商公司情况及项目了解情况的</w:t>
            </w:r>
            <w:r>
              <w:rPr>
                <w:rFonts w:hint="eastAsia" w:asciiTheme="minorEastAsia" w:hAnsiTheme="minorEastAsia" w:eastAsiaTheme="minorEastAsia" w:cstheme="minorEastAsia"/>
                <w:b/>
                <w:bCs/>
                <w:szCs w:val="21"/>
                <w:lang w:val="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lang w:val="en-US" w:eastAsia="zh-CN"/>
              </w:rPr>
              <w:t>5</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Lines="10"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报价方式</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本项目</w:t>
            </w:r>
            <w:r>
              <w:rPr>
                <w:rFonts w:hint="eastAsia" w:asciiTheme="minorEastAsia" w:hAnsiTheme="minorEastAsia" w:eastAsiaTheme="minorEastAsia" w:cstheme="minorEastAsia"/>
                <w:color w:val="auto"/>
                <w:szCs w:val="21"/>
              </w:rPr>
              <w:t>需要提交竞标</w:t>
            </w:r>
            <w:r>
              <w:rPr>
                <w:rFonts w:hint="eastAsia" w:asciiTheme="minorEastAsia" w:hAnsiTheme="minorEastAsia" w:eastAsiaTheme="minorEastAsia" w:cstheme="minorEastAsia"/>
                <w:color w:val="auto"/>
                <w:szCs w:val="21"/>
                <w:lang w:val="zh-CN"/>
              </w:rPr>
              <w:t>报价，由学校综合考虑入围单位实力、类似业绩等情况进行项目分配。</w:t>
            </w:r>
            <w:r>
              <w:rPr>
                <w:rFonts w:hint="eastAsia" w:asciiTheme="minorEastAsia" w:hAnsiTheme="minorEastAsia" w:eastAsiaTheme="minorEastAsia" w:cstheme="minorEastAsia"/>
                <w:color w:val="auto"/>
                <w:szCs w:val="21"/>
                <w:lang w:val="zh-CN"/>
              </w:rPr>
              <w:br w:type="textWrapping"/>
            </w:r>
            <w:r>
              <w:rPr>
                <w:rFonts w:hint="eastAsia" w:asciiTheme="minorEastAsia" w:hAnsiTheme="minorEastAsia" w:eastAsiaTheme="minorEastAsia" w:cstheme="minorEastAsia"/>
                <w:color w:val="auto"/>
                <w:szCs w:val="21"/>
                <w:lang w:val="zh-CN"/>
              </w:rPr>
              <w:t>竞标报价应包括完成该项目的货物</w:t>
            </w:r>
            <w:r>
              <w:rPr>
                <w:rFonts w:hint="eastAsia" w:asciiTheme="minorEastAsia" w:hAnsiTheme="minorEastAsia" w:eastAsiaTheme="minorEastAsia" w:cstheme="minorEastAsia"/>
                <w:color w:val="auto"/>
                <w:szCs w:val="21"/>
              </w:rPr>
              <w:t>本身</w:t>
            </w:r>
            <w:r>
              <w:rPr>
                <w:rFonts w:hint="eastAsia" w:asciiTheme="minorEastAsia" w:hAnsiTheme="minorEastAsia" w:eastAsiaTheme="minorEastAsia" w:cstheme="minorEastAsia"/>
                <w:color w:val="auto"/>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Cs w:val="21"/>
              </w:rPr>
              <w:t>也</w:t>
            </w:r>
            <w:r>
              <w:rPr>
                <w:rFonts w:hint="eastAsia" w:asciiTheme="minorEastAsia" w:hAnsiTheme="minorEastAsia" w:eastAsiaTheme="minorEastAsia" w:cstheme="minorEastAsia"/>
                <w:color w:val="auto"/>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Cs w:val="21"/>
              </w:rPr>
              <w:t>采购人</w:t>
            </w:r>
            <w:r>
              <w:rPr>
                <w:rFonts w:hint="eastAsia" w:asciiTheme="minorEastAsia" w:hAnsiTheme="minorEastAsia" w:eastAsiaTheme="minorEastAsia" w:cstheme="minorEastAsia"/>
                <w:color w:val="auto"/>
                <w:szCs w:val="21"/>
                <w:lang w:val="zh-CN"/>
              </w:rPr>
              <w:t>概不负责。</w:t>
            </w:r>
          </w:p>
          <w:p>
            <w:pPr>
              <w:autoSpaceDE w:val="0"/>
              <w:autoSpaceDN w:val="0"/>
              <w:adjustRightInd w:val="0"/>
              <w:snapToGrid w:val="0"/>
              <w:spacing w:beforeLines="10" w:afterLines="10"/>
              <w:ind w:right="21" w:rightChars="10"/>
              <w:jc w:val="left"/>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zh-CN"/>
              </w:rPr>
              <w:t>对于</w:t>
            </w: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color w:val="auto"/>
                <w:szCs w:val="21"/>
                <w:lang w:val="zh-CN"/>
              </w:rPr>
              <w:t>文件未列明，而</w:t>
            </w: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color w:val="auto"/>
                <w:szCs w:val="21"/>
                <w:lang w:val="zh-CN"/>
              </w:rPr>
              <w:t>供应商认为</w:t>
            </w:r>
            <w:r>
              <w:rPr>
                <w:rFonts w:hint="eastAsia" w:asciiTheme="minorEastAsia" w:hAnsiTheme="minorEastAsia" w:eastAsiaTheme="minorEastAsia" w:cstheme="minorEastAsia"/>
                <w:color w:val="auto"/>
                <w:szCs w:val="21"/>
              </w:rPr>
              <w:t>必须</w:t>
            </w:r>
            <w:r>
              <w:rPr>
                <w:rFonts w:hint="eastAsia" w:asciiTheme="minorEastAsia" w:hAnsiTheme="minorEastAsia" w:eastAsiaTheme="minorEastAsia" w:cstheme="minorEastAsia"/>
                <w:color w:val="auto"/>
                <w:szCs w:val="21"/>
                <w:lang w:val="zh-CN"/>
              </w:rPr>
              <w:t>的费用也需列入总报价。在合同实施时，采购人将不予支付</w:t>
            </w:r>
            <w:r>
              <w:rPr>
                <w:rFonts w:hint="eastAsia" w:asciiTheme="minorEastAsia" w:hAnsiTheme="minorEastAsia" w:eastAsiaTheme="minorEastAsia" w:cstheme="minorEastAsia"/>
                <w:color w:val="auto"/>
                <w:szCs w:val="21"/>
              </w:rPr>
              <w:t>成交</w:t>
            </w:r>
            <w:r>
              <w:rPr>
                <w:rFonts w:hint="eastAsia" w:asciiTheme="minorEastAsia" w:hAnsiTheme="minorEastAsia" w:eastAsiaTheme="minorEastAsia" w:cstheme="minorEastAsia"/>
                <w:color w:val="auto"/>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采购人不组织统一踏勘，请各供应商自行踏勘现场；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□组织，踏勘时间：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踏勘集中地点：</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踏勘联系人：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注：1、供应商承担踏勘现场所发生的自身费用；</w:t>
            </w:r>
          </w:p>
          <w:p>
            <w:pPr>
              <w:autoSpaceDE w:val="0"/>
              <w:autoSpaceDN w:val="0"/>
              <w:adjustRightInd w:val="0"/>
              <w:snapToGrid w:val="0"/>
              <w:spacing w:beforeLines="10" w:afterLines="10"/>
              <w:ind w:right="21" w:rightChars="10"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2、供应商应承担踏勘现场的责任和风险。</w:t>
            </w:r>
          </w:p>
          <w:p>
            <w:pPr>
              <w:autoSpaceDE w:val="0"/>
              <w:autoSpaceDN w:val="0"/>
              <w:adjustRightInd w:val="0"/>
              <w:snapToGrid w:val="0"/>
              <w:spacing w:beforeLines="10" w:afterLines="10"/>
              <w:ind w:right="21" w:rightChars="10"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3、采购人在踏勘现场中介绍的项目背景及项目现场和相关的周边环境情况，供应商在编制响应文件时参考，采购人和采购代理机构不对供应商据此作出的判断和决策负责。</w:t>
            </w:r>
          </w:p>
        </w:tc>
      </w:tr>
    </w:tbl>
    <w:p>
      <w:pP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28" w:name="_Toc9336"/>
      <w:r>
        <w:rPr>
          <w:rFonts w:hint="eastAsia" w:asciiTheme="minorEastAsia" w:hAnsiTheme="minorEastAsia" w:eastAsiaTheme="minorEastAsia" w:cstheme="minorEastAsia"/>
          <w:b/>
          <w:szCs w:val="21"/>
        </w:rPr>
        <w:t>供应商须知</w:t>
      </w:r>
      <w:bookmarkEnd w:id="28"/>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9" w:name="_Toc25339"/>
      <w:r>
        <w:rPr>
          <w:rFonts w:hint="eastAsia" w:asciiTheme="minorEastAsia" w:hAnsiTheme="minorEastAsia" w:eastAsiaTheme="minorEastAsia" w:cstheme="minorEastAsia"/>
          <w:b/>
          <w:szCs w:val="21"/>
        </w:rPr>
        <w:t>总则</w:t>
      </w:r>
      <w:bookmarkEnd w:id="29"/>
    </w:p>
    <w:p>
      <w:pPr>
        <w:numPr>
          <w:ilvl w:val="0"/>
          <w:numId w:val="11"/>
        </w:numPr>
        <w:spacing w:line="360" w:lineRule="auto"/>
        <w:ind w:hanging="540"/>
        <w:outlineLvl w:val="1"/>
        <w:rPr>
          <w:rFonts w:asciiTheme="minorEastAsia" w:hAnsiTheme="minorEastAsia" w:eastAsiaTheme="minorEastAsia" w:cstheme="minorEastAsia"/>
          <w:b/>
          <w:szCs w:val="21"/>
        </w:rPr>
      </w:pPr>
      <w:bookmarkStart w:id="30" w:name="_Toc1902"/>
      <w:bookmarkStart w:id="31" w:name="_Toc27243"/>
      <w:r>
        <w:rPr>
          <w:rFonts w:hint="eastAsia" w:asciiTheme="minorEastAsia" w:hAnsiTheme="minorEastAsia" w:eastAsiaTheme="minorEastAsia" w:cstheme="minorEastAsia"/>
          <w:b/>
          <w:szCs w:val="21"/>
        </w:rPr>
        <w:t>适用法律及范围</w:t>
      </w:r>
      <w:bookmarkEnd w:id="30"/>
      <w:bookmarkEnd w:id="31"/>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2" w:name="_Toc23125"/>
      <w:bookmarkStart w:id="33" w:name="_Toc30547"/>
      <w:r>
        <w:rPr>
          <w:rFonts w:hint="eastAsia" w:asciiTheme="minorEastAsia" w:hAnsiTheme="minorEastAsia" w:eastAsiaTheme="minorEastAsia" w:cstheme="minorEastAsia"/>
          <w:b/>
          <w:szCs w:val="21"/>
        </w:rPr>
        <w:t>定义</w:t>
      </w:r>
      <w:bookmarkEnd w:id="32"/>
      <w:bookmarkEnd w:id="33"/>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4" w:name="_Toc16462"/>
      <w:bookmarkStart w:id="35" w:name="_Toc30503"/>
      <w:r>
        <w:rPr>
          <w:rFonts w:hint="eastAsia" w:asciiTheme="minorEastAsia" w:hAnsiTheme="minorEastAsia" w:eastAsiaTheme="minorEastAsia" w:cstheme="minorEastAsia"/>
          <w:b/>
          <w:snapToGrid w:val="0"/>
          <w:kern w:val="0"/>
          <w:szCs w:val="21"/>
          <w:lang w:val="zh-CN"/>
        </w:rPr>
        <w:t>工程、货物及服务</w:t>
      </w:r>
      <w:bookmarkEnd w:id="34"/>
      <w:bookmarkEnd w:id="35"/>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6" w:name="_Toc21516"/>
      <w:bookmarkStart w:id="37" w:name="_Toc9974"/>
      <w:r>
        <w:rPr>
          <w:rFonts w:hint="eastAsia" w:asciiTheme="minorEastAsia" w:hAnsiTheme="minorEastAsia" w:eastAsiaTheme="minorEastAsia" w:cstheme="minorEastAsia"/>
          <w:b/>
          <w:szCs w:val="21"/>
        </w:rPr>
        <w:t>费用</w:t>
      </w:r>
      <w:bookmarkEnd w:id="36"/>
      <w:bookmarkEnd w:id="37"/>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注：招标代理服务收费按差额定率累进法计算。例如：某服务招标代理业务中标金额为6000万元，计算招标代理服务收费额如下：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 xml:space="preserve"> 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100---500：400×0.800％=32000.000元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500---1000：500×0.450％=22500.000元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1000---5000：4000×0.250％=100000.000元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5000---6000：1000×0.100％=10000.000元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合计收费=179500.000元</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8" w:name="_Toc25282"/>
      <w:r>
        <w:rPr>
          <w:rFonts w:hint="eastAsia" w:asciiTheme="minorEastAsia" w:hAnsiTheme="minorEastAsia" w:eastAsiaTheme="minorEastAsia" w:cstheme="minorEastAsia"/>
          <w:b/>
          <w:szCs w:val="21"/>
        </w:rPr>
        <w:t>竞争性磋商采购文件</w:t>
      </w:r>
      <w:bookmarkEnd w:id="38"/>
    </w:p>
    <w:p>
      <w:pPr>
        <w:numPr>
          <w:ilvl w:val="0"/>
          <w:numId w:val="11"/>
        </w:numPr>
        <w:spacing w:line="360" w:lineRule="auto"/>
        <w:ind w:hanging="540"/>
        <w:outlineLvl w:val="1"/>
        <w:rPr>
          <w:rFonts w:asciiTheme="minorEastAsia" w:hAnsiTheme="minorEastAsia" w:eastAsiaTheme="minorEastAsia" w:cstheme="minorEastAsia"/>
          <w:b/>
          <w:szCs w:val="21"/>
        </w:rPr>
      </w:pPr>
      <w:bookmarkStart w:id="39" w:name="_Toc4547"/>
      <w:bookmarkStart w:id="40" w:name="_Toc18427"/>
      <w:r>
        <w:rPr>
          <w:rFonts w:hint="eastAsia" w:asciiTheme="minorEastAsia" w:hAnsiTheme="minorEastAsia" w:eastAsiaTheme="minorEastAsia" w:cstheme="minorEastAsia"/>
          <w:b/>
          <w:szCs w:val="21"/>
        </w:rPr>
        <w:t>竞争性磋商采购文件的构成</w:t>
      </w:r>
      <w:bookmarkEnd w:id="39"/>
      <w:bookmarkEnd w:id="40"/>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1" w:name="_Toc22193"/>
      <w:bookmarkStart w:id="42" w:name="_Toc29700"/>
      <w:r>
        <w:rPr>
          <w:rFonts w:hint="eastAsia" w:asciiTheme="minorEastAsia" w:hAnsiTheme="minorEastAsia" w:eastAsiaTheme="minorEastAsia" w:cstheme="minorEastAsia"/>
          <w:b/>
          <w:snapToGrid w:val="0"/>
          <w:kern w:val="0"/>
          <w:szCs w:val="21"/>
          <w:lang w:val="zh-CN"/>
        </w:rPr>
        <w:t>竞争性磋商采购文件的澄清</w:t>
      </w:r>
      <w:bookmarkEnd w:id="41"/>
      <w:bookmarkEnd w:id="42"/>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3" w:name="_Toc22552"/>
      <w:bookmarkStart w:id="44" w:name="_Toc31761"/>
      <w:r>
        <w:rPr>
          <w:rFonts w:hint="eastAsia" w:asciiTheme="minorEastAsia" w:hAnsiTheme="minorEastAsia" w:eastAsiaTheme="minorEastAsia" w:cstheme="minorEastAsia"/>
          <w:b/>
          <w:snapToGrid w:val="0"/>
          <w:kern w:val="0"/>
          <w:szCs w:val="21"/>
          <w:lang w:val="zh-CN"/>
        </w:rPr>
        <w:t>竞争性磋商采购文件的修改</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5" w:name="_Toc20793"/>
      <w:r>
        <w:rPr>
          <w:rFonts w:hint="eastAsia" w:asciiTheme="minorEastAsia" w:hAnsiTheme="minorEastAsia" w:eastAsiaTheme="minorEastAsia" w:cstheme="minorEastAsia"/>
          <w:b/>
          <w:szCs w:val="21"/>
        </w:rPr>
        <w:t>竞争性磋商响应文件</w:t>
      </w:r>
      <w:bookmarkEnd w:id="45"/>
    </w:p>
    <w:p>
      <w:pPr>
        <w:numPr>
          <w:ilvl w:val="0"/>
          <w:numId w:val="11"/>
        </w:numPr>
        <w:spacing w:line="360" w:lineRule="auto"/>
        <w:ind w:hanging="540"/>
        <w:outlineLvl w:val="1"/>
        <w:rPr>
          <w:rFonts w:asciiTheme="minorEastAsia" w:hAnsiTheme="minorEastAsia" w:eastAsiaTheme="minorEastAsia" w:cstheme="minorEastAsia"/>
          <w:snapToGrid w:val="0"/>
          <w:kern w:val="0"/>
          <w:szCs w:val="21"/>
          <w:lang w:val="zh-CN"/>
        </w:rPr>
      </w:pPr>
      <w:bookmarkStart w:id="46" w:name="_Toc30987"/>
      <w:bookmarkStart w:id="47" w:name="_Toc7173"/>
      <w:r>
        <w:rPr>
          <w:rFonts w:hint="eastAsia" w:asciiTheme="minorEastAsia" w:hAnsiTheme="minorEastAsia" w:eastAsiaTheme="minorEastAsia" w:cstheme="minorEastAsia"/>
          <w:b/>
          <w:snapToGrid w:val="0"/>
          <w:kern w:val="0"/>
          <w:szCs w:val="21"/>
          <w:lang w:val="zh-CN"/>
        </w:rPr>
        <w:t>语言和计量单位</w:t>
      </w:r>
      <w:bookmarkEnd w:id="46"/>
      <w:bookmarkEnd w:id="47"/>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8" w:name="_Toc20103"/>
      <w:bookmarkStart w:id="49" w:name="_Toc32272"/>
      <w:r>
        <w:rPr>
          <w:rFonts w:hint="eastAsia" w:asciiTheme="minorEastAsia" w:hAnsiTheme="minorEastAsia" w:eastAsiaTheme="minorEastAsia" w:cstheme="minorEastAsia"/>
          <w:b/>
          <w:snapToGrid w:val="0"/>
          <w:kern w:val="0"/>
          <w:szCs w:val="21"/>
          <w:lang w:val="zh-CN"/>
        </w:rPr>
        <w:t>竞争性磋商响应文件的构成</w:t>
      </w:r>
      <w:bookmarkEnd w:id="48"/>
      <w:bookmarkEnd w:id="49"/>
    </w:p>
    <w:p>
      <w:pPr>
        <w:numPr>
          <w:ilvl w:val="1"/>
          <w:numId w:val="20"/>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50" w:name="_Toc7683"/>
      <w:bookmarkStart w:id="51" w:name="_Toc25217"/>
      <w:r>
        <w:rPr>
          <w:rFonts w:hint="eastAsia" w:asciiTheme="minorEastAsia" w:hAnsiTheme="minorEastAsia" w:eastAsiaTheme="minorEastAsia" w:cstheme="minorEastAsia"/>
          <w:b/>
          <w:snapToGrid w:val="0"/>
          <w:kern w:val="0"/>
          <w:szCs w:val="21"/>
          <w:lang w:val="zh-CN"/>
        </w:rPr>
        <w:t>竞争性磋商响应文件的编制</w:t>
      </w:r>
      <w:bookmarkEnd w:id="50"/>
      <w:bookmarkEnd w:id="51"/>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52" w:name="_Toc23413"/>
      <w:bookmarkStart w:id="53" w:name="_Toc24544"/>
      <w:r>
        <w:rPr>
          <w:rFonts w:hint="eastAsia" w:asciiTheme="minorEastAsia" w:hAnsiTheme="minorEastAsia" w:eastAsiaTheme="minorEastAsia" w:cstheme="minorEastAsia"/>
          <w:b/>
          <w:snapToGrid w:val="0"/>
          <w:kern w:val="0"/>
          <w:szCs w:val="21"/>
          <w:lang w:val="zh-CN"/>
        </w:rPr>
        <w:t>磋商报价</w:t>
      </w:r>
      <w:bookmarkEnd w:id="52"/>
      <w:bookmarkEnd w:id="53"/>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4" w:name="_Toc6176"/>
      <w:bookmarkStart w:id="55" w:name="_Toc15518"/>
      <w:r>
        <w:rPr>
          <w:rFonts w:hint="eastAsia" w:asciiTheme="minorEastAsia" w:hAnsiTheme="minorEastAsia" w:eastAsiaTheme="minorEastAsia" w:cstheme="minorEastAsia"/>
          <w:b/>
          <w:snapToGrid w:val="0"/>
          <w:kern w:val="0"/>
          <w:szCs w:val="21"/>
          <w:lang w:val="zh-CN"/>
        </w:rPr>
        <w:t>备选方案</w:t>
      </w:r>
      <w:bookmarkEnd w:id="54"/>
      <w:bookmarkEnd w:id="55"/>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6" w:name="_Toc3324"/>
      <w:bookmarkStart w:id="57" w:name="_Toc13590"/>
      <w:r>
        <w:rPr>
          <w:rFonts w:hint="eastAsia" w:asciiTheme="minorEastAsia" w:hAnsiTheme="minorEastAsia" w:eastAsiaTheme="minorEastAsia" w:cstheme="minorEastAsia"/>
          <w:b/>
          <w:snapToGrid w:val="0"/>
          <w:kern w:val="0"/>
          <w:szCs w:val="21"/>
          <w:lang w:val="zh-CN"/>
        </w:rPr>
        <w:t>联合体</w:t>
      </w:r>
      <w:bookmarkEnd w:id="56"/>
      <w:bookmarkEnd w:id="57"/>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8" w:name="_Toc32392"/>
      <w:bookmarkStart w:id="59" w:name="_Toc2434"/>
      <w:r>
        <w:rPr>
          <w:rFonts w:hint="eastAsia" w:asciiTheme="minorEastAsia" w:hAnsiTheme="minorEastAsia" w:eastAsiaTheme="minorEastAsia" w:cstheme="minorEastAsia"/>
          <w:b/>
          <w:snapToGrid w:val="0"/>
          <w:kern w:val="0"/>
          <w:szCs w:val="21"/>
          <w:lang w:val="zh-CN"/>
        </w:rPr>
        <w:t>供应商资格证明文件</w:t>
      </w:r>
      <w:bookmarkEnd w:id="58"/>
      <w:bookmarkEnd w:id="59"/>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0" w:name="_Toc9935"/>
      <w:bookmarkStart w:id="61" w:name="_Toc1371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0"/>
      <w:bookmarkEnd w:id="61"/>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2" w:name="_Toc4733"/>
      <w:bookmarkStart w:id="63" w:name="_Toc27068"/>
      <w:r>
        <w:rPr>
          <w:rFonts w:hint="eastAsia" w:asciiTheme="minorEastAsia" w:hAnsiTheme="minorEastAsia" w:eastAsiaTheme="minorEastAsia" w:cstheme="minorEastAsia"/>
          <w:b/>
          <w:snapToGrid w:val="0"/>
          <w:kern w:val="0"/>
          <w:szCs w:val="21"/>
          <w:lang w:val="zh-CN"/>
        </w:rPr>
        <w:t>磋商保证金</w:t>
      </w:r>
      <w:bookmarkEnd w:id="62"/>
      <w:bookmarkEnd w:id="63"/>
    </w:p>
    <w:p>
      <w:pPr>
        <w:numPr>
          <w:ilvl w:val="1"/>
          <w:numId w:val="28"/>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4" w:name="_Toc268"/>
      <w:bookmarkStart w:id="65" w:name="_Toc5668"/>
      <w:r>
        <w:rPr>
          <w:rFonts w:hint="eastAsia" w:asciiTheme="minorEastAsia" w:hAnsiTheme="minorEastAsia" w:eastAsiaTheme="minorEastAsia" w:cstheme="minorEastAsia"/>
          <w:b/>
          <w:snapToGrid w:val="0"/>
          <w:kern w:val="0"/>
          <w:szCs w:val="21"/>
          <w:lang w:val="zh-CN"/>
        </w:rPr>
        <w:t>磋商有效期</w:t>
      </w:r>
      <w:bookmarkEnd w:id="64"/>
      <w:bookmarkEnd w:id="65"/>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6" w:name="_Toc8272"/>
      <w:bookmarkStart w:id="67" w:name="_Toc17197"/>
      <w:r>
        <w:rPr>
          <w:rFonts w:hint="eastAsia" w:asciiTheme="minorEastAsia" w:hAnsiTheme="minorEastAsia" w:eastAsiaTheme="minorEastAsia" w:cstheme="minorEastAsia"/>
          <w:b/>
          <w:snapToGrid w:val="0"/>
          <w:kern w:val="0"/>
          <w:szCs w:val="21"/>
          <w:lang w:val="zh-CN"/>
        </w:rPr>
        <w:t>竞争性磋商响应文件的装订、签署和数量</w:t>
      </w:r>
      <w:bookmarkEnd w:id="66"/>
      <w:bookmarkEnd w:id="67"/>
    </w:p>
    <w:p>
      <w:pPr>
        <w:numPr>
          <w:ilvl w:val="1"/>
          <w:numId w:val="31"/>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、报价一览表。本次磋商供应商提交响应文件正、副本和电子文档的数量见《供应商须知前附表》。</w:t>
      </w:r>
    </w:p>
    <w:p>
      <w:pPr>
        <w:numPr>
          <w:ilvl w:val="1"/>
          <w:numId w:val="31"/>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法定代表人身份证明书）、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8" w:name="_Toc14931"/>
      <w:r>
        <w:rPr>
          <w:rFonts w:hint="eastAsia" w:asciiTheme="minorEastAsia" w:hAnsiTheme="minorEastAsia" w:eastAsiaTheme="minorEastAsia" w:cstheme="minorEastAsia"/>
          <w:b/>
          <w:szCs w:val="21"/>
        </w:rPr>
        <w:t>竞争性磋商响应文件的递交</w:t>
      </w:r>
      <w:bookmarkEnd w:id="68"/>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9" w:name="_Toc10100"/>
      <w:bookmarkStart w:id="70"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9"/>
      <w:bookmarkEnd w:id="70"/>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1" w:name="_Toc1730"/>
      <w:bookmarkStart w:id="72"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1"/>
      <w:bookmarkEnd w:id="72"/>
    </w:p>
    <w:p>
      <w:pPr>
        <w:tabs>
          <w:tab w:val="left" w:pos="540"/>
        </w:tabs>
        <w:autoSpaceDE w:val="0"/>
        <w:autoSpaceDN w:val="0"/>
        <w:adjustRightInd w:val="0"/>
        <w:spacing w:line="360" w:lineRule="auto"/>
        <w:ind w:left="617" w:hanging="617" w:hangingChars="294"/>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20.1</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bCs/>
          <w:snapToGrid w:val="0"/>
          <w:kern w:val="0"/>
          <w:szCs w:val="21"/>
          <w:lang w:val="zh-CN"/>
        </w:rPr>
        <w:t>竞争性磋商</w:t>
      </w:r>
      <w:r>
        <w:rPr>
          <w:rFonts w:hint="eastAsia" w:asciiTheme="minorEastAsia" w:hAnsiTheme="minorEastAsia" w:eastAsiaTheme="minorEastAsia" w:cstheme="minorEastAsia"/>
          <w:snapToGrid w:val="0"/>
          <w:kern w:val="0"/>
          <w:szCs w:val="21"/>
          <w:lang w:val="zh-CN"/>
        </w:rPr>
        <w:t>文件中规定的首次送达、提交响应文件的最后时间。本次磋商响应文件的送达地点及截止时间见《供应商须知前附表》。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3" w:name="_Toc22901"/>
      <w:bookmarkStart w:id="74" w:name="_Toc31376"/>
      <w:r>
        <w:rPr>
          <w:rFonts w:hint="eastAsia" w:asciiTheme="minorEastAsia" w:hAnsiTheme="minorEastAsia" w:eastAsiaTheme="minorEastAsia" w:cstheme="minorEastAsia"/>
          <w:b/>
          <w:snapToGrid w:val="0"/>
          <w:kern w:val="0"/>
          <w:szCs w:val="21"/>
          <w:lang w:val="zh-CN"/>
        </w:rPr>
        <w:t>迟交的竞争性磋商响应文件</w:t>
      </w:r>
      <w:bookmarkEnd w:id="73"/>
      <w:bookmarkEnd w:id="74"/>
    </w:p>
    <w:p>
      <w:pPr>
        <w:numPr>
          <w:ilvl w:val="1"/>
          <w:numId w:val="33"/>
        </w:numPr>
        <w:tabs>
          <w:tab w:val="left" w:pos="540"/>
          <w:tab w:val="clear" w:pos="480"/>
        </w:tabs>
        <w:autoSpaceDE w:val="0"/>
        <w:autoSpaceDN w:val="0"/>
        <w:adjustRightInd w:val="0"/>
        <w:spacing w:line="360" w:lineRule="auto"/>
        <w:ind w:left="539" w:hanging="539"/>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5" w:name="_Toc31760"/>
      <w:bookmarkStart w:id="76" w:name="_Toc8569"/>
      <w:r>
        <w:rPr>
          <w:rFonts w:hint="eastAsia" w:asciiTheme="minorEastAsia" w:hAnsiTheme="minorEastAsia" w:eastAsiaTheme="minorEastAsia" w:cstheme="minorEastAsia"/>
          <w:b/>
          <w:snapToGrid w:val="0"/>
          <w:kern w:val="0"/>
          <w:szCs w:val="21"/>
          <w:lang w:val="zh-CN"/>
        </w:rPr>
        <w:t>竞争性磋商响应文件的补充、修改或者撤回</w:t>
      </w:r>
      <w:bookmarkEnd w:id="75"/>
      <w:bookmarkEnd w:id="76"/>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39" w:hanging="539"/>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7" w:name="_Toc4934"/>
      <w:r>
        <w:rPr>
          <w:rFonts w:hint="eastAsia" w:asciiTheme="minorEastAsia" w:hAnsiTheme="minorEastAsia" w:eastAsiaTheme="minorEastAsia" w:cstheme="minorEastAsia"/>
          <w:b/>
          <w:szCs w:val="21"/>
        </w:rPr>
        <w:t>磋商程序及步骤</w:t>
      </w:r>
      <w:bookmarkEnd w:id="7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8" w:name="_Toc22624"/>
      <w:bookmarkStart w:id="79" w:name="_Toc449"/>
      <w:r>
        <w:rPr>
          <w:rFonts w:hint="eastAsia" w:asciiTheme="minorEastAsia" w:hAnsiTheme="minorEastAsia" w:eastAsiaTheme="minorEastAsia" w:cstheme="minorEastAsia"/>
          <w:b/>
        </w:rPr>
        <w:t>竞争性磋商小组</w:t>
      </w:r>
      <w:bookmarkEnd w:id="78"/>
      <w:bookmarkEnd w:id="79"/>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rPr>
        <w:t xml:space="preserve">23.1  </w:t>
      </w:r>
      <w:r>
        <w:rPr>
          <w:rFonts w:hint="eastAsia" w:asciiTheme="minorEastAsia" w:hAnsiTheme="minorEastAsia" w:eastAsiaTheme="minorEastAsia" w:cstheme="minorEastAsia"/>
          <w:snapToGrid w:val="0"/>
          <w:kern w:val="0"/>
          <w:szCs w:val="21"/>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kern w:val="0"/>
          <w:szCs w:val="21"/>
        </w:rPr>
        <w:t>3</w:t>
      </w:r>
      <w:r>
        <w:rPr>
          <w:rFonts w:hint="eastAsia" w:asciiTheme="minorEastAsia" w:hAnsiTheme="minorEastAsia" w:eastAsiaTheme="minorEastAsia" w:cstheme="minorEastAsia"/>
          <w:snapToGrid w:val="0"/>
          <w:kern w:val="0"/>
          <w:szCs w:val="21"/>
          <w:lang w:val="zh-CN"/>
        </w:rPr>
        <w:t>人</w:t>
      </w:r>
      <w:r>
        <w:rPr>
          <w:rFonts w:hint="eastAsia" w:asciiTheme="minorEastAsia" w:hAnsiTheme="minorEastAsia" w:eastAsiaTheme="minorEastAsia" w:cstheme="minorEastAsia"/>
          <w:snapToGrid w:val="0"/>
          <w:color w:val="auto"/>
          <w:kern w:val="0"/>
          <w:szCs w:val="21"/>
          <w:lang w:val="zh-CN"/>
        </w:rPr>
        <w:t>以上单数组成。磋商小组人数详见《供应商须知前附表》。</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23.2 </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 xml:space="preserve">磋商小组中的评审专家人数不少于磋商小组成员总数的2/3。除本采购文件另有规定，评审专家将从政府采购评审专家库中随机抽取。 </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23.3 </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磋商小组所有成员按事先抽取的磋商顺序，集中与单一供应商分别进行磋商，并给予所有参</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加磋商的供应商平等的磋商机会。</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80" w:name="_Toc18007"/>
      <w:bookmarkStart w:id="81" w:name="_Toc21483"/>
      <w:r>
        <w:rPr>
          <w:rFonts w:hint="eastAsia" w:asciiTheme="minorEastAsia" w:hAnsiTheme="minorEastAsia" w:eastAsiaTheme="minorEastAsia" w:cstheme="minorEastAsia"/>
          <w:b/>
        </w:rPr>
        <w:t>磋商代表</w:t>
      </w:r>
      <w:bookmarkEnd w:id="80"/>
      <w:bookmarkEnd w:id="81"/>
    </w:p>
    <w:p>
      <w:pPr>
        <w:tabs>
          <w:tab w:val="left" w:pos="864"/>
          <w:tab w:val="left" w:pos="1080"/>
        </w:tabs>
        <w:spacing w:line="360" w:lineRule="auto"/>
        <w:ind w:left="632" w:hanging="632" w:hangingChars="300"/>
        <w:jc w:val="left"/>
        <w:rPr>
          <w:rFonts w:asciiTheme="minorEastAsia" w:hAnsiTheme="minorEastAsia" w:eastAsiaTheme="minorEastAsia" w:cstheme="minorEastAsia"/>
          <w:szCs w:val="21"/>
        </w:rPr>
      </w:pPr>
      <w:bookmarkStart w:id="82" w:name="_Toc32662"/>
      <w:bookmarkStart w:id="83"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szCs w:val="21"/>
        </w:rPr>
        <w:t>磋商代表的其他要求见《供应商须知前附表》。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4" w:name="_Toc30067"/>
      <w:r>
        <w:rPr>
          <w:rFonts w:hint="eastAsia" w:asciiTheme="minorEastAsia" w:hAnsiTheme="minorEastAsia" w:eastAsiaTheme="minorEastAsia" w:cstheme="minorEastAsia"/>
          <w:b/>
        </w:rPr>
        <w:t>资格审查和符合性审查</w:t>
      </w:r>
      <w:bookmarkEnd w:id="84"/>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  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5" w:name="_Toc10938"/>
      <w:r>
        <w:rPr>
          <w:rFonts w:hint="eastAsia" w:asciiTheme="minorEastAsia" w:hAnsiTheme="minorEastAsia" w:eastAsiaTheme="minorEastAsia" w:cstheme="minorEastAsia"/>
          <w:b/>
        </w:rPr>
        <w:t>磋商</w:t>
      </w:r>
      <w:bookmarkEnd w:id="85"/>
    </w:p>
    <w:p>
      <w:pPr>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szCs w:val="21"/>
        </w:rPr>
        <w:t>26.1  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26.2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26.3  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w:t>
      </w:r>
      <w:r>
        <w:rPr>
          <w:rFonts w:hint="eastAsia" w:asciiTheme="minorEastAsia" w:hAnsiTheme="minorEastAsia" w:eastAsiaTheme="minorEastAsia" w:cstheme="minorEastAsia"/>
        </w:rPr>
        <w:t>的，以重新提交的响应文件为准。不按要求签署或逾时不提交响应文件的，视同放弃磋商，放弃磋商的供应商的磋商保证金将在成交通知书发放后的五个工作日内退还。</w:t>
      </w:r>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  竞标报价有算术错误的，磋商小组按照以下原则对竞标报价进行修正，修正的价格经供应商书面确认后具有约束力。供应商不接受修正价格的，磋商小组应当否决其竞标。</w:t>
      </w:r>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（1）响应文件中的大写金额与小写金额不一致的，以大写金额为准；</w:t>
      </w:r>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（2）总价金额与根据单价计算出的结果不一致的，以单价金额为准修正总价，但单价金额小数点有明显错误的除外。</w:t>
      </w:r>
    </w:p>
    <w:p>
      <w:pPr>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26.5  最后报价</w:t>
      </w:r>
    </w:p>
    <w:p>
      <w:pPr>
        <w:spacing w:line="360" w:lineRule="auto"/>
        <w:ind w:left="630" w:leftChars="300" w:firstLine="210" w:firstLineChars="100"/>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最后报价为本次竞争性磋商不可变动的最终价格。</w:t>
      </w:r>
    </w:p>
    <w:p>
      <w:pPr>
        <w:spacing w:line="360" w:lineRule="auto"/>
        <w:ind w:left="630" w:leftChars="300"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left="630" w:leftChars="300"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left="630" w:leftChars="300"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26.6  </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ind w:left="630" w:hanging="630" w:hangingChars="30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26.7</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26.8  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6" w:name="_Toc22406"/>
      <w:r>
        <w:rPr>
          <w:rFonts w:hint="eastAsia" w:asciiTheme="minorEastAsia" w:hAnsiTheme="minorEastAsia" w:eastAsiaTheme="minorEastAsia" w:cstheme="minorEastAsia"/>
          <w:b/>
          <w:lang w:val="zh-CN"/>
        </w:rPr>
        <w:t>保密</w:t>
      </w:r>
      <w:bookmarkEnd w:id="86"/>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7" w:name="_Toc28143"/>
      <w:r>
        <w:rPr>
          <w:rFonts w:hint="eastAsia" w:asciiTheme="minorEastAsia" w:hAnsiTheme="minorEastAsia" w:eastAsiaTheme="minorEastAsia" w:cstheme="minorEastAsia"/>
          <w:b/>
          <w:szCs w:val="21"/>
        </w:rPr>
        <w:t>成交与签订合同</w:t>
      </w:r>
      <w:bookmarkEnd w:id="8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3131"/>
      <w:r>
        <w:rPr>
          <w:rFonts w:hint="eastAsia" w:asciiTheme="minorEastAsia" w:hAnsiTheme="minorEastAsia" w:eastAsiaTheme="minorEastAsia" w:cstheme="minorEastAsia"/>
          <w:b/>
          <w:lang w:val="zh-CN"/>
        </w:rPr>
        <w:t>合同授予标准</w:t>
      </w:r>
      <w:bookmarkEnd w:id="88"/>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rPr>
        <w:t xml:space="preserve">  </w:t>
      </w:r>
      <w:r>
        <w:rPr>
          <w:rFonts w:hint="eastAsia" w:asciiTheme="minorEastAsia" w:hAnsiTheme="minorEastAsia" w:eastAsiaTheme="minorEastAsia" w:cstheme="minorEastAsia"/>
          <w:iCs/>
          <w:snapToGrid w:val="0"/>
          <w:kern w:val="0"/>
          <w:szCs w:val="21"/>
          <w:lang w:val="zh-CN"/>
        </w:rPr>
        <w:t>采购人将把合同授予</w:t>
      </w:r>
      <w:r>
        <w:rPr>
          <w:rFonts w:hint="eastAsia" w:asciiTheme="minorEastAsia" w:hAnsiTheme="minorEastAsia" w:eastAsiaTheme="minorEastAsia" w:cstheme="minorEastAsia"/>
          <w:iCs/>
          <w:snapToGrid w:val="0"/>
          <w:kern w:val="0"/>
          <w:szCs w:val="21"/>
          <w:lang w:val="en-US" w:eastAsia="zh-CN"/>
        </w:rPr>
        <w:t>排序前五</w:t>
      </w:r>
      <w:r>
        <w:rPr>
          <w:rFonts w:hint="eastAsia" w:asciiTheme="minorEastAsia" w:hAnsiTheme="minorEastAsia" w:eastAsiaTheme="minorEastAsia" w:cstheme="minorEastAsia"/>
          <w:iCs/>
          <w:snapToGrid w:val="0"/>
          <w:kern w:val="0"/>
          <w:szCs w:val="21"/>
          <w:lang w:val="zh-CN"/>
        </w:rPr>
        <w:t>的供应商，特殊情况按本须知29.3的规定执行。</w:t>
      </w:r>
    </w:p>
    <w:p>
      <w:pPr>
        <w:spacing w:line="360" w:lineRule="auto"/>
        <w:ind w:left="630" w:hanging="630" w:hangingChars="300"/>
        <w:jc w:val="left"/>
        <w:rPr>
          <w:rFonts w:ascii="宋体" w:hAnsi="宋体" w:cs="宋体"/>
          <w:szCs w:val="21"/>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2  </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cs="宋体"/>
          <w:szCs w:val="21"/>
        </w:rPr>
        <w:t xml:space="preserve">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4  </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5  </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9" w:name="_Toc9453"/>
      <w:r>
        <w:rPr>
          <w:rFonts w:hint="eastAsia" w:asciiTheme="minorEastAsia" w:hAnsiTheme="minorEastAsia" w:eastAsiaTheme="minorEastAsia" w:cstheme="minorEastAsia"/>
          <w:b/>
          <w:lang w:val="zh-CN"/>
        </w:rPr>
        <w:t>签订合同</w:t>
      </w:r>
      <w:bookmarkEnd w:id="89"/>
    </w:p>
    <w:p>
      <w:pPr>
        <w:tabs>
          <w:tab w:val="left" w:pos="426"/>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29.1 </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竞争性磋商采购文件对履约保证金有规定的，成交供应商应按规定在签订合同前缴纳履约保证金。</w:t>
      </w:r>
    </w:p>
    <w:p>
      <w:pPr>
        <w:tabs>
          <w:tab w:val="left" w:pos="426"/>
        </w:tabs>
        <w:autoSpaceDE w:val="0"/>
        <w:autoSpaceDN w:val="0"/>
        <w:adjustRightInd w:val="0"/>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 xml:space="preserve">29.2 </w:t>
      </w:r>
      <w:r>
        <w:rPr>
          <w:rFonts w:hint="eastAsia" w:asciiTheme="minorEastAsia" w:hAnsiTheme="minorEastAsia" w:eastAsiaTheme="minorEastAsia" w:cstheme="minorEastAsia"/>
          <w:snapToGrid w:val="0"/>
          <w:szCs w:val="21"/>
        </w:rPr>
        <w:t xml:space="preserve"> </w:t>
      </w:r>
      <w:r>
        <w:rPr>
          <w:rFonts w:hint="eastAsia" w:asciiTheme="minorEastAsia" w:hAnsiTheme="minorEastAsia" w:eastAsiaTheme="minorEastAsia" w:cstheme="minorEastAsia"/>
          <w:snapToGrid w:val="0"/>
          <w:szCs w:val="21"/>
          <w:lang w:val="zh-CN"/>
        </w:rPr>
        <w:t>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left="630" w:left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left="630" w:left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29.5 </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 xml:space="preserve">29.6 </w:t>
      </w:r>
      <w:r>
        <w:rPr>
          <w:rFonts w:hint="eastAsia" w:asciiTheme="minorEastAsia" w:hAnsiTheme="minorEastAsia" w:eastAsiaTheme="minorEastAsia" w:cstheme="minorEastAsia"/>
          <w:snapToGrid w:val="0"/>
          <w:szCs w:val="21"/>
        </w:rPr>
        <w:t xml:space="preserve"> </w:t>
      </w:r>
      <w:r>
        <w:rPr>
          <w:rFonts w:hint="eastAsia" w:asciiTheme="minorEastAsia" w:hAnsiTheme="minorEastAsia" w:eastAsiaTheme="minorEastAsia" w:cstheme="minorEastAsia"/>
          <w:snapToGrid w:val="0"/>
          <w:szCs w:val="21"/>
          <w:lang w:val="zh-CN"/>
        </w:rPr>
        <w:t>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left="630" w:left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632" w:hanging="632" w:hangingChars="300"/>
        <w:jc w:val="left"/>
        <w:rPr>
          <w:rFonts w:asciiTheme="minorEastAsia" w:hAnsiTheme="minorEastAsia" w:eastAsiaTheme="minorEastAsia" w:cstheme="minorEastAsia"/>
          <w:b/>
          <w:szCs w:val="21"/>
          <w:lang w:val="zh-CN"/>
        </w:rPr>
      </w:pPr>
      <w:bookmarkStart w:id="90" w:name="_Toc14510"/>
      <w:bookmarkStart w:id="91" w:name="_Toc4883"/>
      <w:bookmarkStart w:id="92" w:name="_Toc13988"/>
      <w:r>
        <w:rPr>
          <w:rFonts w:hint="eastAsia" w:asciiTheme="minorEastAsia" w:hAnsiTheme="minorEastAsia" w:eastAsiaTheme="minorEastAsia" w:cstheme="minorEastAsia"/>
          <w:b/>
          <w:szCs w:val="21"/>
          <w:lang w:val="zh-CN"/>
        </w:rPr>
        <w:t>质疑和投诉</w:t>
      </w:r>
      <w:bookmarkEnd w:id="90"/>
      <w:bookmarkEnd w:id="91"/>
      <w:bookmarkEnd w:id="92"/>
    </w:p>
    <w:p>
      <w:pPr>
        <w:numPr>
          <w:ilvl w:val="0"/>
          <w:numId w:val="11"/>
        </w:numPr>
        <w:tabs>
          <w:tab w:val="left" w:pos="864"/>
          <w:tab w:val="left" w:pos="1080"/>
        </w:tabs>
        <w:spacing w:line="360" w:lineRule="auto"/>
        <w:ind w:left="632" w:hanging="632" w:hangingChars="300"/>
        <w:jc w:val="left"/>
        <w:rPr>
          <w:rFonts w:asciiTheme="minorEastAsia" w:hAnsiTheme="minorEastAsia" w:eastAsiaTheme="minorEastAsia" w:cstheme="minorEastAsia"/>
          <w:b/>
          <w:lang w:val="zh-CN"/>
        </w:rPr>
      </w:pPr>
      <w:r>
        <w:rPr>
          <w:rFonts w:hint="eastAsia" w:asciiTheme="minorEastAsia" w:hAnsiTheme="minorEastAsia" w:eastAsiaTheme="minorEastAsia" w:cstheme="minorEastAsia"/>
          <w:b/>
          <w:lang w:val="zh-CN"/>
        </w:rPr>
        <w:t>质疑</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质疑书应当包括下列主要内容：</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质疑人的名称、地址、联系人及联系电话等；</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被质疑人的名称、地址、联系人及联系电话等；</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质疑项目名称及编号、质疑事项和明确的请求；</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（4）</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（5）</w:t>
      </w:r>
      <w:r>
        <w:rPr>
          <w:rFonts w:hint="eastAsia" w:ascii="宋体" w:hAnsi="宋体" w:cs="宋体"/>
          <w:snapToGrid w:val="0"/>
          <w:kern w:val="0"/>
          <w:szCs w:val="21"/>
        </w:rPr>
        <w:t xml:space="preserve"> </w:t>
      </w:r>
      <w:r>
        <w:rPr>
          <w:rFonts w:hint="eastAsia" w:ascii="宋体" w:hAnsi="宋体" w:cs="宋体"/>
          <w:snapToGrid w:val="0"/>
          <w:kern w:val="0"/>
          <w:szCs w:val="21"/>
          <w:lang w:val="zh-CN"/>
        </w:rPr>
        <w:t>提出质疑的日期；</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（6）</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（7）</w:t>
      </w:r>
      <w:r>
        <w:rPr>
          <w:rFonts w:hint="eastAsia" w:ascii="宋体" w:hAnsi="宋体" w:cs="宋体"/>
          <w:snapToGrid w:val="0"/>
          <w:kern w:val="0"/>
          <w:szCs w:val="21"/>
        </w:rPr>
        <w:t xml:space="preserve"> </w:t>
      </w:r>
      <w:r>
        <w:rPr>
          <w:rFonts w:hint="eastAsia" w:ascii="宋体" w:hAnsi="宋体" w:cs="宋体"/>
          <w:snapToGrid w:val="0"/>
          <w:kern w:val="0"/>
          <w:szCs w:val="21"/>
          <w:lang w:val="zh-CN"/>
        </w:rPr>
        <w:t>法人授权委托书（质疑人或法人委托代理人办理质疑事务的，应当提供授权委托书，授权委托书应当载明委托代理的具体权限和事项）。</w:t>
      </w:r>
    </w:p>
    <w:p>
      <w:pPr>
        <w:autoSpaceDE w:val="0"/>
        <w:autoSpaceDN w:val="0"/>
        <w:adjustRightInd w:val="0"/>
        <w:spacing w:line="360" w:lineRule="auto"/>
        <w:ind w:left="630" w:leftChars="300"/>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3" w:name="_Toc30594"/>
      <w:r>
        <w:rPr>
          <w:rFonts w:hint="eastAsia" w:asciiTheme="minorEastAsia" w:hAnsiTheme="minorEastAsia" w:eastAsiaTheme="minorEastAsia" w:cstheme="minorEastAsia"/>
          <w:b/>
          <w:lang w:val="zh-CN"/>
        </w:rPr>
        <w:t>质疑回复</w:t>
      </w:r>
      <w:bookmarkEnd w:id="93"/>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4" w:name="_Toc884"/>
      <w:r>
        <w:rPr>
          <w:rFonts w:hint="eastAsia" w:asciiTheme="minorEastAsia" w:hAnsiTheme="minorEastAsia" w:eastAsiaTheme="minorEastAsia" w:cstheme="minorEastAsia"/>
          <w:b/>
          <w:lang w:val="zh-CN"/>
        </w:rPr>
        <w:t>投诉</w:t>
      </w:r>
      <w:bookmarkEnd w:id="94"/>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5" w:name="_Toc14767"/>
      <w:bookmarkStart w:id="96" w:name="_Toc1919"/>
      <w:bookmarkStart w:id="97" w:name="_Toc5571"/>
      <w:bookmarkStart w:id="98" w:name="_Toc28705"/>
      <w:r>
        <w:rPr>
          <w:rFonts w:hint="eastAsia" w:asciiTheme="minorEastAsia" w:hAnsiTheme="minorEastAsia" w:eastAsiaTheme="minorEastAsia" w:cstheme="minorEastAsia"/>
          <w:b/>
          <w:szCs w:val="21"/>
          <w:lang w:val="zh-CN"/>
        </w:rPr>
        <w:t>政策</w:t>
      </w:r>
      <w:bookmarkEnd w:id="95"/>
      <w:bookmarkEnd w:id="96"/>
      <w:bookmarkEnd w:id="97"/>
      <w:bookmarkEnd w:id="98"/>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99" w:name="_Toc10988"/>
      <w:r>
        <w:rPr>
          <w:rFonts w:hint="eastAsia" w:asciiTheme="minorEastAsia" w:hAnsiTheme="minorEastAsia" w:eastAsiaTheme="minorEastAsia" w:cstheme="minorEastAsia"/>
          <w:b/>
        </w:rPr>
        <w:t>政府采购政策</w:t>
      </w:r>
      <w:bookmarkEnd w:id="99"/>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ind w:left="630" w:hanging="630" w:hangingChars="300"/>
        <w:jc w:val="left"/>
        <w:rPr>
          <w:rFonts w:ascii="宋体" w:hAnsi="宋体" w:cs="宋体"/>
          <w:snapToGrid w:val="0"/>
          <w:kern w:val="0"/>
          <w:szCs w:val="21"/>
        </w:rPr>
      </w:pPr>
      <w:r>
        <w:rPr>
          <w:rFonts w:hint="eastAsia" w:ascii="宋体" w:hAnsi="宋体" w:cs="宋体"/>
          <w:snapToGrid w:val="0"/>
          <w:kern w:val="0"/>
          <w:szCs w:val="21"/>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ind w:left="630" w:hanging="630" w:hangingChars="300"/>
        <w:jc w:val="left"/>
        <w:rPr>
          <w:rFonts w:ascii="宋体" w:hAnsi="宋体" w:cs="宋体"/>
          <w:snapToGrid w:val="0"/>
          <w:kern w:val="0"/>
          <w:szCs w:val="21"/>
        </w:rPr>
      </w:pPr>
      <w:r>
        <w:rPr>
          <w:rFonts w:hint="eastAsia" w:ascii="宋体" w:hAnsi="宋体" w:cs="宋体"/>
          <w:snapToGrid w:val="0"/>
          <w:kern w:val="0"/>
          <w:szCs w:val="21"/>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ind w:left="630" w:hanging="630" w:hangingChars="300"/>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left="630" w:leftChars="300"/>
        <w:jc w:val="left"/>
        <w:rPr>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0" w:name="_Toc31845"/>
      <w:r>
        <w:rPr>
          <w:rFonts w:hint="eastAsia" w:asciiTheme="minorEastAsia" w:hAnsiTheme="minorEastAsia" w:eastAsiaTheme="minorEastAsia" w:cstheme="minorEastAsia"/>
          <w:b/>
          <w:szCs w:val="21"/>
          <w:lang w:val="zh-CN"/>
        </w:rPr>
        <w:t>其他要求</w:t>
      </w:r>
      <w:bookmarkEnd w:id="100"/>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1" w:name="_Toc13674"/>
      <w:r>
        <w:rPr>
          <w:rFonts w:hint="eastAsia" w:asciiTheme="minorEastAsia" w:hAnsiTheme="minorEastAsia" w:eastAsiaTheme="minorEastAsia" w:cstheme="minorEastAsia"/>
          <w:b/>
          <w:szCs w:val="21"/>
          <w:lang w:val="zh-CN"/>
        </w:rPr>
        <w:t>适用法律</w:t>
      </w:r>
      <w:bookmarkEnd w:id="101"/>
    </w:p>
    <w:p>
      <w:pPr>
        <w:autoSpaceDE w:val="0"/>
        <w:autoSpaceDN w:val="0"/>
        <w:adjustRightInd w:val="0"/>
        <w:spacing w:line="360" w:lineRule="auto"/>
        <w:ind w:left="630" w:left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numPr>
          <w:ilvl w:val="0"/>
          <w:numId w:val="36"/>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numPr>
          <w:ilvl w:val="0"/>
          <w:numId w:val="36"/>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numPr>
          <w:ilvl w:val="0"/>
          <w:numId w:val="36"/>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02" w:name="_Toc8192"/>
      <w:r>
        <w:rPr>
          <w:rFonts w:hint="eastAsia" w:asciiTheme="minorEastAsia" w:hAnsiTheme="minorEastAsia" w:eastAsiaTheme="minorEastAsia" w:cstheme="minorEastAsia"/>
          <w:b/>
          <w:bCs/>
          <w:sz w:val="36"/>
          <w:szCs w:val="36"/>
        </w:rPr>
        <w:t>采购需求</w:t>
      </w:r>
      <w:bookmarkEnd w:id="102"/>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3" w:name="_Toc1410"/>
      <w:r>
        <w:rPr>
          <w:rFonts w:hint="eastAsia" w:asciiTheme="minorEastAsia" w:hAnsiTheme="minorEastAsia" w:eastAsiaTheme="minorEastAsia" w:cstheme="minorEastAsia"/>
          <w:b/>
          <w:bCs/>
          <w:sz w:val="24"/>
        </w:rPr>
        <w:t>一、技术需求</w:t>
      </w:r>
      <w:bookmarkEnd w:id="103"/>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1、项目概况：</w:t>
      </w:r>
      <w:r>
        <w:rPr>
          <w:rFonts w:hint="eastAsia" w:asciiTheme="minorEastAsia" w:hAnsiTheme="minorEastAsia" w:eastAsiaTheme="minorEastAsia" w:cstheme="minorEastAsia"/>
          <w:szCs w:val="21"/>
          <w:lang w:val="en-US" w:eastAsia="zh-CN"/>
        </w:rPr>
        <w:t>最多</w:t>
      </w:r>
      <w:r>
        <w:rPr>
          <w:rFonts w:hint="eastAsia" w:asciiTheme="minorEastAsia" w:hAnsiTheme="minorEastAsia" w:eastAsiaTheme="minorEastAsia" w:cstheme="minorEastAsia"/>
          <w:color w:val="auto"/>
          <w:szCs w:val="21"/>
        </w:rPr>
        <w:t>遴选五家供应商提供武汉工程大学两校区小型绿化专业养护服务。</w:t>
      </w:r>
    </w:p>
    <w:p>
      <w:pPr>
        <w:autoSpaceDE w:val="0"/>
        <w:autoSpaceDN w:val="0"/>
        <w:adjustRightInd w:val="0"/>
        <w:spacing w:line="360" w:lineRule="auto"/>
      </w:pPr>
      <w:r>
        <w:rPr>
          <w:rFonts w:hint="eastAsia" w:asciiTheme="minorEastAsia" w:hAnsiTheme="minorEastAsia" w:eastAsiaTheme="minorEastAsia" w:cstheme="minorEastAsia"/>
          <w:color w:val="auto"/>
          <w:szCs w:val="21"/>
        </w:rPr>
        <w:t>2、服务内容和要求：包括但不限于对两校区校园内超过5米及以上枯枝、病枝修剪、拦头专业养护、树木移栽等小型绿化工程提供绿化</w:t>
      </w:r>
      <w:r>
        <w:rPr>
          <w:rFonts w:hint="eastAsia" w:asciiTheme="minorEastAsia" w:hAnsiTheme="minorEastAsia" w:eastAsiaTheme="minorEastAsia" w:cstheme="minorEastAsia"/>
          <w:szCs w:val="21"/>
        </w:rPr>
        <w:t>专业施工服务。具体项目服务内容，另行入围合同约定。</w:t>
      </w:r>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4" w:name="_Toc29340"/>
      <w:r>
        <w:rPr>
          <w:rFonts w:hint="eastAsia" w:asciiTheme="minorEastAsia" w:hAnsiTheme="minorEastAsia" w:eastAsiaTheme="minorEastAsia" w:cstheme="minorEastAsia"/>
          <w:b/>
          <w:bCs/>
          <w:sz w:val="24"/>
        </w:rPr>
        <w:t>二、商务需求</w:t>
      </w:r>
      <w:bookmarkEnd w:id="104"/>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1.2若非采购人原因，成交供应商逾期签订合同的，成交供应商向采购人支付逾期违约金，逾期违约金为每天1000.00元人民币，但其最终累计金额不超过合同价款的10%。</w:t>
      </w:r>
    </w:p>
    <w:p>
      <w:pPr>
        <w:pStyle w:val="10"/>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1.3因成交供应商原因服务质量及诚信要求达不到约定的标准，由成交供应商向采购人支付合同价款10%的违约</w:t>
      </w:r>
      <w:r>
        <w:rPr>
          <w:rFonts w:hint="eastAsia" w:asciiTheme="minorEastAsia" w:hAnsiTheme="minorEastAsia" w:eastAsiaTheme="minorEastAsia" w:cstheme="minorEastAsia"/>
          <w:color w:val="auto"/>
          <w:szCs w:val="21"/>
        </w:rPr>
        <w:t>金。</w:t>
      </w:r>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2、服务地点：</w:t>
      </w:r>
      <w:r>
        <w:rPr>
          <w:rFonts w:hint="eastAsia" w:ascii="宋体" w:hAnsi="宋体" w:cs="宋体"/>
          <w:color w:val="auto"/>
          <w:szCs w:val="21"/>
        </w:rPr>
        <w:t>武汉工程大学，招标人指定地点。</w:t>
      </w:r>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3、履约保证</w:t>
      </w:r>
      <w:r>
        <w:rPr>
          <w:rFonts w:hint="eastAsia" w:asciiTheme="minorEastAsia" w:hAnsiTheme="minorEastAsia" w:eastAsiaTheme="minorEastAsia" w:cstheme="minorEastAsia"/>
          <w:color w:val="auto"/>
          <w:szCs w:val="21"/>
          <w:highlight w:val="none"/>
        </w:rPr>
        <w:t>金：</w:t>
      </w:r>
      <w:r>
        <w:rPr>
          <w:rFonts w:hint="eastAsia" w:ascii="宋体" w:hAnsi="宋体" w:cs="宋体" w:eastAsiaTheme="minorEastAsia"/>
          <w:color w:val="auto"/>
          <w:szCs w:val="21"/>
          <w:highlight w:val="none"/>
          <w:lang w:val="en-US" w:eastAsia="zh-CN"/>
        </w:rPr>
        <w:t>无</w:t>
      </w:r>
      <w:r>
        <w:rPr>
          <w:rFonts w:hint="eastAsia" w:asciiTheme="minorEastAsia" w:hAnsiTheme="minorEastAsia" w:eastAsiaTheme="minorEastAsia" w:cstheme="minorEastAsia"/>
          <w:color w:val="auto"/>
          <w:szCs w:val="21"/>
          <w:highlight w:val="none"/>
        </w:rPr>
        <w:t>。</w:t>
      </w:r>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4、计价及结算方式：</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4.1采用全费用综合单价报价的</w:t>
      </w:r>
      <w:r>
        <w:rPr>
          <w:rFonts w:hint="eastAsia" w:asciiTheme="minorEastAsia" w:hAnsiTheme="minorEastAsia" w:eastAsiaTheme="minorEastAsia" w:cstheme="minorEastAsia"/>
          <w:b/>
          <w:bCs/>
          <w:color w:val="000000" w:themeColor="text1"/>
          <w:szCs w:val="21"/>
          <w14:textFill>
            <w14:solidFill>
              <w14:schemeClr w14:val="tx1"/>
            </w14:solidFill>
          </w14:textFill>
        </w:rPr>
        <w:t>绿化专业养护服务</w:t>
      </w:r>
      <w:r>
        <w:rPr>
          <w:rFonts w:hint="eastAsia" w:asciiTheme="minorEastAsia" w:hAnsiTheme="minorEastAsia" w:eastAsiaTheme="minorEastAsia" w:cstheme="minorEastAsia"/>
          <w:color w:val="000000" w:themeColor="text1"/>
          <w:szCs w:val="21"/>
          <w14:textFill>
            <w14:solidFill>
              <w14:schemeClr w14:val="tx1"/>
            </w14:solidFill>
          </w14:textFill>
        </w:rPr>
        <w:t>项目，竣工验收合格后，入库单位负责提供统一的 《湖北增值税普通发票》及其进入税务系统核实真伪证明资料(加盖公章)，按照施工合同进行结算，不再优惠下浮。</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4.2未采用全费用综合单价报价的</w:t>
      </w:r>
      <w:r>
        <w:rPr>
          <w:rFonts w:hint="eastAsia" w:asciiTheme="minorEastAsia" w:hAnsiTheme="minorEastAsia" w:eastAsiaTheme="minorEastAsia" w:cstheme="minorEastAsia"/>
          <w:b/>
          <w:bCs/>
          <w:color w:val="000000" w:themeColor="text1"/>
          <w:szCs w:val="21"/>
          <w14:textFill>
            <w14:solidFill>
              <w14:schemeClr w14:val="tx1"/>
            </w14:solidFill>
          </w14:textFill>
        </w:rPr>
        <w:t>小型绿化工程</w:t>
      </w:r>
      <w:r>
        <w:rPr>
          <w:rFonts w:hint="eastAsia" w:asciiTheme="minorEastAsia" w:hAnsiTheme="minorEastAsia" w:eastAsiaTheme="minorEastAsia" w:cstheme="minorEastAsia"/>
          <w:color w:val="000000" w:themeColor="text1"/>
          <w:szCs w:val="21"/>
          <w14:textFill>
            <w14:solidFill>
              <w14:schemeClr w14:val="tx1"/>
            </w14:solidFill>
          </w14:textFill>
        </w:rPr>
        <w:t>结算方式:合同范围内的工程内容,依据已报价工程量清单中所有的综合单价进行结算；合同范围外的工程内容,依据2018版定额套取子目及取费标准进行编制工程预、结算，若2018版定额缺项的，则采用其他湖北省现行定额进行预、结算；材料价格参照武汉市建筑工程(施工)当月市场价格信息进行计算。若无定额套用而采用市场价的项目，均不再计取任何税费。竣工验收合格后，按照学校审计处审定结算价进行结算。入库单位负责提供统一的《湖北增值税普通发票》及其进入税务系统核实真伪证明资料(加盖公章)，按照审计处审计意见书进行结算，不再优惠下浮。</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5、其他：供应商自行处理可回收利用树枝干，做到工完场清，负责将所产生的垃圾运至政府允许倾</w:t>
      </w:r>
      <w:r>
        <w:rPr>
          <w:rFonts w:hint="eastAsia" w:asciiTheme="minorEastAsia" w:hAnsiTheme="minorEastAsia" w:eastAsiaTheme="minorEastAsia" w:cstheme="minorEastAsia"/>
          <w:szCs w:val="21"/>
          <w:highlight w:val="none"/>
        </w:rPr>
        <w:t>倒处。移栽的树木是指树龄不超过50年和名贵树木。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autoSpaceDE w:val="0"/>
        <w:autoSpaceDN w:val="0"/>
        <w:adjustRightInd w:val="0"/>
        <w:spacing w:line="360" w:lineRule="auto"/>
        <w:rPr>
          <w:rFonts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b/>
          <w:bCs/>
          <w:color w:val="FF0000"/>
          <w:szCs w:val="21"/>
        </w:rPr>
        <w:br w:type="textWrapping"/>
      </w:r>
      <w:r>
        <w:rPr>
          <w:rFonts w:hint="eastAsia" w:asciiTheme="minorEastAsia" w:hAnsiTheme="minorEastAsia" w:eastAsiaTheme="minorEastAsia" w:cstheme="minorEastAsia"/>
          <w:b/>
          <w:bCs/>
          <w:color w:val="FF0000"/>
          <w:szCs w:val="21"/>
        </w:rPr>
        <w:br w:type="textWrapping"/>
      </w:r>
      <w:r>
        <w:rPr>
          <w:rFonts w:hint="eastAsia" w:asciiTheme="minorEastAsia" w:hAnsiTheme="minorEastAsia" w:eastAsiaTheme="minorEastAsia" w:cstheme="minorEastAsia"/>
          <w:b/>
          <w:bCs/>
          <w:color w:val="FF0000"/>
          <w:szCs w:val="21"/>
        </w:rPr>
        <w:br w:type="textWrapping"/>
      </w:r>
    </w:p>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br w:type="textWrapping"/>
      </w: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p>
    <w:p>
      <w:pPr>
        <w:pStyle w:val="3"/>
        <w:numPr>
          <w:ilvl w:val="0"/>
          <w:numId w:val="4"/>
        </w:numPr>
        <w:jc w:val="center"/>
        <w:rPr>
          <w:rFonts w:asciiTheme="minorEastAsia" w:hAnsiTheme="minorEastAsia" w:eastAsiaTheme="minorEastAsia" w:cstheme="minorEastAsia"/>
          <w:szCs w:val="21"/>
        </w:rPr>
      </w:pPr>
      <w:bookmarkStart w:id="105" w:name="_Toc27160"/>
      <w:r>
        <w:rPr>
          <w:rFonts w:hint="eastAsia" w:asciiTheme="minorEastAsia" w:hAnsiTheme="minorEastAsia" w:eastAsiaTheme="minorEastAsia" w:cstheme="minorEastAsia"/>
          <w:sz w:val="36"/>
          <w:szCs w:val="36"/>
        </w:rPr>
        <w:t>竞争性磋商采购评定办法</w:t>
      </w:r>
      <w:bookmarkEnd w:id="105"/>
    </w:p>
    <w:p>
      <w:pPr>
        <w:spacing w:line="360" w:lineRule="auto"/>
        <w:outlineLvl w:val="1"/>
        <w:rPr>
          <w:rFonts w:asciiTheme="minorEastAsia" w:hAnsiTheme="minorEastAsia" w:eastAsiaTheme="minorEastAsia" w:cstheme="minorEastAsia"/>
          <w:b/>
          <w:szCs w:val="21"/>
        </w:rPr>
      </w:pPr>
      <w:bookmarkStart w:id="106" w:name="_Toc16440"/>
      <w:r>
        <w:rPr>
          <w:rFonts w:hint="eastAsia" w:asciiTheme="minorEastAsia" w:hAnsiTheme="minorEastAsia" w:eastAsiaTheme="minorEastAsia" w:cstheme="minorEastAsia"/>
          <w:b/>
          <w:szCs w:val="21"/>
        </w:rPr>
        <w:t>一、评定办法前附表</w:t>
      </w:r>
      <w:bookmarkEnd w:id="106"/>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spacing w:line="360" w:lineRule="auto"/>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spacing w:line="360" w:lineRule="auto"/>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满足《中华人民共和国政府采购法》第二十二条规定</w:t>
            </w:r>
          </w:p>
        </w:tc>
        <w:tc>
          <w:tcPr>
            <w:tcW w:w="4730" w:type="dxa"/>
            <w:vAlign w:val="center"/>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1.1具有独立承担民事责任的能力；</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1.2具有良好的商业信誉和健全的财务会计制度；</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1.3具有履行合同所必需的设备和专业技术能力；</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1.4有依法缴纳税收和社会保障资金的良好记录；</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1.5参加政府采购活动前三年内，在经营活动中没有重大违法记录；（重大违法记录是指供应商因违法经营受到刑事处罚或者责令停产停业、吊销许可证或者执照、较大数额罚款等行政处罚）</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1.6法律、行政法规规定的其他条件；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szCs w:val="21"/>
              </w:rPr>
            </w:pPr>
          </w:p>
        </w:tc>
        <w:tc>
          <w:tcPr>
            <w:tcW w:w="3101" w:type="dxa"/>
            <w:vMerge w:val="restar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不得存在的情形</w:t>
            </w:r>
          </w:p>
        </w:tc>
        <w:tc>
          <w:tcPr>
            <w:tcW w:w="4730" w:type="dxa"/>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单位负责人为同一人或者存在直接控股、管理关系的不同投标人，不得参加本项目同一合同项下的政府采购活动。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szCs w:val="21"/>
              </w:rPr>
            </w:pPr>
          </w:p>
        </w:tc>
        <w:tc>
          <w:tcPr>
            <w:tcW w:w="3101" w:type="dxa"/>
            <w:vMerge w:val="continue"/>
            <w:vAlign w:val="center"/>
          </w:tcPr>
          <w:p>
            <w:pPr>
              <w:widowControl/>
              <w:spacing w:line="360" w:lineRule="auto"/>
              <w:jc w:val="center"/>
              <w:rPr>
                <w:rFonts w:asciiTheme="minorEastAsia" w:hAnsiTheme="minorEastAsia" w:eastAsiaTheme="minorEastAsia" w:cstheme="minorEastAsia"/>
                <w:szCs w:val="21"/>
                <w:lang w:val="zh-CN"/>
              </w:rPr>
            </w:pPr>
          </w:p>
        </w:tc>
        <w:tc>
          <w:tcPr>
            <w:tcW w:w="4730" w:type="dxa"/>
            <w:vAlign w:val="center"/>
          </w:tcPr>
          <w:p>
            <w:pPr>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color w:val="000000"/>
                <w:szCs w:val="21"/>
              </w:rPr>
              <w:t>为本采购项目提供整体设计、规范编制或者项目管理、监理、检测等服务的，不得再参加本项目的其他招标采购活动。</w:t>
            </w:r>
            <w:r>
              <w:rPr>
                <w:rFonts w:hint="eastAsia" w:asciiTheme="minorEastAsia" w:hAnsiTheme="minorEastAsia" w:eastAsiaTheme="minorEastAsia" w:cstheme="minorEastAsia"/>
                <w:color w:val="FF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szCs w:val="21"/>
              </w:rPr>
            </w:pPr>
          </w:p>
        </w:tc>
        <w:tc>
          <w:tcPr>
            <w:tcW w:w="3101" w:type="dxa"/>
            <w:vMerge w:val="continue"/>
            <w:vAlign w:val="center"/>
          </w:tcPr>
          <w:p>
            <w:pPr>
              <w:widowControl/>
              <w:spacing w:line="360" w:lineRule="auto"/>
              <w:jc w:val="center"/>
              <w:rPr>
                <w:rFonts w:asciiTheme="minorEastAsia" w:hAnsiTheme="minorEastAsia" w:eastAsiaTheme="minorEastAsia" w:cstheme="minorEastAsia"/>
                <w:szCs w:val="21"/>
                <w:lang w:val="zh-CN"/>
              </w:rPr>
            </w:pPr>
          </w:p>
        </w:tc>
        <w:tc>
          <w:tcPr>
            <w:tcW w:w="4730" w:type="dxa"/>
            <w:vAlign w:val="center"/>
          </w:tcPr>
          <w:p>
            <w:pPr>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color w:val="000000"/>
                <w:szCs w:val="21"/>
              </w:rPr>
              <w:t>未被列入失信被执行人、重大税收违法案件当事人名单，未被列入政府采购严重违法失信行为记录名单。</w:t>
            </w:r>
            <w:r>
              <w:rPr>
                <w:rFonts w:hint="eastAsia" w:asciiTheme="minorEastAsia" w:hAnsiTheme="minorEastAsia" w:eastAsiaTheme="minorEastAsia" w:cs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szCs w:val="21"/>
              </w:rPr>
            </w:pPr>
          </w:p>
        </w:tc>
        <w:tc>
          <w:tcPr>
            <w:tcW w:w="3101" w:type="dxa"/>
            <w:vAlign w:val="center"/>
          </w:tcPr>
          <w:p>
            <w:pPr>
              <w:widowControl/>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color w:val="000000"/>
                <w:szCs w:val="21"/>
              </w:rPr>
              <w:t>落实政府采购政策需满足的资格要求</w:t>
            </w:r>
          </w:p>
        </w:tc>
        <w:tc>
          <w:tcPr>
            <w:tcW w:w="4730" w:type="dxa"/>
            <w:vAlign w:val="center"/>
          </w:tcPr>
          <w:p>
            <w:pPr>
              <w:widowControl/>
              <w:spacing w:line="360" w:lineRule="auto"/>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color w:val="000000"/>
                <w:szCs w:val="21"/>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szCs w:val="21"/>
              </w:rPr>
            </w:pPr>
          </w:p>
        </w:tc>
        <w:tc>
          <w:tcPr>
            <w:tcW w:w="3101" w:type="dxa"/>
            <w:vAlign w:val="center"/>
          </w:tcPr>
          <w:p>
            <w:pPr>
              <w:widowControl/>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color w:val="000000"/>
                <w:szCs w:val="21"/>
              </w:rPr>
              <w:t>本项目的特定资格要求</w:t>
            </w:r>
          </w:p>
        </w:tc>
        <w:tc>
          <w:tcPr>
            <w:tcW w:w="4730" w:type="dxa"/>
            <w:vAlign w:val="center"/>
          </w:tcPr>
          <w:p>
            <w:pPr>
              <w:widowControl/>
              <w:spacing w:line="360" w:lineRule="auto"/>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符合本采购文件第一章第二款第六条要求，并提供合格有效的证明材料</w:t>
            </w:r>
            <w:r>
              <w:rPr>
                <w:rFonts w:hint="eastAsia" w:asciiTheme="minorEastAsia" w:hAnsiTheme="minorEastAsia" w:eastAsiaTheme="minorEastAsia" w:cstheme="minorEastAsia"/>
                <w:color w:val="FF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spacing w:line="360" w:lineRule="auto"/>
              <w:jc w:val="center"/>
              <w:rPr>
                <w:rFonts w:asciiTheme="minorEastAsia" w:hAnsiTheme="minorEastAsia" w:eastAsiaTheme="minorEastAsia" w:cstheme="minorEastAsia"/>
                <w:szCs w:val="21"/>
              </w:rPr>
            </w:pPr>
          </w:p>
        </w:tc>
        <w:tc>
          <w:tcPr>
            <w:tcW w:w="3101" w:type="dxa"/>
            <w:vAlign w:val="center"/>
          </w:tcPr>
          <w:p>
            <w:pPr>
              <w:widowControl/>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3101"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3101" w:type="dxa"/>
            <w:vAlign w:val="center"/>
          </w:tcPr>
          <w:p>
            <w:pPr>
              <w:widowControl/>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3101"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3101"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参加本</w:t>
            </w:r>
            <w:r>
              <w:rPr>
                <w:rFonts w:hint="eastAsia" w:asciiTheme="minorEastAsia" w:hAnsiTheme="minorEastAsia" w:eastAsiaTheme="minorEastAsia" w:cstheme="minorEastAsia"/>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3101" w:type="dxa"/>
            <w:vMerge w:val="restar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shd w:val="clear" w:color="auto" w:fill="FFFFFF"/>
              </w:rPr>
              <w:t>带“★”号条款是否实质性响应磋商文件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3101" w:type="dxa"/>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473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其他要求（一）</w:t>
            </w:r>
          </w:p>
        </w:tc>
        <w:tc>
          <w:tcPr>
            <w:tcW w:w="4730" w:type="dxa"/>
            <w:vAlign w:val="center"/>
          </w:tcPr>
          <w:p>
            <w:pPr>
              <w:autoSpaceDE w:val="0"/>
              <w:autoSpaceDN w:val="0"/>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供应商未有下列任一情形：</w:t>
            </w:r>
          </w:p>
          <w:p>
            <w:pPr>
              <w:autoSpaceDE w:val="0"/>
              <w:autoSpaceDN w:val="0"/>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（1）不同供应商的响应文件由同一单位或者个人编制；</w:t>
            </w:r>
          </w:p>
          <w:p>
            <w:pPr>
              <w:autoSpaceDE w:val="0"/>
              <w:autoSpaceDN w:val="0"/>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（2）不同供应商委托同一单位或者个人办理投标事宜；</w:t>
            </w:r>
          </w:p>
          <w:p>
            <w:pPr>
              <w:autoSpaceDE w:val="0"/>
              <w:autoSpaceDN w:val="0"/>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（3）不同供应商的响应文件载明的项目管理成员或者联系人员为同一人；</w:t>
            </w:r>
          </w:p>
          <w:p>
            <w:pPr>
              <w:autoSpaceDE w:val="0"/>
              <w:autoSpaceDN w:val="0"/>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（4）不同供应商的响应文件异常一致或者投标报价呈规律性差异；</w:t>
            </w:r>
          </w:p>
          <w:p>
            <w:pPr>
              <w:autoSpaceDE w:val="0"/>
              <w:autoSpaceDN w:val="0"/>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kern w:val="0"/>
                <w:szCs w:val="21"/>
              </w:rPr>
            </w:pPr>
          </w:p>
        </w:tc>
        <w:tc>
          <w:tcPr>
            <w:tcW w:w="3101" w:type="dxa"/>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3101"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spacing w:line="360" w:lineRule="auto"/>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需提供本单位的 《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spacing w:line="360" w:lineRule="auto"/>
              <w:jc w:val="center"/>
              <w:rPr>
                <w:rFonts w:asciiTheme="minorEastAsia" w:hAnsiTheme="minorEastAsia" w:eastAsiaTheme="minorEastAsia" w:cstheme="minorEastAsia"/>
                <w:snapToGrid w:val="0"/>
                <w:kern w:val="0"/>
                <w:szCs w:val="21"/>
                <w:lang w:val="zh-CN"/>
              </w:rPr>
            </w:pPr>
          </w:p>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napToGrid w:val="0"/>
                <w:kern w:val="0"/>
                <w:szCs w:val="21"/>
                <w:lang w:val="zh-CN"/>
              </w:rPr>
              <w:t>节能</w:t>
            </w:r>
            <w:r>
              <w:rPr>
                <w:rFonts w:hint="eastAsia" w:asciiTheme="minorEastAsia" w:hAnsiTheme="minorEastAsia" w:eastAsiaTheme="minorEastAsia" w:cstheme="minorEastAsia"/>
                <w:snapToGrid w:val="0"/>
                <w:kern w:val="0"/>
                <w:szCs w:val="21"/>
              </w:rPr>
              <w:t>环保</w:t>
            </w:r>
          </w:p>
        </w:tc>
        <w:tc>
          <w:tcPr>
            <w:tcW w:w="7831" w:type="dxa"/>
            <w:gridSpan w:val="2"/>
            <w:vAlign w:val="center"/>
          </w:tcPr>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07" w:name="_Toc23887"/>
      <w:r>
        <w:rPr>
          <w:rFonts w:hint="eastAsia" w:asciiTheme="minorEastAsia" w:hAnsiTheme="minorEastAsia" w:eastAsiaTheme="minorEastAsia" w:cstheme="minorEastAsia"/>
          <w:b/>
          <w:szCs w:val="21"/>
        </w:rPr>
        <w:t>二、计算办法</w:t>
      </w:r>
      <w:bookmarkEnd w:id="107"/>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p>
    <w:p>
      <w:pPr>
        <w:spacing w:line="360" w:lineRule="auto"/>
        <w:outlineLvl w:val="1"/>
        <w:rPr>
          <w:rFonts w:hint="eastAsia"/>
        </w:rPr>
      </w:pPr>
      <w:bookmarkStart w:id="108" w:name="_Toc26648"/>
      <w:r>
        <w:rPr>
          <w:rFonts w:hint="eastAsia" w:asciiTheme="minorEastAsia" w:hAnsiTheme="minorEastAsia" w:eastAsiaTheme="minorEastAsia" w:cstheme="minorEastAsia"/>
          <w:b/>
          <w:szCs w:val="21"/>
        </w:rPr>
        <w:t>三、评分细则</w:t>
      </w:r>
      <w:bookmarkEnd w:id="108"/>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6"/>
        <w:gridCol w:w="1375"/>
        <w:gridCol w:w="6512"/>
        <w:gridCol w:w="6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396" w:type="pct"/>
            <w:tcBorders>
              <w:top w:val="single" w:color="auto" w:sz="12" w:space="0"/>
            </w:tcBorders>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740" w:type="pct"/>
            <w:tcBorders>
              <w:top w:val="single" w:color="auto" w:sz="12" w:space="0"/>
            </w:tcBorders>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3505" w:type="pct"/>
            <w:tcBorders>
              <w:top w:val="single" w:color="auto" w:sz="12" w:space="0"/>
            </w:tcBorders>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357" w:type="pct"/>
            <w:tcBorders>
              <w:top w:val="single" w:color="auto" w:sz="12" w:space="0"/>
            </w:tcBorders>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396" w:type="pct"/>
            <w:vAlign w:val="center"/>
          </w:tcPr>
          <w:p>
            <w:pPr>
              <w:spacing w:line="360" w:lineRule="auto"/>
              <w:jc w:val="center"/>
              <w:rPr>
                <w:rFonts w:hint="eastAsia" w:ascii="宋体" w:hAnsi="宋体" w:eastAsia="宋体" w:cs="宋体"/>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kern w:val="0"/>
                <w:szCs w:val="21"/>
                <w:lang w:bidi="ar"/>
              </w:rPr>
              <w:t>竞标报价</w:t>
            </w:r>
            <w:r>
              <w:rPr>
                <w:rFonts w:hint="eastAsia" w:asciiTheme="minorEastAsia" w:hAnsiTheme="minorEastAsia" w:eastAsiaTheme="minorEastAsia" w:cstheme="minorEastAsia"/>
                <w:kern w:val="0"/>
                <w:szCs w:val="21"/>
                <w:lang w:bidi="ar"/>
              </w:rPr>
              <w:br w:type="textWrapping"/>
            </w:r>
            <w:r>
              <w:rPr>
                <w:rFonts w:hint="eastAsia" w:asciiTheme="minorEastAsia" w:hAnsiTheme="minorEastAsia" w:eastAsiaTheme="minorEastAsia" w:cstheme="minorEastAsia"/>
                <w:kern w:val="0"/>
                <w:szCs w:val="21"/>
                <w:lang w:val="en-US" w:eastAsia="zh-CN" w:bidi="ar"/>
              </w:rPr>
              <w:t>20</w:t>
            </w:r>
            <w:r>
              <w:rPr>
                <w:rFonts w:hint="eastAsia" w:asciiTheme="minorEastAsia" w:hAnsiTheme="minorEastAsia" w:eastAsiaTheme="minorEastAsia" w:cstheme="minorEastAsia"/>
                <w:kern w:val="0"/>
                <w:szCs w:val="21"/>
                <w:lang w:bidi="ar"/>
              </w:rPr>
              <w:t>分</w:t>
            </w:r>
          </w:p>
        </w:tc>
        <w:tc>
          <w:tcPr>
            <w:tcW w:w="740" w:type="pct"/>
            <w:vAlign w:val="center"/>
          </w:tcPr>
          <w:p>
            <w:pPr>
              <w:widowControl/>
              <w:spacing w:line="360" w:lineRule="auto"/>
              <w:jc w:val="center"/>
              <w:textAlignment w:val="center"/>
              <w:rPr>
                <w:rFonts w:hint="eastAsia" w:ascii="宋体" w:hAnsi="宋体" w:eastAsia="宋体" w:cs="宋体"/>
                <w:spacing w:val="-6"/>
                <w:kern w:val="0"/>
                <w:sz w:val="21"/>
                <w:szCs w:val="21"/>
                <w:highlight w:val="none"/>
              </w:rPr>
            </w:pPr>
            <w:r>
              <w:rPr>
                <w:rFonts w:hint="eastAsia" w:asciiTheme="minorEastAsia" w:hAnsiTheme="minorEastAsia" w:eastAsiaTheme="minorEastAsia" w:cstheme="minorEastAsia"/>
                <w:kern w:val="0"/>
                <w:szCs w:val="21"/>
                <w:lang w:bidi="ar"/>
              </w:rPr>
              <w:t>最后报价</w:t>
            </w:r>
          </w:p>
        </w:tc>
        <w:tc>
          <w:tcPr>
            <w:tcW w:w="3505" w:type="pct"/>
            <w:vAlign w:val="center"/>
          </w:tcPr>
          <w:p>
            <w:pPr>
              <w:widowControl/>
              <w:spacing w:line="360" w:lineRule="auto"/>
              <w:jc w:val="left"/>
              <w:textAlignment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1、报价采用低价优先法计算，即满足磋商采购文件要求且</w:t>
            </w:r>
            <w:r>
              <w:rPr>
                <w:rFonts w:hint="eastAsia" w:asciiTheme="minorEastAsia" w:hAnsiTheme="minorEastAsia" w:eastAsiaTheme="minorEastAsia" w:cstheme="minorEastAsia"/>
                <w:szCs w:val="21"/>
                <w:lang w:val="en-US" w:eastAsia="zh-CN"/>
              </w:rPr>
              <w:t>每项</w:t>
            </w:r>
            <w:r>
              <w:rPr>
                <w:rFonts w:hint="eastAsia" w:asciiTheme="minorEastAsia" w:hAnsiTheme="minorEastAsia" w:eastAsiaTheme="minorEastAsia" w:cstheme="minorEastAsia"/>
                <w:szCs w:val="21"/>
              </w:rPr>
              <w:t>报价最低的报价为</w:t>
            </w:r>
            <w:r>
              <w:rPr>
                <w:rFonts w:hint="eastAsia" w:asciiTheme="minorEastAsia" w:hAnsiTheme="minorEastAsia" w:eastAsiaTheme="minorEastAsia" w:cstheme="minorEastAsia"/>
                <w:szCs w:val="21"/>
                <w:lang w:val="en-US" w:eastAsia="zh-CN"/>
              </w:rPr>
              <w:t>每项的</w:t>
            </w:r>
            <w:r>
              <w:rPr>
                <w:rFonts w:hint="eastAsia" w:asciiTheme="minorEastAsia" w:hAnsiTheme="minorEastAsia" w:eastAsiaTheme="minorEastAsia" w:cstheme="minorEastAsia"/>
                <w:szCs w:val="21"/>
              </w:rPr>
              <w:t>磋商基准价，</w:t>
            </w:r>
            <w:r>
              <w:rPr>
                <w:rFonts w:hint="eastAsia" w:asciiTheme="minorEastAsia" w:hAnsiTheme="minorEastAsia" w:eastAsiaTheme="minorEastAsia" w:cstheme="minorEastAsia"/>
                <w:b/>
                <w:bCs/>
                <w:szCs w:val="21"/>
                <w:lang w:val="en-US" w:eastAsia="zh-CN"/>
              </w:rPr>
              <w:t>每项</w:t>
            </w:r>
            <w:r>
              <w:rPr>
                <w:rFonts w:hint="eastAsia" w:asciiTheme="minorEastAsia" w:hAnsiTheme="minorEastAsia" w:eastAsiaTheme="minorEastAsia" w:cstheme="minorEastAsia"/>
                <w:b/>
                <w:bCs/>
                <w:szCs w:val="21"/>
              </w:rPr>
              <w:t>报价分满分</w:t>
            </w:r>
            <w:r>
              <w:rPr>
                <w:rFonts w:hint="eastAsia" w:asciiTheme="minorEastAsia" w:hAnsiTheme="minorEastAsia" w:eastAsiaTheme="minorEastAsia" w:cstheme="minorEastAsia"/>
                <w:b/>
                <w:bCs/>
                <w:szCs w:val="21"/>
                <w:lang w:val="en-US" w:eastAsia="zh-CN"/>
              </w:rPr>
              <w:t>为2</w:t>
            </w:r>
            <w:r>
              <w:rPr>
                <w:rFonts w:hint="eastAsia" w:asciiTheme="minorEastAsia" w:hAnsiTheme="minorEastAsia" w:eastAsiaTheme="minorEastAsia" w:cstheme="minorEastAsia"/>
                <w:b/>
                <w:bCs/>
                <w:szCs w:val="21"/>
              </w:rPr>
              <w:t>分</w:t>
            </w:r>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总分20分</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详见附件一）</w:t>
            </w:r>
          </w:p>
          <w:p>
            <w:pPr>
              <w:widowControl/>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2、其他供应商的</w:t>
            </w:r>
            <w:r>
              <w:rPr>
                <w:rFonts w:hint="eastAsia" w:asciiTheme="minorEastAsia" w:hAnsiTheme="minorEastAsia" w:eastAsiaTheme="minorEastAsia" w:cstheme="minorEastAsia"/>
                <w:szCs w:val="21"/>
                <w:lang w:val="en-US" w:eastAsia="zh-CN"/>
              </w:rPr>
              <w:t>每项</w:t>
            </w:r>
            <w:r>
              <w:rPr>
                <w:rFonts w:hint="eastAsia" w:asciiTheme="minorEastAsia" w:hAnsiTheme="minorEastAsia" w:eastAsiaTheme="minorEastAsia" w:cstheme="minorEastAsia"/>
                <w:szCs w:val="21"/>
              </w:rPr>
              <w:t>报价分按照下列公式计算：</w:t>
            </w:r>
          </w:p>
          <w:p>
            <w:pPr>
              <w:widowControl/>
              <w:spacing w:line="360" w:lineRule="auto"/>
              <w:jc w:val="left"/>
              <w:textAlignment w:val="center"/>
              <w:rPr>
                <w:rFonts w:hint="default"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rPr>
              <w:t>报价分=（磋商基准价/磋商报价）×</w:t>
            </w:r>
            <w:r>
              <w:rPr>
                <w:rFonts w:hint="eastAsia" w:asciiTheme="minorEastAsia" w:hAnsiTheme="minorEastAsia" w:eastAsiaTheme="minorEastAsia" w:cstheme="minorEastAsia"/>
                <w:b/>
                <w:bCs/>
                <w:szCs w:val="21"/>
                <w:lang w:val="en-US" w:eastAsia="zh-CN"/>
              </w:rPr>
              <w:t xml:space="preserve">2 </w:t>
            </w:r>
          </w:p>
          <w:p>
            <w:pPr>
              <w:widowControl/>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360" w:lineRule="auto"/>
              <w:jc w:val="left"/>
              <w:textAlignment w:val="center"/>
              <w:rPr>
                <w:rFonts w:hint="eastAsia" w:ascii="宋体" w:hAnsi="宋体" w:eastAsia="宋体" w:cs="宋体"/>
                <w:spacing w:val="-6"/>
                <w:sz w:val="21"/>
                <w:szCs w:val="21"/>
              </w:rPr>
            </w:pPr>
            <w:r>
              <w:rPr>
                <w:rFonts w:hint="eastAsia" w:asciiTheme="minorEastAsia" w:hAnsiTheme="minorEastAsia" w:eastAsiaTheme="minorEastAsia" w:cstheme="minorEastAsia"/>
                <w:b/>
                <w:bCs/>
                <w:szCs w:val="21"/>
              </w:rPr>
              <w:t>2、符合本磋商文件第四章“政策支持”条件的，在评审时予以价格扣除，用扣除后的价格参与评审。</w:t>
            </w:r>
          </w:p>
        </w:tc>
        <w:tc>
          <w:tcPr>
            <w:tcW w:w="357" w:type="pct"/>
            <w:vAlign w:val="center"/>
          </w:tcPr>
          <w:p>
            <w:pPr>
              <w:widowControl/>
              <w:spacing w:line="360" w:lineRule="auto"/>
              <w:jc w:val="center"/>
              <w:textAlignment w:val="center"/>
              <w:rPr>
                <w:rFonts w:hint="eastAsia" w:ascii="宋体" w:hAnsi="宋体" w:cs="宋体"/>
                <w:spacing w:val="-6"/>
                <w:sz w:val="21"/>
                <w:szCs w:val="21"/>
                <w:lang w:val="en-US" w:eastAsia="zh-CN"/>
              </w:rPr>
            </w:pPr>
            <w:r>
              <w:rPr>
                <w:rFonts w:hint="eastAsia" w:asciiTheme="minorEastAsia" w:hAnsiTheme="minorEastAsia" w:eastAsiaTheme="minorEastAsia" w:cstheme="minorEastAsia"/>
                <w:kern w:val="0"/>
                <w:szCs w:val="21"/>
                <w:lang w:val="en-US" w:eastAsia="zh-CN" w:bidi="ar"/>
              </w:rPr>
              <w:t>20</w:t>
            </w:r>
            <w:r>
              <w:rPr>
                <w:rFonts w:hint="eastAsia" w:asciiTheme="minorEastAsia" w:hAnsiTheme="minorEastAsia" w:eastAsiaTheme="minorEastAsia" w:cstheme="minorEastAsia"/>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396" w:type="pct"/>
            <w:vMerge w:val="restart"/>
            <w:vAlign w:val="center"/>
          </w:tcPr>
          <w:p>
            <w:pPr>
              <w:spacing w:line="360" w:lineRule="auto"/>
              <w:jc w:val="center"/>
              <w:rPr>
                <w:rFonts w:hint="eastAsia" w:ascii="宋体" w:hAnsi="宋体" w:eastAsia="宋体" w:cs="宋体"/>
                <w:color w:val="000000" w:themeColor="text1"/>
                <w:spacing w:val="-6"/>
                <w:sz w:val="21"/>
                <w:szCs w:val="21"/>
                <w14:textFill>
                  <w14:solidFill>
                    <w14:schemeClr w14:val="tx1"/>
                  </w14:solidFill>
                </w14:textFill>
              </w:rPr>
            </w:pPr>
            <w:r>
              <w:rPr>
                <w:rFonts w:hint="eastAsia" w:ascii="宋体" w:hAnsi="宋体" w:eastAsia="宋体" w:cs="宋体"/>
                <w:color w:val="000000" w:themeColor="text1"/>
                <w:spacing w:val="-6"/>
                <w:sz w:val="21"/>
                <w:szCs w:val="21"/>
                <w14:textFill>
                  <w14:solidFill>
                    <w14:schemeClr w14:val="tx1"/>
                  </w14:solidFill>
                </w14:textFill>
              </w:rPr>
              <w:t>商务</w:t>
            </w:r>
            <w:r>
              <w:rPr>
                <w:rFonts w:hint="eastAsia" w:ascii="宋体" w:hAnsi="宋体" w:cs="宋体"/>
                <w:color w:val="000000" w:themeColor="text1"/>
                <w:spacing w:val="-6"/>
                <w:sz w:val="21"/>
                <w:szCs w:val="21"/>
                <w:lang w:val="en-US" w:eastAsia="zh-CN"/>
                <w14:textFill>
                  <w14:solidFill>
                    <w14:schemeClr w14:val="tx1"/>
                  </w14:solidFill>
                </w14:textFill>
              </w:rPr>
              <w:t>30</w:t>
            </w:r>
            <w:r>
              <w:rPr>
                <w:rFonts w:hint="eastAsia" w:ascii="宋体" w:hAnsi="宋体" w:eastAsia="宋体" w:cs="宋体"/>
                <w:color w:val="000000" w:themeColor="text1"/>
                <w:spacing w:val="-6"/>
                <w:sz w:val="21"/>
                <w:szCs w:val="21"/>
                <w14:textFill>
                  <w14:solidFill>
                    <w14:schemeClr w14:val="tx1"/>
                  </w14:solidFill>
                </w14:textFill>
              </w:rPr>
              <w:t>分</w:t>
            </w:r>
          </w:p>
        </w:tc>
        <w:tc>
          <w:tcPr>
            <w:tcW w:w="740" w:type="pct"/>
            <w:vMerge w:val="restart"/>
            <w:vAlign w:val="center"/>
          </w:tcPr>
          <w:p>
            <w:pPr>
              <w:spacing w:line="360" w:lineRule="auto"/>
              <w:jc w:val="center"/>
              <w:rPr>
                <w:rFonts w:hint="eastAsia" w:ascii="宋体" w:hAnsi="宋体" w:eastAsia="宋体" w:cs="宋体"/>
                <w:spacing w:val="-6"/>
                <w:kern w:val="0"/>
                <w:sz w:val="21"/>
                <w:szCs w:val="21"/>
                <w:highlight w:val="yellow"/>
              </w:rPr>
            </w:pPr>
            <w:r>
              <w:rPr>
                <w:rFonts w:hint="eastAsia" w:ascii="宋体" w:hAnsi="宋体" w:eastAsia="宋体" w:cs="宋体"/>
                <w:spacing w:val="-6"/>
                <w:kern w:val="0"/>
                <w:sz w:val="21"/>
                <w:szCs w:val="21"/>
                <w:highlight w:val="none"/>
              </w:rPr>
              <w:t>类似业绩</w:t>
            </w:r>
          </w:p>
        </w:tc>
        <w:tc>
          <w:tcPr>
            <w:tcW w:w="3505" w:type="pct"/>
            <w:vAlign w:val="center"/>
          </w:tcPr>
          <w:p>
            <w:pPr>
              <w:spacing w:line="360" w:lineRule="auto"/>
              <w:rPr>
                <w:rFonts w:hint="eastAsia" w:ascii="宋体" w:hAnsi="宋体" w:eastAsia="宋体" w:cs="宋体"/>
                <w:spacing w:val="-6"/>
                <w:sz w:val="21"/>
                <w:szCs w:val="21"/>
                <w:highlight w:val="yellow"/>
              </w:rPr>
            </w:pPr>
            <w:r>
              <w:rPr>
                <w:rFonts w:hint="eastAsia" w:ascii="宋体" w:hAnsi="宋体" w:eastAsia="宋体" w:cs="宋体"/>
                <w:spacing w:val="-6"/>
                <w:sz w:val="21"/>
                <w:szCs w:val="21"/>
              </w:rPr>
              <w:t>近三年（磋商截止时间往前推算36个月）承担过的类似</w:t>
            </w:r>
            <w:r>
              <w:rPr>
                <w:rFonts w:hint="eastAsia" w:ascii="宋体" w:hAnsi="宋体" w:cs="宋体"/>
                <w:spacing w:val="-6"/>
                <w:sz w:val="21"/>
                <w:szCs w:val="21"/>
                <w:lang w:val="en-US" w:eastAsia="zh-CN"/>
              </w:rPr>
              <w:t>绿化养护遴选入围服务</w:t>
            </w:r>
            <w:r>
              <w:rPr>
                <w:rFonts w:hint="eastAsia" w:ascii="宋体" w:hAnsi="宋体" w:eastAsia="宋体" w:cs="宋体"/>
                <w:spacing w:val="-6"/>
                <w:sz w:val="21"/>
                <w:szCs w:val="21"/>
              </w:rPr>
              <w:t>业绩一个得</w:t>
            </w:r>
            <w:r>
              <w:rPr>
                <w:rFonts w:hint="eastAsia" w:ascii="宋体" w:hAnsi="宋体" w:cs="宋体"/>
                <w:spacing w:val="-6"/>
                <w:sz w:val="21"/>
                <w:szCs w:val="21"/>
                <w:lang w:val="en-US" w:eastAsia="zh-CN"/>
              </w:rPr>
              <w:t>1</w:t>
            </w:r>
            <w:r>
              <w:rPr>
                <w:rFonts w:hint="eastAsia" w:ascii="宋体" w:hAnsi="宋体" w:eastAsia="宋体" w:cs="宋体"/>
                <w:spacing w:val="-6"/>
                <w:sz w:val="21"/>
                <w:szCs w:val="21"/>
              </w:rPr>
              <w:t>分，最多得</w:t>
            </w:r>
            <w:r>
              <w:rPr>
                <w:rFonts w:hint="eastAsia" w:ascii="宋体" w:hAnsi="宋体" w:cs="宋体"/>
                <w:spacing w:val="-6"/>
                <w:sz w:val="21"/>
                <w:szCs w:val="21"/>
                <w:lang w:val="en-US" w:eastAsia="zh-CN"/>
              </w:rPr>
              <w:t>5</w:t>
            </w:r>
            <w:r>
              <w:rPr>
                <w:rFonts w:hint="eastAsia" w:ascii="宋体" w:hAnsi="宋体" w:eastAsia="宋体" w:cs="宋体"/>
                <w:spacing w:val="-6"/>
                <w:sz w:val="21"/>
                <w:szCs w:val="21"/>
              </w:rPr>
              <w:t>分；（需提供合同复印件并加盖公章，未提供不得分）</w:t>
            </w:r>
          </w:p>
        </w:tc>
        <w:tc>
          <w:tcPr>
            <w:tcW w:w="357" w:type="pct"/>
            <w:vAlign w:val="center"/>
          </w:tcPr>
          <w:p>
            <w:pPr>
              <w:spacing w:line="360" w:lineRule="auto"/>
              <w:jc w:val="center"/>
              <w:rPr>
                <w:rFonts w:hint="eastAsia" w:ascii="宋体" w:hAnsi="宋体" w:eastAsia="宋体" w:cs="宋体"/>
                <w:spacing w:val="-6"/>
                <w:sz w:val="21"/>
                <w:szCs w:val="21"/>
                <w:highlight w:val="yellow"/>
                <w:lang w:val="en-US" w:eastAsia="zh-CN"/>
              </w:rPr>
            </w:pPr>
            <w:r>
              <w:rPr>
                <w:rFonts w:hint="eastAsia" w:cs="宋体" w:asciiTheme="minorEastAsia" w:hAnsiTheme="minorEastAsia" w:eastAsiaTheme="minorEastAsia"/>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396" w:type="pct"/>
            <w:vMerge w:val="continue"/>
            <w:vAlign w:val="center"/>
          </w:tcPr>
          <w:p>
            <w:pPr>
              <w:spacing w:line="360" w:lineRule="auto"/>
            </w:pPr>
          </w:p>
        </w:tc>
        <w:tc>
          <w:tcPr>
            <w:tcW w:w="740" w:type="pct"/>
            <w:vMerge w:val="continue"/>
            <w:vAlign w:val="center"/>
          </w:tcPr>
          <w:p>
            <w:pPr>
              <w:spacing w:line="360" w:lineRule="auto"/>
            </w:pPr>
          </w:p>
        </w:tc>
        <w:tc>
          <w:tcPr>
            <w:tcW w:w="3505" w:type="pct"/>
            <w:vAlign w:val="center"/>
          </w:tcPr>
          <w:p>
            <w:pPr>
              <w:spacing w:line="360" w:lineRule="auto"/>
              <w:rPr>
                <w:rFonts w:hint="eastAsia" w:ascii="宋体" w:hAnsi="宋体" w:eastAsia="宋体" w:cs="宋体"/>
                <w:spacing w:val="-6"/>
                <w:sz w:val="21"/>
                <w:szCs w:val="21"/>
                <w:highlight w:val="yellow"/>
              </w:rPr>
            </w:pPr>
            <w:r>
              <w:rPr>
                <w:rFonts w:hint="eastAsia" w:ascii="宋体" w:hAnsi="宋体" w:eastAsia="宋体" w:cs="宋体"/>
                <w:spacing w:val="-6"/>
                <w:sz w:val="21"/>
                <w:szCs w:val="21"/>
              </w:rPr>
              <w:t>近三年（磋商截止时间往前推算36个月）承担过的类似</w:t>
            </w:r>
            <w:r>
              <w:rPr>
                <w:rFonts w:hint="eastAsia" w:ascii="宋体" w:hAnsi="宋体" w:cs="宋体"/>
                <w:spacing w:val="-6"/>
                <w:sz w:val="21"/>
                <w:szCs w:val="21"/>
                <w:lang w:val="en-US" w:eastAsia="zh-CN"/>
              </w:rPr>
              <w:t>园林绿化工程施工</w:t>
            </w:r>
            <w:r>
              <w:rPr>
                <w:rFonts w:hint="eastAsia" w:ascii="宋体" w:hAnsi="宋体" w:eastAsia="宋体" w:cs="宋体"/>
                <w:spacing w:val="-6"/>
                <w:sz w:val="21"/>
                <w:szCs w:val="21"/>
              </w:rPr>
              <w:t>业绩一个得</w:t>
            </w:r>
            <w:r>
              <w:rPr>
                <w:rFonts w:hint="eastAsia" w:ascii="宋体" w:hAnsi="宋体" w:cs="宋体"/>
                <w:spacing w:val="-6"/>
                <w:sz w:val="21"/>
                <w:szCs w:val="21"/>
                <w:lang w:val="en-US" w:eastAsia="zh-CN"/>
              </w:rPr>
              <w:t>1</w:t>
            </w:r>
            <w:r>
              <w:rPr>
                <w:rFonts w:hint="eastAsia" w:ascii="宋体" w:hAnsi="宋体" w:eastAsia="宋体" w:cs="宋体"/>
                <w:spacing w:val="-6"/>
                <w:sz w:val="21"/>
                <w:szCs w:val="21"/>
              </w:rPr>
              <w:t>分，最多得</w:t>
            </w:r>
            <w:r>
              <w:rPr>
                <w:rFonts w:hint="eastAsia" w:ascii="宋体" w:hAnsi="宋体" w:cs="宋体"/>
                <w:spacing w:val="-6"/>
                <w:sz w:val="21"/>
                <w:szCs w:val="21"/>
                <w:lang w:val="en-US" w:eastAsia="zh-CN"/>
              </w:rPr>
              <w:t>5</w:t>
            </w:r>
            <w:r>
              <w:rPr>
                <w:rFonts w:hint="eastAsia" w:ascii="宋体" w:hAnsi="宋体" w:eastAsia="宋体" w:cs="宋体"/>
                <w:spacing w:val="-6"/>
                <w:sz w:val="21"/>
                <w:szCs w:val="21"/>
              </w:rPr>
              <w:t>分；（需提供合同复印件并加盖公章，未提供不得分）</w:t>
            </w:r>
          </w:p>
        </w:tc>
        <w:tc>
          <w:tcPr>
            <w:tcW w:w="357" w:type="pct"/>
            <w:vAlign w:val="center"/>
          </w:tcPr>
          <w:p>
            <w:pPr>
              <w:spacing w:line="360" w:lineRule="auto"/>
              <w:jc w:val="center"/>
              <w:rPr>
                <w:rFonts w:hint="eastAsia" w:ascii="宋体" w:hAnsi="宋体" w:eastAsia="宋体" w:cs="宋体"/>
                <w:spacing w:val="-6"/>
                <w:sz w:val="21"/>
                <w:szCs w:val="21"/>
                <w:highlight w:val="yellow"/>
              </w:rPr>
            </w:pPr>
            <w:r>
              <w:rPr>
                <w:rFonts w:hint="eastAsia" w:cs="宋体" w:asciiTheme="minorEastAsia" w:hAnsiTheme="minorEastAsia" w:eastAsiaTheme="minorEastAsia"/>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Merge w:val="continue"/>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p>
        </w:tc>
        <w:tc>
          <w:tcPr>
            <w:tcW w:w="740" w:type="pct"/>
            <w:vAlign w:val="center"/>
          </w:tcPr>
          <w:p>
            <w:pPr>
              <w:spacing w:line="360" w:lineRule="auto"/>
              <w:jc w:val="center"/>
              <w:rPr>
                <w:rFonts w:hint="eastAsia" w:ascii="宋体" w:hAnsi="宋体" w:eastAsia="宋体" w:cs="宋体"/>
                <w:spacing w:val="-6"/>
                <w:kern w:val="0"/>
                <w:sz w:val="21"/>
                <w:szCs w:val="21"/>
                <w:lang w:val="en-US" w:eastAsia="zh-CN"/>
              </w:rPr>
            </w:pPr>
            <w:r>
              <w:rPr>
                <w:rFonts w:hint="eastAsia" w:ascii="宋体" w:hAnsi="宋体" w:eastAsia="宋体" w:cs="宋体"/>
                <w:color w:val="000000" w:themeColor="text1"/>
                <w:spacing w:val="-6"/>
                <w:sz w:val="21"/>
                <w:szCs w:val="21"/>
                <w14:textFill>
                  <w14:solidFill>
                    <w14:schemeClr w14:val="tx1"/>
                  </w14:solidFill>
                </w14:textFill>
              </w:rPr>
              <w:t>用户反馈</w:t>
            </w:r>
          </w:p>
        </w:tc>
        <w:tc>
          <w:tcPr>
            <w:tcW w:w="3505" w:type="pct"/>
            <w:vAlign w:val="center"/>
          </w:tcPr>
          <w:p>
            <w:pPr>
              <w:autoSpaceDE w:val="0"/>
              <w:autoSpaceDN w:val="0"/>
              <w:adjustRightInd w:val="0"/>
              <w:spacing w:line="360" w:lineRule="auto"/>
              <w:rPr>
                <w:rFonts w:hint="eastAsia" w:ascii="宋体" w:hAnsi="宋体" w:eastAsia="宋体" w:cs="宋体"/>
                <w:spacing w:val="-6"/>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近</w:t>
            </w:r>
            <w:r>
              <w:rPr>
                <w:rFonts w:hint="eastAsia" w:ascii="宋体" w:hAnsi="宋体" w:eastAsia="宋体" w:cs="宋体"/>
                <w:color w:val="000000" w:themeColor="text1"/>
                <w:kern w:val="0"/>
                <w:sz w:val="21"/>
                <w:szCs w:val="21"/>
                <w:lang w:val="en-US" w:eastAsia="zh-CN"/>
                <w14:textFill>
                  <w14:solidFill>
                    <w14:schemeClr w14:val="tx1"/>
                  </w14:solidFill>
                </w14:textFill>
              </w:rPr>
              <w:t>三</w:t>
            </w:r>
            <w:r>
              <w:rPr>
                <w:rFonts w:hint="eastAsia" w:ascii="宋体" w:hAnsi="宋体" w:eastAsia="宋体" w:cs="宋体"/>
                <w:color w:val="000000" w:themeColor="text1"/>
                <w:kern w:val="0"/>
                <w:sz w:val="21"/>
                <w:szCs w:val="21"/>
                <w14:textFill>
                  <w14:solidFill>
                    <w14:schemeClr w14:val="tx1"/>
                  </w14:solidFill>
                </w14:textFill>
              </w:rPr>
              <w:t>年（磋商截止时间往前推算36个月）以来业主出具的服务良好评价证明，每提供1个业主单位的评价得1分，最高得</w:t>
            </w:r>
            <w:r>
              <w:rPr>
                <w:rFonts w:hint="eastAsia" w:ascii="宋体" w:hAnsi="宋体" w:cs="宋体"/>
                <w:color w:val="000000" w:themeColor="text1"/>
                <w:kern w:val="0"/>
                <w:sz w:val="21"/>
                <w:szCs w:val="21"/>
                <w:lang w:val="en-US" w:eastAsia="zh-CN"/>
                <w14:textFill>
                  <w14:solidFill>
                    <w14:schemeClr w14:val="tx1"/>
                  </w14:solidFill>
                </w14:textFill>
              </w:rPr>
              <w:t>5</w:t>
            </w:r>
            <w:r>
              <w:rPr>
                <w:rFonts w:hint="eastAsia" w:ascii="宋体" w:hAnsi="宋体" w:eastAsia="宋体" w:cs="宋体"/>
                <w:color w:val="000000" w:themeColor="text1"/>
                <w:kern w:val="0"/>
                <w:sz w:val="21"/>
                <w:szCs w:val="21"/>
                <w14:textFill>
                  <w14:solidFill>
                    <w14:schemeClr w14:val="tx1"/>
                  </w14:solidFill>
                </w14:textFill>
              </w:rPr>
              <w:t>分（需提供盖用户单位公章相关证明，未提供不得分）</w:t>
            </w:r>
          </w:p>
        </w:tc>
        <w:tc>
          <w:tcPr>
            <w:tcW w:w="357" w:type="pct"/>
            <w:vAlign w:val="center"/>
          </w:tcPr>
          <w:p>
            <w:pPr>
              <w:spacing w:line="360" w:lineRule="auto"/>
              <w:jc w:val="center"/>
              <w:rPr>
                <w:rFonts w:hint="eastAsia" w:ascii="宋体" w:hAnsi="宋体" w:eastAsia="宋体" w:cs="宋体"/>
                <w:spacing w:val="-6"/>
                <w:kern w:val="0"/>
                <w:sz w:val="21"/>
                <w:szCs w:val="21"/>
                <w:lang w:val="en-US" w:eastAsia="zh-CN"/>
              </w:rPr>
            </w:pPr>
            <w:r>
              <w:rPr>
                <w:rFonts w:hint="eastAsia" w:cs="宋体" w:asciiTheme="minorEastAsia" w:hAnsiTheme="minorEastAsia" w:eastAsiaTheme="minorEastAsia"/>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atLeast"/>
        </w:trPr>
        <w:tc>
          <w:tcPr>
            <w:tcW w:w="396" w:type="pct"/>
            <w:vMerge w:val="continue"/>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p>
        </w:tc>
        <w:tc>
          <w:tcPr>
            <w:tcW w:w="740" w:type="pct"/>
            <w:vMerge w:val="restart"/>
            <w:vAlign w:val="center"/>
          </w:tcPr>
          <w:p>
            <w:pPr>
              <w:spacing w:line="360" w:lineRule="auto"/>
              <w:jc w:val="center"/>
              <w:rPr>
                <w:rFonts w:hint="default" w:ascii="宋体" w:hAnsi="宋体" w:eastAsia="宋体" w:cs="宋体"/>
                <w:color w:val="000000" w:themeColor="text1"/>
                <w:spacing w:val="-6"/>
                <w:sz w:val="21"/>
                <w:szCs w:val="21"/>
                <w:highlight w:val="none"/>
                <w:lang w:val="en-US"/>
                <w14:textFill>
                  <w14:solidFill>
                    <w14:schemeClr w14:val="tx1"/>
                  </w14:solidFill>
                </w14:textFill>
              </w:rPr>
            </w:pPr>
            <w:r>
              <w:rPr>
                <w:rFonts w:hint="eastAsia" w:ascii="宋体" w:hAnsi="宋体" w:cs="宋体"/>
                <w:spacing w:val="-6"/>
                <w:sz w:val="21"/>
                <w:szCs w:val="21"/>
                <w:highlight w:val="none"/>
                <w:lang w:val="en-US" w:eastAsia="zh-CN"/>
              </w:rPr>
              <w:t>人员配备</w:t>
            </w:r>
          </w:p>
        </w:tc>
        <w:tc>
          <w:tcPr>
            <w:tcW w:w="3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spacing w:val="-6"/>
                <w:sz w:val="21"/>
                <w:szCs w:val="21"/>
                <w:highlight w:val="none"/>
                <w:lang w:val="en-US" w:eastAsia="zh-CN"/>
              </w:rPr>
              <w:t>拟投入的项目管理人员具有</w:t>
            </w:r>
            <w:r>
              <w:rPr>
                <w:rFonts w:hint="eastAsia" w:asciiTheme="minorEastAsia" w:hAnsiTheme="minorEastAsia" w:eastAsiaTheme="minorEastAsia" w:cstheme="minorEastAsia"/>
                <w:szCs w:val="21"/>
                <w:highlight w:val="none"/>
              </w:rPr>
              <w:t>相应岗位证</w:t>
            </w:r>
            <w:r>
              <w:rPr>
                <w:rFonts w:hint="eastAsia" w:asciiTheme="minorEastAsia" w:hAnsiTheme="minorEastAsia" w:eastAsiaTheme="minorEastAsia" w:cstheme="minorEastAsia"/>
                <w:szCs w:val="21"/>
                <w:highlight w:val="none"/>
                <w:lang w:val="en-US" w:eastAsia="zh-CN"/>
              </w:rPr>
              <w:t>或</w:t>
            </w:r>
            <w:r>
              <w:rPr>
                <w:rFonts w:hint="eastAsia" w:ascii="宋体" w:hAnsi="宋体" w:cs="宋体"/>
                <w:spacing w:val="-6"/>
                <w:sz w:val="21"/>
                <w:szCs w:val="21"/>
                <w:highlight w:val="none"/>
                <w:lang w:val="en-US" w:eastAsia="zh-CN"/>
              </w:rPr>
              <w:t>园林绿化技术等级证书的1个得1分，最高得3分，未提供的不得分。</w:t>
            </w:r>
          </w:p>
        </w:tc>
        <w:tc>
          <w:tcPr>
            <w:tcW w:w="357" w:type="pct"/>
            <w:vAlign w:val="center"/>
          </w:tcPr>
          <w:p>
            <w:pPr>
              <w:spacing w:line="360" w:lineRule="auto"/>
              <w:jc w:val="center"/>
              <w:rPr>
                <w:rFonts w:hint="eastAsia" w:ascii="宋体" w:hAnsi="宋体" w:eastAsia="宋体" w:cs="宋体"/>
                <w:color w:val="000000" w:themeColor="text1"/>
                <w:spacing w:val="-6"/>
                <w:sz w:val="21"/>
                <w:szCs w:val="21"/>
                <w:highlight w:val="none"/>
                <w14:textFill>
                  <w14:solidFill>
                    <w14:schemeClr w14:val="tx1"/>
                  </w14:solidFill>
                </w14:textFill>
              </w:rPr>
            </w:pPr>
            <w:r>
              <w:rPr>
                <w:rFonts w:hint="eastAsia" w:cs="宋体" w:asciiTheme="minorEastAsia" w:hAnsiTheme="minorEastAsia" w:eastAsiaTheme="minorEastAsia"/>
                <w:color w:val="auto"/>
                <w:spacing w:val="-6"/>
                <w:szCs w:val="21"/>
                <w:highlight w:val="none"/>
                <w:lang w:val="en-US" w:eastAsia="zh-CN"/>
              </w:rPr>
              <w:t>3</w:t>
            </w:r>
            <w:r>
              <w:rPr>
                <w:rFonts w:hint="eastAsia" w:cs="宋体" w:asciiTheme="minorEastAsia" w:hAnsiTheme="minorEastAsia" w:eastAsiaTheme="minorEastAsia"/>
                <w:color w:val="auto"/>
                <w:spacing w:val="-6"/>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pPr>
          </w:p>
        </w:tc>
        <w:tc>
          <w:tcPr>
            <w:tcW w:w="74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highlight w:val="none"/>
              </w:rPr>
            </w:pPr>
          </w:p>
        </w:tc>
        <w:tc>
          <w:tcPr>
            <w:tcW w:w="3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cs="宋体"/>
                <w:spacing w:val="-6"/>
                <w:sz w:val="21"/>
                <w:szCs w:val="21"/>
                <w:highlight w:val="none"/>
                <w:lang w:val="en-US" w:eastAsia="zh-CN"/>
              </w:rPr>
            </w:pPr>
            <w:r>
              <w:rPr>
                <w:rFonts w:hint="eastAsia" w:ascii="宋体" w:hAnsi="宋体" w:cs="宋体"/>
                <w:spacing w:val="-6"/>
                <w:sz w:val="21"/>
                <w:szCs w:val="21"/>
                <w:highlight w:val="none"/>
                <w:lang w:val="en-US" w:eastAsia="zh-CN"/>
              </w:rPr>
              <w:t>拟投入的人员提供园林相关专业研究生及以上学历的得2分，提供园林相关专业本科学历的得1分，最高得3分，未提供不得分；</w:t>
            </w:r>
          </w:p>
        </w:tc>
        <w:tc>
          <w:tcPr>
            <w:tcW w:w="357" w:type="pct"/>
            <w:vAlign w:val="center"/>
          </w:tcPr>
          <w:p>
            <w:pPr>
              <w:spacing w:line="360" w:lineRule="auto"/>
              <w:jc w:val="center"/>
              <w:rPr>
                <w:rFonts w:hint="default" w:ascii="宋体" w:hAnsi="宋体" w:cs="宋体"/>
                <w:spacing w:val="-6"/>
                <w:sz w:val="21"/>
                <w:szCs w:val="21"/>
                <w:highlight w:val="none"/>
                <w:lang w:val="en-US" w:eastAsia="zh-CN"/>
              </w:rPr>
            </w:pPr>
            <w:r>
              <w:rPr>
                <w:rFonts w:hint="eastAsia" w:cs="宋体" w:asciiTheme="minorEastAsia" w:hAnsiTheme="minorEastAsia" w:eastAsiaTheme="minorEastAsia"/>
                <w:spacing w:val="-6"/>
                <w:szCs w:val="21"/>
                <w:highlight w:val="none"/>
                <w:lang w:val="en-US" w:eastAsia="zh-CN"/>
              </w:rPr>
              <w:t>3</w:t>
            </w:r>
            <w:r>
              <w:rPr>
                <w:rFonts w:hint="eastAsia" w:cs="宋体" w:asciiTheme="minorEastAsia" w:hAnsiTheme="minorEastAsia" w:eastAsiaTheme="minorEastAsia"/>
                <w:spacing w:val="-6"/>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atLeast"/>
        </w:trPr>
        <w:tc>
          <w:tcPr>
            <w:tcW w:w="39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pPr>
          </w:p>
        </w:tc>
        <w:tc>
          <w:tcPr>
            <w:tcW w:w="74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highlight w:val="none"/>
              </w:rPr>
            </w:pPr>
          </w:p>
        </w:tc>
        <w:tc>
          <w:tcPr>
            <w:tcW w:w="3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pacing w:val="-6"/>
                <w:sz w:val="21"/>
                <w:szCs w:val="21"/>
                <w:highlight w:val="none"/>
                <w:lang w:val="en-US" w:eastAsia="zh-CN"/>
              </w:rPr>
            </w:pPr>
            <w:r>
              <w:rPr>
                <w:rFonts w:hint="eastAsia" w:ascii="宋体" w:hAnsi="宋体" w:cs="Times New Roman"/>
                <w:bCs w:val="0"/>
                <w:spacing w:val="0"/>
                <w:kern w:val="2"/>
                <w:sz w:val="21"/>
                <w:szCs w:val="21"/>
                <w:highlight w:val="none"/>
                <w:lang w:val="en-US" w:eastAsia="zh-CN"/>
              </w:rPr>
              <w:t>拟投入的项目技术负责人</w:t>
            </w:r>
            <w:r>
              <w:rPr>
                <w:rFonts w:hint="eastAsia" w:ascii="宋体" w:hAnsi="宋体" w:cs="Times New Roman"/>
                <w:bCs w:val="0"/>
                <w:spacing w:val="0"/>
                <w:kern w:val="2"/>
                <w:sz w:val="21"/>
                <w:szCs w:val="21"/>
                <w:highlight w:val="none"/>
              </w:rPr>
              <w:t>具有园林绿化专业中级职称</w:t>
            </w:r>
            <w:r>
              <w:rPr>
                <w:rFonts w:hint="eastAsia" w:ascii="宋体" w:hAnsi="宋体" w:cs="Times New Roman"/>
                <w:bCs w:val="0"/>
                <w:spacing w:val="0"/>
                <w:kern w:val="2"/>
                <w:sz w:val="21"/>
                <w:szCs w:val="21"/>
                <w:highlight w:val="none"/>
                <w:lang w:val="en-US" w:eastAsia="zh-CN"/>
              </w:rPr>
              <w:t>及</w:t>
            </w:r>
            <w:r>
              <w:rPr>
                <w:rFonts w:hint="eastAsia" w:ascii="宋体" w:hAnsi="宋体" w:cs="Times New Roman"/>
                <w:bCs w:val="0"/>
                <w:spacing w:val="0"/>
                <w:kern w:val="2"/>
                <w:sz w:val="21"/>
                <w:szCs w:val="21"/>
                <w:highlight w:val="none"/>
              </w:rPr>
              <w:t>园林绿化技术等级证书</w:t>
            </w:r>
            <w:r>
              <w:rPr>
                <w:rFonts w:hint="eastAsia" w:ascii="宋体" w:hAnsi="宋体" w:cs="Times New Roman"/>
                <w:bCs w:val="0"/>
                <w:spacing w:val="0"/>
                <w:kern w:val="2"/>
                <w:sz w:val="21"/>
                <w:szCs w:val="21"/>
                <w:highlight w:val="none"/>
                <w:lang w:val="en-US" w:eastAsia="zh-CN"/>
              </w:rPr>
              <w:t>的</w:t>
            </w:r>
            <w:r>
              <w:rPr>
                <w:rFonts w:hint="eastAsia" w:ascii="宋体" w:hAnsi="宋体" w:cs="Times New Roman"/>
                <w:bCs w:val="0"/>
                <w:spacing w:val="0"/>
                <w:kern w:val="2"/>
                <w:sz w:val="21"/>
                <w:szCs w:val="21"/>
                <w:highlight w:val="none"/>
              </w:rPr>
              <w:t>得</w:t>
            </w:r>
            <w:r>
              <w:rPr>
                <w:rFonts w:hint="eastAsia" w:ascii="宋体" w:hAnsi="宋体" w:cs="Times New Roman"/>
                <w:bCs w:val="0"/>
                <w:spacing w:val="0"/>
                <w:kern w:val="2"/>
                <w:sz w:val="21"/>
                <w:szCs w:val="21"/>
                <w:highlight w:val="none"/>
                <w:lang w:val="en-US" w:eastAsia="zh-CN"/>
              </w:rPr>
              <w:t>2</w:t>
            </w:r>
            <w:r>
              <w:rPr>
                <w:rFonts w:hint="eastAsia" w:ascii="宋体" w:hAnsi="宋体" w:cs="Times New Roman"/>
                <w:bCs w:val="0"/>
                <w:spacing w:val="0"/>
                <w:kern w:val="2"/>
                <w:sz w:val="21"/>
                <w:szCs w:val="21"/>
                <w:highlight w:val="none"/>
              </w:rPr>
              <w:t>分，没有不得分</w:t>
            </w:r>
            <w:r>
              <w:rPr>
                <w:rFonts w:hint="eastAsia" w:ascii="宋体" w:hAnsi="宋体" w:cs="Times New Roman"/>
                <w:bCs w:val="0"/>
                <w:spacing w:val="0"/>
                <w:kern w:val="2"/>
                <w:sz w:val="21"/>
                <w:szCs w:val="21"/>
                <w:highlight w:val="none"/>
                <w:lang w:eastAsia="zh-CN"/>
              </w:rPr>
              <w:t>。（</w:t>
            </w:r>
            <w:r>
              <w:rPr>
                <w:rFonts w:hint="eastAsia" w:ascii="宋体" w:hAnsi="宋体" w:cs="Times New Roman"/>
                <w:bCs w:val="0"/>
                <w:spacing w:val="0"/>
                <w:kern w:val="2"/>
                <w:sz w:val="21"/>
                <w:szCs w:val="21"/>
                <w:highlight w:val="none"/>
                <w:lang w:val="en-US" w:eastAsia="zh-CN"/>
              </w:rPr>
              <w:t>需</w:t>
            </w:r>
            <w:r>
              <w:rPr>
                <w:rFonts w:hint="eastAsia" w:ascii="宋体" w:hAnsi="宋体" w:cs="Times New Roman"/>
                <w:bCs w:val="0"/>
                <w:spacing w:val="0"/>
                <w:kern w:val="2"/>
                <w:sz w:val="21"/>
                <w:szCs w:val="21"/>
                <w:highlight w:val="none"/>
                <w:lang w:eastAsia="zh-CN"/>
              </w:rPr>
              <w:t>提供身份证、职称证书、劳动合同、</w:t>
            </w:r>
            <w:r>
              <w:rPr>
                <w:rFonts w:hint="eastAsia" w:ascii="宋体" w:hAnsi="宋体" w:cs="宋体"/>
                <w:spacing w:val="-6"/>
                <w:sz w:val="21"/>
                <w:szCs w:val="21"/>
                <w:highlight w:val="none"/>
                <w:lang w:val="en-US" w:eastAsia="zh-CN"/>
              </w:rPr>
              <w:t>社保缴纳证明材料</w:t>
            </w:r>
            <w:r>
              <w:rPr>
                <w:rFonts w:hint="eastAsia" w:ascii="宋体" w:hAnsi="宋体" w:cs="Times New Roman"/>
                <w:bCs w:val="0"/>
                <w:spacing w:val="0"/>
                <w:kern w:val="2"/>
                <w:sz w:val="21"/>
                <w:szCs w:val="21"/>
                <w:highlight w:val="none"/>
                <w:lang w:eastAsia="zh-CN"/>
              </w:rPr>
              <w:t>）；</w:t>
            </w:r>
          </w:p>
        </w:tc>
        <w:tc>
          <w:tcPr>
            <w:tcW w:w="357" w:type="pct"/>
            <w:vAlign w:val="center"/>
          </w:tcPr>
          <w:p>
            <w:pPr>
              <w:spacing w:line="360" w:lineRule="auto"/>
              <w:jc w:val="center"/>
              <w:rPr>
                <w:rFonts w:hint="default" w:ascii="宋体" w:hAnsi="宋体" w:cs="宋体"/>
                <w:spacing w:val="-6"/>
                <w:sz w:val="21"/>
                <w:szCs w:val="21"/>
                <w:highlight w:val="none"/>
                <w:lang w:val="en-US" w:eastAsia="zh-CN"/>
              </w:rPr>
            </w:pPr>
            <w:r>
              <w:rPr>
                <w:rFonts w:hint="eastAsia" w:cs="宋体" w:asciiTheme="minorEastAsia" w:hAnsiTheme="minorEastAsia" w:eastAsiaTheme="minorEastAsia"/>
                <w:spacing w:val="-6"/>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396" w:type="pct"/>
            <w:vMerge w:val="continue"/>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p>
        </w:tc>
        <w:tc>
          <w:tcPr>
            <w:tcW w:w="740" w:type="pct"/>
            <w:vMerge w:val="restart"/>
            <w:vAlign w:val="center"/>
          </w:tcPr>
          <w:p>
            <w:pPr>
              <w:keepNext w:val="0"/>
              <w:keepLines w:val="0"/>
              <w:pageBreakBefore w:val="0"/>
              <w:kinsoku/>
              <w:wordWrap/>
              <w:overflowPunct/>
              <w:topLinePunct w:val="0"/>
              <w:autoSpaceDE/>
              <w:autoSpaceDN/>
              <w:bidi w:val="0"/>
              <w:adjustRightInd/>
              <w:snapToGrid/>
              <w:spacing w:line="360" w:lineRule="auto"/>
              <w:ind w:left="-4" w:leftChars="-2" w:firstLine="2" w:firstLineChars="1"/>
              <w:jc w:val="center"/>
              <w:rPr>
                <w:rFonts w:hint="eastAsia" w:ascii="宋体" w:hAnsi="宋体" w:eastAsia="宋体" w:cs="宋体"/>
                <w:color w:val="000000"/>
                <w:spacing w:val="-6"/>
                <w:kern w:val="2"/>
                <w:sz w:val="21"/>
                <w:szCs w:val="21"/>
                <w:lang w:val="en-US" w:eastAsia="zh-CN" w:bidi="ar-SA"/>
              </w:rPr>
            </w:pPr>
            <w:r>
              <w:rPr>
                <w:rFonts w:hint="eastAsia" w:ascii="宋体" w:hAnsi="宋体" w:eastAsia="宋体" w:cs="宋体"/>
                <w:color w:val="auto"/>
                <w:sz w:val="21"/>
                <w:szCs w:val="21"/>
              </w:rPr>
              <w:t>认证证书</w:t>
            </w:r>
          </w:p>
        </w:tc>
        <w:tc>
          <w:tcPr>
            <w:tcW w:w="3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 w:leftChars="-2" w:firstLine="2" w:firstLineChars="1"/>
              <w:textAlignment w:val="auto"/>
              <w:rPr>
                <w:rFonts w:hint="eastAsia" w:ascii="宋体" w:hAnsi="宋体" w:eastAsia="宋体" w:cs="宋体"/>
                <w:color w:val="000000"/>
                <w:spacing w:val="-6"/>
                <w:kern w:val="2"/>
                <w:sz w:val="21"/>
                <w:szCs w:val="21"/>
                <w:lang w:val="en-US" w:eastAsia="zh-CN" w:bidi="ar-SA"/>
              </w:rPr>
            </w:pP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rPr>
              <w:t>提供质量管理体系认证证书</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rPr>
              <w:t>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分；没有不得分；</w:t>
            </w:r>
          </w:p>
        </w:tc>
        <w:tc>
          <w:tcPr>
            <w:tcW w:w="357" w:type="pct"/>
            <w:vAlign w:val="center"/>
          </w:tcPr>
          <w:p>
            <w:pPr>
              <w:spacing w:line="360" w:lineRule="auto"/>
              <w:ind w:left="-4" w:leftChars="-2" w:firstLine="2" w:firstLineChars="1"/>
              <w:jc w:val="center"/>
              <w:rPr>
                <w:rFonts w:hint="eastAsia" w:ascii="宋体" w:hAnsi="宋体" w:eastAsia="宋体" w:cs="宋体"/>
                <w:color w:val="000000"/>
                <w:spacing w:val="-6"/>
                <w:kern w:val="2"/>
                <w:sz w:val="21"/>
                <w:szCs w:val="21"/>
                <w:lang w:val="en-US" w:eastAsia="zh-CN" w:bidi="ar-SA"/>
              </w:rPr>
            </w:pPr>
            <w:r>
              <w:rPr>
                <w:rFonts w:hint="eastAsia" w:cs="宋体" w:asciiTheme="minorEastAsia" w:hAnsiTheme="minorEastAsia" w:eastAsiaTheme="minorEastAsia"/>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396" w:type="pct"/>
            <w:vMerge w:val="continue"/>
            <w:vAlign w:val="center"/>
          </w:tcPr>
          <w:p>
            <w:pPr>
              <w:spacing w:line="360" w:lineRule="auto"/>
              <w:ind w:left="-4" w:leftChars="-2" w:firstLine="384" w:firstLineChars="0"/>
              <w:rPr>
                <w:rFonts w:hint="eastAsia" w:ascii="宋体" w:hAnsi="宋体" w:eastAsia="宋体" w:cs="宋体"/>
                <w:color w:val="000000" w:themeColor="text1"/>
                <w:sz w:val="21"/>
                <w:szCs w:val="21"/>
                <w14:textFill>
                  <w14:solidFill>
                    <w14:schemeClr w14:val="tx1"/>
                  </w14:solidFill>
                </w14:textFill>
              </w:rPr>
            </w:pPr>
          </w:p>
        </w:tc>
        <w:tc>
          <w:tcPr>
            <w:tcW w:w="740" w:type="pct"/>
            <w:vMerge w:val="continue"/>
            <w:vAlign w:val="center"/>
          </w:tcPr>
          <w:p>
            <w:pPr>
              <w:keepNext w:val="0"/>
              <w:keepLines w:val="0"/>
              <w:pageBreakBefore w:val="0"/>
              <w:kinsoku/>
              <w:wordWrap/>
              <w:overflowPunct/>
              <w:topLinePunct w:val="0"/>
              <w:autoSpaceDE/>
              <w:autoSpaceDN/>
              <w:bidi w:val="0"/>
              <w:adjustRightInd/>
              <w:snapToGrid/>
              <w:spacing w:line="360" w:lineRule="auto"/>
              <w:ind w:left="-4" w:leftChars="-2" w:firstLine="2" w:firstLineChars="1"/>
              <w:rPr>
                <w:rFonts w:hint="eastAsia" w:ascii="宋体" w:hAnsi="宋体" w:eastAsia="宋体" w:cs="宋体"/>
                <w:sz w:val="21"/>
                <w:szCs w:val="21"/>
              </w:rPr>
            </w:pPr>
          </w:p>
        </w:tc>
        <w:tc>
          <w:tcPr>
            <w:tcW w:w="3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 w:leftChars="-2" w:firstLine="2" w:firstLineChars="1"/>
              <w:textAlignment w:val="auto"/>
              <w:rPr>
                <w:rFonts w:hint="eastAsia" w:ascii="宋体" w:hAnsi="宋体" w:eastAsia="宋体" w:cs="宋体"/>
                <w:color w:val="000000"/>
                <w:spacing w:val="-6"/>
                <w:kern w:val="2"/>
                <w:sz w:val="21"/>
                <w:szCs w:val="21"/>
                <w:lang w:val="en-US" w:eastAsia="zh-CN" w:bidi="ar-SA"/>
              </w:rPr>
            </w:pP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rPr>
              <w:t>提供环境管理体系认证证书</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rPr>
              <w:t>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分；没有不得分；</w:t>
            </w:r>
          </w:p>
        </w:tc>
        <w:tc>
          <w:tcPr>
            <w:tcW w:w="357" w:type="pct"/>
            <w:vAlign w:val="center"/>
          </w:tcPr>
          <w:p>
            <w:pPr>
              <w:spacing w:line="360" w:lineRule="auto"/>
              <w:ind w:left="-4" w:leftChars="-2" w:firstLine="2" w:firstLineChars="1"/>
              <w:jc w:val="center"/>
              <w:rPr>
                <w:rFonts w:hint="eastAsia" w:ascii="宋体" w:hAnsi="宋体" w:eastAsia="宋体" w:cs="宋体"/>
                <w:color w:val="000000"/>
                <w:spacing w:val="-6"/>
                <w:kern w:val="2"/>
                <w:sz w:val="21"/>
                <w:szCs w:val="21"/>
                <w:lang w:val="en-US" w:eastAsia="zh-CN" w:bidi="ar-SA"/>
              </w:rPr>
            </w:pPr>
            <w:r>
              <w:rPr>
                <w:rFonts w:hint="eastAsia" w:cs="宋体" w:asciiTheme="minorEastAsia" w:hAnsiTheme="minorEastAsia" w:eastAsiaTheme="minorEastAsia"/>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396" w:type="pct"/>
            <w:vMerge w:val="continue"/>
            <w:vAlign w:val="center"/>
          </w:tcPr>
          <w:p>
            <w:pPr>
              <w:spacing w:line="360" w:lineRule="auto"/>
              <w:ind w:left="-4" w:leftChars="-2" w:firstLine="384" w:firstLineChars="0"/>
              <w:rPr>
                <w:rFonts w:hint="eastAsia" w:ascii="宋体" w:hAnsi="宋体" w:eastAsia="宋体" w:cs="宋体"/>
                <w:color w:val="000000" w:themeColor="text1"/>
                <w:spacing w:val="-6"/>
                <w:kern w:val="2"/>
                <w:sz w:val="21"/>
                <w:szCs w:val="21"/>
                <w:lang w:val="en-US" w:eastAsia="zh-CN" w:bidi="ar-SA"/>
                <w14:textFill>
                  <w14:solidFill>
                    <w14:schemeClr w14:val="tx1"/>
                  </w14:solidFill>
                </w14:textFill>
              </w:rPr>
            </w:pPr>
          </w:p>
        </w:tc>
        <w:tc>
          <w:tcPr>
            <w:tcW w:w="740" w:type="pct"/>
            <w:vMerge w:val="continue"/>
            <w:vAlign w:val="center"/>
          </w:tcPr>
          <w:p>
            <w:pPr>
              <w:keepNext w:val="0"/>
              <w:keepLines w:val="0"/>
              <w:pageBreakBefore w:val="0"/>
              <w:kinsoku/>
              <w:wordWrap/>
              <w:overflowPunct/>
              <w:topLinePunct w:val="0"/>
              <w:autoSpaceDE/>
              <w:autoSpaceDN/>
              <w:bidi w:val="0"/>
              <w:adjustRightInd/>
              <w:snapToGrid/>
              <w:spacing w:line="360" w:lineRule="auto"/>
              <w:ind w:left="-4" w:leftChars="-2" w:firstLine="1" w:firstLineChars="1"/>
              <w:rPr>
                <w:rFonts w:hint="eastAsia" w:ascii="宋体" w:hAnsi="宋体" w:eastAsia="宋体" w:cs="宋体"/>
                <w:color w:val="000000"/>
                <w:spacing w:val="-6"/>
                <w:kern w:val="2"/>
                <w:sz w:val="21"/>
                <w:szCs w:val="21"/>
                <w:lang w:val="en-US" w:eastAsia="zh-CN" w:bidi="ar-SA"/>
              </w:rPr>
            </w:pPr>
          </w:p>
        </w:tc>
        <w:tc>
          <w:tcPr>
            <w:tcW w:w="3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 w:leftChars="-2" w:firstLine="2" w:firstLineChars="1"/>
              <w:textAlignment w:val="auto"/>
              <w:rPr>
                <w:rFonts w:hint="eastAsia" w:ascii="宋体" w:hAnsi="宋体" w:eastAsia="宋体" w:cs="宋体"/>
                <w:color w:val="000000"/>
                <w:spacing w:val="-6"/>
                <w:kern w:val="2"/>
                <w:sz w:val="21"/>
                <w:szCs w:val="21"/>
                <w:lang w:val="en-US" w:eastAsia="zh-CN" w:bidi="ar-SA"/>
              </w:rPr>
            </w:pP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rPr>
              <w:t>提供职业健康安全管理体系认证证书</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rPr>
              <w:t>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分；没有不得分；</w:t>
            </w:r>
          </w:p>
        </w:tc>
        <w:tc>
          <w:tcPr>
            <w:tcW w:w="357" w:type="pct"/>
            <w:vAlign w:val="center"/>
          </w:tcPr>
          <w:p>
            <w:pPr>
              <w:spacing w:line="360" w:lineRule="auto"/>
              <w:ind w:left="-4" w:leftChars="-2" w:firstLine="2" w:firstLineChars="1"/>
              <w:jc w:val="center"/>
              <w:rPr>
                <w:rFonts w:hint="eastAsia" w:ascii="宋体" w:hAnsi="宋体" w:eastAsia="宋体" w:cs="宋体"/>
                <w:color w:val="000000"/>
                <w:spacing w:val="-6"/>
                <w:kern w:val="2"/>
                <w:sz w:val="21"/>
                <w:szCs w:val="21"/>
                <w:lang w:val="en-US" w:eastAsia="zh-CN" w:bidi="ar-SA"/>
              </w:rPr>
            </w:pPr>
            <w:r>
              <w:rPr>
                <w:rFonts w:hint="eastAsia" w:cs="宋体" w:asciiTheme="minorEastAsia" w:hAnsiTheme="minorEastAsia" w:eastAsiaTheme="minorEastAsia"/>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Merge w:val="continue"/>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p>
        </w:tc>
        <w:tc>
          <w:tcPr>
            <w:tcW w:w="740" w:type="pc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4" w:leftChars="-2" w:firstLine="2" w:firstLineChars="1"/>
              <w:jc w:val="center"/>
              <w:rPr>
                <w:rFonts w:hint="eastAsia" w:ascii="宋体" w:hAnsi="宋体" w:eastAsia="宋体" w:cs="宋体"/>
                <w:spacing w:val="-6"/>
                <w:kern w:val="0"/>
                <w:sz w:val="21"/>
                <w:szCs w:val="21"/>
              </w:rPr>
            </w:pPr>
            <w:r>
              <w:rPr>
                <w:rFonts w:hint="eastAsia" w:ascii="宋体" w:hAnsi="宋体" w:eastAsia="宋体" w:cs="宋体"/>
                <w:color w:val="auto"/>
                <w:sz w:val="21"/>
                <w:szCs w:val="21"/>
              </w:rPr>
              <w:t>企业信誉</w:t>
            </w:r>
          </w:p>
        </w:tc>
        <w:tc>
          <w:tcPr>
            <w:tcW w:w="3505" w:type="pc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4" w:leftChars="-2" w:firstLine="2" w:firstLineChars="1"/>
              <w:rPr>
                <w:rFonts w:hint="eastAsia" w:ascii="宋体" w:hAnsi="宋体" w:eastAsia="宋体" w:cs="宋体"/>
                <w:spacing w:val="-6"/>
                <w:kern w:val="0"/>
                <w:sz w:val="21"/>
                <w:szCs w:val="21"/>
              </w:rPr>
            </w:pPr>
            <w:r>
              <w:rPr>
                <w:rFonts w:hint="eastAsia" w:ascii="宋体" w:hAnsi="宋体" w:eastAsia="宋体" w:cs="宋体"/>
                <w:color w:val="auto"/>
                <w:sz w:val="21"/>
                <w:szCs w:val="21"/>
              </w:rPr>
              <w:t>获得信用管理服务中心信用等级、银行信用等级或第三方服务中心，</w:t>
            </w:r>
            <w:r>
              <w:rPr>
                <w:rFonts w:hint="eastAsia" w:ascii="宋体" w:hAnsi="宋体" w:eastAsia="宋体" w:cs="宋体"/>
                <w:color w:val="auto"/>
                <w:sz w:val="21"/>
                <w:szCs w:val="21"/>
                <w:lang w:val="en-US" w:eastAsia="zh-CN"/>
              </w:rPr>
              <w:t>AAA</w:t>
            </w:r>
            <w:r>
              <w:rPr>
                <w:rFonts w:hint="eastAsia" w:ascii="宋体" w:hAnsi="宋体" w:eastAsia="宋体" w:cs="宋体"/>
                <w:color w:val="auto"/>
                <w:sz w:val="21"/>
                <w:szCs w:val="21"/>
              </w:rPr>
              <w:t>的得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AA及以下</w:t>
            </w:r>
            <w:r>
              <w:rPr>
                <w:rFonts w:hint="eastAsia" w:ascii="宋体" w:hAnsi="宋体" w:eastAsia="宋体" w:cs="宋体"/>
                <w:color w:val="auto"/>
                <w:sz w:val="21"/>
                <w:szCs w:val="21"/>
              </w:rPr>
              <w:t>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分；未提供证书清晰复印件的不得分。</w:t>
            </w:r>
          </w:p>
        </w:tc>
        <w:tc>
          <w:tcPr>
            <w:tcW w:w="357" w:type="pct"/>
            <w:tcBorders>
              <w:bottom w:val="single" w:color="auto" w:sz="4" w:space="0"/>
            </w:tcBorders>
            <w:vAlign w:val="center"/>
          </w:tcPr>
          <w:p>
            <w:pPr>
              <w:spacing w:line="360" w:lineRule="auto"/>
              <w:ind w:left="-4" w:leftChars="-2" w:firstLine="2" w:firstLineChars="1"/>
              <w:jc w:val="center"/>
              <w:rPr>
                <w:rFonts w:hint="eastAsia" w:ascii="宋体" w:hAnsi="宋体" w:eastAsia="宋体" w:cs="宋体"/>
                <w:spacing w:val="-6"/>
                <w:kern w:val="0"/>
                <w:sz w:val="21"/>
                <w:szCs w:val="21"/>
                <w:lang w:val="en-US" w:eastAsia="zh-CN"/>
              </w:rPr>
            </w:pPr>
            <w:r>
              <w:rPr>
                <w:rFonts w:hint="eastAsia" w:cs="宋体" w:asciiTheme="minorEastAsia" w:hAnsiTheme="minorEastAsia" w:eastAsiaTheme="minorEastAsia"/>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Merge w:val="continue"/>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p>
        </w:tc>
        <w:tc>
          <w:tcPr>
            <w:tcW w:w="740" w:type="pc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4" w:leftChars="-2" w:firstLine="2" w:firstLineChars="1"/>
              <w:jc w:val="center"/>
              <w:rPr>
                <w:rFonts w:hint="eastAsia" w:ascii="宋体" w:hAnsi="宋体" w:eastAsia="宋体" w:cs="宋体"/>
                <w:color w:val="auto"/>
                <w:sz w:val="21"/>
                <w:szCs w:val="21"/>
              </w:rPr>
            </w:pPr>
            <w:r>
              <w:rPr>
                <w:rFonts w:hint="eastAsia" w:ascii="宋体" w:hAnsi="宋体" w:eastAsia="宋体" w:cs="宋体"/>
                <w:color w:val="auto"/>
                <w:sz w:val="21"/>
                <w:szCs w:val="21"/>
              </w:rPr>
              <w:t>财务</w:t>
            </w:r>
          </w:p>
          <w:p>
            <w:pPr>
              <w:keepNext w:val="0"/>
              <w:keepLines w:val="0"/>
              <w:pageBreakBefore w:val="0"/>
              <w:kinsoku/>
              <w:wordWrap/>
              <w:overflowPunct/>
              <w:topLinePunct w:val="0"/>
              <w:autoSpaceDE/>
              <w:autoSpaceDN/>
              <w:bidi w:val="0"/>
              <w:adjustRightInd/>
              <w:snapToGrid/>
              <w:spacing w:line="360" w:lineRule="auto"/>
              <w:ind w:left="-4" w:leftChars="-2" w:firstLine="2" w:firstLineChars="1"/>
              <w:jc w:val="center"/>
              <w:rPr>
                <w:rFonts w:hint="eastAsia" w:ascii="宋体" w:hAnsi="宋体" w:eastAsia="宋体" w:cs="宋体"/>
                <w:spacing w:val="-6"/>
                <w:kern w:val="0"/>
                <w:sz w:val="21"/>
                <w:szCs w:val="21"/>
              </w:rPr>
            </w:pPr>
            <w:r>
              <w:rPr>
                <w:rFonts w:hint="eastAsia" w:ascii="宋体" w:hAnsi="宋体" w:eastAsia="宋体" w:cs="宋体"/>
                <w:color w:val="auto"/>
                <w:sz w:val="21"/>
                <w:szCs w:val="21"/>
              </w:rPr>
              <w:t>状况</w:t>
            </w:r>
          </w:p>
        </w:tc>
        <w:tc>
          <w:tcPr>
            <w:tcW w:w="3505"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4" w:leftChars="-2" w:firstLine="2" w:firstLineChars="1"/>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w:t>
            </w:r>
            <w:r>
              <w:rPr>
                <w:rFonts w:hint="eastAsia" w:ascii="宋体" w:hAnsi="宋体" w:cs="宋体"/>
                <w:color w:val="auto"/>
                <w:sz w:val="21"/>
                <w:szCs w:val="21"/>
                <w:lang w:val="en-US" w:eastAsia="zh-CN"/>
              </w:rPr>
              <w:t>供应商</w:t>
            </w:r>
            <w:r>
              <w:rPr>
                <w:rFonts w:hint="eastAsia" w:ascii="宋体" w:hAnsi="宋体" w:eastAsia="宋体" w:cs="宋体"/>
                <w:color w:val="auto"/>
                <w:sz w:val="21"/>
                <w:szCs w:val="21"/>
              </w:rPr>
              <w:t>提供的近</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年财务报告，对其经营状况、财务状况相互比较：</w:t>
            </w:r>
          </w:p>
          <w:p>
            <w:pPr>
              <w:keepNext w:val="0"/>
              <w:keepLines w:val="0"/>
              <w:pageBreakBefore w:val="0"/>
              <w:widowControl w:val="0"/>
              <w:kinsoku/>
              <w:wordWrap/>
              <w:overflowPunct/>
              <w:topLinePunct w:val="0"/>
              <w:autoSpaceDE/>
              <w:autoSpaceDN/>
              <w:bidi w:val="0"/>
              <w:adjustRightInd/>
              <w:snapToGrid/>
              <w:spacing w:line="360" w:lineRule="auto"/>
              <w:ind w:left="-4" w:leftChars="-2" w:firstLine="2" w:firstLineChars="1"/>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连续盈利，偿债能力、盈利能力和抗风险能力强的，得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ind w:left="-4" w:leftChars="-2" w:firstLine="2" w:firstLineChars="1"/>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盈利情况一般，偿债能力和抗风险能力较弱的，得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ind w:left="-4" w:leftChars="-2" w:firstLine="2" w:firstLineChars="1"/>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无盈利，偿债能力和抗风险能力差的，</w:t>
            </w:r>
            <w:r>
              <w:rPr>
                <w:rFonts w:hint="eastAsia" w:ascii="宋体" w:hAnsi="宋体" w:cs="宋体"/>
                <w:color w:val="auto"/>
                <w:sz w:val="21"/>
                <w:szCs w:val="21"/>
                <w:lang w:val="en-US" w:eastAsia="zh-CN"/>
              </w:rPr>
              <w:t>得0分</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4" w:leftChars="-2" w:firstLine="2" w:firstLineChars="1"/>
              <w:textAlignment w:val="auto"/>
              <w:rPr>
                <w:rFonts w:hint="eastAsia" w:ascii="宋体" w:hAnsi="宋体" w:eastAsia="宋体" w:cs="宋体"/>
                <w:spacing w:val="-6"/>
                <w:kern w:val="0"/>
                <w:sz w:val="21"/>
                <w:szCs w:val="21"/>
              </w:rPr>
            </w:pPr>
            <w:r>
              <w:rPr>
                <w:rFonts w:hint="eastAsia" w:ascii="宋体" w:hAnsi="宋体" w:eastAsia="宋体" w:cs="宋体"/>
                <w:color w:val="auto"/>
                <w:sz w:val="21"/>
                <w:szCs w:val="21"/>
              </w:rPr>
              <w:t>（成立不足</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年的按公司成立时间起算）</w:t>
            </w:r>
          </w:p>
        </w:tc>
        <w:tc>
          <w:tcPr>
            <w:tcW w:w="357" w:type="pct"/>
            <w:tcBorders>
              <w:top w:val="single" w:color="auto" w:sz="4" w:space="0"/>
            </w:tcBorders>
            <w:vAlign w:val="center"/>
          </w:tcPr>
          <w:p>
            <w:pPr>
              <w:spacing w:line="360" w:lineRule="auto"/>
              <w:ind w:left="-4" w:leftChars="-2" w:firstLine="2" w:firstLineChars="1"/>
              <w:jc w:val="center"/>
              <w:rPr>
                <w:rFonts w:hint="eastAsia" w:ascii="宋体" w:hAnsi="宋体" w:eastAsia="宋体" w:cs="宋体"/>
                <w:spacing w:val="-6"/>
                <w:kern w:val="0"/>
                <w:sz w:val="21"/>
                <w:szCs w:val="21"/>
              </w:rPr>
            </w:pPr>
            <w:r>
              <w:rPr>
                <w:rFonts w:hint="eastAsia" w:cs="宋体" w:asciiTheme="minorEastAsia" w:hAnsiTheme="minorEastAsia" w:eastAsiaTheme="minorEastAsia"/>
                <w:color w:val="auto"/>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42" w:hRule="atLeast"/>
        </w:trPr>
        <w:tc>
          <w:tcPr>
            <w:tcW w:w="396" w:type="pct"/>
            <w:vMerge w:val="restart"/>
            <w:vAlign w:val="center"/>
          </w:tcPr>
          <w:p>
            <w:pPr>
              <w:spacing w:line="360" w:lineRule="auto"/>
              <w:ind w:left="-4" w:leftChars="-2" w:firstLine="2" w:firstLineChars="1"/>
              <w:rPr>
                <w:rFonts w:hint="eastAsia"/>
              </w:rPr>
            </w:pPr>
          </w:p>
          <w:p>
            <w:pPr>
              <w:bidi w:val="0"/>
              <w:rPr>
                <w:rFonts w:hint="eastAsia"/>
                <w:lang w:val="en-US" w:eastAsia="zh-CN"/>
              </w:rPr>
            </w:pPr>
          </w:p>
          <w:p>
            <w:pPr>
              <w:bidi w:val="0"/>
              <w:jc w:val="both"/>
              <w:rPr>
                <w:rFonts w:hint="eastAsia"/>
                <w:lang w:val="en-US" w:eastAsia="zh-CN"/>
              </w:rPr>
            </w:pPr>
            <w:r>
              <w:rPr>
                <w:rFonts w:hint="eastAsia" w:ascii="宋体" w:hAnsi="宋体" w:eastAsia="宋体" w:cs="宋体"/>
                <w:spacing w:val="-6"/>
                <w:sz w:val="21"/>
                <w:szCs w:val="21"/>
                <w:lang w:val="en-US" w:eastAsia="zh-CN"/>
              </w:rPr>
              <w:t>技术服务</w:t>
            </w:r>
            <w:r>
              <w:rPr>
                <w:rFonts w:hint="eastAsia" w:ascii="宋体" w:hAnsi="宋体" w:cs="宋体"/>
                <w:spacing w:val="-6"/>
                <w:sz w:val="21"/>
                <w:szCs w:val="21"/>
                <w:lang w:val="en-US" w:eastAsia="zh-CN"/>
              </w:rPr>
              <w:t>50</w:t>
            </w:r>
            <w:r>
              <w:rPr>
                <w:rFonts w:hint="eastAsia" w:ascii="宋体" w:hAnsi="宋体" w:eastAsia="宋体" w:cs="宋体"/>
                <w:spacing w:val="-6"/>
                <w:sz w:val="21"/>
                <w:szCs w:val="21"/>
                <w:lang w:val="en-US" w:eastAsia="zh-CN"/>
              </w:rPr>
              <w:t>分</w:t>
            </w:r>
          </w:p>
        </w:tc>
        <w:tc>
          <w:tcPr>
            <w:tcW w:w="74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pacing w:val="-6"/>
                <w:kern w:val="0"/>
                <w:sz w:val="21"/>
                <w:szCs w:val="21"/>
                <w:lang w:val="en-US" w:eastAsia="zh-CN"/>
              </w:rPr>
              <w:t>相关承诺</w:t>
            </w:r>
          </w:p>
        </w:tc>
        <w:tc>
          <w:tcPr>
            <w:tcW w:w="3505" w:type="pct"/>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z w:val="21"/>
                <w:szCs w:val="21"/>
              </w:rPr>
            </w:pPr>
            <w:r>
              <w:rPr>
                <w:rFonts w:hint="eastAsia" w:ascii="宋体" w:hAnsi="宋体" w:eastAsia="宋体" w:cs="宋体"/>
                <w:sz w:val="21"/>
                <w:szCs w:val="21"/>
              </w:rPr>
              <w:t>根据供应商提供关于服务时效性承诺、入围承诺、不低于贰年养护（质保）期承诺、安全文明施工承诺等承诺材料的合理性、可行性进行综合评议：内容完备、合理，针对性强，</w:t>
            </w:r>
            <w:r>
              <w:rPr>
                <w:rFonts w:hint="eastAsia" w:ascii="宋体" w:hAnsi="宋体" w:cs="宋体"/>
                <w:sz w:val="21"/>
                <w:szCs w:val="21"/>
                <w:lang w:val="en-US" w:eastAsia="zh-CN"/>
              </w:rPr>
              <w:t>6</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z w:val="21"/>
                <w:szCs w:val="21"/>
              </w:rPr>
            </w:pPr>
            <w:r>
              <w:rPr>
                <w:rFonts w:hint="eastAsia" w:ascii="宋体" w:hAnsi="宋体" w:eastAsia="宋体" w:cs="宋体"/>
                <w:sz w:val="21"/>
                <w:szCs w:val="21"/>
              </w:rPr>
              <w:t>内容完备，可行,</w:t>
            </w:r>
            <w:r>
              <w:rPr>
                <w:rFonts w:hint="eastAsia" w:ascii="宋体" w:hAnsi="宋体" w:cs="宋体"/>
                <w:sz w:val="21"/>
                <w:szCs w:val="21"/>
                <w:lang w:val="en-US" w:eastAsia="zh-CN"/>
              </w:rPr>
              <w:t>4</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z w:val="21"/>
                <w:szCs w:val="21"/>
              </w:rPr>
            </w:pPr>
            <w:r>
              <w:rPr>
                <w:rFonts w:hint="eastAsia" w:ascii="宋体" w:hAnsi="宋体" w:eastAsia="宋体" w:cs="宋体"/>
                <w:sz w:val="21"/>
                <w:szCs w:val="21"/>
              </w:rPr>
              <w:t>内容欠完备，基本可行，</w:t>
            </w:r>
            <w:r>
              <w:rPr>
                <w:rFonts w:hint="eastAsia" w:ascii="宋体" w:hAnsi="宋体" w:cs="宋体"/>
                <w:sz w:val="21"/>
                <w:szCs w:val="21"/>
                <w:lang w:val="en-US" w:eastAsia="zh-CN"/>
              </w:rPr>
              <w:t>2</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不可行，0分。</w:t>
            </w:r>
          </w:p>
        </w:tc>
        <w:tc>
          <w:tcPr>
            <w:tcW w:w="357" w:type="pct"/>
            <w:vAlign w:val="center"/>
          </w:tcPr>
          <w:p>
            <w:pPr>
              <w:autoSpaceDE w:val="0"/>
              <w:autoSpaceDN w:val="0"/>
              <w:adjustRightInd w:val="0"/>
              <w:spacing w:line="360" w:lineRule="auto"/>
              <w:ind w:right="71" w:rightChars="34"/>
              <w:jc w:val="center"/>
              <w:rPr>
                <w:rFonts w:hint="eastAsia" w:ascii="宋体" w:hAnsi="宋体" w:eastAsia="宋体" w:cs="宋体"/>
                <w:sz w:val="21"/>
                <w:szCs w:val="21"/>
              </w:rPr>
            </w:pPr>
            <w:r>
              <w:rPr>
                <w:rFonts w:hint="eastAsia" w:cs="宋体" w:asciiTheme="minorEastAsia" w:hAnsiTheme="minorEastAsia" w:eastAsiaTheme="minorEastAsia"/>
                <w:spacing w:val="-6"/>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4" w:hRule="atLeast"/>
        </w:trPr>
        <w:tc>
          <w:tcPr>
            <w:tcW w:w="396" w:type="pct"/>
            <w:vMerge w:val="continue"/>
            <w:vAlign w:val="center"/>
          </w:tcPr>
          <w:p>
            <w:pPr>
              <w:spacing w:line="360" w:lineRule="auto"/>
              <w:rPr>
                <w:rFonts w:hint="eastAsia" w:ascii="宋体" w:hAnsi="宋体" w:eastAsia="宋体" w:cs="宋体"/>
                <w:sz w:val="21"/>
                <w:szCs w:val="21"/>
              </w:rPr>
            </w:pPr>
          </w:p>
        </w:tc>
        <w:tc>
          <w:tcPr>
            <w:tcW w:w="740" w:type="pct"/>
            <w:vAlign w:val="center"/>
          </w:tcPr>
          <w:p>
            <w:pPr>
              <w:spacing w:line="360" w:lineRule="auto"/>
              <w:ind w:left="-4" w:leftChars="-2" w:firstLine="1" w:firstLineChars="1"/>
              <w:jc w:val="center"/>
              <w:rPr>
                <w:rFonts w:hint="eastAsia" w:ascii="宋体" w:hAnsi="宋体" w:eastAsia="宋体" w:cs="宋体"/>
                <w:spacing w:val="-6"/>
                <w:kern w:val="0"/>
                <w:sz w:val="21"/>
                <w:szCs w:val="21"/>
                <w:lang w:val="en-US" w:eastAsia="zh-CN"/>
              </w:rPr>
            </w:pPr>
            <w:r>
              <w:rPr>
                <w:rFonts w:hint="eastAsia" w:ascii="宋体" w:hAnsi="宋体" w:eastAsia="宋体" w:cs="宋体"/>
                <w:spacing w:val="-6"/>
                <w:kern w:val="0"/>
                <w:sz w:val="21"/>
                <w:szCs w:val="21"/>
                <w:lang w:val="en-US" w:eastAsia="zh-CN"/>
              </w:rPr>
              <w:t>服务重难点分析</w:t>
            </w:r>
          </w:p>
        </w:tc>
        <w:tc>
          <w:tcPr>
            <w:tcW w:w="3505" w:type="pct"/>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lang w:eastAsia="zh-CN"/>
              </w:rPr>
            </w:pPr>
            <w:r>
              <w:rPr>
                <w:rFonts w:hint="eastAsia" w:ascii="宋体" w:hAnsi="宋体" w:eastAsia="宋体" w:cs="宋体"/>
                <w:spacing w:val="-6"/>
                <w:kern w:val="0"/>
                <w:sz w:val="21"/>
                <w:szCs w:val="21"/>
                <w:lang w:eastAsia="zh-CN"/>
              </w:rPr>
              <w:t>根据</w:t>
            </w:r>
            <w:r>
              <w:rPr>
                <w:rFonts w:hint="eastAsia" w:ascii="宋体" w:hAnsi="宋体" w:eastAsia="宋体" w:cs="宋体"/>
                <w:spacing w:val="-6"/>
                <w:kern w:val="0"/>
                <w:sz w:val="21"/>
                <w:szCs w:val="21"/>
                <w:lang w:val="en-US" w:eastAsia="zh-CN"/>
              </w:rPr>
              <w:t>供应商提供的</w:t>
            </w:r>
            <w:r>
              <w:rPr>
                <w:rFonts w:hint="eastAsia" w:ascii="宋体" w:hAnsi="宋体" w:eastAsia="宋体" w:cs="宋体"/>
                <w:spacing w:val="-6"/>
                <w:kern w:val="0"/>
                <w:sz w:val="21"/>
                <w:szCs w:val="21"/>
                <w:lang w:eastAsia="zh-CN"/>
              </w:rPr>
              <w:t>服务重难点</w:t>
            </w:r>
            <w:r>
              <w:rPr>
                <w:rFonts w:hint="eastAsia" w:ascii="宋体" w:hAnsi="宋体" w:cs="宋体"/>
                <w:spacing w:val="-6"/>
                <w:kern w:val="0"/>
                <w:sz w:val="21"/>
                <w:szCs w:val="21"/>
                <w:lang w:eastAsia="zh-CN"/>
              </w:rPr>
              <w:t>（</w:t>
            </w:r>
            <w:r>
              <w:rPr>
                <w:rFonts w:hint="eastAsia" w:ascii="宋体" w:hAnsi="宋体" w:cs="宋体"/>
                <w:spacing w:val="-6"/>
                <w:kern w:val="0"/>
                <w:sz w:val="21"/>
                <w:szCs w:val="21"/>
                <w:lang w:val="en-US" w:eastAsia="zh-CN"/>
              </w:rPr>
              <w:t>包括但不限于补植、病虫害防治、绿地管理、设施管理等</w:t>
            </w:r>
            <w:r>
              <w:rPr>
                <w:rFonts w:hint="eastAsia" w:ascii="宋体" w:hAnsi="宋体" w:cs="宋体"/>
                <w:spacing w:val="-6"/>
                <w:kern w:val="0"/>
                <w:sz w:val="21"/>
                <w:szCs w:val="21"/>
                <w:lang w:eastAsia="zh-CN"/>
              </w:rPr>
              <w:t>）</w:t>
            </w:r>
            <w:r>
              <w:rPr>
                <w:rFonts w:hint="eastAsia" w:ascii="宋体" w:hAnsi="宋体" w:eastAsia="宋体" w:cs="宋体"/>
                <w:spacing w:val="-6"/>
                <w:kern w:val="0"/>
                <w:sz w:val="21"/>
                <w:szCs w:val="21"/>
                <w:lang w:eastAsia="zh-CN"/>
              </w:rPr>
              <w:t>分析进行综合</w:t>
            </w:r>
            <w:r>
              <w:rPr>
                <w:rFonts w:hint="eastAsia" w:ascii="宋体" w:hAnsi="宋体" w:eastAsia="宋体" w:cs="宋体"/>
                <w:spacing w:val="-6"/>
                <w:kern w:val="0"/>
                <w:sz w:val="21"/>
                <w:szCs w:val="21"/>
                <w:lang w:val="en-US" w:eastAsia="zh-CN"/>
              </w:rPr>
              <w:t>评议</w:t>
            </w:r>
            <w:r>
              <w:rPr>
                <w:rFonts w:hint="eastAsia" w:ascii="宋体" w:hAnsi="宋体" w:eastAsia="宋体" w:cs="宋体"/>
                <w:spacing w:val="-6"/>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lang w:eastAsia="zh-CN"/>
              </w:rPr>
            </w:pPr>
            <w:r>
              <w:rPr>
                <w:rFonts w:hint="eastAsia" w:ascii="宋体" w:hAnsi="宋体" w:eastAsia="宋体" w:cs="宋体"/>
                <w:spacing w:val="-6"/>
                <w:kern w:val="0"/>
                <w:sz w:val="21"/>
                <w:szCs w:val="21"/>
                <w:lang w:eastAsia="zh-CN"/>
              </w:rPr>
              <w:t>对服务过程中的重点、难点把握准确，分析透彻，解决措施合理可行；内容完备，针对性强，可操作性强，符合本项目的所有要求，得</w:t>
            </w:r>
            <w:r>
              <w:rPr>
                <w:rFonts w:hint="eastAsia" w:ascii="宋体" w:hAnsi="宋体" w:cs="宋体"/>
                <w:spacing w:val="-6"/>
                <w:kern w:val="0"/>
                <w:sz w:val="21"/>
                <w:szCs w:val="21"/>
                <w:lang w:val="en-US" w:eastAsia="zh-CN"/>
              </w:rPr>
              <w:t>6</w:t>
            </w:r>
            <w:r>
              <w:rPr>
                <w:rFonts w:hint="eastAsia" w:ascii="宋体" w:hAnsi="宋体" w:eastAsia="宋体" w:cs="宋体"/>
                <w:spacing w:val="-6"/>
                <w:kern w:val="0"/>
                <w:sz w:val="21"/>
                <w:szCs w:val="21"/>
                <w:lang w:eastAsia="zh-CN"/>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lang w:eastAsia="zh-CN"/>
              </w:rPr>
            </w:pPr>
            <w:r>
              <w:rPr>
                <w:rFonts w:hint="eastAsia" w:ascii="宋体" w:hAnsi="宋体" w:eastAsia="宋体" w:cs="宋体"/>
                <w:spacing w:val="-6"/>
                <w:kern w:val="0"/>
                <w:sz w:val="21"/>
                <w:szCs w:val="21"/>
                <w:lang w:eastAsia="zh-CN"/>
              </w:rPr>
              <w:t>内容基本完备，基本符合本项目的要求，得</w:t>
            </w:r>
            <w:r>
              <w:rPr>
                <w:rFonts w:hint="eastAsia" w:ascii="宋体" w:hAnsi="宋体" w:cs="宋体"/>
                <w:spacing w:val="-6"/>
                <w:kern w:val="0"/>
                <w:sz w:val="21"/>
                <w:szCs w:val="21"/>
                <w:lang w:val="en-US" w:eastAsia="zh-CN"/>
              </w:rPr>
              <w:t>4</w:t>
            </w:r>
            <w:r>
              <w:rPr>
                <w:rFonts w:hint="eastAsia" w:ascii="宋体" w:hAnsi="宋体" w:eastAsia="宋体" w:cs="宋体"/>
                <w:spacing w:val="-6"/>
                <w:kern w:val="0"/>
                <w:sz w:val="21"/>
                <w:szCs w:val="21"/>
                <w:lang w:eastAsia="zh-CN"/>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lang w:eastAsia="zh-CN"/>
              </w:rPr>
            </w:pPr>
            <w:r>
              <w:rPr>
                <w:rFonts w:hint="eastAsia" w:ascii="宋体" w:hAnsi="宋体" w:eastAsia="宋体" w:cs="宋体"/>
                <w:spacing w:val="-6"/>
                <w:kern w:val="0"/>
                <w:sz w:val="21"/>
                <w:szCs w:val="21"/>
                <w:lang w:eastAsia="zh-CN"/>
              </w:rPr>
              <w:t xml:space="preserve">内容稍有欠缺，部分符合本项目的要求的得 </w:t>
            </w:r>
            <w:r>
              <w:rPr>
                <w:rFonts w:hint="eastAsia" w:ascii="宋体" w:hAnsi="宋体" w:cs="宋体"/>
                <w:spacing w:val="-6"/>
                <w:kern w:val="0"/>
                <w:sz w:val="21"/>
                <w:szCs w:val="21"/>
                <w:lang w:val="en-US" w:eastAsia="zh-CN"/>
              </w:rPr>
              <w:t>2</w:t>
            </w:r>
            <w:r>
              <w:rPr>
                <w:rFonts w:hint="eastAsia" w:ascii="宋体" w:hAnsi="宋体" w:eastAsia="宋体" w:cs="宋体"/>
                <w:spacing w:val="-6"/>
                <w:kern w:val="0"/>
                <w:sz w:val="21"/>
                <w:szCs w:val="21"/>
                <w:lang w:eastAsia="zh-CN"/>
              </w:rPr>
              <w:t xml:space="preserve"> 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lang w:eastAsia="zh-CN"/>
              </w:rPr>
            </w:pPr>
            <w:r>
              <w:rPr>
                <w:rFonts w:hint="eastAsia" w:ascii="宋体" w:hAnsi="宋体" w:eastAsia="宋体" w:cs="宋体"/>
                <w:spacing w:val="-6"/>
                <w:kern w:val="0"/>
                <w:sz w:val="21"/>
                <w:szCs w:val="21"/>
                <w:lang w:eastAsia="zh-CN"/>
              </w:rPr>
              <w:t>未提供或与本项目明显不符的不得分。</w:t>
            </w:r>
          </w:p>
        </w:tc>
        <w:tc>
          <w:tcPr>
            <w:tcW w:w="357" w:type="pct"/>
            <w:vAlign w:val="center"/>
          </w:tcPr>
          <w:p>
            <w:pPr>
              <w:autoSpaceDE w:val="0"/>
              <w:autoSpaceDN w:val="0"/>
              <w:adjustRightInd w:val="0"/>
              <w:spacing w:line="360" w:lineRule="auto"/>
              <w:jc w:val="center"/>
              <w:rPr>
                <w:rFonts w:hint="eastAsia" w:ascii="宋体" w:hAnsi="宋体" w:eastAsia="宋体" w:cs="宋体"/>
                <w:spacing w:val="-6"/>
                <w:kern w:val="0"/>
                <w:sz w:val="21"/>
                <w:szCs w:val="21"/>
                <w:lang w:val="en-US" w:eastAsia="zh-CN"/>
              </w:rPr>
            </w:pPr>
            <w:r>
              <w:rPr>
                <w:rFonts w:hint="eastAsia" w:cs="宋体" w:asciiTheme="minorEastAsia" w:hAnsiTheme="minorEastAsia" w:eastAsiaTheme="minorEastAsia"/>
                <w:spacing w:val="-6"/>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Merge w:val="continue"/>
            <w:vAlign w:val="center"/>
          </w:tcPr>
          <w:p>
            <w:pPr>
              <w:spacing w:line="360" w:lineRule="auto"/>
              <w:rPr>
                <w:rFonts w:hint="eastAsia" w:ascii="宋体" w:hAnsi="宋体" w:eastAsia="宋体" w:cs="宋体"/>
                <w:sz w:val="21"/>
                <w:szCs w:val="21"/>
              </w:rPr>
            </w:pPr>
          </w:p>
        </w:tc>
        <w:tc>
          <w:tcPr>
            <w:tcW w:w="740" w:type="pct"/>
            <w:vAlign w:val="center"/>
          </w:tcPr>
          <w:p>
            <w:pPr>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rPr>
              <w:t>整体服务方案</w:t>
            </w:r>
          </w:p>
        </w:tc>
        <w:tc>
          <w:tcPr>
            <w:tcW w:w="3505" w:type="pct"/>
            <w:vAlign w:val="center"/>
          </w:tcPr>
          <w:p>
            <w:pPr>
              <w:spacing w:line="360" w:lineRule="auto"/>
              <w:ind w:left="-4" w:leftChars="-2" w:firstLine="1" w:firstLineChars="1"/>
              <w:rPr>
                <w:rFonts w:cs="宋体" w:asciiTheme="minorEastAsia" w:hAnsiTheme="minorEastAsia" w:eastAsiaTheme="minorEastAsia"/>
                <w:spacing w:val="-6"/>
                <w:szCs w:val="21"/>
              </w:rPr>
            </w:pPr>
            <w:r>
              <w:rPr>
                <w:rFonts w:hint="eastAsia" w:cs="宋体" w:asciiTheme="minorEastAsia" w:hAnsiTheme="minorEastAsia" w:eastAsiaTheme="minorEastAsia"/>
                <w:spacing w:val="-6"/>
                <w:szCs w:val="21"/>
              </w:rPr>
              <w:t>根据整体服务方案（包括但不限于单次具体完整的树木移栽或修剪养护方案、安全方案、应急处理方案、员工技术培训计划等）进行综合评分：</w:t>
            </w:r>
          </w:p>
          <w:p>
            <w:pPr>
              <w:spacing w:line="360" w:lineRule="auto"/>
              <w:ind w:left="-4" w:leftChars="-2" w:firstLine="1" w:firstLineChars="1"/>
              <w:rPr>
                <w:rFonts w:cs="宋体" w:asciiTheme="minorEastAsia" w:hAnsiTheme="minorEastAsia" w:eastAsiaTheme="minorEastAsia"/>
                <w:spacing w:val="-6"/>
                <w:szCs w:val="21"/>
              </w:rPr>
            </w:pPr>
            <w:r>
              <w:rPr>
                <w:rFonts w:hint="eastAsia" w:cs="宋体" w:asciiTheme="minorEastAsia" w:hAnsiTheme="minorEastAsia" w:eastAsiaTheme="minorEastAsia"/>
                <w:spacing w:val="-6"/>
                <w:szCs w:val="21"/>
              </w:rPr>
              <w:t>树木移栽和修剪养护服务方案符合城市绿化条例和养护标准，充分结合学校实际，科学合理可行，针对性强得 13-16分；</w:t>
            </w:r>
          </w:p>
          <w:p>
            <w:pPr>
              <w:spacing w:line="360" w:lineRule="auto"/>
              <w:ind w:left="-4" w:leftChars="-2" w:firstLine="1" w:firstLineChars="1"/>
              <w:rPr>
                <w:rFonts w:cs="宋体" w:asciiTheme="minorEastAsia" w:hAnsiTheme="minorEastAsia" w:eastAsiaTheme="minorEastAsia"/>
                <w:spacing w:val="-6"/>
                <w:szCs w:val="21"/>
              </w:rPr>
            </w:pPr>
            <w:r>
              <w:rPr>
                <w:rFonts w:hint="eastAsia" w:cs="宋体" w:asciiTheme="minorEastAsia" w:hAnsiTheme="minorEastAsia" w:eastAsiaTheme="minorEastAsia"/>
                <w:spacing w:val="-6"/>
                <w:szCs w:val="21"/>
              </w:rPr>
              <w:t>树木移栽和修剪养护服务方案符合城市绿化条例和养护标准，基本满足要求，基本合理可行得9-12分；</w:t>
            </w:r>
          </w:p>
          <w:p>
            <w:pPr>
              <w:spacing w:line="360" w:lineRule="auto"/>
              <w:ind w:left="-4" w:leftChars="-2" w:firstLine="1" w:firstLineChars="1"/>
              <w:rPr>
                <w:rFonts w:cs="宋体" w:asciiTheme="minorEastAsia" w:hAnsiTheme="minorEastAsia" w:eastAsiaTheme="minorEastAsia"/>
                <w:spacing w:val="-6"/>
                <w:szCs w:val="21"/>
              </w:rPr>
            </w:pPr>
            <w:r>
              <w:rPr>
                <w:rFonts w:hint="eastAsia" w:cs="宋体" w:asciiTheme="minorEastAsia" w:hAnsiTheme="minorEastAsia" w:eastAsiaTheme="minorEastAsia"/>
                <w:spacing w:val="-6"/>
                <w:szCs w:val="21"/>
              </w:rPr>
              <w:t>树木移栽和修剪养护服务方案符合城市绿化条例和养护标准，基本合理的得5-8分；</w:t>
            </w:r>
          </w:p>
          <w:p>
            <w:pPr>
              <w:keepNext w:val="0"/>
              <w:keepLines w:val="0"/>
              <w:pageBreakBefore w:val="0"/>
              <w:widowControl w:val="0"/>
              <w:kinsoku/>
              <w:wordWrap/>
              <w:overflowPunct/>
              <w:topLinePunct w:val="0"/>
              <w:bidi w:val="0"/>
              <w:snapToGrid/>
              <w:spacing w:line="360" w:lineRule="auto"/>
              <w:ind w:left="-4" w:leftChars="-2" w:firstLine="1" w:firstLineChars="1"/>
              <w:textAlignment w:val="auto"/>
              <w:rPr>
                <w:rFonts w:hint="eastAsia" w:ascii="宋体" w:hAnsi="宋体" w:eastAsia="宋体" w:cs="宋体"/>
                <w:spacing w:val="-6"/>
                <w:sz w:val="21"/>
                <w:szCs w:val="21"/>
              </w:rPr>
            </w:pPr>
            <w:r>
              <w:rPr>
                <w:rFonts w:hint="eastAsia" w:cs="宋体" w:asciiTheme="minorEastAsia" w:hAnsiTheme="minorEastAsia" w:eastAsiaTheme="minorEastAsia"/>
                <w:spacing w:val="-6"/>
                <w:szCs w:val="21"/>
              </w:rPr>
              <w:t>树木移栽和修剪养护服务方案符合城市绿化条例和养护标准，不能满足要求或未提供的得0-4分。</w:t>
            </w:r>
          </w:p>
        </w:tc>
        <w:tc>
          <w:tcPr>
            <w:tcW w:w="357" w:type="pct"/>
            <w:vAlign w:val="center"/>
          </w:tcPr>
          <w:p>
            <w:pPr>
              <w:spacing w:line="360" w:lineRule="auto"/>
              <w:ind w:left="-4" w:leftChars="-2" w:firstLine="1" w:firstLineChars="1"/>
              <w:jc w:val="center"/>
              <w:rPr>
                <w:rFonts w:hint="eastAsia" w:ascii="宋体" w:hAnsi="宋体" w:eastAsia="宋体" w:cs="宋体"/>
                <w:spacing w:val="-6"/>
                <w:sz w:val="21"/>
                <w:szCs w:val="21"/>
                <w:lang w:val="en-US" w:eastAsia="zh-CN"/>
              </w:rPr>
            </w:pPr>
            <w:r>
              <w:rPr>
                <w:rFonts w:hint="eastAsia" w:cs="宋体" w:asciiTheme="minorEastAsia" w:hAnsiTheme="minorEastAsia" w:eastAsiaTheme="minorEastAsia"/>
                <w:spacing w:val="-6"/>
                <w:szCs w:val="21"/>
              </w:rPr>
              <w:t>16分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Merge w:val="continue"/>
            <w:vAlign w:val="center"/>
          </w:tcPr>
          <w:p>
            <w:pPr>
              <w:spacing w:line="360" w:lineRule="auto"/>
              <w:rPr>
                <w:rFonts w:hint="eastAsia" w:ascii="宋体" w:hAnsi="宋体" w:eastAsia="宋体" w:cs="宋体"/>
                <w:sz w:val="21"/>
                <w:szCs w:val="21"/>
              </w:rPr>
            </w:pPr>
          </w:p>
        </w:tc>
        <w:tc>
          <w:tcPr>
            <w:tcW w:w="740" w:type="pct"/>
            <w:vAlign w:val="center"/>
          </w:tcPr>
          <w:p>
            <w:pPr>
              <w:spacing w:line="360" w:lineRule="auto"/>
              <w:jc w:val="center"/>
              <w:rPr>
                <w:rFonts w:hint="eastAsia" w:ascii="宋体" w:hAnsi="宋体" w:eastAsia="宋体" w:cs="宋体"/>
                <w:spacing w:val="-6"/>
                <w:sz w:val="21"/>
                <w:szCs w:val="21"/>
              </w:rPr>
            </w:pPr>
            <w:r>
              <w:rPr>
                <w:rFonts w:hint="eastAsia" w:ascii="宋体" w:hAnsi="宋体" w:eastAsia="宋体" w:cs="宋体"/>
                <w:spacing w:val="-6"/>
                <w:kern w:val="0"/>
                <w:sz w:val="21"/>
                <w:szCs w:val="21"/>
              </w:rPr>
              <w:t>服务质量承诺与违约处罚</w:t>
            </w:r>
          </w:p>
        </w:tc>
        <w:tc>
          <w:tcPr>
            <w:tcW w:w="3505" w:type="pct"/>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供应商提供</w:t>
            </w:r>
            <w:r>
              <w:rPr>
                <w:rFonts w:hint="eastAsia" w:ascii="宋体" w:hAnsi="宋体" w:eastAsia="宋体" w:cs="宋体"/>
                <w:spacing w:val="-6"/>
                <w:kern w:val="0"/>
                <w:sz w:val="21"/>
                <w:szCs w:val="21"/>
              </w:rPr>
              <w:t>服务质量目标承诺，违约经济处罚措施</w:t>
            </w:r>
            <w:r>
              <w:rPr>
                <w:rFonts w:hint="eastAsia" w:ascii="宋体" w:hAnsi="宋体" w:eastAsia="宋体" w:cs="宋体"/>
                <w:spacing w:val="-6"/>
                <w:kern w:val="0"/>
                <w:sz w:val="21"/>
                <w:szCs w:val="21"/>
                <w:lang w:val="en-US" w:eastAsia="zh-CN"/>
              </w:rPr>
              <w:t>等进行综合评议</w:t>
            </w:r>
            <w:r>
              <w:rPr>
                <w:rFonts w:hint="eastAsia" w:ascii="宋体" w:hAnsi="宋体" w:eastAsia="宋体" w:cs="宋体"/>
                <w:spacing w:val="-6"/>
                <w:kern w:val="0"/>
                <w:sz w:val="21"/>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内容完备、合理，针对性强，</w:t>
            </w:r>
            <w:r>
              <w:rPr>
                <w:rFonts w:hint="eastAsia" w:ascii="宋体" w:hAnsi="宋体" w:cs="宋体"/>
                <w:spacing w:val="-6"/>
                <w:kern w:val="0"/>
                <w:sz w:val="21"/>
                <w:szCs w:val="21"/>
                <w:lang w:val="en-US" w:eastAsia="zh-CN"/>
              </w:rPr>
              <w:t>6</w:t>
            </w:r>
            <w:r>
              <w:rPr>
                <w:rFonts w:hint="eastAsia" w:ascii="宋体" w:hAnsi="宋体" w:eastAsia="宋体" w:cs="宋体"/>
                <w:spacing w:val="-6"/>
                <w:kern w:val="0"/>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内容完备，可行,</w:t>
            </w:r>
            <w:r>
              <w:rPr>
                <w:rFonts w:hint="eastAsia" w:ascii="宋体" w:hAnsi="宋体" w:cs="宋体"/>
                <w:spacing w:val="-6"/>
                <w:kern w:val="0"/>
                <w:sz w:val="21"/>
                <w:szCs w:val="21"/>
                <w:lang w:val="en-US" w:eastAsia="zh-CN"/>
              </w:rPr>
              <w:t>4</w:t>
            </w:r>
            <w:r>
              <w:rPr>
                <w:rFonts w:hint="eastAsia" w:ascii="宋体" w:hAnsi="宋体" w:eastAsia="宋体" w:cs="宋体"/>
                <w:spacing w:val="-6"/>
                <w:kern w:val="0"/>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内容欠完备，基本可行，</w:t>
            </w:r>
            <w:r>
              <w:rPr>
                <w:rFonts w:hint="eastAsia" w:ascii="宋体" w:hAnsi="宋体" w:cs="宋体"/>
                <w:spacing w:val="-6"/>
                <w:kern w:val="0"/>
                <w:sz w:val="21"/>
                <w:szCs w:val="21"/>
                <w:lang w:val="en-US" w:eastAsia="zh-CN"/>
              </w:rPr>
              <w:t>2</w:t>
            </w:r>
            <w:r>
              <w:rPr>
                <w:rFonts w:hint="eastAsia" w:ascii="宋体" w:hAnsi="宋体" w:eastAsia="宋体" w:cs="宋体"/>
                <w:spacing w:val="-6"/>
                <w:kern w:val="0"/>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sz w:val="21"/>
                <w:szCs w:val="21"/>
              </w:rPr>
            </w:pPr>
            <w:r>
              <w:rPr>
                <w:rFonts w:hint="eastAsia" w:ascii="宋体" w:hAnsi="宋体" w:eastAsia="宋体" w:cs="宋体"/>
                <w:spacing w:val="-6"/>
                <w:kern w:val="0"/>
                <w:sz w:val="21"/>
                <w:szCs w:val="21"/>
              </w:rPr>
              <w:t>不可行，0分。</w:t>
            </w:r>
          </w:p>
        </w:tc>
        <w:tc>
          <w:tcPr>
            <w:tcW w:w="357" w:type="pct"/>
            <w:vAlign w:val="center"/>
          </w:tcPr>
          <w:p>
            <w:pPr>
              <w:autoSpaceDE w:val="0"/>
              <w:autoSpaceDN w:val="0"/>
              <w:adjustRightInd w:val="0"/>
              <w:spacing w:line="360" w:lineRule="auto"/>
              <w:ind w:right="71" w:rightChars="34"/>
              <w:jc w:val="center"/>
              <w:rPr>
                <w:rFonts w:hint="eastAsia" w:ascii="宋体" w:hAnsi="宋体" w:eastAsia="宋体" w:cs="宋体"/>
                <w:spacing w:val="-6"/>
                <w:sz w:val="21"/>
                <w:szCs w:val="21"/>
              </w:rPr>
            </w:pPr>
            <w:r>
              <w:rPr>
                <w:rFonts w:hint="eastAsia" w:cs="宋体" w:asciiTheme="minorEastAsia" w:hAnsiTheme="minorEastAsia" w:eastAsiaTheme="minorEastAsia"/>
                <w:spacing w:val="-6"/>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Merge w:val="continue"/>
            <w:vAlign w:val="center"/>
          </w:tcPr>
          <w:p>
            <w:pPr>
              <w:spacing w:line="360" w:lineRule="auto"/>
              <w:rPr>
                <w:rFonts w:hint="eastAsia" w:ascii="宋体" w:hAnsi="宋体" w:eastAsia="宋体" w:cs="宋体"/>
                <w:sz w:val="21"/>
                <w:szCs w:val="21"/>
              </w:rPr>
            </w:pPr>
          </w:p>
        </w:tc>
        <w:tc>
          <w:tcPr>
            <w:tcW w:w="740" w:type="pct"/>
            <w:vAlign w:val="center"/>
          </w:tcPr>
          <w:p>
            <w:pPr>
              <w:spacing w:line="360" w:lineRule="auto"/>
              <w:jc w:val="center"/>
              <w:rPr>
                <w:rFonts w:hint="eastAsia" w:ascii="宋体" w:hAnsi="宋体" w:eastAsia="宋体" w:cs="宋体"/>
                <w:spacing w:val="-6"/>
                <w:kern w:val="0"/>
                <w:sz w:val="21"/>
                <w:szCs w:val="21"/>
              </w:rPr>
            </w:pPr>
            <w:r>
              <w:rPr>
                <w:rFonts w:hint="eastAsia" w:ascii="宋体" w:hAnsi="宋体" w:eastAsia="宋体" w:cs="宋体"/>
                <w:sz w:val="21"/>
                <w:szCs w:val="21"/>
              </w:rPr>
              <w:t>主要机械设备投入情况</w:t>
            </w:r>
          </w:p>
        </w:tc>
        <w:tc>
          <w:tcPr>
            <w:tcW w:w="3505" w:type="pct"/>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bCs w:val="0"/>
                <w:spacing w:val="0"/>
                <w:kern w:val="2"/>
                <w:sz w:val="21"/>
                <w:szCs w:val="21"/>
                <w:lang w:val="en-US" w:eastAsia="zh-CN" w:bidi="ar"/>
              </w:rPr>
            </w:pPr>
            <w:r>
              <w:rPr>
                <w:rFonts w:hint="eastAsia" w:ascii="宋体" w:hAnsi="宋体" w:eastAsia="宋体" w:cs="宋体"/>
                <w:bCs w:val="0"/>
                <w:spacing w:val="0"/>
                <w:kern w:val="2"/>
                <w:sz w:val="21"/>
                <w:szCs w:val="21"/>
                <w:lang w:val="en-US" w:eastAsia="zh-CN" w:bidi="ar"/>
              </w:rPr>
              <w:t>根据供应商</w:t>
            </w:r>
            <w:r>
              <w:rPr>
                <w:rFonts w:hint="eastAsia" w:ascii="宋体" w:hAnsi="宋体" w:eastAsia="宋体" w:cs="宋体"/>
                <w:bCs w:val="0"/>
                <w:spacing w:val="0"/>
                <w:kern w:val="2"/>
                <w:sz w:val="21"/>
                <w:szCs w:val="21"/>
                <w:lang w:bidi="ar"/>
              </w:rPr>
              <w:t>拟投入使用的机械设备</w:t>
            </w:r>
            <w:r>
              <w:rPr>
                <w:rFonts w:hint="eastAsia" w:ascii="宋体" w:hAnsi="宋体" w:eastAsia="宋体" w:cs="宋体"/>
                <w:bCs w:val="0"/>
                <w:spacing w:val="0"/>
                <w:kern w:val="2"/>
                <w:sz w:val="21"/>
                <w:szCs w:val="21"/>
                <w:lang w:val="en-US" w:eastAsia="zh-CN" w:bidi="ar"/>
              </w:rPr>
              <w:t>进行综合评议：</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满足养护项目实际规模，各类养护机械设备数量、比例适当、齐全的得</w:t>
            </w:r>
            <w:r>
              <w:rPr>
                <w:rFonts w:hint="eastAsia" w:ascii="宋体" w:hAnsi="宋体" w:cs="宋体"/>
                <w:spacing w:val="-6"/>
                <w:kern w:val="0"/>
                <w:sz w:val="21"/>
                <w:szCs w:val="21"/>
                <w:lang w:val="en-US" w:eastAsia="zh-CN"/>
              </w:rPr>
              <w:t>6</w:t>
            </w:r>
            <w:r>
              <w:rPr>
                <w:rFonts w:hint="eastAsia" w:ascii="宋体" w:hAnsi="宋体" w:eastAsia="宋体" w:cs="宋体"/>
                <w:spacing w:val="-6"/>
                <w:kern w:val="0"/>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对于养护管理过程中必须配备的机械设备，配备不齐全的得</w:t>
            </w:r>
            <w:r>
              <w:rPr>
                <w:rFonts w:hint="eastAsia" w:ascii="宋体" w:hAnsi="宋体" w:cs="宋体"/>
                <w:spacing w:val="-6"/>
                <w:kern w:val="0"/>
                <w:sz w:val="21"/>
                <w:szCs w:val="21"/>
                <w:lang w:val="en-US" w:eastAsia="zh-CN"/>
              </w:rPr>
              <w:t>3</w:t>
            </w:r>
            <w:r>
              <w:rPr>
                <w:rFonts w:hint="eastAsia" w:ascii="宋体" w:hAnsi="宋体" w:eastAsia="宋体" w:cs="宋体"/>
                <w:spacing w:val="-6"/>
                <w:kern w:val="0"/>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无配备不得分。</w:t>
            </w:r>
          </w:p>
        </w:tc>
        <w:tc>
          <w:tcPr>
            <w:tcW w:w="357" w:type="pct"/>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rPr>
            </w:pPr>
            <w:r>
              <w:rPr>
                <w:rFonts w:hint="eastAsia" w:cs="宋体" w:asciiTheme="minorEastAsia" w:hAnsiTheme="minorEastAsia" w:eastAsiaTheme="minorEastAsia"/>
                <w:spacing w:val="-6"/>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Merge w:val="continue"/>
            <w:vAlign w:val="center"/>
          </w:tcPr>
          <w:p>
            <w:pPr>
              <w:spacing w:line="360" w:lineRule="auto"/>
              <w:rPr>
                <w:rFonts w:hint="eastAsia" w:ascii="宋体" w:hAnsi="宋体" w:eastAsia="宋体" w:cs="宋体"/>
                <w:sz w:val="21"/>
                <w:szCs w:val="21"/>
              </w:rPr>
            </w:pPr>
          </w:p>
        </w:tc>
        <w:tc>
          <w:tcPr>
            <w:tcW w:w="74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安全技术措施</w:t>
            </w:r>
          </w:p>
        </w:tc>
        <w:tc>
          <w:tcPr>
            <w:tcW w:w="3505" w:type="pct"/>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供应商</w:t>
            </w:r>
            <w:r>
              <w:rPr>
                <w:rFonts w:hint="eastAsia" w:ascii="宋体" w:hAnsi="宋体" w:eastAsia="宋体" w:cs="宋体"/>
                <w:spacing w:val="-6"/>
                <w:kern w:val="0"/>
                <w:sz w:val="21"/>
                <w:szCs w:val="21"/>
              </w:rPr>
              <w:t>有专门的安全管理人员和制度，各道工序安全技术措施符合国标要求及实际情况</w:t>
            </w:r>
            <w:r>
              <w:rPr>
                <w:rFonts w:hint="eastAsia" w:ascii="宋体" w:hAnsi="宋体" w:eastAsia="宋体" w:cs="宋体"/>
                <w:spacing w:val="-6"/>
                <w:kern w:val="0"/>
                <w:sz w:val="21"/>
                <w:szCs w:val="21"/>
                <w:lang w:eastAsia="zh-CN"/>
              </w:rPr>
              <w:t>（</w:t>
            </w:r>
            <w:r>
              <w:rPr>
                <w:rFonts w:hint="eastAsia" w:ascii="宋体" w:hAnsi="宋体" w:eastAsia="宋体" w:cs="宋体"/>
                <w:spacing w:val="-6"/>
                <w:kern w:val="0"/>
                <w:sz w:val="21"/>
                <w:szCs w:val="21"/>
              </w:rPr>
              <w:t>安全管理目标</w:t>
            </w:r>
            <w:r>
              <w:rPr>
                <w:rFonts w:hint="eastAsia" w:ascii="宋体" w:hAnsi="宋体" w:eastAsia="宋体" w:cs="宋体"/>
                <w:spacing w:val="-6"/>
                <w:kern w:val="0"/>
                <w:sz w:val="21"/>
                <w:szCs w:val="21"/>
                <w:lang w:eastAsia="zh-CN"/>
              </w:rPr>
              <w:t>、</w:t>
            </w:r>
            <w:r>
              <w:rPr>
                <w:rFonts w:hint="eastAsia" w:ascii="宋体" w:hAnsi="宋体" w:eastAsia="宋体" w:cs="宋体"/>
                <w:spacing w:val="-6"/>
                <w:kern w:val="0"/>
                <w:sz w:val="21"/>
                <w:szCs w:val="21"/>
              </w:rPr>
              <w:t xml:space="preserve">主要设备安全操作规程 </w:t>
            </w:r>
            <w:r>
              <w:rPr>
                <w:rFonts w:hint="eastAsia" w:ascii="宋体" w:hAnsi="宋体" w:eastAsia="宋体" w:cs="宋体"/>
                <w:spacing w:val="-6"/>
                <w:kern w:val="0"/>
                <w:sz w:val="21"/>
                <w:szCs w:val="21"/>
                <w:lang w:eastAsia="zh-CN"/>
              </w:rPr>
              <w:t>、</w:t>
            </w:r>
            <w:r>
              <w:rPr>
                <w:rFonts w:hint="eastAsia" w:ascii="宋体" w:hAnsi="宋体" w:eastAsia="宋体" w:cs="宋体"/>
                <w:spacing w:val="-6"/>
                <w:kern w:val="0"/>
                <w:sz w:val="21"/>
                <w:szCs w:val="21"/>
              </w:rPr>
              <w:t>现场</w:t>
            </w:r>
            <w:r>
              <w:rPr>
                <w:rFonts w:hint="eastAsia" w:ascii="宋体" w:hAnsi="宋体" w:eastAsia="宋体" w:cs="宋体"/>
                <w:spacing w:val="-6"/>
                <w:kern w:val="0"/>
                <w:sz w:val="21"/>
                <w:szCs w:val="21"/>
                <w:lang w:val="en-US" w:eastAsia="zh-CN"/>
              </w:rPr>
              <w:t>应急</w:t>
            </w:r>
            <w:r>
              <w:rPr>
                <w:rFonts w:hint="eastAsia" w:ascii="宋体" w:hAnsi="宋体" w:eastAsia="宋体" w:cs="宋体"/>
                <w:spacing w:val="-6"/>
                <w:kern w:val="0"/>
                <w:sz w:val="21"/>
                <w:szCs w:val="21"/>
              </w:rPr>
              <w:t>措施</w:t>
            </w:r>
            <w:r>
              <w:rPr>
                <w:rFonts w:hint="eastAsia" w:ascii="宋体" w:hAnsi="宋体" w:eastAsia="宋体" w:cs="宋体"/>
                <w:spacing w:val="-6"/>
                <w:kern w:val="0"/>
                <w:sz w:val="21"/>
                <w:szCs w:val="21"/>
                <w:lang w:val="en-US" w:eastAsia="zh-CN"/>
              </w:rPr>
              <w:t>等）进行综合评议</w:t>
            </w:r>
            <w:r>
              <w:rPr>
                <w:rFonts w:hint="eastAsia" w:ascii="宋体" w:hAnsi="宋体" w:eastAsia="宋体" w:cs="宋体"/>
                <w:spacing w:val="-6"/>
                <w:kern w:val="0"/>
                <w:sz w:val="21"/>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内容完备、科学合理，针对性强，</w:t>
            </w:r>
            <w:r>
              <w:rPr>
                <w:rFonts w:hint="eastAsia" w:ascii="宋体" w:hAnsi="宋体" w:cs="宋体"/>
                <w:spacing w:val="-6"/>
                <w:kern w:val="0"/>
                <w:sz w:val="21"/>
                <w:szCs w:val="21"/>
                <w:lang w:val="en-US" w:eastAsia="zh-CN"/>
              </w:rPr>
              <w:t>6</w:t>
            </w:r>
            <w:r>
              <w:rPr>
                <w:rFonts w:hint="eastAsia" w:ascii="宋体" w:hAnsi="宋体" w:eastAsia="宋体" w:cs="宋体"/>
                <w:spacing w:val="-6"/>
                <w:kern w:val="0"/>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内容较完备，方案可行，</w:t>
            </w:r>
            <w:r>
              <w:rPr>
                <w:rFonts w:hint="eastAsia" w:ascii="宋体" w:hAnsi="宋体" w:cs="宋体"/>
                <w:spacing w:val="-6"/>
                <w:kern w:val="0"/>
                <w:sz w:val="21"/>
                <w:szCs w:val="21"/>
                <w:lang w:val="en-US" w:eastAsia="zh-CN"/>
              </w:rPr>
              <w:t>4</w:t>
            </w:r>
            <w:r>
              <w:rPr>
                <w:rFonts w:hint="eastAsia" w:ascii="宋体" w:hAnsi="宋体" w:eastAsia="宋体" w:cs="宋体"/>
                <w:spacing w:val="-6"/>
                <w:kern w:val="0"/>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内容欠完备，基本可行，</w:t>
            </w:r>
            <w:r>
              <w:rPr>
                <w:rFonts w:hint="eastAsia" w:ascii="宋体" w:hAnsi="宋体" w:cs="宋体"/>
                <w:spacing w:val="-6"/>
                <w:kern w:val="0"/>
                <w:sz w:val="21"/>
                <w:szCs w:val="21"/>
                <w:lang w:val="en-US" w:eastAsia="zh-CN"/>
              </w:rPr>
              <w:t>2</w:t>
            </w:r>
            <w:r>
              <w:rPr>
                <w:rFonts w:hint="eastAsia" w:ascii="宋体" w:hAnsi="宋体" w:eastAsia="宋体" w:cs="宋体"/>
                <w:spacing w:val="-6"/>
                <w:kern w:val="0"/>
                <w:sz w:val="21"/>
                <w:szCs w:val="21"/>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right="71" w:rightChars="34"/>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没有提供或内容不可行的 0 分。</w:t>
            </w:r>
          </w:p>
        </w:tc>
        <w:tc>
          <w:tcPr>
            <w:tcW w:w="357" w:type="pct"/>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rPr>
            </w:pPr>
            <w:r>
              <w:rPr>
                <w:rFonts w:hint="eastAsia" w:cs="宋体" w:asciiTheme="minorEastAsia" w:hAnsiTheme="minorEastAsia" w:eastAsiaTheme="minorEastAsia"/>
                <w:spacing w:val="-6"/>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Merge w:val="continue"/>
            <w:vAlign w:val="center"/>
          </w:tcPr>
          <w:p>
            <w:pPr>
              <w:spacing w:line="360" w:lineRule="auto"/>
              <w:rPr>
                <w:rFonts w:hint="eastAsia" w:ascii="宋体" w:hAnsi="宋体" w:eastAsia="宋体" w:cs="宋体"/>
                <w:sz w:val="21"/>
                <w:szCs w:val="21"/>
              </w:rPr>
            </w:pPr>
          </w:p>
        </w:tc>
        <w:tc>
          <w:tcPr>
            <w:tcW w:w="740" w:type="pct"/>
            <w:vAlign w:val="center"/>
          </w:tcPr>
          <w:p>
            <w:pPr>
              <w:spacing w:line="360" w:lineRule="auto"/>
              <w:ind w:left="-4" w:leftChars="-2" w:firstLine="1" w:firstLineChars="1"/>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售后服务机构</w:t>
            </w:r>
          </w:p>
        </w:tc>
        <w:tc>
          <w:tcPr>
            <w:tcW w:w="3505" w:type="pct"/>
            <w:vAlign w:val="center"/>
          </w:tcPr>
          <w:p>
            <w:pPr>
              <w:keepNext w:val="0"/>
              <w:keepLines w:val="0"/>
              <w:pageBreakBefore w:val="0"/>
              <w:widowControl w:val="0"/>
              <w:kinsoku/>
              <w:wordWrap/>
              <w:overflowPunct/>
              <w:topLinePunct w:val="0"/>
              <w:bidi w:val="0"/>
              <w:snapToGrid/>
              <w:spacing w:line="360" w:lineRule="auto"/>
              <w:ind w:left="-4" w:leftChars="-2" w:firstLine="2" w:firstLineChars="1"/>
              <w:textAlignment w:val="auto"/>
              <w:rPr>
                <w:rFonts w:hint="eastAsia" w:ascii="宋体" w:hAnsi="宋体" w:eastAsia="宋体" w:cs="宋体"/>
                <w:spacing w:val="-6"/>
                <w:kern w:val="0"/>
                <w:sz w:val="21"/>
                <w:szCs w:val="21"/>
                <w:lang w:eastAsia="zh-CN"/>
              </w:rPr>
            </w:pPr>
            <w:r>
              <w:rPr>
                <w:rFonts w:hint="eastAsia" w:ascii="宋体" w:hAnsi="宋体" w:eastAsia="宋体" w:cs="宋体"/>
                <w:sz w:val="21"/>
                <w:szCs w:val="21"/>
                <w:lang w:val="en-US" w:eastAsia="zh-CN"/>
              </w:rPr>
              <w:t>供应商</w:t>
            </w:r>
            <w:r>
              <w:rPr>
                <w:rFonts w:hint="eastAsia" w:ascii="宋体" w:hAnsi="宋体" w:eastAsia="宋体" w:cs="宋体"/>
                <w:spacing w:val="-6"/>
                <w:kern w:val="0"/>
                <w:sz w:val="21"/>
                <w:szCs w:val="21"/>
              </w:rPr>
              <w:t>在采购人所在地设有服务机构（如分公司、办事处等），能提供</w:t>
            </w:r>
            <w:r>
              <w:rPr>
                <w:rFonts w:hint="eastAsia" w:ascii="宋体" w:hAnsi="宋体" w:cs="宋体"/>
                <w:spacing w:val="-6"/>
                <w:kern w:val="0"/>
                <w:sz w:val="21"/>
                <w:szCs w:val="21"/>
                <w:lang w:val="en-US" w:eastAsia="zh-CN"/>
              </w:rPr>
              <w:t>常</w:t>
            </w:r>
          </w:p>
          <w:p>
            <w:pPr>
              <w:keepNext w:val="0"/>
              <w:keepLines w:val="0"/>
              <w:pageBreakBefore w:val="0"/>
              <w:widowControl w:val="0"/>
              <w:kinsoku/>
              <w:wordWrap/>
              <w:overflowPunct/>
              <w:topLinePunct w:val="0"/>
              <w:bidi w:val="0"/>
              <w:snapToGrid/>
              <w:spacing w:line="360" w:lineRule="auto"/>
              <w:ind w:left="-4" w:leftChars="-2" w:firstLine="1" w:firstLineChars="1"/>
              <w:textAlignment w:val="auto"/>
              <w:rPr>
                <w:rFonts w:hint="eastAsia" w:ascii="宋体" w:hAnsi="宋体" w:eastAsia="宋体" w:cs="宋体"/>
                <w:spacing w:val="-6"/>
                <w:kern w:val="0"/>
                <w:sz w:val="21"/>
                <w:szCs w:val="21"/>
                <w:lang w:eastAsia="zh-CN"/>
              </w:rPr>
            </w:pPr>
            <w:r>
              <w:rPr>
                <w:rFonts w:hint="eastAsia" w:ascii="宋体" w:hAnsi="宋体" w:eastAsia="宋体" w:cs="宋体"/>
                <w:spacing w:val="-6"/>
                <w:kern w:val="0"/>
                <w:sz w:val="21"/>
                <w:szCs w:val="21"/>
              </w:rPr>
              <w:t>驻分支机构营业执照或相关证明、房产证明或租赁证明等证明材料的得</w:t>
            </w:r>
            <w:r>
              <w:rPr>
                <w:rFonts w:hint="eastAsia" w:ascii="宋体" w:hAnsi="宋体" w:cs="宋体"/>
                <w:spacing w:val="-6"/>
                <w:kern w:val="0"/>
                <w:sz w:val="21"/>
                <w:szCs w:val="21"/>
                <w:lang w:val="en-US" w:eastAsia="zh-CN"/>
              </w:rPr>
              <w:t>4</w:t>
            </w:r>
            <w:r>
              <w:rPr>
                <w:rFonts w:hint="eastAsia" w:ascii="宋体" w:hAnsi="宋体" w:eastAsia="宋体" w:cs="宋体"/>
                <w:spacing w:val="-6"/>
                <w:kern w:val="0"/>
                <w:sz w:val="21"/>
                <w:szCs w:val="21"/>
              </w:rPr>
              <w:t>分；无售后服务机构的不得分。</w:t>
            </w:r>
          </w:p>
        </w:tc>
        <w:tc>
          <w:tcPr>
            <w:tcW w:w="357" w:type="pct"/>
            <w:vAlign w:val="center"/>
          </w:tcPr>
          <w:p>
            <w:pPr>
              <w:autoSpaceDE w:val="0"/>
              <w:autoSpaceDN w:val="0"/>
              <w:adjustRightInd w:val="0"/>
              <w:spacing w:line="360" w:lineRule="auto"/>
              <w:jc w:val="center"/>
              <w:rPr>
                <w:rFonts w:hint="eastAsia" w:ascii="宋体" w:hAnsi="宋体" w:eastAsia="宋体" w:cs="宋体"/>
                <w:spacing w:val="-6"/>
                <w:kern w:val="0"/>
                <w:sz w:val="21"/>
                <w:szCs w:val="21"/>
                <w:lang w:val="en-US" w:eastAsia="zh-CN"/>
              </w:rPr>
            </w:pPr>
            <w:r>
              <w:rPr>
                <w:rFonts w:hint="eastAsia" w:cs="宋体" w:asciiTheme="minorEastAsia" w:hAnsiTheme="minorEastAsia" w:eastAsiaTheme="minorEastAsia"/>
                <w:spacing w:val="-6"/>
                <w:kern w:val="0"/>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96"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总分</w:t>
            </w:r>
          </w:p>
        </w:tc>
        <w:tc>
          <w:tcPr>
            <w:tcW w:w="4603" w:type="pct"/>
            <w:gridSpan w:val="3"/>
            <w:vAlign w:val="center"/>
          </w:tcPr>
          <w:p>
            <w:pPr>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lang w:val="en-US" w:eastAsia="zh-CN"/>
              </w:rPr>
              <w:t>100</w:t>
            </w:r>
          </w:p>
        </w:tc>
      </w:tr>
    </w:tbl>
    <w:p>
      <w:r>
        <w:rPr>
          <w:rFonts w:hint="eastAsia"/>
        </w:rPr>
        <w:br w:type="textWrapping"/>
      </w:r>
    </w:p>
    <w:p>
      <w:pPr>
        <w:rPr>
          <w:rFonts w:hint="eastAsia" w:asciiTheme="minorEastAsia" w:hAnsiTheme="minorEastAsia" w:eastAsiaTheme="minorEastAsia" w:cstheme="minorEastAsia"/>
          <w:b/>
          <w:szCs w:val="21"/>
        </w:rPr>
      </w:pPr>
      <w:bookmarkStart w:id="109" w:name="_Toc8253"/>
      <w:r>
        <w:rPr>
          <w:rFonts w:hint="eastAsia" w:asciiTheme="minorEastAsia" w:hAnsiTheme="minorEastAsia" w:eastAsiaTheme="minorEastAsia" w:cstheme="minorEastAsia"/>
          <w:b/>
          <w:szCs w:val="21"/>
        </w:rPr>
        <w:br w:type="page"/>
      </w:r>
    </w:p>
    <w:p>
      <w:pP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四、评定办法</w:t>
      </w:r>
      <w:bookmarkEnd w:id="109"/>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w:t>
      </w: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 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left="420" w:left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10" w:name="_Toc12863"/>
      <w:r>
        <w:rPr>
          <w:rFonts w:hint="eastAsia" w:asciiTheme="minorEastAsia" w:hAnsiTheme="minorEastAsia" w:eastAsiaTheme="minorEastAsia" w:cstheme="minorEastAsia"/>
          <w:b/>
          <w:szCs w:val="21"/>
        </w:rPr>
        <w:t>五、磋商及评审步骤</w:t>
      </w:r>
      <w:bookmarkEnd w:id="110"/>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 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left="420" w:leftChars="200"/>
        <w:jc w:val="left"/>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p>
    <w:p>
      <w:pPr>
        <w:rPr>
          <w:rFonts w:asciiTheme="minorEastAsia" w:hAnsiTheme="minorEastAsia" w:eastAsiaTheme="minorEastAsia" w:cstheme="minorEastAsia"/>
          <w:b w:val="0"/>
          <w:kern w:val="0"/>
          <w:szCs w:val="21"/>
        </w:rPr>
      </w:pPr>
      <w:bookmarkStart w:id="111" w:name="_Toc211783328"/>
      <w:bookmarkStart w:id="112" w:name="_Toc318643471"/>
      <w:bookmarkStart w:id="113" w:name="_Toc16666"/>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111"/>
      <w:bookmarkEnd w:id="112"/>
      <w:r>
        <w:rPr>
          <w:rFonts w:hint="eastAsia" w:asciiTheme="minorEastAsia" w:hAnsiTheme="minorEastAsia" w:eastAsiaTheme="minorEastAsia" w:cstheme="minorEastAsia"/>
          <w:sz w:val="36"/>
          <w:szCs w:val="36"/>
        </w:rPr>
        <w:t>格式</w:t>
      </w:r>
      <w:bookmarkEnd w:id="113"/>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114" w:name="_Toc10578"/>
      <w:r>
        <w:rPr>
          <w:rFonts w:hint="eastAsia" w:asciiTheme="minorEastAsia" w:hAnsiTheme="minorEastAsia" w:eastAsiaTheme="minorEastAsia" w:cstheme="minorEastAsia"/>
          <w:sz w:val="36"/>
          <w:szCs w:val="36"/>
        </w:rPr>
        <w:t>竞争性磋商响应文件格式</w:t>
      </w:r>
      <w:bookmarkEnd w:id="114"/>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5" w:name="_Toc23858"/>
      <w:bookmarkStart w:id="116" w:name="_Toc5751"/>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5"/>
    <w:bookmarkEnd w:id="116"/>
    <w:p>
      <w:pPr>
        <w:autoSpaceDE w:val="0"/>
        <w:autoSpaceDN w:val="0"/>
        <w:adjustRightInd w:val="0"/>
        <w:spacing w:line="360" w:lineRule="auto"/>
        <w:jc w:val="center"/>
        <w:rPr>
          <w:rFonts w:asciiTheme="minorEastAsia" w:hAnsiTheme="minorEastAsia" w:eastAsiaTheme="minorEastAsia" w:cstheme="minorEastAsia"/>
          <w:b/>
          <w:bCs/>
          <w:sz w:val="24"/>
        </w:rPr>
      </w:pPr>
      <w:bookmarkStart w:id="117" w:name="_Toc360174584"/>
      <w:bookmarkStart w:id="118" w:name="_Toc264644272"/>
      <w:bookmarkStart w:id="119" w:name="_Toc211783342"/>
      <w:bookmarkStart w:id="120" w:name="_Toc533330957"/>
      <w:bookmarkStart w:id="121" w:name="_Toc11320441"/>
      <w:bookmarkStart w:id="122"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7"/>
      <w:bookmarkEnd w:id="118"/>
    </w:p>
    <w:p>
      <w:pPr>
        <w:autoSpaceDE w:val="0"/>
        <w:autoSpaceDN w:val="0"/>
        <w:adjustRightInd w:val="0"/>
        <w:rPr>
          <w:rFonts w:asciiTheme="minorEastAsia" w:hAnsiTheme="minorEastAsia" w:eastAsiaTheme="minorEastAsia" w:cstheme="minorEastAsia"/>
          <w:b/>
          <w:bCs/>
          <w:szCs w:val="21"/>
        </w:rPr>
      </w:pPr>
    </w:p>
    <w:p>
      <w:pPr>
        <w:autoSpaceDE w:val="0"/>
        <w:autoSpaceDN w:val="0"/>
        <w:adjustRightInd w:val="0"/>
        <w:spacing w:line="360" w:lineRule="auto"/>
        <w:rPr>
          <w:rFonts w:ascii="宋体" w:hAnsi="宋体" w:cs="宋体"/>
          <w:b/>
          <w:szCs w:val="21"/>
        </w:rPr>
      </w:pPr>
      <w:r>
        <w:rPr>
          <w:rFonts w:hint="eastAsia" w:ascii="宋体" w:hAnsi="宋体" w:cs="宋体"/>
          <w:b/>
          <w:szCs w:val="21"/>
        </w:rPr>
        <w:t>注：投标文件目录及内容每页须顺序编写页码。</w:t>
      </w:r>
    </w:p>
    <w:p>
      <w:pPr>
        <w:autoSpaceDE w:val="0"/>
        <w:autoSpaceDN w:val="0"/>
        <w:adjustRightInd w:val="0"/>
        <w:spacing w:line="360" w:lineRule="auto"/>
        <w:jc w:val="center"/>
        <w:outlineLvl w:val="1"/>
        <w:rPr>
          <w:rFonts w:ascii="宋体" w:hAnsi="宋体" w:cs="宋体"/>
          <w:b/>
          <w:szCs w:val="21"/>
        </w:rPr>
      </w:pPr>
      <w:bookmarkStart w:id="123" w:name="_Toc18431"/>
      <w:r>
        <w:rPr>
          <w:rFonts w:hint="eastAsia" w:ascii="宋体" w:hAnsi="宋体" w:cs="宋体"/>
          <w:b/>
          <w:szCs w:val="21"/>
        </w:rPr>
        <w:br w:type="textWrapping"/>
      </w:r>
      <w:r>
        <w:rPr>
          <w:rFonts w:hint="eastAsia" w:ascii="宋体" w:hAnsi="宋体" w:cs="宋体"/>
          <w:b/>
          <w:szCs w:val="21"/>
        </w:rPr>
        <w:t>一、评分标准索引表</w:t>
      </w:r>
      <w:bookmarkEnd w:id="123"/>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类别</w:t>
            </w:r>
          </w:p>
        </w:tc>
        <w:tc>
          <w:tcPr>
            <w:tcW w:w="1285"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评审因素</w:t>
            </w:r>
          </w:p>
        </w:tc>
        <w:tc>
          <w:tcPr>
            <w:tcW w:w="5358"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评审标准</w:t>
            </w:r>
          </w:p>
        </w:tc>
        <w:tc>
          <w:tcPr>
            <w:tcW w:w="825"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分值</w:t>
            </w:r>
          </w:p>
        </w:tc>
        <w:tc>
          <w:tcPr>
            <w:tcW w:w="1133"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spacing w:val="-6"/>
                <w:szCs w:val="21"/>
              </w:rPr>
            </w:pPr>
          </w:p>
        </w:tc>
        <w:tc>
          <w:tcPr>
            <w:tcW w:w="1285" w:type="dxa"/>
            <w:vAlign w:val="center"/>
          </w:tcPr>
          <w:p>
            <w:pPr>
              <w:widowControl/>
              <w:spacing w:line="360" w:lineRule="auto"/>
              <w:jc w:val="center"/>
              <w:textAlignment w:val="center"/>
              <w:rPr>
                <w:rFonts w:ascii="宋体" w:hAnsi="宋体" w:cs="宋体"/>
                <w:spacing w:val="-6"/>
                <w:szCs w:val="21"/>
              </w:rPr>
            </w:pPr>
          </w:p>
        </w:tc>
        <w:tc>
          <w:tcPr>
            <w:tcW w:w="5358" w:type="dxa"/>
            <w:vAlign w:val="center"/>
          </w:tcPr>
          <w:p>
            <w:pPr>
              <w:widowControl/>
              <w:spacing w:line="360" w:lineRule="auto"/>
              <w:jc w:val="left"/>
              <w:textAlignment w:val="center"/>
              <w:rPr>
                <w:rFonts w:ascii="宋体" w:hAnsi="宋体" w:cs="宋体"/>
                <w:szCs w:val="21"/>
              </w:rPr>
            </w:pPr>
          </w:p>
        </w:tc>
        <w:tc>
          <w:tcPr>
            <w:tcW w:w="825" w:type="dxa"/>
            <w:vAlign w:val="center"/>
          </w:tcPr>
          <w:p>
            <w:pPr>
              <w:widowControl/>
              <w:spacing w:line="360" w:lineRule="auto"/>
              <w:jc w:val="center"/>
              <w:textAlignment w:val="center"/>
              <w:rPr>
                <w:rFonts w:ascii="宋体" w:hAnsi="宋体" w:cs="宋体"/>
                <w:szCs w:val="21"/>
              </w:rPr>
            </w:pPr>
          </w:p>
        </w:tc>
        <w:tc>
          <w:tcPr>
            <w:tcW w:w="1133" w:type="dxa"/>
            <w:vAlign w:val="center"/>
          </w:tcPr>
          <w:p>
            <w:pPr>
              <w:widowControl/>
              <w:spacing w:line="360" w:lineRule="auto"/>
              <w:jc w:val="center"/>
              <w:textAlignment w:val="center"/>
              <w:rPr>
                <w:rFonts w:ascii="宋体" w:hAnsi="宋体" w:cs="宋体"/>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color w:val="000000"/>
                <w:spacing w:val="-6"/>
                <w:szCs w:val="21"/>
              </w:rPr>
            </w:pPr>
          </w:p>
        </w:tc>
        <w:tc>
          <w:tcPr>
            <w:tcW w:w="5358"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825"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1133" w:type="dxa"/>
            <w:vAlign w:val="center"/>
          </w:tcPr>
          <w:p>
            <w:pPr>
              <w:autoSpaceDE w:val="0"/>
              <w:autoSpaceDN w:val="0"/>
              <w:adjustRightInd w:val="0"/>
              <w:spacing w:line="360" w:lineRule="auto"/>
              <w:ind w:right="71" w:rightChars="34"/>
              <w:rPr>
                <w:rFonts w:ascii="宋体" w:hAnsi="宋体" w:cs="宋体"/>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bottom w:val="single" w:color="auto" w:sz="4" w:space="0"/>
            </w:tcBorders>
            <w:vAlign w:val="center"/>
          </w:tcPr>
          <w:p>
            <w:pPr>
              <w:spacing w:line="360" w:lineRule="auto"/>
              <w:rPr>
                <w:rFonts w:ascii="宋体" w:hAnsi="宋体" w:cs="宋体"/>
                <w:spacing w:val="-6"/>
                <w:kern w:val="0"/>
                <w:szCs w:val="21"/>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top w:val="single" w:color="auto" w:sz="4" w:space="0"/>
            </w:tcBorders>
            <w:vAlign w:val="center"/>
          </w:tcPr>
          <w:p>
            <w:pPr>
              <w:spacing w:line="360" w:lineRule="auto"/>
              <w:rPr>
                <w:rFonts w:ascii="宋体" w:hAnsi="宋体" w:cs="宋体"/>
                <w:spacing w:val="-6"/>
                <w:kern w:val="0"/>
                <w:szCs w:val="21"/>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szCs w:val="21"/>
              </w:rPr>
            </w:pPr>
          </w:p>
        </w:tc>
        <w:tc>
          <w:tcPr>
            <w:tcW w:w="1285" w:type="dxa"/>
            <w:vAlign w:val="center"/>
          </w:tcPr>
          <w:p>
            <w:pPr>
              <w:spacing w:line="360" w:lineRule="auto"/>
              <w:ind w:left="-4" w:leftChars="-2" w:firstLine="2" w:firstLineChars="1"/>
              <w:rPr>
                <w:rFonts w:ascii="宋体" w:hAnsi="宋体" w:cs="宋体"/>
                <w:szCs w:val="21"/>
              </w:rPr>
            </w:pPr>
          </w:p>
        </w:tc>
        <w:tc>
          <w:tcPr>
            <w:tcW w:w="5358" w:type="dxa"/>
            <w:vAlign w:val="center"/>
          </w:tcPr>
          <w:p>
            <w:pPr>
              <w:spacing w:line="360" w:lineRule="auto"/>
              <w:ind w:left="-4" w:leftChars="-2" w:firstLine="2" w:firstLineChars="1"/>
              <w:rPr>
                <w:rFonts w:ascii="宋体" w:hAnsi="宋体" w:cs="宋体"/>
                <w:szCs w:val="21"/>
              </w:rPr>
            </w:pPr>
          </w:p>
        </w:tc>
        <w:tc>
          <w:tcPr>
            <w:tcW w:w="825" w:type="dxa"/>
            <w:vAlign w:val="center"/>
          </w:tcPr>
          <w:p>
            <w:pPr>
              <w:spacing w:line="360" w:lineRule="auto"/>
              <w:ind w:left="-4" w:leftChars="-2" w:firstLine="2" w:firstLineChars="1"/>
              <w:rPr>
                <w:rFonts w:ascii="宋体" w:hAnsi="宋体" w:cs="宋体"/>
                <w:szCs w:val="21"/>
              </w:rPr>
            </w:pPr>
          </w:p>
        </w:tc>
        <w:tc>
          <w:tcPr>
            <w:tcW w:w="1133" w:type="dxa"/>
            <w:vAlign w:val="center"/>
          </w:tcPr>
          <w:p>
            <w:pPr>
              <w:spacing w:line="360" w:lineRule="auto"/>
              <w:ind w:left="-4" w:leftChars="-2" w:firstLine="2" w:firstLineChars="1"/>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rPr>
                <w:rFonts w:ascii="宋体" w:hAnsi="宋体" w:cs="宋体"/>
                <w:spacing w:val="-6"/>
                <w:kern w:val="0"/>
                <w:szCs w:val="21"/>
              </w:rPr>
            </w:pPr>
          </w:p>
        </w:tc>
        <w:tc>
          <w:tcPr>
            <w:tcW w:w="825" w:type="dxa"/>
            <w:vAlign w:val="center"/>
          </w:tcPr>
          <w:p>
            <w:pPr>
              <w:autoSpaceDE w:val="0"/>
              <w:autoSpaceDN w:val="0"/>
              <w:adjustRightInd w:val="0"/>
              <w:spacing w:line="360" w:lineRule="auto"/>
              <w:rPr>
                <w:rFonts w:ascii="宋体" w:hAnsi="宋体" w:cs="宋体"/>
                <w:spacing w:val="-6"/>
                <w:kern w:val="0"/>
                <w:szCs w:val="21"/>
              </w:rPr>
            </w:pPr>
          </w:p>
        </w:tc>
        <w:tc>
          <w:tcPr>
            <w:tcW w:w="1133" w:type="dxa"/>
            <w:vAlign w:val="center"/>
          </w:tcPr>
          <w:p>
            <w:pPr>
              <w:autoSpaceDE w:val="0"/>
              <w:autoSpaceDN w:val="0"/>
              <w:adjustRightInd w:val="0"/>
              <w:spacing w:line="360" w:lineRule="auto"/>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bl>
    <w:p>
      <w:pPr>
        <w:autoSpaceDE w:val="0"/>
        <w:autoSpaceDN w:val="0"/>
        <w:adjustRightInd w:val="0"/>
        <w:spacing w:line="480" w:lineRule="auto"/>
        <w:rPr>
          <w:rFonts w:asciiTheme="minorEastAsia" w:hAnsiTheme="minorEastAsia" w:eastAsiaTheme="minorEastAsia" w:cstheme="minorEastAsia"/>
          <w:b/>
        </w:rPr>
      </w:pPr>
    </w:p>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4" w:name="_Toc30144"/>
      <w:bookmarkStart w:id="125" w:name="_Toc25839"/>
      <w:bookmarkStart w:id="126" w:name="_Toc479184125"/>
      <w:bookmarkStart w:id="127" w:name="_Toc15789"/>
      <w:r>
        <w:rPr>
          <w:rFonts w:hint="eastAsia" w:asciiTheme="minorEastAsia" w:hAnsiTheme="minorEastAsia" w:eastAsiaTheme="minorEastAsia" w:cstheme="minorEastAsia"/>
          <w:b/>
        </w:rPr>
        <w:t>二、磋商书</w:t>
      </w:r>
      <w:bookmarkEnd w:id="124"/>
      <w:bookmarkEnd w:id="125"/>
      <w:bookmarkEnd w:id="126"/>
      <w:bookmarkEnd w:id="127"/>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包服务的磋商邀请，我方代表（姓名、职务）经正式授权并代表供应商（供应商的名称、地址）提交下述文件正本一份，副本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 xml:space="preserve">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日历天。</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28" w:name="_Toc479184126"/>
      <w:bookmarkStart w:id="129" w:name="_Toc24205"/>
      <w:bookmarkStart w:id="130" w:name="_Toc26217"/>
      <w:bookmarkStart w:id="131" w:name="_Toc13969"/>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28"/>
      <w:bookmarkEnd w:id="129"/>
      <w:bookmarkEnd w:id="130"/>
      <w:bookmarkEnd w:id="131"/>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bookmarkStart w:id="132" w:name="_Toc432149008"/>
      <w:bookmarkStart w:id="133" w:name="_Toc12123"/>
      <w:bookmarkStart w:id="134" w:name="_Toc424832832"/>
      <w:bookmarkStart w:id="135" w:name="_Toc360120184"/>
      <w:bookmarkStart w:id="136" w:name="_Toc30245"/>
      <w:bookmarkStart w:id="137" w:name="_Toc29904"/>
      <w:bookmarkStart w:id="138" w:name="_Toc479184127"/>
      <w:bookmarkStart w:id="139" w:name="_Toc20364"/>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四、</w:t>
      </w:r>
      <w:r>
        <w:rPr>
          <w:rFonts w:hint="eastAsia" w:asciiTheme="minorEastAsia" w:hAnsiTheme="minorEastAsia" w:eastAsiaTheme="minorEastAsia" w:cstheme="minorEastAsia"/>
          <w:b/>
          <w:bCs/>
          <w:szCs w:val="21"/>
        </w:rPr>
        <w:t>法定代表人身</w:t>
      </w:r>
      <w:r>
        <w:rPr>
          <w:rFonts w:hint="eastAsia" w:asciiTheme="minorEastAsia" w:hAnsiTheme="minorEastAsia" w:eastAsiaTheme="minorEastAsia" w:cstheme="minorEastAsia"/>
          <w:b/>
          <w:bCs/>
          <w:color w:val="auto"/>
          <w:szCs w:val="21"/>
        </w:rPr>
        <w:t>份证明书</w:t>
      </w:r>
      <w:bookmarkEnd w:id="132"/>
      <w:bookmarkEnd w:id="133"/>
      <w:bookmarkEnd w:id="134"/>
      <w:bookmarkEnd w:id="135"/>
      <w:bookmarkEnd w:id="136"/>
      <w:bookmarkEnd w:id="137"/>
      <w:bookmarkEnd w:id="138"/>
      <w:bookmarkEnd w:id="139"/>
    </w:p>
    <w:p>
      <w:pPr>
        <w:spacing w:line="360" w:lineRule="auto"/>
        <w:rPr>
          <w:rFonts w:asciiTheme="minorEastAsia" w:hAnsiTheme="minorEastAsia" w:eastAsiaTheme="minorEastAsia" w:cstheme="minorEastAsia"/>
          <w:color w:val="auto"/>
          <w:kern w:val="0"/>
          <w:szCs w:val="21"/>
        </w:rPr>
      </w:pP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asciiTheme="minorEastAsia" w:hAnsiTheme="minorEastAsia" w:eastAsiaTheme="minorEastAsia" w:cstheme="minorEastAsia"/>
          <w:color w:val="auto"/>
          <w:kern w:val="0"/>
          <w:szCs w:val="21"/>
        </w:rPr>
      </w:pP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asciiTheme="minorEastAsia" w:hAnsiTheme="minorEastAsia" w:eastAsiaTheme="minorEastAsia" w:cstheme="minorEastAsia"/>
          <w:color w:val="auto"/>
          <w:kern w:val="0"/>
          <w:szCs w:val="21"/>
        </w:rPr>
      </w:pPr>
    </w:p>
    <w:p>
      <w:pPr>
        <w:autoSpaceDE w:val="0"/>
        <w:autoSpaceDN w:val="0"/>
        <w:adjustRightInd w:val="0"/>
        <w:spacing w:line="360" w:lineRule="auto"/>
        <w:rPr>
          <w:rFonts w:asciiTheme="minorEastAsia" w:hAnsiTheme="minorEastAsia" w:eastAsiaTheme="minorEastAsia" w:cstheme="minorEastAsia"/>
          <w:color w:val="auto"/>
          <w:kern w:val="0"/>
          <w:szCs w:val="21"/>
        </w:rPr>
      </w:pPr>
    </w:p>
    <w:p>
      <w:pPr>
        <w:autoSpaceDE w:val="0"/>
        <w:autoSpaceDN w:val="0"/>
        <w:adjustRightInd w:val="0"/>
        <w:spacing w:line="360" w:lineRule="auto"/>
        <w:rPr>
          <w:rFonts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color w:val="auto"/>
                <w:kern w:val="0"/>
                <w:szCs w:val="21"/>
              </w:rPr>
            </w:pPr>
          </w:p>
          <w:p>
            <w:pPr>
              <w:spacing w:line="360" w:lineRule="auto"/>
              <w:rPr>
                <w:rFonts w:asciiTheme="minorEastAsia" w:hAnsiTheme="minorEastAsia" w:eastAsiaTheme="minorEastAsia" w:cstheme="minorEastAsia"/>
                <w:color w:val="auto"/>
                <w:kern w:val="0"/>
                <w:szCs w:val="21"/>
              </w:rPr>
            </w:pPr>
            <w:r>
              <w:rPr>
                <w:rFonts w:hint="eastAsia"/>
                <w:color w:val="auto"/>
              </w:rPr>
              <w:t>粘贴法定代表人身份证正反面（真彩扫描件）：</w:t>
            </w:r>
          </w:p>
        </w:tc>
      </w:tr>
    </w:tbl>
    <w:p>
      <w:pPr>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color w:val="auto"/>
          <w:kern w:val="0"/>
          <w:szCs w:val="21"/>
        </w:rPr>
      </w:pP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bCs/>
          <w:color w:val="auto"/>
          <w:szCs w:val="21"/>
        </w:rPr>
      </w:pPr>
    </w:p>
    <w:p>
      <w:pPr>
        <w:tabs>
          <w:tab w:val="left" w:pos="3969"/>
        </w:tabs>
        <w:spacing w:line="500" w:lineRule="exact"/>
        <w:rPr>
          <w:rFonts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bookmarkStart w:id="140" w:name="_Toc432149006"/>
      <w:bookmarkStart w:id="141" w:name="_Toc422466732"/>
      <w:r>
        <w:rPr>
          <w:rFonts w:hint="eastAsia" w:asciiTheme="minorEastAsia" w:hAnsiTheme="minorEastAsia" w:eastAsiaTheme="minorEastAsia" w:cstheme="minorEastAsia"/>
          <w:b/>
          <w:bCs/>
          <w:color w:val="auto"/>
          <w:sz w:val="24"/>
        </w:rPr>
        <w:br w:type="page"/>
      </w:r>
      <w:bookmarkStart w:id="142" w:name="_Toc4301"/>
      <w:bookmarkStart w:id="143" w:name="_Toc4741"/>
      <w:bookmarkStart w:id="144" w:name="_Toc479184128"/>
      <w:bookmarkStart w:id="145" w:name="_Toc10276"/>
      <w:r>
        <w:rPr>
          <w:rFonts w:hint="eastAsia" w:asciiTheme="minorEastAsia" w:hAnsiTheme="minorEastAsia" w:eastAsiaTheme="minorEastAsia" w:cstheme="minorEastAsia"/>
          <w:b/>
          <w:bCs/>
          <w:color w:val="auto"/>
          <w:szCs w:val="21"/>
        </w:rPr>
        <w:t>五、报价一览表</w:t>
      </w:r>
      <w:bookmarkEnd w:id="140"/>
      <w:bookmarkEnd w:id="141"/>
      <w:bookmarkEnd w:id="142"/>
      <w:bookmarkEnd w:id="143"/>
      <w:bookmarkEnd w:id="144"/>
      <w:r>
        <w:rPr>
          <w:rFonts w:hint="eastAsia" w:asciiTheme="minorEastAsia" w:hAnsiTheme="minorEastAsia" w:eastAsiaTheme="minorEastAsia" w:cstheme="minorEastAsia"/>
          <w:b/>
          <w:bCs/>
          <w:color w:val="auto"/>
          <w:szCs w:val="21"/>
        </w:rPr>
        <w:t>（本项目不适用）</w:t>
      </w:r>
      <w:bookmarkEnd w:id="145"/>
    </w:p>
    <w:p>
      <w:pPr>
        <w:adjustRightInd w:val="0"/>
        <w:snapToGrid w:val="0"/>
        <w:ind w:left="-88" w:leftChars="-42"/>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宋体" w:hAnsi="宋体"/>
                <w:color w:val="auto"/>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移栽的树木是指树龄不超过50年和名贵树木。</w:t>
            </w:r>
          </w:p>
        </w:tc>
      </w:tr>
    </w:tbl>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（1）价格应按照“供应商须知” 的要求报价。</w:t>
      </w:r>
    </w:p>
    <w:p>
      <w:pPr>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（2）此表除保留在竞争性磋商响应文件中外，另复制一份与法定代表人授权书（原件）、保证金缴纳证明（如有）（复印件）一起另外密封装在一个小信封中，作为磋商记录之用。</w:t>
      </w: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磋商供应商法定代表人（签字）：</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磋商供应商名称（盖章）：</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color w:val="auto"/>
          <w:szCs w:val="21"/>
          <w:u w:val="single"/>
        </w:rPr>
      </w:pPr>
      <w:bookmarkStart w:id="146" w:name="_Toc259028723"/>
      <w:bookmarkStart w:id="147" w:name="_Toc460258117"/>
      <w:bookmarkStart w:id="148" w:name="_Toc432149007"/>
      <w:bookmarkStart w:id="149" w:name="_Toc424832831"/>
      <w:r>
        <w:rPr>
          <w:rFonts w:hint="eastAsia" w:asciiTheme="minorEastAsia" w:hAnsiTheme="minorEastAsia" w:eastAsiaTheme="minorEastAsia" w:cstheme="minorEastAsia"/>
          <w:b/>
          <w:bCs/>
          <w:color w:val="auto"/>
          <w:sz w:val="24"/>
        </w:rPr>
        <w:br w:type="page"/>
      </w:r>
      <w:bookmarkStart w:id="150" w:name="_Toc1079"/>
      <w:bookmarkStart w:id="151" w:name="_Toc479184129"/>
      <w:bookmarkStart w:id="152" w:name="_Toc18559"/>
      <w:bookmarkStart w:id="153" w:name="_Toc3143"/>
      <w:r>
        <w:rPr>
          <w:rFonts w:hint="eastAsia" w:asciiTheme="minorEastAsia" w:hAnsiTheme="minorEastAsia" w:eastAsiaTheme="minorEastAsia" w:cstheme="minorEastAsia"/>
          <w:b/>
          <w:bCs/>
          <w:color w:val="auto"/>
          <w:szCs w:val="21"/>
        </w:rPr>
        <w:t>六、</w:t>
      </w:r>
      <w:bookmarkEnd w:id="146"/>
      <w:bookmarkEnd w:id="147"/>
      <w:bookmarkEnd w:id="150"/>
      <w:bookmarkEnd w:id="151"/>
      <w:bookmarkEnd w:id="152"/>
      <w:r>
        <w:rPr>
          <w:rFonts w:hint="eastAsia" w:asciiTheme="minorEastAsia" w:hAnsiTheme="minorEastAsia" w:eastAsiaTheme="minorEastAsia" w:cstheme="minorEastAsia"/>
          <w:b/>
          <w:bCs/>
          <w:color w:val="auto"/>
          <w:szCs w:val="21"/>
        </w:rPr>
        <w:t>报价费用构成表（本项目不适用）</w:t>
      </w:r>
      <w:bookmarkEnd w:id="153"/>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9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11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124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110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w:t>
      </w:r>
      <w:r>
        <w:rPr>
          <w:rFonts w:hint="eastAsia" w:asciiTheme="minorEastAsia" w:hAnsiTheme="minorEastAsia" w:cstheme="minorEastAsia"/>
          <w:szCs w:val="21"/>
        </w:rPr>
        <w:t>且需</w:t>
      </w:r>
      <w:r>
        <w:rPr>
          <w:rFonts w:hint="eastAsia" w:asciiTheme="minorEastAsia" w:hAnsiTheme="minorEastAsia" w:eastAsiaTheme="minorEastAsia" w:cstheme="minorEastAsia"/>
          <w:szCs w:val="21"/>
        </w:rPr>
        <w:t>精确到小数点后两位。</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4" w:name="_Toc28656"/>
      <w:bookmarkStart w:id="155" w:name="_Toc479184130"/>
      <w:bookmarkStart w:id="156" w:name="_Toc26825"/>
      <w:bookmarkStart w:id="157" w:name="_Toc22606"/>
      <w:r>
        <w:rPr>
          <w:rFonts w:hint="eastAsia" w:asciiTheme="minorEastAsia" w:hAnsiTheme="minorEastAsia" w:eastAsiaTheme="minorEastAsia" w:cstheme="minorEastAsia"/>
          <w:b/>
          <w:bCs/>
          <w:szCs w:val="21"/>
        </w:rPr>
        <w:t>七、耗材清单</w:t>
      </w:r>
      <w:bookmarkEnd w:id="154"/>
      <w:bookmarkEnd w:id="155"/>
      <w:bookmarkEnd w:id="156"/>
      <w:r>
        <w:rPr>
          <w:rFonts w:hint="eastAsia" w:asciiTheme="minorEastAsia" w:hAnsiTheme="minorEastAsia" w:eastAsiaTheme="minorEastAsia" w:cstheme="minorEastAsia"/>
          <w:b/>
          <w:bCs/>
          <w:szCs w:val="21"/>
        </w:rPr>
        <w:t>（如有）</w:t>
      </w:r>
      <w:bookmarkEnd w:id="157"/>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8" w:name="_Toc32726"/>
      <w:bookmarkStart w:id="159" w:name="_Toc7535"/>
      <w:bookmarkStart w:id="160" w:name="_Toc479184131"/>
      <w:bookmarkStart w:id="161" w:name="_Toc1113"/>
      <w:r>
        <w:rPr>
          <w:rFonts w:hint="eastAsia" w:asciiTheme="minorEastAsia" w:hAnsiTheme="minorEastAsia" w:eastAsiaTheme="minorEastAsia" w:cstheme="minorEastAsia"/>
          <w:b/>
          <w:bCs/>
          <w:szCs w:val="21"/>
        </w:rPr>
        <w:t>八、拟投入设备/备件、工具情况</w:t>
      </w:r>
      <w:bookmarkEnd w:id="158"/>
      <w:bookmarkEnd w:id="159"/>
      <w:bookmarkEnd w:id="160"/>
      <w:r>
        <w:rPr>
          <w:rFonts w:hint="eastAsia" w:asciiTheme="minorEastAsia" w:hAnsiTheme="minorEastAsia" w:eastAsiaTheme="minorEastAsia" w:cstheme="minorEastAsia"/>
          <w:b/>
          <w:bCs/>
          <w:szCs w:val="21"/>
        </w:rPr>
        <w:t>（如有）</w:t>
      </w:r>
      <w:bookmarkEnd w:id="161"/>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2" w:name="_Toc450827818"/>
      <w:bookmarkStart w:id="163" w:name="_Toc479184132"/>
      <w:bookmarkStart w:id="164" w:name="_Toc27053"/>
      <w:bookmarkStart w:id="165" w:name="_Toc10449"/>
      <w:bookmarkStart w:id="166" w:name="_Toc9092"/>
      <w:r>
        <w:rPr>
          <w:rFonts w:hint="eastAsia" w:asciiTheme="minorEastAsia" w:hAnsiTheme="minorEastAsia" w:eastAsiaTheme="minorEastAsia" w:cstheme="minorEastAsia"/>
          <w:b/>
          <w:bCs/>
          <w:szCs w:val="21"/>
        </w:rPr>
        <w:t>九、缴纳保证金的银行凭证</w:t>
      </w:r>
      <w:bookmarkEnd w:id="162"/>
      <w:bookmarkEnd w:id="163"/>
      <w:bookmarkEnd w:id="164"/>
      <w:bookmarkEnd w:id="165"/>
      <w:r>
        <w:rPr>
          <w:rFonts w:hint="eastAsia" w:asciiTheme="minorEastAsia" w:hAnsiTheme="minorEastAsia" w:eastAsiaTheme="minorEastAsia" w:cstheme="minorEastAsia"/>
          <w:b/>
          <w:bCs/>
          <w:szCs w:val="21"/>
        </w:rPr>
        <w:t>（如有）</w:t>
      </w:r>
      <w:bookmarkEnd w:id="166"/>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48"/>
    <w:bookmarkEnd w:id="149"/>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7" w:name="_Toc479184133"/>
      <w:bookmarkStart w:id="168" w:name="_Toc432149012"/>
      <w:bookmarkStart w:id="169" w:name="_Toc28200"/>
      <w:bookmarkStart w:id="170" w:name="_Toc1591"/>
      <w:bookmarkStart w:id="171" w:name="_Toc422466736"/>
      <w:bookmarkStart w:id="172" w:name="_Toc8461"/>
      <w:r>
        <w:rPr>
          <w:rFonts w:hint="eastAsia" w:asciiTheme="minorEastAsia" w:hAnsiTheme="minorEastAsia" w:eastAsiaTheme="minorEastAsia" w:cstheme="minorEastAsia"/>
          <w:b/>
          <w:bCs/>
          <w:szCs w:val="21"/>
        </w:rPr>
        <w:t>十、偏离说明表</w:t>
      </w:r>
      <w:bookmarkEnd w:id="167"/>
      <w:bookmarkEnd w:id="168"/>
      <w:bookmarkEnd w:id="169"/>
      <w:bookmarkEnd w:id="170"/>
      <w:bookmarkEnd w:id="171"/>
      <w:bookmarkEnd w:id="172"/>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3"/>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3" w:name="_Toc28283"/>
      <w:bookmarkStart w:id="174" w:name="_Toc432149013"/>
      <w:bookmarkStart w:id="175" w:name="_Toc479184134"/>
      <w:bookmarkStart w:id="176" w:name="_Toc362935521"/>
      <w:bookmarkStart w:id="177" w:name="_Toc32060"/>
      <w:bookmarkStart w:id="178" w:name="_Toc2179"/>
      <w:r>
        <w:rPr>
          <w:rFonts w:hint="eastAsia" w:asciiTheme="minorEastAsia" w:hAnsiTheme="minorEastAsia" w:eastAsiaTheme="minorEastAsia" w:cstheme="minorEastAsia"/>
          <w:b/>
          <w:kern w:val="0"/>
          <w:szCs w:val="21"/>
        </w:rPr>
        <w:t>十一、</w:t>
      </w:r>
      <w:r>
        <w:rPr>
          <w:rFonts w:hint="eastAsia" w:asciiTheme="minorEastAsia" w:hAnsiTheme="minorEastAsia" w:eastAsiaTheme="minorEastAsia" w:cstheme="minorEastAsia"/>
          <w:b/>
          <w:bCs/>
          <w:szCs w:val="21"/>
        </w:rPr>
        <w:t>类似业绩一览表</w:t>
      </w:r>
      <w:bookmarkEnd w:id="173"/>
      <w:bookmarkEnd w:id="174"/>
      <w:bookmarkEnd w:id="175"/>
      <w:bookmarkEnd w:id="176"/>
      <w:bookmarkEnd w:id="177"/>
      <w:r>
        <w:rPr>
          <w:rFonts w:hint="eastAsia" w:asciiTheme="minorEastAsia" w:hAnsiTheme="minorEastAsia" w:eastAsiaTheme="minorEastAsia" w:cstheme="minorEastAsia"/>
          <w:b/>
          <w:bCs/>
          <w:szCs w:val="21"/>
        </w:rPr>
        <w:br w:type="textWrapping"/>
      </w:r>
      <w:bookmarkEnd w:id="178"/>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42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82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34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64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79" w:name="_Toc460258118"/>
      <w:bookmarkStart w:id="180"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1" w:name="_Toc4834"/>
      <w:bookmarkStart w:id="182" w:name="_Toc479184135"/>
      <w:bookmarkStart w:id="183" w:name="_Toc30455"/>
      <w:bookmarkStart w:id="184" w:name="_Toc7775"/>
      <w:r>
        <w:rPr>
          <w:rFonts w:hint="eastAsia" w:asciiTheme="minorEastAsia" w:hAnsiTheme="minorEastAsia" w:eastAsiaTheme="minorEastAsia" w:cstheme="minorEastAsia"/>
          <w:b/>
          <w:bCs/>
          <w:szCs w:val="21"/>
        </w:rPr>
        <w:t>十二、拟投入项目组人员一览表</w:t>
      </w:r>
      <w:bookmarkEnd w:id="179"/>
      <w:bookmarkEnd w:id="180"/>
      <w:bookmarkEnd w:id="181"/>
      <w:bookmarkEnd w:id="182"/>
      <w:bookmarkEnd w:id="183"/>
      <w:bookmarkEnd w:id="184"/>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5" w:name="_Toc29374"/>
      <w:bookmarkStart w:id="186" w:name="_Toc26838"/>
      <w:bookmarkStart w:id="187" w:name="_Toc432149014"/>
      <w:bookmarkStart w:id="188" w:name="_Toc479184136"/>
      <w:bookmarkStart w:id="189" w:name="_Toc422466737"/>
      <w:bookmarkStart w:id="190" w:name="_Toc10429"/>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供应商的资格声明</w:t>
      </w:r>
      <w:bookmarkEnd w:id="185"/>
      <w:bookmarkEnd w:id="186"/>
      <w:bookmarkEnd w:id="187"/>
      <w:bookmarkEnd w:id="188"/>
      <w:bookmarkEnd w:id="189"/>
      <w:bookmarkEnd w:id="190"/>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1" w:name="_Toc951"/>
      <w:bookmarkStart w:id="192" w:name="_Toc450827823"/>
      <w:bookmarkStart w:id="193" w:name="_Toc17331"/>
      <w:bookmarkStart w:id="194" w:name="_Toc17527"/>
      <w:bookmarkStart w:id="195" w:name="_Toc259028731"/>
      <w:bookmarkStart w:id="196" w:name="_Toc479184137"/>
      <w:r>
        <w:rPr>
          <w:rFonts w:hint="eastAsia" w:asciiTheme="minorEastAsia" w:hAnsiTheme="minorEastAsia" w:eastAsiaTheme="minorEastAsia" w:cstheme="minorEastAsia"/>
          <w:b/>
          <w:bCs/>
          <w:kern w:val="0"/>
          <w:szCs w:val="21"/>
        </w:rPr>
        <w:t>十四、</w:t>
      </w:r>
      <w:r>
        <w:rPr>
          <w:rFonts w:hint="eastAsia" w:asciiTheme="minorEastAsia" w:hAnsiTheme="minorEastAsia" w:eastAsiaTheme="minorEastAsia" w:cstheme="minorEastAsia"/>
          <w:b/>
          <w:bCs/>
          <w:szCs w:val="21"/>
        </w:rPr>
        <w:t>资格证明文件</w:t>
      </w:r>
      <w:bookmarkEnd w:id="191"/>
      <w:bookmarkEnd w:id="192"/>
      <w:bookmarkEnd w:id="193"/>
      <w:bookmarkEnd w:id="194"/>
      <w:bookmarkEnd w:id="195"/>
      <w:bookmarkEnd w:id="196"/>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7" w:name="_Toc18555"/>
      <w:bookmarkStart w:id="198" w:name="_Toc5793"/>
      <w:bookmarkStart w:id="199" w:name="_Toc364868916"/>
      <w:bookmarkStart w:id="200" w:name="_Toc427239751"/>
      <w:bookmarkStart w:id="201" w:name="_Toc290207179"/>
      <w:bookmarkStart w:id="202" w:name="_Toc358447587"/>
      <w:bookmarkStart w:id="203" w:name="_Toc32187"/>
      <w:r>
        <w:rPr>
          <w:rFonts w:hint="eastAsia" w:asciiTheme="minorEastAsia" w:hAnsiTheme="minorEastAsia" w:eastAsiaTheme="minorEastAsia" w:cstheme="minorEastAsia"/>
          <w:b/>
          <w:bCs/>
          <w:kern w:val="0"/>
          <w:szCs w:val="21"/>
        </w:rPr>
        <w:t>十五、</w:t>
      </w:r>
      <w:bookmarkEnd w:id="197"/>
      <w:bookmarkEnd w:id="198"/>
      <w:bookmarkEnd w:id="199"/>
      <w:bookmarkEnd w:id="200"/>
      <w:bookmarkEnd w:id="201"/>
      <w:bookmarkEnd w:id="202"/>
      <w:bookmarkEnd w:id="203"/>
      <w:bookmarkStart w:id="204" w:name="_Toc479184138"/>
      <w:bookmarkStart w:id="205" w:name="_Toc29785"/>
      <w:bookmarkStart w:id="206" w:name="_Toc460258123"/>
      <w:bookmarkStart w:id="207" w:name="_Toc27229"/>
      <w:r>
        <w:rPr>
          <w:rFonts w:hint="eastAsia" w:asciiTheme="minorEastAsia" w:hAnsiTheme="minorEastAsia" w:eastAsiaTheme="minorEastAsia" w:cstheme="minorEastAsia"/>
          <w:b/>
        </w:rPr>
        <w:t>报价技术文件</w:t>
      </w:r>
      <w:bookmarkEnd w:id="204"/>
      <w:bookmarkEnd w:id="205"/>
      <w:bookmarkEnd w:id="206"/>
      <w:bookmarkEnd w:id="207"/>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08" w:name="_Toc356836516"/>
      <w:bookmarkStart w:id="209" w:name="_Toc2101"/>
      <w:bookmarkStart w:id="210" w:name="_Toc432149016"/>
      <w:bookmarkStart w:id="211" w:name="_Toc12119"/>
      <w:bookmarkStart w:id="212" w:name="_Toc479184140"/>
      <w:bookmarkStart w:id="213" w:name="_Toc355802499"/>
      <w:bookmarkStart w:id="214" w:name="_Toc422466739"/>
      <w:bookmarkStart w:id="215" w:name="_Toc8098"/>
      <w:bookmarkStart w:id="216" w:name="_Toc22465"/>
      <w:bookmarkStart w:id="217" w:name="_Toc30393"/>
      <w:r>
        <w:rPr>
          <w:rFonts w:hint="eastAsia" w:asciiTheme="minorEastAsia" w:hAnsiTheme="minorEastAsia" w:eastAsiaTheme="minorEastAsia" w:cstheme="minorEastAsia"/>
          <w:b/>
        </w:rPr>
        <w:t>十六、中小企业声明函</w:t>
      </w:r>
      <w:bookmarkEnd w:id="208"/>
      <w:bookmarkEnd w:id="209"/>
      <w:bookmarkEnd w:id="210"/>
      <w:bookmarkEnd w:id="211"/>
      <w:bookmarkEnd w:id="212"/>
      <w:bookmarkEnd w:id="213"/>
      <w:bookmarkEnd w:id="214"/>
      <w:bookmarkEnd w:id="215"/>
      <w:bookmarkEnd w:id="216"/>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7"/>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18" w:name="OLE_LINK5"/>
      <w:r>
        <w:rPr>
          <w:rFonts w:hint="eastAsia" w:asciiTheme="minorEastAsia" w:hAnsiTheme="minorEastAsia" w:eastAsiaTheme="minorEastAsia" w:cstheme="minorEastAsia"/>
          <w:spacing w:val="6"/>
          <w:szCs w:val="21"/>
        </w:rPr>
        <w:t>______（请填写：中型、小型、微型）企业</w:t>
      </w:r>
      <w:bookmarkEnd w:id="218"/>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5"/>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5"/>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19"/>
    <w:bookmarkEnd w:id="120"/>
    <w:bookmarkEnd w:id="121"/>
    <w:bookmarkEnd w:id="122"/>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19" w:name="_Toc31580"/>
      <w:bookmarkStart w:id="220" w:name="_Toc476839034"/>
      <w:bookmarkStart w:id="221" w:name="_Toc479184141"/>
      <w:bookmarkStart w:id="222" w:name="_Toc4320"/>
      <w:bookmarkStart w:id="223" w:name="_Toc7229"/>
      <w:bookmarkStart w:id="224" w:name="_Toc30406"/>
      <w:r>
        <w:rPr>
          <w:rFonts w:hint="eastAsia" w:asciiTheme="minorEastAsia" w:hAnsiTheme="minorEastAsia" w:eastAsiaTheme="minorEastAsia" w:cstheme="minorEastAsia"/>
          <w:b/>
          <w:bCs/>
          <w:spacing w:val="6"/>
          <w:szCs w:val="21"/>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9"/>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25" w:name="_Toc9771"/>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十八、</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5"/>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26" w:name="_Toc18060"/>
      <w:r>
        <w:rPr>
          <w:rFonts w:hint="eastAsia" w:asciiTheme="minorEastAsia" w:hAnsiTheme="minorEastAsia" w:eastAsiaTheme="minorEastAsia" w:cstheme="minorEastAsia"/>
          <w:b/>
        </w:rPr>
        <w:t>十九、节能环保产品证明材料（若符合）</w:t>
      </w:r>
      <w:bookmarkEnd w:id="226"/>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27" w:name="_Toc25134"/>
      <w:r>
        <w:rPr>
          <w:rFonts w:hint="eastAsia" w:asciiTheme="minorEastAsia" w:hAnsiTheme="minorEastAsia" w:eastAsiaTheme="minorEastAsia" w:cstheme="minorEastAsia"/>
          <w:b/>
          <w:bCs/>
          <w:spacing w:val="6"/>
          <w:szCs w:val="21"/>
        </w:rPr>
        <w:t>二十、</w:t>
      </w:r>
      <w:r>
        <w:rPr>
          <w:rFonts w:hint="eastAsia" w:asciiTheme="minorEastAsia" w:hAnsiTheme="minorEastAsia" w:eastAsiaTheme="minorEastAsia" w:cstheme="minorEastAsia"/>
          <w:b/>
        </w:rPr>
        <w:t>无重大违法记录声明</w:t>
      </w:r>
      <w:bookmarkEnd w:id="220"/>
      <w:bookmarkEnd w:id="221"/>
      <w:bookmarkEnd w:id="222"/>
      <w:bookmarkEnd w:id="223"/>
      <w:bookmarkEnd w:id="224"/>
      <w:bookmarkEnd w:id="227"/>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ind w:firstLine="420" w:firstLineChars="200"/>
        <w:jc w:val="left"/>
        <w:outlineLvl w:val="1"/>
        <w:rPr>
          <w:rFonts w:hint="eastAsia" w:asciiTheme="minorEastAsia" w:hAnsiTheme="minorEastAsia" w:eastAsiaTheme="minorEastAsia" w:cstheme="minorEastAsia"/>
          <w:b/>
          <w:bCs/>
          <w:spacing w:val="6"/>
          <w:szCs w:val="21"/>
          <w:lang w:val="en-US" w:eastAsia="zh-CN"/>
        </w:rPr>
      </w:pPr>
      <w:bookmarkStart w:id="228" w:name="_Toc5812"/>
      <w:bookmarkStart w:id="229" w:name="_Toc1040"/>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spacing w:val="6"/>
          <w:szCs w:val="21"/>
        </w:rPr>
        <w:t>二十一、磋商供应商认为应该提交的其它文件（格式自拟）</w:t>
      </w:r>
      <w:bookmarkEnd w:id="228"/>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br w:type="textWrapping"/>
      </w:r>
      <w:bookmarkEnd w:id="229"/>
      <w:bookmarkStart w:id="230" w:name="_Toc25351"/>
      <w:r>
        <w:rPr>
          <w:rFonts w:hint="eastAsia" w:asciiTheme="minorEastAsia" w:hAnsiTheme="minorEastAsia" w:eastAsiaTheme="minorEastAsia" w:cstheme="minorEastAsia"/>
          <w:b/>
          <w:bCs/>
          <w:spacing w:val="6"/>
          <w:szCs w:val="21"/>
          <w:lang w:val="en-US" w:eastAsia="zh-CN"/>
        </w:rPr>
        <w:t>附件一：</w:t>
      </w:r>
      <w:bookmarkEnd w:id="230"/>
    </w:p>
    <w:tbl>
      <w:tblPr>
        <w:tblStyle w:val="27"/>
        <w:tblW w:w="5284"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5"/>
        <w:gridCol w:w="2761"/>
        <w:gridCol w:w="758"/>
        <w:gridCol w:w="821"/>
        <w:gridCol w:w="1039"/>
        <w:gridCol w:w="732"/>
        <w:gridCol w:w="32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247" w:type="pct"/>
            <w:tcBorders>
              <w:bottom w:val="single" w:color="auto" w:sz="4" w:space="0"/>
            </w:tcBorders>
            <w:vAlign w:val="center"/>
          </w:tcPr>
          <w:p>
            <w:pPr>
              <w:jc w:val="center"/>
              <w:rPr>
                <w:rFonts w:ascii="宋体" w:hAnsi="宋体" w:eastAsia="宋体" w:cstheme="minorBidi"/>
                <w:b/>
                <w:sz w:val="18"/>
                <w:szCs w:val="18"/>
              </w:rPr>
            </w:pPr>
            <w:r>
              <w:rPr>
                <w:rFonts w:ascii="宋体" w:hAnsi="宋体" w:eastAsia="宋体" w:cstheme="minorBidi"/>
                <w:b/>
                <w:sz w:val="18"/>
                <w:szCs w:val="18"/>
              </w:rPr>
              <w:t>序号</w:t>
            </w:r>
          </w:p>
        </w:tc>
        <w:tc>
          <w:tcPr>
            <w:tcW w:w="1405" w:type="pct"/>
            <w:tcBorders>
              <w:bottom w:val="single" w:color="auto" w:sz="4" w:space="0"/>
            </w:tcBorders>
            <w:vAlign w:val="center"/>
          </w:tcPr>
          <w:p>
            <w:pPr>
              <w:jc w:val="center"/>
              <w:rPr>
                <w:rFonts w:ascii="宋体" w:hAnsi="宋体" w:eastAsia="宋体" w:cstheme="minorBidi"/>
                <w:b/>
                <w:sz w:val="18"/>
                <w:szCs w:val="18"/>
              </w:rPr>
            </w:pPr>
            <w:r>
              <w:rPr>
                <w:rFonts w:ascii="宋体" w:hAnsi="宋体" w:eastAsia="宋体" w:cstheme="minorBidi"/>
                <w:b/>
                <w:sz w:val="18"/>
                <w:szCs w:val="18"/>
              </w:rPr>
              <w:t>施工内容</w:t>
            </w:r>
          </w:p>
        </w:tc>
        <w:tc>
          <w:tcPr>
            <w:tcW w:w="386" w:type="pct"/>
            <w:tcBorders>
              <w:bottom w:val="single" w:color="auto" w:sz="4" w:space="0"/>
            </w:tcBorders>
            <w:vAlign w:val="center"/>
          </w:tcPr>
          <w:p>
            <w:pPr>
              <w:jc w:val="center"/>
              <w:rPr>
                <w:rFonts w:ascii="宋体" w:hAnsi="宋体" w:eastAsia="宋体" w:cstheme="minorBidi"/>
                <w:b/>
                <w:sz w:val="18"/>
                <w:szCs w:val="18"/>
              </w:rPr>
            </w:pPr>
            <w:r>
              <w:rPr>
                <w:rFonts w:ascii="宋体" w:hAnsi="宋体" w:eastAsia="宋体" w:cstheme="minorBidi"/>
                <w:b/>
                <w:sz w:val="18"/>
                <w:szCs w:val="18"/>
              </w:rPr>
              <w:t>单位（棵）</w:t>
            </w:r>
          </w:p>
        </w:tc>
        <w:tc>
          <w:tcPr>
            <w:tcW w:w="418" w:type="pct"/>
            <w:tcBorders>
              <w:bottom w:val="single" w:color="auto" w:sz="4" w:space="0"/>
            </w:tcBorders>
            <w:vAlign w:val="center"/>
          </w:tcPr>
          <w:p>
            <w:pPr>
              <w:jc w:val="center"/>
              <w:rPr>
                <w:rFonts w:ascii="宋体" w:hAnsi="宋体" w:eastAsia="宋体" w:cstheme="minorBidi"/>
                <w:b/>
                <w:sz w:val="18"/>
                <w:szCs w:val="18"/>
              </w:rPr>
            </w:pPr>
            <w:r>
              <w:rPr>
                <w:rFonts w:ascii="宋体" w:hAnsi="宋体" w:eastAsia="宋体" w:cstheme="minorBidi"/>
                <w:b/>
                <w:sz w:val="18"/>
                <w:szCs w:val="18"/>
              </w:rPr>
              <w:t>胸径（</w:t>
            </w:r>
            <w:r>
              <w:rPr>
                <w:rFonts w:hint="eastAsia" w:ascii="宋体" w:hAnsi="宋体" w:eastAsia="宋体" w:cstheme="minorBidi"/>
                <w:b/>
                <w:sz w:val="18"/>
                <w:szCs w:val="18"/>
              </w:rPr>
              <w:t>cm</w:t>
            </w:r>
            <w:r>
              <w:rPr>
                <w:rFonts w:ascii="宋体" w:hAnsi="宋体" w:eastAsia="宋体" w:cstheme="minorBidi"/>
                <w:b/>
                <w:sz w:val="18"/>
                <w:szCs w:val="18"/>
              </w:rPr>
              <w:t>）</w:t>
            </w:r>
          </w:p>
        </w:tc>
        <w:tc>
          <w:tcPr>
            <w:tcW w:w="529" w:type="pct"/>
            <w:tcBorders>
              <w:bottom w:val="single" w:color="auto" w:sz="4" w:space="0"/>
            </w:tcBorders>
            <w:vAlign w:val="center"/>
          </w:tcPr>
          <w:p>
            <w:pPr>
              <w:jc w:val="center"/>
              <w:rPr>
                <w:rFonts w:ascii="宋体" w:hAnsi="宋体" w:eastAsia="宋体" w:cstheme="minorBidi"/>
                <w:b/>
                <w:sz w:val="18"/>
                <w:szCs w:val="18"/>
              </w:rPr>
            </w:pPr>
            <w:r>
              <w:rPr>
                <w:rFonts w:ascii="宋体" w:hAnsi="宋体" w:eastAsia="宋体" w:cstheme="minorBidi"/>
                <w:b/>
                <w:sz w:val="18"/>
                <w:szCs w:val="18"/>
              </w:rPr>
              <w:t>全费用综合单价</w:t>
            </w:r>
          </w:p>
          <w:p>
            <w:pPr>
              <w:jc w:val="center"/>
              <w:rPr>
                <w:rFonts w:ascii="宋体" w:hAnsi="宋体" w:eastAsia="宋体" w:cstheme="minorBidi"/>
                <w:b/>
                <w:sz w:val="18"/>
                <w:szCs w:val="18"/>
              </w:rPr>
            </w:pPr>
            <w:r>
              <w:rPr>
                <w:rFonts w:ascii="宋体" w:hAnsi="宋体" w:eastAsia="宋体" w:cstheme="minorBidi"/>
                <w:b/>
                <w:sz w:val="18"/>
                <w:szCs w:val="18"/>
              </w:rPr>
              <w:t>（元</w:t>
            </w:r>
            <w:r>
              <w:rPr>
                <w:rFonts w:hint="eastAsia" w:ascii="宋体" w:hAnsi="宋体" w:cstheme="minorBidi"/>
                <w:b/>
                <w:sz w:val="18"/>
                <w:szCs w:val="18"/>
                <w:lang w:val="en-US" w:eastAsia="zh-CN"/>
              </w:rPr>
              <w:t>/棵</w:t>
            </w:r>
            <w:r>
              <w:rPr>
                <w:rFonts w:ascii="宋体" w:hAnsi="宋体" w:eastAsia="宋体" w:cstheme="minorBidi"/>
                <w:b/>
                <w:sz w:val="18"/>
                <w:szCs w:val="18"/>
              </w:rPr>
              <w:t>）</w:t>
            </w:r>
          </w:p>
        </w:tc>
        <w:tc>
          <w:tcPr>
            <w:tcW w:w="373" w:type="pct"/>
            <w:tcBorders>
              <w:bottom w:val="single" w:color="auto" w:sz="4" w:space="0"/>
            </w:tcBorders>
            <w:vAlign w:val="center"/>
          </w:tcPr>
          <w:p>
            <w:pPr>
              <w:jc w:val="center"/>
              <w:rPr>
                <w:rFonts w:ascii="宋体" w:hAnsi="宋体" w:eastAsia="宋体" w:cstheme="minorBidi"/>
                <w:b/>
                <w:sz w:val="18"/>
                <w:szCs w:val="18"/>
              </w:rPr>
            </w:pPr>
            <w:r>
              <w:rPr>
                <w:rFonts w:ascii="宋体" w:hAnsi="宋体" w:eastAsia="宋体" w:cstheme="minorBidi"/>
                <w:b/>
                <w:sz w:val="18"/>
                <w:szCs w:val="18"/>
              </w:rPr>
              <w:t>评分分值（分）</w:t>
            </w:r>
          </w:p>
        </w:tc>
        <w:tc>
          <w:tcPr>
            <w:tcW w:w="1638" w:type="pct"/>
            <w:tcBorders>
              <w:bottom w:val="single" w:color="auto" w:sz="4" w:space="0"/>
            </w:tcBorders>
            <w:vAlign w:val="center"/>
          </w:tcPr>
          <w:p>
            <w:pPr>
              <w:jc w:val="center"/>
              <w:rPr>
                <w:rFonts w:ascii="宋体" w:hAnsi="宋体" w:eastAsia="宋体" w:cstheme="minorBidi"/>
                <w:b/>
                <w:sz w:val="18"/>
                <w:szCs w:val="18"/>
              </w:rPr>
            </w:pPr>
            <w:r>
              <w:rPr>
                <w:rFonts w:ascii="宋体" w:hAnsi="宋体" w:eastAsia="宋体" w:cstheme="minorBidi"/>
                <w:b/>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1.1</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校园内指定范围</w:t>
            </w:r>
            <w:r>
              <w:rPr>
                <w:rFonts w:hint="eastAsia" w:ascii="宋体" w:hAnsi="宋体" w:eastAsia="宋体" w:cstheme="minorBidi"/>
                <w:sz w:val="18"/>
                <w:szCs w:val="18"/>
              </w:rPr>
              <w:t>以内樟树、法国梧桐树等侧枝多的树干6米高拦头；工完场清，垃圾运至校外政府允许倾倒处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tcBorders>
            <w:vAlign w:val="center"/>
          </w:tcPr>
          <w:p>
            <w:pPr>
              <w:jc w:val="center"/>
              <w:rPr>
                <w:rFonts w:ascii="宋体" w:hAnsi="宋体" w:eastAsia="宋体" w:cstheme="minorBidi"/>
                <w:color w:val="505050"/>
                <w:sz w:val="18"/>
                <w:szCs w:val="18"/>
              </w:rPr>
            </w:pPr>
            <w:r>
              <w:rPr>
                <w:rFonts w:hint="eastAsia" w:ascii="宋体" w:hAnsi="宋体" w:eastAsia="宋体" w:cstheme="minorBidi"/>
                <w:color w:val="505050"/>
                <w:sz w:val="18"/>
                <w:szCs w:val="18"/>
              </w:rPr>
              <w:t>2</w:t>
            </w:r>
          </w:p>
        </w:tc>
        <w:tc>
          <w:tcPr>
            <w:tcW w:w="1638"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color w:val="505050"/>
                <w:sz w:val="18"/>
                <w:szCs w:val="18"/>
              </w:rPr>
              <w:t>依据城市绿化条例和养护标准，做到剪锯口，应用刀削平，涂抹防腐剂促进伤口愈合等。养护（</w:t>
            </w:r>
            <w:r>
              <w:rPr>
                <w:rFonts w:hint="eastAsia" w:ascii="宋体" w:hAnsi="宋体" w:eastAsia="宋体" w:cstheme="minorBidi"/>
                <w:color w:val="505050"/>
                <w:sz w:val="18"/>
                <w:szCs w:val="18"/>
              </w:rPr>
              <w:t>质保</w:t>
            </w:r>
            <w:r>
              <w:rPr>
                <w:rFonts w:ascii="宋体" w:hAnsi="宋体" w:eastAsia="宋体" w:cstheme="minorBidi"/>
                <w:color w:val="505050"/>
                <w:sz w:val="18"/>
                <w:szCs w:val="18"/>
              </w:rPr>
              <w:t>）期贰年。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 w:hRule="atLeast"/>
        </w:trPr>
        <w:tc>
          <w:tcPr>
            <w:tcW w:w="247" w:type="pct"/>
            <w:vMerge w:val="continue"/>
            <w:tcBorders>
              <w:bottom w:val="single" w:color="auto" w:sz="4" w:space="0"/>
            </w:tcBorders>
            <w:vAlign w:val="center"/>
          </w:tcPr>
          <w:p>
            <w:pPr>
              <w:jc w:val="center"/>
              <w:rPr>
                <w:rFonts w:ascii="宋体" w:hAnsi="宋体" w:eastAsia="宋体" w:cstheme="minorBidi"/>
                <w:sz w:val="18"/>
                <w:szCs w:val="18"/>
              </w:rPr>
            </w:pPr>
          </w:p>
        </w:tc>
        <w:tc>
          <w:tcPr>
            <w:tcW w:w="1405" w:type="pct"/>
            <w:vMerge w:val="continue"/>
            <w:tcBorders>
              <w:bottom w:val="single" w:color="auto" w:sz="4" w:space="0"/>
            </w:tcBorders>
            <w:vAlign w:val="center"/>
          </w:tcPr>
          <w:p>
            <w:pPr>
              <w:jc w:val="center"/>
              <w:rPr>
                <w:rFonts w:ascii="宋体" w:hAnsi="宋体" w:eastAsia="宋体" w:cstheme="minorBidi"/>
                <w:sz w:val="18"/>
                <w:szCs w:val="18"/>
              </w:rPr>
            </w:pPr>
          </w:p>
        </w:tc>
        <w:tc>
          <w:tcPr>
            <w:tcW w:w="386" w:type="pct"/>
            <w:vMerge w:val="continue"/>
            <w:tcBorders>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continue"/>
            <w:tcBorders>
              <w:bottom w:val="single" w:color="auto" w:sz="4" w:space="0"/>
            </w:tcBorders>
            <w:vAlign w:val="center"/>
          </w:tcPr>
          <w:p>
            <w:pPr>
              <w:jc w:val="center"/>
              <w:rPr>
                <w:rFonts w:ascii="宋体" w:hAnsi="宋体" w:eastAsia="宋体" w:cstheme="minorBidi"/>
                <w:sz w:val="18"/>
                <w:szCs w:val="18"/>
              </w:rPr>
            </w:pPr>
          </w:p>
        </w:tc>
        <w:tc>
          <w:tcPr>
            <w:tcW w:w="1638" w:type="pct"/>
            <w:vMerge w:val="continue"/>
            <w:tcBorders>
              <w:bottom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1.2</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校园内指定范围</w:t>
            </w:r>
            <w:r>
              <w:rPr>
                <w:rFonts w:hint="eastAsia" w:ascii="宋体" w:hAnsi="宋体" w:eastAsia="宋体" w:cstheme="minorBidi"/>
                <w:sz w:val="18"/>
                <w:szCs w:val="18"/>
              </w:rPr>
              <w:t>以内水杉等侧枝少的树干6米高拦头；工完场清，垃圾运至校外政府允许倾倒处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tcBorders>
            <w:vAlign w:val="center"/>
          </w:tcPr>
          <w:p>
            <w:pPr>
              <w:jc w:val="center"/>
              <w:rPr>
                <w:rFonts w:ascii="宋体" w:hAnsi="宋体" w:eastAsia="宋体" w:cstheme="minorBidi"/>
                <w:color w:val="505050"/>
                <w:sz w:val="18"/>
                <w:szCs w:val="18"/>
              </w:rPr>
            </w:pPr>
            <w:r>
              <w:rPr>
                <w:rFonts w:hint="eastAsia" w:ascii="宋体" w:hAnsi="宋体" w:eastAsia="宋体" w:cstheme="minorBidi"/>
                <w:color w:val="505050"/>
                <w:sz w:val="18"/>
                <w:szCs w:val="18"/>
              </w:rPr>
              <w:t>2</w:t>
            </w:r>
          </w:p>
        </w:tc>
        <w:tc>
          <w:tcPr>
            <w:tcW w:w="1638"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color w:val="505050"/>
                <w:sz w:val="18"/>
                <w:szCs w:val="18"/>
              </w:rPr>
              <w:t>依据城市绿化条例和养护标准，做到剪锯口，应用刀削平，涂抹防腐剂促进伤口愈合等。养护（</w:t>
            </w:r>
            <w:r>
              <w:rPr>
                <w:rFonts w:hint="eastAsia" w:ascii="宋体" w:hAnsi="宋体" w:eastAsia="宋体" w:cstheme="minorBidi"/>
                <w:color w:val="505050"/>
                <w:sz w:val="18"/>
                <w:szCs w:val="18"/>
              </w:rPr>
              <w:t>质保</w:t>
            </w:r>
            <w:r>
              <w:rPr>
                <w:rFonts w:ascii="宋体" w:hAnsi="宋体" w:eastAsia="宋体" w:cstheme="minorBidi"/>
                <w:color w:val="505050"/>
                <w:sz w:val="18"/>
                <w:szCs w:val="18"/>
              </w:rPr>
              <w:t>）期贰年。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 w:hRule="atLeast"/>
        </w:trPr>
        <w:tc>
          <w:tcPr>
            <w:tcW w:w="247" w:type="pct"/>
            <w:vMerge w:val="continue"/>
            <w:tcBorders>
              <w:bottom w:val="single" w:color="auto" w:sz="4" w:space="0"/>
            </w:tcBorders>
            <w:vAlign w:val="center"/>
          </w:tcPr>
          <w:p>
            <w:pPr>
              <w:jc w:val="center"/>
              <w:rPr>
                <w:rFonts w:ascii="宋体" w:hAnsi="宋体" w:eastAsia="宋体" w:cstheme="minorBidi"/>
                <w:sz w:val="18"/>
                <w:szCs w:val="18"/>
              </w:rPr>
            </w:pPr>
          </w:p>
        </w:tc>
        <w:tc>
          <w:tcPr>
            <w:tcW w:w="1405" w:type="pct"/>
            <w:vMerge w:val="continue"/>
            <w:tcBorders>
              <w:bottom w:val="single" w:color="auto" w:sz="4" w:space="0"/>
            </w:tcBorders>
            <w:vAlign w:val="center"/>
          </w:tcPr>
          <w:p>
            <w:pPr>
              <w:jc w:val="center"/>
              <w:rPr>
                <w:rFonts w:ascii="宋体" w:hAnsi="宋体" w:eastAsia="宋体" w:cstheme="minorBidi"/>
                <w:sz w:val="18"/>
                <w:szCs w:val="18"/>
              </w:rPr>
            </w:pPr>
          </w:p>
        </w:tc>
        <w:tc>
          <w:tcPr>
            <w:tcW w:w="386" w:type="pct"/>
            <w:vMerge w:val="continue"/>
            <w:tcBorders>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continue"/>
            <w:tcBorders>
              <w:bottom w:val="single" w:color="auto" w:sz="4" w:space="0"/>
            </w:tcBorders>
            <w:vAlign w:val="center"/>
          </w:tcPr>
          <w:p>
            <w:pPr>
              <w:jc w:val="center"/>
              <w:rPr>
                <w:rFonts w:ascii="宋体" w:hAnsi="宋体" w:eastAsia="宋体" w:cstheme="minorBidi"/>
                <w:sz w:val="18"/>
                <w:szCs w:val="18"/>
              </w:rPr>
            </w:pPr>
          </w:p>
        </w:tc>
        <w:tc>
          <w:tcPr>
            <w:tcW w:w="1638" w:type="pct"/>
            <w:vMerge w:val="continue"/>
            <w:tcBorders>
              <w:bottom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2.1</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校园内指定范围</w:t>
            </w:r>
            <w:r>
              <w:rPr>
                <w:rFonts w:hint="eastAsia" w:ascii="宋体" w:hAnsi="宋体" w:eastAsia="宋体" w:cstheme="minorBidi"/>
                <w:sz w:val="18"/>
                <w:szCs w:val="18"/>
              </w:rPr>
              <w:t>以内樟树、法国梧桐树等侧枝多的树干6米高拦头；工完场清，垃圾运至校外政府允许倾倒处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tcBorders>
            <w:vAlign w:val="center"/>
          </w:tcPr>
          <w:p>
            <w:pPr>
              <w:jc w:val="center"/>
              <w:rPr>
                <w:rFonts w:ascii="宋体" w:hAnsi="宋体" w:eastAsia="宋体" w:cstheme="minorBidi"/>
                <w:color w:val="505050"/>
                <w:sz w:val="18"/>
                <w:szCs w:val="18"/>
              </w:rPr>
            </w:pPr>
            <w:r>
              <w:rPr>
                <w:rFonts w:hint="eastAsia" w:ascii="宋体" w:hAnsi="宋体" w:eastAsia="宋体" w:cstheme="minorBidi"/>
                <w:color w:val="505050"/>
                <w:sz w:val="18"/>
                <w:szCs w:val="18"/>
              </w:rPr>
              <w:t>2</w:t>
            </w:r>
          </w:p>
        </w:tc>
        <w:tc>
          <w:tcPr>
            <w:tcW w:w="1638" w:type="pct"/>
            <w:vMerge w:val="restart"/>
            <w:tcBorders>
              <w:top w:val="single" w:color="auto" w:sz="4" w:space="0"/>
            </w:tcBorders>
            <w:vAlign w:val="center"/>
          </w:tcPr>
          <w:p>
            <w:pPr>
              <w:jc w:val="center"/>
              <w:rPr>
                <w:rFonts w:asciiTheme="minorHAnsi" w:hAnsiTheme="minorHAnsi" w:eastAsiaTheme="minorEastAsia" w:cstheme="minorBidi"/>
                <w:szCs w:val="22"/>
              </w:rPr>
            </w:pPr>
            <w:r>
              <w:rPr>
                <w:rFonts w:ascii="宋体" w:hAnsi="宋体" w:eastAsia="宋体" w:cstheme="minorBidi"/>
                <w:color w:val="505050"/>
                <w:sz w:val="18"/>
                <w:szCs w:val="18"/>
              </w:rPr>
              <w:t>依据城市绿化条例和养护标准，做到剪锯口，应用刀削平，涂抹防腐剂促进伤口愈合等。养护（</w:t>
            </w:r>
            <w:r>
              <w:rPr>
                <w:rFonts w:hint="eastAsia" w:ascii="宋体" w:hAnsi="宋体" w:eastAsia="宋体" w:cstheme="minorBidi"/>
                <w:color w:val="505050"/>
                <w:sz w:val="18"/>
                <w:szCs w:val="18"/>
              </w:rPr>
              <w:t>质保</w:t>
            </w:r>
            <w:r>
              <w:rPr>
                <w:rFonts w:ascii="宋体" w:hAnsi="宋体" w:eastAsia="宋体" w:cstheme="minorBidi"/>
                <w:color w:val="505050"/>
                <w:sz w:val="18"/>
                <w:szCs w:val="18"/>
              </w:rPr>
              <w:t>）期贰年。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 w:hRule="atLeast"/>
        </w:trPr>
        <w:tc>
          <w:tcPr>
            <w:tcW w:w="247" w:type="pct"/>
            <w:vMerge w:val="continue"/>
            <w:tcBorders>
              <w:bottom w:val="single" w:color="auto" w:sz="4" w:space="0"/>
            </w:tcBorders>
            <w:vAlign w:val="center"/>
          </w:tcPr>
          <w:p>
            <w:pPr>
              <w:jc w:val="center"/>
              <w:rPr>
                <w:rFonts w:ascii="宋体" w:hAnsi="宋体" w:eastAsia="宋体" w:cstheme="minorBidi"/>
                <w:sz w:val="18"/>
                <w:szCs w:val="18"/>
              </w:rPr>
            </w:pPr>
          </w:p>
        </w:tc>
        <w:tc>
          <w:tcPr>
            <w:tcW w:w="1405" w:type="pct"/>
            <w:vMerge w:val="continue"/>
            <w:tcBorders>
              <w:bottom w:val="single" w:color="auto" w:sz="4" w:space="0"/>
            </w:tcBorders>
            <w:vAlign w:val="center"/>
          </w:tcPr>
          <w:p>
            <w:pPr>
              <w:jc w:val="center"/>
              <w:rPr>
                <w:rFonts w:ascii="宋体" w:hAnsi="宋体" w:eastAsia="宋体" w:cstheme="minorBidi"/>
                <w:sz w:val="18"/>
                <w:szCs w:val="18"/>
              </w:rPr>
            </w:pPr>
          </w:p>
        </w:tc>
        <w:tc>
          <w:tcPr>
            <w:tcW w:w="386" w:type="pct"/>
            <w:vMerge w:val="continue"/>
            <w:tcBorders>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continue"/>
            <w:tcBorders>
              <w:bottom w:val="single" w:color="auto" w:sz="4" w:space="0"/>
            </w:tcBorders>
            <w:vAlign w:val="center"/>
          </w:tcPr>
          <w:p>
            <w:pPr>
              <w:jc w:val="center"/>
              <w:rPr>
                <w:rFonts w:ascii="宋体" w:hAnsi="宋体" w:eastAsia="宋体" w:cstheme="minorBidi"/>
                <w:sz w:val="18"/>
                <w:szCs w:val="18"/>
              </w:rPr>
            </w:pPr>
          </w:p>
        </w:tc>
        <w:tc>
          <w:tcPr>
            <w:tcW w:w="1638" w:type="pct"/>
            <w:vMerge w:val="continue"/>
            <w:tcBorders>
              <w:bottom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0"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2.2</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校园内指定范围</w:t>
            </w:r>
            <w:r>
              <w:rPr>
                <w:rFonts w:hint="eastAsia" w:ascii="宋体" w:hAnsi="宋体" w:eastAsia="宋体" w:cstheme="minorBidi"/>
                <w:sz w:val="18"/>
                <w:szCs w:val="18"/>
              </w:rPr>
              <w:t>以内水杉等侧枝少的树干6米高拦头；工完场清，垃圾运至校外政府允许倾倒处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tcBorders>
            <w:vAlign w:val="center"/>
          </w:tcPr>
          <w:p>
            <w:pPr>
              <w:jc w:val="center"/>
              <w:rPr>
                <w:rFonts w:ascii="宋体" w:hAnsi="宋体" w:eastAsia="宋体" w:cstheme="minorBidi"/>
                <w:color w:val="505050"/>
                <w:sz w:val="18"/>
                <w:szCs w:val="18"/>
              </w:rPr>
            </w:pPr>
            <w:r>
              <w:rPr>
                <w:rFonts w:hint="eastAsia" w:ascii="宋体" w:hAnsi="宋体" w:eastAsia="宋体" w:cstheme="minorBidi"/>
                <w:color w:val="505050"/>
                <w:sz w:val="18"/>
                <w:szCs w:val="18"/>
              </w:rPr>
              <w:t>2</w:t>
            </w:r>
          </w:p>
        </w:tc>
        <w:tc>
          <w:tcPr>
            <w:tcW w:w="1638" w:type="pct"/>
            <w:vMerge w:val="restart"/>
            <w:tcBorders>
              <w:top w:val="single" w:color="auto" w:sz="4" w:space="0"/>
            </w:tcBorders>
            <w:vAlign w:val="center"/>
          </w:tcPr>
          <w:p>
            <w:pPr>
              <w:jc w:val="center"/>
              <w:rPr>
                <w:rFonts w:asciiTheme="minorHAnsi" w:hAnsiTheme="minorHAnsi" w:eastAsiaTheme="minorEastAsia" w:cstheme="minorBidi"/>
                <w:szCs w:val="22"/>
              </w:rPr>
            </w:pPr>
            <w:r>
              <w:rPr>
                <w:rFonts w:ascii="宋体" w:hAnsi="宋体" w:eastAsia="宋体" w:cstheme="minorBidi"/>
                <w:color w:val="505050"/>
                <w:sz w:val="18"/>
                <w:szCs w:val="18"/>
              </w:rPr>
              <w:t>依据城市绿化条例和养护标准，做到剪锯口，应用刀削平，涂抹防腐剂促进伤口愈合等。养护（</w:t>
            </w:r>
            <w:r>
              <w:rPr>
                <w:rFonts w:hint="eastAsia" w:ascii="宋体" w:hAnsi="宋体" w:eastAsia="宋体" w:cstheme="minorBidi"/>
                <w:color w:val="505050"/>
                <w:sz w:val="18"/>
                <w:szCs w:val="18"/>
              </w:rPr>
              <w:t>质保</w:t>
            </w:r>
            <w:r>
              <w:rPr>
                <w:rFonts w:ascii="宋体" w:hAnsi="宋体" w:eastAsia="宋体" w:cstheme="minorBidi"/>
                <w:color w:val="505050"/>
                <w:sz w:val="18"/>
                <w:szCs w:val="18"/>
              </w:rPr>
              <w:t>）期贰年。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 w:hRule="atLeast"/>
        </w:trPr>
        <w:tc>
          <w:tcPr>
            <w:tcW w:w="247" w:type="pct"/>
            <w:vMerge w:val="continue"/>
            <w:tcBorders>
              <w:bottom w:val="single" w:color="auto" w:sz="4" w:space="0"/>
            </w:tcBorders>
            <w:vAlign w:val="center"/>
          </w:tcPr>
          <w:p>
            <w:pPr>
              <w:jc w:val="center"/>
              <w:rPr>
                <w:rFonts w:ascii="宋体" w:hAnsi="宋体" w:eastAsia="宋体" w:cstheme="minorBidi"/>
                <w:sz w:val="18"/>
                <w:szCs w:val="18"/>
              </w:rPr>
            </w:pPr>
          </w:p>
        </w:tc>
        <w:tc>
          <w:tcPr>
            <w:tcW w:w="1405" w:type="pct"/>
            <w:vMerge w:val="continue"/>
            <w:tcBorders>
              <w:bottom w:val="single" w:color="auto" w:sz="4" w:space="0"/>
            </w:tcBorders>
            <w:vAlign w:val="center"/>
          </w:tcPr>
          <w:p>
            <w:pPr>
              <w:jc w:val="center"/>
              <w:rPr>
                <w:rFonts w:ascii="宋体" w:hAnsi="宋体" w:eastAsia="宋体" w:cstheme="minorBidi"/>
                <w:sz w:val="18"/>
                <w:szCs w:val="18"/>
              </w:rPr>
            </w:pPr>
          </w:p>
        </w:tc>
        <w:tc>
          <w:tcPr>
            <w:tcW w:w="386" w:type="pct"/>
            <w:vMerge w:val="continue"/>
            <w:tcBorders>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continue"/>
            <w:tcBorders>
              <w:bottom w:val="single" w:color="auto" w:sz="4" w:space="0"/>
            </w:tcBorders>
            <w:vAlign w:val="center"/>
          </w:tcPr>
          <w:p>
            <w:pPr>
              <w:jc w:val="center"/>
              <w:rPr>
                <w:rFonts w:ascii="宋体" w:hAnsi="宋体" w:eastAsia="宋体" w:cstheme="minorBidi"/>
                <w:sz w:val="18"/>
                <w:szCs w:val="18"/>
              </w:rPr>
            </w:pPr>
          </w:p>
        </w:tc>
        <w:tc>
          <w:tcPr>
            <w:tcW w:w="1638" w:type="pct"/>
            <w:vMerge w:val="continue"/>
            <w:tcBorders>
              <w:bottom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3.1</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校园内树干</w:t>
            </w:r>
            <w:r>
              <w:rPr>
                <w:rFonts w:hint="eastAsia" w:ascii="宋体" w:hAnsi="宋体" w:cstheme="minorBidi"/>
                <w:sz w:val="18"/>
                <w:szCs w:val="18"/>
                <w:lang w:val="en-US" w:eastAsia="zh-CN"/>
              </w:rPr>
              <w:t>5</w:t>
            </w:r>
            <w:r>
              <w:rPr>
                <w:rFonts w:hint="eastAsia" w:ascii="宋体" w:hAnsi="宋体" w:eastAsia="宋体" w:cstheme="minorBidi"/>
                <w:sz w:val="18"/>
                <w:szCs w:val="18"/>
              </w:rPr>
              <w:t>米以上</w:t>
            </w:r>
            <w:r>
              <w:rPr>
                <w:rFonts w:ascii="宋体" w:hAnsi="宋体" w:eastAsia="宋体" w:cstheme="minorBidi"/>
                <w:sz w:val="18"/>
                <w:szCs w:val="18"/>
              </w:rPr>
              <w:t>高空</w:t>
            </w:r>
            <w:r>
              <w:rPr>
                <w:rFonts w:ascii="宋体" w:hAnsi="宋体" w:eastAsia="宋体" w:cs="Arial"/>
                <w:kern w:val="0"/>
                <w:sz w:val="18"/>
                <w:szCs w:val="18"/>
              </w:rPr>
              <w:t>修剪</w:t>
            </w:r>
            <w:r>
              <w:rPr>
                <w:rFonts w:ascii="宋体" w:hAnsi="宋体" w:eastAsia="宋体" w:cstheme="minorBidi"/>
                <w:sz w:val="18"/>
                <w:szCs w:val="18"/>
              </w:rPr>
              <w:t>枯枝、病枝、活树枝叶；</w:t>
            </w:r>
            <w:r>
              <w:rPr>
                <w:rFonts w:hint="eastAsia" w:ascii="宋体" w:hAnsi="宋体" w:eastAsia="宋体" w:cstheme="minorBidi"/>
                <w:sz w:val="18"/>
                <w:szCs w:val="18"/>
              </w:rPr>
              <w:t>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tcBorders>
            <w:vAlign w:val="center"/>
          </w:tcPr>
          <w:p>
            <w:pPr>
              <w:jc w:val="center"/>
              <w:rPr>
                <w:rFonts w:ascii="宋体" w:hAnsi="宋体" w:eastAsia="宋体" w:cstheme="minorBidi"/>
                <w:color w:val="505050"/>
                <w:sz w:val="18"/>
                <w:szCs w:val="18"/>
              </w:rPr>
            </w:pPr>
            <w:r>
              <w:rPr>
                <w:rFonts w:hint="eastAsia" w:ascii="宋体" w:hAnsi="宋体" w:eastAsia="宋体" w:cstheme="minorBidi"/>
                <w:color w:val="505050"/>
                <w:sz w:val="18"/>
                <w:szCs w:val="18"/>
              </w:rPr>
              <w:t>2</w:t>
            </w:r>
          </w:p>
        </w:tc>
        <w:tc>
          <w:tcPr>
            <w:tcW w:w="1638"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color w:val="505050"/>
                <w:sz w:val="18"/>
                <w:szCs w:val="18"/>
              </w:rPr>
              <w:t>依据城市绿化条例和养护标准，做到剪锯口，应用刀削平，涂抹防腐剂促进伤口愈合；</w:t>
            </w:r>
            <w:r>
              <w:rPr>
                <w:rFonts w:ascii="宋体" w:hAnsi="宋体" w:eastAsia="宋体" w:cstheme="minorBidi"/>
                <w:sz w:val="18"/>
                <w:szCs w:val="18"/>
              </w:rPr>
              <w:t>锯除大树杈时应注意保护皮脊等。</w:t>
            </w:r>
            <w:r>
              <w:rPr>
                <w:rFonts w:ascii="宋体" w:hAnsi="宋体" w:eastAsia="宋体" w:cstheme="minorBidi"/>
                <w:color w:val="505050"/>
                <w:sz w:val="18"/>
                <w:szCs w:val="18"/>
              </w:rPr>
              <w:t>养护（</w:t>
            </w:r>
            <w:r>
              <w:rPr>
                <w:rFonts w:hint="eastAsia" w:ascii="宋体" w:hAnsi="宋体" w:eastAsia="宋体" w:cstheme="minorBidi"/>
                <w:color w:val="505050"/>
                <w:sz w:val="18"/>
                <w:szCs w:val="18"/>
              </w:rPr>
              <w:t>质保</w:t>
            </w:r>
            <w:r>
              <w:rPr>
                <w:rFonts w:ascii="宋体" w:hAnsi="宋体" w:eastAsia="宋体" w:cstheme="minorBidi"/>
                <w:color w:val="505050"/>
                <w:sz w:val="18"/>
                <w:szCs w:val="18"/>
              </w:rPr>
              <w:t>）期贰年。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1" w:hRule="atLeast"/>
        </w:trPr>
        <w:tc>
          <w:tcPr>
            <w:tcW w:w="247" w:type="pct"/>
            <w:vMerge w:val="continue"/>
            <w:tcBorders>
              <w:bottom w:val="single" w:color="auto" w:sz="4" w:space="0"/>
            </w:tcBorders>
            <w:vAlign w:val="center"/>
          </w:tcPr>
          <w:p>
            <w:pPr>
              <w:jc w:val="center"/>
              <w:rPr>
                <w:rFonts w:ascii="宋体" w:hAnsi="宋体" w:eastAsia="宋体" w:cstheme="minorBidi"/>
                <w:sz w:val="18"/>
                <w:szCs w:val="18"/>
              </w:rPr>
            </w:pPr>
          </w:p>
        </w:tc>
        <w:tc>
          <w:tcPr>
            <w:tcW w:w="1405" w:type="pct"/>
            <w:vMerge w:val="continue"/>
            <w:tcBorders>
              <w:bottom w:val="single" w:color="auto" w:sz="4" w:space="0"/>
            </w:tcBorders>
            <w:vAlign w:val="center"/>
          </w:tcPr>
          <w:p>
            <w:pPr>
              <w:jc w:val="center"/>
              <w:rPr>
                <w:rFonts w:ascii="宋体" w:hAnsi="宋体" w:eastAsia="宋体" w:cstheme="minorBidi"/>
                <w:sz w:val="18"/>
                <w:szCs w:val="18"/>
              </w:rPr>
            </w:pPr>
          </w:p>
        </w:tc>
        <w:tc>
          <w:tcPr>
            <w:tcW w:w="386" w:type="pct"/>
            <w:vMerge w:val="continue"/>
            <w:tcBorders>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continue"/>
            <w:tcBorders>
              <w:bottom w:val="single" w:color="auto" w:sz="4" w:space="0"/>
            </w:tcBorders>
            <w:vAlign w:val="center"/>
          </w:tcPr>
          <w:p>
            <w:pPr>
              <w:jc w:val="center"/>
              <w:rPr>
                <w:rFonts w:ascii="宋体" w:hAnsi="宋体" w:eastAsia="宋体" w:cstheme="minorBidi"/>
                <w:sz w:val="18"/>
                <w:szCs w:val="18"/>
              </w:rPr>
            </w:pPr>
          </w:p>
        </w:tc>
        <w:tc>
          <w:tcPr>
            <w:tcW w:w="1638" w:type="pct"/>
            <w:vMerge w:val="continue"/>
            <w:tcBorders>
              <w:bottom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5"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3.2</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校园内树干</w:t>
            </w:r>
            <w:r>
              <w:rPr>
                <w:rFonts w:hint="eastAsia" w:ascii="宋体" w:hAnsi="宋体" w:cstheme="minorBidi"/>
                <w:sz w:val="18"/>
                <w:szCs w:val="18"/>
                <w:lang w:val="en-US" w:eastAsia="zh-CN"/>
              </w:rPr>
              <w:t>5</w:t>
            </w:r>
            <w:r>
              <w:rPr>
                <w:rFonts w:hint="eastAsia" w:ascii="宋体" w:hAnsi="宋体" w:eastAsia="宋体" w:cstheme="minorBidi"/>
                <w:sz w:val="18"/>
                <w:szCs w:val="18"/>
              </w:rPr>
              <w:t>米以上</w:t>
            </w:r>
            <w:r>
              <w:rPr>
                <w:rFonts w:ascii="宋体" w:hAnsi="宋体" w:eastAsia="宋体" w:cstheme="minorBidi"/>
                <w:sz w:val="18"/>
                <w:szCs w:val="18"/>
              </w:rPr>
              <w:t>高空修剪枯枝、病枝、活树枝叶；</w:t>
            </w:r>
            <w:r>
              <w:rPr>
                <w:rFonts w:hint="eastAsia" w:ascii="宋体" w:hAnsi="宋体" w:eastAsia="宋体" w:cstheme="minorBidi"/>
                <w:sz w:val="18"/>
                <w:szCs w:val="18"/>
              </w:rPr>
              <w:t>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tcBorders>
            <w:vAlign w:val="center"/>
          </w:tcPr>
          <w:p>
            <w:pPr>
              <w:jc w:val="center"/>
              <w:rPr>
                <w:rFonts w:ascii="宋体" w:hAnsi="宋体" w:eastAsia="宋体" w:cstheme="minorBidi"/>
                <w:color w:val="505050"/>
                <w:sz w:val="18"/>
                <w:szCs w:val="18"/>
              </w:rPr>
            </w:pPr>
            <w:r>
              <w:rPr>
                <w:rFonts w:hint="eastAsia" w:ascii="宋体" w:hAnsi="宋体" w:eastAsia="宋体" w:cstheme="minorBidi"/>
                <w:color w:val="505050"/>
                <w:sz w:val="18"/>
                <w:szCs w:val="18"/>
              </w:rPr>
              <w:t>2</w:t>
            </w:r>
          </w:p>
        </w:tc>
        <w:tc>
          <w:tcPr>
            <w:tcW w:w="1638"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color w:val="505050"/>
                <w:sz w:val="18"/>
                <w:szCs w:val="18"/>
              </w:rPr>
              <w:t>依据城市绿化条例和养护标准，做到剪锯口，应用刀削平，涂抹防腐剂促进伤口愈合；</w:t>
            </w:r>
            <w:r>
              <w:rPr>
                <w:rFonts w:ascii="宋体" w:hAnsi="宋体" w:eastAsia="宋体" w:cstheme="minorBidi"/>
                <w:sz w:val="18"/>
                <w:szCs w:val="18"/>
              </w:rPr>
              <w:t>锯除大树杈时应注意保护皮脊等。</w:t>
            </w:r>
            <w:r>
              <w:rPr>
                <w:rFonts w:ascii="宋体" w:hAnsi="宋体" w:eastAsia="宋体" w:cstheme="minorBidi"/>
                <w:color w:val="505050"/>
                <w:sz w:val="18"/>
                <w:szCs w:val="18"/>
              </w:rPr>
              <w:t>养护（</w:t>
            </w:r>
            <w:r>
              <w:rPr>
                <w:rFonts w:hint="eastAsia" w:ascii="宋体" w:hAnsi="宋体" w:eastAsia="宋体" w:cstheme="minorBidi"/>
                <w:color w:val="505050"/>
                <w:sz w:val="18"/>
                <w:szCs w:val="18"/>
              </w:rPr>
              <w:t>质保</w:t>
            </w:r>
            <w:r>
              <w:rPr>
                <w:rFonts w:ascii="宋体" w:hAnsi="宋体" w:eastAsia="宋体" w:cstheme="minorBidi"/>
                <w:color w:val="505050"/>
                <w:sz w:val="18"/>
                <w:szCs w:val="18"/>
              </w:rPr>
              <w:t>）期贰年。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3" w:hRule="atLeast"/>
        </w:trPr>
        <w:tc>
          <w:tcPr>
            <w:tcW w:w="247" w:type="pct"/>
            <w:vMerge w:val="continue"/>
            <w:tcBorders>
              <w:bottom w:val="single" w:color="auto" w:sz="4" w:space="0"/>
            </w:tcBorders>
            <w:vAlign w:val="center"/>
          </w:tcPr>
          <w:p>
            <w:pPr>
              <w:jc w:val="center"/>
              <w:rPr>
                <w:rFonts w:ascii="宋体" w:hAnsi="宋体" w:eastAsia="宋体" w:cstheme="minorBidi"/>
                <w:sz w:val="18"/>
                <w:szCs w:val="18"/>
              </w:rPr>
            </w:pPr>
          </w:p>
        </w:tc>
        <w:tc>
          <w:tcPr>
            <w:tcW w:w="1405" w:type="pct"/>
            <w:vMerge w:val="continue"/>
            <w:tcBorders>
              <w:bottom w:val="single" w:color="auto" w:sz="4" w:space="0"/>
            </w:tcBorders>
            <w:vAlign w:val="center"/>
          </w:tcPr>
          <w:p>
            <w:pPr>
              <w:jc w:val="center"/>
              <w:rPr>
                <w:rFonts w:ascii="宋体" w:hAnsi="宋体" w:eastAsia="宋体" w:cstheme="minorBidi"/>
                <w:sz w:val="18"/>
                <w:szCs w:val="18"/>
              </w:rPr>
            </w:pPr>
          </w:p>
        </w:tc>
        <w:tc>
          <w:tcPr>
            <w:tcW w:w="386" w:type="pct"/>
            <w:vMerge w:val="continue"/>
            <w:tcBorders>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continue"/>
            <w:tcBorders>
              <w:bottom w:val="single" w:color="auto" w:sz="4" w:space="0"/>
            </w:tcBorders>
            <w:vAlign w:val="center"/>
          </w:tcPr>
          <w:p>
            <w:pPr>
              <w:jc w:val="center"/>
              <w:rPr>
                <w:rFonts w:ascii="宋体" w:hAnsi="宋体" w:eastAsia="宋体" w:cstheme="minorBidi"/>
                <w:sz w:val="18"/>
                <w:szCs w:val="18"/>
              </w:rPr>
            </w:pPr>
          </w:p>
        </w:tc>
        <w:tc>
          <w:tcPr>
            <w:tcW w:w="1638" w:type="pct"/>
            <w:vMerge w:val="continue"/>
            <w:tcBorders>
              <w:bottom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4</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校园内砍伐</w:t>
            </w:r>
            <w:r>
              <w:rPr>
                <w:rFonts w:ascii="宋体" w:hAnsi="宋体" w:eastAsia="宋体" w:cs="Arial"/>
                <w:kern w:val="0"/>
                <w:sz w:val="18"/>
                <w:szCs w:val="18"/>
              </w:rPr>
              <w:t>枯死树</w:t>
            </w:r>
            <w:r>
              <w:rPr>
                <w:rFonts w:ascii="宋体" w:hAnsi="宋体" w:eastAsia="宋体" w:cstheme="minorBidi"/>
                <w:sz w:val="18"/>
                <w:szCs w:val="18"/>
              </w:rPr>
              <w:t>；</w:t>
            </w:r>
            <w:r>
              <w:rPr>
                <w:rFonts w:hint="eastAsia" w:ascii="宋体" w:hAnsi="宋体" w:eastAsia="宋体" w:cstheme="minorBidi"/>
                <w:sz w:val="18"/>
                <w:szCs w:val="18"/>
              </w:rPr>
              <w:t>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bottom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w:t>
            </w:r>
          </w:p>
        </w:tc>
        <w:tc>
          <w:tcPr>
            <w:tcW w:w="1638" w:type="pct"/>
            <w:vMerge w:val="restart"/>
            <w:tcBorders>
              <w:top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trPr>
        <w:tc>
          <w:tcPr>
            <w:tcW w:w="247" w:type="pct"/>
            <w:vMerge w:val="continue"/>
            <w:vAlign w:val="center"/>
          </w:tcPr>
          <w:p>
            <w:pPr>
              <w:jc w:val="center"/>
              <w:rPr>
                <w:rFonts w:ascii="宋体" w:hAnsi="宋体" w:eastAsia="宋体" w:cstheme="minorBidi"/>
                <w:sz w:val="18"/>
                <w:szCs w:val="18"/>
              </w:rPr>
            </w:pPr>
          </w:p>
        </w:tc>
        <w:tc>
          <w:tcPr>
            <w:tcW w:w="1405" w:type="pct"/>
            <w:vMerge w:val="continue"/>
            <w:vAlign w:val="center"/>
          </w:tcPr>
          <w:p>
            <w:pPr>
              <w:jc w:val="center"/>
              <w:rPr>
                <w:rFonts w:ascii="宋体" w:hAnsi="宋体" w:eastAsia="宋体" w:cstheme="minorBidi"/>
                <w:sz w:val="18"/>
                <w:szCs w:val="18"/>
              </w:rPr>
            </w:pPr>
          </w:p>
        </w:tc>
        <w:tc>
          <w:tcPr>
            <w:tcW w:w="386" w:type="pct"/>
            <w:vMerge w:val="continue"/>
            <w:vAlign w:val="center"/>
          </w:tcPr>
          <w:p>
            <w:pPr>
              <w:jc w:val="center"/>
              <w:rPr>
                <w:rFonts w:ascii="宋体" w:hAnsi="宋体" w:eastAsia="宋体" w:cstheme="minorBidi"/>
                <w:sz w:val="18"/>
                <w:szCs w:val="18"/>
              </w:rPr>
            </w:pPr>
          </w:p>
        </w:tc>
        <w:tc>
          <w:tcPr>
            <w:tcW w:w="418" w:type="pc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tcBorders>
            <w:vAlign w:val="center"/>
          </w:tcPr>
          <w:p>
            <w:pPr>
              <w:jc w:val="center"/>
              <w:rPr>
                <w:rFonts w:ascii="宋体" w:hAnsi="宋体" w:eastAsia="宋体" w:cstheme="minorBidi"/>
                <w:sz w:val="18"/>
                <w:szCs w:val="18"/>
              </w:rPr>
            </w:pPr>
          </w:p>
        </w:tc>
        <w:tc>
          <w:tcPr>
            <w:tcW w:w="373" w:type="pct"/>
            <w:vMerge w:val="continue"/>
            <w:vAlign w:val="center"/>
          </w:tcPr>
          <w:p>
            <w:pPr>
              <w:jc w:val="center"/>
              <w:rPr>
                <w:rFonts w:ascii="宋体" w:hAnsi="宋体" w:eastAsia="宋体" w:cstheme="minorBidi"/>
                <w:sz w:val="18"/>
                <w:szCs w:val="18"/>
              </w:rPr>
            </w:pPr>
          </w:p>
        </w:tc>
        <w:tc>
          <w:tcPr>
            <w:tcW w:w="1638" w:type="pct"/>
            <w:vMerge w:val="continue"/>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5</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校园内树木移栽：</w:t>
            </w:r>
            <w:r>
              <w:rPr>
                <w:rFonts w:hint="eastAsia" w:ascii="宋体" w:hAnsi="宋体" w:eastAsia="宋体" w:cs="Times New Roman"/>
                <w:sz w:val="18"/>
                <w:szCs w:val="18"/>
              </w:rPr>
              <w:t>树穴开挖、苗木吊装</w:t>
            </w:r>
            <w:r>
              <w:rPr>
                <w:rFonts w:hint="eastAsia" w:ascii="宋体" w:hAnsi="宋体" w:eastAsia="宋体" w:cstheme="minorBidi"/>
                <w:sz w:val="18"/>
                <w:szCs w:val="18"/>
              </w:rPr>
              <w:t>、</w:t>
            </w:r>
            <w:r>
              <w:rPr>
                <w:rFonts w:hint="eastAsia" w:ascii="宋体" w:hAnsi="宋体" w:eastAsia="宋体" w:cs="Times New Roman"/>
                <w:sz w:val="18"/>
                <w:szCs w:val="18"/>
              </w:rPr>
              <w:t>高空修剪</w:t>
            </w:r>
            <w:r>
              <w:rPr>
                <w:rFonts w:hint="eastAsia" w:ascii="宋体" w:hAnsi="宋体" w:eastAsia="宋体" w:cstheme="minorBidi"/>
                <w:sz w:val="18"/>
                <w:szCs w:val="18"/>
              </w:rPr>
              <w:t>，</w:t>
            </w:r>
            <w:r>
              <w:rPr>
                <w:rFonts w:ascii="宋体" w:hAnsi="宋体" w:eastAsia="宋体" w:cs="Arial"/>
                <w:kern w:val="0"/>
                <w:sz w:val="18"/>
                <w:szCs w:val="18"/>
              </w:rPr>
              <w:t>树木移栽后贰年内未成活的，应当予以补植；</w:t>
            </w:r>
            <w:r>
              <w:rPr>
                <w:rFonts w:hint="eastAsia" w:ascii="宋体" w:hAnsi="宋体" w:eastAsia="宋体" w:cstheme="minorBidi"/>
                <w:sz w:val="18"/>
                <w:szCs w:val="18"/>
              </w:rPr>
              <w:t>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418" w:type="pct"/>
            <w:tcBorders>
              <w:top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p>
            <w:pPr>
              <w:jc w:val="center"/>
              <w:rPr>
                <w:rFonts w:ascii="宋体" w:hAnsi="宋体" w:eastAsia="宋体" w:cstheme="minorBidi"/>
                <w:sz w:val="18"/>
                <w:szCs w:val="18"/>
              </w:rPr>
            </w:pPr>
          </w:p>
        </w:tc>
        <w:tc>
          <w:tcPr>
            <w:tcW w:w="52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left w:val="single" w:color="auto" w:sz="4" w:space="0"/>
              <w:right w:val="single" w:color="auto" w:sz="4" w:space="0"/>
            </w:tcBorders>
            <w:vAlign w:val="center"/>
          </w:tcPr>
          <w:p>
            <w:pPr>
              <w:jc w:val="center"/>
              <w:rPr>
                <w:rFonts w:ascii="宋体" w:hAnsi="宋体" w:eastAsia="宋体" w:cstheme="minorBidi"/>
                <w:color w:val="505050"/>
                <w:sz w:val="18"/>
                <w:szCs w:val="18"/>
              </w:rPr>
            </w:pPr>
            <w:r>
              <w:rPr>
                <w:rFonts w:hint="eastAsia" w:ascii="宋体" w:hAnsi="宋体" w:eastAsia="宋体" w:cstheme="minorBidi"/>
                <w:color w:val="505050"/>
                <w:sz w:val="18"/>
                <w:szCs w:val="18"/>
              </w:rPr>
              <w:t>2</w:t>
            </w:r>
          </w:p>
        </w:tc>
        <w:tc>
          <w:tcPr>
            <w:tcW w:w="1638" w:type="pct"/>
            <w:vMerge w:val="restart"/>
            <w:tcBorders>
              <w:top w:val="single" w:color="auto" w:sz="4" w:space="0"/>
              <w:left w:val="single" w:color="auto" w:sz="4" w:space="0"/>
            </w:tcBorders>
            <w:vAlign w:val="center"/>
          </w:tcPr>
          <w:p>
            <w:pPr>
              <w:jc w:val="center"/>
              <w:rPr>
                <w:rFonts w:asciiTheme="minorHAnsi" w:hAnsiTheme="minorHAnsi" w:eastAsiaTheme="minorEastAsia" w:cstheme="minorBidi"/>
                <w:szCs w:val="22"/>
              </w:rPr>
            </w:pPr>
            <w:r>
              <w:rPr>
                <w:rFonts w:ascii="宋体" w:hAnsi="宋体" w:eastAsia="宋体" w:cstheme="minorBidi"/>
                <w:color w:val="505050"/>
                <w:sz w:val="18"/>
                <w:szCs w:val="18"/>
              </w:rPr>
              <w:t>依据城市绿化条例和养护标准，做好修剪、开挖、树球捆扎保护、起吊、移植和支护等。养护（</w:t>
            </w:r>
            <w:r>
              <w:rPr>
                <w:rFonts w:hint="eastAsia" w:ascii="宋体" w:hAnsi="宋体" w:eastAsia="宋体" w:cstheme="minorBidi"/>
                <w:color w:val="505050"/>
                <w:sz w:val="18"/>
                <w:szCs w:val="18"/>
              </w:rPr>
              <w:t>质保</w:t>
            </w:r>
            <w:r>
              <w:rPr>
                <w:rFonts w:ascii="宋体" w:hAnsi="宋体" w:eastAsia="宋体" w:cstheme="minorBidi"/>
                <w:color w:val="505050"/>
                <w:sz w:val="18"/>
                <w:szCs w:val="18"/>
              </w:rPr>
              <w:t>）期贰年。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5" w:hRule="atLeast"/>
        </w:trPr>
        <w:tc>
          <w:tcPr>
            <w:tcW w:w="247" w:type="pct"/>
            <w:vMerge w:val="continue"/>
            <w:tcBorders>
              <w:bottom w:val="single" w:color="auto" w:sz="4" w:space="0"/>
            </w:tcBorders>
            <w:vAlign w:val="center"/>
          </w:tcPr>
          <w:p>
            <w:pPr>
              <w:jc w:val="center"/>
              <w:rPr>
                <w:rFonts w:ascii="宋体" w:hAnsi="宋体" w:eastAsia="宋体" w:cstheme="minorBidi"/>
                <w:sz w:val="18"/>
                <w:szCs w:val="18"/>
              </w:rPr>
            </w:pPr>
          </w:p>
        </w:tc>
        <w:tc>
          <w:tcPr>
            <w:tcW w:w="1405" w:type="pct"/>
            <w:vMerge w:val="continue"/>
            <w:tcBorders>
              <w:bottom w:val="single" w:color="auto" w:sz="4" w:space="0"/>
            </w:tcBorders>
            <w:vAlign w:val="center"/>
          </w:tcPr>
          <w:p>
            <w:pPr>
              <w:jc w:val="center"/>
              <w:rPr>
                <w:rFonts w:ascii="宋体" w:hAnsi="宋体" w:eastAsia="宋体" w:cstheme="minorBidi"/>
                <w:sz w:val="18"/>
                <w:szCs w:val="18"/>
              </w:rPr>
            </w:pPr>
          </w:p>
        </w:tc>
        <w:tc>
          <w:tcPr>
            <w:tcW w:w="386" w:type="pct"/>
            <w:vMerge w:val="continue"/>
            <w:tcBorders>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p>
        </w:tc>
        <w:tc>
          <w:tcPr>
            <w:tcW w:w="373" w:type="pct"/>
            <w:vMerge w:val="continue"/>
            <w:tcBorders>
              <w:left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p>
        </w:tc>
        <w:tc>
          <w:tcPr>
            <w:tcW w:w="1638" w:type="pct"/>
            <w:vMerge w:val="continue"/>
            <w:tcBorders>
              <w:left w:val="single" w:color="auto" w:sz="4" w:space="0"/>
              <w:bottom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9" w:hRule="atLeast"/>
        </w:trPr>
        <w:tc>
          <w:tcPr>
            <w:tcW w:w="247"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6</w:t>
            </w:r>
          </w:p>
        </w:tc>
        <w:tc>
          <w:tcPr>
            <w:tcW w:w="1405" w:type="pct"/>
            <w:vMerge w:val="restar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两校区之间树木移栽：</w:t>
            </w:r>
            <w:r>
              <w:rPr>
                <w:rFonts w:hint="eastAsia" w:ascii="宋体" w:hAnsi="宋体" w:eastAsia="宋体" w:cs="Times New Roman"/>
                <w:sz w:val="18"/>
                <w:szCs w:val="18"/>
              </w:rPr>
              <w:t>树穴开挖、苗木吊装</w:t>
            </w:r>
            <w:r>
              <w:rPr>
                <w:rFonts w:hint="eastAsia" w:ascii="宋体" w:hAnsi="宋体" w:eastAsia="宋体" w:cstheme="minorBidi"/>
                <w:sz w:val="18"/>
                <w:szCs w:val="18"/>
              </w:rPr>
              <w:t>、</w:t>
            </w:r>
            <w:r>
              <w:rPr>
                <w:rFonts w:hint="eastAsia" w:ascii="宋体" w:hAnsi="宋体" w:eastAsia="宋体" w:cs="Times New Roman"/>
                <w:sz w:val="18"/>
                <w:szCs w:val="18"/>
              </w:rPr>
              <w:t>高空修剪</w:t>
            </w:r>
            <w:r>
              <w:rPr>
                <w:rFonts w:hint="eastAsia" w:ascii="宋体" w:hAnsi="宋体" w:eastAsia="宋体" w:cstheme="minorBidi"/>
                <w:sz w:val="18"/>
                <w:szCs w:val="18"/>
              </w:rPr>
              <w:t>，</w:t>
            </w:r>
            <w:r>
              <w:rPr>
                <w:rFonts w:ascii="宋体" w:hAnsi="宋体" w:eastAsia="宋体" w:cs="Arial"/>
                <w:kern w:val="0"/>
                <w:sz w:val="18"/>
                <w:szCs w:val="18"/>
              </w:rPr>
              <w:t>树木移栽后贰年内未成活的，应当予以补植；</w:t>
            </w:r>
            <w:r>
              <w:rPr>
                <w:rFonts w:hint="eastAsia" w:ascii="宋体" w:hAnsi="宋体" w:eastAsia="宋体" w:cstheme="minorBidi"/>
                <w:sz w:val="18"/>
                <w:szCs w:val="18"/>
              </w:rPr>
              <w:t>工完场清，垃圾运至校外政府允许倾倒处</w:t>
            </w:r>
          </w:p>
        </w:tc>
        <w:tc>
          <w:tcPr>
            <w:tcW w:w="386" w:type="pct"/>
            <w:vMerge w:val="restar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418" w:type="pct"/>
            <w:tcBorders>
              <w:top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p>
            <w:pPr>
              <w:jc w:val="center"/>
              <w:rPr>
                <w:rFonts w:ascii="宋体" w:hAnsi="宋体" w:eastAsia="宋体" w:cstheme="minorBidi"/>
                <w:sz w:val="18"/>
                <w:szCs w:val="18"/>
              </w:rPr>
            </w:pPr>
          </w:p>
        </w:tc>
        <w:tc>
          <w:tcPr>
            <w:tcW w:w="52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left w:val="single" w:color="auto" w:sz="4" w:space="0"/>
              <w:right w:val="single" w:color="auto" w:sz="4" w:space="0"/>
            </w:tcBorders>
            <w:vAlign w:val="center"/>
          </w:tcPr>
          <w:p>
            <w:pPr>
              <w:jc w:val="center"/>
              <w:rPr>
                <w:rFonts w:ascii="宋体" w:hAnsi="宋体" w:eastAsia="宋体" w:cstheme="minorBidi"/>
                <w:color w:val="505050"/>
                <w:sz w:val="18"/>
                <w:szCs w:val="18"/>
              </w:rPr>
            </w:pPr>
            <w:r>
              <w:rPr>
                <w:rFonts w:hint="eastAsia" w:ascii="宋体" w:hAnsi="宋体" w:eastAsia="宋体" w:cstheme="minorBidi"/>
                <w:color w:val="505050"/>
                <w:sz w:val="18"/>
                <w:szCs w:val="18"/>
              </w:rPr>
              <w:t>2</w:t>
            </w:r>
          </w:p>
        </w:tc>
        <w:tc>
          <w:tcPr>
            <w:tcW w:w="1638" w:type="pct"/>
            <w:vMerge w:val="restart"/>
            <w:tcBorders>
              <w:top w:val="single" w:color="auto" w:sz="4" w:space="0"/>
              <w:left w:val="single" w:color="auto" w:sz="4" w:space="0"/>
            </w:tcBorders>
            <w:vAlign w:val="center"/>
          </w:tcPr>
          <w:p>
            <w:pPr>
              <w:jc w:val="center"/>
              <w:rPr>
                <w:rFonts w:asciiTheme="minorHAnsi" w:hAnsiTheme="minorHAnsi" w:eastAsiaTheme="minorEastAsia" w:cstheme="minorBidi"/>
                <w:szCs w:val="22"/>
              </w:rPr>
            </w:pPr>
            <w:r>
              <w:rPr>
                <w:rFonts w:ascii="宋体" w:hAnsi="宋体" w:eastAsia="宋体" w:cstheme="minorBidi"/>
                <w:color w:val="505050"/>
                <w:sz w:val="18"/>
                <w:szCs w:val="18"/>
              </w:rPr>
              <w:t>依据城市绿化条例和养护标准，做好修剪、开挖、树球捆扎保护、起吊、移植和支护等。养护（</w:t>
            </w:r>
            <w:r>
              <w:rPr>
                <w:rFonts w:hint="eastAsia" w:ascii="宋体" w:hAnsi="宋体" w:eastAsia="宋体" w:cstheme="minorBidi"/>
                <w:color w:val="505050"/>
                <w:sz w:val="18"/>
                <w:szCs w:val="18"/>
              </w:rPr>
              <w:t>质保</w:t>
            </w:r>
            <w:r>
              <w:rPr>
                <w:rFonts w:ascii="宋体" w:hAnsi="宋体" w:eastAsia="宋体" w:cstheme="minorBidi"/>
                <w:color w:val="505050"/>
                <w:sz w:val="18"/>
                <w:szCs w:val="18"/>
              </w:rPr>
              <w:t>）期贰年。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247" w:type="pct"/>
            <w:vMerge w:val="continue"/>
            <w:tcBorders>
              <w:bottom w:val="single" w:color="auto" w:sz="4" w:space="0"/>
            </w:tcBorders>
            <w:vAlign w:val="center"/>
          </w:tcPr>
          <w:p>
            <w:pPr>
              <w:jc w:val="center"/>
              <w:rPr>
                <w:rFonts w:ascii="宋体" w:hAnsi="宋体" w:eastAsia="宋体" w:cstheme="minorBidi"/>
                <w:sz w:val="18"/>
                <w:szCs w:val="18"/>
              </w:rPr>
            </w:pPr>
          </w:p>
        </w:tc>
        <w:tc>
          <w:tcPr>
            <w:tcW w:w="1405" w:type="pct"/>
            <w:vMerge w:val="continue"/>
            <w:tcBorders>
              <w:bottom w:val="single" w:color="auto" w:sz="4" w:space="0"/>
            </w:tcBorders>
            <w:vAlign w:val="center"/>
          </w:tcPr>
          <w:p>
            <w:pPr>
              <w:jc w:val="center"/>
              <w:rPr>
                <w:rFonts w:ascii="宋体" w:hAnsi="宋体" w:eastAsia="宋体" w:cstheme="minorBidi"/>
                <w:sz w:val="18"/>
                <w:szCs w:val="18"/>
              </w:rPr>
            </w:pPr>
          </w:p>
        </w:tc>
        <w:tc>
          <w:tcPr>
            <w:tcW w:w="386" w:type="pct"/>
            <w:vMerge w:val="continue"/>
            <w:tcBorders>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right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≥20</w:t>
            </w:r>
          </w:p>
        </w:tc>
        <w:tc>
          <w:tcPr>
            <w:tcW w:w="529" w:type="pct"/>
            <w:tcBorders>
              <w:top w:val="single" w:color="auto" w:sz="4" w:space="0"/>
              <w:left w:val="single" w:color="auto" w:sz="4" w:space="0"/>
              <w:right w:val="single" w:color="auto" w:sz="4" w:space="0"/>
            </w:tcBorders>
            <w:vAlign w:val="center"/>
          </w:tcPr>
          <w:p>
            <w:pPr>
              <w:jc w:val="center"/>
              <w:rPr>
                <w:rFonts w:ascii="宋体" w:hAnsi="宋体" w:eastAsia="宋体" w:cstheme="minorBidi"/>
                <w:sz w:val="18"/>
                <w:szCs w:val="18"/>
              </w:rPr>
            </w:pPr>
          </w:p>
        </w:tc>
        <w:tc>
          <w:tcPr>
            <w:tcW w:w="373" w:type="pct"/>
            <w:vMerge w:val="continue"/>
            <w:tcBorders>
              <w:left w:val="single" w:color="auto" w:sz="4" w:space="0"/>
              <w:right w:val="single" w:color="auto" w:sz="4" w:space="0"/>
            </w:tcBorders>
            <w:vAlign w:val="center"/>
          </w:tcPr>
          <w:p>
            <w:pPr>
              <w:jc w:val="center"/>
              <w:rPr>
                <w:rFonts w:ascii="宋体" w:hAnsi="宋体" w:eastAsia="宋体" w:cstheme="minorBidi"/>
                <w:sz w:val="18"/>
                <w:szCs w:val="18"/>
              </w:rPr>
            </w:pPr>
          </w:p>
        </w:tc>
        <w:tc>
          <w:tcPr>
            <w:tcW w:w="1638" w:type="pct"/>
            <w:vMerge w:val="continue"/>
            <w:tcBorders>
              <w:left w:val="single" w:color="auto" w:sz="4" w:space="0"/>
              <w:bottom w:val="single" w:color="auto" w:sz="4" w:space="0"/>
            </w:tcBorders>
            <w:vAlign w:val="center"/>
          </w:tcPr>
          <w:p>
            <w:pPr>
              <w:jc w:val="center"/>
              <w:rPr>
                <w:rFonts w:ascii="宋体" w:hAnsi="宋体"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247" w:type="pct"/>
            <w:tcBorders>
              <w:top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7.1</w:t>
            </w:r>
          </w:p>
        </w:tc>
        <w:tc>
          <w:tcPr>
            <w:tcW w:w="1405" w:type="pct"/>
            <w:tcBorders>
              <w:top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武昌校区家属区一面外山墙藤木（</w:t>
            </w:r>
            <w:r>
              <w:rPr>
                <w:rFonts w:hint="eastAsia" w:ascii="宋体" w:hAnsi="宋体" w:eastAsia="宋体" w:cstheme="minorBidi"/>
                <w:sz w:val="18"/>
                <w:szCs w:val="18"/>
              </w:rPr>
              <w:t>爬山虎</w:t>
            </w:r>
            <w:r>
              <w:rPr>
                <w:rFonts w:ascii="宋体" w:hAnsi="宋体" w:eastAsia="宋体" w:cstheme="minorBidi"/>
                <w:sz w:val="18"/>
                <w:szCs w:val="18"/>
              </w:rPr>
              <w:t>）修剪</w:t>
            </w:r>
          </w:p>
        </w:tc>
        <w:tc>
          <w:tcPr>
            <w:tcW w:w="386" w:type="pct"/>
            <w:tcBorders>
              <w:top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right w:val="single" w:color="auto" w:sz="4" w:space="0"/>
            </w:tcBorders>
            <w:vAlign w:val="center"/>
          </w:tcPr>
          <w:p>
            <w:pPr>
              <w:jc w:val="center"/>
              <w:rPr>
                <w:rFonts w:ascii="宋体" w:hAnsi="宋体" w:eastAsia="宋体" w:cstheme="minorBidi"/>
                <w:sz w:val="18"/>
                <w:szCs w:val="18"/>
              </w:rPr>
            </w:pPr>
          </w:p>
        </w:tc>
        <w:tc>
          <w:tcPr>
            <w:tcW w:w="529" w:type="pct"/>
            <w:tcBorders>
              <w:top w:val="single" w:color="auto" w:sz="4" w:space="0"/>
              <w:left w:val="single" w:color="auto" w:sz="4" w:space="0"/>
              <w:right w:val="single" w:color="auto" w:sz="4" w:space="0"/>
            </w:tcBorders>
            <w:vAlign w:val="center"/>
          </w:tcPr>
          <w:p>
            <w:pPr>
              <w:jc w:val="center"/>
              <w:rPr>
                <w:rFonts w:ascii="宋体" w:hAnsi="宋体" w:eastAsia="宋体" w:cstheme="minorBidi"/>
                <w:sz w:val="18"/>
                <w:szCs w:val="18"/>
              </w:rPr>
            </w:pPr>
          </w:p>
        </w:tc>
        <w:tc>
          <w:tcPr>
            <w:tcW w:w="373" w:type="pct"/>
            <w:vMerge w:val="restart"/>
            <w:tcBorders>
              <w:top w:val="single" w:color="auto" w:sz="4" w:space="0"/>
              <w:left w:val="single" w:color="auto" w:sz="4" w:space="0"/>
              <w:right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2</w:t>
            </w:r>
          </w:p>
        </w:tc>
        <w:tc>
          <w:tcPr>
            <w:tcW w:w="1638" w:type="pct"/>
            <w:tcBorders>
              <w:top w:val="single" w:color="auto" w:sz="4" w:space="0"/>
              <w:left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按照吸附类及钩刺类藤木养护管理技术要求进行修剪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247" w:type="pct"/>
            <w:tcBorders>
              <w:top w:val="single" w:color="auto" w:sz="4" w:space="0"/>
              <w:bottom w:val="single" w:color="auto" w:sz="4" w:space="0"/>
            </w:tcBorders>
            <w:vAlign w:val="center"/>
          </w:tcPr>
          <w:p>
            <w:pPr>
              <w:jc w:val="center"/>
              <w:rPr>
                <w:rFonts w:ascii="宋体" w:hAnsi="宋体" w:eastAsia="宋体" w:cstheme="minorBidi"/>
                <w:sz w:val="18"/>
                <w:szCs w:val="18"/>
              </w:rPr>
            </w:pPr>
            <w:r>
              <w:rPr>
                <w:rFonts w:hint="eastAsia" w:ascii="宋体" w:hAnsi="宋体" w:eastAsia="宋体" w:cstheme="minorBidi"/>
                <w:sz w:val="18"/>
                <w:szCs w:val="18"/>
              </w:rPr>
              <w:t>7.2</w:t>
            </w:r>
          </w:p>
        </w:tc>
        <w:tc>
          <w:tcPr>
            <w:tcW w:w="1405" w:type="pct"/>
            <w:tcBorders>
              <w:top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武昌校区家属区一面外山墙枯死藤木（</w:t>
            </w:r>
            <w:r>
              <w:rPr>
                <w:rFonts w:hint="eastAsia" w:ascii="宋体" w:hAnsi="宋体" w:eastAsia="宋体" w:cstheme="minorBidi"/>
                <w:sz w:val="18"/>
                <w:szCs w:val="18"/>
              </w:rPr>
              <w:t>爬山虎</w:t>
            </w:r>
            <w:r>
              <w:rPr>
                <w:rFonts w:ascii="宋体" w:hAnsi="宋体" w:eastAsia="宋体" w:cstheme="minorBidi"/>
                <w:sz w:val="18"/>
                <w:szCs w:val="18"/>
              </w:rPr>
              <w:t>）清除</w:t>
            </w:r>
          </w:p>
        </w:tc>
        <w:tc>
          <w:tcPr>
            <w:tcW w:w="386" w:type="pct"/>
            <w:tcBorders>
              <w:top w:val="single" w:color="auto" w:sz="4" w:space="0"/>
              <w:left w:val="single" w:color="auto" w:sz="4" w:space="0"/>
              <w:bottom w:val="single" w:color="auto" w:sz="4" w:space="0"/>
            </w:tcBorders>
            <w:vAlign w:val="center"/>
          </w:tcPr>
          <w:p>
            <w:pPr>
              <w:jc w:val="center"/>
              <w:rPr>
                <w:rFonts w:ascii="宋体" w:hAnsi="宋体" w:eastAsia="宋体" w:cstheme="minorBidi"/>
                <w:sz w:val="18"/>
                <w:szCs w:val="18"/>
              </w:rPr>
            </w:pPr>
          </w:p>
        </w:tc>
        <w:tc>
          <w:tcPr>
            <w:tcW w:w="418" w:type="pct"/>
            <w:tcBorders>
              <w:top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p>
        </w:tc>
        <w:tc>
          <w:tcPr>
            <w:tcW w:w="52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p>
        </w:tc>
        <w:tc>
          <w:tcPr>
            <w:tcW w:w="373" w:type="pct"/>
            <w:vMerge w:val="continue"/>
            <w:tcBorders>
              <w:left w:val="single" w:color="auto" w:sz="4" w:space="0"/>
              <w:bottom w:val="single" w:color="auto" w:sz="4" w:space="0"/>
              <w:right w:val="single" w:color="auto" w:sz="4" w:space="0"/>
            </w:tcBorders>
            <w:vAlign w:val="center"/>
          </w:tcPr>
          <w:p>
            <w:pPr>
              <w:jc w:val="center"/>
              <w:rPr>
                <w:rFonts w:ascii="宋体" w:hAnsi="宋体" w:eastAsia="宋体" w:cstheme="minorBidi"/>
                <w:sz w:val="18"/>
                <w:szCs w:val="18"/>
              </w:rPr>
            </w:pPr>
          </w:p>
        </w:tc>
        <w:tc>
          <w:tcPr>
            <w:tcW w:w="1638" w:type="pct"/>
            <w:tcBorders>
              <w:top w:val="single" w:color="auto" w:sz="4" w:space="0"/>
              <w:left w:val="single" w:color="auto" w:sz="4" w:space="0"/>
              <w:bottom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按照吸附类及钩刺类藤木养护管理技术要求进行修剪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 w:hRule="atLeast"/>
        </w:trPr>
        <w:tc>
          <w:tcPr>
            <w:tcW w:w="1653" w:type="pct"/>
            <w:gridSpan w:val="2"/>
            <w:tcBorders>
              <w:top w:val="single" w:color="auto" w:sz="4" w:space="0"/>
              <w:bottom w:val="single" w:color="auto" w:sz="4" w:space="0"/>
            </w:tcBorders>
            <w:vAlign w:val="center"/>
          </w:tcPr>
          <w:p>
            <w:pPr>
              <w:jc w:val="center"/>
              <w:rPr>
                <w:rFonts w:ascii="宋体" w:hAnsi="宋体" w:eastAsia="宋体" w:cstheme="minorBidi"/>
                <w:sz w:val="18"/>
                <w:szCs w:val="18"/>
              </w:rPr>
            </w:pPr>
            <w:r>
              <w:rPr>
                <w:rFonts w:ascii="宋体" w:hAnsi="宋体" w:eastAsia="宋体" w:cstheme="minorBidi"/>
                <w:sz w:val="18"/>
                <w:szCs w:val="18"/>
              </w:rPr>
              <w:t>合计</w:t>
            </w:r>
          </w:p>
        </w:tc>
        <w:tc>
          <w:tcPr>
            <w:tcW w:w="3346" w:type="pct"/>
            <w:gridSpan w:val="5"/>
            <w:tcBorders>
              <w:top w:val="single" w:color="auto" w:sz="4" w:space="0"/>
              <w:bottom w:val="single" w:color="auto" w:sz="4" w:space="0"/>
            </w:tcBorders>
            <w:vAlign w:val="center"/>
          </w:tcPr>
          <w:p>
            <w:pPr>
              <w:jc w:val="center"/>
              <w:rPr>
                <w:rFonts w:ascii="宋体" w:hAnsi="宋体" w:eastAsia="宋体" w:cstheme="minorBidi"/>
                <w:sz w:val="18"/>
                <w:szCs w:val="18"/>
              </w:rPr>
            </w:pPr>
          </w:p>
        </w:tc>
      </w:tr>
    </w:tbl>
    <w:p>
      <w:pPr>
        <w:jc w:val="both"/>
        <w:outlineLvl w:val="9"/>
        <w:rPr>
          <w:rFonts w:asciiTheme="minorEastAsia" w:hAnsiTheme="minorEastAsia" w:eastAsiaTheme="minorEastAsia" w:cstheme="minorEastAsia"/>
          <w:b/>
          <w:bCs/>
          <w:spacing w:val="6"/>
          <w:szCs w:val="21"/>
        </w:rPr>
      </w:pPr>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32</w:t>
    </w:r>
    <w:r>
      <w:rPr>
        <w:lang w:val="zh-CN"/>
      </w:rP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0BA2AF0"/>
    <w:multiLevelType w:val="singleLevel"/>
    <w:tmpl w:val="20BA2AF0"/>
    <w:lvl w:ilvl="0" w:tentative="0">
      <w:start w:val="1"/>
      <w:numFmt w:val="decimal"/>
      <w:suff w:val="space"/>
      <w:lvlText w:val="%1）"/>
      <w:lvlJc w:val="left"/>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5">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8">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2">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3">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8"/>
  </w:num>
  <w:num w:numId="2">
    <w:abstractNumId w:val="10"/>
  </w:num>
  <w:num w:numId="3">
    <w:abstractNumId w:val="19"/>
  </w:num>
  <w:num w:numId="4">
    <w:abstractNumId w:val="28"/>
  </w:num>
  <w:num w:numId="5">
    <w:abstractNumId w:val="13"/>
  </w:num>
  <w:num w:numId="6">
    <w:abstractNumId w:val="12"/>
  </w:num>
  <w:num w:numId="7">
    <w:abstractNumId w:val="1"/>
  </w:num>
  <w:num w:numId="8">
    <w:abstractNumId w:val="32"/>
  </w:num>
  <w:num w:numId="9">
    <w:abstractNumId w:val="15"/>
  </w:num>
  <w:num w:numId="10">
    <w:abstractNumId w:val="8"/>
  </w:num>
  <w:num w:numId="11">
    <w:abstractNumId w:val="14"/>
  </w:num>
  <w:num w:numId="12">
    <w:abstractNumId w:val="34"/>
  </w:num>
  <w:num w:numId="13">
    <w:abstractNumId w:val="44"/>
  </w:num>
  <w:num w:numId="14">
    <w:abstractNumId w:val="45"/>
  </w:num>
  <w:num w:numId="15">
    <w:abstractNumId w:val="27"/>
  </w:num>
  <w:num w:numId="16">
    <w:abstractNumId w:val="30"/>
  </w:num>
  <w:num w:numId="17">
    <w:abstractNumId w:val="33"/>
  </w:num>
  <w:num w:numId="18">
    <w:abstractNumId w:val="35"/>
  </w:num>
  <w:num w:numId="19">
    <w:abstractNumId w:val="3"/>
  </w:num>
  <w:num w:numId="20">
    <w:abstractNumId w:val="37"/>
  </w:num>
  <w:num w:numId="21">
    <w:abstractNumId w:val="5"/>
  </w:num>
  <w:num w:numId="22">
    <w:abstractNumId w:val="25"/>
  </w:num>
  <w:num w:numId="23">
    <w:abstractNumId w:val="21"/>
  </w:num>
  <w:num w:numId="24">
    <w:abstractNumId w:val="40"/>
  </w:num>
  <w:num w:numId="25">
    <w:abstractNumId w:val="11"/>
  </w:num>
  <w:num w:numId="26">
    <w:abstractNumId w:val="26"/>
  </w:num>
  <w:num w:numId="27">
    <w:abstractNumId w:val="7"/>
  </w:num>
  <w:num w:numId="28">
    <w:abstractNumId w:val="39"/>
  </w:num>
  <w:num w:numId="29">
    <w:abstractNumId w:val="43"/>
  </w:num>
  <w:num w:numId="30">
    <w:abstractNumId w:val="29"/>
  </w:num>
  <w:num w:numId="31">
    <w:abstractNumId w:val="23"/>
  </w:num>
  <w:num w:numId="32">
    <w:abstractNumId w:val="9"/>
  </w:num>
  <w:num w:numId="33">
    <w:abstractNumId w:val="20"/>
  </w:num>
  <w:num w:numId="34">
    <w:abstractNumId w:val="42"/>
  </w:num>
  <w:num w:numId="35">
    <w:abstractNumId w:val="24"/>
  </w:num>
  <w:num w:numId="36">
    <w:abstractNumId w:val="16"/>
  </w:num>
  <w:num w:numId="37">
    <w:abstractNumId w:val="41"/>
  </w:num>
  <w:num w:numId="38">
    <w:abstractNumId w:val="36"/>
  </w:num>
  <w:num w:numId="39">
    <w:abstractNumId w:val="17"/>
  </w:num>
  <w:num w:numId="40">
    <w:abstractNumId w:val="31"/>
  </w:num>
  <w:num w:numId="41">
    <w:abstractNumId w:val="2"/>
  </w:num>
  <w:num w:numId="42">
    <w:abstractNumId w:val="18"/>
  </w:num>
  <w:num w:numId="43">
    <w:abstractNumId w:val="22"/>
  </w:num>
  <w:num w:numId="44">
    <w:abstractNumId w:val="6"/>
  </w:num>
  <w:num w:numId="45">
    <w:abstractNumId w:val="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14"/>
    <w:rsid w:val="000E594A"/>
    <w:rsid w:val="00445D3D"/>
    <w:rsid w:val="0056489F"/>
    <w:rsid w:val="00645D21"/>
    <w:rsid w:val="006D55FB"/>
    <w:rsid w:val="007E3708"/>
    <w:rsid w:val="00965B32"/>
    <w:rsid w:val="00B379CA"/>
    <w:rsid w:val="00C24614"/>
    <w:rsid w:val="00C347DC"/>
    <w:rsid w:val="00CF6FFA"/>
    <w:rsid w:val="00DD3B09"/>
    <w:rsid w:val="00E0367A"/>
    <w:rsid w:val="00F1727A"/>
    <w:rsid w:val="00F60753"/>
    <w:rsid w:val="00FC41E5"/>
    <w:rsid w:val="0BF3049B"/>
    <w:rsid w:val="0C803D6C"/>
    <w:rsid w:val="0E2F3622"/>
    <w:rsid w:val="0FEC03B4"/>
    <w:rsid w:val="1038607F"/>
    <w:rsid w:val="137613A0"/>
    <w:rsid w:val="17384FD7"/>
    <w:rsid w:val="18487BEB"/>
    <w:rsid w:val="1B27452D"/>
    <w:rsid w:val="1C9C02CD"/>
    <w:rsid w:val="1CE1131F"/>
    <w:rsid w:val="1EBD78D2"/>
    <w:rsid w:val="1FB43BD0"/>
    <w:rsid w:val="21904BE9"/>
    <w:rsid w:val="22656C97"/>
    <w:rsid w:val="23097CFE"/>
    <w:rsid w:val="23CB298F"/>
    <w:rsid w:val="24703323"/>
    <w:rsid w:val="26D44711"/>
    <w:rsid w:val="289F19AA"/>
    <w:rsid w:val="30C714B2"/>
    <w:rsid w:val="313A3FFB"/>
    <w:rsid w:val="31F63D52"/>
    <w:rsid w:val="327F1723"/>
    <w:rsid w:val="33FD54A5"/>
    <w:rsid w:val="343F3CDA"/>
    <w:rsid w:val="3AE02E4D"/>
    <w:rsid w:val="3BE76DC2"/>
    <w:rsid w:val="3D145027"/>
    <w:rsid w:val="3DF25E09"/>
    <w:rsid w:val="3F7424B0"/>
    <w:rsid w:val="467F690A"/>
    <w:rsid w:val="474708D1"/>
    <w:rsid w:val="4BFD413A"/>
    <w:rsid w:val="4E37433F"/>
    <w:rsid w:val="4FAA1A96"/>
    <w:rsid w:val="53D777F1"/>
    <w:rsid w:val="57A67950"/>
    <w:rsid w:val="5F1A36C2"/>
    <w:rsid w:val="601F1F6E"/>
    <w:rsid w:val="640749CB"/>
    <w:rsid w:val="64DC27A1"/>
    <w:rsid w:val="64F26D6A"/>
    <w:rsid w:val="688D458F"/>
    <w:rsid w:val="6A0568DE"/>
    <w:rsid w:val="6AE93502"/>
    <w:rsid w:val="6E526545"/>
    <w:rsid w:val="71514B53"/>
    <w:rsid w:val="724F2D35"/>
    <w:rsid w:val="728D4387"/>
    <w:rsid w:val="73A043FE"/>
    <w:rsid w:val="741E22C0"/>
    <w:rsid w:val="76A75201"/>
    <w:rsid w:val="778A303C"/>
    <w:rsid w:val="79E14C9F"/>
    <w:rsid w:val="7C4C04B0"/>
    <w:rsid w:val="7D726B3D"/>
    <w:rsid w:val="7DEB7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spacing w:before="156"/>
      <w:outlineLvl w:val="4"/>
    </w:pPr>
    <w:rPr>
      <w:rFonts w:ascii="MS Shell Dlg" w:hAnsi="MS Shell Dlg"/>
    </w:rPr>
  </w:style>
  <w:style w:type="paragraph" w:customStyle="1" w:styleId="92">
    <w:name w:val="列出段落1"/>
    <w:basedOn w:val="1"/>
    <w:qFormat/>
    <w:uiPriority w:val="34"/>
    <w:pPr>
      <w:ind w:firstLine="420" w:firstLineChars="200"/>
    </w:pPr>
    <w:rPr>
      <w:sz w:val="28"/>
    </w:rPr>
  </w:style>
  <w:style w:type="paragraph" w:customStyle="1" w:styleId="93">
    <w:name w:val="列出段落1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6337</Words>
  <Characters>36127</Characters>
  <Lines>301</Lines>
  <Paragraphs>84</Paragraphs>
  <TotalTime>8</TotalTime>
  <ScaleCrop>false</ScaleCrop>
  <LinksUpToDate>false</LinksUpToDate>
  <CharactersWithSpaces>42380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2018-07-03T07:53:00Z</dcterms:created>
  <dc:creator>风之客</dc:creator>
  <cp:lastModifiedBy>:(</cp:lastModifiedBy>
  <cp:lastPrinted>2020-07-23T17:32:00Z</cp:lastPrinted>
  <dcterms:modified xsi:type="dcterms:W3CDTF">2020-11-20T03:41:16Z</dcterms:modified>
  <dc:title>湖 北  招 标</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