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1"/>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jc w:val="center"/>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rPr>
          <w:rFonts w:hint="eastAsia" w:asciiTheme="minorEastAsia" w:hAnsiTheme="minorEastAsia" w:eastAsiaTheme="minorEastAsia" w:cstheme="minorEastAsia"/>
          <w:color w:val="auto"/>
          <w:sz w:val="20"/>
        </w:rPr>
      </w:pPr>
    </w:p>
    <w:p>
      <w:pPr>
        <w:pStyle w:val="11"/>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编</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ZJZB-202010-289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名</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湖北省汉阳监狱2020年-2021年药品采购供应商遴选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采</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购</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方 式</w:t>
            </w:r>
            <w:r>
              <w:rPr>
                <w:rFonts w:hint="eastAsia" w:asciiTheme="minorEastAsia" w:hAnsiTheme="minorEastAsia" w:eastAsiaTheme="minorEastAsia" w:cstheme="minorEastAsia"/>
                <w:b/>
                <w:color w:val="000000" w:themeColor="text1"/>
                <w:sz w:val="28"/>
                <w14:textFill>
                  <w14:solidFill>
                    <w14:schemeClr w14:val="tx1"/>
                  </w14:solidFill>
                </w14:textFill>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服务</w:t>
            </w:r>
          </w:p>
        </w:tc>
      </w:tr>
    </w:tbl>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1"/>
        <w:kinsoku w:val="0"/>
        <w:overflowPunct w:val="0"/>
        <w:spacing w:before="4"/>
        <w:rPr>
          <w:rFonts w:hint="eastAsia" w:asciiTheme="minorEastAsia" w:hAnsiTheme="minorEastAsia" w:eastAsiaTheme="minorEastAsia" w:cstheme="minorEastAsia"/>
          <w:color w:val="000000" w:themeColor="text1"/>
          <w:sz w:val="20"/>
          <w14:textFill>
            <w14:solidFill>
              <w14:schemeClr w14:val="tx1"/>
            </w14:solidFill>
          </w14:textFill>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湖北省汉阳监狱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2020年10月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_Toc16364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_Toc16364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_Toc18048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_Toc18048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_Toc29871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_Toc29871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_Toc24271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_Toc24271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_Toc21272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_Toc21272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_Toc27695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_Toc27695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_Toc21834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六、 公告期限</w:t>
      </w:r>
      <w:r>
        <w:tab/>
      </w:r>
      <w:r>
        <w:fldChar w:fldCharType="begin"/>
      </w:r>
      <w:r>
        <w:instrText xml:space="preserve"> PAGEREF _Toc21834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_Toc31302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_Toc31302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_Toc12824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_Toc12824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_Toc32576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_Toc32576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_Toc16155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_Toc16155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_Toc14855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_Toc21328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_Toc21328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_Toc13404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_Toc13404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_Toc24622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_Toc13704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_Toc6652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_Toc12871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_Toc32483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_Toc25932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_Toc26439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_Toc13283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_Toc16348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_Toc19000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_Toc19000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_Toc21819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_Toc22301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_Toc17700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_Toc17700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_Toc19133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_Toc2772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_Toc22554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_Toc1819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_Toc14153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_Toc10777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_Toc22220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_Toc21439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_Toc21439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_Toc23671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_Toc27020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_Toc6851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_Toc21289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_Toc1411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_Toc23748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_Toc18758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_Toc18758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_Toc13658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_Toc768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_Toc12377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_Toc16803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_Toc16803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_Toc27960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_Toc27960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_Toc2509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_Toc23808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_Toc5059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_Toc5059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_Toc7380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_Toc32325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_Toc32325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_Toc5623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_Toc17665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_Toc17665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_Toc5870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_Toc5870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_Toc32694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_Toc32694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_Toc30372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_Toc22332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_Toc6587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_Toc6587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_Toc18452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_Toc13177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_Toc17963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_Toc17963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_Toc9958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_Toc9958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_Toc13295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_Toc21018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_Toc28401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_Toc28401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_Toc1699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_Toc11458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_Toc5618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_Toc29996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_Toc16079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_Toc17635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、耗材清单（如有）</w:t>
      </w:r>
      <w:r>
        <w:tab/>
      </w:r>
      <w:r>
        <w:fldChar w:fldCharType="begin"/>
      </w:r>
      <w:r>
        <w:instrText xml:space="preserve"> PAGEREF _Toc17635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八、拟投入设备/备件、工具情况（如有）</w:t>
      </w:r>
      <w:r>
        <w:tab/>
      </w:r>
      <w:r>
        <w:fldChar w:fldCharType="begin"/>
      </w:r>
      <w:r>
        <w:instrText xml:space="preserve"> PAGEREF _Toc32484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_Toc19607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_Toc3848 </w:instrText>
      </w:r>
      <w:r>
        <w:fldChar w:fldCharType="separate"/>
      </w:r>
      <w:r>
        <w:t>66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_Toc10508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_Toc10508 </w:instrText>
      </w:r>
      <w:r>
        <w:fldChar w:fldCharType="separate"/>
      </w:r>
      <w:r>
        <w:t>67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_Toc19241 </w:instrText>
      </w:r>
      <w:r>
        <w:fldChar w:fldCharType="separate"/>
      </w:r>
      <w:r>
        <w:t>68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_Toc6084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_Toc6084 </w:instrText>
      </w:r>
      <w:r>
        <w:fldChar w:fldCharType="separate"/>
      </w:r>
      <w:r>
        <w:t>69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_Toc20174 </w:instrText>
      </w:r>
      <w:r>
        <w:fldChar w:fldCharType="separate"/>
      </w:r>
      <w:r>
        <w:t>70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_Toc29200 </w:instrText>
      </w:r>
      <w:r>
        <w:fldChar w:fldCharType="separate"/>
      </w:r>
      <w:r>
        <w:t>72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_Toc4700 </w:instrText>
      </w:r>
      <w:r>
        <w:fldChar w:fldCharType="separate"/>
      </w:r>
      <w:r>
        <w:t>73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_Toc10672 </w:instrText>
      </w:r>
      <w:r>
        <w:fldChar w:fldCharType="separate"/>
      </w:r>
      <w:r>
        <w:t>74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十九、节能环保产品证明材料（若符合）</w:t>
      </w:r>
      <w:r>
        <w:tab/>
      </w:r>
      <w:r>
        <w:fldChar w:fldCharType="begin"/>
      </w:r>
      <w:r>
        <w:instrText xml:space="preserve"> PAGEREF _Toc30654 </w:instrText>
      </w:r>
      <w:r>
        <w:fldChar w:fldCharType="separate"/>
      </w:r>
      <w:r>
        <w:t>75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_Toc7013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_Toc7013 </w:instrText>
      </w:r>
      <w:r>
        <w:fldChar w:fldCharType="separate"/>
      </w:r>
      <w:r>
        <w:t>76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二十一、磋商供应商认为应该提交的其它文件（格式自拟）</w:t>
      </w:r>
      <w:r>
        <w:tab/>
      </w:r>
      <w:r>
        <w:fldChar w:fldCharType="begin"/>
      </w:r>
      <w:r>
        <w:instrText xml:space="preserve"> PAGEREF _Toc26922 </w:instrText>
      </w:r>
      <w:r>
        <w:fldChar w:fldCharType="separate"/>
      </w:r>
      <w:r>
        <w:t>76</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6866"/>
      <w:bookmarkStart w:id="1" w:name="_Toc16364"/>
      <w:r>
        <w:rPr>
          <w:rFonts w:hint="eastAsia" w:ascii="宋体" w:hAnsi="宋体" w:cs="宋体"/>
          <w:b/>
          <w:sz w:val="36"/>
          <w:szCs w:val="36"/>
        </w:rPr>
        <w:t>竞争性磋商公告</w:t>
      </w:r>
      <w:bookmarkEnd w:id="0"/>
      <w:bookmarkEnd w:id="1"/>
      <w:bookmarkStart w:id="2" w:name="_Toc9976"/>
      <w:bookmarkStart w:id="3" w:name="_Toc152045512"/>
      <w:bookmarkStart w:id="4" w:name="_Toc152042288"/>
      <w:bookmarkStart w:id="5" w:name="_Toc524908844"/>
      <w:bookmarkStart w:id="6" w:name="_Toc179632528"/>
      <w:bookmarkStart w:id="7" w:name="_Toc144974480"/>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u w:val="single"/>
          <w14:textFill>
            <w14:solidFill>
              <w14:schemeClr w14:val="tx1"/>
            </w14:solidFill>
          </w14:textFill>
        </w:rPr>
        <w:t>湖北省汉阳监狱2020年-2021年药品采购供应商遴选</w:t>
      </w:r>
      <w:r>
        <w:rPr>
          <w:rFonts w:hint="eastAsia" w:ascii="宋体" w:hAnsi="宋体" w:eastAsia="宋体" w:cs="宋体"/>
          <w:color w:val="000000" w:themeColor="text1"/>
          <w:sz w:val="21"/>
          <w:szCs w:val="21"/>
          <w:u w:val="none"/>
          <w:lang w:val="en-US" w:eastAsia="zh-CN"/>
          <w14:textFill>
            <w14:solidFill>
              <w14:schemeClr w14:val="tx1"/>
            </w14:solidFill>
          </w14:textFill>
        </w:rPr>
        <w:t>的潜在供应商应在</w:t>
      </w:r>
      <w:r>
        <w:rPr>
          <w:rFonts w:hint="eastAsia" w:ascii="宋体" w:hAnsi="宋体" w:eastAsia="宋体" w:cs="宋体"/>
          <w:color w:val="000000" w:themeColor="text1"/>
          <w:sz w:val="21"/>
          <w:szCs w:val="21"/>
          <w:u w:val="single"/>
          <w14:textFill>
            <w14:solidFill>
              <w14:schemeClr w14:val="tx1"/>
            </w14:solidFill>
          </w14:textFill>
        </w:rPr>
        <w:t>中经国际招标集团有限公司</w:t>
      </w:r>
      <w:r>
        <w:rPr>
          <w:rFonts w:hint="eastAsia" w:ascii="宋体" w:hAnsi="宋体" w:eastAsia="宋体" w:cs="宋体"/>
          <w:color w:val="000000" w:themeColor="text1"/>
          <w:sz w:val="21"/>
          <w:szCs w:val="21"/>
          <w:u w:val="single"/>
          <w:lang w:eastAsia="zh-CN"/>
          <w14:textFill>
            <w14:solidFill>
              <w14:schemeClr w14:val="tx1"/>
            </w14:solidFill>
          </w14:textFill>
        </w:rPr>
        <w:t>（武昌区中北路岳家嘴立交山河企业大厦</w:t>
      </w:r>
      <w:r>
        <w:rPr>
          <w:rFonts w:hint="eastAsia" w:ascii="宋体" w:hAnsi="宋体" w:eastAsia="宋体" w:cs="宋体"/>
          <w:color w:val="000000" w:themeColor="text1"/>
          <w:sz w:val="21"/>
          <w:szCs w:val="21"/>
          <w:u w:val="single"/>
          <w:lang w:val="en-US" w:eastAsia="zh-CN"/>
          <w14:textFill>
            <w14:solidFill>
              <w14:schemeClr w14:val="tx1"/>
            </w14:solidFill>
          </w14:textFill>
        </w:rPr>
        <w:t>48楼</w:t>
      </w:r>
      <w:r>
        <w:rPr>
          <w:rFonts w:hint="eastAsia" w:ascii="宋体" w:hAnsi="宋体" w:eastAsia="宋体" w:cs="宋体"/>
          <w:color w:val="000000" w:themeColor="text1"/>
          <w:sz w:val="21"/>
          <w:szCs w:val="21"/>
          <w:u w:val="single"/>
          <w:lang w:eastAsia="zh-CN"/>
          <w14:textFill>
            <w14:solidFill>
              <w14:schemeClr w14:val="tx1"/>
            </w14:solidFill>
          </w14:textFill>
        </w:rPr>
        <w:t>4805室）</w:t>
      </w:r>
      <w:r>
        <w:rPr>
          <w:rFonts w:hint="eastAsia" w:ascii="宋体" w:hAnsi="宋体" w:eastAsia="宋体" w:cs="宋体"/>
          <w:color w:val="000000" w:themeColor="text1"/>
          <w:sz w:val="21"/>
          <w:szCs w:val="21"/>
          <w14:textFill>
            <w14:solidFill>
              <w14:schemeClr w14:val="tx1"/>
            </w14:solidFill>
          </w14:textFill>
        </w:rPr>
        <w:t>获取</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文件，并于</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11</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u w:val="single"/>
          <w14:textFill>
            <w14:solidFill>
              <w14:schemeClr w14:val="tx1"/>
            </w14:solidFill>
          </w14:textFill>
        </w:rPr>
        <w:t>日</w:t>
      </w:r>
      <w:r>
        <w:rPr>
          <w:rFonts w:hint="eastAsia" w:ascii="宋体" w:hAnsi="宋体" w:cs="宋体"/>
          <w:color w:val="000000" w:themeColor="text1"/>
          <w:sz w:val="21"/>
          <w:szCs w:val="21"/>
          <w:u w:val="single"/>
          <w:lang w:val="en-US" w:eastAsia="zh-CN"/>
          <w14:textFill>
            <w14:solidFill>
              <w14:schemeClr w14:val="tx1"/>
            </w14:solidFill>
          </w14:textFill>
        </w:rPr>
        <w:t>14</w:t>
      </w:r>
      <w:r>
        <w:rPr>
          <w:rFonts w:hint="eastAsia" w:ascii="宋体" w:hAnsi="宋体" w:eastAsia="宋体" w:cs="宋体"/>
          <w:color w:val="000000" w:themeColor="text1"/>
          <w:sz w:val="21"/>
          <w:szCs w:val="21"/>
          <w:u w:val="single"/>
          <w14:textFill>
            <w14:solidFill>
              <w14:schemeClr w14:val="tx1"/>
            </w14:solidFill>
          </w14:textFill>
        </w:rPr>
        <w:t>点</w:t>
      </w:r>
      <w:r>
        <w:rPr>
          <w:rFonts w:hint="eastAsia" w:ascii="宋体" w:hAnsi="宋体" w:cs="宋体"/>
          <w:color w:val="000000" w:themeColor="text1"/>
          <w:sz w:val="21"/>
          <w:szCs w:val="21"/>
          <w:u w:val="single"/>
          <w:lang w:val="en-US" w:eastAsia="zh-CN"/>
          <w14:textFill>
            <w14:solidFill>
              <w14:schemeClr w14:val="tx1"/>
            </w14:solidFill>
          </w14:textFill>
        </w:rPr>
        <w:t>00</w:t>
      </w:r>
      <w:r>
        <w:rPr>
          <w:rFonts w:hint="eastAsia" w:ascii="宋体" w:hAnsi="宋体" w:eastAsia="宋体" w:cs="宋体"/>
          <w:color w:val="000000" w:themeColor="text1"/>
          <w:sz w:val="21"/>
          <w:szCs w:val="21"/>
          <w:u w:val="single"/>
          <w14:textFill>
            <w14:solidFill>
              <w14:schemeClr w14:val="tx1"/>
            </w14:solidFill>
          </w14:textFill>
        </w:rPr>
        <w:t>分</w:t>
      </w:r>
      <w:r>
        <w:rPr>
          <w:rFonts w:hint="eastAsia" w:ascii="宋体" w:hAnsi="宋体" w:eastAsia="宋体" w:cs="宋体"/>
          <w:color w:val="000000" w:themeColor="text1"/>
          <w:sz w:val="21"/>
          <w:szCs w:val="21"/>
          <w14:textFill>
            <w14:solidFill>
              <w14:schemeClr w14:val="tx1"/>
            </w14:solidFill>
          </w14:textFill>
        </w:rPr>
        <w:t>（北京时间）前递交</w:t>
      </w:r>
      <w:r>
        <w:rPr>
          <w:rFonts w:hint="eastAsia" w:ascii="宋体" w:hAnsi="宋体" w:eastAsia="宋体" w:cs="宋体"/>
          <w:color w:val="000000" w:themeColor="text1"/>
          <w:sz w:val="21"/>
          <w:szCs w:val="21"/>
          <w:lang w:eastAsia="zh-CN"/>
          <w14:textFill>
            <w14:solidFill>
              <w14:schemeClr w14:val="tx1"/>
            </w14:solidFill>
          </w14:textFill>
        </w:rPr>
        <w:t>响应</w:t>
      </w:r>
      <w:r>
        <w:rPr>
          <w:rFonts w:hint="eastAsia" w:ascii="宋体" w:hAnsi="宋体" w:eastAsia="宋体" w:cs="宋体"/>
          <w:color w:val="000000" w:themeColor="text1"/>
          <w:sz w:val="21"/>
          <w:szCs w:val="21"/>
          <w14:textFill>
            <w14:solidFill>
              <w14:schemeClr w14:val="tx1"/>
            </w14:solidFill>
          </w14:textFill>
        </w:rPr>
        <w:t>文件。</w:t>
      </w:r>
    </w:p>
    <w:p>
      <w:pPr>
        <w:pStyle w:val="4"/>
        <w:numPr>
          <w:ilvl w:val="0"/>
          <w:numId w:val="6"/>
        </w:numPr>
        <w:spacing w:line="360" w:lineRule="auto"/>
        <w:jc w:val="left"/>
        <w:rPr>
          <w:rFonts w:hint="eastAsia" w:ascii="宋体" w:hAnsi="宋体" w:eastAsia="宋体" w:cs="宋体"/>
          <w:color w:val="000000"/>
          <w:sz w:val="21"/>
          <w:szCs w:val="21"/>
        </w:rPr>
      </w:pPr>
      <w:bookmarkStart w:id="8" w:name="_Toc18048"/>
      <w:r>
        <w:rPr>
          <w:rFonts w:hint="eastAsia" w:ascii="宋体" w:hAnsi="宋体" w:eastAsia="宋体" w:cs="宋体"/>
          <w:color w:val="000000"/>
          <w:sz w:val="21"/>
          <w:szCs w:val="21"/>
        </w:rPr>
        <w:t>项目基本情况</w:t>
      </w:r>
      <w:bookmarkEnd w:id="8"/>
    </w:p>
    <w:p>
      <w:pPr>
        <w:spacing w:line="360" w:lineRule="auto"/>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1、项目编号：</w:t>
      </w:r>
      <w:r>
        <w:rPr>
          <w:rFonts w:ascii="宋体" w:hAnsi="宋体" w:eastAsia="宋体" w:cs="宋体"/>
          <w:color w:val="000000" w:themeColor="text1"/>
          <w:sz w:val="24"/>
          <w:szCs w:val="24"/>
          <w14:textFill>
            <w14:solidFill>
              <w14:schemeClr w14:val="tx1"/>
            </w14:solidFill>
          </w14:textFill>
        </w:rPr>
        <w:t>ZJZB-202010-289</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FF0000"/>
          <w:sz w:val="21"/>
          <w:szCs w:val="21"/>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、项目名称：湖北省汉阳监狱2020年-2021年药品采购供应商遴选</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4、采购方式：竞争性磋商</w:t>
      </w:r>
    </w:p>
    <w:p>
      <w:pPr>
        <w:spacing w:line="360" w:lineRule="auto"/>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、预算</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金额</w:t>
      </w:r>
      <w:r>
        <w:rPr>
          <w:rFonts w:hint="eastAsia" w:asciiTheme="minorEastAsia" w:hAnsiTheme="minorEastAsia" w:eastAsiaTheme="minorEastAsia" w:cstheme="minorEastAsia"/>
          <w:color w:val="000000" w:themeColor="text1"/>
          <w:sz w:val="21"/>
          <w:szCs w:val="21"/>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万元（含财政资金</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万元，其他资金</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6、最高限价：</w:t>
      </w:r>
      <w:r>
        <w:rPr>
          <w:rFonts w:hint="eastAsia" w:asciiTheme="minorEastAsia" w:hAnsiTheme="minorEastAsia" w:eastAsiaTheme="minorEastAsia" w:cstheme="minorEastAsia"/>
          <w:color w:val="000000" w:themeColor="text1"/>
          <w:sz w:val="21"/>
          <w:szCs w:val="21"/>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采购需求：</w:t>
      </w:r>
      <w:r>
        <w:rPr>
          <w:rFonts w:hint="eastAsia" w:ascii="宋体" w:hAnsi="宋体"/>
          <w:color w:val="000000"/>
          <w:szCs w:val="21"/>
        </w:rPr>
        <w:t>遴选一家药品供应商，提供服务期内的民警及罪犯使用的基药、</w:t>
      </w:r>
      <w:r>
        <w:rPr>
          <w:rFonts w:hint="eastAsia" w:ascii="宋体" w:hAnsi="宋体"/>
          <w:color w:val="000000"/>
          <w:szCs w:val="21"/>
          <w:lang w:eastAsia="zh-CN"/>
        </w:rPr>
        <w:t>非基</w:t>
      </w:r>
      <w:r>
        <w:rPr>
          <w:rFonts w:hint="eastAsia" w:ascii="宋体" w:hAnsi="宋体"/>
          <w:color w:val="000000"/>
          <w:szCs w:val="21"/>
        </w:rPr>
        <w:t>药</w:t>
      </w:r>
      <w:r>
        <w:rPr>
          <w:rFonts w:hint="eastAsia" w:ascii="宋体" w:hAnsi="宋体"/>
          <w:color w:val="000000"/>
          <w:szCs w:val="21"/>
          <w:lang w:eastAsia="zh-CN"/>
        </w:rPr>
        <w:t>、医用耗材、中药</w:t>
      </w:r>
      <w:r>
        <w:rPr>
          <w:rFonts w:hint="eastAsia" w:ascii="宋体" w:hAnsi="宋体"/>
          <w:color w:val="000000"/>
          <w:szCs w:val="21"/>
          <w:highlight w:val="none"/>
          <w:lang w:eastAsia="zh-CN"/>
        </w:rPr>
        <w:t>材</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(详</w:t>
      </w:r>
      <w:r>
        <w:rPr>
          <w:rFonts w:hint="eastAsia" w:asciiTheme="minorEastAsia" w:hAnsiTheme="minorEastAsia" w:eastAsiaTheme="minorEastAsia" w:cstheme="minorEastAsia"/>
          <w:color w:val="000000"/>
          <w:sz w:val="21"/>
          <w:szCs w:val="21"/>
          <w:highlight w:val="none"/>
        </w:rPr>
        <w:t>见采购文件第三章“项目采购需求”）</w:t>
      </w:r>
    </w:p>
    <w:p>
      <w:pPr>
        <w:numPr>
          <w:ilvl w:val="0"/>
          <w:numId w:val="7"/>
        </w:numPr>
        <w:spacing w:line="360" w:lineRule="auto"/>
        <w:ind w:left="420" w:left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类别：</w:t>
      </w: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服务</w:t>
      </w:r>
    </w:p>
    <w:p>
      <w:pPr>
        <w:numPr>
          <w:ilvl w:val="0"/>
          <w:numId w:val="7"/>
        </w:numPr>
        <w:spacing w:line="360" w:lineRule="auto"/>
        <w:ind w:left="420" w:left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服务期</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签订合同之日起</w:t>
      </w:r>
      <w:r>
        <w:rPr>
          <w:rFonts w:hint="eastAsia" w:ascii="宋体" w:hAnsi="宋体"/>
          <w:color w:val="000000" w:themeColor="text1"/>
          <w:szCs w:val="21"/>
          <w:lang w:eastAsia="zh-CN"/>
          <w14:textFill>
            <w14:solidFill>
              <w14:schemeClr w14:val="tx1"/>
            </w14:solidFill>
          </w14:textFill>
        </w:rPr>
        <w:t>至</w:t>
      </w:r>
      <w:r>
        <w:rPr>
          <w:rFonts w:hint="eastAsia" w:ascii="宋体" w:hAnsi="宋体"/>
          <w:color w:val="000000" w:themeColor="text1"/>
          <w:szCs w:val="21"/>
          <w:lang w:val="en-US" w:eastAsia="zh-CN"/>
          <w14:textFill>
            <w14:solidFill>
              <w14:schemeClr w14:val="tx1"/>
            </w14:solidFill>
          </w14:textFill>
        </w:rPr>
        <w:t>2021年12月31日止</w:t>
      </w:r>
    </w:p>
    <w:p>
      <w:pPr>
        <w:numPr>
          <w:ilvl w:val="0"/>
          <w:numId w:val="7"/>
        </w:numPr>
        <w:spacing w:line="360" w:lineRule="auto"/>
        <w:ind w:left="420" w:left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其他</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供应商以市场统一中标价做为拦标价进行</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综合</w:t>
      </w:r>
      <w:r>
        <w:rPr>
          <w:rFonts w:hint="eastAsia" w:asciiTheme="minorEastAsia" w:hAnsiTheme="minorEastAsia" w:eastAsiaTheme="minorEastAsia" w:cstheme="minorEastAsia"/>
          <w:color w:val="000000" w:themeColor="text1"/>
          <w:szCs w:val="21"/>
          <w14:textFill>
            <w14:solidFill>
              <w14:schemeClr w14:val="tx1"/>
            </w14:solidFill>
          </w14:textFill>
        </w:rPr>
        <w:t>单价报价，所有分项单价相加得出竞标报价；</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参加</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的报价超过该包采购最高限价的，该包</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14:textFill>
            <w14:solidFill>
              <w14:schemeClr w14:val="tx1"/>
            </w14:solidFill>
          </w14:textFill>
        </w:rPr>
        <w:t>无效；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报价须包含该采购</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需求</w:t>
      </w:r>
      <w:r>
        <w:rPr>
          <w:rFonts w:hint="eastAsia" w:asciiTheme="minorEastAsia" w:hAnsiTheme="minorEastAsia" w:eastAsiaTheme="minorEastAsia" w:cstheme="minorEastAsia"/>
          <w:color w:val="000000" w:themeColor="text1"/>
          <w:sz w:val="21"/>
          <w:szCs w:val="21"/>
          <w14:textFill>
            <w14:solidFill>
              <w14:schemeClr w14:val="tx1"/>
            </w14:solidFill>
          </w14:textFill>
        </w:rPr>
        <w:t>的全部内容。</w:t>
      </w:r>
    </w:p>
    <w:p>
      <w:pPr>
        <w:numPr>
          <w:ilvl w:val="0"/>
          <w:numId w:val="0"/>
        </w:numPr>
        <w:spacing w:line="360" w:lineRule="auto"/>
        <w:jc w:val="left"/>
        <w:rPr>
          <w:rFonts w:hint="eastAsia" w:asciiTheme="minorEastAsia" w:hAnsiTheme="minorEastAsia" w:eastAsiaTheme="minorEastAsia" w:cstheme="minorEastAsia"/>
          <w:strike/>
          <w:dstrike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、合同履行期限</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：签订合同之日起至2021年12月31日止</w:t>
      </w:r>
      <w:r>
        <w:rPr>
          <w:rFonts w:hint="eastAsia" w:asciiTheme="minorEastAsia" w:hAnsiTheme="minorEastAsia" w:eastAsiaTheme="minorEastAsia" w:cstheme="minorEastAsia"/>
          <w:color w:val="000000" w:themeColor="text1"/>
          <w:sz w:val="21"/>
          <w:szCs w:val="21"/>
          <w:u w:val="none"/>
          <w:lang w:eastAsia="zh-CN"/>
          <w14:textFill>
            <w14:solidFill>
              <w14:schemeClr w14:val="tx1"/>
            </w14:solidFill>
          </w14:textFill>
        </w:rPr>
        <w:t xml:space="preserve">  </w:t>
      </w:r>
      <w:r>
        <w:rPr>
          <w:rFonts w:hint="eastAsia" w:asciiTheme="minorEastAsia" w:hAnsiTheme="minorEastAsia" w:eastAsiaTheme="minorEastAsia" w:cstheme="minorEastAsia"/>
          <w:color w:val="FF0000"/>
          <w:sz w:val="21"/>
          <w:szCs w:val="21"/>
          <w:u w:val="none"/>
          <w:lang w:val="en-US" w:eastAsia="zh-CN"/>
        </w:rPr>
        <w:t xml:space="preserve">  </w:t>
      </w: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 xml:space="preserve">             </w:t>
      </w:r>
    </w:p>
    <w:p>
      <w:pPr>
        <w:numPr>
          <w:ilvl w:val="0"/>
          <w:numId w:val="0"/>
        </w:numPr>
        <w:spacing w:line="36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9、本项目</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联合体竞标；</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9" w:name="_Toc29871"/>
      <w:r>
        <w:rPr>
          <w:rFonts w:hint="eastAsia" w:asciiTheme="minorEastAsia" w:hAnsiTheme="minorEastAsia" w:eastAsiaTheme="minorEastAsia" w:cstheme="minorEastAsia"/>
          <w:sz w:val="21"/>
          <w:szCs w:val="21"/>
        </w:rPr>
        <w:t>申请人的资格要求</w:t>
      </w:r>
      <w:bookmarkEnd w:id="9"/>
      <w:bookmarkStart w:id="231" w:name="_GoBack"/>
      <w:bookmarkEnd w:id="231"/>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单位负责人为同一人或者存在直接控股、管理关系的不同投标人，不得参加本项目同一合同项下的政府采购活动。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未被列入失信被执行人、重大税收违法案件当事人名单，未被列入政府采购严重违法失信行为记录名单。</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落实政府采购政策需满足的资格要求：</w:t>
      </w:r>
      <w:r>
        <w:rPr>
          <w:rFonts w:hint="eastAsia" w:asciiTheme="minorEastAsia" w:hAnsiTheme="minorEastAsia" w:eastAsiaTheme="minorEastAsia" w:cstheme="minorEastAsia"/>
          <w:strike w:val="0"/>
          <w:dstrike w:val="0"/>
          <w:color w:val="000000" w:themeColor="text1"/>
          <w:sz w:val="21"/>
          <w:szCs w:val="21"/>
          <w14:textFill>
            <w14:solidFill>
              <w14:schemeClr w14:val="tx1"/>
            </w14:solidFill>
          </w14:textFill>
        </w:rPr>
        <w:t>详见</w:t>
      </w:r>
      <w:r>
        <w:rPr>
          <w:rFonts w:hint="eastAsia" w:asciiTheme="minorEastAsia" w:hAnsiTheme="minorEastAsia" w:eastAsiaTheme="minorEastAsia" w:cstheme="minorEastAsia"/>
          <w:strike w:val="0"/>
          <w:dstrike w:val="0"/>
          <w:color w:val="000000" w:themeColor="text1"/>
          <w:sz w:val="21"/>
          <w:szCs w:val="21"/>
          <w:lang w:val="en-US" w:eastAsia="zh-CN"/>
          <w14:textFill>
            <w14:solidFill>
              <w14:schemeClr w14:val="tx1"/>
            </w14:solidFill>
          </w14:textFill>
        </w:rPr>
        <w:t>采购</w:t>
      </w:r>
      <w:r>
        <w:rPr>
          <w:rFonts w:hint="eastAsia" w:asciiTheme="minorEastAsia" w:hAnsiTheme="minorEastAsia" w:eastAsiaTheme="minorEastAsia" w:cstheme="minorEastAsia"/>
          <w:strike w:val="0"/>
          <w:dstrike w:val="0"/>
          <w:color w:val="000000" w:themeColor="text1"/>
          <w:sz w:val="21"/>
          <w:szCs w:val="21"/>
          <w14:textFill>
            <w14:solidFill>
              <w14:schemeClr w14:val="tx1"/>
            </w14:solidFill>
          </w14:textFill>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6.2供应商营业执照的经营范围需满足采购需求；</w:t>
      </w:r>
    </w:p>
    <w:p>
      <w:pPr>
        <w:numPr>
          <w:ilvl w:val="0"/>
          <w:numId w:val="0"/>
        </w:numPr>
        <w:spacing w:line="360" w:lineRule="auto"/>
        <w:ind w:left="426" w:left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6.3供应商须</w:t>
      </w:r>
      <w:r>
        <w:rPr>
          <w:rFonts w:hint="eastAsia" w:ascii="宋体" w:hAnsi="宋体"/>
          <w:color w:val="000000" w:themeColor="text1"/>
          <w:szCs w:val="21"/>
          <w:lang w:eastAsia="zh-CN"/>
          <w14:textFill>
            <w14:solidFill>
              <w14:schemeClr w14:val="tx1"/>
            </w14:solidFill>
          </w14:textFill>
        </w:rPr>
        <w:t>具有合格有效的</w:t>
      </w:r>
      <w:r>
        <w:rPr>
          <w:rFonts w:hint="eastAsia" w:ascii="宋体" w:hAnsi="宋体"/>
          <w:color w:val="000000" w:themeColor="text1"/>
          <w:szCs w:val="21"/>
          <w14:textFill>
            <w14:solidFill>
              <w14:schemeClr w14:val="tx1"/>
            </w14:solidFill>
          </w14:textFill>
        </w:rPr>
        <w:t>《药品经营许可证》或《药品生产许可证》，药品经营企业须提供《药品经营质量管理规范认证证书》</w:t>
      </w:r>
      <w:r>
        <w:rPr>
          <w:rFonts w:hint="eastAsia" w:ascii="宋体" w:hAnsi="宋体"/>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FF0000"/>
          <w:sz w:val="21"/>
          <w:szCs w:val="21"/>
          <w:highlight w:val="none"/>
          <w:u w:val="single"/>
          <w:lang w:val="en-US" w:eastAsia="zh-CN"/>
        </w:rPr>
        <w:t xml:space="preserve">    </w:t>
      </w:r>
      <w:r>
        <w:rPr>
          <w:rFonts w:hint="eastAsia" w:asciiTheme="minorEastAsia" w:hAnsiTheme="minorEastAsia" w:eastAsiaTheme="minorEastAsia" w:cstheme="minorEastAsia"/>
          <w:color w:val="FF0000"/>
          <w:sz w:val="21"/>
          <w:szCs w:val="21"/>
          <w:u w:val="single"/>
          <w:lang w:val="en-US" w:eastAsia="zh-CN"/>
        </w:rPr>
        <w:t xml:space="preserve">                     </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10" w:name="_Toc24271"/>
      <w:bookmarkStart w:id="11" w:name="_Toc334539185"/>
      <w:r>
        <w:rPr>
          <w:rFonts w:hint="eastAsia" w:asciiTheme="minorEastAsia" w:hAnsiTheme="minorEastAsia" w:eastAsiaTheme="minorEastAsia" w:cstheme="minorEastAsia"/>
          <w:sz w:val="21"/>
          <w:szCs w:val="21"/>
        </w:rPr>
        <w:t>获取</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文件</w:t>
      </w:r>
      <w:bookmarkEnd w:id="10"/>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sz w:val="21"/>
          <w:szCs w:val="21"/>
          <w:u w:val="single"/>
          <w:lang w:val="en-US" w:eastAsia="zh-CN"/>
        </w:rPr>
        <w:t>2020</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10</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u w:val="single"/>
        </w:rPr>
        <w:t>日至</w:t>
      </w:r>
      <w:r>
        <w:rPr>
          <w:rFonts w:hint="eastAsia" w:asciiTheme="minorEastAsia" w:hAnsiTheme="minorEastAsia" w:eastAsiaTheme="minorEastAsia" w:cstheme="minorEastAsia"/>
          <w:sz w:val="21"/>
          <w:szCs w:val="21"/>
          <w:u w:val="single"/>
          <w:lang w:val="en-US" w:eastAsia="zh-CN"/>
        </w:rPr>
        <w:t>2020</w:t>
      </w:r>
      <w:r>
        <w:rPr>
          <w:rFonts w:hint="eastAsia" w:asciiTheme="minorEastAsia" w:hAnsiTheme="minorEastAsia" w:eastAsiaTheme="minorEastAsia" w:cstheme="minorEastAsia"/>
          <w:sz w:val="21"/>
          <w:szCs w:val="21"/>
          <w:u w:val="single"/>
        </w:rPr>
        <w:t>年</w:t>
      </w:r>
      <w:r>
        <w:rPr>
          <w:rFonts w:hint="eastAsia" w:asciiTheme="minorEastAsia" w:hAnsiTheme="minorEastAsia" w:eastAsiaTheme="minorEastAsia" w:cstheme="minorEastAsia"/>
          <w:sz w:val="21"/>
          <w:szCs w:val="21"/>
          <w:u w:val="single"/>
          <w:lang w:val="en-US" w:eastAsia="zh-CN"/>
        </w:rPr>
        <w:t>10</w:t>
      </w:r>
      <w:r>
        <w:rPr>
          <w:rFonts w:hint="eastAsia" w:asciiTheme="minorEastAsia" w:hAnsiTheme="minorEastAsia" w:eastAsiaTheme="minorEastAsia" w:cstheme="minorEastAsia"/>
          <w:sz w:val="21"/>
          <w:szCs w:val="21"/>
          <w:u w:val="single"/>
        </w:rPr>
        <w:t>月</w:t>
      </w:r>
      <w:r>
        <w:rPr>
          <w:rFonts w:hint="eastAsia" w:asciiTheme="minorEastAsia" w:hAnsiTheme="minorEastAsia" w:eastAsiaTheme="minorEastAsia" w:cstheme="minorEastAsia"/>
          <w:sz w:val="21"/>
          <w:szCs w:val="21"/>
          <w:u w:val="single"/>
          <w:lang w:val="en-US" w:eastAsia="zh-CN"/>
        </w:rPr>
        <w:t>30</w:t>
      </w:r>
      <w:r>
        <w:rPr>
          <w:rFonts w:hint="eastAsia" w:asciiTheme="minorEastAsia" w:hAnsiTheme="minorEastAsia" w:eastAsiaTheme="minorEastAsia" w:cstheme="minorEastAsia"/>
          <w:sz w:val="21"/>
          <w:szCs w:val="21"/>
          <w:u w:val="single"/>
        </w:rPr>
        <w:t>日</w:t>
      </w:r>
      <w:r>
        <w:rPr>
          <w:rFonts w:hint="eastAsia" w:asciiTheme="minorEastAsia" w:hAnsiTheme="minorEastAsia" w:eastAsiaTheme="minorEastAsia" w:cstheme="minorEastAsia"/>
          <w:sz w:val="21"/>
          <w:szCs w:val="21"/>
        </w:rPr>
        <w:t>（提供期限自本公告发布</w:t>
      </w:r>
      <w:r>
        <w:rPr>
          <w:rFonts w:hint="eastAsia" w:asciiTheme="minorEastAsia" w:hAnsiTheme="minorEastAsia" w:eastAsiaTheme="minorEastAsia" w:cstheme="minorEastAsia"/>
          <w:sz w:val="21"/>
          <w:szCs w:val="21"/>
          <w:lang w:eastAsia="zh-CN"/>
        </w:rPr>
        <w:t>之</w:t>
      </w:r>
      <w:r>
        <w:rPr>
          <w:rFonts w:hint="eastAsia" w:asciiTheme="minorEastAsia" w:hAnsiTheme="minorEastAsia" w:eastAsiaTheme="minorEastAsia" w:cstheme="minorEastAsia"/>
          <w:sz w:val="21"/>
          <w:szCs w:val="21"/>
        </w:rPr>
        <w:t>日起</w:t>
      </w:r>
      <w:r>
        <w:rPr>
          <w:rFonts w:hint="eastAsia" w:asciiTheme="minorEastAsia" w:hAnsiTheme="minorEastAsia" w:eastAsiaTheme="minorEastAsia" w:cstheme="minorEastAsia"/>
          <w:sz w:val="21"/>
          <w:szCs w:val="21"/>
          <w:lang w:eastAsia="zh-CN"/>
        </w:rPr>
        <w:t>至少</w:t>
      </w:r>
      <w:r>
        <w:rPr>
          <w:rFonts w:hint="eastAsia" w:asciiTheme="minorEastAsia" w:hAnsiTheme="minorEastAsia" w:eastAsiaTheme="minorEastAsia" w:cstheme="minorEastAsia"/>
          <w:sz w:val="21"/>
          <w:szCs w:val="21"/>
        </w:rPr>
        <w:t>5个工作日），每天上午</w:t>
      </w:r>
      <w:r>
        <w:rPr>
          <w:rFonts w:hint="eastAsia" w:asciiTheme="minorEastAsia" w:hAnsiTheme="minorEastAsia" w:eastAsiaTheme="minorEastAsia" w:cstheme="minorEastAsia"/>
          <w:sz w:val="21"/>
          <w:szCs w:val="21"/>
          <w:lang w:val="en-US" w:eastAsia="zh-CN"/>
        </w:rPr>
        <w:t>09:00</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12:00</w:t>
      </w:r>
      <w:r>
        <w:rPr>
          <w:rFonts w:hint="eastAsia" w:asciiTheme="minorEastAsia" w:hAnsiTheme="minorEastAsia" w:eastAsiaTheme="minorEastAsia" w:cstheme="minorEastAsia"/>
          <w:sz w:val="21"/>
          <w:szCs w:val="21"/>
        </w:rPr>
        <w:t>，下午</w:t>
      </w:r>
      <w:r>
        <w:rPr>
          <w:rFonts w:hint="eastAsia" w:asciiTheme="minorEastAsia" w:hAnsiTheme="minorEastAsia" w:eastAsiaTheme="minorEastAsia" w:cstheme="minorEastAsia"/>
          <w:sz w:val="21"/>
          <w:szCs w:val="21"/>
          <w:lang w:val="en-US" w:eastAsia="zh-CN"/>
        </w:rPr>
        <w:t>14:30</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sz w:val="21"/>
          <w:szCs w:val="21"/>
          <w:lang w:val="en-US" w:eastAsia="zh-CN"/>
        </w:rPr>
        <w:t>17:00</w:t>
      </w:r>
      <w:r>
        <w:rPr>
          <w:rFonts w:hint="eastAsia" w:asciiTheme="minorEastAsia" w:hAnsiTheme="minorEastAsia" w:eastAsiaTheme="minorEastAsia" w:cstheme="minorEastAsia"/>
          <w:sz w:val="21"/>
          <w:szCs w:val="21"/>
        </w:rPr>
        <w:t>（北京时间，法定节假日除外）</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地点：武昌区中北路岳家嘴立交山河企业大厦</w:t>
      </w:r>
      <w:r>
        <w:rPr>
          <w:rFonts w:hint="eastAsia" w:asciiTheme="minorEastAsia" w:hAnsiTheme="minorEastAsia" w:eastAsiaTheme="minorEastAsia" w:cstheme="minorEastAsia"/>
          <w:sz w:val="21"/>
          <w:szCs w:val="21"/>
          <w:lang w:val="en-US" w:eastAsia="zh-CN"/>
        </w:rPr>
        <w:t>48楼</w:t>
      </w:r>
      <w:r>
        <w:rPr>
          <w:rFonts w:hint="eastAsia" w:asciiTheme="minorEastAsia" w:hAnsiTheme="minorEastAsia" w:eastAsiaTheme="minorEastAsia" w:cstheme="minorEastAsia"/>
          <w:sz w:val="21"/>
          <w:szCs w:val="21"/>
        </w:rPr>
        <w:t>4805室；</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color w:val="auto"/>
          <w:sz w:val="21"/>
          <w:szCs w:val="21"/>
          <w:lang w:eastAsia="zh-CN"/>
        </w:rPr>
        <w:t>现场获取</w:t>
      </w:r>
      <w:r>
        <w:rPr>
          <w:rFonts w:hint="eastAsia" w:asciiTheme="minorEastAsia" w:hAnsiTheme="minorEastAsia" w:eastAsiaTheme="minorEastAsia" w:cstheme="minorEastAsia"/>
          <w:b w:val="0"/>
          <w:bCs w:val="0"/>
          <w:color w:val="auto"/>
          <w:sz w:val="21"/>
          <w:szCs w:val="21"/>
        </w:rPr>
        <w:t>：</w:t>
      </w:r>
      <w:bookmarkEnd w:id="11"/>
      <w:r>
        <w:rPr>
          <w:rFonts w:hint="eastAsia" w:asciiTheme="minorEastAsia" w:hAnsiTheme="minorEastAsia" w:eastAsiaTheme="minorEastAsia" w:cstheme="minorEastAsia"/>
          <w:b w:val="0"/>
          <w:bCs w:val="0"/>
          <w:color w:val="auto"/>
          <w:sz w:val="21"/>
          <w:szCs w:val="21"/>
        </w:rPr>
        <w:t>1）法定代表人领取的，凭法定代表人身份证明书（格式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）及法定代表人身份证原件领取；2）法定代表人委托他人领取的，凭法定代表人授权书（格式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）及受托人身份证原件领取</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）加盖</w:t>
      </w:r>
      <w:r>
        <w:rPr>
          <w:rFonts w:hint="eastAsia" w:asciiTheme="minorEastAsia" w:hAnsiTheme="minorEastAsia" w:eastAsiaTheme="minorEastAsia" w:cstheme="minorEastAsia"/>
          <w:b w:val="0"/>
          <w:bCs w:val="0"/>
          <w:color w:val="auto"/>
          <w:sz w:val="21"/>
          <w:szCs w:val="21"/>
          <w:lang w:val="en-US" w:eastAsia="zh-CN"/>
        </w:rPr>
        <w:t>公章</w:t>
      </w:r>
      <w:r>
        <w:rPr>
          <w:rFonts w:hint="eastAsia" w:asciiTheme="minorEastAsia" w:hAnsiTheme="minorEastAsia" w:eastAsiaTheme="minorEastAsia" w:cstheme="minorEastAsia"/>
          <w:b w:val="0"/>
          <w:bCs w:val="0"/>
          <w:color w:val="auto"/>
          <w:sz w:val="21"/>
          <w:szCs w:val="21"/>
        </w:rPr>
        <w:t>的营业执照</w:t>
      </w:r>
      <w:r>
        <w:rPr>
          <w:rFonts w:hint="eastAsia" w:asciiTheme="minorEastAsia" w:hAnsiTheme="minorEastAsia" w:eastAsiaTheme="minorEastAsia" w:cstheme="minorEastAsia"/>
          <w:b w:val="0"/>
          <w:bCs w:val="0"/>
          <w:color w:val="auto"/>
          <w:sz w:val="21"/>
          <w:szCs w:val="21"/>
          <w:lang w:val="en-US" w:eastAsia="zh-CN"/>
        </w:rPr>
        <w:t>真彩扫描件、项目报名表</w:t>
      </w:r>
      <w:r>
        <w:rPr>
          <w:rFonts w:hint="eastAsia" w:asciiTheme="minorEastAsia" w:hAnsiTheme="minorEastAsia" w:eastAsiaTheme="minorEastAsia" w:cstheme="minorEastAsia"/>
          <w:b w:val="0"/>
          <w:bCs w:val="0"/>
          <w:color w:val="auto"/>
          <w:sz w:val="21"/>
          <w:szCs w:val="21"/>
        </w:rPr>
        <w:t>（格式见附件）</w:t>
      </w:r>
      <w:r>
        <w:rPr>
          <w:rFonts w:hint="eastAsia" w:asciiTheme="minorEastAsia" w:hAnsiTheme="minorEastAsia" w:eastAsiaTheme="minorEastAsia" w:cstheme="minorEastAsia"/>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sz w:val="21"/>
          <w:szCs w:val="21"/>
          <w:lang w:val="en-US" w:eastAsia="zh-CN"/>
        </w:rPr>
        <w:t>售价：采购文件</w:t>
      </w:r>
      <w:r>
        <w:rPr>
          <w:rFonts w:hint="eastAsia" w:asciiTheme="minorEastAsia" w:hAnsiTheme="minorEastAsia" w:eastAsiaTheme="minorEastAsia" w:cstheme="minorEastAsia"/>
          <w:color w:val="auto"/>
          <w:sz w:val="21"/>
          <w:szCs w:val="21"/>
          <w:lang w:val="en-US" w:eastAsia="zh-CN"/>
        </w:rPr>
        <w:t>人民币400元/本，</w:t>
      </w:r>
      <w:r>
        <w:rPr>
          <w:rFonts w:hint="eastAsia" w:asciiTheme="minorEastAsia" w:hAnsiTheme="minorEastAsia" w:eastAsiaTheme="minorEastAsia" w:cstheme="minorEastAsia"/>
          <w:sz w:val="21"/>
          <w:szCs w:val="21"/>
          <w:lang w:val="en-US" w:eastAsia="zh-CN"/>
        </w:rPr>
        <w:t>售后不退，不办理邮寄；</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12" w:name="_Toc21272"/>
      <w:r>
        <w:rPr>
          <w:rFonts w:hint="eastAsia" w:asciiTheme="minorEastAsia" w:hAnsiTheme="minorEastAsia" w:eastAsiaTheme="minorEastAsia" w:cstheme="minorEastAsia"/>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bookmarkStart w:id="13" w:name="_Toc27695"/>
      <w:r>
        <w:rPr>
          <w:rFonts w:hint="eastAsia" w:asciiTheme="minorEastAsia" w:hAnsiTheme="minorEastAsia" w:eastAsiaTheme="minorEastAsia" w:cstheme="minorEastAsia"/>
          <w:sz w:val="21"/>
          <w:szCs w:val="21"/>
          <w:lang w:val="en-US" w:eastAsia="zh-CN"/>
        </w:rPr>
        <w:t>开始时间：2020年11月5日08点30分（北京时间）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截止时间：2020年11月5日14点00分（北京时间）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地点：武昌区中北路岳家嘴立交山河企业大厦4806室</w:t>
      </w:r>
    </w:p>
    <w:p>
      <w:pPr>
        <w:pStyle w:val="4"/>
        <w:numPr>
          <w:ilvl w:val="0"/>
          <w:numId w:val="6"/>
        </w:numPr>
        <w:spacing w:line="36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开启</w:t>
      </w:r>
      <w:bookmarkEnd w:id="13"/>
    </w:p>
    <w:p>
      <w:pPr>
        <w:numPr>
          <w:ilvl w:val="0"/>
          <w:numId w:val="0"/>
        </w:numPr>
        <w:spacing w:line="360" w:lineRule="auto"/>
        <w:ind w:leftChars="0"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时间：2020年11月5日14点00分</w:t>
      </w:r>
      <w:r>
        <w:rPr>
          <w:rFonts w:hint="eastAsia" w:asciiTheme="minorEastAsia" w:hAnsiTheme="minorEastAsia" w:eastAsiaTheme="minorEastAsia" w:cstheme="minorEastAsia"/>
          <w:sz w:val="21"/>
          <w:szCs w:val="21"/>
          <w:lang w:eastAsia="zh-CN"/>
        </w:rPr>
        <w:t>（北京时间）</w:t>
      </w:r>
    </w:p>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14" w:name="_Toc21834"/>
      <w:r>
        <w:rPr>
          <w:rFonts w:hint="eastAsia" w:asciiTheme="minorEastAsia" w:hAnsiTheme="minorEastAsia" w:eastAsiaTheme="minorEastAsia" w:cstheme="minorEastAsia"/>
          <w:sz w:val="21"/>
          <w:szCs w:val="21"/>
        </w:rPr>
        <w:t>公告期限</w:t>
      </w:r>
      <w:bookmarkEnd w:id="14"/>
    </w:p>
    <w:p>
      <w:pPr>
        <w:spacing w:line="360" w:lineRule="auto"/>
        <w:ind w:firstLine="420" w:firstLineChars="200"/>
        <w:jc w:val="left"/>
        <w:rPr>
          <w:rFonts w:hint="eastAsia" w:asciiTheme="minorEastAsia" w:hAnsiTheme="minorEastAsia" w:eastAsiaTheme="minorEastAsia" w:cstheme="minorEastAsia"/>
          <w:sz w:val="21"/>
          <w:szCs w:val="21"/>
          <w:lang w:eastAsia="zh-CN"/>
        </w:rPr>
      </w:pPr>
      <w:bookmarkStart w:id="15" w:name="_Toc276368888"/>
      <w:bookmarkStart w:id="16" w:name="_Toc320898024"/>
      <w:bookmarkStart w:id="17" w:name="_Toc6021"/>
      <w:bookmarkStart w:id="18" w:name="_Toc317262251"/>
      <w:bookmarkStart w:id="19" w:name="_Toc334539188"/>
      <w:bookmarkStart w:id="20" w:name="_Toc259607751"/>
      <w:r>
        <w:rPr>
          <w:rFonts w:hint="eastAsia" w:asciiTheme="minorEastAsia" w:hAnsiTheme="minorEastAsia" w:eastAsiaTheme="minorEastAsia" w:cstheme="minorEastAsia"/>
          <w:sz w:val="21"/>
          <w:szCs w:val="21"/>
          <w:lang w:val="en-US" w:eastAsia="zh-CN"/>
        </w:rPr>
        <w:t>自本公告发布之日起</w:t>
      </w:r>
      <w:r>
        <w:rPr>
          <w:rFonts w:hint="eastAsia" w:asciiTheme="minorEastAsia" w:hAnsiTheme="minorEastAsia" w:eastAsiaTheme="minorEastAsia" w:cstheme="minorEastAsia"/>
          <w:sz w:val="21"/>
          <w:szCs w:val="21"/>
          <w:lang w:eastAsia="zh-CN"/>
        </w:rPr>
        <w:t>至少</w:t>
      </w:r>
      <w:r>
        <w:rPr>
          <w:rFonts w:hint="eastAsia" w:asciiTheme="minorEastAsia" w:hAnsiTheme="minorEastAsia" w:eastAsiaTheme="minorEastAsia" w:cstheme="minorEastAsia"/>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21" w:name="_Toc31302"/>
      <w:r>
        <w:rPr>
          <w:rFonts w:hint="eastAsia" w:asciiTheme="minorEastAsia" w:hAnsiTheme="minorEastAsia" w:eastAsiaTheme="minorEastAsia" w:cstheme="minorEastAsia"/>
          <w:sz w:val="21"/>
          <w:szCs w:val="21"/>
        </w:rPr>
        <w:t>其他补充事宜</w:t>
      </w:r>
      <w:bookmarkEnd w:id="21"/>
    </w:p>
    <w:p>
      <w:pPr>
        <w:numPr>
          <w:ilvl w:val="0"/>
          <w:numId w:val="0"/>
        </w:numPr>
        <w:spacing w:line="360" w:lineRule="auto"/>
        <w:ind w:firstLine="420" w:firstLineChars="20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bookmarkStart w:id="22" w:name="_Toc259028279"/>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1.本项目是否专门面向中小企业、监狱企业、残疾人福利性单位：否</w:t>
      </w:r>
    </w:p>
    <w:p>
      <w:pPr>
        <w:numPr>
          <w:ilvl w:val="0"/>
          <w:numId w:val="0"/>
        </w:numPr>
        <w:spacing w:line="360" w:lineRule="auto"/>
        <w:ind w:firstLine="420" w:firstLineChars="20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eastAsia" w:asciiTheme="minorEastAsia" w:hAnsiTheme="minorEastAsia" w:eastAsiaTheme="minorEastAsia" w:cstheme="minorEastAsia"/>
          <w:color w:val="000000" w:themeColor="text1"/>
          <w:sz w:val="21"/>
          <w:szCs w:val="21"/>
          <w:highlight w:val="yellow"/>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3.供应商如需查询技术要求可直接到我处查阅采购文件第三章相关内容。</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4.本项目将在以下网站发布所有信息，请参加本项目竞标的供应商密切关注。</w:t>
      </w:r>
    </w:p>
    <w:p>
      <w:pPr>
        <w:spacing w:line="360" w:lineRule="auto"/>
        <w:ind w:firstLine="420" w:firstLineChars="20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《中经国际招标集团有限公司官网》（网址：</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instrText xml:space="preserve"> HYPERLINK "http://www.ceitcl.com/）" </w:instrTex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http://www.ceitcl.com/）</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fldChar w:fldCharType="end"/>
      </w:r>
    </w:p>
    <w:bookmarkEnd w:id="22"/>
    <w:p>
      <w:pPr>
        <w:pStyle w:val="4"/>
        <w:numPr>
          <w:ilvl w:val="0"/>
          <w:numId w:val="6"/>
        </w:numPr>
        <w:spacing w:line="360" w:lineRule="auto"/>
        <w:jc w:val="left"/>
        <w:rPr>
          <w:rFonts w:hint="eastAsia" w:asciiTheme="minorEastAsia" w:hAnsiTheme="minorEastAsia" w:eastAsiaTheme="minorEastAsia" w:cstheme="minorEastAsia"/>
          <w:sz w:val="21"/>
          <w:szCs w:val="21"/>
        </w:rPr>
      </w:pPr>
      <w:bookmarkStart w:id="23" w:name="_Toc12824"/>
      <w:r>
        <w:rPr>
          <w:rFonts w:hint="eastAsia" w:asciiTheme="minorEastAsia" w:hAnsiTheme="minorEastAsia" w:eastAsiaTheme="minorEastAsia" w:cstheme="minorEastAsia"/>
          <w:sz w:val="21"/>
          <w:szCs w:val="21"/>
        </w:rPr>
        <w:t>凡对本次采购提出询问，请按以下方式联系</w:t>
      </w:r>
      <w:bookmarkEnd w:id="23"/>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1.采购</w:t>
      </w:r>
      <w:r>
        <w:rPr>
          <w:rFonts w:hint="eastAsia" w:asciiTheme="minorEastAsia" w:hAnsiTheme="minorEastAsia" w:eastAsiaTheme="minorEastAsia" w:cstheme="minorEastAsia"/>
          <w:color w:val="auto"/>
          <w:sz w:val="21"/>
          <w:szCs w:val="21"/>
          <w:lang w:eastAsia="zh-CN"/>
        </w:rPr>
        <w:t>人信息</w:t>
      </w:r>
    </w:p>
    <w:p>
      <w:p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名 称：</w:t>
      </w:r>
      <w:r>
        <w:rPr>
          <w:rFonts w:hint="eastAsia" w:ascii="宋体" w:hAnsi="宋体"/>
          <w:color w:val="000000" w:themeColor="text1"/>
          <w:szCs w:val="21"/>
          <w14:textFill>
            <w14:solidFill>
              <w14:schemeClr w14:val="tx1"/>
            </w14:solidFill>
          </w14:textFill>
        </w:rPr>
        <w:t>湖北省汉阳监狱</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址：</w:t>
      </w:r>
      <w:r>
        <w:rPr>
          <w:rFonts w:hint="eastAsia" w:ascii="宋体" w:hAnsi="宋体"/>
          <w:color w:val="000000" w:themeColor="text1"/>
          <w:szCs w:val="21"/>
          <w14:textFill>
            <w14:solidFill>
              <w14:schemeClr w14:val="tx1"/>
            </w14:solidFill>
          </w14:textFill>
        </w:rPr>
        <w:t>武汉市汉阳区袁家台特1号</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联系方式：叶科长、</w:t>
      </w:r>
      <w:r>
        <w:rPr>
          <w:rFonts w:hint="eastAsia" w:ascii="宋体" w:hAnsi="宋体"/>
          <w:color w:val="000000" w:themeColor="text1"/>
          <w:szCs w:val="21"/>
          <w14:textFill>
            <w14:solidFill>
              <w14:schemeClr w14:val="tx1"/>
            </w14:solidFill>
          </w14:textFill>
        </w:rPr>
        <w:t>027-69601037</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w:t>
      </w:r>
      <w:r>
        <w:rPr>
          <w:rFonts w:hint="eastAsia" w:asciiTheme="minorEastAsia" w:hAnsiTheme="minorEastAsia" w:eastAsiaTheme="minorEastAsia" w:cstheme="minorEastAsia"/>
          <w:color w:val="auto"/>
          <w:sz w:val="21"/>
          <w:szCs w:val="21"/>
          <w:lang w:eastAsia="zh-CN"/>
        </w:rPr>
        <w:t xml:space="preserve">　　　　　 </w:t>
      </w:r>
    </w:p>
    <w:p>
      <w:pPr>
        <w:spacing w:line="360" w:lineRule="auto"/>
        <w:ind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lang w:eastAsia="zh-CN"/>
        </w:rPr>
        <w:t>2.采购代理机</w:t>
      </w:r>
      <w:r>
        <w:rPr>
          <w:rFonts w:hint="eastAsia" w:asciiTheme="minorEastAsia" w:hAnsiTheme="minorEastAsia" w:eastAsiaTheme="minorEastAsia" w:cstheme="minorEastAsia"/>
          <w:sz w:val="21"/>
          <w:szCs w:val="21"/>
          <w:lang w:eastAsia="zh-CN"/>
        </w:rPr>
        <w:t>构信息</w:t>
      </w:r>
    </w:p>
    <w:p>
      <w:pPr>
        <w:spacing w:line="360" w:lineRule="auto"/>
        <w:ind w:firstLine="420" w:firstLineChars="200"/>
        <w:jc w:val="lef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名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称：中经国际招标集团有限公司　　　　　　　　　　　　</w:t>
      </w:r>
    </w:p>
    <w:p>
      <w:p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地　址：武昌区中北路岳家嘴立交山河企业大厦</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48楼4805、</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4806室　　　　　　　　　　　　</w:t>
      </w:r>
    </w:p>
    <w:p>
      <w:p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联系方式：</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027-87820788</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3.项目联系方式</w:t>
      </w:r>
    </w:p>
    <w:p>
      <w:p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项目联系人：张梦、方雪菲、杨琳丽</w:t>
      </w:r>
    </w:p>
    <w:p>
      <w:pPr>
        <w:spacing w:line="360" w:lineRule="auto"/>
        <w:ind w:firstLine="420" w:firstLineChars="200"/>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电</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话：</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027-87820788</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w:t>
      </w:r>
      <w:r>
        <w:rPr>
          <w:rFonts w:hint="eastAsia" w:asciiTheme="minorEastAsia" w:hAnsiTheme="minorEastAsia" w:eastAsiaTheme="minorEastAsia" w:cstheme="minorEastAsia"/>
          <w:color w:val="FF0000"/>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24714"/>
      <w:bookmarkStart w:id="25" w:name="_Toc32576"/>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23</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widowControl/>
        <w:jc w:val="center"/>
        <w:textAlignment w:val="bottom"/>
        <w:rPr>
          <w:rFonts w:ascii="宋体" w:hAnsi="宋体"/>
          <w:b/>
          <w:color w:val="000000"/>
          <w:szCs w:val="21"/>
        </w:rPr>
      </w:pPr>
      <w:r>
        <w:rPr>
          <w:rFonts w:hint="eastAsia" w:ascii="宋体" w:hAnsi="宋体"/>
          <w:b/>
          <w:color w:val="000000"/>
          <w:szCs w:val="21"/>
          <w:lang w:val="zh-CN"/>
        </w:rPr>
        <w:t>签署“七不准”承诺书</w:t>
      </w:r>
    </w:p>
    <w:p>
      <w:pPr>
        <w:widowControl/>
        <w:spacing w:line="720" w:lineRule="auto"/>
        <w:textAlignment w:val="bottom"/>
        <w:rPr>
          <w:rFonts w:ascii="宋体" w:hAnsi="宋体"/>
          <w:bCs/>
          <w:color w:val="000000"/>
          <w:szCs w:val="21"/>
        </w:rPr>
      </w:pPr>
      <w:r>
        <w:rPr>
          <w:rFonts w:hint="eastAsia" w:ascii="宋体" w:hAnsi="宋体"/>
          <w:bCs/>
          <w:color w:val="000000"/>
          <w:szCs w:val="21"/>
        </w:rPr>
        <w:t>湖北省汉阳监狱：</w:t>
      </w:r>
    </w:p>
    <w:p>
      <w:pPr>
        <w:widowControl/>
        <w:spacing w:line="720" w:lineRule="auto"/>
        <w:textAlignment w:val="bottom"/>
        <w:rPr>
          <w:rFonts w:ascii="宋体" w:hAnsi="宋体"/>
          <w:bCs/>
          <w:color w:val="000000"/>
          <w:szCs w:val="21"/>
        </w:rPr>
      </w:pPr>
      <w:r>
        <w:rPr>
          <w:rFonts w:hint="eastAsia" w:ascii="宋体" w:hAnsi="宋体"/>
          <w:bCs/>
          <w:color w:val="000000"/>
          <w:szCs w:val="21"/>
        </w:rPr>
        <w:t xml:space="preserve">    本人完全理解并接受《湖北省监狱人民警察“七不准”规定》第四条 “不准亲属在本系统经商、办企业、承揽工程” 之内容，承诺保证与贵单位民警无亲属关系。</w:t>
      </w:r>
    </w:p>
    <w:p>
      <w:pPr>
        <w:widowControl/>
        <w:spacing w:line="720" w:lineRule="auto"/>
        <w:ind w:firstLine="420"/>
        <w:textAlignment w:val="bottom"/>
        <w:rPr>
          <w:rFonts w:ascii="宋体" w:hAnsi="宋体"/>
          <w:bCs/>
          <w:color w:val="000000"/>
          <w:szCs w:val="21"/>
        </w:rPr>
      </w:pPr>
      <w:r>
        <w:rPr>
          <w:rFonts w:hint="eastAsia" w:ascii="宋体" w:hAnsi="宋体"/>
          <w:bCs/>
          <w:color w:val="000000"/>
          <w:szCs w:val="21"/>
        </w:rPr>
        <w:t>本人如因违背上述承诺，在贵单位经商（参加招投标活动）、办企业、承揽工程，无条件接受贵单位单方面终止合同（协议），并自愿承担由此造成的一切损失。</w:t>
      </w:r>
    </w:p>
    <w:p>
      <w:pPr>
        <w:widowControl/>
        <w:spacing w:line="720" w:lineRule="auto"/>
        <w:ind w:firstLine="420"/>
        <w:textAlignment w:val="bottom"/>
        <w:rPr>
          <w:rFonts w:ascii="宋体" w:hAnsi="宋体"/>
          <w:bCs/>
          <w:color w:val="000000"/>
          <w:szCs w:val="21"/>
        </w:rPr>
      </w:pPr>
    </w:p>
    <w:p>
      <w:pPr>
        <w:widowControl/>
        <w:spacing w:line="720" w:lineRule="auto"/>
        <w:textAlignment w:val="bottom"/>
        <w:rPr>
          <w:rFonts w:ascii="宋体" w:hAnsi="宋体"/>
          <w:bCs/>
          <w:color w:val="000000"/>
          <w:szCs w:val="21"/>
        </w:rPr>
      </w:pPr>
      <w:r>
        <w:rPr>
          <w:rFonts w:hint="eastAsia" w:ascii="宋体" w:hAnsi="宋体"/>
          <w:bCs/>
          <w:color w:val="000000"/>
          <w:szCs w:val="21"/>
        </w:rPr>
        <w:t xml:space="preserve">                                                                   承诺人（签章）：  </w:t>
      </w:r>
    </w:p>
    <w:p>
      <w:pPr>
        <w:widowControl/>
        <w:spacing w:line="960" w:lineRule="auto"/>
        <w:textAlignment w:val="bottom"/>
        <w:rPr>
          <w:rFonts w:ascii="宋体" w:hAnsi="宋体"/>
          <w:bCs/>
          <w:color w:val="000000"/>
          <w:szCs w:val="21"/>
        </w:rPr>
      </w:pPr>
      <w:r>
        <w:rPr>
          <w:rFonts w:hint="eastAsia" w:ascii="宋体" w:hAnsi="宋体"/>
          <w:bCs/>
          <w:color w:val="000000"/>
          <w:szCs w:val="21"/>
        </w:rPr>
        <w:t xml:space="preserve">                                                                   年   月   日</w:t>
      </w:r>
    </w:p>
    <w:p>
      <w:pPr>
        <w:pStyle w:val="2"/>
        <w:rPr>
          <w:rFonts w:hint="eastAsia"/>
        </w:rPr>
      </w:pPr>
    </w:p>
    <w:p>
      <w:pPr>
        <w:spacing w:line="360" w:lineRule="auto"/>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6" w:name="_Toc16155"/>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7" w:name="_Toc14855"/>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FF0000"/>
                <w:kern w:val="2"/>
                <w:sz w:val="21"/>
                <w:szCs w:val="21"/>
                <w:lang w:val="zh-CN"/>
              </w:rPr>
            </w:pPr>
            <w:r>
              <w:rPr>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FF0000"/>
                <w:sz w:val="21"/>
                <w:szCs w:val="21"/>
                <w:lang w:val="zh-CN"/>
              </w:rPr>
            </w:pPr>
            <w:r>
              <w:rPr>
                <w:rFonts w:hint="eastAsia" w:ascii="宋体" w:hAnsi="宋体"/>
                <w:szCs w:val="21"/>
                <w:lang w:val="zh-CN"/>
              </w:rPr>
              <w:t>湖北省汉阳监狱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0" w:beforeAutospacing="0" w:after="0" w:afterAutospacing="0" w:line="276" w:lineRule="auto"/>
              <w:jc w:val="center"/>
              <w:rPr>
                <w:rFonts w:hint="eastAsia" w:asciiTheme="minorEastAsia" w:hAnsiTheme="minorEastAsia" w:eastAsiaTheme="minorEastAsia" w:cstheme="minorEastAsia"/>
                <w:color w:val="FF0000"/>
                <w:kern w:val="2"/>
                <w:sz w:val="21"/>
                <w:szCs w:val="21"/>
                <w:lang w:val="zh-CN"/>
              </w:rPr>
            </w:pPr>
            <w:r>
              <w:rPr>
                <w:kern w:val="2"/>
                <w:sz w:val="21"/>
                <w:szCs w:val="21"/>
                <w:lang w:val="zh-CN"/>
              </w:rPr>
              <w:t>监管部门</w:t>
            </w:r>
          </w:p>
        </w:tc>
        <w:tc>
          <w:tcPr>
            <w:tcW w:w="6130"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rPr>
                <w:rFonts w:hint="eastAsia" w:asciiTheme="minorEastAsia" w:hAnsiTheme="minorEastAsia" w:eastAsiaTheme="minorEastAsia" w:cstheme="minorEastAsia"/>
                <w:color w:val="FF0000"/>
                <w:sz w:val="21"/>
                <w:szCs w:val="21"/>
                <w:lang w:val="zh-CN"/>
              </w:rPr>
            </w:pPr>
            <w:r>
              <w:rPr>
                <w:kern w:val="2"/>
                <w:sz w:val="21"/>
                <w:szCs w:val="21"/>
                <w:lang w:val="zh-CN"/>
              </w:rPr>
              <w:t>湖北省汉阳监狱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snapToGrid w:val="0"/>
                <w:color w:val="000000" w:themeColor="text1"/>
                <w:kern w:val="0"/>
                <w:sz w:val="21"/>
                <w:szCs w:val="21"/>
                <w:lang w:val="zh-CN"/>
                <w14:textFill>
                  <w14:solidFill>
                    <w14:schemeClr w14:val="tx1"/>
                  </w14:solidFill>
                </w14:textFill>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对</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文件有异议</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或疑问</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2020年</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11</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日</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对多</w:t>
            </w:r>
            <w:r>
              <w:rPr>
                <w:rFonts w:hint="eastAsia" w:asciiTheme="minorEastAsia" w:hAnsiTheme="minorEastAsia" w:eastAsiaTheme="minorEastAsia" w:cstheme="minorEastAsia"/>
                <w:snapToGrid w:val="0"/>
                <w:color w:val="000000" w:themeColor="text1"/>
                <w:kern w:val="0"/>
                <w:sz w:val="21"/>
                <w:szCs w:val="21"/>
                <w:lang w:val="en-US" w:eastAsia="zh-CN"/>
                <w14:textFill>
                  <w14:solidFill>
                    <w14:schemeClr w14:val="tx1"/>
                  </w14:solidFill>
                </w14:textFill>
              </w:rPr>
              <w:t>包</w:t>
            </w: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竞争性磋商</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w:t>
            </w:r>
            <w:r>
              <w:rPr>
                <w:rFonts w:hint="eastAsia" w:asciiTheme="minorEastAsia" w:hAnsiTheme="minorEastAsia" w:eastAsiaTheme="minorEastAsia" w:cstheme="minorEastAsia"/>
                <w:color w:val="auto"/>
                <w:sz w:val="21"/>
                <w:szCs w:val="21"/>
                <w:lang w:val="zh-CN"/>
              </w:rPr>
              <w:t>基本</w:t>
            </w:r>
            <w:r>
              <w:rPr>
                <w:rFonts w:hint="eastAsia" w:asciiTheme="minorEastAsia" w:hAnsiTheme="minorEastAsia" w:eastAsiaTheme="minorEastAsia" w:cstheme="minorEastAsia"/>
                <w:sz w:val="21"/>
                <w:szCs w:val="21"/>
                <w:lang w:val="zh-CN"/>
              </w:rPr>
              <w:t>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磋商保证金金额、递交方式、时间及接受磋商保证金的帐户信息</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 w:val="21"/>
                <w:szCs w:val="21"/>
                <w:lang w:val="en-US" w:eastAsia="zh-CN"/>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金    额：</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帐    号：17053001040009288</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缴纳</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投标保证金必须从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递交响应文件截止时间，以采购代理公司银行到账信息为准。</w:t>
            </w:r>
            <w:r>
              <w:rPr>
                <w:rFonts w:hint="eastAsia" w:asciiTheme="minorEastAsia" w:hAnsiTheme="minorEastAsia" w:eastAsiaTheme="minorEastAsia" w:cstheme="minorEastAsia"/>
                <w:color w:val="000000" w:themeColor="text1"/>
                <w:sz w:val="21"/>
                <w:szCs w:val="21"/>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签订合同后须将合同扫描件（PDF版）发送至2102252595@qq.com邮箱备案后方可退还保证金。</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投标文件纸质版：正本一份（需为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彩色打印</w:t>
            </w:r>
            <w:r>
              <w:rPr>
                <w:rFonts w:hint="eastAsia" w:asciiTheme="minorEastAsia" w:hAnsiTheme="minorEastAsia" w:eastAsiaTheme="minorEastAsia" w:cstheme="minorEastAsia"/>
                <w:color w:val="000000" w:themeColor="text1"/>
                <w:sz w:val="21"/>
                <w:szCs w:val="21"/>
                <w14:textFill>
                  <w14:solidFill>
                    <w14:schemeClr w14:val="tx1"/>
                  </w14:solidFill>
                </w14:textFill>
              </w:rPr>
              <w:t>件），副本</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两 </w:t>
            </w:r>
            <w:r>
              <w:rPr>
                <w:rFonts w:hint="eastAsia" w:asciiTheme="minorEastAsia" w:hAnsiTheme="minorEastAsia" w:eastAsiaTheme="minorEastAsia" w:cstheme="minorEastAsia"/>
                <w:color w:val="000000" w:themeColor="text1"/>
                <w:sz w:val="21"/>
                <w:szCs w:val="21"/>
                <w14:textFill>
                  <w14:solidFill>
                    <w14:schemeClr w14:val="tx1"/>
                  </w14:solidFill>
                </w14:textFill>
              </w:rPr>
              <w:t>份</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□不要求</w:t>
            </w:r>
          </w:p>
          <w:p>
            <w:pPr>
              <w:autoSpaceDE w:val="0"/>
              <w:autoSpaceDN w:val="0"/>
              <w:snapToGrid w:val="0"/>
              <w:spacing w:line="240" w:lineRule="auto"/>
              <w:jc w:val="left"/>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bdr w:val="single" w:color="auto" w:sz="4" w:space="0"/>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要求，投标文件电子版内容：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投标文件电子版格式：</w:t>
            </w:r>
            <w:r>
              <w:rPr>
                <w:rFonts w:hint="eastAsia" w:asciiTheme="minorEastAsia" w:hAnsiTheme="minorEastAsia" w:eastAsiaTheme="minorEastAsia" w:cstheme="minorEastAsia"/>
                <w:color w:val="000000" w:themeColor="text1"/>
                <w:sz w:val="21"/>
                <w:szCs w:val="21"/>
                <w:u w:val="single"/>
                <w:shd w:val="clear" w:color="auto" w:fill="FFFFFF"/>
                <w:lang w:val="en-US" w:eastAsia="zh-CN"/>
                <w14:textFill>
                  <w14:solidFill>
                    <w14:schemeClr w14:val="tx1"/>
                  </w14:solidFill>
                </w14:textFill>
              </w:rPr>
              <w:t>WORD</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格式</w:t>
            </w:r>
            <w:r>
              <w:rPr>
                <w:rFonts w:hint="eastAsia" w:asciiTheme="minorEastAsia" w:hAnsiTheme="minorEastAsia" w:eastAsiaTheme="minorEastAsia" w:cstheme="minorEastAsia"/>
                <w:color w:val="000000" w:themeColor="text1"/>
                <w:sz w:val="21"/>
                <w:szCs w:val="21"/>
                <w:u w:val="single"/>
                <w:shd w:val="clear" w:color="auto" w:fill="FFFFFF"/>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加盖公章后的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PDF</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扫描件</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格式</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w:t>
            </w:r>
          </w:p>
          <w:p>
            <w:pPr>
              <w:autoSpaceDE w:val="0"/>
              <w:autoSpaceDN w:val="0"/>
              <w:adjustRightInd w:val="0"/>
              <w:spacing w:line="240" w:lineRule="auto"/>
              <w:ind w:firstLine="840" w:firstLineChars="400"/>
              <w:jc w:val="left"/>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投标文件电子版形式：</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3、手持</w:t>
            </w:r>
            <w:r>
              <w:rPr>
                <w:rFonts w:hint="eastAsia" w:asciiTheme="minorEastAsia" w:hAnsiTheme="minorEastAsia" w:eastAsiaTheme="minorEastAsia" w:cstheme="minorEastAsia"/>
                <w:b w:val="0"/>
                <w:bCs w:val="0"/>
                <w:color w:val="000000" w:themeColor="text1"/>
                <w:sz w:val="21"/>
                <w:szCs w:val="21"/>
                <w:u w:val="none"/>
                <w14:textFill>
                  <w14:solidFill>
                    <w14:schemeClr w14:val="tx1"/>
                  </w14:solidFill>
                </w14:textFill>
              </w:rPr>
              <w:t>法定代表人授权委托书（或法定代表人身份证明书）、单独</w:t>
            </w: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密封</w:t>
            </w:r>
            <w:r>
              <w:rPr>
                <w:rFonts w:hint="eastAsia" w:asciiTheme="minorEastAsia" w:hAnsiTheme="minorEastAsia" w:eastAsiaTheme="minorEastAsia" w:cstheme="minorEastAsia"/>
                <w:b w:val="0"/>
                <w:bCs w:val="0"/>
                <w:color w:val="000000" w:themeColor="text1"/>
                <w:sz w:val="21"/>
                <w:szCs w:val="21"/>
                <w:u w:val="none"/>
                <w14:textFill>
                  <w14:solidFill>
                    <w14:schemeClr w14:val="tx1"/>
                  </w14:solidFill>
                </w14:textFill>
              </w:rPr>
              <w:t>提供的报价一览表、优惠声明（如有）</w:t>
            </w:r>
            <w:r>
              <w:rPr>
                <w:rFonts w:hint="eastAsia" w:asciiTheme="minorEastAsia" w:hAnsiTheme="minorEastAsia" w:eastAsiaTheme="minorEastAsia" w:cstheme="minorEastAsia"/>
                <w:b w:val="0"/>
                <w:bCs w:val="0"/>
                <w:color w:val="000000" w:themeColor="text1"/>
                <w:sz w:val="21"/>
                <w:szCs w:val="21"/>
                <w:u w:val="none"/>
                <w:lang w:eastAsia="zh-CN"/>
                <w14:textFill>
                  <w14:solidFill>
                    <w14:schemeClr w14:val="tx1"/>
                  </w14:solidFill>
                </w14:textFill>
              </w:rPr>
              <w:t>；</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纸质投标文件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应</w:t>
            </w:r>
            <w:r>
              <w:rPr>
                <w:rFonts w:hint="eastAsia" w:asciiTheme="minorEastAsia" w:hAnsiTheme="minorEastAsia" w:eastAsiaTheme="minorEastAsia" w:cstheme="minorEastAsia"/>
                <w:color w:val="000000" w:themeColor="text1"/>
                <w:sz w:val="21"/>
                <w:szCs w:val="21"/>
                <w14:textFill>
                  <w14:solidFill>
                    <w14:schemeClr w14:val="tx1"/>
                  </w14:solidFill>
                </w14:textFill>
              </w:rPr>
              <w:t>采用胶粘方</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【本项目不适用】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宋体" w:hAnsi="宋体"/>
                <w:b/>
                <w:bCs/>
                <w:color w:val="000000"/>
                <w:szCs w:val="21"/>
                <w:lang w:eastAsia="zh-CN"/>
              </w:rPr>
            </w:pPr>
            <w:r>
              <w:rPr>
                <w:rFonts w:hint="eastAsia" w:ascii="宋体" w:hAnsi="宋体"/>
                <w:b/>
                <w:bCs/>
                <w:color w:val="000000"/>
                <w:szCs w:val="21"/>
              </w:rPr>
              <w:t>本项目基药部分执行</w:t>
            </w:r>
            <w:r>
              <w:rPr>
                <w:rFonts w:hint="eastAsia" w:ascii="宋体" w:hAnsi="宋体"/>
                <w:b/>
                <w:bCs/>
                <w:color w:val="000000"/>
                <w:szCs w:val="21"/>
                <w:lang w:eastAsia="zh-CN"/>
              </w:rPr>
              <w:t>基药平台</w:t>
            </w:r>
            <w:r>
              <w:rPr>
                <w:rFonts w:hint="eastAsia" w:ascii="宋体" w:hAnsi="宋体"/>
                <w:b/>
                <w:bCs/>
                <w:color w:val="000000"/>
                <w:szCs w:val="21"/>
              </w:rPr>
              <w:t>统一价格标准，</w:t>
            </w:r>
            <w:r>
              <w:rPr>
                <w:rFonts w:hint="eastAsia" w:ascii="宋体" w:hAnsi="宋体"/>
                <w:b/>
                <w:bCs/>
                <w:color w:val="000000"/>
                <w:szCs w:val="21"/>
                <w:lang w:eastAsia="zh-CN"/>
              </w:rPr>
              <w:t>不做</w:t>
            </w:r>
            <w:r>
              <w:rPr>
                <w:rFonts w:hint="eastAsia" w:ascii="宋体" w:hAnsi="宋体"/>
                <w:b/>
                <w:bCs/>
                <w:color w:val="000000"/>
                <w:szCs w:val="21"/>
              </w:rPr>
              <w:t>报价。非基药部分以其市场统一中标价做为拦标价进行</w:t>
            </w:r>
            <w:r>
              <w:rPr>
                <w:rFonts w:hint="eastAsia" w:ascii="宋体" w:hAnsi="宋体"/>
                <w:b/>
                <w:bCs/>
                <w:color w:val="000000"/>
                <w:szCs w:val="21"/>
                <w:lang w:eastAsia="zh-CN"/>
              </w:rPr>
              <w:t>综合单价报</w:t>
            </w:r>
            <w:r>
              <w:rPr>
                <w:rFonts w:hint="eastAsia" w:ascii="宋体" w:hAnsi="宋体"/>
                <w:b/>
                <w:bCs/>
                <w:color w:val="000000"/>
                <w:szCs w:val="21"/>
              </w:rPr>
              <w:t>价。</w:t>
            </w:r>
            <w:r>
              <w:rPr>
                <w:rFonts w:hint="eastAsia" w:ascii="宋体" w:hAnsi="宋体"/>
                <w:b/>
                <w:bCs/>
                <w:color w:val="000000"/>
                <w:szCs w:val="21"/>
                <w:lang w:eastAsia="zh-CN"/>
              </w:rPr>
              <w:t>耗材、中药材</w:t>
            </w:r>
            <w:r>
              <w:rPr>
                <w:rFonts w:hint="eastAsia" w:ascii="宋体" w:hAnsi="宋体"/>
                <w:b/>
                <w:bCs/>
                <w:color w:val="000000"/>
                <w:szCs w:val="21"/>
              </w:rPr>
              <w:t>以其市场统一中标价做为拦标价进行</w:t>
            </w:r>
            <w:r>
              <w:rPr>
                <w:rFonts w:hint="eastAsia" w:ascii="宋体" w:hAnsi="宋体"/>
                <w:b/>
                <w:bCs/>
                <w:color w:val="000000"/>
                <w:szCs w:val="21"/>
                <w:lang w:eastAsia="zh-CN"/>
              </w:rPr>
              <w:t>综合单</w:t>
            </w:r>
            <w:r>
              <w:rPr>
                <w:rFonts w:hint="eastAsia" w:ascii="宋体" w:hAnsi="宋体"/>
                <w:b/>
                <w:bCs/>
                <w:color w:val="000000"/>
                <w:szCs w:val="21"/>
              </w:rPr>
              <w:t>价</w:t>
            </w:r>
            <w:r>
              <w:rPr>
                <w:rFonts w:hint="eastAsia" w:ascii="宋体" w:hAnsi="宋体"/>
                <w:b/>
                <w:bCs/>
                <w:color w:val="000000"/>
                <w:szCs w:val="21"/>
                <w:lang w:eastAsia="zh-CN"/>
              </w:rPr>
              <w:t>报价。</w:t>
            </w:r>
            <w:r>
              <w:rPr>
                <w:rFonts w:hint="eastAsia" w:asciiTheme="minorEastAsia" w:hAnsiTheme="minorEastAsia" w:eastAsiaTheme="minorEastAsia" w:cstheme="minorEastAsia"/>
                <w:b/>
                <w:bCs/>
                <w:color w:val="000000" w:themeColor="text1"/>
                <w:sz w:val="21"/>
                <w:szCs w:val="21"/>
                <w:lang w:val="zh-CN"/>
                <w14:textFill>
                  <w14:solidFill>
                    <w14:schemeClr w14:val="tx1"/>
                  </w14:solidFill>
                </w14:textFill>
              </w:rPr>
              <w:t>且须精确到小数点后两位</w:t>
            </w:r>
            <w:r>
              <w:rPr>
                <w:rFonts w:hint="eastAsia" w:ascii="宋体" w:hAnsi="宋体"/>
                <w:b/>
                <w:bCs/>
                <w:color w:val="000000"/>
                <w:szCs w:val="21"/>
                <w:lang w:eastAsia="zh-CN"/>
              </w:rPr>
              <w:t>。</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报价为“交钥匙”价。竞标报价应包括完成该</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项目采购范围内的</w:t>
            </w:r>
            <w:r>
              <w:rPr>
                <w:rFonts w:hint="eastAsia" w:asciiTheme="minorEastAsia" w:hAnsiTheme="minorEastAsia" w:eastAsiaTheme="minorEastAsia" w:cstheme="minorEastAsia"/>
                <w:color w:val="000000" w:themeColor="text1"/>
                <w:sz w:val="21"/>
                <w:szCs w:val="21"/>
                <w14:textFill>
                  <w14:solidFill>
                    <w14:schemeClr w14:val="tx1"/>
                  </w14:solidFill>
                </w14:textFill>
              </w:rPr>
              <w:t>所有费用</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及</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质保期间等一切服务费用及其他售后服务等全部相关工作</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的全费用</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各供应商按此要求进行报价，同时在合同实施过程中还将发生的其它费用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必须</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采购人不组织统一踏勘，</w:t>
            </w:r>
            <w:r>
              <w:rPr>
                <w:rFonts w:hint="eastAsia" w:asciiTheme="minorEastAsia" w:hAnsiTheme="minorEastAsia" w:eastAsiaTheme="minorEastAsia" w:cstheme="minorEastAsia"/>
                <w:color w:val="000000" w:themeColor="text1"/>
                <w:sz w:val="21"/>
                <w:szCs w:val="21"/>
                <w14:textFill>
                  <w14:solidFill>
                    <w14:schemeClr w14:val="tx1"/>
                  </w14:solidFill>
                </w14:textFill>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注：1、</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420" w:firstLineChars="200"/>
              <w:jc w:val="left"/>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采购人在踏勘现场中介绍的项目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背景及项目现场</w:t>
            </w:r>
            <w:r>
              <w:rPr>
                <w:rFonts w:hint="eastAsia" w:asciiTheme="minorEastAsia" w:hAnsiTheme="minorEastAsia" w:eastAsiaTheme="minorEastAsia" w:cstheme="minorEastAsia"/>
                <w:color w:val="000000" w:themeColor="text1"/>
                <w:sz w:val="21"/>
                <w:szCs w:val="21"/>
                <w14:textFill>
                  <w14:solidFill>
                    <w14:schemeClr w14:val="tx1"/>
                  </w14:solidFill>
                </w14:textFill>
              </w:rPr>
              <w:t>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核心产品</w:t>
            </w:r>
          </w:p>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【本项目不适用】</w:t>
            </w:r>
          </w:p>
        </w:tc>
        <w:tc>
          <w:tcPr>
            <w:tcW w:w="6130" w:type="dxa"/>
            <w:vAlign w:val="center"/>
          </w:tcPr>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本项目核心产品：</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1.提供相同品牌产品且通过资格审查、符合性审查的不同供应商参</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加同一合同项下投标的，按一家供应商计算，评审后得分最高的同</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品牌供应商获得成交供应商推荐资格；评审得分相同的，采取随机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抽取方式确定，其他同品牌供应商不作为中标候选人。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2.若核心产品不止 1 个，各供应商所投任一核心产品的品牌相同，</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则按一家供应商计算。</w:t>
            </w:r>
          </w:p>
        </w:tc>
      </w:tr>
    </w:tbl>
    <w:p>
      <w:pPr>
        <w:spacing w:line="360" w:lineRule="auto"/>
        <w:outlineLvl w:val="1"/>
        <w:rPr>
          <w:rFonts w:hint="eastAsia" w:asciiTheme="minorEastAsia" w:hAnsiTheme="minorEastAsia" w:eastAsiaTheme="minorEastAsia" w:cstheme="minorEastAsia"/>
          <w:b/>
          <w:szCs w:val="21"/>
        </w:rPr>
      </w:pPr>
      <w:bookmarkStart w:id="28" w:name="_Toc21328"/>
      <w:r>
        <w:rPr>
          <w:rFonts w:hint="eastAsia" w:asciiTheme="minorEastAsia" w:hAnsiTheme="minorEastAsia" w:eastAsiaTheme="minorEastAsia" w:cstheme="minorEastAsia"/>
          <w:b/>
          <w:szCs w:val="21"/>
        </w:rPr>
        <w:t>供应商须知</w:t>
      </w:r>
      <w:bookmarkEnd w:id="28"/>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9" w:name="_Toc13404"/>
      <w:r>
        <w:rPr>
          <w:rFonts w:hint="eastAsia" w:asciiTheme="minorEastAsia" w:hAnsiTheme="minorEastAsia" w:eastAsiaTheme="minorEastAsia" w:cstheme="minorEastAsia"/>
          <w:b/>
          <w:szCs w:val="21"/>
        </w:rPr>
        <w:t>总则</w:t>
      </w:r>
      <w:bookmarkEnd w:id="29"/>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0" w:name="_Toc24622"/>
      <w:bookmarkStart w:id="31" w:name="_Toc27243"/>
      <w:r>
        <w:rPr>
          <w:rFonts w:hint="eastAsia" w:asciiTheme="minorEastAsia" w:hAnsiTheme="minorEastAsia" w:eastAsiaTheme="minorEastAsia" w:cstheme="minorEastAsia"/>
          <w:b/>
          <w:szCs w:val="21"/>
        </w:rPr>
        <w:t>适用法律及范围</w:t>
      </w:r>
      <w:bookmarkEnd w:id="30"/>
      <w:bookmarkEnd w:id="31"/>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2" w:name="_Toc13704"/>
      <w:bookmarkStart w:id="33" w:name="_Toc30547"/>
      <w:r>
        <w:rPr>
          <w:rFonts w:hint="eastAsia" w:asciiTheme="minorEastAsia" w:hAnsiTheme="minorEastAsia" w:eastAsiaTheme="minorEastAsia" w:cstheme="minorEastAsia"/>
          <w:b/>
          <w:szCs w:val="21"/>
        </w:rPr>
        <w:t>定义</w:t>
      </w:r>
      <w:bookmarkEnd w:id="32"/>
      <w:bookmarkEnd w:id="33"/>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4" w:name="_Toc6652"/>
      <w:bookmarkStart w:id="35" w:name="_Toc30503"/>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6" w:name="_Toc12871"/>
      <w:bookmarkStart w:id="37" w:name="_Toc9974"/>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w:t>
      </w:r>
      <w:r>
        <w:rPr>
          <w:rFonts w:hint="eastAsia" w:asciiTheme="minorEastAsia" w:hAnsiTheme="minorEastAsia" w:eastAsiaTheme="minorEastAsia" w:cstheme="minorEastAsia"/>
          <w:color w:val="auto"/>
          <w:szCs w:val="21"/>
        </w:rPr>
        <w:t>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合计收费=179500.000元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8" w:name="_Toc32483"/>
      <w:r>
        <w:rPr>
          <w:rFonts w:hint="eastAsia" w:asciiTheme="minorEastAsia" w:hAnsiTheme="minorEastAsia" w:eastAsiaTheme="minorEastAsia" w:cstheme="minorEastAsia"/>
          <w:b/>
          <w:color w:val="auto"/>
          <w:szCs w:val="21"/>
        </w:rPr>
        <w:t>竞争性磋商采购文件</w:t>
      </w:r>
      <w:bookmarkEnd w:id="38"/>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9" w:name="_Toc25932"/>
      <w:bookmarkStart w:id="40" w:name="_Toc4547"/>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1" w:name="_Toc26439"/>
      <w:bookmarkStart w:id="42" w:name="_Toc29700"/>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w:t>
      </w:r>
      <w:r>
        <w:rPr>
          <w:rFonts w:hint="eastAsia" w:asciiTheme="minorEastAsia" w:hAnsiTheme="minorEastAsia" w:eastAsiaTheme="minorEastAsia" w:cstheme="minorEastAsia"/>
          <w:snapToGrid w:val="0"/>
          <w:kern w:val="0"/>
          <w:szCs w:val="21"/>
          <w:lang w:val="zh-CN"/>
        </w:rPr>
        <w:t>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13283"/>
      <w:bookmarkStart w:id="44" w:name="_Toc31761"/>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5" w:name="_Toc16348"/>
      <w:r>
        <w:rPr>
          <w:rFonts w:hint="eastAsia" w:asciiTheme="minorEastAsia" w:hAnsiTheme="minorEastAsia" w:eastAsiaTheme="minorEastAsia" w:cstheme="minorEastAsia"/>
          <w:b/>
          <w:szCs w:val="21"/>
        </w:rPr>
        <w:t>竞争性磋商响应文件</w:t>
      </w:r>
      <w:bookmarkEnd w:id="45"/>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6" w:name="_Toc30987"/>
      <w:bookmarkStart w:id="47" w:name="_Toc19000"/>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8" w:name="_Toc32272"/>
      <w:bookmarkStart w:id="49" w:name="_Toc21819"/>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0" w:name="_Toc25217"/>
      <w:bookmarkStart w:id="51" w:name="_Toc22301"/>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2" w:name="_Toc17700"/>
      <w:bookmarkStart w:id="53" w:name="_Toc24544"/>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4" w:name="_Toc6176"/>
      <w:bookmarkStart w:id="55" w:name="_Toc19133"/>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6" w:name="_Toc3324"/>
      <w:bookmarkStart w:id="57" w:name="_Toc2772"/>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8" w:name="_Toc22554"/>
      <w:bookmarkStart w:id="59" w:name="_Toc2434"/>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9935"/>
      <w:bookmarkStart w:id="61" w:name="_Toc1819"/>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27068"/>
      <w:bookmarkStart w:id="63" w:name="_Toc14153"/>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10777"/>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22220"/>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numPr>
          <w:ilvl w:val="1"/>
          <w:numId w:val="31"/>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8" w:name="_Toc21439"/>
      <w:r>
        <w:rPr>
          <w:rFonts w:hint="eastAsia" w:asciiTheme="minorEastAsia" w:hAnsiTheme="minorEastAsia" w:eastAsiaTheme="minorEastAsia" w:cstheme="minorEastAsia"/>
          <w:b/>
          <w:szCs w:val="21"/>
        </w:rPr>
        <w:t>竞争性磋商响应文件的递交</w:t>
      </w:r>
      <w:bookmarkEnd w:id="6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9" w:name="_Toc27305"/>
      <w:bookmarkStart w:id="70" w:name="_Toc23671"/>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27020"/>
      <w:bookmarkStart w:id="72"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keepNext w:val="0"/>
        <w:keepLines w:val="0"/>
        <w:pageBreakBefore w:val="0"/>
        <w:widowControl w:val="0"/>
        <w:numPr>
          <w:ilvl w:val="0"/>
          <w:numId w:val="0"/>
        </w:numPr>
        <w:shd w:val="clear"/>
        <w:tabs>
          <w:tab w:val="left" w:pos="540"/>
        </w:tabs>
        <w:kinsoku/>
        <w:wordWrap/>
        <w:overflowPunct/>
        <w:topLinePunct w:val="0"/>
        <w:autoSpaceDE w:val="0"/>
        <w:autoSpaceDN w:val="0"/>
        <w:bidi w:val="0"/>
        <w:adjustRightInd w:val="0"/>
        <w:snapToGrid/>
        <w:spacing w:line="360" w:lineRule="auto"/>
        <w:ind w:left="617" w:leftChars="0" w:hanging="617" w:hangingChars="29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20.1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bCs/>
          <w:snapToGrid w:val="0"/>
          <w:kern w:val="0"/>
          <w:szCs w:val="21"/>
          <w:lang w:val="zh-CN"/>
        </w:rPr>
        <w:t>竞争性磋商</w:t>
      </w:r>
      <w:r>
        <w:rPr>
          <w:rFonts w:hint="eastAsia" w:asciiTheme="minorEastAsia" w:hAnsiTheme="minorEastAsia" w:eastAsiaTheme="minorEastAsia" w:cstheme="minorEastAsia"/>
          <w:snapToGrid w:val="0"/>
          <w:kern w:val="0"/>
          <w:szCs w:val="21"/>
          <w:lang w:val="zh-CN"/>
        </w:rPr>
        <w:t>文件中规定的首次送达、提交响应文件的最后时间。本次磋商响应文件的送达地点及截止时间见《供应商须知前附表》。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31376"/>
      <w:bookmarkStart w:id="74" w:name="_Toc6851"/>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keepNext w:val="0"/>
        <w:keepLines w:val="0"/>
        <w:pageBreakBefore w:val="0"/>
        <w:widowControl w:val="0"/>
        <w:numPr>
          <w:ilvl w:val="1"/>
          <w:numId w:val="33"/>
        </w:numPr>
        <w:shd w:val="clear"/>
        <w:tabs>
          <w:tab w:val="left" w:pos="540"/>
          <w:tab w:val="clear" w:pos="48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5" w:name="_Toc21289"/>
      <w:bookmarkStart w:id="76"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keepNext w:val="0"/>
        <w:keepLines w:val="0"/>
        <w:pageBreakBefore w:val="0"/>
        <w:widowControl w:val="0"/>
        <w:numPr>
          <w:ilvl w:val="1"/>
          <w:numId w:val="34"/>
        </w:numPr>
        <w:tabs>
          <w:tab w:val="left" w:pos="54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7" w:name="_Toc1411"/>
      <w:r>
        <w:rPr>
          <w:rFonts w:hint="eastAsia" w:asciiTheme="minorEastAsia" w:hAnsiTheme="minorEastAsia" w:eastAsiaTheme="minorEastAsia" w:cstheme="minorEastAsia"/>
          <w:b/>
          <w:szCs w:val="21"/>
        </w:rPr>
        <w:t>磋商程序及步骤</w:t>
      </w:r>
      <w:bookmarkEnd w:id="7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23748"/>
      <w:bookmarkStart w:id="79" w:name="_Toc22624"/>
      <w:r>
        <w:rPr>
          <w:rFonts w:hint="eastAsia" w:asciiTheme="minorEastAsia" w:hAnsiTheme="minorEastAsia" w:eastAsiaTheme="minorEastAsia" w:cstheme="minorEastAsia"/>
          <w:b/>
        </w:rPr>
        <w:t>竞争性磋商小组</w:t>
      </w:r>
      <w:bookmarkEnd w:id="78"/>
      <w:bookmarkEnd w:id="79"/>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23.1  </w:t>
      </w:r>
      <w:r>
        <w:rPr>
          <w:rFonts w:hint="eastAsia" w:asciiTheme="minorEastAsia" w:hAnsiTheme="minorEastAsia" w:eastAsiaTheme="minorEastAsia" w:cstheme="minorEastAsia"/>
          <w:snapToGrid w:val="0"/>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人以上单数组成。磋商小组人数详见《供应商须知前附表》。</w:t>
      </w:r>
    </w:p>
    <w:p>
      <w:pPr>
        <w:numPr>
          <w:ilvl w:val="0"/>
          <w:numId w:val="0"/>
        </w:numPr>
        <w:tabs>
          <w:tab w:val="left" w:pos="540"/>
        </w:tabs>
        <w:autoSpaceDE w:val="0"/>
        <w:autoSpaceDN w:val="0"/>
        <w:adjustRightInd w:val="0"/>
        <w:spacing w:line="360" w:lineRule="auto"/>
        <w:ind w:left="630" w:leftChars="0" w:hanging="630" w:hanging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23.2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 xml:space="preserve">磋商小组中的评审专家人数不少于磋商小组成员总数的2/3。除本采购文件另有规定，评审专家将从政府采购评审专家库中随机抽取。 </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leftChars="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23.3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磋商小组所有成员按事先抽取的磋商顺序</w:t>
      </w:r>
      <w:r>
        <w:rPr>
          <w:rFonts w:hint="eastAsia" w:asciiTheme="minorEastAsia" w:hAnsiTheme="minorEastAsia" w:eastAsiaTheme="minorEastAsia" w:cstheme="minorEastAsia"/>
          <w:snapToGrid w:val="0"/>
          <w:kern w:val="0"/>
          <w:szCs w:val="21"/>
          <w:lang w:val="zh-CN" w:eastAsia="zh-CN"/>
        </w:rPr>
        <w:t>，</w:t>
      </w:r>
      <w:r>
        <w:rPr>
          <w:rFonts w:hint="eastAsia" w:asciiTheme="minorEastAsia" w:hAnsiTheme="minorEastAsia" w:eastAsiaTheme="minorEastAsia" w:cstheme="minorEastAsia"/>
          <w:snapToGrid w:val="0"/>
          <w:kern w:val="0"/>
          <w:szCs w:val="21"/>
          <w:lang w:val="zh-CN"/>
        </w:rPr>
        <w:t>集中与单一供应商分别进行磋商，并给予所有参</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0" w:name="_Toc21483"/>
      <w:bookmarkStart w:id="81" w:name="_Toc18758"/>
      <w:r>
        <w:rPr>
          <w:rFonts w:hint="eastAsia" w:asciiTheme="minorEastAsia" w:hAnsiTheme="minorEastAsia" w:eastAsiaTheme="minorEastAsia" w:cstheme="minorEastAsia"/>
          <w:b/>
        </w:rPr>
        <w:t>磋商代表</w:t>
      </w:r>
      <w:bookmarkEnd w:id="80"/>
      <w:bookmarkEnd w:id="81"/>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632" w:hanging="632" w:hangingChars="300"/>
        <w:jc w:val="left"/>
        <w:textAlignment w:val="auto"/>
        <w:rPr>
          <w:rFonts w:hint="eastAsia" w:asciiTheme="minorEastAsia" w:hAnsiTheme="minorEastAsia" w:eastAsiaTheme="minorEastAsia" w:cstheme="minorEastAsia"/>
          <w:szCs w:val="21"/>
          <w:lang w:val="en-US" w:eastAsia="zh-CN"/>
        </w:rPr>
      </w:pPr>
      <w:bookmarkStart w:id="82" w:name="_Toc9967"/>
      <w:bookmarkStart w:id="83"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b/>
          <w:lang w:val="en-US" w:eastAsia="zh-CN"/>
        </w:rPr>
        <w:t xml:space="preserve">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13658"/>
      <w:r>
        <w:rPr>
          <w:rFonts w:hint="eastAsia" w:asciiTheme="minorEastAsia" w:hAnsiTheme="minorEastAsia" w:eastAsiaTheme="minorEastAsia" w:cstheme="minorEastAsia"/>
          <w:b/>
        </w:rPr>
        <w:t>资格审查和符合性审查</w:t>
      </w:r>
      <w:bookmarkEnd w:id="84"/>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5" w:name="_Toc768"/>
      <w:r>
        <w:rPr>
          <w:rFonts w:hint="eastAsia" w:asciiTheme="minorEastAsia" w:hAnsiTheme="minorEastAsia" w:eastAsiaTheme="minorEastAsia" w:cstheme="minorEastAsia"/>
          <w:b/>
        </w:rPr>
        <w:t>磋商</w:t>
      </w:r>
      <w:bookmarkEnd w:id="85"/>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pStyle w:val="2"/>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26.4 竞标报价有算术错误的，磋商小组按照以下原则对磋商报价进行修正，修正的价格经供应商书面确认后具有约束力。供应商不接受修正价格的，磋商小组应当否决其竞标。</w:t>
      </w:r>
    </w:p>
    <w:p>
      <w:pPr>
        <w:pStyle w:val="2"/>
        <w:keepNext w:val="0"/>
        <w:keepLines w:val="0"/>
        <w:pageBreakBefore w:val="0"/>
        <w:widowControl w:val="0"/>
        <w:kinsoku/>
        <w:wordWrap/>
        <w:overflowPunct/>
        <w:topLinePunct w:val="0"/>
        <w:autoSpaceDE/>
        <w:autoSpaceDN/>
        <w:bidi w:val="0"/>
        <w:adjustRightInd/>
        <w:snapToGrid/>
        <w:spacing w:line="360" w:lineRule="auto"/>
        <w:ind w:left="630" w:leftChars="300" w:firstLine="0" w:firstLineChars="0"/>
        <w:jc w:val="left"/>
        <w:textAlignment w:val="auto"/>
        <w:rPr>
          <w:rFonts w:hint="eastAsia"/>
        </w:rPr>
      </w:pPr>
      <w:r>
        <w:rPr>
          <w:rFonts w:hint="eastAsia" w:asciiTheme="minorEastAsia" w:hAnsiTheme="minorEastAsia" w:eastAsiaTheme="minorEastAsia" w:cstheme="minorEastAsia"/>
          <w:kern w:val="2"/>
          <w:sz w:val="21"/>
          <w:szCs w:val="24"/>
          <w:lang w:val="en-US" w:eastAsia="zh-CN" w:bidi="ar-SA"/>
        </w:rPr>
        <w:t>（1）竞标文件中的大写金额与小写金额不一致的，以大写金额为准；</w:t>
      </w:r>
      <w:r>
        <w:rPr>
          <w:rFonts w:hint="eastAsia" w:asciiTheme="minorEastAsia" w:hAnsiTheme="minorEastAsia" w:eastAsiaTheme="minorEastAsia" w:cstheme="minorEastAsia"/>
          <w:kern w:val="2"/>
          <w:sz w:val="21"/>
          <w:szCs w:val="24"/>
          <w:lang w:val="en-US" w:eastAsia="zh-CN" w:bidi="ar-SA"/>
        </w:rPr>
        <w:br w:type="textWrapping"/>
      </w:r>
      <w:r>
        <w:rPr>
          <w:rFonts w:hint="eastAsia" w:asciiTheme="minorEastAsia" w:hAnsiTheme="minorEastAsia" w:eastAsiaTheme="minorEastAsia" w:cstheme="minorEastAsia"/>
          <w:kern w:val="2"/>
          <w:sz w:val="21"/>
          <w:szCs w:val="24"/>
          <w:lang w:val="en-US" w:eastAsia="zh-CN" w:bidi="ar-SA"/>
        </w:rPr>
        <w:t>（2）总价金额与根据单价计算出的结果不一致的，以单价金额为准修正总价，但单价金额小数点有明显错误的除外。</w:t>
      </w:r>
      <w:r>
        <w:rPr>
          <w:rFonts w:hint="eastAsia"/>
        </w:rPr>
        <w:t>”</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最后报价</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 xml:space="preserve">7 </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bCs/>
          <w:kern w:val="44"/>
          <w:szCs w:val="21"/>
          <w:lang w:val="en-US" w:eastAsia="zh-CN"/>
        </w:rPr>
        <w:t xml:space="preserve"> </w:t>
      </w:r>
      <w:r>
        <w:rPr>
          <w:rFonts w:hint="eastAsia" w:asciiTheme="minorEastAsia" w:hAnsiTheme="minorEastAsia" w:eastAsiaTheme="minorEastAsia" w:cstheme="minorEastAsia"/>
          <w:bCs/>
          <w:kern w:val="44"/>
          <w:szCs w:val="21"/>
        </w:rPr>
        <w:t>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w:t>
      </w:r>
      <w:r>
        <w:rPr>
          <w:rFonts w:hint="eastAsia" w:asciiTheme="minorEastAsia" w:hAnsiTheme="minorEastAsia" w:eastAsiaTheme="minorEastAsia" w:cstheme="minorEastAsia"/>
          <w:bCs/>
          <w:kern w:val="44"/>
          <w:szCs w:val="21"/>
          <w:lang w:val="en-US" w:eastAsia="zh-CN"/>
        </w:rPr>
        <w:t xml:space="preserve">9 </w:t>
      </w:r>
      <w:r>
        <w:rPr>
          <w:rFonts w:hint="eastAsia" w:asciiTheme="minorEastAsia" w:hAnsiTheme="minorEastAsia" w:eastAsiaTheme="minorEastAsia" w:cstheme="minorEastAsia"/>
          <w:bCs/>
          <w:kern w:val="44"/>
          <w:szCs w:val="21"/>
        </w:rPr>
        <w:t>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12377"/>
      <w:r>
        <w:rPr>
          <w:rFonts w:hint="eastAsia" w:asciiTheme="minorEastAsia" w:hAnsiTheme="minorEastAsia" w:eastAsiaTheme="minorEastAsia" w:cstheme="minorEastAsia"/>
          <w:b/>
          <w:lang w:val="zh-CN"/>
        </w:rPr>
        <w:t>保密</w:t>
      </w:r>
      <w:bookmarkEnd w:id="86"/>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7" w:name="_Toc16803"/>
      <w:r>
        <w:rPr>
          <w:rFonts w:hint="eastAsia" w:asciiTheme="minorEastAsia" w:hAnsiTheme="minorEastAsia" w:eastAsiaTheme="minorEastAsia" w:cstheme="minorEastAsia"/>
          <w:b/>
          <w:szCs w:val="21"/>
        </w:rPr>
        <w:t>成交与签订合同</w:t>
      </w:r>
      <w:bookmarkEnd w:id="8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27960"/>
      <w:r>
        <w:rPr>
          <w:rFonts w:hint="eastAsia" w:asciiTheme="minorEastAsia" w:hAnsiTheme="minorEastAsia" w:eastAsiaTheme="minorEastAsia" w:cstheme="minorEastAsia"/>
          <w:b/>
          <w:lang w:val="zh-CN"/>
        </w:rPr>
        <w:t>合同授予标准</w:t>
      </w:r>
      <w:bookmarkEnd w:id="88"/>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 w:val="21"/>
          <w:szCs w:val="21"/>
          <w:lang w:val="zh-CN"/>
        </w:rPr>
        <w:t>采购人将把合同授予排名第一的供应商，特殊情况按本须知29.3的规定执行。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sz w:val="21"/>
          <w:szCs w:val="21"/>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2  </w:t>
      </w:r>
      <w:r>
        <w:rPr>
          <w:rFonts w:hint="eastAsia" w:asciiTheme="minorEastAsia" w:hAnsiTheme="minorEastAsia" w:eastAsiaTheme="minorEastAsia" w:cstheme="minorEastAsia"/>
          <w:iCs/>
          <w:snapToGrid w:val="0"/>
          <w:kern w:val="0"/>
          <w:sz w:val="21"/>
          <w:szCs w:val="21"/>
          <w:lang w:val="zh-CN"/>
        </w:rPr>
        <w:t>采购代理机构应当在评审结束后2个工作日内将评审报告送采购人确认。</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4  </w:t>
      </w:r>
      <w:r>
        <w:rPr>
          <w:rFonts w:hint="eastAsia" w:asciiTheme="minorEastAsia" w:hAnsiTheme="minorEastAsia" w:eastAsiaTheme="minorEastAsia" w:cstheme="minorEastAsia"/>
          <w:iCs/>
          <w:snapToGrid w:val="0"/>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5  </w:t>
      </w:r>
      <w:r>
        <w:rPr>
          <w:rFonts w:hint="eastAsia" w:asciiTheme="minorEastAsia" w:hAnsiTheme="minorEastAsia" w:eastAsiaTheme="minorEastAsia" w:cstheme="minorEastAsia"/>
          <w:iCs/>
          <w:snapToGrid w:val="0"/>
          <w:kern w:val="0"/>
          <w:sz w:val="21"/>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9" w:name="_Toc2509"/>
      <w:r>
        <w:rPr>
          <w:rFonts w:hint="eastAsia" w:asciiTheme="minorEastAsia" w:hAnsiTheme="minorEastAsia" w:eastAsiaTheme="minorEastAsia" w:cstheme="minorEastAsia"/>
          <w:b/>
          <w:lang w:val="zh-CN"/>
        </w:rPr>
        <w:t>签订合同</w:t>
      </w:r>
      <w:bookmarkEnd w:id="89"/>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29.1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 xml:space="preserve">29.2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29.5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 xml:space="preserve">29.6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10"/>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szCs w:val="21"/>
          <w:lang w:val="zh-CN"/>
        </w:rPr>
      </w:pPr>
      <w:bookmarkStart w:id="90" w:name="_Toc4883"/>
      <w:bookmarkStart w:id="91" w:name="_Toc13988"/>
      <w:bookmarkStart w:id="92" w:name="_Toc14510"/>
      <w:r>
        <w:rPr>
          <w:rFonts w:hint="eastAsia" w:asciiTheme="minorEastAsia" w:hAnsiTheme="minorEastAsia" w:eastAsiaTheme="minorEastAsia" w:cstheme="minorEastAsia"/>
          <w:b/>
          <w:szCs w:val="21"/>
          <w:lang w:val="zh-CN"/>
        </w:rPr>
        <w:t>质疑和投诉</w:t>
      </w:r>
      <w:bookmarkEnd w:id="90"/>
      <w:bookmarkEnd w:id="91"/>
      <w:bookmarkEnd w:id="92"/>
    </w:p>
    <w:p>
      <w:pPr>
        <w:keepNext w:val="0"/>
        <w:keepLines w:val="0"/>
        <w:pageBreakBefore w:val="0"/>
        <w:widowControl w:val="0"/>
        <w:numPr>
          <w:ilvl w:val="0"/>
          <w:numId w:val="11"/>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3" w:name="_Toc23808"/>
      <w:r>
        <w:rPr>
          <w:rFonts w:hint="eastAsia" w:asciiTheme="minorEastAsia" w:hAnsiTheme="minorEastAsia" w:eastAsiaTheme="minorEastAsia" w:cstheme="minorEastAsia"/>
          <w:b/>
          <w:lang w:val="zh-CN"/>
        </w:rPr>
        <w:t>质疑回复</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5059"/>
      <w:r>
        <w:rPr>
          <w:rFonts w:hint="eastAsia" w:asciiTheme="minorEastAsia" w:hAnsiTheme="minorEastAsia" w:eastAsiaTheme="minorEastAsia" w:cstheme="minorEastAsia"/>
          <w:b/>
          <w:lang w:val="zh-CN"/>
        </w:rPr>
        <w:t>投诉</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5" w:name="_Toc14767"/>
      <w:bookmarkStart w:id="96" w:name="_Toc28705"/>
      <w:bookmarkStart w:id="97" w:name="_Toc5571"/>
      <w:bookmarkStart w:id="98" w:name="_Toc7380"/>
      <w:r>
        <w:rPr>
          <w:rFonts w:hint="eastAsia" w:asciiTheme="minorEastAsia" w:hAnsiTheme="minorEastAsia" w:eastAsiaTheme="minorEastAsia" w:cstheme="minorEastAsia"/>
          <w:b/>
          <w:szCs w:val="21"/>
          <w:lang w:val="zh-CN"/>
        </w:rPr>
        <w:t>政策</w:t>
      </w:r>
      <w:bookmarkEnd w:id="95"/>
      <w:bookmarkEnd w:id="96"/>
      <w:bookmarkEnd w:id="97"/>
      <w:bookmarkEnd w:id="9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99" w:name="_Toc32325"/>
      <w:r>
        <w:rPr>
          <w:rFonts w:hint="eastAsia" w:asciiTheme="minorEastAsia" w:hAnsiTheme="minorEastAsia" w:eastAsiaTheme="minorEastAsia" w:cstheme="minorEastAsia"/>
          <w:b/>
          <w:lang w:val="en-US" w:eastAsia="zh-CN"/>
        </w:rPr>
        <w:t>政府采购政策</w:t>
      </w:r>
      <w:bookmarkEnd w:id="9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0" w:name="_Toc5623"/>
      <w:r>
        <w:rPr>
          <w:rFonts w:hint="eastAsia" w:asciiTheme="minorEastAsia" w:hAnsiTheme="minorEastAsia" w:eastAsiaTheme="minorEastAsia" w:cstheme="minorEastAsia"/>
          <w:b/>
          <w:szCs w:val="21"/>
          <w:lang w:val="zh-CN"/>
        </w:rPr>
        <w:t>其他要求</w:t>
      </w:r>
      <w:bookmarkEnd w:id="10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1" w:name="_Toc17665"/>
      <w:r>
        <w:rPr>
          <w:rFonts w:hint="eastAsia" w:asciiTheme="minorEastAsia" w:hAnsiTheme="minorEastAsia" w:eastAsiaTheme="minorEastAsia" w:cstheme="minorEastAsia"/>
          <w:b/>
          <w:szCs w:val="21"/>
          <w:lang w:val="zh-CN"/>
        </w:rPr>
        <w:t>适用法律</w:t>
      </w:r>
      <w:bookmarkEnd w:id="101"/>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2" w:name="_Toc5870"/>
      <w:r>
        <w:rPr>
          <w:rFonts w:hint="eastAsia" w:asciiTheme="minorEastAsia" w:hAnsiTheme="minorEastAsia" w:eastAsiaTheme="minorEastAsia" w:cstheme="minorEastAsia"/>
          <w:b/>
          <w:bCs/>
          <w:sz w:val="36"/>
          <w:szCs w:val="36"/>
        </w:rPr>
        <w:t>采购需求</w:t>
      </w:r>
      <w:bookmarkEnd w:id="102"/>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3" w:name="_Toc32694"/>
      <w:r>
        <w:rPr>
          <w:rFonts w:hint="eastAsia" w:asciiTheme="minorEastAsia" w:hAnsiTheme="minorEastAsia" w:eastAsiaTheme="minorEastAsia" w:cstheme="minorEastAsia"/>
          <w:b/>
          <w:bCs/>
          <w:color w:val="auto"/>
          <w:sz w:val="24"/>
          <w:szCs w:val="24"/>
          <w:lang w:val="en-US" w:eastAsia="zh-CN"/>
        </w:rPr>
        <w:t>一、技术需求</w:t>
      </w:r>
      <w:bookmarkEnd w:id="103"/>
    </w:p>
    <w:p>
      <w:pPr>
        <w:widowControl/>
        <w:numPr>
          <w:ilvl w:val="0"/>
          <w:numId w:val="0"/>
        </w:numPr>
        <w:jc w:val="both"/>
        <w:rPr>
          <w:rFonts w:hint="eastAsia" w:ascii="宋体" w:hAnsi="宋体" w:cs="宋体"/>
          <w:b/>
          <w:color w:val="000000"/>
          <w:kern w:val="0"/>
          <w:szCs w:val="21"/>
          <w:lang w:bidi="ar"/>
        </w:rPr>
      </w:pPr>
      <w:r>
        <w:rPr>
          <w:rFonts w:hint="eastAsia" w:ascii="宋体" w:hAnsi="宋体" w:cs="宋体"/>
          <w:b/>
          <w:color w:val="000000"/>
          <w:kern w:val="0"/>
          <w:szCs w:val="21"/>
          <w:lang w:val="en-US" w:eastAsia="zh-CN" w:bidi="ar"/>
        </w:rPr>
        <w:t>1、</w:t>
      </w:r>
      <w:r>
        <w:rPr>
          <w:rFonts w:hint="eastAsia" w:ascii="宋体" w:hAnsi="宋体" w:cs="宋体"/>
          <w:b/>
          <w:color w:val="000000"/>
          <w:kern w:val="0"/>
          <w:szCs w:val="21"/>
          <w:lang w:bidi="ar"/>
        </w:rPr>
        <w:t>基本药物清单</w:t>
      </w:r>
    </w:p>
    <w:p>
      <w:pPr>
        <w:pStyle w:val="2"/>
        <w:rPr>
          <w:rFonts w:hint="eastAsia"/>
        </w:rPr>
      </w:pPr>
    </w:p>
    <w:tbl>
      <w:tblPr>
        <w:tblStyle w:val="26"/>
        <w:tblW w:w="9142" w:type="dxa"/>
        <w:tblInd w:w="0" w:type="dxa"/>
        <w:tblLayout w:type="fixed"/>
        <w:tblCellMar>
          <w:top w:w="0" w:type="dxa"/>
          <w:left w:w="0" w:type="dxa"/>
          <w:bottom w:w="0" w:type="dxa"/>
          <w:right w:w="0" w:type="dxa"/>
        </w:tblCellMar>
      </w:tblPr>
      <w:tblGrid>
        <w:gridCol w:w="734"/>
        <w:gridCol w:w="2842"/>
        <w:gridCol w:w="1951"/>
        <w:gridCol w:w="2640"/>
        <w:gridCol w:w="975"/>
      </w:tblGrid>
      <w:tr>
        <w:tblPrEx>
          <w:tblCellMar>
            <w:top w:w="0" w:type="dxa"/>
            <w:left w:w="0" w:type="dxa"/>
            <w:bottom w:w="0" w:type="dxa"/>
            <w:right w:w="0" w:type="dxa"/>
          </w:tblCellMar>
        </w:tblPrEx>
        <w:trPr>
          <w:trHeight w:val="392" w:hRule="atLeast"/>
        </w:trPr>
        <w:tc>
          <w:tcPr>
            <w:tcW w:w="734"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序号</w:t>
            </w:r>
          </w:p>
        </w:tc>
        <w:tc>
          <w:tcPr>
            <w:tcW w:w="2842"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通用名</w:t>
            </w:r>
          </w:p>
        </w:tc>
        <w:tc>
          <w:tcPr>
            <w:tcW w:w="1951"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规格</w:t>
            </w:r>
          </w:p>
        </w:tc>
        <w:tc>
          <w:tcPr>
            <w:tcW w:w="2640"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厂家</w:t>
            </w:r>
          </w:p>
        </w:tc>
        <w:tc>
          <w:tcPr>
            <w:tcW w:w="975"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是否基药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阿卡波糖片(卡博平)</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50mg*15s*3板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杭州中美华东制药有限公司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氯化钾注射液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10ml:1.5g*5支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湖北科伦药业有限公司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葡萄糖氯化钠注射液(塑瓶)</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250ml:12.5g:2.25g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武汉福星生物药业有限公司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葡萄糖注射液(塑瓶)</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 500ml:25g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武汉福星生物药业有限公司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氨甲苯酸注射液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10ml:0.1g*5支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辅仁药业集团有限公司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氨苄西林胶囊(安必仙)</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0.25g*12s*4板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珠海联邦制药股份有限公司中山分公司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尼莫地平片(尼达尔)</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20mg*50s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天津市中央药业有限公司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硝酸咪康唑乳膏(达克宁)</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硝酸咪康唑乳膏(达克宁)</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替格瑞洛片(倍林达)</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90mg*7s*2板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阿斯利康制药有限公司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氟哌啶醇注射液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1ml:5mg*5支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湖南洞庭药业股份有限公司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注射用青霉素钠</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80万U</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瑞阳制药有限公司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单硝酸异山梨酯缓释片(索尼特)</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60mg*10s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山德士(中国)制药有限公司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曲安奈德益康唑乳膏(派瑞松)</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季德胜蛇药片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0.4g*15s*4板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精华制药集团股份有限公司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云南白药胶囊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0.25g*16s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云南白药集团股份有限公司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银杏叶胶囊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9.6mg:2.4mg*12s*2板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杭州康恩贝制药有限公司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奥美拉唑肠溶胶囊(金奥康)</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20mg*14s 微丸</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浙江金华康恩贝生物制药有限公司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氯雷他定片(开瑞坦)</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10mg*6s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拜耳医药(上海)有限公司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多潘立酮片(吗丁啉)</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10mg*42s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甲硝唑氯化钠注射液(软袋)</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100ml:0.5g:0.9g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山东齐都药业有限公司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炉甘石洗剂</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100ml</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上海运佳黄浦制药有限公司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乳酸左氧氟沙星注射液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2ml:0.2g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四川美大康佳乐药业有限公司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破伤风抗毒素</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1500IU*10支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江西生物制品研究所</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甲硝唑阴道泡腾片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0.2g*7s*2板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湖北东信药业有限公司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胶体果胶铋胶囊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50mg*12s*2板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桂林华信制药有限公司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颈复康颗粒</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5g*10袋</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颈复康药业集团有限公司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马应龙麝香痔疮膏</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4g*6支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马应龙药业集团股份有限公司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马应龙麝香痔疮膏</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4g*6支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马应龙药业集团股份有限公司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湿润烧伤膏(美宝)</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汕头市美宝制药有限公司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布地奈德福莫特罗粉吸入剂(信必可都保)</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160μg:4.5μg*60吸</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瑞典AstraZeneca AB</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盐酸胺碘酮注射液(可达龙)</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2ml:0.15g*6支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赛诺菲(杭州)制药有限公司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乳酸左氧氟沙星氯化钠注射液(来立信)(软袋)</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100ml:0.2g:0.9g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浙江医药股份有限公司新昌制药厂</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脑心通胶囊(步长)</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0.4g*18s*2板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陕西步长制药有限公司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盐酸胺碘酮片(可达龙)</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0.2g*10s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赛诺菲(杭州)制药有限公司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复方血栓通胶囊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0.5g*36s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广东众生药业股份有限公司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复方血栓通胶囊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0.5g*36s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广东众生药业股份有限公司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卡马西平片(得理多)</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0.2g*10s*3板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北京诺华制药有限公司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509"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桂枝茯苓胶囊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0.31g*10s*5板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江苏康缘药业股份有限公司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苯磺酸左旋氨氯地平片(施慧达)</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2.5mg*7s*2板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施慧达药业集团(吉林)有限公司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盐酸丁螺环酮片(奇比特)</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5mg*10s*4板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北大医药股份有限公司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注射用重组人干扰素α2a(因特芬)</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300万IU</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沈阳三生制药有限责任公司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银杏叶片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19.2mg:4.8mg*18s*2板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贵州信邦制药股份有限公司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血栓通胶囊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0.18g*10s*2板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哈尔滨珍宝制药有限公司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富马酸比索洛尔片(康忻)</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5mg*10s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默克制药(江苏)有限公司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苯磺酸氨氯地平片(络活喜)</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5mg*7s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辉瑞制药有限公司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复方氨基酸注射液(18AA)</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250ml:12.5g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湖南科伦制药有限公司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尿素乳膏</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20g(10g:1g)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上海运佳黄浦制药有限公司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注射用苄星青霉素</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120万U</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华北制药股份有限公司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排石颗粒(无糖)</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5g*6袋</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南京同仁堂药业有限责任公司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芪苈强心胶囊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0.3g*12s*3板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石家庄以岭药业股份有限公司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奥卡西平片(万仪)</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0.3g*10s*2板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武汉人福药业有限责任公司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水飞蓟素胶囊(利加隆)</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140mg*10s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德国马博士大药厂</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注射用氨苄西林钠</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1g</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山东鲁抗医药股份有限公司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缬沙坦分散片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80mg*7s*4板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桂林华信制药有限公司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缬沙坦胶囊(代文)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80mg*7s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北京诺华制药有限公司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阿托伐他汀钙片(阿乐)</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20mg*7s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北京嘉林药业股份有限公司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阿托伐他汀钙片(阿乐)</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20mg*7s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北京嘉林药业股份有限公司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血塞通注射液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2ml:0.1g*10支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黑龙江珍宝岛药业股份有限公司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复方氯化钠注射液(软袋)(单管单阀)</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500ml</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山东齐都药业有限公司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秋水仙碱片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0.5mg*20s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广东彼迪药业有限公司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阿立哌唑口腔崩解片(博思清)</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5mg*10s*2板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成都康弘药业集团股份有限公司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利培酮片(维思通)</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1mg*10s*2板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奥卡西平片(万仪)</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0.3g*10s*3板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武汉人福药业有限责任公司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阿托伐他汀钙片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10mg*7s</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山德士(中国)制药有限公司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阿卡波糖片(拜唐苹)</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50mg*15s*2板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拜耳医药保健有限公司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尿毒清颗粒(无糖)</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5g*18袋</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康臣药业(内蒙古)有限责任公司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百令胶囊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0.5g*14s*3板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杭州中美华东制药有限公司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丙酸氟替卡松鼻喷雾剂(辅舒良)</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50μg*120喷</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西班牙Glaxo Wellcome S.A.</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盐酸克林霉素注射液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2ml:0.15g*10支</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广州白云山天心制药股份有限公司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中/长链脂肪乳注射液(C6-24)(力能)</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 250ml</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费森尤斯卡比华瑞制药有限公司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青霉胺片</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0.125g*100s 糖衣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上海上药信谊药厂有限公司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恩替卡韦胶囊</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0.5mg*7s*1板</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南京正大天晴制药有限公司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珍珠明目滴眼液</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15ml</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杭州天目山药业股份有限公司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急支糖浆</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100ml</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太极集团浙江东方制药有限公司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富马酸喹硫平片(思瑞康)</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25mg*20s*1板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阿斯利康制药有限公司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r>
        <w:tblPrEx>
          <w:tblCellMar>
            <w:top w:w="0" w:type="dxa"/>
            <w:left w:w="0" w:type="dxa"/>
            <w:bottom w:w="0" w:type="dxa"/>
            <w:right w:w="0" w:type="dxa"/>
          </w:tblCellMar>
        </w:tblPrEx>
        <w:trPr>
          <w:trHeight w:val="270" w:hRule="atLeast"/>
        </w:trPr>
        <w:tc>
          <w:tcPr>
            <w:tcW w:w="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7"/>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奥氮平片(欧兰宁)</w:t>
            </w:r>
          </w:p>
        </w:tc>
        <w:tc>
          <w:tcPr>
            <w:tcW w:w="1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10mg*7s 薄膜衣</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江苏豪森药业集团有限公司</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基药</w:t>
            </w:r>
          </w:p>
        </w:tc>
      </w:tr>
    </w:tbl>
    <w:p>
      <w:pPr>
        <w:pStyle w:val="2"/>
      </w:pPr>
    </w:p>
    <w:p>
      <w:pPr>
        <w:rPr>
          <w:rFonts w:hint="eastAsia" w:ascii="宋体" w:hAnsi="宋体" w:cs="宋体"/>
          <w:b/>
          <w:color w:val="000000"/>
          <w:kern w:val="0"/>
          <w:szCs w:val="21"/>
          <w:lang w:eastAsia="zh-CN" w:bidi="ar"/>
        </w:rPr>
      </w:pPr>
      <w:r>
        <w:rPr>
          <w:rFonts w:hint="eastAsia" w:ascii="宋体" w:hAnsi="宋体" w:cs="宋体"/>
          <w:b/>
          <w:color w:val="000000"/>
          <w:kern w:val="0"/>
          <w:szCs w:val="21"/>
          <w:lang w:eastAsia="zh-CN" w:bidi="ar"/>
        </w:rPr>
        <w:br w:type="page"/>
      </w:r>
    </w:p>
    <w:p>
      <w:pPr>
        <w:widowControl/>
        <w:numPr>
          <w:ilvl w:val="0"/>
          <w:numId w:val="0"/>
        </w:numPr>
        <w:jc w:val="both"/>
        <w:rPr>
          <w:rFonts w:hint="eastAsia" w:ascii="宋体" w:hAnsi="宋体" w:cs="宋体"/>
          <w:b/>
          <w:color w:val="000000"/>
          <w:kern w:val="0"/>
          <w:szCs w:val="21"/>
          <w:lang w:bidi="ar"/>
        </w:rPr>
      </w:pPr>
      <w:r>
        <w:rPr>
          <w:rFonts w:hint="eastAsia" w:ascii="宋体" w:hAnsi="宋体" w:cs="宋体"/>
          <w:b/>
          <w:color w:val="000000"/>
          <w:kern w:val="0"/>
          <w:szCs w:val="21"/>
          <w:lang w:val="en-US" w:eastAsia="zh-CN" w:bidi="ar"/>
        </w:rPr>
        <w:t>2</w:t>
      </w:r>
      <w:r>
        <w:rPr>
          <w:rFonts w:hint="eastAsia" w:ascii="宋体" w:hAnsi="宋体" w:cs="宋体"/>
          <w:b/>
          <w:color w:val="000000"/>
          <w:kern w:val="0"/>
          <w:szCs w:val="21"/>
          <w:lang w:eastAsia="zh-CN" w:bidi="ar"/>
        </w:rPr>
        <w:t>、</w:t>
      </w:r>
      <w:r>
        <w:rPr>
          <w:rFonts w:hint="eastAsia" w:ascii="宋体" w:hAnsi="宋体" w:cs="宋体"/>
          <w:b/>
          <w:color w:val="000000"/>
          <w:kern w:val="0"/>
          <w:szCs w:val="21"/>
          <w:lang w:bidi="ar"/>
        </w:rPr>
        <w:t>非基本药物清单</w:t>
      </w:r>
    </w:p>
    <w:p>
      <w:pPr>
        <w:pStyle w:val="2"/>
        <w:rPr>
          <w:rFonts w:hint="eastAsia"/>
        </w:rPr>
      </w:pPr>
    </w:p>
    <w:tbl>
      <w:tblPr>
        <w:tblStyle w:val="26"/>
        <w:tblW w:w="9257" w:type="dxa"/>
        <w:tblInd w:w="0" w:type="dxa"/>
        <w:tblLayout w:type="fixed"/>
        <w:tblCellMar>
          <w:top w:w="0" w:type="dxa"/>
          <w:left w:w="0" w:type="dxa"/>
          <w:bottom w:w="0" w:type="dxa"/>
          <w:right w:w="0" w:type="dxa"/>
        </w:tblCellMar>
      </w:tblPr>
      <w:tblGrid>
        <w:gridCol w:w="801"/>
        <w:gridCol w:w="2489"/>
        <w:gridCol w:w="1249"/>
        <w:gridCol w:w="2668"/>
        <w:gridCol w:w="1102"/>
        <w:gridCol w:w="948"/>
      </w:tblGrid>
      <w:tr>
        <w:tblPrEx>
          <w:tblCellMar>
            <w:top w:w="0" w:type="dxa"/>
            <w:left w:w="0" w:type="dxa"/>
            <w:bottom w:w="0" w:type="dxa"/>
            <w:right w:w="0" w:type="dxa"/>
          </w:tblCellMar>
        </w:tblPrEx>
        <w:trPr>
          <w:trHeight w:val="359" w:hRule="atLeast"/>
        </w:trPr>
        <w:tc>
          <w:tcPr>
            <w:tcW w:w="801"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489"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通用名</w:t>
            </w:r>
          </w:p>
        </w:tc>
        <w:tc>
          <w:tcPr>
            <w:tcW w:w="1249"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规格</w:t>
            </w:r>
          </w:p>
        </w:tc>
        <w:tc>
          <w:tcPr>
            <w:tcW w:w="2668"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厂家</w:t>
            </w:r>
          </w:p>
        </w:tc>
        <w:tc>
          <w:tcPr>
            <w:tcW w:w="1102"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中标价</w:t>
            </w:r>
          </w:p>
        </w:tc>
        <w:tc>
          <w:tcPr>
            <w:tcW w:w="948"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是否基药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复方氨林巴比妥注射液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2ml*10支</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山东新华制药股份有限公司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0.65/瓶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注射用头孢噻肟钠</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瑞阳制药有限公司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0.95/瓶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氧氟沙星滴眼液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5ml:15mg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江苏普华克胜药业有限公司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复方酮康唑软膏(新亚康王)</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上海新亚药业闵行有限公司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1.483/瓶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复方穿心莲片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12s*2板 糖衣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广西天天乐药业股份有限公司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哈西奈德溶液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 10ml</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浙江奥瑞特制药有限公司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1.908/瓶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盐酸特比萘芬喷雾剂</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10ml:0.1g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广东彼迪药业有限公司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10.91/盒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麦迪霉素片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0.1g*12s*2板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宜昌人福药业有限责任公司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10.99/盒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艾司奥美拉唑镁肠溶片(耐信)</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40mg*7s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阿斯利康制药有限公司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盐酸特比萘芬喷雾剂</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10ml:0.1g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广东彼迪药业有限公司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注射用炎琥宁</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80mg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重庆药友制药有限责任公司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13.59/瓶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利培酮口服液(维思通)</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30ml:30mg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144.34/盒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布地奈德福莫特罗粉吸入剂(信必可都保)</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80μg:4.5μg*60吸</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瑞典AstraZeneca AB</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158.26/盒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厄贝沙坦片(安来)</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75mg*7s*4板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浙江华海药业股份有限公司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17.276/盒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苯扎氯铵贴(邦廸)</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2.5cm*1.8cm*100片</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上海强生有限公司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铝碳酸镁咀嚼片(达喜)</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0.5g*30s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拜耳医药保健有限公司委托拜耳医药保健有限公司启东分公司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19.54/盒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京都念慈菴蜜炼川贝枇杷膏</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75ml</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京都念慈菴总厂有限公司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丙戊酸镁片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0.2g*60s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湖南省湘中制药有限公司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20.82/瓶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丹皮酚软膏</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长春普华制药股份有限公司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20.94/盒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维生素C泡腾片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0.5g*10s*2瓶</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南京亿华药业有限公司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21.41/瓶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多维元素片(26)(金施尔康)</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中美上海施贵宝制药有限公司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康复新液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100ml</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内蒙古京新药业有限公司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24.55/瓶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盐酸氨溴索注射液(沐舒坦)</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2ml:15mg*5支</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上海勃林格殷格翰药业有限公司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25.22/盒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地榆升白片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0.1g*20s*2板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成都地奥集团天府药业股份有限公司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辅酶Q10片(能气朗)</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10mg*10s*3板 糖衣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卫材(中国)药业有限公司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26.84/盒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辅酶Q10片(能气朗)</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10mg*10s*3板 糖衣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卫材(中国)药业有限公司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26.84/盒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注射用奥美拉唑钠</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60mg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悦康药业集团有限公司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27.17/瓶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琥珀酸美托洛尔缓释片(倍他乐克)</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47.5mg*7s*4板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阿斯利康制药有限公司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27.48/盒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胃康灵颗粒</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4g*10袋</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黑龙江葵花药业股份有限公司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28.3/盒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尼麦角林片(乐喜林)</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10mg*12s*2板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昆山龙灯瑞迪制药有限公司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28.7/盒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尼麦角林片(乐喜林)</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10mg*12s*2板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昆山龙灯瑞迪制药有限公司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28.7/盒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多维元素片(29-Ⅱ)</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惠氏制药有限公司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28.94/瓶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利培酮口崩片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1mg*10s*2板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常州四药制药有限公司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29.84/盒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吡诺克辛钠滴眼液(白内停)</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15ml:0.8mg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湖北远大天天明制药有限公司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通窍鼻炎颗粒</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2g*9袋</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成都迪康药业有限公司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31.39/盒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泮托拉唑钠肠溶胶囊</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40mg*7s*1板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福州闽海药业有限公司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骨通贴膏(聚异丁烯型)</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8cm*13cm*2贴*3袋</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桂林华润天和药业有限公司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34.7/袋</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黄芪片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0.41g*12s*4板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四川奇力制药有限公司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36.09/盒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盐酸安非他酮片(乐孚亭)</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75mg*7s*2板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万特制药(海南)有限公司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37.17/盒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泮托拉唑钠肠溶胶囊(泮立苏)</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40mg*7s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杭州中美华东制药有限公司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37.78/盒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风油精</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3ml</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湖北康源药业有限公司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碳酸钙维D3元素片(4)</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惠氏制药有限公司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40.5/瓶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迈之灵片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0.15g*20s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德国礼达大药厂</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迈之灵片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0.15g*20s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德国礼达大药厂</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玻璃酸钠滴眼液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 0.4ml*10支</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齐鲁制药有限公司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43.13/盒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盐酸齐拉西酮胶囊(思贝格)</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20mg*10s*2板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江苏恩华药业股份有限公司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47.88/盒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盐酸齐拉西酮胶囊(思贝格)</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20mg*10s*2板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江苏恩华药业股份有限公司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47.88/盒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碘甘油</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 20ml</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上海运佳黄浦制药有限公司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复方氨基酸注射液(3AA)</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250ml:10.65g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天津金耀集团湖北天药药业股份有限公司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5.62/瓶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甘草酸二铵注射液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10ml:50mg*5支</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上海现代哈森(商丘)药业有限公司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氟哌噻吨美利曲辛片(黛力新)</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10s*2板 糖衣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丹麦H.Lundbeck A/S</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51.89/盒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阿托伐他汀钙片(立普妥)</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10mg*7s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辉瑞制药有限公司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52.71/盒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布洛芬混悬液(美林)</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30ml:0.6g 30ml</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上海强生制药有限公司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6.07/瓶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复方苦参水杨酸散</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40g*3袋</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上海运佳黄浦制药有限公司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双氯芬酸钠栓</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50mg*5s*2板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湖北东信药业有限公司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6.39/盒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香丹注射液</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20ml*3支</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四川升和药业股份有限公司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6.86/支</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丙戊酸镁缓释片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0.25g*48s</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湖南省湘中制药有限公司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64.44/瓶</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补肺丸</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9g*10s*4板 大蜜丸</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甘肃省西峰制药有限责任公司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65.55/盒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丙酸氟替卡松鼻喷雾剂(辅舒良)</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50μg*120喷</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西班牙Glaxo Wellcome S.A.</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68.08/盒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双氯芬酸二乙胺乳胶剂</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 50g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瑞士Novartis Consumer Health SA</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69.8/盒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注射用泮托拉唑钠</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40mg</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河南辅仁怀庆堂制药有限公司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盐酸安非他酮缓释片</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0.15g*7s*2板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万特制药(海南)有限公司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71.96/盒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托吡酯片(妥泰)</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25mg*60s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西安杨森制药有限公司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80.21/盒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阿卡波糖片(卡博平)</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50mg*15s*2板</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杭州中美华东制药有限公司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80.27/盒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盐酸舍曲林片(左洛复)</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50mg*14s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辉瑞制药有限公司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81.73/盒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r>
        <w:tblPrEx>
          <w:tblCellMar>
            <w:top w:w="0" w:type="dxa"/>
            <w:left w:w="0" w:type="dxa"/>
            <w:bottom w:w="0" w:type="dxa"/>
            <w:right w:w="0" w:type="dxa"/>
          </w:tblCellMar>
        </w:tblPrEx>
        <w:trPr>
          <w:trHeight w:val="270" w:hRule="atLeast"/>
        </w:trPr>
        <w:tc>
          <w:tcPr>
            <w:tcW w:w="8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8"/>
              </w:numPr>
              <w:suppressLineNumbers w:val="0"/>
              <w:kinsoku/>
              <w:wordWrap/>
              <w:overflowPunct/>
              <w:topLinePunct w:val="0"/>
              <w:autoSpaceDE/>
              <w:autoSpaceDN/>
              <w:bidi w:val="0"/>
              <w:adjustRightInd/>
              <w:snapToGrid/>
              <w:spacing w:line="360" w:lineRule="auto"/>
              <w:ind w:left="425" w:leftChars="0" w:hanging="425"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氨酚伪麻美芬片/氨麻美敏片Ⅱ(日夜百服咛)</w:t>
            </w:r>
          </w:p>
        </w:tc>
        <w:tc>
          <w:tcPr>
            <w:tcW w:w="12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12s 薄膜衣</w:t>
            </w:r>
          </w:p>
        </w:tc>
        <w:tc>
          <w:tcPr>
            <w:tcW w:w="2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中美上海施贵宝制药有限公司</w:t>
            </w:r>
          </w:p>
        </w:tc>
        <w:tc>
          <w:tcPr>
            <w:tcW w:w="1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9.5/盒</w:t>
            </w:r>
          </w:p>
        </w:tc>
        <w:tc>
          <w:tcPr>
            <w:tcW w:w="9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非基药</w:t>
            </w:r>
          </w:p>
        </w:tc>
      </w:tr>
    </w:tbl>
    <w:p>
      <w:pPr>
        <w:rPr>
          <w:rFonts w:hint="eastAsia" w:ascii="Tahoma" w:hAnsi="Tahoma"/>
          <w:sz w:val="24"/>
        </w:rPr>
      </w:pPr>
      <w:r>
        <w:rPr>
          <w:rFonts w:hint="eastAsia" w:ascii="Tahoma" w:hAnsi="Tahoma"/>
          <w:sz w:val="24"/>
        </w:rPr>
        <w:br w:type="page"/>
      </w:r>
    </w:p>
    <w:p>
      <w:pPr>
        <w:widowControl/>
        <w:numPr>
          <w:ilvl w:val="0"/>
          <w:numId w:val="0"/>
        </w:numPr>
        <w:jc w:val="both"/>
        <w:rPr>
          <w:rFonts w:hint="eastAsia" w:ascii="宋体" w:hAnsi="宋体" w:cs="宋体"/>
          <w:b/>
          <w:color w:val="000000"/>
          <w:kern w:val="0"/>
          <w:szCs w:val="21"/>
          <w:lang w:eastAsia="zh-CN" w:bidi="ar"/>
        </w:rPr>
      </w:pPr>
      <w:r>
        <w:rPr>
          <w:rFonts w:hint="eastAsia" w:ascii="宋体" w:hAnsi="宋体" w:cs="宋体"/>
          <w:b/>
          <w:color w:val="000000"/>
          <w:kern w:val="0"/>
          <w:szCs w:val="21"/>
          <w:lang w:val="en-US" w:eastAsia="zh-CN" w:bidi="ar"/>
        </w:rPr>
        <w:t>3、</w:t>
      </w:r>
      <w:r>
        <w:rPr>
          <w:rFonts w:hint="eastAsia" w:ascii="宋体" w:hAnsi="宋体" w:cs="宋体"/>
          <w:b/>
          <w:color w:val="000000"/>
          <w:kern w:val="0"/>
          <w:szCs w:val="21"/>
          <w:lang w:eastAsia="zh-CN" w:bidi="ar"/>
        </w:rPr>
        <w:t>医用耗材清单</w:t>
      </w:r>
    </w:p>
    <w:p>
      <w:pPr>
        <w:pStyle w:val="2"/>
        <w:rPr>
          <w:rFonts w:hint="eastAsia" w:ascii="Tahoma" w:hAnsi="Tahoma"/>
          <w:sz w:val="24"/>
        </w:rPr>
      </w:pPr>
    </w:p>
    <w:tbl>
      <w:tblPr>
        <w:tblStyle w:val="26"/>
        <w:tblW w:w="9369" w:type="dxa"/>
        <w:jc w:val="center"/>
        <w:tblLayout w:type="fixed"/>
        <w:tblCellMar>
          <w:top w:w="0" w:type="dxa"/>
          <w:left w:w="0" w:type="dxa"/>
          <w:bottom w:w="0" w:type="dxa"/>
          <w:right w:w="0" w:type="dxa"/>
        </w:tblCellMar>
      </w:tblPr>
      <w:tblGrid>
        <w:gridCol w:w="903"/>
        <w:gridCol w:w="1788"/>
        <w:gridCol w:w="1005"/>
        <w:gridCol w:w="2401"/>
        <w:gridCol w:w="1740"/>
        <w:gridCol w:w="878"/>
        <w:gridCol w:w="654"/>
      </w:tblGrid>
      <w:tr>
        <w:tblPrEx>
          <w:tblCellMar>
            <w:top w:w="0" w:type="dxa"/>
            <w:left w:w="0" w:type="dxa"/>
            <w:bottom w:w="0" w:type="dxa"/>
            <w:right w:w="0" w:type="dxa"/>
          </w:tblCellMar>
        </w:tblPrEx>
        <w:trPr>
          <w:trHeight w:val="453" w:hRule="atLeast"/>
          <w:jc w:val="center"/>
        </w:trPr>
        <w:tc>
          <w:tcPr>
            <w:tcW w:w="903"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序号</w:t>
            </w:r>
          </w:p>
        </w:tc>
        <w:tc>
          <w:tcPr>
            <w:tcW w:w="1788"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通用名</w:t>
            </w:r>
          </w:p>
        </w:tc>
        <w:tc>
          <w:tcPr>
            <w:tcW w:w="1005"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产品属性</w:t>
            </w:r>
          </w:p>
        </w:tc>
        <w:tc>
          <w:tcPr>
            <w:tcW w:w="2401"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1740"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厂家</w:t>
            </w:r>
          </w:p>
        </w:tc>
        <w:tc>
          <w:tcPr>
            <w:tcW w:w="878"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中标价</w:t>
            </w:r>
          </w:p>
        </w:tc>
        <w:tc>
          <w:tcPr>
            <w:tcW w:w="654"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丙型肝炎试纸条</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抗HCV标准物质（丙肝）0.5ml*6支/盒（HCV三代）</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珠海丽珠试剂股份有限公司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87.31</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采血针</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CXZ-A（软接式）0.55*18TW、0.7*18TW、0.8*18TW、0.9*18TW</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浏阳市三力医用科技发展有限公司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大便器</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40ml</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江苏康健华医疗用品有限公司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单用听诊器</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器械</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单用 全铜听头</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江苏鱼跃医疗设备股份有限公司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701"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检查手套</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各规格型号（大、中、小）</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河南省戈尔医疗器械有限公司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r>
      <w:tr>
        <w:tblPrEx>
          <w:tblCellMar>
            <w:top w:w="0" w:type="dxa"/>
            <w:left w:w="0" w:type="dxa"/>
            <w:bottom w:w="0" w:type="dxa"/>
            <w:right w:w="0" w:type="dxa"/>
          </w:tblCellMar>
        </w:tblPrEx>
        <w:trPr>
          <w:trHeight w:val="256"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梅毒检测卡</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梅毒螺旋体抗体检测试剂盒(胶体金法)、条型，单人份、50人份/盒</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艾博生物医药（杭州）有限公司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棉签（10CM)</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10cm20支/包</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河南省戈尔医疗器械有限公司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石膏绷带</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15*500cm</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广州中誉医疗器械有限公司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石膏绷带（粘胶型）</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10cm*500cm</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广州中誉医疗器械有限公司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r>
      <w:tr>
        <w:tblPrEx>
          <w:tblCellMar>
            <w:top w:w="0" w:type="dxa"/>
            <w:left w:w="0" w:type="dxa"/>
            <w:bottom w:w="0" w:type="dxa"/>
            <w:right w:w="0" w:type="dxa"/>
          </w:tblCellMar>
        </w:tblPrEx>
        <w:trPr>
          <w:trHeight w:val="143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输液器</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0.45×16 RW SB、0.5×19 RW LB、0.55×19 RW LB、0.6×25 TW LB、 0.7×25 TW LB、0.8×27 TW LB、0.9×27 TW LB、1.2×31 TW LB</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河南曙光健士医疗器械集团股份有限公司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输液贴</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70*35  1片/包</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河南曙光健士医疗器械集团股份有限公司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无菌注射器</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1ml、2.5ml、5ml</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256"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血糖试纸</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稳豪100片/盒</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LifeScan Europe</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340.3</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血糖仪</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器械</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NC 各规格型号</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德国 Roche Diagnostics GmbH</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324.72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压敏胶带</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9.14m×1.25cm</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明尼苏达矿业制造（上海）国际贸易有限公司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一次性口罩17.5*9.5三层</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三层有卡长带（常规）、三层挂耳</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河南省宇安医疗科技开发有限公司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0.176</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一次性使用导尿包</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乳胶导尿管包：双腔标准12Fr-30Fr</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广州维力医疗器械股份有限公司</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一次性使用输液器（带针）</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B3(输液针规格：0.45-0.9）</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武汉市王冠医疗器械有限责任公司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0.944</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一次性使用无菌注射器</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10ML斜面</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729"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一次性使用无菌注射器（带针）</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20ML斜面</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一次性使用无菌注射器（带针）</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20ML侧孔</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一次性橡胶手术手套</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6.5#、7#、7.5#麻面无粉</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河南省安邦卫材有限公司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CellMar>
            <w:top w:w="0" w:type="dxa"/>
            <w:left w:w="0" w:type="dxa"/>
            <w:bottom w:w="0" w:type="dxa"/>
            <w:right w:w="0" w:type="dxa"/>
          </w:tblCellMar>
        </w:tblPrEx>
        <w:trPr>
          <w:trHeight w:val="492"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乙肝五项检测卡</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25人份/盒</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英科新创（厦门）科技有限公司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r>
      <w:tr>
        <w:tblPrEx>
          <w:tblCellMar>
            <w:top w:w="0" w:type="dxa"/>
            <w:left w:w="0" w:type="dxa"/>
            <w:bottom w:w="0" w:type="dxa"/>
            <w:right w:w="0" w:type="dxa"/>
          </w:tblCellMar>
        </w:tblPrEx>
        <w:trPr>
          <w:trHeight w:val="500" w:hRule="atLeast"/>
          <w:jc w:val="center"/>
        </w:trPr>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39"/>
              </w:numPr>
              <w:suppressLineNumbers w:val="0"/>
              <w:kinsoku/>
              <w:wordWrap/>
              <w:overflowPunct/>
              <w:topLinePunct w:val="0"/>
              <w:autoSpaceDE/>
              <w:autoSpaceDN/>
              <w:bidi w:val="0"/>
              <w:adjustRightInd/>
              <w:snapToGrid/>
              <w:spacing w:line="360" w:lineRule="auto"/>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真空采血管（黄）</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黄头管（血清分离胶管）75mm  100mm</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江西科伦医疗器械制造有限公司</w:t>
            </w:r>
          </w:p>
        </w:tc>
        <w:tc>
          <w:tcPr>
            <w:tcW w:w="8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0.77</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r>
    </w:tbl>
    <w:p>
      <w:pPr>
        <w:rPr>
          <w:rFonts w:hint="eastAsia" w:ascii="Tahoma" w:hAnsi="Tahoma"/>
          <w:sz w:val="24"/>
        </w:rPr>
      </w:pPr>
    </w:p>
    <w:p>
      <w:pPr>
        <w:pStyle w:val="2"/>
        <w:rPr>
          <w:rFonts w:hint="eastAsia" w:eastAsia="宋体"/>
          <w:lang w:eastAsia="zh-CN"/>
        </w:rPr>
      </w:pPr>
      <w:r>
        <w:rPr>
          <w:rFonts w:hint="eastAsia" w:ascii="Tahoma" w:hAnsi="Tahoma"/>
          <w:b/>
          <w:bCs/>
          <w:color w:val="000000"/>
          <w:sz w:val="24"/>
          <w:lang w:val="en-US" w:eastAsia="zh-CN"/>
        </w:rPr>
        <w:t>4、</w:t>
      </w:r>
      <w:r>
        <w:rPr>
          <w:rFonts w:hint="eastAsia" w:ascii="Tahoma" w:hAnsi="Tahoma"/>
          <w:b/>
          <w:bCs/>
          <w:color w:val="000000"/>
          <w:sz w:val="24"/>
          <w:lang w:eastAsia="zh-CN"/>
        </w:rPr>
        <w:t>中药材清单</w:t>
      </w:r>
    </w:p>
    <w:tbl>
      <w:tblPr>
        <w:tblStyle w:val="26"/>
        <w:tblW w:w="0" w:type="auto"/>
        <w:tblInd w:w="0" w:type="dxa"/>
        <w:tblLayout w:type="fixed"/>
        <w:tblCellMar>
          <w:top w:w="0" w:type="dxa"/>
          <w:left w:w="0" w:type="dxa"/>
          <w:bottom w:w="0" w:type="dxa"/>
          <w:right w:w="0" w:type="dxa"/>
        </w:tblCellMar>
      </w:tblPr>
      <w:tblGrid>
        <w:gridCol w:w="906"/>
        <w:gridCol w:w="2637"/>
        <w:gridCol w:w="1399"/>
        <w:gridCol w:w="1904"/>
        <w:gridCol w:w="1518"/>
        <w:gridCol w:w="738"/>
      </w:tblGrid>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11" w:firstLineChars="100"/>
              <w:jc w:val="both"/>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序号</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通用名</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产品属性</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中标价</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单位</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法半夏（选粒）</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湖北（产地）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240.5</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麻黄</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宁夏（产地）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干姜（片）</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安徽（产地）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32.5</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金银花（统）</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山东（产地）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377</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荆芥（段二级）</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湖北（产地）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16.9</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蒲公英（段）</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湖北（产地）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35.1</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桑叶（片）</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湖北（产地）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16.385</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射干（统）</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河北（产地）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燂苦杏仁（统）</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河北（产地）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63.28</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公斤</w:t>
            </w:r>
          </w:p>
        </w:tc>
      </w:tr>
      <w:tr>
        <w:tblPrEx>
          <w:tblCellMar>
            <w:top w:w="0" w:type="dxa"/>
            <w:left w:w="0" w:type="dxa"/>
            <w:bottom w:w="0" w:type="dxa"/>
            <w:right w:w="0" w:type="dxa"/>
          </w:tblCellMar>
        </w:tblPrEx>
        <w:trPr>
          <w:trHeight w:val="270" w:hRule="atLeast"/>
        </w:trPr>
        <w:tc>
          <w:tcPr>
            <w:tcW w:w="9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熟三七粉80G/瓶</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中药饮片</w:t>
            </w:r>
          </w:p>
        </w:tc>
        <w:tc>
          <w:tcPr>
            <w:tcW w:w="1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云南（产地）</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7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瓶</w:t>
            </w:r>
          </w:p>
        </w:tc>
      </w:tr>
    </w:tbl>
    <w:p>
      <w:pPr>
        <w:pStyle w:val="2"/>
        <w:rPr>
          <w:rFonts w:hint="eastAsia"/>
        </w:rPr>
      </w:pPr>
      <w:r>
        <w:rPr>
          <w:rFonts w:hint="eastAsia"/>
        </w:rPr>
        <w:t>注：</w:t>
      </w:r>
    </w:p>
    <w:p>
      <w:pPr>
        <w:pStyle w:val="2"/>
        <w:rPr>
          <w:rFonts w:hint="eastAsia"/>
        </w:rPr>
      </w:pPr>
      <w:r>
        <w:rPr>
          <w:rFonts w:hint="eastAsia"/>
        </w:rPr>
        <w:t>1、资格审查因素等证明材料须提供网上图片或查询方式以供磋商小组核查，响应文件内附相关证书真彩扫描件。</w:t>
      </w:r>
    </w:p>
    <w:p>
      <w:pPr>
        <w:pStyle w:val="2"/>
        <w:rPr>
          <w:rFonts w:hint="eastAsia"/>
        </w:rPr>
      </w:pPr>
      <w:r>
        <w:rPr>
          <w:rFonts w:hint="eastAsia"/>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pStyle w:val="9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t>3、基药是“湖北省药械集中采购服务平台”的统一价格不需要报价，非基药必须报价（以其市场统一中标价做为拦标价进行单价报价），耗材、中药材以其市场统一中标价做为拦标价进行单价报价。非基药清单未能未能全部枚举穷尽。</w:t>
      </w:r>
    </w:p>
    <w:p>
      <w:pPr>
        <w:pStyle w:val="9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t>4、因医药行业特殊性，以上药物清单可能出现无法满足实际需求的情况，一旦发生，以</w:t>
      </w:r>
      <w:r>
        <w:rPr>
          <w:rFonts w:hint="eastAsia" w:cs="Times New Roman"/>
          <w:b/>
          <w:bCs/>
          <w:color w:val="000000" w:themeColor="text1"/>
          <w:kern w:val="2"/>
          <w:sz w:val="21"/>
          <w:szCs w:val="24"/>
          <w:lang w:val="en-US" w:eastAsia="zh-CN" w:bidi="ar-SA"/>
          <w14:textFill>
            <w14:solidFill>
              <w14:schemeClr w14:val="tx1"/>
            </w14:solidFill>
          </w14:textFill>
        </w:rPr>
        <w:t>采购</w:t>
      </w:r>
      <w:r>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t>方实际采购计划为准。此情况下临时添购的药品品种、规格，价格由甲乙双方另行协商据实结算，但不得超过其市场中标价。</w:t>
      </w:r>
    </w:p>
    <w:p>
      <w:pPr>
        <w:pStyle w:val="9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4"/>
          <w:lang w:val="en-US" w:eastAsia="zh-CN" w:bidi="ar-SA"/>
          <w14:textFill>
            <w14:solidFill>
              <w14:schemeClr w14:val="tx1"/>
            </w14:solidFill>
          </w14:textFill>
        </w:rPr>
        <w:t>5、药品部分价格统一参照“湖北省药械集中采购服务平台”公示品种内的挂网价采购，如国家对上述药品种类和价格进行调整，应按照国家相关规定执行。</w:t>
      </w:r>
    </w:p>
    <w:p>
      <w:pPr>
        <w:rPr>
          <w:rFonts w:hint="eastAsia" w:asciiTheme="minorEastAsia" w:hAnsiTheme="minorEastAsia" w:eastAsiaTheme="minorEastAsia" w:cstheme="minorEastAsia"/>
          <w:b w:val="0"/>
          <w:bCs w:val="0"/>
          <w:color w:val="auto"/>
          <w:szCs w:val="21"/>
          <w:lang w:val="en-US" w:eastAsia="zh-CN"/>
        </w:rPr>
      </w:pPr>
      <w:r>
        <w:rPr>
          <w:rFonts w:hint="eastAsia" w:cs="Times New Roman"/>
          <w:color w:val="000000" w:themeColor="text1"/>
          <w:kern w:val="2"/>
          <w:sz w:val="21"/>
          <w:szCs w:val="24"/>
          <w:lang w:val="en-US" w:eastAsia="zh-CN" w:bidi="ar-SA"/>
          <w14:textFill>
            <w14:solidFill>
              <w14:schemeClr w14:val="tx1"/>
            </w14:solidFill>
          </w14:textFill>
        </w:rPr>
        <w:t xml:space="preserve"> </w:t>
      </w:r>
    </w:p>
    <w:p>
      <w:pPr>
        <w:outlineLvl w:val="1"/>
        <w:rPr>
          <w:rFonts w:hint="eastAsia" w:asciiTheme="minorEastAsia" w:hAnsiTheme="minorEastAsia" w:eastAsiaTheme="minorEastAsia" w:cstheme="minorEastAsia"/>
          <w:b/>
          <w:bCs/>
          <w:color w:val="auto"/>
          <w:sz w:val="24"/>
          <w:szCs w:val="24"/>
          <w:lang w:val="en-US" w:eastAsia="zh-CN"/>
        </w:rPr>
      </w:pPr>
      <w:bookmarkStart w:id="104" w:name="_Toc30372"/>
      <w:r>
        <w:rPr>
          <w:rFonts w:hint="eastAsia" w:asciiTheme="minorEastAsia" w:hAnsiTheme="minorEastAsia" w:eastAsiaTheme="minorEastAsia" w:cstheme="minorEastAsia"/>
          <w:b/>
          <w:bCs/>
          <w:color w:val="auto"/>
          <w:sz w:val="24"/>
          <w:szCs w:val="24"/>
          <w:lang w:val="en-US" w:eastAsia="zh-CN"/>
        </w:rPr>
        <w:t>二、商务需求</w:t>
      </w:r>
      <w:bookmarkEnd w:id="10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1.2若非采购人原因，成交供应商逾期签订合同的，成交供应商向采购人支付逾期违约金，逾期违约金为每天1000.00元人民币，但其最终累计金额不超过合同价款的10%。</w:t>
      </w:r>
    </w:p>
    <w:p>
      <w:pPr>
        <w:pStyle w:val="11"/>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1.3因成交供应商原因服务质量及诚信要求达不到约定的标准，由成交供应商向采购人支付合同价款10%的违约金。</w:t>
      </w:r>
    </w:p>
    <w:p>
      <w:pPr>
        <w:widowControl/>
        <w:jc w:val="left"/>
        <w:rPr>
          <w:rFonts w:hint="eastAsia" w:ascii="宋体" w:hAnsi="宋体" w:cs="宋体"/>
          <w:b w:val="0"/>
          <w:bCs/>
          <w:color w:val="000000"/>
          <w:kern w:val="0"/>
          <w:szCs w:val="21"/>
          <w:lang w:bidi="ar"/>
        </w:rPr>
      </w:pPr>
      <w:r>
        <w:rPr>
          <w:rFonts w:hint="eastAsia" w:ascii="宋体" w:hAnsi="宋体" w:cs="宋体"/>
          <w:b w:val="0"/>
          <w:bCs/>
          <w:color w:val="000000"/>
          <w:kern w:val="0"/>
          <w:szCs w:val="21"/>
          <w:lang w:val="en-US" w:eastAsia="zh-CN" w:bidi="ar"/>
        </w:rPr>
        <w:t>2</w:t>
      </w:r>
      <w:r>
        <w:rPr>
          <w:rFonts w:hint="eastAsia" w:ascii="宋体" w:hAnsi="宋体" w:cs="宋体"/>
          <w:b w:val="0"/>
          <w:bCs/>
          <w:color w:val="000000"/>
          <w:kern w:val="0"/>
          <w:szCs w:val="21"/>
          <w:lang w:bidi="ar"/>
        </w:rPr>
        <w:t>、质量技术要求与验收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2.1</w:t>
      </w:r>
      <w:r>
        <w:rPr>
          <w:rFonts w:hint="eastAsia" w:ascii="宋体" w:hAnsi="宋体"/>
          <w:bCs/>
          <w:szCs w:val="21"/>
        </w:rPr>
        <w:t>投标单位药物经营必须符合《中华人民共和国药品管理法》、《产品质量法》、《药品经营质量管理规范》等法律法规的要求。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2.2</w:t>
      </w:r>
      <w:r>
        <w:rPr>
          <w:rFonts w:hint="eastAsia" w:ascii="宋体" w:hAnsi="宋体"/>
          <w:bCs/>
          <w:szCs w:val="21"/>
        </w:rPr>
        <w:t>必须提供符合药品质量标准的药品，质量标准以《中国药典》以及国家食品监督管理局批准的标准为准。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2.3</w:t>
      </w:r>
      <w:r>
        <w:rPr>
          <w:rFonts w:hint="eastAsia" w:ascii="宋体" w:hAnsi="宋体"/>
          <w:bCs/>
          <w:szCs w:val="21"/>
        </w:rPr>
        <w:t>药品应提供生产厂家的《药品生产许可证》复印件、药品批准文号、药品的生产日期与药品的失效日期。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2.4</w:t>
      </w:r>
      <w:r>
        <w:rPr>
          <w:rFonts w:hint="eastAsia" w:ascii="宋体" w:hAnsi="宋体"/>
          <w:bCs/>
          <w:szCs w:val="21"/>
        </w:rPr>
        <w:t>整件药品必须提供产品合格证。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2.5</w:t>
      </w:r>
      <w:r>
        <w:rPr>
          <w:rFonts w:hint="eastAsia" w:ascii="宋体" w:hAnsi="宋体"/>
          <w:bCs/>
          <w:szCs w:val="21"/>
        </w:rPr>
        <w:t>药品的包装、标识、标签、说明书等应符合国家药品监督管理局对药品的包装、标签、说明书的有关规定和货物运输要求。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2.6</w:t>
      </w:r>
      <w:r>
        <w:rPr>
          <w:rFonts w:hint="eastAsia" w:ascii="宋体" w:hAnsi="宋体"/>
          <w:bCs/>
          <w:szCs w:val="21"/>
        </w:rPr>
        <w:t>对于有效期为2年（或2年以上）的药品，货物送到时距生产日期不能超过6个月；对于有效期在2年以内的，货物送到时距生产日期不能超过3个月。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color w:val="000000"/>
          <w:szCs w:val="21"/>
        </w:rPr>
      </w:pPr>
      <w:r>
        <w:rPr>
          <w:rFonts w:hint="eastAsia" w:ascii="宋体" w:hAnsi="宋体"/>
          <w:bCs/>
          <w:color w:val="000000"/>
          <w:szCs w:val="21"/>
          <w:lang w:val="en-US" w:eastAsia="zh-CN"/>
        </w:rPr>
        <w:t>2.7</w:t>
      </w:r>
      <w:r>
        <w:rPr>
          <w:rFonts w:hint="eastAsia" w:ascii="宋体" w:hAnsi="宋体"/>
          <w:bCs/>
          <w:color w:val="000000"/>
          <w:szCs w:val="21"/>
        </w:rPr>
        <w:t>生物制品应提供由药品检验机构出具并加盖经销商原印章的该批生物制品《生物制品批签发合格证》复印件。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2.8</w:t>
      </w:r>
      <w:r>
        <w:rPr>
          <w:rFonts w:hint="eastAsia" w:ascii="宋体" w:hAnsi="宋体"/>
          <w:bCs/>
          <w:szCs w:val="21"/>
        </w:rPr>
        <w:t>冷链药品、麻醉药品和精神类药品严格按《药品管理法》及相关规定执行。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宋体" w:hAnsi="宋体"/>
          <w:bCs/>
          <w:szCs w:val="21"/>
          <w:lang w:val="en-US" w:eastAsia="zh-CN"/>
        </w:rPr>
        <w:t>2.9</w:t>
      </w:r>
      <w:r>
        <w:rPr>
          <w:rFonts w:hint="eastAsia" w:ascii="宋体" w:hAnsi="宋体"/>
          <w:bCs/>
          <w:szCs w:val="21"/>
        </w:rPr>
        <w:t>货到后在3个工作日内验收。</w:t>
      </w:r>
    </w:p>
    <w:p>
      <w:pPr>
        <w:rPr>
          <w:rFonts w:hint="eastAsia" w:ascii="宋体" w:hAnsi="宋体" w:cs="宋体"/>
          <w:b w:val="0"/>
          <w:bCs w:val="0"/>
          <w:color w:val="000000"/>
          <w:kern w:val="0"/>
          <w:szCs w:val="21"/>
          <w:lang w:bidi="ar"/>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3、</w:t>
      </w:r>
      <w:r>
        <w:rPr>
          <w:rFonts w:hint="eastAsia" w:ascii="宋体" w:hAnsi="宋体" w:cs="宋体"/>
          <w:b w:val="0"/>
          <w:bCs w:val="0"/>
          <w:color w:val="000000"/>
          <w:kern w:val="0"/>
          <w:szCs w:val="21"/>
          <w:lang w:bidi="ar"/>
        </w:rPr>
        <w:t>药品及配送要求：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3.1</w:t>
      </w:r>
      <w:r>
        <w:rPr>
          <w:rFonts w:hint="eastAsia" w:ascii="宋体" w:hAnsi="宋体"/>
          <w:bCs/>
          <w:szCs w:val="21"/>
        </w:rPr>
        <w:t>供应商必须依据采购品种一览表所规定的品名、规格、并按照采购计划的数量按时供货。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3.2</w:t>
      </w:r>
      <w:r>
        <w:rPr>
          <w:rFonts w:hint="eastAsia" w:ascii="宋体" w:hAnsi="宋体"/>
          <w:bCs/>
          <w:szCs w:val="21"/>
        </w:rPr>
        <w:t>供应商在接收采购计划后，在规定的时间内按计划要求送至采购人指定地点，由监区医院负责验收入库。特殊急需应按要求当天送货。若不能按计划数量配送，采购人有权在合同款中扣除采购计划额的千分之一作为影响采购人医疗工作的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3.3</w:t>
      </w:r>
      <w:r>
        <w:rPr>
          <w:rFonts w:hint="eastAsia" w:ascii="宋体" w:hAnsi="宋体"/>
          <w:bCs/>
          <w:szCs w:val="21"/>
        </w:rPr>
        <w:t>采购目录内的药品中标价格在合同期内原则上不得上调。若有价格上涨必须提供有效证明文件，经监区医院审核通过方可上涨，并且给予采购人不少于 5%的价格优惠，否则严格执行招标价格。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3.4</w:t>
      </w:r>
      <w:r>
        <w:rPr>
          <w:rFonts w:hint="eastAsia" w:ascii="宋体" w:hAnsi="宋体"/>
          <w:bCs/>
          <w:szCs w:val="21"/>
          <w:lang w:eastAsia="zh-CN"/>
        </w:rPr>
        <w:t>供应商</w:t>
      </w:r>
      <w:r>
        <w:rPr>
          <w:rFonts w:hint="eastAsia" w:ascii="宋体" w:hAnsi="宋体"/>
          <w:bCs/>
          <w:szCs w:val="21"/>
        </w:rPr>
        <w:t>在计划配送时，如有某一药品因厂家停产或其它原因造成缺货，需出具厂家有效书面证明原件和复印件，并与采购人协商解决，由于断货引起医疗纠纷或给采购人造成的各项损失或增加的各项费用均由</w:t>
      </w:r>
      <w:r>
        <w:rPr>
          <w:rFonts w:hint="eastAsia" w:ascii="宋体" w:hAnsi="宋体"/>
          <w:bCs/>
          <w:szCs w:val="21"/>
          <w:lang w:eastAsia="zh-CN"/>
        </w:rPr>
        <w:t>成交供应商</w:t>
      </w:r>
      <w:r>
        <w:rPr>
          <w:rFonts w:hint="eastAsia" w:ascii="宋体" w:hAnsi="宋体"/>
          <w:bCs/>
          <w:szCs w:val="21"/>
        </w:rPr>
        <w:t>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3.5</w:t>
      </w:r>
      <w:r>
        <w:rPr>
          <w:rFonts w:hint="eastAsia" w:ascii="宋体" w:hAnsi="宋体"/>
          <w:bCs/>
          <w:szCs w:val="21"/>
          <w:lang w:eastAsia="zh-CN"/>
        </w:rPr>
        <w:t>供应商</w:t>
      </w:r>
      <w:r>
        <w:rPr>
          <w:rFonts w:hint="eastAsia" w:ascii="宋体" w:hAnsi="宋体"/>
          <w:bCs/>
          <w:szCs w:val="21"/>
        </w:rPr>
        <w:t>所供产品外观不洁、破损，采购人予以拒收。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3.6</w:t>
      </w:r>
      <w:r>
        <w:rPr>
          <w:rFonts w:hint="eastAsia" w:ascii="宋体" w:hAnsi="宋体"/>
          <w:bCs/>
          <w:szCs w:val="21"/>
          <w:lang w:eastAsia="zh-CN"/>
        </w:rPr>
        <w:t>供应商</w:t>
      </w:r>
      <w:r>
        <w:rPr>
          <w:rFonts w:hint="eastAsia" w:ascii="宋体" w:hAnsi="宋体"/>
          <w:bCs/>
          <w:szCs w:val="21"/>
        </w:rPr>
        <w:t>必须保证供货质量及渠道的合法性，其所供产品的票据合法、正规，并接受药监部门的审查，供货单位的票据不正规、产品渠道不规范，监区医院将就地封存产品，并通知药监部门处理。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bCs/>
          <w:szCs w:val="21"/>
          <w:lang w:val="en-US" w:eastAsia="zh-CN"/>
        </w:rPr>
        <w:t>3.7</w:t>
      </w:r>
      <w:r>
        <w:rPr>
          <w:rFonts w:hint="eastAsia" w:ascii="宋体" w:hAnsi="宋体"/>
          <w:bCs/>
          <w:szCs w:val="21"/>
        </w:rPr>
        <w:t>供应商必须依据采购人下达的药品需求中所规定的品名、规格、价格，并按照每月计划的数量按时供货。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Cs w:val="21"/>
        </w:rPr>
      </w:pPr>
      <w:r>
        <w:rPr>
          <w:rFonts w:hint="eastAsia" w:ascii="宋体" w:hAnsi="宋体"/>
          <w:bCs/>
          <w:szCs w:val="21"/>
          <w:lang w:val="en-US" w:eastAsia="zh-CN"/>
        </w:rPr>
        <w:t>3.8</w:t>
      </w:r>
      <w:r>
        <w:rPr>
          <w:rFonts w:hint="eastAsia" w:ascii="宋体" w:hAnsi="宋体"/>
          <w:bCs/>
          <w:szCs w:val="21"/>
        </w:rPr>
        <w:t>药品需求清单中规定的药品供应商均必须提供，供应商不得漏报。</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color w:val="000000" w:themeColor="text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3.9</w:t>
      </w:r>
      <w:r>
        <w:rPr>
          <w:rFonts w:hint="eastAsia" w:ascii="宋体" w:hAnsi="宋体"/>
          <w:bCs/>
          <w:color w:val="000000" w:themeColor="text1"/>
          <w:kern w:val="2"/>
          <w:sz w:val="21"/>
          <w:szCs w:val="21"/>
          <w:lang w:val="en-US" w:eastAsia="zh-CN" w:bidi="ar-SA"/>
          <w14:textFill>
            <w14:solidFill>
              <w14:schemeClr w14:val="tx1"/>
            </w14:solidFill>
          </w14:textFill>
        </w:rPr>
        <w:t>供应商接到采购人的药品计划或指令后，必须在24小时之内响应，如不按要求响应的，第一次扣除合同质量保证金1000元，第二次扣除合同质量保证金2000元，第三次采购人有权依据采购文件重新选择合作药品供应商。</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4、报价要求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4.1供应商必须严格按照采购目录清单所规定的药品品名、规格、厂家进行报价。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4.2供应商需要填报单价和总价，按投标总价计算价格分。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4.3采购目录内的药品若无法提供报价，计算价格分时，按该品种最高投标报价进行计算，调整 </w:t>
      </w:r>
    </w:p>
    <w:p>
      <w:pPr>
        <w:autoSpaceDE w:val="0"/>
        <w:autoSpaceDN w:val="0"/>
        <w:adjustRightInd w:val="0"/>
        <w:spacing w:line="360" w:lineRule="auto"/>
        <w:ind w:firstLine="420" w:firstLineChars="200"/>
        <w:outlineLvl w:val="9"/>
        <w:rPr>
          <w:rFonts w:hint="default"/>
          <w:lang w:val="en-US" w:eastAsia="zh-CN"/>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其投标报价。 </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5、服务地点：湖北省汉阳监狱指定地点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6、服务期：签订合同之日起至2021年12月31日止</w:t>
      </w:r>
    </w:p>
    <w:p>
      <w:pPr>
        <w:autoSpaceDE w:val="0"/>
        <w:autoSpaceDN w:val="0"/>
        <w:adjustRightInd w:val="0"/>
        <w:spacing w:line="360" w:lineRule="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7、履约保证金：不超过政府采购合同金额的10%，在签订合同时详细约定。</w:t>
      </w:r>
      <w:r>
        <w:rPr>
          <w:rFonts w:hint="eastAsia" w:asciiTheme="minorEastAsia" w:hAnsiTheme="minorEastAsia" w:eastAsiaTheme="minorEastAsia" w:cstheme="minorEastAsia"/>
          <w:color w:val="000000" w:themeColor="text1"/>
          <w:szCs w:val="21"/>
          <w14:textFill>
            <w14:solidFill>
              <w14:schemeClr w14:val="tx1"/>
            </w14:solidFill>
          </w14:textFill>
        </w:rPr>
        <w:t>签订合同前5个工作日递交，以支票、汇票、本票或者金融机构、担保机构出具的保函等非现金形式提交。</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签订合同后履约保证金自动转为质量保证金，服务期满后，无质量争议问题，</w:t>
      </w:r>
      <w:r>
        <w:rPr>
          <w:rFonts w:hint="eastAsia" w:asciiTheme="minorEastAsia" w:hAnsiTheme="minorEastAsia" w:eastAsiaTheme="minorEastAsia" w:cstheme="minorEastAsia"/>
          <w:color w:val="000000" w:themeColor="text1"/>
          <w:szCs w:val="21"/>
          <w14:textFill>
            <w14:solidFill>
              <w14:schemeClr w14:val="tx1"/>
            </w14:solidFill>
          </w14:textFill>
        </w:rPr>
        <w:t>一次性（无息）</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退还。</w:t>
      </w:r>
    </w:p>
    <w:p>
      <w:pPr>
        <w:autoSpaceDE w:val="0"/>
        <w:autoSpaceDN w:val="0"/>
        <w:adjustRightInd w:val="0"/>
        <w:spacing w:line="360" w:lineRule="auto"/>
        <w:outlineLvl w:val="9"/>
        <w:rPr>
          <w:rFonts w:hint="eastAsia" w:ascii="宋体" w:hAnsi="宋体" w:cs="宋体"/>
          <w:b/>
          <w:bCs/>
          <w:color w:val="000000" w:themeColor="text1"/>
          <w:szCs w:val="21"/>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8、付款方式：按批次据实结算，并提供采购人财务部门认可的增值税发票。（结算方式=产品单价×产品数量），货到后30日历日内付款，节假日顺延。 </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9、</w:t>
      </w:r>
      <w:r>
        <w:rPr>
          <w:rFonts w:hint="eastAsia" w:ascii="宋体" w:hAnsi="宋体" w:cs="宋体"/>
          <w:b/>
          <w:bCs/>
          <w:color w:val="000000" w:themeColor="text1"/>
          <w:szCs w:val="21"/>
          <w:lang w:bidi="ar"/>
          <w14:textFill>
            <w14:solidFill>
              <w14:schemeClr w14:val="tx1"/>
            </w14:solidFill>
          </w14:textFill>
        </w:rPr>
        <w:t>中标供应商（乙方）应遵守的规定</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由于监狱工作的特殊性，乙方应认真教育本单位工作人员严格遵守监狱的相关管理规定。</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（一）乙方人员必须遵守法律法规，不得假借监狱名义从事有损监狱形象的行为。</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（二）乙方人员进入监管区应提高警惕，注意人身安全保护，加强自我防范意识；自觉与罪犯划清界线，防止被罪犯利用。</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（三）乙方人员进入监管区必须衣着整齐，举止文明；女士不得进入监区。</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（四）凡需进入监管区的乙方人员必须由合作方开具委派证明和身份证明原件，向甲方提出申请，经核准后办理相关手续。</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（五）乙方车辆应凭审批手续并由监狱警察带领或监狱指定人员驾驶，方可进出监管区大门。</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（六）所有进出监管区大门的乙方人员、车辆和物品应接受监门警察和监门哨兵的检查，凭通行证件或经监狱审批的手续，人证相符、手续齐全方可进出监管区大门。</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七）乙方人员进出监管区大门必须遵守《监狱监管区大门管理规定》。凭有效身份证件办理《外来人员通行证》或《外来人员临时通行证》，由监狱相关部门警察带入带出，并接受监门武警和值班警察的检查管理。</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八）乙方人员不得携带管控物品（包括：1、武器弹药、刀具、利器；2、放射物、剧毒物品和麻醉物、毒品；3、爆炸物品、易燃易爆物品和腐蚀性物品；4、打火机、火柴等明火源；5、绳索、攀援器械、工程维修工具等；6、录音录像照相器材、通讯工具、计算机、多媒体等电子产品；7、其他可能影响监管安全的物品）进入监管区，进入监管区时必须按规定将移动电话等物品保管在贮物箱。</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（九）乙方人员进入监管区大门后，必须将《外来人员通行证》或《外来人员临时通行证》挂于胸前，并妥善保管。</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（十）乙方人员在监管区内必须遵守监狱的下列规定：</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1、不得擅自与罪犯接触，与罪犯认老乡、攀亲结友；</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2、不得为罪犯携带现金、酒类、熟食类物品或传带、保管任何物品； </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3、不得为罪犯邮寄信件、捎口信或替罪犯打电话；</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4、不得在监管区拍照、摄像或录音；</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5、不得在监管区内随意走动，非经许可不得进入监舍区；</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6、不得向无关人员谈及监狱工作秘密，或从事其它有碍监管安全的行为。</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（十一）乙方车辆应按指定位置停放并熄火，拔下钥匙，锁紧车门窗。所有车辆在当天16:30时前应驶离监管区。</w:t>
      </w:r>
    </w:p>
    <w:p>
      <w:pPr>
        <w:spacing w:line="360" w:lineRule="auto"/>
        <w:ind w:firstLine="420" w:firstLineChars="200"/>
        <w:jc w:val="left"/>
        <w:rPr>
          <w:rFonts w:hint="eastAsia"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（十二）乙方人员若违反本管理规定，甲方将责成乙方将其解聘、辞退或调离，情节严重的将与乙方解除合同，有违法行为的送司法机关处理。</w:t>
      </w:r>
    </w:p>
    <w:p>
      <w:pPr>
        <w:autoSpaceDE w:val="0"/>
        <w:autoSpaceDN w:val="0"/>
        <w:adjustRightInd w:val="0"/>
        <w:spacing w:line="360" w:lineRule="auto"/>
        <w:outlineLvl w:val="9"/>
        <w:rPr>
          <w:rFonts w:hint="eastAsia"/>
          <w:lang w:val="en-US" w:eastAsia="zh-CN"/>
        </w:rPr>
      </w:pPr>
      <w:r>
        <w:rPr>
          <w:rFonts w:hint="eastAsia" w:asciiTheme="minorEastAsia" w:hAnsiTheme="minorEastAsia" w:eastAsiaTheme="minorEastAsia" w:cstheme="minorEastAsia"/>
          <w:b/>
          <w:bCs/>
          <w:color w:val="FF0000"/>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szCs w:val="21"/>
        </w:rPr>
      </w:pPr>
      <w:bookmarkStart w:id="105" w:name="_Toc22332"/>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5"/>
    </w:p>
    <w:p>
      <w:pPr>
        <w:spacing w:line="360" w:lineRule="auto"/>
        <w:outlineLvl w:val="1"/>
        <w:rPr>
          <w:rFonts w:hint="eastAsia" w:asciiTheme="minorEastAsia" w:hAnsiTheme="minorEastAsia" w:eastAsiaTheme="minorEastAsia" w:cstheme="minorEastAsia"/>
          <w:b/>
          <w:szCs w:val="21"/>
        </w:rPr>
      </w:pPr>
      <w:bookmarkStart w:id="106" w:name="_Toc6587"/>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6"/>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lang w:val="en-US" w:eastAsia="zh-CN"/>
                <w14:textFill>
                  <w14:solidFill>
                    <w14:schemeClr w14:val="tx1"/>
                  </w14:solidFill>
                </w14:textFill>
              </w:rPr>
              <w:t>3.</w:t>
            </w:r>
          </w:p>
        </w:tc>
        <w:tc>
          <w:tcPr>
            <w:tcW w:w="851" w:type="dxa"/>
            <w:vAlign w:val="center"/>
          </w:tcPr>
          <w:p>
            <w:pPr>
              <w:widowControl/>
              <w:jc w:val="center"/>
              <w:rPr>
                <w:rFonts w:hint="eastAsia"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相同品牌</w:t>
            </w:r>
          </w:p>
        </w:tc>
        <w:tc>
          <w:tcPr>
            <w:tcW w:w="3101" w:type="dxa"/>
            <w:vAlign w:val="center"/>
          </w:tcPr>
          <w:p>
            <w:pPr>
              <w:jc w:val="center"/>
              <w:rPr>
                <w:rFonts w:hint="eastAsia"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Cs w:val="21"/>
                <w14:textFill>
                  <w14:solidFill>
                    <w14:schemeClr w14:val="tx1"/>
                  </w14:solidFill>
                </w14:textFill>
              </w:rPr>
              <w:t>相同品牌处理原则</w:t>
            </w:r>
          </w:p>
          <w:p>
            <w:pPr>
              <w:jc w:val="center"/>
              <w:rPr>
                <w:rFonts w:hint="eastAsia" w:asciiTheme="minorEastAsia" w:hAnsiTheme="minorEastAsia" w:eastAsiaTheme="minorEastAsia" w:cstheme="minorEastAsia"/>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【本项目不适用】</w:t>
            </w:r>
          </w:p>
        </w:tc>
        <w:tc>
          <w:tcPr>
            <w:tcW w:w="4730" w:type="dxa"/>
            <w:vAlign w:val="center"/>
          </w:tcPr>
          <w:p>
            <w:pP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个，各供应商所投任一核心产品的品牌相同，则按一家供应商计算。</w:t>
            </w:r>
          </w:p>
          <w:p>
            <w:pP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多家供应商提供的核心产品品牌相同的，按</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上述</w:t>
            </w:r>
            <w:r>
              <w:rPr>
                <w:rFonts w:hint="eastAsia" w:asciiTheme="minorEastAsia" w:hAnsiTheme="minorEastAsia" w:eastAsiaTheme="minorEastAsia" w:cstheme="minorEastAsia"/>
                <w:color w:val="000000" w:themeColor="text1"/>
                <w:szCs w:val="21"/>
                <w14:textFill>
                  <w14:solidFill>
                    <w14:schemeClr w14:val="tx1"/>
                  </w14:solidFill>
                </w14:textFill>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07" w:name="_Toc18452"/>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07"/>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bookmarkStart w:id="108" w:name="_Toc13177"/>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08"/>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057"/>
        <w:gridCol w:w="6831"/>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057"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831"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竞标</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报价</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20</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分</w:t>
            </w:r>
          </w:p>
        </w:tc>
        <w:tc>
          <w:tcPr>
            <w:tcW w:w="1057"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最后</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报价</w:t>
            </w:r>
          </w:p>
        </w:tc>
        <w:tc>
          <w:tcPr>
            <w:tcW w:w="6831"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1、报价采用低价优先法计算，即满足</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14:textFill>
                  <w14:solidFill>
                    <w14:schemeClr w14:val="tx1"/>
                  </w14:solidFill>
                </w14:textFill>
              </w:rPr>
              <w:t>采购文件要求且报价最低的报价为磋商基准价，其报价分为满分</w:t>
            </w: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分</w:t>
            </w:r>
            <w:r>
              <w:rPr>
                <w:rFonts w:hint="eastAsia" w:asciiTheme="minorEastAsia" w:hAnsiTheme="minorEastAsia" w:eastAsiaTheme="minorEastAsia" w:cstheme="minorEastAsia"/>
                <w:color w:val="000000" w:themeColor="text1"/>
                <w:lang w:eastAsia="zh-CN"/>
                <w14:textFill>
                  <w14:solidFill>
                    <w14:schemeClr w14:val="tx1"/>
                  </w14:solidFill>
                </w14:textFill>
              </w:rPr>
              <w:t>；</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2、其他供应商的报价分按照下列公式计算：</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报价分=（磋商基准价/磋商报价）×</w:t>
            </w: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20</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备注：</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14:textFill>
                  <w14:solidFill>
                    <w14:schemeClr w14:val="tx1"/>
                  </w14:solidFill>
                </w14:textFill>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14:textFill>
                  <w14:solidFill>
                    <w14:schemeClr w14:val="tx1"/>
                  </w14:solidFill>
                </w14:textFill>
              </w:rPr>
              <w:t>符合本磋商文件第</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14:textFill>
                  <w14:solidFill>
                    <w14:schemeClr w14:val="tx1"/>
                  </w14:solidFill>
                </w14:textFill>
              </w:rPr>
              <w:t>章“政策支持”</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条件</w:t>
            </w:r>
            <w:r>
              <w:rPr>
                <w:rFonts w:hint="eastAsia" w:asciiTheme="minorEastAsia" w:hAnsiTheme="minorEastAsia" w:eastAsiaTheme="minorEastAsia" w:cstheme="minorEastAsia"/>
                <w:b/>
                <w:bCs/>
                <w:color w:val="000000" w:themeColor="text1"/>
                <w14:textFill>
                  <w14:solidFill>
                    <w14:schemeClr w14:val="tx1"/>
                  </w14:solidFill>
                </w14:textFill>
              </w:rPr>
              <w:t>的，在评审时予以价格扣除，用扣除后的价格参与评审。</w:t>
            </w:r>
          </w:p>
        </w:tc>
        <w:tc>
          <w:tcPr>
            <w:tcW w:w="664"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val="en-US" w:eastAsia="zh-CN" w:bidi="ar"/>
                <w14:textFill>
                  <w14:solidFill>
                    <w14:schemeClr w14:val="tx1"/>
                  </w14:solidFill>
                </w14:textFill>
              </w:rPr>
              <w:t>20</w:t>
            </w:r>
            <w:r>
              <w:rPr>
                <w:rFonts w:hint="eastAsia" w:asciiTheme="minorEastAsia" w:hAnsiTheme="minorEastAsia" w:eastAsiaTheme="minorEastAsia" w:cstheme="minorEastAsia"/>
                <w:color w:val="000000" w:themeColor="text1"/>
                <w:kern w:val="0"/>
                <w:szCs w:val="21"/>
                <w:lang w:bidi="ar"/>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736" w:type="dxa"/>
            <w:vMerge w:val="restart"/>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商务</w:t>
            </w: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c>
          <w:tcPr>
            <w:tcW w:w="1057" w:type="dxa"/>
            <w:vMerge w:val="restart"/>
            <w:vAlign w:val="center"/>
          </w:tcPr>
          <w:p>
            <w:pPr>
              <w:keepNext w:val="0"/>
              <w:keepLines w:val="0"/>
              <w:pageBreakBefore w:val="0"/>
              <w:widowControl/>
              <w:kinsoku/>
              <w:wordWrap/>
              <w:overflowPunct/>
              <w:topLinePunct w:val="0"/>
              <w:bidi w:val="0"/>
              <w:snapToGrid/>
              <w:spacing w:line="24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认证证书</w:t>
            </w:r>
          </w:p>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31"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供应商提供质量管理体系认证证书得1分；没有不得分；</w:t>
            </w:r>
          </w:p>
        </w:tc>
        <w:tc>
          <w:tcPr>
            <w:tcW w:w="664"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color w:val="000000" w:themeColor="text1"/>
                <w14:textFill>
                  <w14:solidFill>
                    <w14:schemeClr w14:val="tx1"/>
                  </w14:solidFill>
                </w14:textFill>
              </w:rPr>
            </w:pPr>
          </w:p>
        </w:tc>
        <w:tc>
          <w:tcPr>
            <w:tcW w:w="1057"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color w:val="000000" w:themeColor="text1"/>
                <w14:textFill>
                  <w14:solidFill>
                    <w14:schemeClr w14:val="tx1"/>
                  </w14:solidFill>
                </w14:textFill>
              </w:rPr>
            </w:pPr>
          </w:p>
        </w:tc>
        <w:tc>
          <w:tcPr>
            <w:tcW w:w="6831"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供应商提供环境管理体系认证证书得1分；没有不得分；</w:t>
            </w:r>
          </w:p>
        </w:tc>
        <w:tc>
          <w:tcPr>
            <w:tcW w:w="664"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57"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31" w:type="dxa"/>
            <w:vAlign w:val="center"/>
          </w:tcPr>
          <w:p>
            <w:pPr>
              <w:keepNext w:val="0"/>
              <w:keepLines w:val="0"/>
              <w:pageBreakBefore w:val="0"/>
              <w:widowControl/>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供应商提供职业健康安全管理体系认证证书得1分；没有不得分；</w:t>
            </w:r>
          </w:p>
        </w:tc>
        <w:tc>
          <w:tcPr>
            <w:tcW w:w="664"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p>
        </w:tc>
        <w:tc>
          <w:tcPr>
            <w:tcW w:w="10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类似业绩</w:t>
            </w:r>
          </w:p>
        </w:tc>
        <w:tc>
          <w:tcPr>
            <w:tcW w:w="6831" w:type="dxa"/>
            <w:vAlign w:val="center"/>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近三年（磋商截止时间往前推算36个月）承担过的类似项目业绩一个得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分，最高得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分。（须提供成交通知书(或验收报告）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14:textFill>
                  <w14:solidFill>
                    <w14:schemeClr w14:val="tx1"/>
                  </w14:solidFill>
                </w14:textFill>
              </w:rPr>
              <w:t>合同复印件加盖公章）</w:t>
            </w:r>
          </w:p>
        </w:tc>
        <w:tc>
          <w:tcPr>
            <w:tcW w:w="664"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用户反馈</w:t>
            </w:r>
          </w:p>
        </w:tc>
        <w:tc>
          <w:tcPr>
            <w:tcW w:w="6831" w:type="dxa"/>
            <w:vAlign w:val="center"/>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近</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14:textFill>
                  <w14:solidFill>
                    <w14:schemeClr w14:val="tx1"/>
                  </w14:solidFill>
                </w14:textFill>
              </w:rPr>
              <w:t>年（磋商截止时间往前推算36个月）以来业主出具的服务良好评价证明，每提供1个业主单位的评价得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分，最高得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分（需提供盖用户单位公章相关证明，未提供不得分）</w:t>
            </w:r>
          </w:p>
        </w:tc>
        <w:tc>
          <w:tcPr>
            <w:tcW w:w="664"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财务状况</w:t>
            </w:r>
          </w:p>
        </w:tc>
        <w:tc>
          <w:tcPr>
            <w:tcW w:w="6831" w:type="dxa"/>
            <w:vAlign w:val="center"/>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根据供应商提供的近三年（2017年、2018年、2019年）财务报告，对其经营状况、财务状况相互比较：</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连续盈利，偿债能力、盈利能力和抗风险能力强的，得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14:textFill>
                  <w14:solidFill>
                    <w14:schemeClr w14:val="tx1"/>
                  </w14:solidFill>
                </w14:textFill>
              </w:rPr>
              <w:t>分；</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盈利情况一般，偿债能力和抗风险能力较弱的，得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Cs w:val="21"/>
                <w14:textFill>
                  <w14:solidFill>
                    <w14:schemeClr w14:val="tx1"/>
                  </w14:solidFill>
                </w14:textFill>
              </w:rPr>
              <w:t>分；</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无盈利，偿债能力和抗风险能力差的，得</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分；</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pacing w:val="-6"/>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（成立不足三年的按公司成立时间起算）</w:t>
            </w:r>
          </w:p>
        </w:tc>
        <w:tc>
          <w:tcPr>
            <w:tcW w:w="664"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spacing w:val="-6"/>
                <w:kern w:val="2"/>
                <w:sz w:val="21"/>
                <w:szCs w:val="21"/>
                <w:lang w:val="en-US" w:eastAsia="zh-CN" w:bidi="ar-SA"/>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lang w:val="zh-CN"/>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zh-CN"/>
                <w14:textFill>
                  <w14:solidFill>
                    <w14:schemeClr w14:val="tx1"/>
                  </w14:solidFill>
                </w14:textFill>
              </w:rPr>
              <w:t>人员要求</w:t>
            </w:r>
          </w:p>
        </w:tc>
        <w:tc>
          <w:tcPr>
            <w:tcW w:w="6831" w:type="dxa"/>
            <w:vAlign w:val="center"/>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供应商拥有执业药师6名以上含6名，得6分；5名以下含5名，得4分；3名以下含3名，得2分；2名及2名以下不得分。</w:t>
            </w:r>
          </w:p>
        </w:tc>
        <w:tc>
          <w:tcPr>
            <w:tcW w:w="664"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27" w:hRule="atLeast"/>
        </w:trPr>
        <w:tc>
          <w:tcPr>
            <w:tcW w:w="736" w:type="dxa"/>
            <w:vMerge w:val="restart"/>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技术服务</w:t>
            </w: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50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c>
          <w:tcPr>
            <w:tcW w:w="1057" w:type="dxa"/>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配送方案</w:t>
            </w:r>
          </w:p>
        </w:tc>
        <w:tc>
          <w:tcPr>
            <w:tcW w:w="6831" w:type="dxa"/>
            <w:vAlign w:val="center"/>
          </w:tcPr>
          <w:p>
            <w:pPr>
              <w:keepNext w:val="0"/>
              <w:keepLines w:val="0"/>
              <w:pageBreakBefore w:val="0"/>
              <w:kinsoku/>
              <w:wordWrap/>
              <w:overflowPunct/>
              <w:topLinePunct w:val="0"/>
              <w:bidi w:val="0"/>
              <w:snapToGrid/>
              <w:spacing w:line="240" w:lineRule="auto"/>
              <w:ind w:left="-4" w:leftChars="-2" w:firstLine="2" w:firstLineChars="1"/>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配送药品的方案（人员安排、响应时间、交货时间、交货方式、供货渠道等）的全面性、科学性及对本项目的针对性强进行评分，</w:t>
            </w:r>
          </w:p>
          <w:p>
            <w:pPr>
              <w:keepNext w:val="0"/>
              <w:keepLines w:val="0"/>
              <w:pageBreakBefore w:val="0"/>
              <w:kinsoku/>
              <w:wordWrap/>
              <w:overflowPunct/>
              <w:topLinePunct w:val="0"/>
              <w:bidi w:val="0"/>
              <w:snapToGrid/>
              <w:spacing w:line="240" w:lineRule="auto"/>
              <w:ind w:left="-4" w:leftChars="-2" w:firstLine="2" w:firstLineChars="1"/>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方案合理可行性强、内容详实完善、针对性强、服务时间迅速的得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snapToGrid/>
              <w:spacing w:line="240" w:lineRule="auto"/>
              <w:ind w:left="-4" w:leftChars="-2" w:firstLine="2" w:firstLineChars="1"/>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方案可行、内容完整、服务时间满足采购人要求的得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snapToGrid/>
              <w:spacing w:line="240" w:lineRule="auto"/>
              <w:ind w:left="-4" w:leftChars="-2" w:firstLine="2" w:firstLineChars="1"/>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方案有一定的可信性、内容简略、服务时间满足采购人要求的得</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snapToGrid/>
              <w:spacing w:line="240" w:lineRule="auto"/>
              <w:ind w:left="-4" w:leftChars="-2" w:firstLine="2" w:firstLineChars="1"/>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未提供或不能满足本项目需求0分</w:t>
            </w:r>
          </w:p>
        </w:tc>
        <w:tc>
          <w:tcPr>
            <w:tcW w:w="664" w:type="dxa"/>
            <w:vAlign w:val="center"/>
          </w:tcPr>
          <w:p>
            <w:pPr>
              <w:keepNext w:val="0"/>
              <w:keepLines w:val="0"/>
              <w:pageBreakBefore w:val="0"/>
              <w:kinsoku/>
              <w:wordWrap/>
              <w:overflowPunct/>
              <w:topLinePunct w:val="0"/>
              <w:bidi w:val="0"/>
              <w:snapToGrid/>
              <w:spacing w:line="240" w:lineRule="auto"/>
              <w:ind w:left="-4" w:leftChars="-2" w:firstLine="1" w:firstLineChars="1"/>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057" w:type="dxa"/>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配送车辆</w:t>
            </w:r>
          </w:p>
        </w:tc>
        <w:tc>
          <w:tcPr>
            <w:tcW w:w="6831" w:type="dxa"/>
            <w:vAlign w:val="center"/>
          </w:tcPr>
          <w:p>
            <w:pPr>
              <w:keepNext w:val="0"/>
              <w:keepLines w:val="0"/>
              <w:pageBreakBefore w:val="0"/>
              <w:widowControl/>
              <w:suppressLineNumbers w:val="0"/>
              <w:kinsoku/>
              <w:wordWrap/>
              <w:overflowPunct/>
              <w:topLinePunct w:val="0"/>
              <w:bidi w:val="0"/>
              <w:snapToGrid/>
              <w:spacing w:line="240" w:lineRule="auto"/>
              <w:jc w:val="left"/>
              <w:rPr>
                <w:rFonts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供应商拥有自主物流配送团队，提供专用运输车辆的，得5分；使用第三方配送，有专用运输车辆的得3分；提供运输车辆但无专用运输车辆的得1分。未提供运输 车辆的不得分。（提供</w:t>
            </w:r>
            <w:r>
              <w:rPr>
                <w:rFonts w:hint="eastAsia" w:ascii="宋体" w:hAnsi="宋体" w:eastAsia="宋体" w:cs="宋体"/>
                <w:color w:val="000000" w:themeColor="text1"/>
                <w:kern w:val="0"/>
                <w:sz w:val="20"/>
                <w:szCs w:val="20"/>
                <w:lang w:val="en-US" w:eastAsia="zh-CN" w:bidi="ar"/>
                <w14:textFill>
                  <w14:solidFill>
                    <w14:schemeClr w14:val="tx1"/>
                  </w14:solidFill>
                </w14:textFill>
              </w:rPr>
              <w:t>提供机动车行驶证复印件、车辆图片</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相关证明材料）</w:t>
            </w:r>
          </w:p>
        </w:tc>
        <w:tc>
          <w:tcPr>
            <w:tcW w:w="664" w:type="dxa"/>
            <w:vAlign w:val="center"/>
          </w:tcPr>
          <w:p>
            <w:pPr>
              <w:keepNext w:val="0"/>
              <w:keepLines w:val="0"/>
              <w:pageBreakBefore w:val="0"/>
              <w:kinsoku/>
              <w:wordWrap/>
              <w:overflowPunct/>
              <w:topLinePunct w:val="0"/>
              <w:bidi w:val="0"/>
              <w:snapToGrid/>
              <w:spacing w:line="240" w:lineRule="auto"/>
              <w:ind w:left="-4" w:leftChars="-2" w:firstLine="1" w:firstLineChars="1"/>
              <w:jc w:val="center"/>
              <w:rPr>
                <w:rFonts w:hint="default"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Theme="minorEastAsia" w:hAnsiTheme="minorEastAsia" w:eastAsiaTheme="minorEastAsia" w:cstheme="minorEastAsia"/>
                <w:sz w:val="21"/>
                <w:szCs w:val="21"/>
              </w:rPr>
            </w:pPr>
          </w:p>
        </w:tc>
        <w:tc>
          <w:tcPr>
            <w:tcW w:w="1057"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人员配备情况</w:t>
            </w:r>
          </w:p>
        </w:tc>
        <w:tc>
          <w:tcPr>
            <w:tcW w:w="6831" w:type="dxa"/>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lang w:val="zh-CN"/>
              </w:rPr>
            </w:pPr>
            <w:r>
              <w:rPr>
                <w:rFonts w:hint="eastAsia"/>
                <w:lang w:val="zh-CN"/>
              </w:rPr>
              <w:t>根据拟投入本项目人员的配备情况，包括人员资质、职称、履历情况、合理分配情况综合评分。（提供人员履历及业主证明函，证明此人员是实施本项目的人员）</w:t>
            </w:r>
          </w:p>
          <w:p>
            <w:pPr>
              <w:keepNext w:val="0"/>
              <w:keepLines w:val="0"/>
              <w:pageBreakBefore w:val="0"/>
              <w:widowControl/>
              <w:kinsoku/>
              <w:wordWrap/>
              <w:overflowPunct/>
              <w:topLinePunct w:val="0"/>
              <w:bidi w:val="0"/>
              <w:snapToGrid/>
              <w:spacing w:line="240" w:lineRule="auto"/>
              <w:jc w:val="left"/>
              <w:rPr>
                <w:rFonts w:hint="eastAsia"/>
                <w:lang w:val="en-US" w:eastAsia="zh-CN"/>
              </w:rPr>
            </w:pPr>
            <w:r>
              <w:rPr>
                <w:rFonts w:hint="eastAsia"/>
                <w:lang w:val="en-US" w:eastAsia="zh-CN"/>
              </w:rPr>
              <w:t>内容完备、合理，针对性强，5分；</w:t>
            </w:r>
          </w:p>
          <w:p>
            <w:pPr>
              <w:keepNext w:val="0"/>
              <w:keepLines w:val="0"/>
              <w:pageBreakBefore w:val="0"/>
              <w:widowControl/>
              <w:kinsoku/>
              <w:wordWrap/>
              <w:overflowPunct/>
              <w:topLinePunct w:val="0"/>
              <w:bidi w:val="0"/>
              <w:snapToGrid/>
              <w:spacing w:line="240" w:lineRule="auto"/>
              <w:jc w:val="left"/>
              <w:rPr>
                <w:rFonts w:hint="eastAsia"/>
                <w:lang w:val="en-US" w:eastAsia="zh-CN"/>
              </w:rPr>
            </w:pPr>
            <w:r>
              <w:rPr>
                <w:rFonts w:hint="eastAsia"/>
                <w:lang w:val="en-US" w:eastAsia="zh-CN"/>
              </w:rPr>
              <w:t>内容完备，可行3分；</w:t>
            </w:r>
          </w:p>
          <w:p>
            <w:pPr>
              <w:keepNext w:val="0"/>
              <w:keepLines w:val="0"/>
              <w:pageBreakBefore w:val="0"/>
              <w:widowControl/>
              <w:kinsoku/>
              <w:wordWrap/>
              <w:overflowPunct/>
              <w:topLinePunct w:val="0"/>
              <w:bidi w:val="0"/>
              <w:snapToGrid/>
              <w:spacing w:line="240" w:lineRule="auto"/>
              <w:jc w:val="left"/>
              <w:rPr>
                <w:rFonts w:hint="eastAsia"/>
                <w:lang w:val="en-US" w:eastAsia="zh-CN"/>
              </w:rPr>
            </w:pPr>
            <w:r>
              <w:rPr>
                <w:rFonts w:hint="eastAsia"/>
                <w:lang w:val="en-US" w:eastAsia="zh-CN"/>
              </w:rPr>
              <w:t>内容欠完备，基本可行，1分；</w:t>
            </w:r>
          </w:p>
          <w:p>
            <w:pPr>
              <w:keepNext w:val="0"/>
              <w:keepLines w:val="0"/>
              <w:pageBreakBefore w:val="0"/>
              <w:widowControl/>
              <w:kinsoku/>
              <w:wordWrap/>
              <w:overflowPunct/>
              <w:topLinePunct w:val="0"/>
              <w:bidi w:val="0"/>
              <w:snapToGrid/>
              <w:spacing w:line="240" w:lineRule="auto"/>
              <w:jc w:val="left"/>
              <w:rPr>
                <w:rFonts w:hint="eastAsia"/>
                <w:lang w:val="en-US" w:eastAsia="zh-CN"/>
              </w:rPr>
            </w:pPr>
            <w:r>
              <w:rPr>
                <w:rFonts w:hint="eastAsia"/>
                <w:lang w:val="en-US" w:eastAsia="zh-CN"/>
              </w:rPr>
              <w:t>不可行，0分。</w:t>
            </w:r>
          </w:p>
        </w:tc>
        <w:tc>
          <w:tcPr>
            <w:tcW w:w="664" w:type="dxa"/>
            <w:vAlign w:val="center"/>
          </w:tcPr>
          <w:p>
            <w:pPr>
              <w:keepNext w:val="0"/>
              <w:keepLines w:val="0"/>
              <w:pageBreakBefore w:val="0"/>
              <w:widowControl/>
              <w:kinsoku/>
              <w:wordWrap/>
              <w:overflowPunct/>
              <w:topLinePunct w:val="0"/>
              <w:bidi w:val="0"/>
              <w:snapToGrid/>
              <w:spacing w:line="240" w:lineRule="auto"/>
              <w:jc w:val="center"/>
              <w:textAlignment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Theme="minorEastAsia" w:hAnsiTheme="minorEastAsia" w:eastAsiaTheme="minorEastAsia" w:cstheme="minorEastAsia"/>
                <w:sz w:val="21"/>
                <w:szCs w:val="21"/>
              </w:rPr>
            </w:pPr>
          </w:p>
        </w:tc>
        <w:tc>
          <w:tcPr>
            <w:tcW w:w="1057" w:type="dxa"/>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仓储面积</w:t>
            </w:r>
          </w:p>
        </w:tc>
        <w:tc>
          <w:tcPr>
            <w:tcW w:w="6831" w:type="dxa"/>
            <w:vAlign w:val="center"/>
          </w:tcPr>
          <w:p>
            <w:pPr>
              <w:keepNext w:val="0"/>
              <w:keepLines w:val="0"/>
              <w:pageBreakBefore w:val="0"/>
              <w:widowControl/>
              <w:suppressLineNumbers w:val="0"/>
              <w:kinsoku/>
              <w:wordWrap/>
              <w:overflowPunct/>
              <w:topLinePunct w:val="0"/>
              <w:bidi w:val="0"/>
              <w:snapToGrid/>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仓储达到500ｍ2得3分，每增加100ｍ2加1分，最高6分。提供平面图、产权证或租赁证明。</w:t>
            </w:r>
          </w:p>
        </w:tc>
        <w:tc>
          <w:tcPr>
            <w:tcW w:w="664" w:type="dxa"/>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z w:val="21"/>
                <w:szCs w:val="21"/>
              </w:rPr>
            </w:pPr>
          </w:p>
        </w:tc>
        <w:tc>
          <w:tcPr>
            <w:tcW w:w="1057" w:type="dxa"/>
            <w:vMerge w:val="restart"/>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服务承诺</w:t>
            </w:r>
          </w:p>
          <w:p>
            <w:pPr>
              <w:keepNext w:val="0"/>
              <w:keepLines w:val="0"/>
              <w:pageBreakBefore w:val="0"/>
              <w:kinsoku/>
              <w:wordWrap/>
              <w:overflowPunct/>
              <w:topLinePunct w:val="0"/>
              <w:bidi w:val="0"/>
              <w:snapToGrid/>
              <w:spacing w:line="240" w:lineRule="auto"/>
              <w:jc w:val="center"/>
              <w:rPr>
                <w:rFonts w:hint="eastAsia" w:ascii="宋体" w:hAnsi="宋体" w:eastAsia="宋体" w:cs="宋体"/>
                <w:kern w:val="0"/>
                <w:sz w:val="21"/>
                <w:szCs w:val="21"/>
                <w:lang w:val="en-US" w:eastAsia="zh-CN" w:bidi="ar-SA"/>
              </w:rPr>
            </w:pPr>
          </w:p>
        </w:tc>
        <w:tc>
          <w:tcPr>
            <w:tcW w:w="6831" w:type="dxa"/>
            <w:vAlign w:val="center"/>
          </w:tcPr>
          <w:p>
            <w:pPr>
              <w:pStyle w:val="24"/>
              <w:keepNext w:val="0"/>
              <w:keepLines w:val="0"/>
              <w:pageBreakBefore w:val="0"/>
              <w:kinsoku/>
              <w:wordWrap/>
              <w:overflowPunct/>
              <w:topLinePunct w:val="0"/>
              <w:bidi w:val="0"/>
              <w:snapToGrid/>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购销价位承诺：在规定年度内，严格执行中标价格得1分，达不到或未承诺不得分。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736"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pPr>
          </w:p>
        </w:tc>
        <w:tc>
          <w:tcPr>
            <w:tcW w:w="1057"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pPr>
          </w:p>
        </w:tc>
        <w:tc>
          <w:tcPr>
            <w:tcW w:w="6831" w:type="dxa"/>
            <w:vAlign w:val="center"/>
          </w:tcPr>
          <w:p>
            <w:pPr>
              <w:pStyle w:val="24"/>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spacing w:val="-6"/>
                <w:kern w:val="0"/>
                <w:sz w:val="21"/>
                <w:szCs w:val="21"/>
              </w:rPr>
            </w:pPr>
            <w:r>
              <w:rPr>
                <w:rFonts w:cs="宋体"/>
                <w:sz w:val="21"/>
                <w:szCs w:val="21"/>
              </w:rPr>
              <w:t>承诺特殊、急需药品的及时配送。保证能满足紧急需求情况下，急救药品的配送不应超过4小时，具体药品品种、规格、数量按</w:t>
            </w:r>
            <w:r>
              <w:rPr>
                <w:rFonts w:hint="eastAsia" w:cs="宋体"/>
                <w:sz w:val="21"/>
                <w:szCs w:val="21"/>
                <w:lang w:eastAsia="zh-CN"/>
              </w:rPr>
              <w:t>采购</w:t>
            </w:r>
            <w:r>
              <w:rPr>
                <w:rFonts w:cs="宋体"/>
                <w:sz w:val="21"/>
                <w:szCs w:val="21"/>
              </w:rPr>
              <w:t>人实际需求数量执行，达到此承诺得1分，达不到或未承诺不得分。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736"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p>
        </w:tc>
        <w:tc>
          <w:tcPr>
            <w:tcW w:w="1057"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p>
        </w:tc>
        <w:tc>
          <w:tcPr>
            <w:tcW w:w="6831" w:type="dxa"/>
            <w:vAlign w:val="center"/>
          </w:tcPr>
          <w:p>
            <w:pPr>
              <w:pStyle w:val="24"/>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spacing w:val="-6"/>
                <w:kern w:val="0"/>
                <w:sz w:val="21"/>
                <w:szCs w:val="21"/>
              </w:rPr>
            </w:pPr>
            <w:r>
              <w:rPr>
                <w:rFonts w:cs="宋体"/>
                <w:sz w:val="21"/>
                <w:szCs w:val="21"/>
              </w:rPr>
              <w:t>承诺因工作失误造成的药品遗失或损坏，</w:t>
            </w:r>
            <w:r>
              <w:rPr>
                <w:rFonts w:hint="eastAsia" w:cs="宋体"/>
                <w:sz w:val="21"/>
                <w:szCs w:val="21"/>
                <w:lang w:eastAsia="zh-CN"/>
              </w:rPr>
              <w:t>供应商</w:t>
            </w:r>
            <w:r>
              <w:rPr>
                <w:rFonts w:cs="宋体"/>
                <w:sz w:val="21"/>
                <w:szCs w:val="21"/>
              </w:rPr>
              <w:t>负责及时补齐或退换，并保证在一个星期以内退换药品得</w:t>
            </w:r>
            <w:r>
              <w:rPr>
                <w:rFonts w:hint="eastAsia" w:cs="宋体"/>
                <w:sz w:val="21"/>
                <w:szCs w:val="21"/>
                <w:lang w:val="en-US" w:eastAsia="zh-CN"/>
              </w:rPr>
              <w:t>1</w:t>
            </w:r>
            <w:r>
              <w:rPr>
                <w:rFonts w:cs="宋体"/>
                <w:sz w:val="21"/>
                <w:szCs w:val="21"/>
              </w:rPr>
              <w:t>分，达不到或未承诺不得分。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736"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p>
        </w:tc>
        <w:tc>
          <w:tcPr>
            <w:tcW w:w="1057"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p>
        </w:tc>
        <w:tc>
          <w:tcPr>
            <w:tcW w:w="6831" w:type="dxa"/>
            <w:vAlign w:val="center"/>
          </w:tcPr>
          <w:p>
            <w:pPr>
              <w:pStyle w:val="24"/>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spacing w:val="-6"/>
                <w:kern w:val="0"/>
                <w:sz w:val="21"/>
                <w:szCs w:val="21"/>
              </w:rPr>
            </w:pPr>
            <w:r>
              <w:rPr>
                <w:rFonts w:cs="宋体"/>
                <w:sz w:val="21"/>
                <w:szCs w:val="21"/>
              </w:rPr>
              <w:t>到货率承诺：接到药品购货清单后，严格按药品购货清单配送药品，送货率达到100%得1分，达不到或未承诺不得分。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736"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p>
        </w:tc>
        <w:tc>
          <w:tcPr>
            <w:tcW w:w="1057"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p>
        </w:tc>
        <w:tc>
          <w:tcPr>
            <w:tcW w:w="6831" w:type="dxa"/>
            <w:vAlign w:val="center"/>
          </w:tcPr>
          <w:p>
            <w:pPr>
              <w:pStyle w:val="24"/>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spacing w:val="-6"/>
                <w:kern w:val="0"/>
                <w:sz w:val="21"/>
                <w:szCs w:val="21"/>
              </w:rPr>
            </w:pPr>
            <w:r>
              <w:rPr>
                <w:rFonts w:cs="宋体"/>
                <w:color w:val="000000"/>
                <w:sz w:val="21"/>
                <w:szCs w:val="21"/>
              </w:rPr>
              <w:t>送货时效承诺：接到药品购货清单后，严格按药品购货清单配送药品：12小时内送达指定地点得1分，达不到或未承诺不得分。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z w:val="21"/>
                <w:szCs w:val="21"/>
              </w:rPr>
            </w:pPr>
          </w:p>
        </w:tc>
        <w:tc>
          <w:tcPr>
            <w:tcW w:w="10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售后服务方案</w:t>
            </w:r>
          </w:p>
        </w:tc>
        <w:tc>
          <w:tcPr>
            <w:tcW w:w="6831" w:type="dxa"/>
            <w:vAlign w:val="center"/>
          </w:tcPr>
          <w:p>
            <w:pPr>
              <w:keepNext w:val="0"/>
              <w:keepLines w:val="0"/>
              <w:pageBreakBefore w:val="0"/>
              <w:kinsoku/>
              <w:wordWrap/>
              <w:overflowPunct/>
              <w:topLinePunct w:val="0"/>
              <w:bidi w:val="0"/>
              <w:snapToGrid/>
              <w:spacing w:line="240" w:lineRule="auto"/>
              <w:ind w:left="-4" w:leftChars="-2" w:firstLine="2" w:firstLineChars="1"/>
              <w:jc w:val="left"/>
              <w:rPr>
                <w:rFonts w:cs="宋体"/>
                <w:sz w:val="21"/>
                <w:szCs w:val="21"/>
              </w:rPr>
            </w:pPr>
            <w:r>
              <w:rPr>
                <w:rFonts w:cs="宋体"/>
                <w:sz w:val="21"/>
                <w:szCs w:val="21"/>
              </w:rPr>
              <w:t>根据售后服务方案（退换服务、响应时间、人员安排、售后网点等）的全面性、科学性及对本项目的针对性强进行评分。</w:t>
            </w:r>
          </w:p>
          <w:p>
            <w:pPr>
              <w:keepNext w:val="0"/>
              <w:keepLines w:val="0"/>
              <w:pageBreakBefore w:val="0"/>
              <w:kinsoku/>
              <w:wordWrap/>
              <w:overflowPunct/>
              <w:topLinePunct w:val="0"/>
              <w:bidi w:val="0"/>
              <w:snapToGrid/>
              <w:spacing w:line="240" w:lineRule="auto"/>
              <w:ind w:left="-4" w:leftChars="-2" w:firstLine="2" w:firstLineChars="1"/>
              <w:jc w:val="left"/>
              <w:rPr>
                <w:rFonts w:hint="eastAsia" w:eastAsia="宋体" w:cs="宋体"/>
                <w:sz w:val="21"/>
                <w:szCs w:val="21"/>
                <w:lang w:eastAsia="zh-CN"/>
              </w:rPr>
            </w:pPr>
            <w:r>
              <w:rPr>
                <w:rFonts w:cs="宋体"/>
                <w:sz w:val="21"/>
                <w:szCs w:val="21"/>
              </w:rPr>
              <w:t>方案合理可行性强、内容详实完善、针对性强、服务迅速的得</w:t>
            </w:r>
            <w:r>
              <w:rPr>
                <w:rFonts w:hint="eastAsia" w:cs="宋体"/>
                <w:sz w:val="21"/>
                <w:szCs w:val="21"/>
                <w:lang w:val="en-US" w:eastAsia="zh-CN"/>
              </w:rPr>
              <w:t>8</w:t>
            </w:r>
            <w:r>
              <w:rPr>
                <w:rFonts w:cs="宋体"/>
                <w:sz w:val="21"/>
                <w:szCs w:val="21"/>
              </w:rPr>
              <w:t>分</w:t>
            </w:r>
            <w:r>
              <w:rPr>
                <w:rFonts w:hint="eastAsia" w:cs="宋体"/>
                <w:sz w:val="21"/>
                <w:szCs w:val="21"/>
                <w:lang w:eastAsia="zh-CN"/>
              </w:rPr>
              <w:t>；</w:t>
            </w:r>
          </w:p>
          <w:p>
            <w:pPr>
              <w:keepNext w:val="0"/>
              <w:keepLines w:val="0"/>
              <w:pageBreakBefore w:val="0"/>
              <w:kinsoku/>
              <w:wordWrap/>
              <w:overflowPunct/>
              <w:topLinePunct w:val="0"/>
              <w:bidi w:val="0"/>
              <w:snapToGrid/>
              <w:spacing w:line="240" w:lineRule="auto"/>
              <w:ind w:left="-4" w:leftChars="-2" w:firstLine="2" w:firstLineChars="1"/>
              <w:jc w:val="left"/>
              <w:rPr>
                <w:rFonts w:hint="eastAsia" w:eastAsia="宋体" w:cs="宋体"/>
                <w:sz w:val="21"/>
                <w:szCs w:val="21"/>
                <w:lang w:eastAsia="zh-CN"/>
              </w:rPr>
            </w:pPr>
            <w:r>
              <w:rPr>
                <w:rFonts w:cs="宋体"/>
                <w:sz w:val="21"/>
                <w:szCs w:val="21"/>
              </w:rPr>
              <w:t>方案可行、内容完整、服务时间满足采购人要求的得</w:t>
            </w:r>
            <w:r>
              <w:rPr>
                <w:rFonts w:hint="eastAsia" w:cs="宋体"/>
                <w:sz w:val="21"/>
                <w:szCs w:val="21"/>
                <w:lang w:val="en-US" w:eastAsia="zh-CN"/>
              </w:rPr>
              <w:t>5</w:t>
            </w:r>
            <w:r>
              <w:rPr>
                <w:rFonts w:cs="宋体"/>
                <w:sz w:val="21"/>
                <w:szCs w:val="21"/>
              </w:rPr>
              <w:t>分</w:t>
            </w:r>
            <w:r>
              <w:rPr>
                <w:rFonts w:hint="eastAsia" w:cs="宋体"/>
                <w:sz w:val="21"/>
                <w:szCs w:val="21"/>
                <w:lang w:eastAsia="zh-CN"/>
              </w:rPr>
              <w:t>；</w:t>
            </w:r>
          </w:p>
          <w:p>
            <w:pPr>
              <w:keepNext w:val="0"/>
              <w:keepLines w:val="0"/>
              <w:pageBreakBefore w:val="0"/>
              <w:kinsoku/>
              <w:wordWrap/>
              <w:overflowPunct/>
              <w:topLinePunct w:val="0"/>
              <w:bidi w:val="0"/>
              <w:snapToGrid/>
              <w:spacing w:line="240" w:lineRule="auto"/>
              <w:ind w:left="-4" w:leftChars="-2" w:firstLine="2" w:firstLineChars="1"/>
              <w:jc w:val="left"/>
              <w:rPr>
                <w:rFonts w:hint="eastAsia" w:asciiTheme="minorEastAsia" w:hAnsiTheme="minorEastAsia" w:eastAsiaTheme="minorEastAsia" w:cstheme="minorEastAsia"/>
                <w:spacing w:val="-6"/>
                <w:sz w:val="21"/>
                <w:szCs w:val="21"/>
              </w:rPr>
            </w:pPr>
            <w:r>
              <w:rPr>
                <w:rFonts w:cs="宋体"/>
                <w:sz w:val="21"/>
                <w:szCs w:val="21"/>
              </w:rPr>
              <w:t>方案有一定的可信性、内容简略、服务时间满足采购人要求的得</w:t>
            </w:r>
            <w:r>
              <w:rPr>
                <w:rFonts w:hint="eastAsia" w:cs="宋体"/>
                <w:sz w:val="21"/>
                <w:szCs w:val="21"/>
                <w:lang w:val="en-US" w:eastAsia="zh-CN"/>
              </w:rPr>
              <w:t>3</w:t>
            </w:r>
            <w:r>
              <w:rPr>
                <w:rFonts w:cs="宋体"/>
                <w:sz w:val="21"/>
                <w:szCs w:val="21"/>
              </w:rPr>
              <w:t>分</w:t>
            </w:r>
            <w:r>
              <w:rPr>
                <w:rFonts w:hint="eastAsia" w:cs="宋体"/>
                <w:sz w:val="21"/>
                <w:szCs w:val="21"/>
                <w:lang w:eastAsia="zh-CN"/>
              </w:rPr>
              <w:t>；</w:t>
            </w:r>
            <w:r>
              <w:rPr>
                <w:rFonts w:cs="宋体"/>
                <w:sz w:val="21"/>
                <w:szCs w:val="21"/>
              </w:rPr>
              <w:t>未提供或不能满足本项目需求 0 分。</w:t>
            </w:r>
          </w:p>
        </w:tc>
        <w:tc>
          <w:tcPr>
            <w:tcW w:w="664" w:type="dxa"/>
            <w:vAlign w:val="center"/>
          </w:tcPr>
          <w:p>
            <w:pPr>
              <w:keepNext w:val="0"/>
              <w:keepLines w:val="0"/>
              <w:pageBreakBefore w:val="0"/>
              <w:kinsoku/>
              <w:wordWrap/>
              <w:overflowPunct/>
              <w:topLinePunct w:val="0"/>
              <w:bidi w:val="0"/>
              <w:snapToGrid/>
              <w:spacing w:line="240" w:lineRule="auto"/>
              <w:ind w:left="-4" w:leftChars="-2" w:firstLine="1" w:firstLineChars="1"/>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z w:val="21"/>
                <w:szCs w:val="21"/>
              </w:rPr>
            </w:pPr>
          </w:p>
        </w:tc>
        <w:tc>
          <w:tcPr>
            <w:tcW w:w="1057" w:type="dxa"/>
            <w:vAlign w:val="center"/>
          </w:tcPr>
          <w:p>
            <w:pPr>
              <w:keepNext w:val="0"/>
              <w:keepLines w:val="0"/>
              <w:pageBreakBefore w:val="0"/>
              <w:widowControl/>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zCs w:val="21"/>
              </w:rPr>
              <w:t>应急响应</w:t>
            </w:r>
          </w:p>
        </w:tc>
        <w:tc>
          <w:tcPr>
            <w:tcW w:w="6831" w:type="dxa"/>
            <w:vAlign w:val="center"/>
          </w:tcPr>
          <w:p>
            <w:pPr>
              <w:keepNext w:val="0"/>
              <w:keepLines w:val="0"/>
              <w:pageBreakBefore w:val="0"/>
              <w:widowControl/>
              <w:kinsoku/>
              <w:wordWrap/>
              <w:overflowPunct/>
              <w:topLinePunct w:val="0"/>
              <w:bidi w:val="0"/>
              <w:snapToGrid/>
              <w:spacing w:line="24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根据供应商提供的应急方案，对如遇恶劣气候（暴风雪等）或疫情等特殊封闭期间能采取有效应急措施保证持续供货的处理描述及可性性进行综合评议：</w:t>
            </w:r>
          </w:p>
          <w:p>
            <w:pPr>
              <w:keepNext w:val="0"/>
              <w:keepLines w:val="0"/>
              <w:pageBreakBefore w:val="0"/>
              <w:kinsoku/>
              <w:wordWrap/>
              <w:overflowPunct/>
              <w:topLinePunct w:val="0"/>
              <w:bidi w:val="0"/>
              <w:snapToGrid/>
              <w:spacing w:line="240" w:lineRule="auto"/>
              <w:ind w:left="-4" w:leftChars="-2" w:firstLine="2" w:firstLineChars="1"/>
              <w:jc w:val="left"/>
              <w:rPr>
                <w:rFonts w:hint="eastAsia" w:eastAsia="宋体" w:cs="宋体"/>
                <w:sz w:val="21"/>
                <w:szCs w:val="21"/>
                <w:lang w:eastAsia="zh-CN"/>
              </w:rPr>
            </w:pPr>
            <w:r>
              <w:rPr>
                <w:rFonts w:cs="宋体"/>
                <w:sz w:val="21"/>
                <w:szCs w:val="21"/>
              </w:rPr>
              <w:t>方案合理可行性强、内容详实完善、针对性强、服务迅速的得</w:t>
            </w:r>
            <w:r>
              <w:rPr>
                <w:rFonts w:hint="eastAsia" w:cs="宋体"/>
                <w:sz w:val="21"/>
                <w:szCs w:val="21"/>
                <w:lang w:val="en-US" w:eastAsia="zh-CN"/>
              </w:rPr>
              <w:t>8</w:t>
            </w:r>
            <w:r>
              <w:rPr>
                <w:rFonts w:cs="宋体"/>
                <w:sz w:val="21"/>
                <w:szCs w:val="21"/>
              </w:rPr>
              <w:t>分</w:t>
            </w:r>
            <w:r>
              <w:rPr>
                <w:rFonts w:hint="eastAsia" w:cs="宋体"/>
                <w:sz w:val="21"/>
                <w:szCs w:val="21"/>
                <w:lang w:eastAsia="zh-CN"/>
              </w:rPr>
              <w:t>；</w:t>
            </w:r>
          </w:p>
          <w:p>
            <w:pPr>
              <w:keepNext w:val="0"/>
              <w:keepLines w:val="0"/>
              <w:pageBreakBefore w:val="0"/>
              <w:kinsoku/>
              <w:wordWrap/>
              <w:overflowPunct/>
              <w:topLinePunct w:val="0"/>
              <w:bidi w:val="0"/>
              <w:snapToGrid/>
              <w:spacing w:line="240" w:lineRule="auto"/>
              <w:ind w:left="-4" w:leftChars="-2" w:firstLine="2" w:firstLineChars="1"/>
              <w:jc w:val="left"/>
              <w:rPr>
                <w:rFonts w:hint="eastAsia" w:eastAsia="宋体" w:cs="宋体"/>
                <w:sz w:val="21"/>
                <w:szCs w:val="21"/>
                <w:lang w:eastAsia="zh-CN"/>
              </w:rPr>
            </w:pPr>
            <w:r>
              <w:rPr>
                <w:rFonts w:cs="宋体"/>
                <w:sz w:val="21"/>
                <w:szCs w:val="21"/>
              </w:rPr>
              <w:t>方案可行、内容完整、服务时间满足采购人要求的得</w:t>
            </w:r>
            <w:r>
              <w:rPr>
                <w:rFonts w:hint="eastAsia" w:cs="宋体"/>
                <w:sz w:val="21"/>
                <w:szCs w:val="21"/>
                <w:lang w:val="en-US" w:eastAsia="zh-CN"/>
              </w:rPr>
              <w:t>5</w:t>
            </w:r>
            <w:r>
              <w:rPr>
                <w:rFonts w:cs="宋体"/>
                <w:sz w:val="21"/>
                <w:szCs w:val="21"/>
              </w:rPr>
              <w:t>分</w:t>
            </w:r>
            <w:r>
              <w:rPr>
                <w:rFonts w:hint="eastAsia" w:cs="宋体"/>
                <w:sz w:val="21"/>
                <w:szCs w:val="21"/>
                <w:lang w:eastAsia="zh-CN"/>
              </w:rPr>
              <w:t>；</w:t>
            </w:r>
          </w:p>
          <w:p>
            <w:pPr>
              <w:keepNext w:val="0"/>
              <w:keepLines w:val="0"/>
              <w:pageBreakBefore w:val="0"/>
              <w:widowControl/>
              <w:kinsoku/>
              <w:wordWrap/>
              <w:overflowPunct/>
              <w:topLinePunct w:val="0"/>
              <w:bidi w:val="0"/>
              <w:snapToGrid/>
              <w:spacing w:line="240" w:lineRule="auto"/>
              <w:jc w:val="left"/>
              <w:rPr>
                <w:rFonts w:hint="eastAsia" w:asciiTheme="minorEastAsia" w:hAnsiTheme="minorEastAsia" w:eastAsiaTheme="minorEastAsia" w:cstheme="minorEastAsia"/>
                <w:spacing w:val="-6"/>
                <w:sz w:val="21"/>
                <w:szCs w:val="21"/>
              </w:rPr>
            </w:pPr>
            <w:r>
              <w:rPr>
                <w:rFonts w:cs="宋体"/>
                <w:sz w:val="21"/>
                <w:szCs w:val="21"/>
              </w:rPr>
              <w:t>方案有一定的可信性、内容简略、服务时间满足采购人要求的得</w:t>
            </w:r>
            <w:r>
              <w:rPr>
                <w:rFonts w:hint="eastAsia" w:cs="宋体"/>
                <w:sz w:val="21"/>
                <w:szCs w:val="21"/>
                <w:lang w:val="en-US" w:eastAsia="zh-CN"/>
              </w:rPr>
              <w:t>3</w:t>
            </w:r>
            <w:r>
              <w:rPr>
                <w:rFonts w:cs="宋体"/>
                <w:sz w:val="21"/>
                <w:szCs w:val="21"/>
              </w:rPr>
              <w:t>分</w:t>
            </w:r>
            <w:r>
              <w:rPr>
                <w:rFonts w:hint="eastAsia" w:cs="宋体"/>
                <w:sz w:val="21"/>
                <w:szCs w:val="21"/>
                <w:lang w:eastAsia="zh-CN"/>
              </w:rPr>
              <w:t>；</w:t>
            </w:r>
            <w:r>
              <w:rPr>
                <w:rFonts w:cs="宋体"/>
                <w:sz w:val="21"/>
                <w:szCs w:val="21"/>
              </w:rPr>
              <w:t>未提供或不能满足本项目需求 0 分。</w:t>
            </w:r>
          </w:p>
        </w:tc>
        <w:tc>
          <w:tcPr>
            <w:tcW w:w="664" w:type="dxa"/>
            <w:vAlign w:val="center"/>
          </w:tcPr>
          <w:p>
            <w:pPr>
              <w:keepNext w:val="0"/>
              <w:keepLines w:val="0"/>
              <w:pageBreakBefore w:val="0"/>
              <w:widowControl/>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z w:val="21"/>
                <w:szCs w:val="21"/>
              </w:rPr>
            </w:pPr>
          </w:p>
        </w:tc>
        <w:tc>
          <w:tcPr>
            <w:tcW w:w="10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lang w:eastAsia="zh-CN"/>
              </w:rPr>
            </w:pPr>
            <w:r>
              <w:rPr>
                <w:rFonts w:hint="eastAsia" w:asciiTheme="minorEastAsia" w:hAnsiTheme="minorEastAsia" w:eastAsiaTheme="minorEastAsia" w:cstheme="minorEastAsia"/>
                <w:spacing w:val="-6"/>
                <w:sz w:val="21"/>
                <w:szCs w:val="21"/>
              </w:rPr>
              <w:t>处罚措施</w:t>
            </w:r>
          </w:p>
        </w:tc>
        <w:tc>
          <w:tcPr>
            <w:tcW w:w="6831" w:type="dxa"/>
            <w:vAlign w:val="center"/>
          </w:tcPr>
          <w:p>
            <w:pPr>
              <w:keepNext w:val="0"/>
              <w:keepLines w:val="0"/>
              <w:pageBreakBefore w:val="0"/>
              <w:kinsoku/>
              <w:wordWrap/>
              <w:overflowPunct/>
              <w:topLinePunct w:val="0"/>
              <w:bidi w:val="0"/>
              <w:snapToGrid/>
              <w:spacing w:line="240" w:lineRule="auto"/>
              <w:jc w:val="both"/>
              <w:rPr>
                <w:rFonts w:hint="eastAsia" w:asciiTheme="minorEastAsia" w:hAnsiTheme="minorEastAsia" w:eastAsiaTheme="minorEastAsia" w:cstheme="minorEastAsia"/>
                <w:spacing w:val="-6"/>
                <w:sz w:val="21"/>
                <w:szCs w:val="21"/>
                <w:lang w:eastAsia="zh-CN"/>
              </w:rPr>
            </w:pPr>
            <w:r>
              <w:rPr>
                <w:rFonts w:hint="eastAsia" w:asciiTheme="minorEastAsia" w:hAnsiTheme="minorEastAsia" w:eastAsiaTheme="minorEastAsia" w:cstheme="minorEastAsia"/>
                <w:spacing w:val="-6"/>
                <w:sz w:val="21"/>
                <w:szCs w:val="21"/>
              </w:rPr>
              <w:t>根据</w:t>
            </w:r>
            <w:r>
              <w:rPr>
                <w:rFonts w:hint="eastAsia" w:asciiTheme="minorEastAsia" w:hAnsiTheme="minorEastAsia" w:eastAsiaTheme="minorEastAsia" w:cstheme="minorEastAsia"/>
                <w:spacing w:val="-6"/>
                <w:sz w:val="21"/>
                <w:szCs w:val="21"/>
                <w:lang w:eastAsia="zh-CN"/>
              </w:rPr>
              <w:t>采购人</w:t>
            </w:r>
            <w:r>
              <w:rPr>
                <w:rFonts w:hint="eastAsia" w:asciiTheme="minorEastAsia" w:hAnsiTheme="minorEastAsia" w:eastAsiaTheme="minorEastAsia" w:cstheme="minorEastAsia"/>
                <w:spacing w:val="-6"/>
                <w:sz w:val="21"/>
                <w:szCs w:val="21"/>
              </w:rPr>
              <w:t>提出采购计划能够按约定时间送达及未及时送达处罚措施作出相关承诺，罚则最严厉全面且 最具针对性的</w:t>
            </w:r>
            <w:r>
              <w:rPr>
                <w:rFonts w:hint="eastAsia" w:asciiTheme="minorEastAsia" w:hAnsiTheme="minorEastAsia" w:eastAsiaTheme="minorEastAsia" w:cstheme="minorEastAsia"/>
                <w:spacing w:val="-6"/>
                <w:sz w:val="21"/>
                <w:szCs w:val="21"/>
                <w:lang w:val="en-US" w:eastAsia="zh-CN"/>
              </w:rPr>
              <w:t>3</w:t>
            </w:r>
            <w:r>
              <w:rPr>
                <w:rFonts w:hint="eastAsia" w:asciiTheme="minorEastAsia" w:hAnsiTheme="minorEastAsia" w:eastAsiaTheme="minorEastAsia" w:cstheme="minorEastAsia"/>
                <w:spacing w:val="-6"/>
                <w:sz w:val="21"/>
                <w:szCs w:val="21"/>
              </w:rPr>
              <w:t>分，罚则较严厉全面且较具针对性的</w:t>
            </w:r>
            <w:r>
              <w:rPr>
                <w:rFonts w:hint="eastAsia" w:asciiTheme="minorEastAsia" w:hAnsiTheme="minorEastAsia" w:eastAsiaTheme="minorEastAsia" w:cstheme="minorEastAsia"/>
                <w:spacing w:val="-6"/>
                <w:sz w:val="21"/>
                <w:szCs w:val="21"/>
                <w:lang w:val="en-US" w:eastAsia="zh-CN"/>
              </w:rPr>
              <w:t>2</w:t>
            </w:r>
            <w:r>
              <w:rPr>
                <w:rFonts w:hint="eastAsia" w:asciiTheme="minorEastAsia" w:hAnsiTheme="minorEastAsia" w:eastAsiaTheme="minorEastAsia" w:cstheme="minorEastAsia"/>
                <w:spacing w:val="-6"/>
                <w:sz w:val="21"/>
                <w:szCs w:val="21"/>
              </w:rPr>
              <w:t>分，罚则不全面且针对性较弱的</w:t>
            </w:r>
            <w:r>
              <w:rPr>
                <w:rFonts w:hint="eastAsia" w:asciiTheme="minorEastAsia" w:hAnsiTheme="minorEastAsia" w:eastAsiaTheme="minorEastAsia" w:cstheme="minorEastAsia"/>
                <w:spacing w:val="-6"/>
                <w:sz w:val="21"/>
                <w:szCs w:val="21"/>
                <w:lang w:val="en-US" w:eastAsia="zh-CN"/>
              </w:rPr>
              <w:t>0</w:t>
            </w:r>
            <w:r>
              <w:rPr>
                <w:rFonts w:hint="eastAsia" w:asciiTheme="minorEastAsia" w:hAnsiTheme="minorEastAsia" w:eastAsiaTheme="minorEastAsia" w:cstheme="minorEastAsia"/>
                <w:spacing w:val="-6"/>
                <w:sz w:val="21"/>
                <w:szCs w:val="21"/>
              </w:rPr>
              <w:t>分；未提供的不得分</w:t>
            </w:r>
            <w:r>
              <w:rPr>
                <w:rFonts w:hint="eastAsia" w:asciiTheme="minorEastAsia" w:hAnsiTheme="minorEastAsia" w:eastAsiaTheme="minorEastAsia" w:cstheme="minorEastAsia"/>
                <w:spacing w:val="-6"/>
                <w:sz w:val="21"/>
                <w:szCs w:val="21"/>
                <w:lang w:eastAsia="zh-CN"/>
              </w:rPr>
              <w:t>。</w:t>
            </w:r>
          </w:p>
        </w:tc>
        <w:tc>
          <w:tcPr>
            <w:tcW w:w="664"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rPr>
          <w:rFonts w:hint="eastAsia" w:asciiTheme="minorEastAsia" w:hAnsiTheme="minorEastAsia" w:eastAsiaTheme="minorEastAsia" w:cstheme="minorEastAsia"/>
          <w:b/>
          <w:szCs w:val="21"/>
          <w:lang w:val="en-US" w:eastAsia="zh-CN"/>
        </w:rPr>
      </w:pPr>
      <w:bookmarkStart w:id="109" w:name="_Toc17963"/>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09"/>
    </w:p>
    <w:p>
      <w:pPr>
        <w:numPr>
          <w:ilvl w:val="3"/>
          <w:numId w:val="40"/>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41"/>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41"/>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41"/>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40"/>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40"/>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40"/>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0" w:name="_Toc9958"/>
      <w:r>
        <w:rPr>
          <w:rFonts w:hint="eastAsia" w:asciiTheme="minorEastAsia" w:hAnsiTheme="minorEastAsia" w:eastAsiaTheme="minorEastAsia" w:cstheme="minorEastAsia"/>
          <w:b/>
          <w:szCs w:val="21"/>
          <w:lang w:val="en-US" w:eastAsia="zh-CN"/>
        </w:rPr>
        <w:t>五、磋商及评审步骤</w:t>
      </w:r>
      <w:bookmarkEnd w:id="110"/>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11" w:name="_Toc211783328"/>
      <w:bookmarkStart w:id="112" w:name="_Toc318643471"/>
      <w:bookmarkStart w:id="113" w:name="_Toc13295"/>
      <w:r>
        <w:rPr>
          <w:rFonts w:hint="eastAsia" w:asciiTheme="minorEastAsia" w:hAnsiTheme="minorEastAsia" w:eastAsiaTheme="minorEastAsia" w:cstheme="minorEastAsia"/>
          <w:sz w:val="36"/>
          <w:szCs w:val="36"/>
        </w:rPr>
        <w:t>合同书</w:t>
      </w:r>
      <w:bookmarkEnd w:id="111"/>
      <w:bookmarkEnd w:id="112"/>
      <w:r>
        <w:rPr>
          <w:rFonts w:hint="eastAsia" w:asciiTheme="minorEastAsia" w:hAnsiTheme="minorEastAsia" w:eastAsiaTheme="minorEastAsia" w:cstheme="minorEastAsia"/>
          <w:sz w:val="36"/>
          <w:szCs w:val="36"/>
          <w:lang w:val="en-US" w:eastAsia="zh-CN"/>
        </w:rPr>
        <w:t>格式</w:t>
      </w:r>
      <w:bookmarkEnd w:id="113"/>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14" w:name="_Toc21018"/>
      <w:r>
        <w:rPr>
          <w:rFonts w:hint="eastAsia" w:asciiTheme="minorEastAsia" w:hAnsiTheme="minorEastAsia" w:eastAsiaTheme="minorEastAsia" w:cstheme="minorEastAsia"/>
          <w:sz w:val="36"/>
          <w:szCs w:val="36"/>
        </w:rPr>
        <w:t>竞争性磋商响应文件格式</w:t>
      </w:r>
      <w:bookmarkEnd w:id="114"/>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5" w:name="_Toc5751"/>
      <w:bookmarkStart w:id="116"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5"/>
    <w:bookmarkEnd w:id="116"/>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17" w:name="_Toc264644272"/>
      <w:bookmarkStart w:id="118" w:name="_Toc360174584"/>
      <w:bookmarkStart w:id="119" w:name="_Toc533331084"/>
      <w:bookmarkStart w:id="120" w:name="_Toc211783342"/>
      <w:bookmarkStart w:id="121" w:name="_Toc533330957"/>
      <w:bookmarkStart w:id="122" w:name="_Toc11320441"/>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7"/>
      <w:bookmarkEnd w:id="118"/>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eastAsia="宋体" w:cs="宋体"/>
          <w:b/>
          <w:sz w:val="21"/>
          <w:szCs w:val="21"/>
          <w:lang w:val="en-US" w:eastAsia="zh-CN"/>
        </w:rPr>
        <w:t>投标</w:t>
      </w:r>
      <w:r>
        <w:rPr>
          <w:rFonts w:hint="eastAsia" w:ascii="宋体" w:hAnsi="宋体" w:eastAsia="宋体" w:cs="宋体"/>
          <w:b/>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23" w:name="_Toc28401"/>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3"/>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24" w:name="_Toc15789"/>
      <w:bookmarkStart w:id="125" w:name="_Toc479184125"/>
      <w:bookmarkStart w:id="126" w:name="_Toc30144"/>
      <w:bookmarkStart w:id="127" w:name="_Toc1699"/>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4"/>
      <w:bookmarkEnd w:id="125"/>
      <w:bookmarkEnd w:id="126"/>
      <w:bookmarkEnd w:id="127"/>
    </w:p>
    <w:p>
      <w:pPr>
        <w:pStyle w:val="2"/>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42"/>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2"/>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2"/>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28" w:name="_Toc13969"/>
      <w:bookmarkStart w:id="129" w:name="_Toc11458"/>
      <w:bookmarkStart w:id="130" w:name="_Toc24205"/>
      <w:bookmarkStart w:id="131"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28"/>
      <w:bookmarkEnd w:id="129"/>
      <w:bookmarkEnd w:id="130"/>
      <w:bookmarkEnd w:id="131"/>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2" w:name="_Toc5618"/>
      <w:bookmarkStart w:id="133" w:name="_Toc12123"/>
      <w:bookmarkStart w:id="134" w:name="_Toc424832832"/>
      <w:bookmarkStart w:id="135" w:name="_Toc360120184"/>
      <w:bookmarkStart w:id="136" w:name="_Toc479184127"/>
      <w:bookmarkStart w:id="137" w:name="_Toc432149008"/>
      <w:bookmarkStart w:id="138" w:name="_Toc29904"/>
      <w:bookmarkStart w:id="139" w:name="_Toc30245"/>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2"/>
      <w:bookmarkEnd w:id="133"/>
      <w:bookmarkEnd w:id="134"/>
      <w:bookmarkEnd w:id="135"/>
      <w:bookmarkEnd w:id="136"/>
      <w:bookmarkEnd w:id="137"/>
      <w:bookmarkEnd w:id="138"/>
      <w:bookmarkEnd w:id="139"/>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0" w:name="_Toc422466732"/>
      <w:bookmarkStart w:id="141" w:name="_Toc432149006"/>
      <w:r>
        <w:rPr>
          <w:rFonts w:hint="eastAsia" w:asciiTheme="minorEastAsia" w:hAnsiTheme="minorEastAsia" w:eastAsiaTheme="minorEastAsia" w:cstheme="minorEastAsia"/>
          <w:b/>
          <w:bCs/>
          <w:sz w:val="24"/>
        </w:rPr>
        <w:br w:type="page"/>
      </w:r>
      <w:bookmarkStart w:id="142" w:name="_Toc29996"/>
      <w:bookmarkStart w:id="143" w:name="_Toc479184128"/>
      <w:bookmarkStart w:id="144" w:name="_Toc4741"/>
      <w:bookmarkStart w:id="145" w:name="_Toc4301"/>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40"/>
      <w:bookmarkEnd w:id="141"/>
      <w:bookmarkEnd w:id="142"/>
      <w:bookmarkEnd w:id="143"/>
      <w:bookmarkEnd w:id="144"/>
      <w:bookmarkEnd w:id="145"/>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default" w:eastAsia="宋体" w:asciiTheme="minorEastAsia" w:hAnsiTheme="minorEastAsia" w:cstheme="minorEastAsia"/>
                <w:szCs w:val="21"/>
                <w:lang w:val="en-US" w:eastAsia="zh-CN"/>
              </w:rPr>
            </w:pPr>
            <w:r>
              <w:rPr>
                <w:rFonts w:hint="eastAsia" w:ascii="宋体" w:hAnsi="宋体"/>
                <w:bCs/>
                <w:color w:val="000000" w:themeColor="text1"/>
                <w:szCs w:val="21"/>
                <w14:textFill>
                  <w14:solidFill>
                    <w14:schemeClr w14:val="tx1"/>
                  </w14:solidFill>
                </w14:textFill>
              </w:rPr>
              <w:t>非基药报价（综合单价的汇总价）</w:t>
            </w:r>
            <w:r>
              <w:rPr>
                <w:rFonts w:hint="eastAsia" w:ascii="宋体" w:hAnsi="宋体"/>
                <w:bCs/>
                <w:color w:val="000000" w:themeColor="text1"/>
                <w:szCs w:val="21"/>
                <w:u w:val="single"/>
                <w:lang w:val="en-US" w:eastAsia="zh-CN"/>
                <w14:textFill>
                  <w14:solidFill>
                    <w14:schemeClr w14:val="tx1"/>
                  </w14:solidFill>
                </w14:textFill>
              </w:rPr>
              <w:t xml:space="preserve">     </w:t>
            </w:r>
            <w:r>
              <w:rPr>
                <w:rFonts w:hint="eastAsia" w:ascii="宋体" w:hAnsi="宋体"/>
                <w:bCs/>
                <w:color w:val="000000" w:themeColor="text1"/>
                <w:szCs w:val="21"/>
                <w:u w:val="none"/>
                <w:lang w:val="en-US" w:eastAsia="zh-CN"/>
                <w14:textFill>
                  <w14:solidFill>
                    <w14:schemeClr w14:val="tx1"/>
                  </w14:solidFill>
                </w14:textFill>
              </w:rPr>
              <w:t>元，医用</w:t>
            </w:r>
            <w:r>
              <w:rPr>
                <w:rFonts w:hint="eastAsia" w:ascii="宋体" w:hAnsi="宋体"/>
                <w:bCs/>
                <w:color w:val="000000" w:themeColor="text1"/>
                <w:szCs w:val="21"/>
                <w:lang w:eastAsia="zh-CN"/>
                <w14:textFill>
                  <w14:solidFill>
                    <w14:schemeClr w14:val="tx1"/>
                  </w14:solidFill>
                </w14:textFill>
              </w:rPr>
              <w:t>耗材</w:t>
            </w:r>
            <w:r>
              <w:rPr>
                <w:rFonts w:hint="eastAsia" w:ascii="宋体" w:hAnsi="宋体"/>
                <w:bCs/>
                <w:color w:val="000000" w:themeColor="text1"/>
                <w:szCs w:val="21"/>
                <w:u w:val="single"/>
                <w:lang w:val="en-US" w:eastAsia="zh-CN"/>
                <w14:textFill>
                  <w14:solidFill>
                    <w14:schemeClr w14:val="tx1"/>
                  </w14:solidFill>
                </w14:textFill>
              </w:rPr>
              <w:t xml:space="preserve">      </w:t>
            </w:r>
            <w:r>
              <w:rPr>
                <w:rFonts w:hint="eastAsia" w:ascii="宋体" w:hAnsi="宋体"/>
                <w:bCs/>
                <w:color w:val="000000" w:themeColor="text1"/>
                <w:szCs w:val="21"/>
                <w:lang w:val="en-US" w:eastAsia="zh-CN"/>
                <w14:textFill>
                  <w14:solidFill>
                    <w14:schemeClr w14:val="tx1"/>
                  </w14:solidFill>
                </w14:textFill>
              </w:rPr>
              <w:t>元，</w:t>
            </w:r>
            <w:r>
              <w:rPr>
                <w:rFonts w:hint="eastAsia" w:ascii="宋体" w:hAnsi="宋体"/>
                <w:bCs/>
                <w:color w:val="000000" w:themeColor="text1"/>
                <w:szCs w:val="21"/>
                <w:lang w:eastAsia="zh-CN"/>
                <w14:textFill>
                  <w14:solidFill>
                    <w14:schemeClr w14:val="tx1"/>
                  </w14:solidFill>
                </w14:textFill>
              </w:rPr>
              <w:t>中药材</w:t>
            </w:r>
            <w:r>
              <w:rPr>
                <w:rFonts w:hint="eastAsia" w:ascii="宋体" w:hAnsi="宋体"/>
                <w:bCs/>
                <w:color w:val="000000" w:themeColor="text1"/>
                <w:szCs w:val="21"/>
                <w:u w:val="single"/>
                <w:lang w:val="en-US" w:eastAsia="zh-CN"/>
                <w14:textFill>
                  <w14:solidFill>
                    <w14:schemeClr w14:val="tx1"/>
                  </w14:solidFill>
                </w14:textFill>
              </w:rPr>
              <w:t xml:space="preserve">      </w:t>
            </w:r>
            <w:r>
              <w:rPr>
                <w:rFonts w:hint="eastAsia" w:ascii="宋体" w:hAnsi="宋体"/>
                <w:bCs/>
                <w:color w:val="000000" w:themeColor="text1"/>
                <w:szCs w:val="21"/>
                <w:u w:val="none"/>
                <w:lang w:val="en-US" w:eastAsia="zh-CN"/>
                <w14:textFill>
                  <w14:solidFill>
                    <w14:schemeClr w14:val="tx1"/>
                  </w14:solidFill>
                </w14:textFill>
              </w:rPr>
              <w:t xml:space="preserve">元 </w:t>
            </w:r>
            <w:r>
              <w:rPr>
                <w:rFonts w:hint="eastAsia" w:ascii="宋体" w:hAnsi="宋体"/>
                <w:bCs/>
                <w:color w:val="000000" w:themeColor="text1"/>
                <w:szCs w:val="21"/>
                <w:u w:val="single"/>
                <w:lang w:val="en-US" w:eastAsia="zh-CN"/>
                <w14:textFill>
                  <w14:solidFill>
                    <w14:schemeClr w14:val="tx1"/>
                  </w14:solidFill>
                </w14:textFill>
              </w:rPr>
              <w:t xml:space="preserve"> </w:t>
            </w: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宋体" w:hAnsi="宋体"/>
          <w:b/>
          <w:bCs/>
          <w:szCs w:val="21"/>
        </w:rPr>
      </w:pPr>
      <w:bookmarkStart w:id="146" w:name="_Toc259028723"/>
      <w:bookmarkStart w:id="147" w:name="_Toc460258117"/>
      <w:bookmarkStart w:id="148" w:name="_Toc432149007"/>
      <w:bookmarkStart w:id="149" w:name="_Toc424832831"/>
      <w:r>
        <w:rPr>
          <w:rFonts w:hint="eastAsia" w:asciiTheme="minorEastAsia" w:hAnsiTheme="minorEastAsia" w:eastAsiaTheme="minorEastAsia" w:cstheme="minorEastAsia"/>
          <w:b/>
          <w:bCs/>
          <w:sz w:val="24"/>
        </w:rPr>
        <w:br w:type="page"/>
      </w:r>
      <w:bookmarkStart w:id="150" w:name="_Toc16079"/>
      <w:bookmarkStart w:id="151" w:name="_Toc1079"/>
      <w:bookmarkStart w:id="152" w:name="_Toc479184129"/>
      <w:bookmarkStart w:id="153" w:name="_Toc18559"/>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46"/>
      <w:bookmarkEnd w:id="147"/>
      <w:bookmarkEnd w:id="150"/>
      <w:bookmarkEnd w:id="151"/>
      <w:bookmarkEnd w:id="152"/>
      <w:bookmarkEnd w:id="153"/>
      <w:bookmarkStart w:id="154" w:name="_Toc13515882"/>
      <w:r>
        <w:rPr>
          <w:rFonts w:hint="eastAsia" w:ascii="宋体" w:hAnsi="宋体"/>
          <w:b/>
          <w:bCs/>
          <w:szCs w:val="21"/>
        </w:rPr>
        <w:t>分项报价表</w:t>
      </w:r>
      <w:bookmarkEnd w:id="154"/>
    </w:p>
    <w:p>
      <w:pPr>
        <w:pStyle w:val="2"/>
        <w:numPr>
          <w:ilvl w:val="0"/>
          <w:numId w:val="0"/>
        </w:numPr>
        <w:ind w:leftChars="0"/>
        <w:rPr>
          <w:rFonts w:hint="eastAsia"/>
        </w:rPr>
      </w:pPr>
      <w:r>
        <w:rPr>
          <w:rFonts w:hint="eastAsia" w:ascii="宋体" w:hAnsi="宋体" w:cs="宋体"/>
          <w:b/>
          <w:color w:val="000000"/>
          <w:kern w:val="0"/>
          <w:szCs w:val="21"/>
          <w:lang w:eastAsia="zh-CN" w:bidi="ar"/>
        </w:rPr>
        <w:t>一、</w:t>
      </w:r>
      <w:r>
        <w:rPr>
          <w:rFonts w:hint="eastAsia" w:ascii="宋体" w:hAnsi="宋体" w:cs="宋体"/>
          <w:b/>
          <w:color w:val="000000"/>
          <w:kern w:val="0"/>
          <w:szCs w:val="21"/>
          <w:lang w:bidi="ar"/>
        </w:rPr>
        <w:t>非基本药物清单</w:t>
      </w:r>
    </w:p>
    <w:tbl>
      <w:tblPr>
        <w:tblStyle w:val="26"/>
        <w:tblW w:w="0" w:type="auto"/>
        <w:tblInd w:w="0" w:type="dxa"/>
        <w:tblLayout w:type="fixed"/>
        <w:tblCellMar>
          <w:top w:w="0" w:type="dxa"/>
          <w:left w:w="0" w:type="dxa"/>
          <w:bottom w:w="0" w:type="dxa"/>
          <w:right w:w="0" w:type="dxa"/>
        </w:tblCellMar>
      </w:tblPr>
      <w:tblGrid>
        <w:gridCol w:w="850"/>
        <w:gridCol w:w="2205"/>
        <w:gridCol w:w="1161"/>
        <w:gridCol w:w="2311"/>
        <w:gridCol w:w="1189"/>
        <w:gridCol w:w="1085"/>
        <w:gridCol w:w="859"/>
      </w:tblGrid>
      <w:tr>
        <w:tblPrEx>
          <w:tblCellMar>
            <w:top w:w="0" w:type="dxa"/>
            <w:left w:w="0" w:type="dxa"/>
            <w:bottom w:w="0" w:type="dxa"/>
            <w:right w:w="0" w:type="dxa"/>
          </w:tblCellMar>
        </w:tblPrEx>
        <w:trPr>
          <w:trHeight w:val="419" w:hRule="atLeast"/>
        </w:trPr>
        <w:tc>
          <w:tcPr>
            <w:tcW w:w="850"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通用名</w:t>
            </w:r>
          </w:p>
        </w:tc>
        <w:tc>
          <w:tcPr>
            <w:tcW w:w="1161"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规格</w:t>
            </w:r>
          </w:p>
        </w:tc>
        <w:tc>
          <w:tcPr>
            <w:tcW w:w="2311"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厂家</w:t>
            </w:r>
          </w:p>
        </w:tc>
        <w:tc>
          <w:tcPr>
            <w:tcW w:w="1189"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中标价</w:t>
            </w:r>
          </w:p>
        </w:tc>
        <w:tc>
          <w:tcPr>
            <w:tcW w:w="1085"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是否基药</w:t>
            </w:r>
          </w:p>
        </w:tc>
        <w:tc>
          <w:tcPr>
            <w:tcW w:w="859"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w:t>
            </w: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default"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复方氨林巴比妥注射液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2ml*10支</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山东新华制药股份有限公司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0.65/</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注射用头孢噻肟钠</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瑞阳制药有限公司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氧氟沙星滴眼液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5ml:15mg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江苏普华克胜药业有限公司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复方酮康唑软膏(新亚康王)</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上海新亚药业闵行有限公司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1.483/</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复方穿心莲片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12s*2板 糖衣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广西天天乐药业股份有限公司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哈西奈德溶液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 10ml</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浙江奥瑞特制药有限公司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1.908/</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盐酸特比萘芬喷雾剂</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10ml:0.1g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广东彼迪药业有限公司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10.91/</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麦迪霉素片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0.1g*12s*2板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宜昌人福药业有限责任公司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10.99/</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艾司奥美拉唑镁肠溶片(耐信)</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40mg*7s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阿斯利康制药有限公司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盐酸特比萘芬喷雾剂</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10ml:0.1g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广东彼迪药业有限公司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注射用炎琥宁</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80mg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重庆药友制药有限责任公司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13.59/</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利培酮口服液(维思通)</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30ml:30mg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西安杨森制药有限公司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144.34/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布地奈德福莫特罗粉吸入剂(信必可都保)</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80μg:4.5μg*60吸</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瑞典AstraZeneca AB</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158.26/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厄贝沙坦片(安来)</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75mg*7s*4板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浙江华海药业股份有限公司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17.276/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苯扎氯铵贴(邦廸)</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2.5cm*1.8cm*100片</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上海强生有限公司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49"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铝碳酸镁咀嚼片(达喜)</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0.5g*30s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拜耳医药保健有限公司委托拜耳医药保健有限公司启东分公司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京都念慈菴蜜炼川贝枇杷膏</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75ml</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京都念慈菴总厂有限公司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丙戊酸镁片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0.2g*60s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湖南省湘中制药有限公司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20.82/</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丹皮酚软膏</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长春普华制药股份有限公司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维生素C泡腾片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0.5g*10s*2瓶</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南京亿华药业有限公司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21.41/</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多维元素片(26)(金施尔康)</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中美上海施贵宝制药有限公司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康复新液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内蒙古京新药业有限公司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24.55/</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盐酸氨溴索注射液(沐舒坦)</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2ml:15mg*5支</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上海勃林格殷格翰药业有限公司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25.22/</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地榆升白片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0.1g*20s*2板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成都地奥集团天府药业股份有限公司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辅酶Q10片(能气朗)</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10mg*10s*3板 糖衣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卫材(中国)药业有限公司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辅酶Q10片(能气朗)</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10mg*10s*3板 糖衣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卫材(中国)药业有限公司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注射用奥美拉唑钠</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60mg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悦康药业集团有限公司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27.17/</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49"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琥珀酸美托洛尔缓释片(倍他乐克)</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47.5mg*7s*4板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阿斯利康制药有限公司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胃康灵颗粒</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4g*10袋</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黑龙江葵花药业股份有限公司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尼麦角林片(乐喜林)</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10mg*12s*2板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昆山龙灯瑞迪制药有限公司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尼麦角林片(乐喜林)</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10mg*12s*2板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昆山龙灯瑞迪制药有限公司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多维元素片(29-Ⅱ)</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惠氏制药有限公司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28.94/</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利培酮口崩片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1mg*10s*2板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常州四药制药有限公司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29.84/</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吡诺克辛钠滴眼液(白内停)</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15ml:0.8mg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湖北远大天天明制药有限公司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通窍鼻炎颗粒</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2g*9袋</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成都迪康药业有限公司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31.39/</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泮托拉唑钠肠溶胶囊</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40mg*7s*1板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福州闽海药业有限公司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骨通贴膏(聚异丁烯型)</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8cm*13cm*2贴*3袋</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桂林华润天和药业有限公司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w:t>
            </w:r>
            <w:r>
              <w:rPr>
                <w:rFonts w:hint="eastAsia" w:ascii="宋体" w:hAnsi="宋体" w:eastAsia="宋体" w:cs="宋体"/>
                <w:i w:val="0"/>
                <w:color w:val="000000"/>
                <w:kern w:val="0"/>
                <w:sz w:val="20"/>
                <w:szCs w:val="20"/>
                <w:u w:val="none"/>
                <w:lang w:val="en-US" w:eastAsia="zh-CN" w:bidi="ar"/>
              </w:rPr>
              <w:t>袋</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49"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黄芪片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0.41g*12s*4板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四川奇力制药有限公司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36.09/</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盐酸安非他酮片(乐孚亭)</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75mg*7s*2板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万特制药(海南)有限公司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37.17/</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泮托拉唑钠肠溶胶囊(泮立苏)</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40mg*7s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杭州中美华东制药有限公司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风油精</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3ml</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湖北康源药业有限公司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碳酸钙维D3元素片(4)</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惠氏制药有限公司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迈之灵片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0.15g*20s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德国礼达大药厂</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迈之灵片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0.15g*20s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德国礼达大药厂</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49"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玻璃酸钠滴眼液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 0.4ml*10支</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齐鲁制药有限公司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43.13/</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盐酸齐拉西酮胶囊(思贝格)</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20mg*10s*2板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江苏恩华药业股份有限公司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盐酸齐拉西酮胶囊(思贝格)</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20mg*10s*2板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江苏恩华药业股份有限公司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碘甘油</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20ml</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上海运佳黄浦制药有限公司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复方氨基酸注射液(3AA)</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250ml:10.65g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天津金耀集团湖北天药药业股份有限公司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5.62/</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甘草酸二铵注射液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10ml:50mg*5支</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上海现代哈森(商丘)药业有限公司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氟哌噻吨美利曲辛片(黛力新)</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10s*2板 糖衣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丹麦H.Lundbeck A/S</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51.89/</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阿托伐他汀钙片(立普妥)</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10mg*7s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辉瑞制药有限公司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52.71/</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布洛芬混悬液(美林)</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30ml:0.6g 30ml</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上海强生制药有限公司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6.07/</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复方苦参水杨酸散</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40g*3袋</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上海运佳黄浦制药有限公司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双氯芬酸钠栓</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50mg*5s*2板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湖北东信药业有限公司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6.39/</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香丹注射液</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20ml*3支</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四川升和药业股份有限公司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6.86/</w:t>
            </w:r>
            <w:r>
              <w:rPr>
                <w:rFonts w:hint="eastAsia" w:ascii="宋体" w:hAnsi="宋体" w:eastAsia="宋体" w:cs="宋体"/>
                <w:i w:val="0"/>
                <w:color w:val="000000"/>
                <w:kern w:val="0"/>
                <w:sz w:val="20"/>
                <w:szCs w:val="20"/>
                <w:u w:val="none"/>
                <w:lang w:val="en-US" w:eastAsia="zh-CN" w:bidi="ar"/>
              </w:rPr>
              <w:t>支</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丙戊酸镁缓释片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0.25g*48s</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湖南省湘中制药有限公司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64.44/</w:t>
            </w:r>
            <w:r>
              <w:rPr>
                <w:rFonts w:hint="eastAsia" w:ascii="宋体" w:hAnsi="宋体" w:eastAsia="宋体" w:cs="宋体"/>
                <w:i w:val="0"/>
                <w:color w:val="000000"/>
                <w:kern w:val="0"/>
                <w:sz w:val="20"/>
                <w:szCs w:val="20"/>
                <w:u w:val="none"/>
                <w:lang w:val="en-US" w:eastAsia="zh-CN" w:bidi="ar"/>
              </w:rPr>
              <w:t>瓶</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补肺丸</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9g*10s*4板 大蜜丸</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甘肃省西峰制药有限责任公司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65.55/</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丙酸氟替卡松鼻喷雾剂(辅舒良)</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50μg*120喷</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西班牙Glaxo Wellcome S.A.</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68.08/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双氯芬酸二乙胺乳胶剂</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50g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瑞士Novartis Consumer Health SA</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69.8/</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注射用泮托拉唑钠</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40mg</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河南辅仁怀庆堂制药有限公司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盐酸安非他酮缓释片</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0.15g*7s*2板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万特制药(海南)有限公司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71.96/</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托吡酯片(妥泰)</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25mg*60s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西安杨森制药有限公司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80.21/</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阿卡波糖片(卡博平)</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50mg*15s*2板</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杭州中美华东制药有限公司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80.27/</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8"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盐酸舍曲林片(左洛复)</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50mg*14s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辉瑞制药有限公司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81.73/</w:t>
            </w:r>
            <w:r>
              <w:rPr>
                <w:rFonts w:hint="eastAsia" w:ascii="宋体" w:hAnsi="宋体" w:eastAsia="宋体" w:cs="宋体"/>
                <w:i w:val="0"/>
                <w:color w:val="000000"/>
                <w:kern w:val="0"/>
                <w:sz w:val="20"/>
                <w:szCs w:val="20"/>
                <w:u w:val="none"/>
                <w:lang w:val="en-US" w:eastAsia="zh-CN" w:bidi="ar"/>
              </w:rPr>
              <w:t>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49" w:hRule="atLeast"/>
        </w:trPr>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45"/>
              </w:numPr>
              <w:suppressLineNumbers w:val="0"/>
              <w:ind w:left="425" w:leftChars="0" w:hanging="425"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氨酚伪麻美芬片/氨麻美敏片Ⅱ(日夜百服咛)</w:t>
            </w:r>
          </w:p>
        </w:tc>
        <w:tc>
          <w:tcPr>
            <w:tcW w:w="11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12s 薄膜衣</w:t>
            </w:r>
          </w:p>
        </w:tc>
        <w:tc>
          <w:tcPr>
            <w:tcW w:w="23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中美上海施贵宝制药有限公司</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9.5/盒</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非基药</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78" w:hRule="atLeast"/>
        </w:trPr>
        <w:tc>
          <w:tcPr>
            <w:tcW w:w="8801"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tabs>
          <w:tab w:val="left" w:pos="540"/>
        </w:tabs>
        <w:autoSpaceDE w:val="0"/>
        <w:autoSpaceDN w:val="0"/>
        <w:adjustRightInd w:val="0"/>
        <w:spacing w:line="360" w:lineRule="auto"/>
        <w:jc w:val="center"/>
        <w:outlineLvl w:val="9"/>
        <w:rPr>
          <w:rFonts w:hint="eastAsia" w:ascii="宋体" w:hAnsi="宋体"/>
          <w:b/>
          <w:bCs/>
          <w:szCs w:val="21"/>
        </w:rPr>
      </w:pPr>
    </w:p>
    <w:p>
      <w:pPr>
        <w:rPr>
          <w:rFonts w:hint="eastAsia" w:ascii="宋体" w:hAnsi="宋体"/>
          <w:b/>
          <w:bCs/>
          <w:szCs w:val="21"/>
          <w:lang w:eastAsia="zh-CN"/>
        </w:rPr>
      </w:pPr>
      <w:r>
        <w:rPr>
          <w:rFonts w:hint="eastAsia" w:ascii="宋体" w:hAnsi="宋体"/>
          <w:b/>
          <w:bCs/>
          <w:szCs w:val="21"/>
          <w:lang w:eastAsia="zh-CN"/>
        </w:rPr>
        <w:t>注：</w:t>
      </w:r>
      <w:r>
        <w:rPr>
          <w:rFonts w:hint="eastAsia" w:asciiTheme="minorEastAsia" w:hAnsiTheme="minorEastAsia" w:eastAsiaTheme="minorEastAsia" w:cstheme="minorEastAsia"/>
          <w:b/>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综合</w:t>
      </w:r>
      <w:r>
        <w:rPr>
          <w:rFonts w:hint="eastAsia" w:asciiTheme="minorEastAsia" w:hAnsiTheme="minorEastAsia" w:eastAsiaTheme="minorEastAsia" w:cstheme="minorEastAsia"/>
          <w:b/>
          <w:bCs/>
          <w:color w:val="000000" w:themeColor="text1"/>
          <w:szCs w:val="21"/>
          <w14:textFill>
            <w14:solidFill>
              <w14:schemeClr w14:val="tx1"/>
            </w14:solidFill>
          </w14:textFill>
        </w:rPr>
        <w:t>单价报价</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不得超过</w:t>
      </w:r>
      <w:r>
        <w:rPr>
          <w:rFonts w:hint="eastAsia" w:asciiTheme="minorEastAsia" w:hAnsiTheme="minorEastAsia" w:eastAsiaTheme="minorEastAsia" w:cstheme="minorEastAsia"/>
          <w:b/>
          <w:bCs/>
          <w:color w:val="000000" w:themeColor="text1"/>
          <w:szCs w:val="21"/>
          <w14:textFill>
            <w14:solidFill>
              <w14:schemeClr w14:val="tx1"/>
            </w14:solidFill>
          </w14:textFill>
        </w:rPr>
        <w:t>市场统一中标价</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w:t>
      </w:r>
      <w:r>
        <w:rPr>
          <w:rFonts w:hint="eastAsia" w:ascii="宋体" w:hAnsi="宋体"/>
          <w:b/>
          <w:bCs/>
          <w:szCs w:val="21"/>
          <w:lang w:eastAsia="zh-CN"/>
        </w:rPr>
        <w:br w:type="page"/>
      </w:r>
    </w:p>
    <w:p>
      <w:pPr>
        <w:widowControl/>
        <w:numPr>
          <w:ilvl w:val="0"/>
          <w:numId w:val="0"/>
        </w:numPr>
        <w:jc w:val="both"/>
        <w:rPr>
          <w:rFonts w:hint="eastAsia" w:ascii="宋体" w:hAnsi="宋体" w:cs="宋体"/>
          <w:b/>
          <w:color w:val="000000"/>
          <w:kern w:val="0"/>
          <w:szCs w:val="21"/>
          <w:lang w:eastAsia="zh-CN" w:bidi="ar"/>
        </w:rPr>
      </w:pPr>
      <w:r>
        <w:rPr>
          <w:rFonts w:hint="eastAsia" w:ascii="宋体" w:hAnsi="宋体"/>
          <w:b/>
          <w:bCs/>
          <w:szCs w:val="21"/>
          <w:lang w:eastAsia="zh-CN"/>
        </w:rPr>
        <w:t>二、医用</w:t>
      </w:r>
      <w:r>
        <w:rPr>
          <w:rFonts w:hint="eastAsia" w:ascii="宋体" w:hAnsi="宋体" w:cs="宋体"/>
          <w:b/>
          <w:color w:val="000000"/>
          <w:kern w:val="0"/>
          <w:szCs w:val="21"/>
          <w:lang w:eastAsia="zh-CN" w:bidi="ar"/>
        </w:rPr>
        <w:t>耗材清单</w:t>
      </w:r>
    </w:p>
    <w:p>
      <w:pPr>
        <w:tabs>
          <w:tab w:val="left" w:pos="540"/>
        </w:tabs>
        <w:autoSpaceDE w:val="0"/>
        <w:autoSpaceDN w:val="0"/>
        <w:adjustRightInd w:val="0"/>
        <w:spacing w:line="360" w:lineRule="auto"/>
        <w:jc w:val="center"/>
        <w:outlineLvl w:val="9"/>
        <w:rPr>
          <w:rFonts w:hint="eastAsia" w:ascii="宋体" w:hAnsi="宋体" w:eastAsia="宋体"/>
          <w:b/>
          <w:bCs/>
          <w:szCs w:val="21"/>
          <w:lang w:eastAsia="zh-CN"/>
        </w:rPr>
      </w:pPr>
    </w:p>
    <w:tbl>
      <w:tblPr>
        <w:tblStyle w:val="26"/>
        <w:tblW w:w="0" w:type="auto"/>
        <w:tblInd w:w="0" w:type="dxa"/>
        <w:tblLayout w:type="fixed"/>
        <w:tblCellMar>
          <w:top w:w="0" w:type="dxa"/>
          <w:left w:w="0" w:type="dxa"/>
          <w:bottom w:w="0" w:type="dxa"/>
          <w:right w:w="0" w:type="dxa"/>
        </w:tblCellMar>
      </w:tblPr>
      <w:tblGrid>
        <w:gridCol w:w="828"/>
        <w:gridCol w:w="1653"/>
        <w:gridCol w:w="1050"/>
        <w:gridCol w:w="2055"/>
        <w:gridCol w:w="1529"/>
        <w:gridCol w:w="1012"/>
        <w:gridCol w:w="609"/>
        <w:gridCol w:w="870"/>
      </w:tblGrid>
      <w:tr>
        <w:tblPrEx>
          <w:tblCellMar>
            <w:top w:w="0" w:type="dxa"/>
            <w:left w:w="0" w:type="dxa"/>
            <w:bottom w:w="0" w:type="dxa"/>
            <w:right w:w="0" w:type="dxa"/>
          </w:tblCellMar>
        </w:tblPrEx>
        <w:trPr>
          <w:trHeight w:val="453" w:hRule="atLeast"/>
        </w:trPr>
        <w:tc>
          <w:tcPr>
            <w:tcW w:w="828"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序号</w:t>
            </w:r>
          </w:p>
        </w:tc>
        <w:tc>
          <w:tcPr>
            <w:tcW w:w="1653"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通用名</w:t>
            </w:r>
          </w:p>
        </w:tc>
        <w:tc>
          <w:tcPr>
            <w:tcW w:w="1050"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产品属性</w:t>
            </w:r>
          </w:p>
        </w:tc>
        <w:tc>
          <w:tcPr>
            <w:tcW w:w="2055"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1529"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厂家</w:t>
            </w:r>
          </w:p>
        </w:tc>
        <w:tc>
          <w:tcPr>
            <w:tcW w:w="1012"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中标价</w:t>
            </w:r>
          </w:p>
        </w:tc>
        <w:tc>
          <w:tcPr>
            <w:tcW w:w="609"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BEBEBE"/>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w:t>
            </w: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丙型肝炎试纸条</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抗HCV标准物质（丙肝）0.5ml*6支/盒（HCV三代）</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珠海丽珠试剂股份有限公司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87.31</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采血针</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CXZ-A（软接式）0.55*18TW、0.7*18TW、0.8*18TW、0.9*18TW</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浏阳市三力医用科技发展有限公司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大便器</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40ml</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江苏康健华医疗用品有限公司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单用听诊器</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器械</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单用 全铜听头</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江苏鱼跃医疗设备股份有限公司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01"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检查手套</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各规格型号（大、中、小）</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河南省戈尔医疗器械有限公司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56"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梅毒检测卡</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梅毒螺旋体抗体检测试剂盒(胶体金法)、条型，单人份、50人份/盒</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艾博生物医药（杭州）有限公司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人份</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棉签（10CM)</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10cm20支/包</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河南省戈尔医疗器械有限公司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0.012</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石膏绷带</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15*500cm</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广州中誉医疗器械有限公司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石膏绷带（粘胶型）</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10cm*500cm</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广州中誉医疗器械有限公司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4"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输液器</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0.45×16 RW SB、0.5×19 RW LB、0.55×19 RW LB、0.6×25 TW LB、 0.7×25 TW LB、0.8×27 TW LB、0.9×27 TW LB、1.2×31 TW LB</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河南曙光健士医疗器械集团股份有限公司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输液贴</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70*35  1片/包</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河南曙光健士医疗器械集团股份有限公司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0.192</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无菌注射器</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1ml、2.5ml、5ml</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56"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血糖试纸</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稳豪100片/盒</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LifeScan Europe</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340.3</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血糖仪</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器械</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NC 各规格型号</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德国 Roche Diagnostics GmbH</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324.72</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压敏胶带</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9.14m×1.25cm</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明尼苏达矿业制造（上海）国际贸易有限公司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一次性口罩17.5*9.5三层</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三层有卡长带（常规）、三层挂耳</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河南省宇安医疗科技开发有限公司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0.176</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一次性使用导尿包</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乳胶导尿管包：双腔标准12Fr-30Fr</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广州维力医疗器械股份有限公司</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一次性使用输液器（带针）</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B3(输液针规格：0.45-0.9）</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武汉市王冠医疗器械有限责任公司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0.944</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一次性使用无菌注射器</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10ML斜面</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1.728</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729"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一次性使用无菌注射器（带针）</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20ML斜面</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1.872</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一次性使用无菌注射器（带针）</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20ML侧孔</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河南曙光汇知康生物科技股份有限公司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一次性橡胶手术手套</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6.5#、7#、7.5#麻面无粉</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河南省安邦卫材有限公司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92"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乙肝五项检测卡</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25人份/盒</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英科新创（厦门）科技有限公司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0" w:hRule="atLeast"/>
        </w:trPr>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39"/>
              </w:numPr>
              <w:suppressLineNumbers w:val="0"/>
              <w:ind w:left="0" w:leftChars="0" w:firstLine="440" w:firstLineChars="200"/>
              <w:jc w:val="center"/>
              <w:textAlignment w:val="center"/>
              <w:rPr>
                <w:rFonts w:hint="eastAsia" w:ascii="宋体" w:hAnsi="宋体" w:eastAsia="宋体" w:cs="宋体"/>
                <w:i w:val="0"/>
                <w:color w:val="000000"/>
                <w:kern w:val="0"/>
                <w:sz w:val="22"/>
                <w:szCs w:val="22"/>
                <w:u w:val="none"/>
                <w:lang w:val="en-US" w:eastAsia="zh-CN" w:bidi="ar"/>
              </w:rPr>
            </w:pPr>
          </w:p>
        </w:tc>
        <w:tc>
          <w:tcPr>
            <w:tcW w:w="1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真空采血管（黄）</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黄头管（血清分离胶管）75mm  100mm</w:t>
            </w:r>
          </w:p>
        </w:tc>
        <w:tc>
          <w:tcPr>
            <w:tcW w:w="1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江西科伦医疗器械制造有限公司</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0.77</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0" w:hRule="atLeast"/>
        </w:trPr>
        <w:tc>
          <w:tcPr>
            <w:tcW w:w="8736"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tabs>
          <w:tab w:val="left" w:pos="540"/>
        </w:tabs>
        <w:autoSpaceDE w:val="0"/>
        <w:autoSpaceDN w:val="0"/>
        <w:adjustRightInd w:val="0"/>
        <w:spacing w:line="360" w:lineRule="auto"/>
        <w:jc w:val="both"/>
        <w:outlineLvl w:val="9"/>
        <w:rPr>
          <w:rFonts w:hint="eastAsia" w:ascii="宋体" w:hAnsi="宋体"/>
          <w:b/>
          <w:bCs/>
          <w:szCs w:val="21"/>
          <w:lang w:eastAsia="zh-CN"/>
        </w:rPr>
      </w:pPr>
      <w:r>
        <w:rPr>
          <w:rFonts w:hint="eastAsia" w:ascii="宋体" w:hAnsi="宋体"/>
          <w:b/>
          <w:bCs/>
          <w:szCs w:val="21"/>
          <w:lang w:eastAsia="zh-CN"/>
        </w:rPr>
        <w:t>注：</w:t>
      </w:r>
      <w:r>
        <w:rPr>
          <w:rFonts w:hint="eastAsia" w:asciiTheme="minorEastAsia" w:hAnsiTheme="minorEastAsia" w:eastAsiaTheme="minorEastAsia" w:cstheme="minorEastAsia"/>
          <w:b/>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综合</w:t>
      </w:r>
      <w:r>
        <w:rPr>
          <w:rFonts w:hint="eastAsia" w:asciiTheme="minorEastAsia" w:hAnsiTheme="minorEastAsia" w:eastAsiaTheme="minorEastAsia" w:cstheme="minorEastAsia"/>
          <w:b/>
          <w:bCs/>
          <w:color w:val="000000" w:themeColor="text1"/>
          <w:szCs w:val="21"/>
          <w14:textFill>
            <w14:solidFill>
              <w14:schemeClr w14:val="tx1"/>
            </w14:solidFill>
          </w14:textFill>
        </w:rPr>
        <w:t>单价报价</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不得超过</w:t>
      </w:r>
      <w:r>
        <w:rPr>
          <w:rFonts w:hint="eastAsia" w:asciiTheme="minorEastAsia" w:hAnsiTheme="minorEastAsia" w:eastAsiaTheme="minorEastAsia" w:cstheme="minorEastAsia"/>
          <w:b/>
          <w:bCs/>
          <w:color w:val="000000" w:themeColor="text1"/>
          <w:szCs w:val="21"/>
          <w14:textFill>
            <w14:solidFill>
              <w14:schemeClr w14:val="tx1"/>
            </w14:solidFill>
          </w14:textFill>
        </w:rPr>
        <w:t>市场统一中标价</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w:t>
      </w:r>
    </w:p>
    <w:p>
      <w:pPr>
        <w:rPr>
          <w:rFonts w:hint="eastAsia" w:ascii="宋体" w:hAnsi="宋体"/>
          <w:b/>
          <w:bCs/>
          <w:szCs w:val="21"/>
          <w:lang w:eastAsia="zh-CN"/>
        </w:rPr>
      </w:pPr>
      <w:r>
        <w:rPr>
          <w:rFonts w:hint="eastAsia" w:ascii="宋体" w:hAnsi="宋体"/>
          <w:b/>
          <w:bCs/>
          <w:szCs w:val="21"/>
          <w:lang w:eastAsia="zh-CN"/>
        </w:rPr>
        <w:br w:type="page"/>
      </w:r>
    </w:p>
    <w:p>
      <w:pPr>
        <w:tabs>
          <w:tab w:val="left" w:pos="540"/>
        </w:tabs>
        <w:autoSpaceDE w:val="0"/>
        <w:autoSpaceDN w:val="0"/>
        <w:adjustRightInd w:val="0"/>
        <w:spacing w:line="360" w:lineRule="auto"/>
        <w:jc w:val="both"/>
        <w:outlineLvl w:val="9"/>
        <w:rPr>
          <w:rFonts w:hint="eastAsia" w:ascii="宋体" w:hAnsi="宋体" w:eastAsia="宋体"/>
          <w:b/>
          <w:bCs/>
          <w:szCs w:val="21"/>
          <w:lang w:eastAsia="zh-CN"/>
        </w:rPr>
      </w:pPr>
      <w:r>
        <w:rPr>
          <w:rFonts w:hint="eastAsia" w:ascii="宋体" w:hAnsi="宋体"/>
          <w:b/>
          <w:bCs/>
          <w:szCs w:val="21"/>
          <w:lang w:eastAsia="zh-CN"/>
        </w:rPr>
        <w:t>三、中药材</w:t>
      </w:r>
    </w:p>
    <w:tbl>
      <w:tblPr>
        <w:tblStyle w:val="26"/>
        <w:tblW w:w="0" w:type="auto"/>
        <w:tblInd w:w="0" w:type="dxa"/>
        <w:tblLayout w:type="fixed"/>
        <w:tblCellMar>
          <w:top w:w="0" w:type="dxa"/>
          <w:left w:w="0" w:type="dxa"/>
          <w:bottom w:w="0" w:type="dxa"/>
          <w:right w:w="0" w:type="dxa"/>
        </w:tblCellMar>
      </w:tblPr>
      <w:tblGrid>
        <w:gridCol w:w="844"/>
        <w:gridCol w:w="2457"/>
        <w:gridCol w:w="1303"/>
        <w:gridCol w:w="1774"/>
        <w:gridCol w:w="1414"/>
        <w:gridCol w:w="944"/>
        <w:gridCol w:w="840"/>
      </w:tblGrid>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firstLine="220" w:firstLineChars="1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序号</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通用名</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产品属性</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中标价</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w:t>
            </w: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法半夏（选粒）</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240.5</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麻黄</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干姜（片）</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安徽（产地）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32.5</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金银花（统）</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山东（产地）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377</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荆芥（段二级）</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16.9</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蒲公英（段）</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35.1</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桑叶（片）</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16.385</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射干（统）</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燂苦杏仁（统）</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63.28</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公斤</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20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熟三七粉80G/瓶</w:t>
            </w:r>
          </w:p>
        </w:tc>
        <w:tc>
          <w:tcPr>
            <w:tcW w:w="1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中药饮片</w:t>
            </w:r>
          </w:p>
        </w:tc>
        <w:tc>
          <w:tcPr>
            <w:tcW w:w="1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云南（产地）</w:t>
            </w:r>
          </w:p>
        </w:tc>
        <w:tc>
          <w:tcPr>
            <w:tcW w:w="1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117</w:t>
            </w:r>
          </w:p>
        </w:tc>
        <w:tc>
          <w:tcPr>
            <w:tcW w:w="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402" w:hRule="atLeast"/>
        </w:trPr>
        <w:tc>
          <w:tcPr>
            <w:tcW w:w="87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bCs/>
          <w:szCs w:val="21"/>
        </w:rPr>
      </w:pPr>
      <w:r>
        <w:rPr>
          <w:rFonts w:hint="eastAsia" w:ascii="宋体" w:hAnsi="宋体"/>
          <w:b/>
          <w:bCs/>
          <w:szCs w:val="21"/>
          <w:lang w:eastAsia="zh-CN"/>
        </w:rPr>
        <w:t>注：</w:t>
      </w:r>
      <w:r>
        <w:rPr>
          <w:rFonts w:hint="eastAsia" w:asciiTheme="minorEastAsia" w:hAnsiTheme="minorEastAsia" w:eastAsiaTheme="minorEastAsia" w:cstheme="minorEastAsia"/>
          <w:b/>
          <w:bCs/>
          <w:color w:val="000000" w:themeColor="text1"/>
          <w:szCs w:val="21"/>
          <w14:textFill>
            <w14:solidFill>
              <w14:schemeClr w14:val="tx1"/>
            </w14:solidFill>
          </w14:textFill>
        </w:rPr>
        <w:t>供应商</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综合</w:t>
      </w:r>
      <w:r>
        <w:rPr>
          <w:rFonts w:hint="eastAsia" w:asciiTheme="minorEastAsia" w:hAnsiTheme="minorEastAsia" w:eastAsiaTheme="minorEastAsia" w:cstheme="minorEastAsia"/>
          <w:b/>
          <w:bCs/>
          <w:color w:val="000000" w:themeColor="text1"/>
          <w:szCs w:val="21"/>
          <w14:textFill>
            <w14:solidFill>
              <w14:schemeClr w14:val="tx1"/>
            </w14:solidFill>
          </w14:textFill>
        </w:rPr>
        <w:t>单价报价</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不得超过</w:t>
      </w:r>
      <w:r>
        <w:rPr>
          <w:rFonts w:hint="eastAsia" w:asciiTheme="minorEastAsia" w:hAnsiTheme="minorEastAsia" w:eastAsiaTheme="minorEastAsia" w:cstheme="minorEastAsia"/>
          <w:b/>
          <w:bCs/>
          <w:color w:val="000000" w:themeColor="text1"/>
          <w:szCs w:val="21"/>
          <w14:textFill>
            <w14:solidFill>
              <w14:schemeClr w14:val="tx1"/>
            </w14:solidFill>
          </w14:textFill>
        </w:rPr>
        <w:t>市场统一中标价</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szCs w:val="21"/>
        </w:rPr>
        <w:br w:type="page"/>
      </w:r>
      <w:bookmarkStart w:id="155" w:name="_Toc26825"/>
      <w:bookmarkStart w:id="156" w:name="_Toc479184130"/>
      <w:bookmarkStart w:id="157" w:name="_Toc28656"/>
      <w:bookmarkStart w:id="158" w:name="_Toc17635"/>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55"/>
      <w:bookmarkEnd w:id="156"/>
      <w:bookmarkEnd w:id="157"/>
      <w:r>
        <w:rPr>
          <w:rFonts w:hint="eastAsia" w:asciiTheme="minorEastAsia" w:hAnsiTheme="minorEastAsia" w:eastAsiaTheme="minorEastAsia" w:cstheme="minorEastAsia"/>
          <w:b/>
          <w:bCs/>
          <w:szCs w:val="21"/>
        </w:rPr>
        <w:t>（如有）</w:t>
      </w:r>
      <w:bookmarkEnd w:id="158"/>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9" w:name="_Toc32726"/>
      <w:bookmarkStart w:id="160" w:name="_Toc7535"/>
      <w:bookmarkStart w:id="161" w:name="_Toc479184131"/>
      <w:bookmarkStart w:id="162" w:name="_Toc32484"/>
      <w:r>
        <w:rPr>
          <w:rFonts w:hint="eastAsia" w:asciiTheme="minorEastAsia" w:hAnsiTheme="minorEastAsia" w:eastAsiaTheme="minorEastAsia" w:cstheme="minorEastAsia"/>
          <w:b/>
          <w:bCs/>
          <w:szCs w:val="21"/>
          <w:lang w:val="en-US" w:eastAsia="zh-CN"/>
        </w:rPr>
        <w:t>八、拟投入设备/备件、工具情况</w:t>
      </w:r>
      <w:bookmarkEnd w:id="159"/>
      <w:bookmarkEnd w:id="160"/>
      <w:bookmarkEnd w:id="161"/>
      <w:r>
        <w:rPr>
          <w:rFonts w:hint="eastAsia" w:asciiTheme="minorEastAsia" w:hAnsiTheme="minorEastAsia" w:eastAsiaTheme="minorEastAsia" w:cstheme="minorEastAsia"/>
          <w:b/>
          <w:bCs/>
          <w:szCs w:val="21"/>
          <w:lang w:val="en-US" w:eastAsia="zh-CN"/>
        </w:rPr>
        <w:t>（如有）</w:t>
      </w:r>
      <w:bookmarkEnd w:id="162"/>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3" w:name="_Toc27053"/>
      <w:bookmarkStart w:id="164" w:name="_Toc450827818"/>
      <w:bookmarkStart w:id="165" w:name="_Toc10449"/>
      <w:bookmarkStart w:id="166" w:name="_Toc479184132"/>
      <w:bookmarkStart w:id="167" w:name="_Toc19607"/>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3"/>
      <w:bookmarkEnd w:id="164"/>
      <w:bookmarkEnd w:id="165"/>
      <w:bookmarkEnd w:id="166"/>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67"/>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8"/>
    <w:bookmarkEnd w:id="149"/>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8" w:name="_Toc422466736"/>
      <w:bookmarkStart w:id="169" w:name="_Toc28200"/>
      <w:bookmarkStart w:id="170" w:name="_Toc479184133"/>
      <w:bookmarkStart w:id="171" w:name="_Toc432149012"/>
      <w:bookmarkStart w:id="172" w:name="_Toc3848"/>
      <w:bookmarkStart w:id="173" w:name="_Toc1591"/>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6"/>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6"/>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4" w:name="_Toc479184134"/>
      <w:bookmarkStart w:id="175" w:name="_Toc28283"/>
      <w:bookmarkStart w:id="176" w:name="_Toc432149013"/>
      <w:bookmarkStart w:id="177" w:name="_Toc362935521"/>
      <w:bookmarkStart w:id="178" w:name="_Toc32060"/>
      <w:bookmarkStart w:id="179" w:name="_Toc10508"/>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szCs w:val="21"/>
        </w:rPr>
        <w:br w:type="textWrapping"/>
      </w:r>
      <w:bookmarkEnd w:id="179"/>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0" w:name="_Toc454806053"/>
      <w:bookmarkStart w:id="181"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2" w:name="_Toc19241"/>
      <w:bookmarkStart w:id="183" w:name="_Toc479184135"/>
      <w:bookmarkStart w:id="184" w:name="_Toc4834"/>
      <w:bookmarkStart w:id="185" w:name="_Toc3045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6" w:name="_Toc432149014"/>
      <w:bookmarkStart w:id="187" w:name="_Toc26838"/>
      <w:bookmarkStart w:id="188" w:name="_Toc10429"/>
      <w:bookmarkStart w:id="189" w:name="_Toc422466737"/>
      <w:bookmarkStart w:id="190" w:name="_Toc479184136"/>
      <w:bookmarkStart w:id="191" w:name="_Toc608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2" w:name="_Toc450827823"/>
      <w:bookmarkStart w:id="193" w:name="_Toc259028731"/>
      <w:bookmarkStart w:id="194" w:name="_Toc20174"/>
      <w:bookmarkStart w:id="195" w:name="_Toc479184137"/>
      <w:bookmarkStart w:id="196" w:name="_Toc17527"/>
      <w:bookmarkStart w:id="197" w:name="_Toc1733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8" w:name="_Toc5793"/>
      <w:bookmarkStart w:id="199" w:name="_Toc290207179"/>
      <w:bookmarkStart w:id="200" w:name="_Toc32187"/>
      <w:bookmarkStart w:id="201" w:name="_Toc18555"/>
      <w:bookmarkStart w:id="202" w:name="_Toc364868916"/>
      <w:bookmarkStart w:id="203" w:name="_Toc427239751"/>
      <w:bookmarkStart w:id="204" w:name="_Toc358447587"/>
      <w:r>
        <w:rPr>
          <w:rFonts w:hint="eastAsia" w:asciiTheme="minorEastAsia" w:hAnsiTheme="minorEastAsia" w:eastAsiaTheme="minorEastAsia" w:cstheme="minorEastAsia"/>
          <w:b/>
          <w:bCs/>
          <w:kern w:val="0"/>
          <w:szCs w:val="21"/>
          <w:lang w:val="en-US" w:eastAsia="zh-CN"/>
        </w:rPr>
        <w:t>十五、</w:t>
      </w:r>
      <w:bookmarkEnd w:id="198"/>
      <w:bookmarkEnd w:id="199"/>
      <w:bookmarkEnd w:id="200"/>
      <w:bookmarkEnd w:id="201"/>
      <w:bookmarkEnd w:id="202"/>
      <w:bookmarkEnd w:id="203"/>
      <w:bookmarkEnd w:id="204"/>
      <w:bookmarkStart w:id="205" w:name="_Toc29785"/>
      <w:bookmarkStart w:id="206" w:name="_Toc460258123"/>
      <w:bookmarkStart w:id="207" w:name="_Toc27229"/>
      <w:bookmarkStart w:id="208" w:name="_Toc479184138"/>
      <w:r>
        <w:rPr>
          <w:rFonts w:hint="eastAsia" w:asciiTheme="minorEastAsia" w:hAnsiTheme="minorEastAsia" w:eastAsiaTheme="minorEastAsia" w:cstheme="minorEastAsia"/>
          <w:b/>
        </w:rPr>
        <w:t>报价技术文件</w:t>
      </w:r>
      <w:bookmarkEnd w:id="205"/>
      <w:bookmarkEnd w:id="206"/>
      <w:bookmarkEnd w:id="207"/>
      <w:bookmarkEnd w:id="208"/>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09" w:name="_Toc355802499"/>
      <w:bookmarkStart w:id="210" w:name="_Toc22465"/>
      <w:bookmarkStart w:id="211" w:name="_Toc479184140"/>
      <w:bookmarkStart w:id="212" w:name="_Toc422466739"/>
      <w:bookmarkStart w:id="213" w:name="_Toc356836516"/>
      <w:bookmarkStart w:id="214" w:name="_Toc432149016"/>
      <w:bookmarkStart w:id="215" w:name="_Toc12119"/>
      <w:bookmarkStart w:id="216" w:name="_Toc8098"/>
      <w:bookmarkStart w:id="217" w:name="_Toc2101"/>
      <w:bookmarkStart w:id="218" w:name="_Toc29200"/>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、中小企业声明函</w:t>
      </w:r>
      <w:bookmarkEnd w:id="209"/>
      <w:bookmarkEnd w:id="210"/>
      <w:bookmarkEnd w:id="211"/>
      <w:bookmarkEnd w:id="212"/>
      <w:bookmarkEnd w:id="213"/>
      <w:bookmarkEnd w:id="214"/>
      <w:bookmarkEnd w:id="215"/>
      <w:bookmarkEnd w:id="216"/>
      <w:bookmarkEnd w:id="217"/>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18"/>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19" w:name="OLE_LINK5"/>
      <w:r>
        <w:rPr>
          <w:rFonts w:hint="eastAsia" w:asciiTheme="minorEastAsia" w:hAnsiTheme="minorEastAsia" w:eastAsiaTheme="minorEastAsia" w:cstheme="minorEastAsia"/>
          <w:spacing w:val="6"/>
          <w:szCs w:val="21"/>
        </w:rPr>
        <w:t>______（请填写：中型、小型、微型）企业</w:t>
      </w:r>
      <w:bookmarkEnd w:id="219"/>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8"/>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8"/>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19"/>
    <w:bookmarkEnd w:id="120"/>
    <w:bookmarkEnd w:id="121"/>
    <w:bookmarkEnd w:id="122"/>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0" w:name="_Toc4700"/>
      <w:bookmarkStart w:id="221" w:name="_Toc30406"/>
      <w:bookmarkStart w:id="222" w:name="_Toc479184141"/>
      <w:bookmarkStart w:id="223" w:name="_Toc476839034"/>
      <w:bookmarkStart w:id="224" w:name="_Toc4320"/>
      <w:bookmarkStart w:id="225" w:name="_Toc7229"/>
      <w:r>
        <w:rPr>
          <w:rFonts w:hint="eastAsia" w:asciiTheme="minorEastAsia" w:hAnsiTheme="minorEastAsia" w:eastAsiaTheme="minorEastAsia" w:cstheme="minorEastAsia"/>
          <w:b/>
          <w:bCs/>
          <w:spacing w:val="6"/>
          <w:szCs w:val="21"/>
          <w:lang w:val="en-US" w:eastAsia="zh-CN"/>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0"/>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26" w:name="_Toc10672"/>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十八</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6"/>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5"/>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5"/>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5"/>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5"/>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27" w:name="_Toc30654"/>
      <w:r>
        <w:rPr>
          <w:rFonts w:hint="eastAsia" w:asciiTheme="minorEastAsia" w:hAnsiTheme="minorEastAsia" w:eastAsiaTheme="minorEastAsia" w:cstheme="minorEastAsia"/>
          <w:b/>
          <w:lang w:val="en-US" w:eastAsia="zh-CN"/>
        </w:rPr>
        <w:t>十九、节能环保产品证明材料（若符合）</w:t>
      </w:r>
      <w:bookmarkEnd w:id="227"/>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28" w:name="_Toc7013"/>
      <w:r>
        <w:rPr>
          <w:rFonts w:hint="eastAsia" w:asciiTheme="minorEastAsia" w:hAnsiTheme="minorEastAsia" w:eastAsiaTheme="minorEastAsia" w:cstheme="minorEastAsia"/>
          <w:b/>
          <w:bCs/>
          <w:spacing w:val="6"/>
          <w:szCs w:val="21"/>
          <w:lang w:val="en-US" w:eastAsia="zh-CN"/>
        </w:rPr>
        <w:t>二十</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21"/>
      <w:bookmarkEnd w:id="222"/>
      <w:bookmarkEnd w:id="223"/>
      <w:bookmarkEnd w:id="224"/>
      <w:bookmarkEnd w:id="225"/>
      <w:bookmarkEnd w:id="228"/>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ind w:firstLine="420" w:firstLineChars="20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ind w:firstLine="420" w:firstLineChars="200"/>
        <w:jc w:val="center"/>
        <w:outlineLvl w:val="1"/>
        <w:rPr>
          <w:rFonts w:hint="eastAsia" w:asciiTheme="minorEastAsia" w:hAnsiTheme="minorEastAsia" w:eastAsiaTheme="minorEastAsia" w:cstheme="minorEastAsia"/>
          <w:b/>
          <w:bCs/>
          <w:spacing w:val="6"/>
          <w:szCs w:val="21"/>
          <w:lang w:val="en-US" w:eastAsia="zh-CN"/>
        </w:rPr>
      </w:pPr>
      <w:bookmarkStart w:id="229" w:name="_Toc26922"/>
      <w:bookmarkStart w:id="230" w:name="_Toc5812"/>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spacing w:val="6"/>
          <w:szCs w:val="21"/>
          <w:lang w:val="en-US" w:eastAsia="zh-CN"/>
        </w:rPr>
        <w:t>二十一、磋商供应商认为应该提交的其它文件（格式自拟）</w:t>
      </w:r>
      <w:bookmarkEnd w:id="229"/>
      <w:bookmarkEnd w:id="230"/>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r>
      <w:fldChar w:fldCharType="begin"/>
    </w:r>
    <w:r>
      <w:rPr>
        <w:rStyle w:val="30"/>
      </w:rPr>
      <w:instrText xml:space="preserve">PAGE  </w:instrTex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46</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9871D"/>
    <w:multiLevelType w:val="singleLevel"/>
    <w:tmpl w:val="81D9871D"/>
    <w:lvl w:ilvl="0" w:tentative="0">
      <w:start w:val="1"/>
      <w:numFmt w:val="decimal"/>
      <w:lvlText w:val="%1."/>
      <w:lvlJc w:val="left"/>
      <w:pPr>
        <w:ind w:left="425" w:hanging="425"/>
      </w:pPr>
      <w:rPr>
        <w:rFonts w:hint="default"/>
      </w:rPr>
    </w:lvl>
  </w:abstractNum>
  <w:abstractNum w:abstractNumId="1">
    <w:nsid w:val="C7123789"/>
    <w:multiLevelType w:val="singleLevel"/>
    <w:tmpl w:val="C7123789"/>
    <w:lvl w:ilvl="0" w:tentative="0">
      <w:start w:val="1"/>
      <w:numFmt w:val="decimal"/>
      <w:lvlText w:val="%1."/>
      <w:lvlJc w:val="left"/>
      <w:pPr>
        <w:ind w:left="425" w:hanging="425"/>
      </w:pPr>
      <w:rPr>
        <w:rFonts w:hint="default"/>
      </w:rPr>
    </w:lvl>
  </w:abstractNum>
  <w:abstractNum w:abstractNumId="2">
    <w:nsid w:val="C95EA7B7"/>
    <w:multiLevelType w:val="singleLevel"/>
    <w:tmpl w:val="C95EA7B7"/>
    <w:lvl w:ilvl="0" w:tentative="0">
      <w:start w:val="1"/>
      <w:numFmt w:val="decimal"/>
      <w:suff w:val="nothing"/>
      <w:lvlText w:val="%1、"/>
      <w:lvlJc w:val="left"/>
    </w:lvl>
  </w:abstractNum>
  <w:abstractNum w:abstractNumId="3">
    <w:nsid w:val="DD578B1A"/>
    <w:multiLevelType w:val="singleLevel"/>
    <w:tmpl w:val="DD578B1A"/>
    <w:lvl w:ilvl="0" w:tentative="0">
      <w:start w:val="1"/>
      <w:numFmt w:val="decimal"/>
      <w:lvlText w:val="%1."/>
      <w:lvlJc w:val="left"/>
      <w:pPr>
        <w:ind w:left="425" w:hanging="425"/>
      </w:pPr>
      <w:rPr>
        <w:rFonts w:hint="default"/>
      </w:rPr>
    </w:lvl>
  </w:abstractNum>
  <w:abstractNum w:abstractNumId="4">
    <w:nsid w:val="FF4B8943"/>
    <w:multiLevelType w:val="singleLevel"/>
    <w:tmpl w:val="FF4B8943"/>
    <w:lvl w:ilvl="0" w:tentative="0">
      <w:start w:val="1"/>
      <w:numFmt w:val="decimal"/>
      <w:suff w:val="nothing"/>
      <w:lvlText w:val="（%1）"/>
      <w:lvlJc w:val="left"/>
    </w:lvl>
  </w:abstractNum>
  <w:abstractNum w:abstractNumId="5">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7">
    <w:nsid w:val="044F5BAD"/>
    <w:multiLevelType w:val="singleLevel"/>
    <w:tmpl w:val="044F5BAD"/>
    <w:lvl w:ilvl="0" w:tentative="0">
      <w:start w:val="1"/>
      <w:numFmt w:val="decimal"/>
      <w:suff w:val="nothing"/>
      <w:lvlText w:val="（%1）"/>
      <w:lvlJc w:val="left"/>
    </w:lvl>
  </w:abstractNum>
  <w:abstractNum w:abstractNumId="8">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1E84619A"/>
    <w:multiLevelType w:val="singleLevel"/>
    <w:tmpl w:val="1E84619A"/>
    <w:lvl w:ilvl="0" w:tentative="0">
      <w:start w:val="1"/>
      <w:numFmt w:val="decimal"/>
      <w:suff w:val="nothing"/>
      <w:lvlText w:val="%1、"/>
      <w:lvlJc w:val="left"/>
    </w:lvl>
  </w:abstractNum>
  <w:abstractNum w:abstractNumId="19">
    <w:nsid w:val="20BA2AF0"/>
    <w:multiLevelType w:val="singleLevel"/>
    <w:tmpl w:val="20BA2AF0"/>
    <w:lvl w:ilvl="0" w:tentative="0">
      <w:start w:val="1"/>
      <w:numFmt w:val="decimal"/>
      <w:suff w:val="space"/>
      <w:lvlText w:val="%1）"/>
      <w:lvlJc w:val="left"/>
    </w:lvl>
  </w:abstractNum>
  <w:abstractNum w:abstractNumId="20">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2">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5">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7">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9">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0">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2">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4">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5">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6815307A"/>
    <w:multiLevelType w:val="singleLevel"/>
    <w:tmpl w:val="6815307A"/>
    <w:lvl w:ilvl="0" w:tentative="0">
      <w:start w:val="1"/>
      <w:numFmt w:val="decimal"/>
      <w:suff w:val="nothing"/>
      <w:lvlText w:val="%1．"/>
      <w:lvlJc w:val="left"/>
      <w:pPr>
        <w:ind w:left="0" w:firstLine="400"/>
      </w:pPr>
      <w:rPr>
        <w:rFonts w:hint="default"/>
      </w:rPr>
    </w:lvl>
  </w:abstractNum>
  <w:abstractNum w:abstractNumId="40">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3">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4">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6">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8">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41"/>
  </w:num>
  <w:num w:numId="2">
    <w:abstractNumId w:val="13"/>
  </w:num>
  <w:num w:numId="3">
    <w:abstractNumId w:val="21"/>
  </w:num>
  <w:num w:numId="4">
    <w:abstractNumId w:val="30"/>
  </w:num>
  <w:num w:numId="5">
    <w:abstractNumId w:val="16"/>
  </w:num>
  <w:num w:numId="6">
    <w:abstractNumId w:val="15"/>
  </w:num>
  <w:num w:numId="7">
    <w:abstractNumId w:val="4"/>
  </w:num>
  <w:num w:numId="8">
    <w:abstractNumId w:val="34"/>
  </w:num>
  <w:num w:numId="9">
    <w:abstractNumId w:val="18"/>
  </w:num>
  <w:num w:numId="10">
    <w:abstractNumId w:val="11"/>
  </w:num>
  <w:num w:numId="11">
    <w:abstractNumId w:val="17"/>
  </w:num>
  <w:num w:numId="12">
    <w:abstractNumId w:val="36"/>
  </w:num>
  <w:num w:numId="13">
    <w:abstractNumId w:val="47"/>
  </w:num>
  <w:num w:numId="14">
    <w:abstractNumId w:val="48"/>
  </w:num>
  <w:num w:numId="15">
    <w:abstractNumId w:val="29"/>
  </w:num>
  <w:num w:numId="16">
    <w:abstractNumId w:val="32"/>
  </w:num>
  <w:num w:numId="17">
    <w:abstractNumId w:val="35"/>
  </w:num>
  <w:num w:numId="18">
    <w:abstractNumId w:val="37"/>
  </w:num>
  <w:num w:numId="19">
    <w:abstractNumId w:val="6"/>
  </w:num>
  <w:num w:numId="20">
    <w:abstractNumId w:val="40"/>
  </w:num>
  <w:num w:numId="21">
    <w:abstractNumId w:val="8"/>
  </w:num>
  <w:num w:numId="22">
    <w:abstractNumId w:val="27"/>
  </w:num>
  <w:num w:numId="23">
    <w:abstractNumId w:val="23"/>
  </w:num>
  <w:num w:numId="24">
    <w:abstractNumId w:val="43"/>
  </w:num>
  <w:num w:numId="25">
    <w:abstractNumId w:val="14"/>
  </w:num>
  <w:num w:numId="26">
    <w:abstractNumId w:val="28"/>
  </w:num>
  <w:num w:numId="27">
    <w:abstractNumId w:val="10"/>
  </w:num>
  <w:num w:numId="28">
    <w:abstractNumId w:val="42"/>
  </w:num>
  <w:num w:numId="29">
    <w:abstractNumId w:val="46"/>
  </w:num>
  <w:num w:numId="30">
    <w:abstractNumId w:val="31"/>
  </w:num>
  <w:num w:numId="31">
    <w:abstractNumId w:val="25"/>
  </w:num>
  <w:num w:numId="32">
    <w:abstractNumId w:val="12"/>
  </w:num>
  <w:num w:numId="33">
    <w:abstractNumId w:val="22"/>
  </w:num>
  <w:num w:numId="34">
    <w:abstractNumId w:val="45"/>
  </w:num>
  <w:num w:numId="35">
    <w:abstractNumId w:val="26"/>
  </w:num>
  <w:num w:numId="36">
    <w:abstractNumId w:val="19"/>
  </w:num>
  <w:num w:numId="37">
    <w:abstractNumId w:val="0"/>
  </w:num>
  <w:num w:numId="38">
    <w:abstractNumId w:val="1"/>
  </w:num>
  <w:num w:numId="39">
    <w:abstractNumId w:val="39"/>
  </w:num>
  <w:num w:numId="40">
    <w:abstractNumId w:val="44"/>
  </w:num>
  <w:num w:numId="41">
    <w:abstractNumId w:val="38"/>
  </w:num>
  <w:num w:numId="42">
    <w:abstractNumId w:val="20"/>
  </w:num>
  <w:num w:numId="43">
    <w:abstractNumId w:val="33"/>
  </w:num>
  <w:num w:numId="44">
    <w:abstractNumId w:val="5"/>
  </w:num>
  <w:num w:numId="45">
    <w:abstractNumId w:val="3"/>
  </w:num>
  <w:num w:numId="46">
    <w:abstractNumId w:val="24"/>
  </w:num>
  <w:num w:numId="47">
    <w:abstractNumId w:val="9"/>
  </w:num>
  <w:num w:numId="48">
    <w:abstractNumId w:val="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3A30"/>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4F6A52"/>
    <w:rsid w:val="085D5FC0"/>
    <w:rsid w:val="0886626A"/>
    <w:rsid w:val="08912C45"/>
    <w:rsid w:val="08AD0CF8"/>
    <w:rsid w:val="08AD503B"/>
    <w:rsid w:val="08C76CFD"/>
    <w:rsid w:val="08E340CC"/>
    <w:rsid w:val="08E95B0E"/>
    <w:rsid w:val="090C54BE"/>
    <w:rsid w:val="092936B1"/>
    <w:rsid w:val="092A049B"/>
    <w:rsid w:val="092B3782"/>
    <w:rsid w:val="096A4BCE"/>
    <w:rsid w:val="098226D8"/>
    <w:rsid w:val="09894939"/>
    <w:rsid w:val="09A02CD8"/>
    <w:rsid w:val="09F4276E"/>
    <w:rsid w:val="0A165448"/>
    <w:rsid w:val="0A502EA2"/>
    <w:rsid w:val="0A5758F7"/>
    <w:rsid w:val="0A67144A"/>
    <w:rsid w:val="0A71618F"/>
    <w:rsid w:val="0A7E1671"/>
    <w:rsid w:val="0AA37590"/>
    <w:rsid w:val="0AC16F66"/>
    <w:rsid w:val="0B1111D6"/>
    <w:rsid w:val="0B435CD5"/>
    <w:rsid w:val="0B456825"/>
    <w:rsid w:val="0B4B17AC"/>
    <w:rsid w:val="0B4F5787"/>
    <w:rsid w:val="0B625354"/>
    <w:rsid w:val="0B6438A9"/>
    <w:rsid w:val="0BC22757"/>
    <w:rsid w:val="0BD0342B"/>
    <w:rsid w:val="0BE3070D"/>
    <w:rsid w:val="0BEE6BAE"/>
    <w:rsid w:val="0C367BBD"/>
    <w:rsid w:val="0C3C4113"/>
    <w:rsid w:val="0C4225D4"/>
    <w:rsid w:val="0C49239C"/>
    <w:rsid w:val="0C4E57C8"/>
    <w:rsid w:val="0C7336D0"/>
    <w:rsid w:val="0CC36F40"/>
    <w:rsid w:val="0CF02600"/>
    <w:rsid w:val="0D162766"/>
    <w:rsid w:val="0D41682C"/>
    <w:rsid w:val="0D50445B"/>
    <w:rsid w:val="0D7807F1"/>
    <w:rsid w:val="0D895A46"/>
    <w:rsid w:val="0D9B67EB"/>
    <w:rsid w:val="0DB362DD"/>
    <w:rsid w:val="0DE86CEC"/>
    <w:rsid w:val="0E0A51BD"/>
    <w:rsid w:val="0E141CA7"/>
    <w:rsid w:val="0E386D2E"/>
    <w:rsid w:val="0E442D5B"/>
    <w:rsid w:val="0E4E7B59"/>
    <w:rsid w:val="0E6E5960"/>
    <w:rsid w:val="0EAE4301"/>
    <w:rsid w:val="0ED27024"/>
    <w:rsid w:val="0ED94F19"/>
    <w:rsid w:val="0EDC5EDB"/>
    <w:rsid w:val="0F0950E6"/>
    <w:rsid w:val="0F1B0DB7"/>
    <w:rsid w:val="0F3425BB"/>
    <w:rsid w:val="0F6C7EA7"/>
    <w:rsid w:val="0FA03F81"/>
    <w:rsid w:val="0FA32A0E"/>
    <w:rsid w:val="0FC5121F"/>
    <w:rsid w:val="0FC52200"/>
    <w:rsid w:val="0FC57219"/>
    <w:rsid w:val="0FF11896"/>
    <w:rsid w:val="0FF743B8"/>
    <w:rsid w:val="104114BC"/>
    <w:rsid w:val="104F21E7"/>
    <w:rsid w:val="10681B45"/>
    <w:rsid w:val="10D545EB"/>
    <w:rsid w:val="10E51E7E"/>
    <w:rsid w:val="1109548A"/>
    <w:rsid w:val="11156035"/>
    <w:rsid w:val="111F2499"/>
    <w:rsid w:val="11296D36"/>
    <w:rsid w:val="1146103D"/>
    <w:rsid w:val="116C7384"/>
    <w:rsid w:val="11A20E56"/>
    <w:rsid w:val="12305D0B"/>
    <w:rsid w:val="12595354"/>
    <w:rsid w:val="12676ACE"/>
    <w:rsid w:val="128C79F5"/>
    <w:rsid w:val="12987FD1"/>
    <w:rsid w:val="12D57C7C"/>
    <w:rsid w:val="12DE2F04"/>
    <w:rsid w:val="12E1444B"/>
    <w:rsid w:val="12F453F7"/>
    <w:rsid w:val="13424AAD"/>
    <w:rsid w:val="135A65CD"/>
    <w:rsid w:val="13681291"/>
    <w:rsid w:val="139A72A6"/>
    <w:rsid w:val="13D75C16"/>
    <w:rsid w:val="14171AEC"/>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0286B"/>
    <w:rsid w:val="173E2364"/>
    <w:rsid w:val="1761710C"/>
    <w:rsid w:val="17812612"/>
    <w:rsid w:val="17871823"/>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C3850"/>
    <w:rsid w:val="199E02FC"/>
    <w:rsid w:val="19BA1CE3"/>
    <w:rsid w:val="19DF55C2"/>
    <w:rsid w:val="19FA7D22"/>
    <w:rsid w:val="1A0C61A8"/>
    <w:rsid w:val="1A132F57"/>
    <w:rsid w:val="1A300E03"/>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316CE9"/>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5D1390"/>
    <w:rsid w:val="21B23C30"/>
    <w:rsid w:val="21D5663A"/>
    <w:rsid w:val="21DE0782"/>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FE15DC"/>
    <w:rsid w:val="26806C09"/>
    <w:rsid w:val="26863962"/>
    <w:rsid w:val="26FA6E39"/>
    <w:rsid w:val="271E4603"/>
    <w:rsid w:val="272A0710"/>
    <w:rsid w:val="27366210"/>
    <w:rsid w:val="27555997"/>
    <w:rsid w:val="276E4B45"/>
    <w:rsid w:val="277E0E1B"/>
    <w:rsid w:val="27C13C20"/>
    <w:rsid w:val="27E47883"/>
    <w:rsid w:val="28120519"/>
    <w:rsid w:val="281327C3"/>
    <w:rsid w:val="28195AAE"/>
    <w:rsid w:val="281C1D92"/>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D0ED5"/>
    <w:rsid w:val="2AFF35D3"/>
    <w:rsid w:val="2B0A651F"/>
    <w:rsid w:val="2B132D50"/>
    <w:rsid w:val="2B6076B4"/>
    <w:rsid w:val="2B617D56"/>
    <w:rsid w:val="2BEB27E3"/>
    <w:rsid w:val="2BEB2E9D"/>
    <w:rsid w:val="2BF61207"/>
    <w:rsid w:val="2C2E6F83"/>
    <w:rsid w:val="2C30491A"/>
    <w:rsid w:val="2C620007"/>
    <w:rsid w:val="2CD367CC"/>
    <w:rsid w:val="2CDD2B9E"/>
    <w:rsid w:val="2D09394F"/>
    <w:rsid w:val="2D6345E9"/>
    <w:rsid w:val="2D7E4209"/>
    <w:rsid w:val="2D9B288E"/>
    <w:rsid w:val="2DBD42B5"/>
    <w:rsid w:val="2DCB5DC1"/>
    <w:rsid w:val="2DCE5309"/>
    <w:rsid w:val="2DE2242A"/>
    <w:rsid w:val="2E4225F7"/>
    <w:rsid w:val="2E463849"/>
    <w:rsid w:val="2E522374"/>
    <w:rsid w:val="2E5A5340"/>
    <w:rsid w:val="2E677780"/>
    <w:rsid w:val="2E6E73D5"/>
    <w:rsid w:val="2E81141D"/>
    <w:rsid w:val="2E9A7ADA"/>
    <w:rsid w:val="2EC304B4"/>
    <w:rsid w:val="2F1B0798"/>
    <w:rsid w:val="2F235807"/>
    <w:rsid w:val="2F4F0438"/>
    <w:rsid w:val="2F506BFB"/>
    <w:rsid w:val="2F7E2CC0"/>
    <w:rsid w:val="2F861DB2"/>
    <w:rsid w:val="2F921764"/>
    <w:rsid w:val="2F98405A"/>
    <w:rsid w:val="2FD11EB8"/>
    <w:rsid w:val="303D5772"/>
    <w:rsid w:val="306E40F7"/>
    <w:rsid w:val="30B15581"/>
    <w:rsid w:val="30B93848"/>
    <w:rsid w:val="30BE1DE8"/>
    <w:rsid w:val="31253510"/>
    <w:rsid w:val="313177AD"/>
    <w:rsid w:val="31341EAD"/>
    <w:rsid w:val="31423CC5"/>
    <w:rsid w:val="3157256E"/>
    <w:rsid w:val="31665B97"/>
    <w:rsid w:val="31721B88"/>
    <w:rsid w:val="31854B7E"/>
    <w:rsid w:val="31E86EE4"/>
    <w:rsid w:val="31FD6157"/>
    <w:rsid w:val="32171B71"/>
    <w:rsid w:val="322B53E9"/>
    <w:rsid w:val="32915ABA"/>
    <w:rsid w:val="329C1497"/>
    <w:rsid w:val="32D72576"/>
    <w:rsid w:val="32D93319"/>
    <w:rsid w:val="330D0307"/>
    <w:rsid w:val="332C3D97"/>
    <w:rsid w:val="335C422F"/>
    <w:rsid w:val="3360351F"/>
    <w:rsid w:val="33620CB2"/>
    <w:rsid w:val="33B17CDB"/>
    <w:rsid w:val="33E04B57"/>
    <w:rsid w:val="33FA7456"/>
    <w:rsid w:val="34024883"/>
    <w:rsid w:val="342C6E98"/>
    <w:rsid w:val="343E2F3B"/>
    <w:rsid w:val="344F7140"/>
    <w:rsid w:val="34755DB1"/>
    <w:rsid w:val="349E0FB2"/>
    <w:rsid w:val="34A96A1A"/>
    <w:rsid w:val="34B370D1"/>
    <w:rsid w:val="34CA52FD"/>
    <w:rsid w:val="34E622D6"/>
    <w:rsid w:val="3518700F"/>
    <w:rsid w:val="352F2FF3"/>
    <w:rsid w:val="35375748"/>
    <w:rsid w:val="35486C73"/>
    <w:rsid w:val="359E09BB"/>
    <w:rsid w:val="3600191D"/>
    <w:rsid w:val="361A4DE1"/>
    <w:rsid w:val="361F592F"/>
    <w:rsid w:val="362F79EA"/>
    <w:rsid w:val="364416D7"/>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98526A"/>
    <w:rsid w:val="37B72EB1"/>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5E6F34"/>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E0D7410"/>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AB3ED8"/>
    <w:rsid w:val="3FD12D26"/>
    <w:rsid w:val="3FDE4917"/>
    <w:rsid w:val="402F3ADF"/>
    <w:rsid w:val="40306F5A"/>
    <w:rsid w:val="40476BB3"/>
    <w:rsid w:val="40546FB6"/>
    <w:rsid w:val="40554803"/>
    <w:rsid w:val="407A60D5"/>
    <w:rsid w:val="40961808"/>
    <w:rsid w:val="40AB4DEE"/>
    <w:rsid w:val="40D24BBE"/>
    <w:rsid w:val="40EC4043"/>
    <w:rsid w:val="41102AF9"/>
    <w:rsid w:val="412008E0"/>
    <w:rsid w:val="413A6D3B"/>
    <w:rsid w:val="41515AC7"/>
    <w:rsid w:val="41902B9F"/>
    <w:rsid w:val="41C02331"/>
    <w:rsid w:val="41C13A63"/>
    <w:rsid w:val="41C67037"/>
    <w:rsid w:val="41D229E1"/>
    <w:rsid w:val="41EC6E94"/>
    <w:rsid w:val="41F72149"/>
    <w:rsid w:val="42415ACC"/>
    <w:rsid w:val="424C639B"/>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796121"/>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BB2028"/>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87B2C"/>
    <w:rsid w:val="49CE6B8E"/>
    <w:rsid w:val="49D72FF3"/>
    <w:rsid w:val="49E0102B"/>
    <w:rsid w:val="4A2945F2"/>
    <w:rsid w:val="4A29762E"/>
    <w:rsid w:val="4A615154"/>
    <w:rsid w:val="4A96607C"/>
    <w:rsid w:val="4AB92E92"/>
    <w:rsid w:val="4B2134B8"/>
    <w:rsid w:val="4B24233C"/>
    <w:rsid w:val="4B330A0B"/>
    <w:rsid w:val="4B5146F8"/>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A87D0A"/>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215D4C"/>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1363F"/>
    <w:rsid w:val="54C0256E"/>
    <w:rsid w:val="54C334B7"/>
    <w:rsid w:val="54D4667D"/>
    <w:rsid w:val="54D55C56"/>
    <w:rsid w:val="54EC389B"/>
    <w:rsid w:val="54F847D9"/>
    <w:rsid w:val="55126190"/>
    <w:rsid w:val="553D1731"/>
    <w:rsid w:val="555F3833"/>
    <w:rsid w:val="55667780"/>
    <w:rsid w:val="556E493A"/>
    <w:rsid w:val="55941D63"/>
    <w:rsid w:val="559C0CE1"/>
    <w:rsid w:val="55D11119"/>
    <w:rsid w:val="55DB1F79"/>
    <w:rsid w:val="56093AB1"/>
    <w:rsid w:val="560A42BD"/>
    <w:rsid w:val="560C1D89"/>
    <w:rsid w:val="56117579"/>
    <w:rsid w:val="56353B20"/>
    <w:rsid w:val="56443B98"/>
    <w:rsid w:val="56453A77"/>
    <w:rsid w:val="56757259"/>
    <w:rsid w:val="56CB4BCB"/>
    <w:rsid w:val="57391A95"/>
    <w:rsid w:val="573F3C9E"/>
    <w:rsid w:val="574C52C4"/>
    <w:rsid w:val="57526FDB"/>
    <w:rsid w:val="57572F35"/>
    <w:rsid w:val="575B33A4"/>
    <w:rsid w:val="57674A5D"/>
    <w:rsid w:val="57B25019"/>
    <w:rsid w:val="57BB6F5D"/>
    <w:rsid w:val="57C90530"/>
    <w:rsid w:val="57CE0836"/>
    <w:rsid w:val="57FB6CB9"/>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E52D9A"/>
    <w:rsid w:val="5A300449"/>
    <w:rsid w:val="5A482DEE"/>
    <w:rsid w:val="5A55295D"/>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574FCE"/>
    <w:rsid w:val="5C66397A"/>
    <w:rsid w:val="5C7349B6"/>
    <w:rsid w:val="5C824C05"/>
    <w:rsid w:val="5C8723CB"/>
    <w:rsid w:val="5C8725EE"/>
    <w:rsid w:val="5C9125C3"/>
    <w:rsid w:val="5CB0251A"/>
    <w:rsid w:val="5CB97030"/>
    <w:rsid w:val="5CC97332"/>
    <w:rsid w:val="5D187049"/>
    <w:rsid w:val="5D1D2427"/>
    <w:rsid w:val="5D6C3EA2"/>
    <w:rsid w:val="5D756277"/>
    <w:rsid w:val="5D955FBD"/>
    <w:rsid w:val="5DA62524"/>
    <w:rsid w:val="5DA9099D"/>
    <w:rsid w:val="5DAC3919"/>
    <w:rsid w:val="5DB261F4"/>
    <w:rsid w:val="5DB36259"/>
    <w:rsid w:val="5DBD33B2"/>
    <w:rsid w:val="5DC223CB"/>
    <w:rsid w:val="5DF66637"/>
    <w:rsid w:val="5DFF6858"/>
    <w:rsid w:val="5E185132"/>
    <w:rsid w:val="5E272402"/>
    <w:rsid w:val="5E2A0167"/>
    <w:rsid w:val="5E5D68E8"/>
    <w:rsid w:val="5E802A96"/>
    <w:rsid w:val="5E9074FF"/>
    <w:rsid w:val="5EB62A77"/>
    <w:rsid w:val="5EB80355"/>
    <w:rsid w:val="5EBB2226"/>
    <w:rsid w:val="5EBE5F24"/>
    <w:rsid w:val="5EF07004"/>
    <w:rsid w:val="5F0E1E9A"/>
    <w:rsid w:val="5F860C23"/>
    <w:rsid w:val="5FC44411"/>
    <w:rsid w:val="605C7AA6"/>
    <w:rsid w:val="605F132B"/>
    <w:rsid w:val="605F50CE"/>
    <w:rsid w:val="608510A4"/>
    <w:rsid w:val="608762FF"/>
    <w:rsid w:val="609B7142"/>
    <w:rsid w:val="609E1C45"/>
    <w:rsid w:val="60BD4FD1"/>
    <w:rsid w:val="60D507D0"/>
    <w:rsid w:val="60EA1511"/>
    <w:rsid w:val="60EB6C34"/>
    <w:rsid w:val="60FD5C7B"/>
    <w:rsid w:val="613D7E7B"/>
    <w:rsid w:val="617162E9"/>
    <w:rsid w:val="61A52BAA"/>
    <w:rsid w:val="61B160E0"/>
    <w:rsid w:val="61FA0AE4"/>
    <w:rsid w:val="623438BB"/>
    <w:rsid w:val="624B10F0"/>
    <w:rsid w:val="624F3E48"/>
    <w:rsid w:val="62635981"/>
    <w:rsid w:val="628B066D"/>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6426031"/>
    <w:rsid w:val="665809FD"/>
    <w:rsid w:val="66593B74"/>
    <w:rsid w:val="66651C8A"/>
    <w:rsid w:val="66675176"/>
    <w:rsid w:val="669F2C65"/>
    <w:rsid w:val="66B94751"/>
    <w:rsid w:val="66BE6B53"/>
    <w:rsid w:val="66C55FD8"/>
    <w:rsid w:val="66D333AF"/>
    <w:rsid w:val="67192A34"/>
    <w:rsid w:val="672F0F88"/>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8D119A3"/>
    <w:rsid w:val="69055229"/>
    <w:rsid w:val="6929374C"/>
    <w:rsid w:val="692F20BB"/>
    <w:rsid w:val="693245F6"/>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BEF0421"/>
    <w:rsid w:val="6C0B074D"/>
    <w:rsid w:val="6C1458EF"/>
    <w:rsid w:val="6C231806"/>
    <w:rsid w:val="6C275F8B"/>
    <w:rsid w:val="6C3B15FF"/>
    <w:rsid w:val="6C3B431E"/>
    <w:rsid w:val="6C3E5116"/>
    <w:rsid w:val="6C725FD7"/>
    <w:rsid w:val="6C852D02"/>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C41BD9"/>
    <w:rsid w:val="6EF9461D"/>
    <w:rsid w:val="6F1348E9"/>
    <w:rsid w:val="6F2A01FE"/>
    <w:rsid w:val="6F2A71A4"/>
    <w:rsid w:val="6F487F58"/>
    <w:rsid w:val="6F9415EA"/>
    <w:rsid w:val="6FB72F84"/>
    <w:rsid w:val="6FCA5E7C"/>
    <w:rsid w:val="6FE3419F"/>
    <w:rsid w:val="6FF778F1"/>
    <w:rsid w:val="700346D4"/>
    <w:rsid w:val="700706FE"/>
    <w:rsid w:val="70287F2C"/>
    <w:rsid w:val="709A492D"/>
    <w:rsid w:val="70AF69EB"/>
    <w:rsid w:val="70BE322F"/>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2F95434"/>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E2818"/>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264634"/>
    <w:rsid w:val="76781DCD"/>
    <w:rsid w:val="76D84698"/>
    <w:rsid w:val="775865D7"/>
    <w:rsid w:val="775B4584"/>
    <w:rsid w:val="776234AF"/>
    <w:rsid w:val="776D12AE"/>
    <w:rsid w:val="77AD0FE0"/>
    <w:rsid w:val="77BE7384"/>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DD50DD"/>
    <w:rsid w:val="7AFF6437"/>
    <w:rsid w:val="7B021BF1"/>
    <w:rsid w:val="7B583BC8"/>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7">
    <w:name w:val="Normal Indent"/>
    <w:basedOn w:val="1"/>
    <w:qFormat/>
    <w:uiPriority w:val="0"/>
    <w:pPr>
      <w:ind w:firstLine="420"/>
    </w:pPr>
    <w:rPr>
      <w:szCs w:val="20"/>
    </w:rPr>
  </w:style>
  <w:style w:type="paragraph" w:styleId="8">
    <w:name w:val="Document Map"/>
    <w:basedOn w:val="1"/>
    <w:link w:val="35"/>
    <w:qFormat/>
    <w:uiPriority w:val="0"/>
    <w:rPr>
      <w:rFonts w:ascii="宋体" w:hAnsi="Tahoma"/>
      <w:sz w:val="18"/>
      <w:szCs w:val="18"/>
    </w:rPr>
  </w:style>
  <w:style w:type="paragraph" w:styleId="9">
    <w:name w:val="annotation text"/>
    <w:basedOn w:val="1"/>
    <w:link w:val="64"/>
    <w:semiHidden/>
    <w:qFormat/>
    <w:uiPriority w:val="99"/>
    <w:pPr>
      <w:jc w:val="left"/>
    </w:pPr>
    <w:rPr>
      <w:rFonts w:ascii="Tahoma" w:hAnsi="Tahoma"/>
    </w:rPr>
  </w:style>
  <w:style w:type="paragraph" w:styleId="10">
    <w:name w:val="Body Text 3"/>
    <w:basedOn w:val="1"/>
    <w:qFormat/>
    <w:uiPriority w:val="0"/>
    <w:rPr>
      <w:kern w:val="0"/>
      <w:sz w:val="16"/>
      <w:szCs w:val="16"/>
    </w:r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4">
    <w:name w:val="toc 3"/>
    <w:basedOn w:val="1"/>
    <w:next w:val="1"/>
    <w:unhideWhenUsed/>
    <w:qFormat/>
    <w:uiPriority w:val="39"/>
    <w:pPr>
      <w:ind w:left="840" w:leftChars="400"/>
    </w:pPr>
    <w:rPr>
      <w:sz w:val="28"/>
    </w:rPr>
  </w:style>
  <w:style w:type="paragraph" w:styleId="15">
    <w:name w:val="Plain Text"/>
    <w:basedOn w:val="1"/>
    <w:qFormat/>
    <w:uiPriority w:val="0"/>
    <w:rPr>
      <w:rFonts w:ascii="宋体" w:hAnsi="Courier New" w:eastAsia="楷体_GB2312"/>
      <w:snapToGrid w:val="0"/>
      <w:color w:val="000000"/>
      <w:kern w:val="0"/>
      <w:sz w:val="32"/>
      <w:szCs w:val="21"/>
    </w:rPr>
  </w:style>
  <w:style w:type="paragraph" w:styleId="16">
    <w:name w:val="Date"/>
    <w:basedOn w:val="1"/>
    <w:next w:val="1"/>
    <w:qFormat/>
    <w:uiPriority w:val="0"/>
    <w:rPr>
      <w:rFonts w:ascii="楷体_GB2312" w:eastAsia="楷体_GB2312"/>
      <w:color w:val="000000"/>
      <w:kern w:val="0"/>
      <w:sz w:val="32"/>
      <w:szCs w:val="32"/>
    </w:rPr>
  </w:style>
  <w:style w:type="paragraph" w:styleId="17">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8">
    <w:name w:val="Balloon Text"/>
    <w:basedOn w:val="1"/>
    <w:unhideWhenUsed/>
    <w:qFormat/>
    <w:uiPriority w:val="0"/>
    <w:rPr>
      <w:sz w:val="18"/>
      <w:szCs w:val="18"/>
    </w:rPr>
  </w:style>
  <w:style w:type="paragraph" w:styleId="19">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9"/>
    <w:next w:val="9"/>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8"/>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9"/>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9"/>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5</TotalTime>
  <ScaleCrop>false</ScaleCrop>
  <LinksUpToDate>false</LinksUpToDate>
  <CharactersWithSpaces>29889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Annie</cp:lastModifiedBy>
  <cp:lastPrinted>2020-07-23T09:32:00Z</cp:lastPrinted>
  <dcterms:modified xsi:type="dcterms:W3CDTF">2020-10-23T07:51:30Z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