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95"/>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HGDXW20-179</w:t>
            </w:r>
            <w:r>
              <w:rPr>
                <w:rFonts w:hint="eastAsia" w:asciiTheme="minorEastAsia" w:hAnsiTheme="minorEastAsia" w:eastAsiaTheme="minorEastAsia" w:cstheme="minorEastAsia"/>
                <w:b/>
                <w:color w:val="auto"/>
                <w:sz w:val="28"/>
                <w:lang w:val="en-US" w:eastAsia="zh-CN"/>
              </w:rPr>
              <w:t>/ZJZB-202010-284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湖北工业大学经济与管理学院国际贸易实务及外贸从业竞赛综合实训软件采购项目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eastAsia="zh-CN"/>
              </w:rPr>
              <w:t>湖北工业大学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2020年10月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tabs>
          <w:tab w:val="center" w:pos="4597"/>
          <w:tab w:val="left" w:pos="6772"/>
        </w:tabs>
        <w:jc w:val="lef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ab/>
      </w:r>
      <w:r>
        <w:rPr>
          <w:rFonts w:hint="eastAsia" w:asciiTheme="minorEastAsia" w:hAnsiTheme="minorEastAsia" w:eastAsiaTheme="minorEastAsia" w:cstheme="minorEastAsia"/>
          <w:b/>
          <w:bCs/>
          <w:sz w:val="44"/>
          <w:szCs w:val="44"/>
          <w:lang w:val="zh-CN"/>
        </w:rPr>
        <w:t>目  录</w:t>
      </w:r>
      <w:r>
        <w:rPr>
          <w:rFonts w:hint="eastAsia" w:asciiTheme="minorEastAsia" w:hAnsiTheme="minorEastAsia" w:eastAsiaTheme="minorEastAsia" w:cstheme="minorEastAsia"/>
          <w:b/>
          <w:bCs/>
          <w:sz w:val="44"/>
          <w:szCs w:val="44"/>
          <w:lang w:val="zh-CN"/>
        </w:rPr>
        <w:tab/>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_Toc1628 </w:instrText>
      </w:r>
      <w:r>
        <w:rPr>
          <w:rFonts w:hint="eastAsia" w:asciiTheme="minorEastAsia" w:hAnsiTheme="minorEastAsia" w:eastAsiaTheme="minorEastAsia" w:cstheme="minorEastAsia"/>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_Toc1628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_Toc24710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 项目基本情况</w:t>
      </w:r>
      <w:r>
        <w:tab/>
      </w:r>
      <w:r>
        <w:fldChar w:fldCharType="begin"/>
      </w:r>
      <w:r>
        <w:instrText xml:space="preserve"> PAGEREF _Toc24710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_Toc20667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二、 申请人的资格要求</w:t>
      </w:r>
      <w:r>
        <w:tab/>
      </w:r>
      <w:r>
        <w:fldChar w:fldCharType="begin"/>
      </w:r>
      <w:r>
        <w:instrText xml:space="preserve"> PAGEREF _Toc20667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_Toc30193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_Toc30193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_Toc3841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_Toc11052 </w:instrText>
      </w:r>
      <w:r>
        <w:rPr>
          <w:rFonts w:hint="eastAsia" w:asciiTheme="minorEastAsia" w:hAnsiTheme="minorEastAsia" w:eastAsiaTheme="minorEastAsia" w:cstheme="minorEastAsia"/>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_Toc11052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_Toc23624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六、 公告期限</w:t>
      </w:r>
      <w:r>
        <w:tab/>
      </w:r>
      <w:r>
        <w:fldChar w:fldCharType="begin"/>
      </w:r>
      <w:r>
        <w:instrText xml:space="preserve"> PAGEREF _Toc23624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_Toc17673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七、 其他补充事宜</w:t>
      </w:r>
      <w:r>
        <w:tab/>
      </w:r>
      <w:r>
        <w:fldChar w:fldCharType="begin"/>
      </w:r>
      <w:r>
        <w:instrText xml:space="preserve"> PAGEREF _Toc17673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_Toc12218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_Toc12218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_Toc30016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_Toc30354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_Toc5340 </w:instrText>
      </w:r>
      <w:r>
        <w:fldChar w:fldCharType="separate"/>
      </w:r>
      <w:r>
        <w:t>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_Toc19309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_Toc19164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_Toc19164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_Toc7383 </w:instrText>
      </w:r>
      <w:r>
        <w:fldChar w:fldCharType="separate"/>
      </w:r>
      <w:r>
        <w:t>12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_Toc18687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_Toc18687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_Toc25967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_Toc25967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_Toc22488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_Toc22488 </w:instrText>
      </w:r>
      <w:r>
        <w:fldChar w:fldCharType="separate"/>
      </w:r>
      <w:r>
        <w:t>13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_Toc27172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_Toc29851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_Toc22354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_Toc5704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_Toc7112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_Toc7443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_Toc6398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_Toc6398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_Toc17989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_Toc14856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_Toc4071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_Toc20227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_Toc20227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_Toc4849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_Toc4849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_Toc14612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_Toc14612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_Toc20441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_Toc4910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_Toc4910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_Toc2229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_Toc9786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_Toc23886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_Toc11099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_Toc16589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_Toc16589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_Toc13658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_Toc24054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_Toc8841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_Toc26119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_Toc17050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_Toc17050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_Toc26543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_Toc30772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_Toc30407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_Toc7258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_Toc7258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_Toc29351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_Toc23007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_Toc23007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_Toc26703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_Toc10603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_Toc14017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_Toc14017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_Toc6896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_Toc6896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_Toc3901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_Toc3901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_Toc16251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_Toc30779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_Toc24256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_Toc24256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_Toc29013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_Toc15828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_Toc1933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_Toc10483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_Toc25729 </w:instrText>
      </w:r>
      <w:r>
        <w:fldChar w:fldCharType="separate"/>
      </w:r>
      <w:r>
        <w:t>37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_Toc16455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_Toc30868 </w:instrText>
      </w:r>
      <w:r>
        <w:fldChar w:fldCharType="separate"/>
      </w:r>
      <w:r>
        <w:t>39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_Toc18437 </w:instrText>
      </w:r>
      <w:r>
        <w:fldChar w:fldCharType="separate"/>
      </w:r>
      <w:r>
        <w:t>40</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_Toc7958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_Toc7958 </w:instrText>
      </w:r>
      <w:r>
        <w:fldChar w:fldCharType="separate"/>
      </w:r>
      <w:r>
        <w:t>43</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_Toc32354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_Toc21743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_Toc21743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_Toc20006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_Toc7513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_Toc7513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_Toc10986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_Toc19882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_Toc3144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w:t>
      </w:r>
      <w:r>
        <w:tab/>
      </w:r>
      <w:r>
        <w:fldChar w:fldCharType="begin"/>
      </w:r>
      <w:r>
        <w:instrText xml:space="preserve"> PAGEREF _Toc66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八、拟投入设备/备件、工具情况</w:t>
      </w:r>
      <w:r>
        <w:tab/>
      </w:r>
      <w:r>
        <w:fldChar w:fldCharType="begin"/>
      </w:r>
      <w:r>
        <w:instrText xml:space="preserve"> PAGEREF _Toc26501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_Toc12313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_Toc17270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_Toc18816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_Toc8374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_Toc8711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_Toc8711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_Toc103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十五、</w:t>
      </w:r>
      <w:r>
        <w:rPr>
          <w:rFonts w:hint="eastAsia" w:asciiTheme="minorEastAsia" w:hAnsiTheme="minorEastAsia" w:eastAsiaTheme="minorEastAsia" w:cstheme="minorEastAsia"/>
          <w:bCs/>
          <w:kern w:val="0"/>
          <w:szCs w:val="21"/>
        </w:rPr>
        <w:t>报价技术文件</w:t>
      </w:r>
      <w:r>
        <w:tab/>
      </w:r>
      <w:r>
        <w:fldChar w:fldCharType="begin"/>
      </w:r>
      <w:r>
        <w:instrText xml:space="preserve"> PAGEREF _Toc6332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_Toc26126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_Toc26897 </w:instrText>
      </w:r>
      <w:r>
        <w:fldChar w:fldCharType="separate"/>
      </w:r>
      <w:r>
        <w:t>62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_Toc21843 </w:instrText>
      </w:r>
      <w:r>
        <w:fldChar w:fldCharType="separate"/>
      </w:r>
      <w:r>
        <w:t>63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十九、节能环保产品证明材料（若符合）</w:t>
      </w:r>
      <w:r>
        <w:tab/>
      </w:r>
      <w:r>
        <w:fldChar w:fldCharType="begin"/>
      </w:r>
      <w:r>
        <w:instrText xml:space="preserve"> PAGEREF _Toc20002 </w:instrText>
      </w:r>
      <w:r>
        <w:fldChar w:fldCharType="separate"/>
      </w:r>
      <w:r>
        <w:t>64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_Toc4769 </w:instrText>
      </w:r>
      <w:r>
        <w:fldChar w:fldCharType="separate"/>
      </w:r>
      <w:r>
        <w:t>65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、磋商供应商认为应该提</w:t>
      </w:r>
      <w:bookmarkStart w:id="232" w:name="_GoBack"/>
      <w:bookmarkEnd w:id="232"/>
      <w:r>
        <w:rPr>
          <w:rFonts w:hint="eastAsia" w:asciiTheme="minorEastAsia" w:hAnsiTheme="minorEastAsia" w:eastAsiaTheme="minorEastAsia" w:cstheme="minorEastAsia"/>
          <w:bCs/>
          <w:kern w:val="0"/>
          <w:szCs w:val="21"/>
          <w:shd w:val="clear" w:color="auto" w:fill="FFFFFF"/>
        </w:rPr>
        <w:t>交的其它文件（格式自拟）</w:t>
      </w:r>
      <w:r>
        <w:tab/>
      </w:r>
      <w:r>
        <w:fldChar w:fldCharType="begin"/>
      </w:r>
      <w:r>
        <w:instrText xml:space="preserve"> PAGEREF _Toc16716 </w:instrText>
      </w:r>
      <w:r>
        <w:fldChar w:fldCharType="separate"/>
      </w:r>
      <w:r>
        <w:t>65</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rFonts w:hint="eastAsia"/>
          <w:b/>
          <w:bCs/>
          <w:sz w:val="24"/>
          <w:szCs w:val="24"/>
        </w:rPr>
      </w:pPr>
      <w:bookmarkStart w:id="0" w:name="_Toc6866"/>
      <w:bookmarkStart w:id="1" w:name="_Toc1628"/>
      <w:r>
        <w:rPr>
          <w:rFonts w:hint="eastAsia" w:ascii="宋体" w:hAnsi="宋体" w:cs="宋体"/>
          <w:b/>
          <w:sz w:val="36"/>
          <w:szCs w:val="36"/>
        </w:rPr>
        <w:t>竞争性磋商公告</w:t>
      </w:r>
      <w:bookmarkEnd w:id="0"/>
      <w:bookmarkEnd w:id="1"/>
      <w:bookmarkStart w:id="2" w:name="_Toc144974480"/>
      <w:bookmarkStart w:id="3" w:name="_Toc524908844"/>
      <w:bookmarkStart w:id="4" w:name="_Toc152045512"/>
      <w:bookmarkStart w:id="5" w:name="_Toc179632528"/>
      <w:bookmarkStart w:id="6" w:name="_Toc9976"/>
      <w:bookmarkStart w:id="7" w:name="_Toc152042288"/>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湖北工业大学经济与管理学院国际贸易实务及外贸从业竞赛综合实训软件</w:t>
      </w:r>
      <w:r>
        <w:rPr>
          <w:rFonts w:hint="eastAsia" w:ascii="宋体" w:hAnsi="宋体" w:eastAsia="宋体" w:cs="宋体"/>
          <w:color w:val="000000"/>
          <w:sz w:val="21"/>
          <w:szCs w:val="21"/>
        </w:rPr>
        <w:t>采购项目</w:t>
      </w:r>
      <w:r>
        <w:rPr>
          <w:rFonts w:hint="eastAsia" w:ascii="宋体" w:hAnsi="宋体" w:eastAsia="宋体" w:cs="宋体"/>
          <w:color w:val="auto"/>
          <w:sz w:val="21"/>
          <w:szCs w:val="21"/>
          <w:u w:val="none"/>
          <w:lang w:val="en-US" w:eastAsia="zh-CN"/>
        </w:rPr>
        <w:t>的潜在供应商应在</w:t>
      </w:r>
      <w:r>
        <w:rPr>
          <w:rFonts w:hint="eastAsia" w:ascii="宋体" w:hAnsi="宋体" w:eastAsia="宋体" w:cs="宋体"/>
          <w:color w:val="000000"/>
          <w:sz w:val="21"/>
          <w:szCs w:val="21"/>
          <w:u w:val="single"/>
        </w:rPr>
        <w:t>中经国际招标集团有限公司</w:t>
      </w:r>
      <w:r>
        <w:rPr>
          <w:rFonts w:hint="eastAsia" w:ascii="宋体" w:hAnsi="宋体" w:eastAsia="宋体" w:cs="宋体"/>
          <w:color w:val="000000"/>
          <w:sz w:val="21"/>
          <w:szCs w:val="21"/>
          <w:u w:val="single"/>
          <w:lang w:eastAsia="zh-CN"/>
        </w:rPr>
        <w:t>（武昌区中北路岳家嘴立交山河企业大厦</w:t>
      </w:r>
      <w:r>
        <w:rPr>
          <w:rFonts w:hint="eastAsia" w:ascii="宋体" w:hAnsi="宋体" w:eastAsia="宋体" w:cs="宋体"/>
          <w:color w:val="000000"/>
          <w:sz w:val="21"/>
          <w:szCs w:val="21"/>
          <w:u w:val="single"/>
          <w:lang w:val="en-US" w:eastAsia="zh-CN"/>
        </w:rPr>
        <w:t>48楼</w:t>
      </w:r>
      <w:r>
        <w:rPr>
          <w:rFonts w:hint="eastAsia" w:ascii="宋体" w:hAnsi="宋体" w:eastAsia="宋体" w:cs="宋体"/>
          <w:color w:val="000000"/>
          <w:sz w:val="21"/>
          <w:szCs w:val="21"/>
          <w:u w:val="single"/>
          <w:lang w:eastAsia="zh-CN"/>
        </w:rPr>
        <w:t>480</w:t>
      </w:r>
      <w:r>
        <w:rPr>
          <w:rFonts w:hint="eastAsia" w:ascii="宋体" w:hAnsi="宋体" w:eastAsia="宋体" w:cs="宋体"/>
          <w:color w:val="auto"/>
          <w:sz w:val="21"/>
          <w:szCs w:val="21"/>
          <w:u w:val="single"/>
          <w:lang w:eastAsia="zh-CN"/>
        </w:rPr>
        <w:t>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000000"/>
          <w:sz w:val="21"/>
          <w:szCs w:val="21"/>
        </w:rPr>
        <w:t>文件，并于</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17</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14</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（北京时间）前递交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2"/>
        <w:numPr>
          <w:ilvl w:val="0"/>
          <w:numId w:val="6"/>
        </w:numPr>
        <w:spacing w:line="360" w:lineRule="auto"/>
        <w:jc w:val="left"/>
        <w:rPr>
          <w:rFonts w:hint="eastAsia" w:ascii="宋体" w:hAnsi="宋体" w:eastAsia="宋体" w:cs="宋体"/>
          <w:color w:val="auto"/>
          <w:sz w:val="21"/>
          <w:szCs w:val="21"/>
        </w:rPr>
      </w:pPr>
      <w:bookmarkStart w:id="8" w:name="_Toc24710"/>
      <w:r>
        <w:rPr>
          <w:rFonts w:hint="eastAsia" w:ascii="宋体" w:hAnsi="宋体" w:eastAsia="宋体" w:cs="宋体"/>
          <w:color w:val="auto"/>
          <w:sz w:val="21"/>
          <w:szCs w:val="21"/>
        </w:rPr>
        <w:t>项目基本情况</w:t>
      </w:r>
      <w:bookmarkEnd w:id="8"/>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1、项目编号：HGDXW20-179</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ZJZB-202010-284</w:t>
      </w:r>
      <w:r>
        <w:rPr>
          <w:rFonts w:hint="eastAsia" w:asciiTheme="minorEastAsia" w:hAnsiTheme="minorEastAsia" w:eastAsiaTheme="minorEastAsia" w:cstheme="minorEastAsia"/>
          <w:color w:val="auto"/>
          <w:sz w:val="21"/>
          <w:szCs w:val="21"/>
          <w:lang w:val="en-US" w:eastAsia="zh-CN"/>
        </w:rPr>
        <w:t>；</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、项目名称：湖北工业大学经济与管理学院国际贸易实务及外贸从业竞赛综合实训软件采购项目 </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3、采购方式：竞争性磋商</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、预算</w:t>
      </w:r>
      <w:r>
        <w:rPr>
          <w:rFonts w:hint="eastAsia" w:asciiTheme="minorEastAsia" w:hAnsiTheme="minorEastAsia" w:eastAsiaTheme="minorEastAsia" w:cstheme="minorEastAsia"/>
          <w:color w:val="auto"/>
          <w:sz w:val="21"/>
          <w:szCs w:val="21"/>
          <w:lang w:eastAsia="zh-CN"/>
        </w:rPr>
        <w:t>金额</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16.8 </w:t>
      </w:r>
      <w:r>
        <w:rPr>
          <w:rFonts w:hint="eastAsia" w:asciiTheme="minorEastAsia" w:hAnsiTheme="minorEastAsia" w:eastAsiaTheme="minorEastAsia" w:cstheme="minorEastAsia"/>
          <w:color w:val="auto"/>
          <w:sz w:val="21"/>
          <w:szCs w:val="21"/>
        </w:rPr>
        <w:t>万元（含财政资金</w:t>
      </w:r>
      <w:r>
        <w:rPr>
          <w:rFonts w:hint="eastAsia" w:asciiTheme="minorEastAsia" w:hAnsiTheme="minorEastAsia" w:eastAsiaTheme="minorEastAsia" w:cstheme="minorEastAsia"/>
          <w:color w:val="auto"/>
          <w:sz w:val="21"/>
          <w:szCs w:val="21"/>
          <w:u w:val="single"/>
          <w:lang w:val="en-US" w:eastAsia="zh-CN"/>
        </w:rPr>
        <w:t xml:space="preserve"> / </w:t>
      </w:r>
      <w:r>
        <w:rPr>
          <w:rFonts w:hint="eastAsia" w:asciiTheme="minorEastAsia" w:hAnsiTheme="minorEastAsia" w:eastAsiaTheme="minorEastAsia" w:cstheme="minorEastAsia"/>
          <w:color w:val="auto"/>
          <w:sz w:val="21"/>
          <w:szCs w:val="21"/>
        </w:rPr>
        <w:t>万元，其他资金</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16.8 </w:t>
      </w:r>
      <w:r>
        <w:rPr>
          <w:rFonts w:hint="eastAsia" w:asciiTheme="minorEastAsia" w:hAnsiTheme="minorEastAsia" w:eastAsiaTheme="minorEastAsia" w:cstheme="minorEastAsia"/>
          <w:color w:val="auto"/>
          <w:sz w:val="21"/>
          <w:szCs w:val="21"/>
        </w:rPr>
        <w:t>万元）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5、最高限价：</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 xml:space="preserve"> 16.8 </w:t>
      </w:r>
      <w:r>
        <w:rPr>
          <w:rFonts w:hint="eastAsia" w:asciiTheme="minorEastAsia" w:hAnsiTheme="minorEastAsia" w:eastAsiaTheme="minorEastAsia" w:cstheme="minorEastAsia"/>
          <w:color w:val="auto"/>
          <w:sz w:val="21"/>
          <w:szCs w:val="21"/>
        </w:rPr>
        <w:t>万元</w:t>
      </w:r>
      <w:r>
        <w:rPr>
          <w:rFonts w:hint="eastAsia" w:asciiTheme="minorEastAsia" w:hAnsiTheme="minorEastAsia" w:eastAsiaTheme="minorEastAsia" w:cstheme="minorEastAsia"/>
          <w:color w:val="auto"/>
          <w:sz w:val="21"/>
          <w:szCs w:val="21"/>
          <w:lang w:val="en-US" w:eastAsia="zh-CN"/>
        </w:rPr>
        <w:t>；</w:t>
      </w:r>
    </w:p>
    <w:p>
      <w:p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采购需求：</w:t>
      </w:r>
      <w:r>
        <w:rPr>
          <w:rFonts w:hint="eastAsia" w:asciiTheme="minorEastAsia" w:hAnsiTheme="minorEastAsia" w:eastAsiaTheme="minorEastAsia" w:cstheme="minorEastAsia"/>
          <w:color w:val="auto"/>
          <w:sz w:val="21"/>
          <w:szCs w:val="21"/>
          <w:highlight w:val="none"/>
          <w:lang w:val="en-US" w:eastAsia="zh-CN"/>
        </w:rPr>
        <w:t>为湖北工业大学经济与管理学院购置一批实务及外贸从业竞赛综合实训软件供于学生学习及使用；</w:t>
      </w:r>
      <w:r>
        <w:rPr>
          <w:rFonts w:hint="eastAsia" w:asciiTheme="minorEastAsia" w:hAnsiTheme="minorEastAsia" w:eastAsiaTheme="minorEastAsia" w:cstheme="minorEastAsia"/>
          <w:color w:val="auto"/>
          <w:sz w:val="21"/>
          <w:szCs w:val="21"/>
        </w:rPr>
        <w:t>(详</w:t>
      </w:r>
      <w:r>
        <w:rPr>
          <w:rFonts w:hint="eastAsia" w:asciiTheme="minorEastAsia" w:hAnsiTheme="minorEastAsia" w:eastAsiaTheme="minorEastAsia" w:cstheme="minorEastAsia"/>
          <w:color w:val="000000"/>
          <w:sz w:val="21"/>
          <w:szCs w:val="21"/>
        </w:rPr>
        <w:t>见采购文件第三章“项目采购需求”）</w:t>
      </w:r>
    </w:p>
    <w:p>
      <w:pPr>
        <w:numPr>
          <w:ilvl w:val="0"/>
          <w:numId w:val="7"/>
        </w:numPr>
        <w:spacing w:line="360" w:lineRule="auto"/>
        <w:ind w:left="420" w:left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类别：</w:t>
      </w:r>
      <w:r>
        <w:rPr>
          <w:rFonts w:hint="eastAsia" w:ascii="宋体" w:hAnsi="宋体" w:eastAsia="宋体" w:cs="宋体"/>
          <w:b w:val="0"/>
          <w:bCs w:val="0"/>
          <w:color w:val="auto"/>
          <w:kern w:val="2"/>
          <w:sz w:val="21"/>
          <w:szCs w:val="21"/>
          <w:lang w:val="en-US" w:eastAsia="zh-CN" w:bidi="ar-SA"/>
        </w:rPr>
        <w:t>货物</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bidi="ar-SA"/>
        </w:rPr>
        <w:t>交货期：合同签订后</w:t>
      </w:r>
      <w:r>
        <w:rPr>
          <w:rFonts w:hint="eastAsia" w:ascii="宋体" w:hAnsi="宋体" w:eastAsia="宋体" w:cs="宋体"/>
          <w:b w:val="0"/>
          <w:bCs w:val="0"/>
          <w:color w:val="auto"/>
          <w:kern w:val="2"/>
          <w:sz w:val="21"/>
          <w:szCs w:val="21"/>
          <w:u w:val="single"/>
          <w:lang w:val="en-US" w:eastAsia="zh-CN" w:bidi="ar-SA"/>
        </w:rPr>
        <w:t xml:space="preserve"> 30 </w:t>
      </w:r>
      <w:r>
        <w:rPr>
          <w:rFonts w:hint="eastAsia" w:ascii="宋体" w:hAnsi="宋体" w:eastAsia="宋体" w:cs="宋体"/>
          <w:b w:val="0"/>
          <w:bCs w:val="0"/>
          <w:color w:val="auto"/>
          <w:kern w:val="2"/>
          <w:sz w:val="21"/>
          <w:szCs w:val="21"/>
          <w:lang w:val="en-US" w:eastAsia="zh-CN" w:bidi="ar-SA"/>
        </w:rPr>
        <w:t>日历天内供货，到货后</w:t>
      </w:r>
      <w:r>
        <w:rPr>
          <w:rFonts w:hint="eastAsia" w:ascii="宋体" w:hAnsi="宋体" w:eastAsia="宋体" w:cs="宋体"/>
          <w:b w:val="0"/>
          <w:bCs w:val="0"/>
          <w:color w:val="auto"/>
          <w:kern w:val="2"/>
          <w:sz w:val="21"/>
          <w:szCs w:val="21"/>
          <w:u w:val="single"/>
          <w:lang w:val="en-US" w:eastAsia="zh-CN" w:bidi="ar-SA"/>
        </w:rPr>
        <w:t xml:space="preserve"> 60 </w:t>
      </w:r>
      <w:r>
        <w:rPr>
          <w:rFonts w:hint="eastAsia" w:ascii="宋体" w:hAnsi="宋体" w:eastAsia="宋体" w:cs="宋体"/>
          <w:b w:val="0"/>
          <w:bCs w:val="0"/>
          <w:color w:val="auto"/>
          <w:kern w:val="2"/>
          <w:sz w:val="21"/>
          <w:szCs w:val="21"/>
          <w:lang w:val="en-US" w:eastAsia="zh-CN" w:bidi="ar-SA"/>
        </w:rPr>
        <w:t>天内完成安装调试</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bidi="ar-SA"/>
        </w:rPr>
        <w:t>质保期/保修期：验收合格之日起三年免费质保</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质量标准：达到国家或行业颁布的其他现行各项技术标准和验收规范规定</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参加</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的报价超过该包采购最高限价的，该包</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无效；</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报价须包含该采购</w:t>
      </w:r>
      <w:r>
        <w:rPr>
          <w:rFonts w:hint="eastAsia" w:ascii="宋体" w:hAnsi="宋体" w:eastAsia="宋体" w:cs="宋体"/>
          <w:color w:val="auto"/>
          <w:sz w:val="21"/>
          <w:szCs w:val="21"/>
          <w:lang w:eastAsia="zh-CN"/>
        </w:rPr>
        <w:t>需求</w:t>
      </w:r>
      <w:r>
        <w:rPr>
          <w:rFonts w:hint="eastAsia" w:ascii="宋体" w:hAnsi="宋体" w:eastAsia="宋体" w:cs="宋体"/>
          <w:color w:val="auto"/>
          <w:sz w:val="21"/>
          <w:szCs w:val="21"/>
        </w:rPr>
        <w:t>的全部内容。</w:t>
      </w:r>
    </w:p>
    <w:p>
      <w:pPr>
        <w:numPr>
          <w:ilvl w:val="0"/>
          <w:numId w:val="0"/>
        </w:numPr>
        <w:spacing w:line="360" w:lineRule="auto"/>
        <w:jc w:val="left"/>
        <w:rPr>
          <w:rFonts w:hint="eastAsia" w:ascii="宋体" w:hAnsi="宋体" w:eastAsia="宋体" w:cs="宋体"/>
          <w:strike/>
          <w:dstrike w:val="0"/>
          <w:color w:val="auto"/>
          <w:sz w:val="21"/>
          <w:szCs w:val="21"/>
          <w:lang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xml:space="preserve"> </w:t>
      </w:r>
      <w:r>
        <w:rPr>
          <w:rFonts w:hint="eastAsia" w:ascii="宋体" w:hAnsi="宋体" w:cs="宋体"/>
          <w:color w:val="auto"/>
          <w:sz w:val="21"/>
          <w:szCs w:val="21"/>
          <w:u w:val="single"/>
          <w:lang w:eastAsia="zh-CN"/>
        </w:rPr>
        <w:t>见交货期</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 xml:space="preserve">                 </w:t>
      </w:r>
    </w:p>
    <w:p>
      <w:pPr>
        <w:numPr>
          <w:ilvl w:val="0"/>
          <w:numId w:val="0"/>
        </w:numPr>
        <w:spacing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u w:val="single"/>
          <w:lang w:val="en-US" w:eastAsia="zh-CN"/>
        </w:rPr>
        <w:t>不接受</w:t>
      </w:r>
      <w:r>
        <w:rPr>
          <w:rFonts w:hint="eastAsia" w:ascii="宋体" w:hAnsi="宋体" w:eastAsia="宋体" w:cs="宋体"/>
          <w:color w:val="auto"/>
          <w:sz w:val="21"/>
          <w:szCs w:val="21"/>
          <w:lang w:val="en-US" w:eastAsia="zh-CN"/>
        </w:rPr>
        <w:t>联合体竞标；</w:t>
      </w:r>
    </w:p>
    <w:p>
      <w:pPr>
        <w:pStyle w:val="2"/>
        <w:numPr>
          <w:ilvl w:val="0"/>
          <w:numId w:val="6"/>
        </w:numPr>
        <w:spacing w:line="360" w:lineRule="auto"/>
        <w:jc w:val="left"/>
        <w:rPr>
          <w:rFonts w:hint="eastAsia" w:ascii="宋体" w:hAnsi="宋体" w:eastAsia="宋体" w:cs="宋体"/>
          <w:sz w:val="21"/>
          <w:szCs w:val="21"/>
        </w:rPr>
      </w:pPr>
      <w:bookmarkStart w:id="9" w:name="_Toc20667"/>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单位负责人为同一人或者存在直接控股、管理关系的不同投标人，不得参加本项目同一合同项下的政府采购活动。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未被列入失信被执行人、重大税收违法案件当事人名单，未被列入政府采购严重违法失信行为记录名单。</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strike w:val="0"/>
          <w:dstrike w:val="0"/>
          <w:color w:val="auto"/>
          <w:sz w:val="21"/>
          <w:szCs w:val="21"/>
        </w:rPr>
        <w:t>详见</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strike w:val="0"/>
          <w:dstrike w:val="0"/>
          <w:color w:val="auto"/>
          <w:sz w:val="21"/>
          <w:szCs w:val="21"/>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6.2供应商营业执照的经营范围需满足采购需求；</w:t>
      </w:r>
    </w:p>
    <w:p>
      <w:pPr>
        <w:pStyle w:val="2"/>
        <w:numPr>
          <w:ilvl w:val="0"/>
          <w:numId w:val="6"/>
        </w:numPr>
        <w:spacing w:line="360" w:lineRule="auto"/>
        <w:jc w:val="left"/>
        <w:rPr>
          <w:rFonts w:hint="eastAsia" w:ascii="宋体" w:hAnsi="宋体" w:eastAsia="宋体" w:cs="宋体"/>
          <w:sz w:val="21"/>
          <w:szCs w:val="21"/>
        </w:rPr>
      </w:pPr>
      <w:bookmarkStart w:id="10" w:name="_Toc30193"/>
      <w:bookmarkStart w:id="11" w:name="_Toc334539185"/>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bookmarkEnd w:id="10"/>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日至</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eastAsia="宋体" w:cs="宋体"/>
          <w:sz w:val="21"/>
          <w:szCs w:val="21"/>
        </w:rPr>
        <w:t>5个工作日），每天上午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2"/>
        <w:numPr>
          <w:ilvl w:val="0"/>
          <w:numId w:val="6"/>
        </w:numPr>
        <w:spacing w:line="360" w:lineRule="auto"/>
        <w:jc w:val="left"/>
        <w:rPr>
          <w:rFonts w:hint="eastAsia" w:ascii="宋体" w:hAnsi="宋体" w:eastAsia="宋体" w:cs="宋体"/>
          <w:sz w:val="21"/>
          <w:szCs w:val="21"/>
        </w:rPr>
      </w:pPr>
      <w:bookmarkStart w:id="12" w:name="_Toc3841"/>
      <w:r>
        <w:rPr>
          <w:rFonts w:hint="eastAsia" w:ascii="宋体" w:hAnsi="宋体" w:eastAsia="宋体" w:cs="宋体"/>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开始时间：2020年11月17日8点30分（北京时间）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截止时间：2020年11月17日14点00分（北京时间）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地点：武昌区中北路岳家嘴立交山河企业大厦4806室</w:t>
      </w:r>
    </w:p>
    <w:p>
      <w:pPr>
        <w:pStyle w:val="2"/>
        <w:numPr>
          <w:ilvl w:val="0"/>
          <w:numId w:val="6"/>
        </w:numPr>
        <w:spacing w:line="360" w:lineRule="auto"/>
        <w:jc w:val="left"/>
        <w:rPr>
          <w:rFonts w:hint="eastAsia" w:eastAsia="宋体"/>
          <w:sz w:val="21"/>
          <w:szCs w:val="21"/>
          <w:lang w:eastAsia="zh-CN"/>
        </w:rPr>
      </w:pPr>
      <w:bookmarkStart w:id="13" w:name="_Toc11052"/>
      <w:r>
        <w:rPr>
          <w:rFonts w:hint="eastAsia" w:ascii="宋体" w:hAnsi="宋体" w:eastAsia="宋体" w:cs="宋体"/>
          <w:sz w:val="21"/>
          <w:szCs w:val="21"/>
          <w:lang w:eastAsia="zh-CN"/>
        </w:rPr>
        <w:t>开启</w:t>
      </w:r>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w:t>
      </w:r>
      <w:r>
        <w:rPr>
          <w:rFonts w:hint="eastAsia" w:ascii="宋体" w:hAnsi="宋体" w:eastAsia="宋体" w:cs="宋体"/>
          <w:sz w:val="21"/>
          <w:szCs w:val="21"/>
          <w:lang w:eastAsia="zh-CN"/>
        </w:rPr>
        <w:t>2020年</w:t>
      </w:r>
      <w:r>
        <w:rPr>
          <w:rFonts w:hint="eastAsia" w:ascii="宋体" w:hAnsi="宋体" w:cs="宋体"/>
          <w:sz w:val="21"/>
          <w:szCs w:val="21"/>
          <w:lang w:val="en-US" w:eastAsia="zh-CN"/>
        </w:rPr>
        <w:t>11</w:t>
      </w:r>
      <w:r>
        <w:rPr>
          <w:rFonts w:hint="eastAsia" w:ascii="宋体" w:hAnsi="宋体" w:eastAsia="宋体" w:cs="宋体"/>
          <w:sz w:val="21"/>
          <w:szCs w:val="21"/>
          <w:lang w:eastAsia="zh-CN"/>
        </w:rPr>
        <w:t>月</w:t>
      </w:r>
      <w:r>
        <w:rPr>
          <w:rFonts w:hint="eastAsia" w:ascii="宋体" w:hAnsi="宋体" w:cs="宋体"/>
          <w:sz w:val="21"/>
          <w:szCs w:val="21"/>
          <w:lang w:val="en-US" w:eastAsia="zh-CN"/>
        </w:rPr>
        <w:t>17</w:t>
      </w:r>
      <w:r>
        <w:rPr>
          <w:rFonts w:hint="eastAsia" w:ascii="宋体" w:hAnsi="宋体" w:eastAsia="宋体" w:cs="宋体"/>
          <w:sz w:val="21"/>
          <w:szCs w:val="21"/>
          <w:lang w:eastAsia="zh-CN"/>
        </w:rPr>
        <w:t>日</w:t>
      </w:r>
      <w:r>
        <w:rPr>
          <w:rFonts w:hint="eastAsia" w:ascii="宋体" w:hAnsi="宋体" w:cs="宋体"/>
          <w:sz w:val="21"/>
          <w:szCs w:val="21"/>
          <w:lang w:val="en-US" w:eastAsia="zh-CN"/>
        </w:rPr>
        <w:t>14</w:t>
      </w:r>
      <w:r>
        <w:rPr>
          <w:rFonts w:hint="eastAsia" w:ascii="宋体" w:hAnsi="宋体" w:eastAsia="宋体" w:cs="宋体"/>
          <w:sz w:val="21"/>
          <w:szCs w:val="21"/>
          <w:lang w:eastAsia="zh-CN"/>
        </w:rPr>
        <w:t>点</w:t>
      </w:r>
      <w:r>
        <w:rPr>
          <w:rFonts w:hint="eastAsia" w:ascii="宋体" w:hAnsi="宋体" w:cs="宋体"/>
          <w:sz w:val="21"/>
          <w:szCs w:val="21"/>
          <w:lang w:val="en-US" w:eastAsia="zh-CN"/>
        </w:rPr>
        <w:t>00</w:t>
      </w:r>
      <w:r>
        <w:rPr>
          <w:rFonts w:hint="eastAsia" w:ascii="宋体" w:hAnsi="宋体" w:eastAsia="宋体" w:cs="宋体"/>
          <w:sz w:val="21"/>
          <w:szCs w:val="21"/>
          <w:lang w:eastAsia="zh-CN"/>
        </w:rPr>
        <w:t>分（北京时间）</w:t>
      </w:r>
    </w:p>
    <w:p>
      <w:pPr>
        <w:pStyle w:val="2"/>
        <w:numPr>
          <w:ilvl w:val="0"/>
          <w:numId w:val="6"/>
        </w:numPr>
        <w:spacing w:line="360" w:lineRule="auto"/>
        <w:jc w:val="left"/>
        <w:rPr>
          <w:rFonts w:hint="eastAsia" w:ascii="宋体" w:hAnsi="宋体" w:eastAsia="宋体" w:cs="宋体"/>
          <w:sz w:val="21"/>
          <w:szCs w:val="21"/>
        </w:rPr>
      </w:pPr>
      <w:bookmarkStart w:id="14" w:name="_Toc23624"/>
      <w:r>
        <w:rPr>
          <w:rFonts w:hint="eastAsia" w:ascii="宋体" w:hAnsi="宋体" w:eastAsia="宋体" w:cs="宋体"/>
          <w:sz w:val="21"/>
          <w:szCs w:val="21"/>
        </w:rPr>
        <w:t>公告期限</w:t>
      </w:r>
      <w:bookmarkEnd w:id="14"/>
    </w:p>
    <w:p>
      <w:pPr>
        <w:spacing w:line="360" w:lineRule="auto"/>
        <w:ind w:firstLine="420" w:firstLineChars="200"/>
        <w:jc w:val="left"/>
        <w:rPr>
          <w:rFonts w:hint="eastAsia" w:ascii="宋体" w:hAnsi="宋体" w:eastAsia="宋体" w:cs="宋体"/>
          <w:sz w:val="21"/>
          <w:szCs w:val="21"/>
          <w:lang w:eastAsia="zh-CN"/>
        </w:rPr>
      </w:pPr>
      <w:bookmarkStart w:id="15" w:name="_Toc317262251"/>
      <w:bookmarkStart w:id="16" w:name="_Toc6021"/>
      <w:bookmarkStart w:id="17" w:name="_Toc334539188"/>
      <w:bookmarkStart w:id="18" w:name="_Toc259607751"/>
      <w:bookmarkStart w:id="19" w:name="_Toc276368888"/>
      <w:bookmarkStart w:id="20" w:name="_Toc320898024"/>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eastAsia="宋体" w:cs="宋体"/>
          <w:sz w:val="21"/>
          <w:szCs w:val="21"/>
          <w:lang w:val="en-US" w:eastAsia="zh-CN"/>
        </w:rPr>
        <w:t>5个工作日</w:t>
      </w:r>
    </w:p>
    <w:bookmarkEnd w:id="15"/>
    <w:bookmarkEnd w:id="16"/>
    <w:bookmarkEnd w:id="17"/>
    <w:bookmarkEnd w:id="18"/>
    <w:bookmarkEnd w:id="19"/>
    <w:bookmarkEnd w:id="20"/>
    <w:p>
      <w:pPr>
        <w:pStyle w:val="2"/>
        <w:numPr>
          <w:ilvl w:val="0"/>
          <w:numId w:val="6"/>
        </w:numPr>
        <w:spacing w:line="360" w:lineRule="auto"/>
        <w:jc w:val="left"/>
        <w:rPr>
          <w:rFonts w:hint="eastAsia" w:ascii="宋体" w:hAnsi="宋体" w:eastAsia="宋体" w:cs="宋体"/>
          <w:sz w:val="21"/>
          <w:szCs w:val="21"/>
        </w:rPr>
      </w:pPr>
      <w:bookmarkStart w:id="21" w:name="_Toc17673"/>
      <w:r>
        <w:rPr>
          <w:rFonts w:hint="eastAsia" w:ascii="宋体" w:hAnsi="宋体" w:eastAsia="宋体" w:cs="宋体"/>
          <w:sz w:val="21"/>
          <w:szCs w:val="21"/>
        </w:rPr>
        <w:t>其他补充事宜</w:t>
      </w:r>
      <w:bookmarkEnd w:id="21"/>
    </w:p>
    <w:p>
      <w:pPr>
        <w:numPr>
          <w:ilvl w:val="0"/>
          <w:numId w:val="0"/>
        </w:numPr>
        <w:spacing w:line="360" w:lineRule="auto"/>
        <w:ind w:firstLine="420" w:firstLineChars="200"/>
        <w:jc w:val="left"/>
        <w:rPr>
          <w:rFonts w:hint="eastAsia" w:ascii="宋体" w:hAnsi="宋体" w:eastAsia="宋体" w:cs="宋体"/>
          <w:color w:val="auto"/>
          <w:sz w:val="21"/>
          <w:szCs w:val="21"/>
          <w:lang w:val="en-US" w:eastAsia="zh-CN"/>
        </w:rPr>
      </w:pPr>
      <w:bookmarkStart w:id="22" w:name="_Toc259028279"/>
      <w:r>
        <w:rPr>
          <w:rFonts w:hint="eastAsia" w:ascii="宋体" w:hAnsi="宋体" w:eastAsia="宋体" w:cs="宋体"/>
          <w:sz w:val="21"/>
          <w:szCs w:val="21"/>
          <w:lang w:val="en-US" w:eastAsia="zh-CN"/>
        </w:rPr>
        <w:t>1.本项目是否专门面向中小企业、监狱企业、残疾人福利性单位</w:t>
      </w:r>
      <w:r>
        <w:rPr>
          <w:rFonts w:hint="eastAsia" w:ascii="宋体" w:hAnsi="宋体" w:eastAsia="宋体" w:cs="宋体"/>
          <w:color w:val="auto"/>
          <w:sz w:val="21"/>
          <w:szCs w:val="21"/>
          <w:lang w:val="en-US" w:eastAsia="zh-CN"/>
        </w:rPr>
        <w:t>：否</w:t>
      </w:r>
    </w:p>
    <w:p>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sz w:val="21"/>
          <w:szCs w:val="21"/>
          <w:lang w:val="en-US" w:eastAsia="zh-CN"/>
        </w:rPr>
        <w:t>3.供应商如需查询技术要求可直接到我处查阅采购文件第三章相关内容。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）《中经国际招标集团有限公司官网》（网址：</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"http://www.ceitcl.com/）"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t>http://www.ceitcl.com/）</w:t>
      </w:r>
      <w:r>
        <w:rPr>
          <w:rFonts w:hint="eastAsia" w:ascii="宋体" w:hAnsi="宋体" w:eastAsia="宋体" w:cs="宋体"/>
          <w:color w:val="auto"/>
          <w:sz w:val="21"/>
          <w:szCs w:val="21"/>
          <w:lang w:val="en-US" w:eastAsia="zh-CN"/>
        </w:rPr>
        <w:fldChar w:fldCharType="end"/>
      </w:r>
    </w:p>
    <w:p>
      <w:pPr>
        <w:spacing w:line="360" w:lineRule="auto"/>
        <w:ind w:firstLine="420"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）《湖北工业大学采招网》（网址：http://tend.hbut.edu.cn/index.chtml）</w:t>
      </w:r>
    </w:p>
    <w:bookmarkEnd w:id="22"/>
    <w:p>
      <w:pPr>
        <w:pStyle w:val="2"/>
        <w:numPr>
          <w:ilvl w:val="0"/>
          <w:numId w:val="6"/>
        </w:numPr>
        <w:spacing w:line="360" w:lineRule="auto"/>
        <w:jc w:val="left"/>
        <w:rPr>
          <w:rFonts w:hint="eastAsia" w:ascii="宋体" w:hAnsi="宋体" w:eastAsia="宋体" w:cs="宋体"/>
          <w:sz w:val="21"/>
          <w:szCs w:val="21"/>
        </w:rPr>
      </w:pPr>
      <w:bookmarkStart w:id="23" w:name="_Toc12218"/>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sz w:val="21"/>
          <w:szCs w:val="21"/>
          <w:lang w:eastAsia="zh-CN"/>
        </w:rPr>
        <w:t>1.采购</w:t>
      </w:r>
      <w:r>
        <w:rPr>
          <w:rFonts w:hint="eastAsia" w:ascii="宋体" w:hAnsi="宋体" w:eastAsia="宋体" w:cs="宋体"/>
          <w:color w:val="auto"/>
          <w:sz w:val="21"/>
          <w:szCs w:val="21"/>
          <w:lang w:eastAsia="zh-CN"/>
        </w:rPr>
        <w:t>人信息</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名 称：</w:t>
      </w:r>
      <w:r>
        <w:rPr>
          <w:rFonts w:hint="eastAsia" w:asciiTheme="minorEastAsia" w:hAnsiTheme="minorEastAsia" w:eastAsiaTheme="minorEastAsia" w:cstheme="minorEastAsia"/>
          <w:color w:val="auto"/>
          <w:szCs w:val="21"/>
          <w:u w:val="none"/>
        </w:rPr>
        <w:t>湖北工业大学</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址：</w:t>
      </w:r>
      <w:r>
        <w:rPr>
          <w:rFonts w:hint="eastAsia" w:asciiTheme="minorEastAsia" w:hAnsiTheme="minorEastAsia" w:eastAsiaTheme="minorEastAsia" w:cstheme="minorEastAsia"/>
          <w:color w:val="auto"/>
          <w:szCs w:val="21"/>
          <w:u w:val="none"/>
        </w:rPr>
        <w:t>湖北省武汉市洪山区南李路28号</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联系方式：王老师、</w:t>
      </w:r>
      <w:r>
        <w:rPr>
          <w:rFonts w:hint="eastAsia" w:asciiTheme="minorEastAsia" w:hAnsiTheme="minorEastAsia" w:eastAsiaTheme="minorEastAsia" w:cstheme="minorEastAsia"/>
          <w:color w:val="auto"/>
          <w:szCs w:val="21"/>
          <w:u w:val="none"/>
        </w:rPr>
        <w:t>027-59750213</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2.采购代理机</w:t>
      </w:r>
      <w:r>
        <w:rPr>
          <w:rFonts w:hint="eastAsia" w:ascii="宋体" w:hAnsi="宋体" w:eastAsia="宋体" w:cs="宋体"/>
          <w:sz w:val="21"/>
          <w:szCs w:val="21"/>
          <w:lang w:eastAsia="zh-CN"/>
        </w:rPr>
        <w:t>构信息</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称：中经国际招标集团有限公司　　　　　　　　　　　　</w:t>
      </w:r>
    </w:p>
    <w:p>
      <w:pPr>
        <w:spacing w:line="360" w:lineRule="auto"/>
        <w:ind w:firstLine="420" w:firstLineChars="200"/>
        <w:jc w:val="lef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地　址：武昌区中北路岳家嘴立交山河企业大厦</w:t>
      </w:r>
      <w:r>
        <w:rPr>
          <w:rFonts w:hint="eastAsia" w:ascii="宋体" w:hAnsi="宋体" w:eastAsia="宋体" w:cs="宋体"/>
          <w:sz w:val="21"/>
          <w:szCs w:val="21"/>
          <w:lang w:val="en-US" w:eastAsia="zh-CN"/>
        </w:rPr>
        <w:t>48楼4805、</w:t>
      </w:r>
      <w:r>
        <w:rPr>
          <w:rFonts w:hint="eastAsia" w:ascii="宋体" w:hAnsi="宋体" w:eastAsia="宋体" w:cs="宋体"/>
          <w:sz w:val="21"/>
          <w:szCs w:val="21"/>
          <w:lang w:eastAsia="zh-CN"/>
        </w:rPr>
        <w:t>4806室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联系方式：</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3.项目联系方式</w:t>
      </w:r>
    </w:p>
    <w:p>
      <w:pPr>
        <w:spacing w:line="360" w:lineRule="auto"/>
        <w:ind w:firstLine="420" w:firstLineChars="20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项目联系人：张梦、</w:t>
      </w:r>
      <w:r>
        <w:rPr>
          <w:rFonts w:hint="eastAsia" w:ascii="宋体" w:hAnsi="宋体" w:cs="宋体"/>
          <w:color w:val="auto"/>
          <w:sz w:val="21"/>
          <w:szCs w:val="21"/>
          <w:lang w:eastAsia="zh-CN"/>
        </w:rPr>
        <w:t>方雪菲、刘晋琦</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宋体" w:hAnsi="宋体" w:eastAsia="宋体" w:cs="宋体"/>
          <w:color w:val="auto"/>
          <w:sz w:val="21"/>
          <w:szCs w:val="21"/>
          <w:lang w:eastAsia="zh-CN"/>
        </w:rPr>
        <w:t>电</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　话：</w:t>
      </w:r>
      <w:r>
        <w:rPr>
          <w:rFonts w:hint="eastAsia" w:ascii="宋体" w:hAnsi="宋体" w:eastAsia="宋体" w:cs="宋体"/>
          <w:color w:val="auto"/>
          <w:sz w:val="21"/>
          <w:szCs w:val="21"/>
          <w:lang w:val="en-US" w:eastAsia="zh-CN"/>
        </w:rPr>
        <w:t>027-87820788</w:t>
      </w:r>
      <w:r>
        <w:rPr>
          <w:rFonts w:hint="eastAsia" w:ascii="宋体" w:hAnsi="宋体" w:eastAsia="宋体" w:cs="宋体"/>
          <w:color w:val="auto"/>
          <w:sz w:val="21"/>
          <w:szCs w:val="21"/>
          <w:lang w:eastAsia="zh-CN"/>
        </w:rPr>
        <w:t>　　</w:t>
      </w:r>
    </w:p>
    <w:p>
      <w:pPr>
        <w:pStyle w:val="2"/>
        <w:numPr>
          <w:ilvl w:val="0"/>
          <w:numId w:val="6"/>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4" w:name="_Toc30016"/>
      <w:r>
        <w:rPr>
          <w:rFonts w:hint="eastAsia" w:asciiTheme="minorEastAsia" w:hAnsiTheme="minorEastAsia" w:eastAsiaTheme="minorEastAsia" w:cstheme="minorEastAsia"/>
          <w:sz w:val="21"/>
          <w:szCs w:val="21"/>
        </w:rPr>
        <w:t>注意事项</w:t>
      </w:r>
      <w:bookmarkEnd w:id="24"/>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日</w:t>
      </w:r>
    </w:p>
    <w:p>
      <w:pPr>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0"/>
        <w:rPr>
          <w:rFonts w:hint="eastAsia" w:asciiTheme="minorEastAsia" w:hAnsiTheme="minorEastAsia" w:eastAsiaTheme="minorEastAsia" w:cstheme="minorEastAsia"/>
        </w:rPr>
      </w:pP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5" w:name="_Toc30354"/>
      <w:r>
        <w:rPr>
          <w:rFonts w:hint="eastAsia" w:asciiTheme="minorEastAsia" w:hAnsiTheme="minorEastAsia" w:eastAsiaTheme="minorEastAsia" w:cstheme="minorEastAsia"/>
          <w:sz w:val="36"/>
          <w:szCs w:val="36"/>
        </w:rPr>
        <w:t>供应商须知</w:t>
      </w:r>
      <w:bookmarkEnd w:id="25"/>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6" w:name="_Toc5340"/>
      <w:r>
        <w:rPr>
          <w:rFonts w:hint="eastAsia" w:asciiTheme="minorEastAsia" w:hAnsiTheme="minorEastAsia" w:eastAsiaTheme="minorEastAsia" w:cstheme="minorEastAsia"/>
          <w:b/>
          <w:szCs w:val="21"/>
        </w:rPr>
        <w:t>《供应商须知前附表》</w:t>
      </w:r>
      <w:bookmarkEnd w:id="26"/>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根据国家发展与改革委员会办公厅发改办价格【2003】857号文的规定，经与采购人协商，由成交供应商按国家发展计划委员会计价格【2002】1980号文规定货物类取费标准的80%向采购代理机构支付招标代理服务费。招标代理服务费由成交供应商在领取成交通知书的同时，向采购代理机构支付。不足肆仟元按肆仟元保底收费计取。</w:t>
            </w:r>
            <w:r>
              <w:rPr>
                <w:rFonts w:hint="eastAsia" w:asciiTheme="minorEastAsia" w:hAnsiTheme="minorEastAsia" w:eastAsiaTheme="minorEastAsia" w:cstheme="minorEastAsia"/>
                <w:b/>
                <w:bCs/>
                <w:color w:val="auto"/>
                <w:sz w:val="21"/>
                <w:szCs w:val="21"/>
                <w:highlight w:val="none"/>
                <w:lang w:eastAsia="zh-CN"/>
              </w:rPr>
              <w:t>不足肆仟元按肆仟元保底收费计取。</w:t>
            </w:r>
            <w:r>
              <w:rPr>
                <w:rFonts w:hint="eastAsia" w:ascii="宋体" w:hAnsi="宋体" w:eastAsia="宋体" w:cs="宋体"/>
                <w:b w:val="0"/>
                <w:bCs w:val="0"/>
                <w:color w:val="auto"/>
                <w:kern w:val="2"/>
                <w:sz w:val="21"/>
                <w:szCs w:val="21"/>
                <w:lang w:val="en-US" w:eastAsia="zh-CN" w:bidi="ar-SA"/>
              </w:rPr>
              <w:t>详见成交公告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w:t>
            </w:r>
            <w:r>
              <w:rPr>
                <w:rFonts w:hint="eastAsia" w:asciiTheme="minorEastAsia" w:hAnsiTheme="minorEastAsia" w:eastAsiaTheme="minorEastAsia" w:cstheme="minorEastAsia"/>
                <w:color w:val="auto"/>
                <w:sz w:val="21"/>
                <w:szCs w:val="21"/>
                <w:lang w:val="en-US" w:eastAsia="zh-CN"/>
              </w:rPr>
              <w:t>竞争性磋商</w:t>
            </w:r>
            <w:r>
              <w:rPr>
                <w:rFonts w:hint="eastAsia" w:asciiTheme="minorEastAsia" w:hAnsiTheme="minorEastAsia" w:eastAsiaTheme="minorEastAsia" w:cstheme="minorEastAsia"/>
                <w:color w:val="auto"/>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w:t>
            </w:r>
            <w:r>
              <w:rPr>
                <w:rFonts w:hint="eastAsia" w:asciiTheme="minorEastAsia" w:hAnsiTheme="minorEastAsia" w:eastAsiaTheme="minorEastAsia" w:cstheme="minorEastAsia"/>
                <w:color w:val="auto"/>
                <w:sz w:val="21"/>
                <w:szCs w:val="21"/>
                <w:lang w:eastAsia="zh-CN"/>
              </w:rPr>
              <w:t>，以采购代理公司银行到账信息为准。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自磋商截止时间起共</w:t>
            </w:r>
            <w:r>
              <w:rPr>
                <w:rFonts w:hint="eastAsia" w:asciiTheme="minorEastAsia" w:hAnsiTheme="minorEastAsia" w:eastAsiaTheme="minorEastAsia" w:cstheme="minorEastAsia"/>
                <w:color w:val="auto"/>
                <w:kern w:val="0"/>
                <w:sz w:val="21"/>
                <w:szCs w:val="21"/>
                <w:u w:val="single"/>
                <w:lang w:val="en-US" w:eastAsia="zh-CN"/>
              </w:rPr>
              <w:t xml:space="preserve"> 90 </w:t>
            </w:r>
            <w:r>
              <w:rPr>
                <w:rFonts w:hint="eastAsia" w:asciiTheme="minorEastAsia" w:hAnsiTheme="minorEastAsia" w:eastAsiaTheme="minorEastAsia" w:cstheme="minorEastAsia"/>
                <w:color w:val="auto"/>
                <w:kern w:val="0"/>
                <w:sz w:val="21"/>
                <w:szCs w:val="21"/>
              </w:rPr>
              <w:t>日历天</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shd w:val="clear" w:color="auto" w:fill="FFFFFF"/>
                <w:lang w:val="en-US" w:eastAsia="zh-CN"/>
              </w:rPr>
              <w:t>WORD</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shd w:val="clear" w:color="auto" w:fill="FFFFFF"/>
                <w:lang w:val="en-US" w:eastAsia="zh-CN"/>
              </w:rPr>
              <w:t>和</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投标文件电子版形式：</w:t>
            </w:r>
            <w:r>
              <w:rPr>
                <w:rFonts w:hint="eastAsia" w:asciiTheme="minorEastAsia" w:hAnsiTheme="minorEastAsia" w:eastAsiaTheme="minorEastAsia" w:cstheme="minorEastAsia"/>
                <w:color w:val="auto"/>
                <w:sz w:val="21"/>
                <w:szCs w:val="21"/>
                <w:u w:val="single"/>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提供的报价一览表、优惠声明（如有）</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zh-CN"/>
              </w:rPr>
              <w:t>（本项目不适用）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w:t>
            </w:r>
            <w:r>
              <w:rPr>
                <w:rFonts w:hint="eastAsia" w:asciiTheme="minorEastAsia" w:hAnsiTheme="minorEastAsia" w:eastAsiaTheme="minorEastAsia" w:cstheme="minorEastAsia"/>
                <w:b/>
                <w:bCs/>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本项目竞标报价为“交钥匙”价，且须精确到小数点后两位。竞标报价应包括完成该项目的货物</w:t>
            </w:r>
            <w:r>
              <w:rPr>
                <w:rFonts w:hint="eastAsia" w:asciiTheme="minorEastAsia" w:hAnsiTheme="minorEastAsia" w:eastAsiaTheme="minorEastAsia" w:cstheme="minorEastAsia"/>
                <w:color w:val="auto"/>
                <w:sz w:val="21"/>
                <w:szCs w:val="21"/>
                <w:lang w:val="en-US" w:eastAsia="zh-CN"/>
              </w:rPr>
              <w:t>本身</w:t>
            </w:r>
            <w:r>
              <w:rPr>
                <w:rFonts w:hint="eastAsia" w:asciiTheme="minorEastAsia" w:hAnsiTheme="minorEastAsia" w:eastAsiaTheme="minorEastAsia" w:cstheme="minorEastAsia"/>
                <w:color w:val="auto"/>
                <w:sz w:val="21"/>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bl>
    <w:p>
      <w:pPr>
        <w:spacing w:line="360" w:lineRule="auto"/>
        <w:outlineLvl w:val="1"/>
        <w:rPr>
          <w:rFonts w:hint="eastAsia" w:asciiTheme="minorEastAsia" w:hAnsiTheme="minorEastAsia" w:eastAsiaTheme="minorEastAsia" w:cstheme="minorEastAsia"/>
          <w:b/>
          <w:szCs w:val="21"/>
        </w:rPr>
      </w:pPr>
      <w:bookmarkStart w:id="27" w:name="_Toc19309"/>
      <w:r>
        <w:rPr>
          <w:rFonts w:hint="eastAsia" w:asciiTheme="minorEastAsia" w:hAnsiTheme="minorEastAsia" w:eastAsiaTheme="minorEastAsia" w:cstheme="minorEastAsia"/>
          <w:b/>
          <w:szCs w:val="21"/>
        </w:rPr>
        <w:t>供应商须知</w:t>
      </w:r>
      <w:bookmarkEnd w:id="27"/>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8" w:name="_Toc19164"/>
      <w:r>
        <w:rPr>
          <w:rFonts w:hint="eastAsia" w:asciiTheme="minorEastAsia" w:hAnsiTheme="minorEastAsia" w:eastAsiaTheme="minorEastAsia" w:cstheme="minorEastAsia"/>
          <w:b/>
          <w:szCs w:val="21"/>
        </w:rPr>
        <w:t>总则</w:t>
      </w:r>
      <w:bookmarkEnd w:id="28"/>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29" w:name="_Toc27243"/>
      <w:bookmarkStart w:id="30" w:name="_Toc7383"/>
      <w:r>
        <w:rPr>
          <w:rFonts w:hint="eastAsia" w:asciiTheme="minorEastAsia" w:hAnsiTheme="minorEastAsia" w:eastAsiaTheme="minorEastAsia" w:cstheme="minorEastAsia"/>
          <w:b/>
          <w:szCs w:val="21"/>
        </w:rPr>
        <w:t>适用法律及范围</w:t>
      </w:r>
      <w:bookmarkEnd w:id="29"/>
      <w:bookmarkEnd w:id="30"/>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1" w:name="_Toc30547"/>
      <w:bookmarkStart w:id="32" w:name="_Toc18687"/>
      <w:r>
        <w:rPr>
          <w:rFonts w:hint="eastAsia" w:asciiTheme="minorEastAsia" w:hAnsiTheme="minorEastAsia" w:eastAsiaTheme="minorEastAsia" w:cstheme="minorEastAsia"/>
          <w:b/>
          <w:szCs w:val="21"/>
        </w:rPr>
        <w:t>定义</w:t>
      </w:r>
      <w:bookmarkEnd w:id="31"/>
      <w:bookmarkEnd w:id="32"/>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3" w:name="_Toc25967"/>
      <w:bookmarkStart w:id="34" w:name="_Toc30503"/>
      <w:r>
        <w:rPr>
          <w:rFonts w:hint="eastAsia" w:asciiTheme="minorEastAsia" w:hAnsiTheme="minorEastAsia" w:eastAsiaTheme="minorEastAsia" w:cstheme="minorEastAsia"/>
          <w:b/>
          <w:snapToGrid w:val="0"/>
          <w:kern w:val="0"/>
          <w:szCs w:val="21"/>
          <w:lang w:val="zh-CN"/>
        </w:rPr>
        <w:t>工程、货物及服务</w:t>
      </w:r>
      <w:bookmarkEnd w:id="33"/>
      <w:bookmarkEnd w:id="34"/>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5" w:name="_Toc9974"/>
      <w:bookmarkStart w:id="36" w:name="_Toc22488"/>
      <w:r>
        <w:rPr>
          <w:rFonts w:hint="eastAsia" w:asciiTheme="minorEastAsia" w:hAnsiTheme="minorEastAsia" w:eastAsiaTheme="minorEastAsia" w:cstheme="minorEastAsia"/>
          <w:b/>
          <w:szCs w:val="21"/>
        </w:rPr>
        <w:t>费用</w:t>
      </w:r>
      <w:bookmarkEnd w:id="35"/>
      <w:bookmarkEnd w:id="36"/>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合计收费=324000.000元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7" w:name="_Toc27172"/>
      <w:r>
        <w:rPr>
          <w:rFonts w:hint="eastAsia" w:asciiTheme="minorEastAsia" w:hAnsiTheme="minorEastAsia" w:eastAsiaTheme="minorEastAsia" w:cstheme="minorEastAsia"/>
          <w:b/>
          <w:szCs w:val="21"/>
        </w:rPr>
        <w:t>竞争性磋商采购文件</w:t>
      </w:r>
      <w:bookmarkEnd w:id="37"/>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8" w:name="_Toc4547"/>
      <w:bookmarkStart w:id="39" w:name="_Toc29851"/>
      <w:r>
        <w:rPr>
          <w:rFonts w:hint="eastAsia" w:asciiTheme="minorEastAsia" w:hAnsiTheme="minorEastAsia" w:eastAsiaTheme="minorEastAsia" w:cstheme="minorEastAsia"/>
          <w:b/>
          <w:szCs w:val="21"/>
        </w:rPr>
        <w:t>竞争性磋商采购文件的构成</w:t>
      </w:r>
      <w:bookmarkEnd w:id="38"/>
      <w:bookmarkEnd w:id="39"/>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0" w:name="_Toc29700"/>
      <w:bookmarkStart w:id="41" w:name="_Toc22354"/>
      <w:r>
        <w:rPr>
          <w:rFonts w:hint="eastAsia" w:asciiTheme="minorEastAsia" w:hAnsiTheme="minorEastAsia" w:eastAsiaTheme="minorEastAsia" w:cstheme="minorEastAsia"/>
          <w:b/>
          <w:snapToGrid w:val="0"/>
          <w:kern w:val="0"/>
          <w:szCs w:val="21"/>
          <w:lang w:val="zh-CN"/>
        </w:rPr>
        <w:t>竞争性磋商采购文件的澄清</w:t>
      </w:r>
      <w:bookmarkEnd w:id="40"/>
      <w:bookmarkEnd w:id="41"/>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2" w:name="_Toc31761"/>
      <w:bookmarkStart w:id="43" w:name="_Toc5704"/>
      <w:r>
        <w:rPr>
          <w:rFonts w:hint="eastAsia" w:asciiTheme="minorEastAsia" w:hAnsiTheme="minorEastAsia" w:eastAsiaTheme="minorEastAsia" w:cstheme="minorEastAsia"/>
          <w:b/>
          <w:snapToGrid w:val="0"/>
          <w:kern w:val="0"/>
          <w:szCs w:val="21"/>
          <w:lang w:val="zh-CN"/>
        </w:rPr>
        <w:t>竞争性磋商采购文件的修改</w:t>
      </w:r>
      <w:bookmarkEnd w:id="42"/>
      <w:bookmarkEnd w:id="43"/>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4" w:name="_Toc7112"/>
      <w:r>
        <w:rPr>
          <w:rFonts w:hint="eastAsia" w:asciiTheme="minorEastAsia" w:hAnsiTheme="minorEastAsia" w:eastAsiaTheme="minorEastAsia" w:cstheme="minorEastAsia"/>
          <w:b/>
          <w:szCs w:val="21"/>
        </w:rPr>
        <w:t>竞争性磋商响应文件</w:t>
      </w:r>
      <w:bookmarkEnd w:id="44"/>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5" w:name="_Toc7443"/>
      <w:bookmarkStart w:id="46" w:name="_Toc30987"/>
      <w:r>
        <w:rPr>
          <w:rFonts w:hint="eastAsia" w:asciiTheme="minorEastAsia" w:hAnsiTheme="minorEastAsia" w:eastAsiaTheme="minorEastAsia" w:cstheme="minorEastAsia"/>
          <w:b/>
          <w:snapToGrid w:val="0"/>
          <w:kern w:val="0"/>
          <w:szCs w:val="21"/>
          <w:lang w:val="zh-CN"/>
        </w:rPr>
        <w:t>语言和计量单位</w:t>
      </w:r>
      <w:bookmarkEnd w:id="45"/>
      <w:bookmarkEnd w:id="46"/>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7" w:name="_Toc6398"/>
      <w:bookmarkStart w:id="48" w:name="_Toc32272"/>
      <w:r>
        <w:rPr>
          <w:rFonts w:hint="eastAsia" w:asciiTheme="minorEastAsia" w:hAnsiTheme="minorEastAsia" w:eastAsiaTheme="minorEastAsia" w:cstheme="minorEastAsia"/>
          <w:b/>
          <w:snapToGrid w:val="0"/>
          <w:kern w:val="0"/>
          <w:szCs w:val="21"/>
          <w:lang w:val="zh-CN"/>
        </w:rPr>
        <w:t>竞争性磋商响应文件的构成</w:t>
      </w:r>
      <w:bookmarkEnd w:id="47"/>
      <w:bookmarkEnd w:id="48"/>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9" w:name="_Toc17989"/>
      <w:bookmarkStart w:id="50" w:name="_Toc25217"/>
      <w:r>
        <w:rPr>
          <w:rFonts w:hint="eastAsia" w:asciiTheme="minorEastAsia" w:hAnsiTheme="minorEastAsia" w:eastAsiaTheme="minorEastAsia" w:cstheme="minorEastAsia"/>
          <w:b/>
          <w:snapToGrid w:val="0"/>
          <w:kern w:val="0"/>
          <w:szCs w:val="21"/>
          <w:lang w:val="zh-CN"/>
        </w:rPr>
        <w:t>竞争性磋商响应文件的编制</w:t>
      </w:r>
      <w:bookmarkEnd w:id="49"/>
      <w:bookmarkEnd w:id="50"/>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1" w:name="_Toc14856"/>
      <w:bookmarkStart w:id="52" w:name="_Toc24544"/>
      <w:r>
        <w:rPr>
          <w:rFonts w:hint="eastAsia" w:asciiTheme="minorEastAsia" w:hAnsiTheme="minorEastAsia" w:eastAsiaTheme="minorEastAsia" w:cstheme="minorEastAsia"/>
          <w:b/>
          <w:snapToGrid w:val="0"/>
          <w:kern w:val="0"/>
          <w:szCs w:val="21"/>
          <w:lang w:val="zh-CN"/>
        </w:rPr>
        <w:t>磋商报价</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6176"/>
      <w:bookmarkStart w:id="54" w:name="_Toc4071"/>
      <w:r>
        <w:rPr>
          <w:rFonts w:hint="eastAsia" w:asciiTheme="minorEastAsia" w:hAnsiTheme="minorEastAsia" w:eastAsiaTheme="minorEastAsia" w:cstheme="minorEastAsia"/>
          <w:b/>
          <w:snapToGrid w:val="0"/>
          <w:kern w:val="0"/>
          <w:szCs w:val="21"/>
          <w:lang w:val="zh-CN"/>
        </w:rPr>
        <w:t>备选方案</w:t>
      </w:r>
      <w:bookmarkEnd w:id="53"/>
      <w:bookmarkEnd w:id="54"/>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20227"/>
      <w:bookmarkStart w:id="56" w:name="_Toc3324"/>
      <w:r>
        <w:rPr>
          <w:rFonts w:hint="eastAsia" w:asciiTheme="minorEastAsia" w:hAnsiTheme="minorEastAsia" w:eastAsiaTheme="minorEastAsia" w:cstheme="minorEastAsia"/>
          <w:b/>
          <w:snapToGrid w:val="0"/>
          <w:kern w:val="0"/>
          <w:szCs w:val="21"/>
          <w:lang w:val="zh-CN"/>
        </w:rPr>
        <w:t>联合体</w:t>
      </w:r>
      <w:bookmarkEnd w:id="55"/>
      <w:bookmarkEnd w:id="56"/>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7" w:name="_Toc4849"/>
      <w:bookmarkStart w:id="58" w:name="_Toc2434"/>
      <w:r>
        <w:rPr>
          <w:rFonts w:hint="eastAsia" w:asciiTheme="minorEastAsia" w:hAnsiTheme="minorEastAsia" w:eastAsiaTheme="minorEastAsia" w:cstheme="minorEastAsia"/>
          <w:b/>
          <w:snapToGrid w:val="0"/>
          <w:kern w:val="0"/>
          <w:szCs w:val="21"/>
          <w:lang w:val="zh-CN"/>
        </w:rPr>
        <w:t>供应商资格证明文件</w:t>
      </w:r>
      <w:bookmarkEnd w:id="57"/>
      <w:bookmarkEnd w:id="58"/>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9" w:name="_Toc9935"/>
      <w:bookmarkStart w:id="60" w:name="_Toc14612"/>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9"/>
      <w:bookmarkEnd w:id="60"/>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1" w:name="_Toc27068"/>
      <w:bookmarkStart w:id="62" w:name="_Toc20441"/>
      <w:r>
        <w:rPr>
          <w:rFonts w:hint="eastAsia" w:asciiTheme="minorEastAsia" w:hAnsiTheme="minorEastAsia" w:eastAsiaTheme="minorEastAsia" w:cstheme="minorEastAsia"/>
          <w:b/>
          <w:snapToGrid w:val="0"/>
          <w:color w:val="auto"/>
          <w:kern w:val="0"/>
          <w:szCs w:val="21"/>
          <w:lang w:val="zh-CN"/>
        </w:rPr>
        <w:t>磋商保证金</w:t>
      </w:r>
      <w:bookmarkEnd w:id="61"/>
      <w:bookmarkEnd w:id="62"/>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3" w:name="_Toc4910"/>
      <w:bookmarkStart w:id="64" w:name="_Toc5668"/>
      <w:r>
        <w:rPr>
          <w:rFonts w:hint="eastAsia" w:asciiTheme="minorEastAsia" w:hAnsiTheme="minorEastAsia" w:eastAsiaTheme="minorEastAsia" w:cstheme="minorEastAsia"/>
          <w:b/>
          <w:snapToGrid w:val="0"/>
          <w:kern w:val="0"/>
          <w:szCs w:val="21"/>
          <w:lang w:val="zh-CN"/>
        </w:rPr>
        <w:t>磋商有效期</w:t>
      </w:r>
      <w:bookmarkEnd w:id="63"/>
      <w:bookmarkEnd w:id="64"/>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5" w:name="_Toc8272"/>
      <w:bookmarkStart w:id="66" w:name="_Toc2229"/>
      <w:r>
        <w:rPr>
          <w:rFonts w:hint="eastAsia" w:asciiTheme="minorEastAsia" w:hAnsiTheme="minorEastAsia" w:eastAsiaTheme="minorEastAsia" w:cstheme="minorEastAsia"/>
          <w:b/>
          <w:snapToGrid w:val="0"/>
          <w:kern w:val="0"/>
          <w:szCs w:val="21"/>
          <w:lang w:val="zh-CN"/>
        </w:rPr>
        <w:t>竞争性磋商响应文件的装订、签署和数量</w:t>
      </w:r>
      <w:bookmarkEnd w:id="65"/>
      <w:bookmarkEnd w:id="66"/>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7" w:name="_Toc9786"/>
      <w:r>
        <w:rPr>
          <w:rFonts w:hint="eastAsia" w:asciiTheme="minorEastAsia" w:hAnsiTheme="minorEastAsia" w:eastAsiaTheme="minorEastAsia" w:cstheme="minorEastAsia"/>
          <w:b/>
          <w:szCs w:val="21"/>
        </w:rPr>
        <w:t>竞争性磋商响应文件的递交</w:t>
      </w:r>
      <w:bookmarkEnd w:id="6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23886"/>
      <w:bookmarkStart w:id="69" w:name="_Toc27305"/>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8"/>
      <w:bookmarkEnd w:id="69"/>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11099"/>
      <w:bookmarkStart w:id="71"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70"/>
      <w:bookmarkEnd w:id="71"/>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31376"/>
      <w:bookmarkStart w:id="73" w:name="_Toc16589"/>
      <w:r>
        <w:rPr>
          <w:rFonts w:hint="eastAsia" w:asciiTheme="minorEastAsia" w:hAnsiTheme="minorEastAsia" w:eastAsiaTheme="minorEastAsia" w:cstheme="minorEastAsia"/>
          <w:b/>
          <w:snapToGrid w:val="0"/>
          <w:kern w:val="0"/>
          <w:szCs w:val="21"/>
          <w:lang w:val="zh-CN"/>
        </w:rPr>
        <w:t>迟交的竞争性磋商响应文件</w:t>
      </w:r>
      <w:bookmarkEnd w:id="72"/>
      <w:bookmarkEnd w:id="73"/>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4" w:name="_Toc13658"/>
      <w:bookmarkStart w:id="75"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74"/>
      <w:bookmarkEnd w:id="75"/>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6" w:name="_Toc24054"/>
      <w:r>
        <w:rPr>
          <w:rFonts w:hint="eastAsia" w:asciiTheme="minorEastAsia" w:hAnsiTheme="minorEastAsia" w:eastAsiaTheme="minorEastAsia" w:cstheme="minorEastAsia"/>
          <w:b/>
          <w:szCs w:val="21"/>
        </w:rPr>
        <w:t>磋商程序及步骤</w:t>
      </w:r>
      <w:bookmarkEnd w:id="7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7" w:name="_Toc22624"/>
      <w:bookmarkStart w:id="78" w:name="_Toc8841"/>
      <w:r>
        <w:rPr>
          <w:rFonts w:hint="eastAsia" w:asciiTheme="minorEastAsia" w:hAnsiTheme="minorEastAsia" w:eastAsiaTheme="minorEastAsia" w:cstheme="minorEastAsia"/>
          <w:b/>
        </w:rPr>
        <w:t>竞争性磋商小组</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9" w:name="_Toc21483"/>
      <w:bookmarkStart w:id="80" w:name="_Toc26119"/>
      <w:r>
        <w:rPr>
          <w:rFonts w:hint="eastAsia" w:asciiTheme="minorEastAsia" w:hAnsiTheme="minorEastAsia" w:eastAsiaTheme="minorEastAsia" w:cstheme="minorEastAsia"/>
          <w:b/>
        </w:rPr>
        <w:t>磋商代表</w:t>
      </w:r>
      <w:bookmarkEnd w:id="79"/>
      <w:bookmarkEnd w:id="80"/>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bookmarkStart w:id="81" w:name="_Toc32662"/>
      <w:bookmarkStart w:id="82"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3" w:name="_Toc17050"/>
      <w:r>
        <w:rPr>
          <w:rFonts w:hint="eastAsia" w:asciiTheme="minorEastAsia" w:hAnsiTheme="minorEastAsia" w:eastAsiaTheme="minorEastAsia" w:cstheme="minorEastAsia"/>
          <w:b/>
        </w:rPr>
        <w:t>资格审查和符合性审查</w:t>
      </w:r>
      <w:bookmarkEnd w:id="83"/>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26543"/>
      <w:r>
        <w:rPr>
          <w:rFonts w:hint="eastAsia" w:asciiTheme="minorEastAsia" w:hAnsiTheme="minorEastAsia" w:eastAsiaTheme="minorEastAsia" w:cstheme="minorEastAsia"/>
          <w:b/>
        </w:rPr>
        <w:t>磋商</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ind w:left="630" w:hanging="630" w:hanging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  竞标报价有算术错误的，磋商小组按照以下原则对磋商报价进行修正，修正的价格经供应商书面确认后具有约束力。供应商不接受修正价格的，磋商小组应当否决其竞标。</w:t>
      </w:r>
    </w:p>
    <w:p>
      <w:pPr>
        <w:tabs>
          <w:tab w:val="left" w:pos="540"/>
        </w:tabs>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（1）竞标文件中的大写金额与小写金额不一致的，以大写金额为准；</w:t>
      </w:r>
    </w:p>
    <w:p>
      <w:pPr>
        <w:tabs>
          <w:tab w:val="left" w:pos="540"/>
        </w:tabs>
        <w:spacing w:line="360" w:lineRule="auto"/>
        <w:ind w:left="630" w:leftChars="200" w:hanging="210" w:hanging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（2）总价金额与根据单价计算出的结果不一致的，以单价金额为准修正总价，但单价金额小数点有明显错误的除外。</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最后报价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Cs/>
          <w:kern w:val="44"/>
          <w:szCs w:val="21"/>
        </w:rPr>
        <w:t>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w:t>
      </w:r>
      <w:r>
        <w:rPr>
          <w:rFonts w:hint="eastAsia" w:asciiTheme="minorEastAsia" w:hAnsiTheme="minorEastAsia" w:eastAsiaTheme="minorEastAsia" w:cstheme="minorEastAsia"/>
          <w:bCs/>
          <w:kern w:val="44"/>
          <w:szCs w:val="21"/>
          <w:lang w:val="en-US" w:eastAsia="zh-CN"/>
        </w:rPr>
        <w:t>8</w:t>
      </w:r>
      <w:r>
        <w:rPr>
          <w:rFonts w:hint="eastAsia" w:asciiTheme="minorEastAsia" w:hAnsiTheme="minorEastAsia" w:eastAsiaTheme="minorEastAsia" w:cstheme="minorEastAsia"/>
          <w:bCs/>
          <w:kern w:val="44"/>
          <w:szCs w:val="21"/>
        </w:rPr>
        <w:t>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5" w:name="_Toc30772"/>
      <w:r>
        <w:rPr>
          <w:rFonts w:hint="eastAsia" w:asciiTheme="minorEastAsia" w:hAnsiTheme="minorEastAsia" w:eastAsiaTheme="minorEastAsia" w:cstheme="minorEastAsia"/>
          <w:b/>
          <w:lang w:val="zh-CN"/>
        </w:rPr>
        <w:t>保密</w:t>
      </w:r>
      <w:bookmarkEnd w:id="85"/>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6" w:name="_Toc30407"/>
      <w:r>
        <w:rPr>
          <w:rFonts w:hint="eastAsia" w:asciiTheme="minorEastAsia" w:hAnsiTheme="minorEastAsia" w:eastAsiaTheme="minorEastAsia" w:cstheme="minorEastAsia"/>
          <w:b/>
          <w:szCs w:val="21"/>
        </w:rPr>
        <w:t>成交与签订合同</w:t>
      </w:r>
      <w:bookmarkEnd w:id="8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7" w:name="_Toc7258"/>
      <w:r>
        <w:rPr>
          <w:rFonts w:hint="eastAsia" w:asciiTheme="minorEastAsia" w:hAnsiTheme="minorEastAsia" w:eastAsiaTheme="minorEastAsia" w:cstheme="minorEastAsia"/>
          <w:b/>
          <w:lang w:val="zh-CN"/>
        </w:rPr>
        <w:t>合同授予标准</w:t>
      </w:r>
      <w:bookmarkEnd w:id="87"/>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Cs w:val="21"/>
          <w:lang w:val="zh-CN"/>
        </w:rPr>
        <w:t>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2 </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4 </w:t>
      </w:r>
      <w:r>
        <w:rPr>
          <w:rFonts w:hint="eastAsia" w:asciiTheme="minorEastAsia" w:hAnsiTheme="minorEastAsia" w:eastAsiaTheme="minorEastAsia" w:cstheme="minorEastAsia"/>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5 </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29351"/>
      <w:r>
        <w:rPr>
          <w:rFonts w:hint="eastAsia" w:asciiTheme="minorEastAsia" w:hAnsiTheme="minorEastAsia" w:eastAsiaTheme="minorEastAsia" w:cstheme="minorEastAsia"/>
          <w:b/>
          <w:lang w:val="zh-CN"/>
        </w:rPr>
        <w:t>签订合同</w:t>
      </w:r>
      <w:bookmarkEnd w:id="88"/>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9" w:name="_Toc23007"/>
      <w:bookmarkStart w:id="90" w:name="_Toc4883"/>
      <w:bookmarkStart w:id="91" w:name="_Toc14510"/>
      <w:bookmarkStart w:id="92" w:name="_Toc13988"/>
      <w:r>
        <w:rPr>
          <w:rFonts w:hint="eastAsia" w:asciiTheme="minorEastAsia" w:hAnsiTheme="minorEastAsia" w:eastAsiaTheme="minorEastAsia" w:cstheme="minorEastAsia"/>
          <w:b/>
          <w:szCs w:val="21"/>
          <w:lang w:val="zh-CN"/>
        </w:rPr>
        <w:t>质疑和投诉</w:t>
      </w:r>
      <w:bookmarkEnd w:id="89"/>
      <w:bookmarkEnd w:id="90"/>
      <w:bookmarkEnd w:id="91"/>
      <w:bookmarkEnd w:id="9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3" w:name="_Toc26703"/>
      <w:r>
        <w:rPr>
          <w:rFonts w:hint="eastAsia" w:asciiTheme="minorEastAsia" w:hAnsiTheme="minorEastAsia" w:eastAsiaTheme="minorEastAsia" w:cstheme="minorEastAsia"/>
          <w:b/>
          <w:lang w:val="zh-CN"/>
        </w:rPr>
        <w:t>质疑</w:t>
      </w:r>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4" w:name="_Toc10603"/>
      <w:r>
        <w:rPr>
          <w:rFonts w:hint="eastAsia" w:asciiTheme="minorEastAsia" w:hAnsiTheme="minorEastAsia" w:eastAsiaTheme="minorEastAsia" w:cstheme="minorEastAsia"/>
          <w:b/>
          <w:lang w:val="zh-CN"/>
        </w:rPr>
        <w:t>质疑回复</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5" w:name="_Toc14017"/>
      <w:r>
        <w:rPr>
          <w:rFonts w:hint="eastAsia" w:asciiTheme="minorEastAsia" w:hAnsiTheme="minorEastAsia" w:eastAsiaTheme="minorEastAsia" w:cstheme="minorEastAsia"/>
          <w:b/>
          <w:lang w:val="zh-CN"/>
        </w:rPr>
        <w:t>投诉</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6" w:name="_Toc14767"/>
      <w:bookmarkStart w:id="97" w:name="_Toc5571"/>
      <w:bookmarkStart w:id="98" w:name="_Toc6896"/>
      <w:bookmarkStart w:id="99" w:name="_Toc28705"/>
      <w:r>
        <w:rPr>
          <w:rFonts w:hint="eastAsia" w:asciiTheme="minorEastAsia" w:hAnsiTheme="minorEastAsia" w:eastAsiaTheme="minorEastAsia" w:cstheme="minorEastAsia"/>
          <w:b/>
          <w:szCs w:val="21"/>
          <w:lang w:val="zh-CN"/>
        </w:rPr>
        <w:t>政策</w:t>
      </w:r>
      <w:bookmarkEnd w:id="96"/>
      <w:bookmarkEnd w:id="97"/>
      <w:bookmarkEnd w:id="98"/>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00" w:name="_Toc3901"/>
      <w:r>
        <w:rPr>
          <w:rFonts w:hint="eastAsia" w:asciiTheme="minorEastAsia" w:hAnsiTheme="minorEastAsia" w:eastAsiaTheme="minorEastAsia" w:cstheme="minorEastAsia"/>
          <w:b/>
          <w:lang w:val="en-US" w:eastAsia="zh-CN"/>
        </w:rPr>
        <w:t>政府采购政策</w:t>
      </w:r>
      <w:bookmarkEnd w:id="100"/>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211" w:firstLineChars="100"/>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1" w:name="_Toc16251"/>
      <w:r>
        <w:rPr>
          <w:rFonts w:hint="eastAsia" w:asciiTheme="minorEastAsia" w:hAnsiTheme="minorEastAsia" w:eastAsiaTheme="minorEastAsia" w:cstheme="minorEastAsia"/>
          <w:b/>
          <w:szCs w:val="21"/>
          <w:lang w:val="zh-CN"/>
        </w:rPr>
        <w:t>其他要求</w:t>
      </w:r>
      <w:bookmarkEnd w:id="101"/>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30779"/>
      <w:r>
        <w:rPr>
          <w:rFonts w:hint="eastAsia" w:asciiTheme="minorEastAsia" w:hAnsiTheme="minorEastAsia" w:eastAsiaTheme="minorEastAsia" w:cstheme="minorEastAsia"/>
          <w:b/>
          <w:szCs w:val="21"/>
          <w:lang w:val="zh-CN"/>
        </w:rPr>
        <w:t>适用法律</w:t>
      </w:r>
      <w:bookmarkEnd w:id="102"/>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03" w:name="_Toc24256"/>
      <w:r>
        <w:rPr>
          <w:rFonts w:hint="eastAsia" w:asciiTheme="minorEastAsia" w:hAnsiTheme="minorEastAsia" w:eastAsiaTheme="minorEastAsia" w:cstheme="minorEastAsia"/>
          <w:b/>
          <w:bCs/>
          <w:sz w:val="36"/>
          <w:szCs w:val="36"/>
        </w:rPr>
        <w:t>采购需求</w:t>
      </w:r>
      <w:bookmarkEnd w:id="103"/>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4" w:name="_Toc29013"/>
      <w:r>
        <w:rPr>
          <w:rFonts w:hint="eastAsia" w:asciiTheme="minorEastAsia" w:hAnsiTheme="minorEastAsia" w:eastAsiaTheme="minorEastAsia" w:cstheme="minorEastAsia"/>
          <w:b/>
          <w:bCs/>
          <w:color w:val="auto"/>
          <w:sz w:val="24"/>
          <w:szCs w:val="24"/>
          <w:lang w:val="en-US" w:eastAsia="zh-CN"/>
        </w:rPr>
        <w:t>一、技术需求</w:t>
      </w:r>
      <w:bookmarkEnd w:id="104"/>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1、项目概况：为湖北工业大学经济与管理学院购置一批实务及外贸从业竞赛综合实训软件供于学生学习及使用；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vertAlign w:val="baseline"/>
          <w:lang w:val="en-US" w:eastAsia="zh-CN"/>
        </w:rPr>
      </w:pPr>
      <w:r>
        <w:rPr>
          <w:rFonts w:hint="eastAsia" w:asciiTheme="minorEastAsia" w:hAnsiTheme="minorEastAsia" w:eastAsiaTheme="minorEastAsia" w:cstheme="minorEastAsia"/>
          <w:b w:val="0"/>
          <w:bCs w:val="0"/>
          <w:color w:val="auto"/>
          <w:szCs w:val="21"/>
          <w:lang w:val="en-US" w:eastAsia="zh-CN"/>
        </w:rPr>
        <w:t>2、设备/货物清单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154"/>
        <w:gridCol w:w="7199"/>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0" w:type="auto"/>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仪器设备名称</w:t>
            </w:r>
          </w:p>
        </w:tc>
        <w:tc>
          <w:tcPr>
            <w:tcW w:w="0" w:type="auto"/>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技术性能</w:t>
            </w:r>
          </w:p>
        </w:tc>
        <w:tc>
          <w:tcPr>
            <w:tcW w:w="0" w:type="auto"/>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0" w:type="auto"/>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国际贸易实务及外贸从业竞赛综合实训软件</w:t>
            </w:r>
          </w:p>
        </w:tc>
        <w:tc>
          <w:tcPr>
            <w:tcW w:w="0" w:type="auto"/>
            <w:noWrap w:val="0"/>
            <w:vAlign w:val="center"/>
          </w:tcPr>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含各大洲具有代表性的10个国家：中国、美国、英国、日本、德国、澳大利亚、俄罗斯、古巴、巴西、南非。学生模拟经营一家贸易公司，进行进口业务与出口业务。可全面体验国际贸易公司运作过程，获得对国际贸易相关工作的系统性认识。</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系统提供教师管理后台界面，教师可添加班级、队伍，可使用单个、批量、模板导入的方式导入学生账号信息。</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教师可以同时开启多个课程和比赛，每个课程和比赛下可设置多个班级和队伍，可设置课程的起始时间、业务办理有无等待时间、开启的国家等参数，学生将被平均分配到各个国家中。</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系统需包含中国国际贸易单一窗口标准版申报系统。 </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系统单一窗口需包含海关原产地证申请系统，具体包括普惠制产地证和一般原产地证的录入、申报、数据查询统计等功能。</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海关原产地证申请系统可打印一般原产地证、普惠制产地证等单据。</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系统单一窗口需包含贸促会原产地证申请系统，具体包括一般原产地证录入、申报、数据查询统计。</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贸促会原产地证申请系统可打印单据一般原产地证。</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系统单一窗口需包含货物申报模块，采用关检融合录入，具体包括进口报关整合申报、入境检验检疫申请、出口报关单整合申报、出口检验检疫申请录入、申报、数据查询统计。</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货物申报系统可打印单据包括出境货物检验检疫申请、出口货物报关单、入境货物检验检疫申请、进口货物报关单、品质证书、健康证书 、植物检疫证书商检证书、数量/重量证书。</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货物申报-进/出口报关单整合申报需要录入的内容包含表头（出境关别、境内收发货人、境外收发货人、生产销售单位、运输方式、毛重、净重等栏位）；表体（商品检验检疫名称、商品名称、规格型号、法定第一数量及单位、法定第二数量及单位等栏位）；集装箱；随附单证信息。</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货物申报-出/入境检验检疫申请需要录入的内容包含基本信息（检验检疫类别、申请受理机关、企业资质、申请单位、收发货人等栏位）；商品信息（HS编码、检验检疫名称、货物名称、属性、规格型号、品牌、用途等栏位）；其他基本信息(领证机关、口岸机关、运输方式、运输工具名称、运输工具号码等栏位) ；集装箱信息（集装箱规格、集装箱数量、拼箱标识）。</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原产地证申请需要录入的内容包含基本信息（进出口商信息、 唛头、运输细节等栏位）；货物信息 （ 原产地标准、 货物中英文名称、数/重量单位、货物描述等栏位）。</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提供商品检验检疫名称参数、货物属性代码表、用途代码参数、国内地区代码表、检验检疫机关代码表、包装种类代码参数、计量单位代码参数、货币代码参数、贸易方式代码表等参数查询。</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自动评分系统：系统按照统一的标准对学生的学习成果进行自动评价，并给出一定的改进建议。教师可设置每日的评分时间，并可进行手动评分。</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评分系统考察点包括：磋商函电、价格核算、单一窗口录入、B2B网站运营能力、盈利、各项业务办理、单据填写等，最终从“量”和“质”两个角度对学生学习期间的业务能力、跟单能力、学习能力和综合能力进行科学评分。教师可按课程、按班级查询学生的得分、各项能力的等级和使用总结。得分和使用总结均可以EXCEL表格的形式导出。</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教师可设置系统参数包括货物是否遇险、汇率是否变动、商品价格浮动、增减学生账号资金等内容。</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采用图形化界面，提供鸟瞰式城市地图。通过城市地图中建筑物可以进入包括银行、海关、外汇管理局、海关“检验检疫”、税务局、国际货运公司海运部、国际货运公司空运部、保险公司、化学材料测试中心、国际贸易促进委员会、邮局、市场、国内工厂、广告公司、仲裁委员会15个外贸相关机构。</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系统每个机构都有自己的专业网站，可供学生查询各个机构的相关信息，包括机构简介、海关商品HS编码查询网站、办事指南、费用查询、相关法律法规知识等等。</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系统动态真实模拟了各国货币、汇率、国际运费、进出口相关税费、产品价格等业务信息。</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包含51大类共200多个商品。商品类别有食品饮料、服装、玩具、化妆品、瓷制品、箱包、化工产品、烟草、贵金属、宝石等。各国都有自己的特色产品。例如：中国的代表商品为瓷器、传统手工工艺品；古巴代表商品为雪茄；南非代表商品为钻石。产品的生产成本价及市场收购价会适时调整，更加符合现实的市场规律。</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系统提供中英文可切换的B2B电子商务平台，教师可以通过后台管理设置语言，高仿真模拟阿里巴巴国际站操作，包括建站管理、采购直达、产品管理、我的店铺等功能供学生寻找交易对象。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主要包含：</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（1）B2B网站各主要功能界面</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B2B网站首页：高仿真模拟阿里巴巴国际站首页，可方便快捷的搜索产品、供应商、采购需求，提供醒目的标识字样可以直接进入查看热门大类产品的促销活动，各大类产品，采购需求市场，所有供应商公司，热门供应商公司广告，热门产品，各国供应商。</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所有大类产品界面：列出所有产品大类以及各大类包含的具体产品，点击产品名可直接查看该产品的搜索结果。</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热门供应商公司广告（Top Companies）界面：可展示发布广告的供应商信息，且可查看广告详情。</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所有供应商公司（All Companies）界面：可展示所有供应商公司信息。</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采购需求市场（Markets）界面：可展示所有采购需求，可查看采购需求详情。</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各国供应商界面：可按照国家查看供应商公司信息。</w:t>
            </w:r>
          </w:p>
          <w:p>
            <w:pPr>
              <w:numPr>
                <w:ilvl w:val="0"/>
                <w:numId w:val="38"/>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后台操作界面（My B2B）：可完成B2B网站的各项操作，如发布产品、管理产品，发布采购需求、管理采购需求、完善公司信息、装修店铺等等。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（2）建站管理</w:t>
            </w:r>
          </w:p>
          <w:p>
            <w:pPr>
              <w:numPr>
                <w:ilvl w:val="0"/>
                <w:numId w:val="39"/>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管理公司信息：可完善公司信息，填写主营产品、选择公司形象图、查看营业执照、专利证书、荣誉证书、商检证书等等。</w:t>
            </w:r>
          </w:p>
          <w:p>
            <w:pPr>
              <w:numPr>
                <w:ilvl w:val="0"/>
                <w:numId w:val="39"/>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A&amp;V认证：可完成A&amp;V实地认证操作，完成认证后，相应的公司信息前有醒目的A&amp;V实地认证标识。</w:t>
            </w:r>
          </w:p>
          <w:p>
            <w:pPr>
              <w:numPr>
                <w:ilvl w:val="0"/>
                <w:numId w:val="39"/>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管理能力评估报告：可查看企业能力评估报告与主营产品认证报告。</w:t>
            </w:r>
          </w:p>
          <w:p>
            <w:pPr>
              <w:numPr>
                <w:ilvl w:val="0"/>
                <w:numId w:val="39"/>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管理全球旺铺：可个性化装修店铺。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（3）采购直达</w:t>
            </w:r>
          </w:p>
          <w:p>
            <w:pPr>
              <w:numPr>
                <w:ilvl w:val="0"/>
                <w:numId w:val="40"/>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发布采购需求：高仿真模拟阿里巴巴国际站发布采购需求界面，可填写内容包括产品关键词、需求数量、需求详细内容、贸易术语、期望单价、目的港，支付方式等贸易信息。</w:t>
            </w:r>
          </w:p>
          <w:p>
            <w:pPr>
              <w:numPr>
                <w:ilvl w:val="0"/>
                <w:numId w:val="40"/>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查看采购需求：可查看采购需求详情。</w:t>
            </w:r>
          </w:p>
          <w:p>
            <w:pPr>
              <w:numPr>
                <w:ilvl w:val="0"/>
                <w:numId w:val="40"/>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管理采购需求：可查看、编辑、关闭已发布的采购需求。</w:t>
            </w:r>
          </w:p>
          <w:p>
            <w:pPr>
              <w:numPr>
                <w:ilvl w:val="0"/>
                <w:numId w:val="40"/>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搜索采购需求：提供专业的采购需求搜索网站，可搜索、查看进口商发布的采购需求，出口商可方便快捷的寻找到交易对象。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（4）产品管理</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发布产品：高仿真模拟阿里巴巴国际站发布产品界面，选择产品大类后再填写详情（产品详情包括产品名称、产品关键词、产品图片、产品属性、交易信息、物流信息、产品详细信息等），各大类产品均有相对应的编辑界面。</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查看产品详情：可查看产品详情。</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搜索产品：提供专业的产品搜索网站，可按产品名称、关键词搜索产品，便于进口商查看产品详情，寻找到适合交易的产品。</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管理产品：可查看、编辑、下架已发布的产品。</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管理认证产品：可将产品设置为认证产品且可排序，认证产品标题前有醒目的“Main”标识，店铺内有醒目的认证产品展位供展示。</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管理橱窗产品：可将产品设置为橱窗产品且可排序，店铺内有醒目的橱窗产品展位供展示。</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产品分组与排序：可自定义设置产品分组以及排序规则，在店铺内可以按照设置的分组与排序查看产品。</w:t>
            </w:r>
          </w:p>
          <w:p>
            <w:pPr>
              <w:numPr>
                <w:ilvl w:val="0"/>
                <w:numId w:val="41"/>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图片银行：需展示所有产品的主图、附图，公司形象图、公司头像标识以及店铺横幅。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（5）我的店铺</w:t>
            </w:r>
          </w:p>
          <w:p>
            <w:pPr>
              <w:numPr>
                <w:ilvl w:val="0"/>
                <w:numId w:val="4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店铺首页：可查看店铺资料、认证产品、橱窗产品、最新产品等。</w:t>
            </w:r>
          </w:p>
          <w:p>
            <w:pPr>
              <w:numPr>
                <w:ilvl w:val="0"/>
                <w:numId w:val="4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店铺产品大类：可按照设置的分组与排序规则查看店铺内的产品。</w:t>
            </w:r>
          </w:p>
          <w:p>
            <w:pPr>
              <w:numPr>
                <w:ilvl w:val="0"/>
                <w:numId w:val="4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店铺资料：可查看店铺联系资料包括公司名称、国家、主营产品、其他产品、法人姓名、账号等信息，进口商可方便快捷的联系对方建立业务关系。</w:t>
            </w:r>
          </w:p>
          <w:p>
            <w:pPr>
              <w:numPr>
                <w:ilvl w:val="0"/>
                <w:numId w:val="4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搜索店铺：可搜索店铺，进入他人店铺查看具体信息。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（6）我的外贸服务</w:t>
            </w:r>
          </w:p>
          <w:p>
            <w:pPr>
              <w:numPr>
                <w:ilvl w:val="0"/>
                <w:numId w:val="42"/>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金品诚企：可完成申请加入金品诚企的操作，获得金品诚企的相应服务，让公司脱颖而出。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（7）收藏夹</w:t>
            </w:r>
          </w:p>
          <w:p>
            <w:pPr>
              <w:numPr>
                <w:ilvl w:val="0"/>
                <w:numId w:val="4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产品收藏：可收藏感兴趣的产品。</w:t>
            </w:r>
          </w:p>
          <w:p>
            <w:pPr>
              <w:numPr>
                <w:ilvl w:val="0"/>
                <w:numId w:val="43"/>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店铺收藏：可收藏感兴趣的店铺。</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采用现实国际贸易公司的预算方法，涉及的费用计算部分30多项。强化学习者成本费用和利润核算的能力。</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系统提供完整的外贸函电流程，学生可在系统中进行进出口外贸函电磋商，磋商流程包括建立新业务、询盘、发盘、还盘、接受，另外提供指定运输公司、装运通知等函电类型。</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系统涵盖45种贸易流程组合，其中5种结算方式（L/C、全款T/T、前T/T定金+后T/T尾款相结合、D/P、D/A）、6种贸易术语（CIF、FOB、CFR、CIP、FCA、CPT）、2种运输方式（海运、空运）。</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系统在履约过程中，每种贸易方式、支付方式都有自己对应的动态进出口流程图，且根据状态的不同显示不同颜色。系统还提供了多种详细操作示例供学生参考。</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系统具有自动流程控制、错误提示功能，并以业务日志形式，提供详细的操作记录。</w:t>
            </w:r>
          </w:p>
          <w:p>
            <w:pPr>
              <w:widowControl/>
              <w:numPr>
                <w:ilvl w:val="0"/>
                <w:numId w:val="37"/>
              </w:numPr>
              <w:spacing w:line="360" w:lineRule="auto"/>
              <w:jc w:val="left"/>
              <w:rPr>
                <w:rFonts w:hint="eastAsia" w:ascii="宋体" w:hAnsi="宋体" w:eastAsia="宋体" w:cs="宋体"/>
                <w:sz w:val="21"/>
                <w:szCs w:val="21"/>
              </w:rPr>
            </w:pPr>
            <w:r>
              <w:rPr>
                <w:rFonts w:hint="eastAsia" w:ascii="宋体" w:hAnsi="宋体" w:eastAsia="宋体" w:cs="宋体"/>
                <w:sz w:val="21"/>
                <w:szCs w:val="21"/>
              </w:rPr>
              <w:t>系统可模拟国家外汇管理局应用服务平台完成国际收支网上申报、外汇监测系统网上申报工作。</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系统包括44种的进出口单据，单据与现实业务中所用单据一致，系统提供每张单据参考样本和详细的填写说明。</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系统提供错误检查功能，能够精准提示每张单据、单一窗口录入界面中的填写错误。</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系统银行含有贷款、押汇功能，学生可以通过贷款、押汇融资手段，满足自己对资金的需求。</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系统提供详细的财务流水记录，记录每笔资金的收支情况。学生可查询每笔银行贷款的金额和贷款总金额、以及还款情况。</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系统需引入时间机制，需将现实中的办理业务等待天数转换为小时，让学生练习如何管理多笔同时进行履约的业务，学会如何合理安排时间。教师还可以将课程设置为无时间等待。</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系统提供海洋运输投保条款包括：PICC CLAUSE 人民保险公司保险条款，ICC CLAUSE 伦敦协会货物险条款;航空运输投保条款包括：AIR TPT ALL RISKS 航空运输一切险；AIR TPT RISKS 航空运输险。两种特殊附加险：WAR RISKS 战争险；STRIKE 罢工险。学生可以根据情况选择合适的险别进行投保。</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引入了各种货物遇险情景，模拟了外贸业务中遇到的风险，例如货物失窃、运输工具遇险等，通过各种风险，使学生深刻了解货物运输保险的重要性。</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rPr>
              <w:t>系统提供最新进出口商品HS编码查询的网站。商品税率需为最新税率（增值税原适用16%税率的，税率调整为13%；原适用10%税率的，税率调整为9%）。</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系统针对贸易中容易出现的纠纷问题，提供专业的国际贸易仲裁委员会网上仲裁系统，模拟真实的仲裁流程包括申请仲裁、调解、撤销、审理、裁决；模拟真实的仲裁费用包括律师费、立案费、仲裁费；提供相应的案例，为贸易中出现的各种纠纷提供一定的保障。</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提供了专业的百科，包括操作指南、单一窗口录入指南、B2B跨境电商平台操作指引、进出口报价和成本核算方法和实例、函电书写方法和范例、单据的样本和填写说明、履约流程操作示例等，以及外贸实务的相关知识，可以指导学生完成业务。</w:t>
            </w:r>
          </w:p>
          <w:p>
            <w:pPr>
              <w:numPr>
                <w:ilvl w:val="0"/>
                <w:numId w:val="37"/>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软件生产厂商组织举办全国外贸大赛，提供证明文件。</w:t>
            </w:r>
          </w:p>
          <w:p>
            <w:pPr>
              <w:numPr>
                <w:ilvl w:val="0"/>
                <w:numId w:val="37"/>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平台配套提供全国外贸从业能力竞赛实训账号和配套证书，提供证明文件。</w:t>
            </w:r>
          </w:p>
          <w:p>
            <w:pPr>
              <w:numPr>
                <w:ilvl w:val="0"/>
                <w:numId w:val="37"/>
              </w:numPr>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系统提供学生个人使用总结，学生可自行点击客户端首页星星自己查询总成绩、学习能力、业务能力、跟单能力目前的等级。还可以查询学生的各项使用数据，如业务数量、财务盈亏率、进出口预算得分、每张单据的得分以及各贸易术语、结算方式、运输方式的使用次数等详细使用数据。</w:t>
            </w:r>
          </w:p>
          <w:p>
            <w:pPr>
              <w:numPr>
                <w:ilvl w:val="0"/>
                <w:numId w:val="37"/>
              </w:numPr>
              <w:spacing w:line="360" w:lineRule="auto"/>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※提供配套的国际贸易电子航线图教学系统，需包含以下功能：涵盖436条航线、254个港口的基本信息介绍；支持查询11 家世界主要船公司始发大中华区的航线；提供航线内挂靠港口的基本情况介绍：港口经纬度、港口缩写及代码、港口中英文名称及所属国家、港口简介；电子地图支持缩放功能，港口实行分级别显示，港口密集处也能清晰识别各个港口；支持按航线区域布置练习，考察学生对重要港口的熟悉度；自动评价并统计练习结果，导出分数。</w:t>
            </w:r>
          </w:p>
        </w:tc>
        <w:tc>
          <w:tcPr>
            <w:tcW w:w="0" w:type="auto"/>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1套</w:t>
            </w:r>
          </w:p>
        </w:tc>
      </w:tr>
    </w:tbl>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以上清单需求表中如出现涉及固定规格型号、尺寸及重量的均为参考，允许略有误差，但投标人报价的产品必须符合采购人使用功能及质量要求，并提供相应技术参数证明其符合采购需求或优于采购需求，否则视其为不满足采购需求。如涉及固定厂家品牌也均为参考或推荐，并要求其唯一性，投标人可提供同等质量标准或更高标准产品，并提供相应技术参数证明其符合采购需求或优于采购需求，否则视其为不满足采购需求。</w:t>
      </w:r>
    </w:p>
    <w:p>
      <w:pPr>
        <w:autoSpaceDE w:val="0"/>
        <w:autoSpaceDN w:val="0"/>
        <w:adjustRightInd w:val="0"/>
        <w:spacing w:line="360" w:lineRule="auto"/>
        <w:outlineLvl w:val="9"/>
        <w:rPr>
          <w:rFonts w:hint="eastAsia"/>
          <w:lang w:val="en-US" w:eastAsia="zh-CN"/>
        </w:rPr>
      </w:pPr>
      <w:r>
        <w:rPr>
          <w:rFonts w:ascii="宋体" w:hAnsi="宋体" w:eastAsia="宋体" w:cs="宋体"/>
          <w:sz w:val="24"/>
          <w:szCs w:val="24"/>
        </w:rPr>
        <w:t xml:space="preserve"> </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br w:type="textWrapping"/>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5" w:name="_Toc15828"/>
      <w:r>
        <w:rPr>
          <w:rFonts w:hint="eastAsia" w:asciiTheme="minorEastAsia" w:hAnsiTheme="minorEastAsia" w:eastAsiaTheme="minorEastAsia" w:cstheme="minorEastAsia"/>
          <w:b/>
          <w:bCs/>
          <w:color w:val="auto"/>
          <w:sz w:val="24"/>
          <w:szCs w:val="24"/>
          <w:lang w:val="en-US" w:eastAsia="zh-CN"/>
        </w:rPr>
        <w:t>二、商务需求</w:t>
      </w:r>
      <w:bookmarkEnd w:id="105"/>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2、产品质量要求：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2.1供应商应充分考虑软件的使用性，实现采购人要求，保证正常运行。</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 xml:space="preserve">  2.2如有在本磋商文件中未说明的软件运行所必须的其他辅助设备及软件系统，请在响应文件中提供详细说明及相关报价。</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2.3供应商在磋商及成交后，发生侵犯专利权的行为时，其侵权责任与采购人无关，应由成交供应商承担相应的责任，并不得影响采购人的利益。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3、产品进场安装、调试及验收：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3.1供应商负责组织专业技术人员进行安装调试，采购人应提供必须的基本条件和专人配合，保证各项安装工作顺利进行。供应商应协调配合完成项目的安装、调试且直至验收合格，使用正常。</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3.2安装调试到位后由供应商及采购人共同进行质量验收签字。供应商预先提供验收标准，填写验收报告书，供双方最终确认使用。</w:t>
      </w:r>
    </w:p>
    <w:p>
      <w:pPr>
        <w:pStyle w:val="10"/>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color w:val="000000"/>
          <w:sz w:val="21"/>
          <w:szCs w:val="21"/>
          <w:lang w:val="en-US" w:eastAsia="zh-CN"/>
        </w:rPr>
        <w:t>4、</w:t>
      </w:r>
      <w:r>
        <w:rPr>
          <w:rFonts w:hint="eastAsia" w:ascii="宋体" w:hAnsi="宋体" w:eastAsia="宋体" w:cs="宋体"/>
          <w:b w:val="0"/>
          <w:bCs w:val="0"/>
          <w:color w:val="000000"/>
          <w:sz w:val="21"/>
          <w:szCs w:val="21"/>
          <w:lang w:val="en-US" w:eastAsia="zh-CN"/>
        </w:rPr>
        <w:t>培训要求：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4.1供应商需组织采购人使用人员进行使用等的培训。 并对相关使用人员提供不少于3次、不低于6学时的使用方面的培训。</w:t>
      </w:r>
    </w:p>
    <w:p>
      <w:pPr>
        <w:pStyle w:val="10"/>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lang w:val="en-US" w:eastAsia="zh-CN"/>
        </w:rPr>
        <w:t>5、售后服务要求：</w:t>
      </w:r>
      <w:r>
        <w:rPr>
          <w:rFonts w:hint="eastAsia" w:ascii="宋体" w:hAnsi="宋体" w:eastAsia="宋体" w:cs="宋体"/>
          <w:color w:val="000000"/>
          <w:sz w:val="21"/>
          <w:szCs w:val="21"/>
          <w:lang w:val="en-US" w:eastAsia="zh-CN"/>
        </w:rPr>
        <w:t>供应商指派专人负责与采购人联系售后服务事宜。通过QQ、微信或电话，提供7*24小时在线服务。学校提出问题，在2个小时内给予响应。</w:t>
      </w:r>
    </w:p>
    <w:p>
      <w:pPr>
        <w:pStyle w:val="10"/>
        <w:keepNext w:val="0"/>
        <w:keepLines w:val="0"/>
        <w:pageBreakBefore w:val="0"/>
        <w:widowControl w:val="0"/>
        <w:kinsoku/>
        <w:wordWrap/>
        <w:overflowPunct/>
        <w:topLinePunct w:val="0"/>
        <w:bidi w:val="0"/>
        <w:snapToGrid/>
        <w:spacing w:after="0" w:line="360" w:lineRule="auto"/>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6、质保期：验收合格之日起三年免费质保，质保期内软件免费升级，因系统质量问题而产生的费用，由成交供应商自行承担</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7、交货地点：湖北工业大学内，采购人指定地点。</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8、履约保证金：</w:t>
      </w:r>
      <w:r>
        <w:rPr>
          <w:rFonts w:hint="eastAsia" w:ascii="宋体" w:hAnsi="宋体" w:eastAsia="宋体" w:cs="宋体"/>
          <w:b w:val="0"/>
          <w:bCs w:val="0"/>
          <w:color w:val="auto"/>
          <w:sz w:val="21"/>
          <w:szCs w:val="21"/>
          <w:lang w:val="en-US" w:eastAsia="zh-CN"/>
        </w:rPr>
        <w:t>合同金额的5%；签订合同前5个工作日递交，以支票、汇票、本票或者金融机构、担保机构出具的保函等非现金形式提交。</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9、付款方式：本项目无预付款，到货后付款至合同金额的70%，验收合格后付款至合同金额的100%。履约保证金自动转为质保金，质保期满后一次性（无息）返还给乙方。同时，乙方须开具甲方财务部门认可的增值税发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spacing w:line="360" w:lineRule="auto"/>
        <w:outlineLvl w:val="9"/>
        <w:rPr>
          <w:rFonts w:hint="eastAsia" w:asciiTheme="minorEastAsia" w:hAnsiTheme="minorEastAsia" w:eastAsiaTheme="minorEastAsia" w:cstheme="minorEastAsia"/>
          <w:b/>
          <w:bCs/>
          <w:color w:val="FF0000"/>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lang w:val="en-US" w:eastAsia="zh-CN"/>
        </w:rPr>
        <w:br w:type="textWrapping"/>
      </w:r>
    </w:p>
    <w:p>
      <w:pPr>
        <w:rPr>
          <w:rFonts w:hint="eastAsia"/>
          <w:lang w:val="en-US" w:eastAsia="zh-CN"/>
        </w:rPr>
      </w:pPr>
      <w:r>
        <w:rPr>
          <w:rFonts w:hint="eastAsia" w:asciiTheme="minorEastAsia" w:hAnsiTheme="minorEastAsia" w:eastAsiaTheme="minorEastAsia" w:cstheme="minorEastAsia"/>
          <w:b/>
          <w:bCs/>
          <w:color w:val="FF0000"/>
          <w:szCs w:val="21"/>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bookmarkStart w:id="106" w:name="_Toc1933"/>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06"/>
    </w:p>
    <w:p>
      <w:pPr>
        <w:spacing w:line="360" w:lineRule="auto"/>
        <w:outlineLvl w:val="1"/>
        <w:rPr>
          <w:rFonts w:hint="eastAsia" w:asciiTheme="minorEastAsia" w:hAnsiTheme="minorEastAsia" w:eastAsiaTheme="minorEastAsia" w:cstheme="minorEastAsia"/>
          <w:b/>
          <w:szCs w:val="21"/>
        </w:rPr>
      </w:pPr>
      <w:bookmarkStart w:id="107" w:name="_Toc10483"/>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07"/>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lang w:val="zh-CN"/>
              </w:rPr>
            </w:pPr>
            <w:r>
              <w:rPr>
                <w:rFonts w:hint="eastAsia" w:ascii="Times New Roman" w:hAnsi="Times New Roman" w:cs="Times New Roman"/>
                <w:lang w:val="zh-CN"/>
              </w:rPr>
              <w:t>2、参与本项目采购活动前，已为本项目提供过整体设计、规范编制或者项目管理、监理、检测等服务的供应商。</w:t>
            </w:r>
          </w:p>
          <w:p>
            <w:pPr>
              <w:widowControl/>
              <w:spacing w:line="280" w:lineRule="exact"/>
              <w:jc w:val="left"/>
              <w:rPr>
                <w:rFonts w:hint="eastAsia"/>
                <w:lang w:val="zh-CN"/>
              </w:rPr>
            </w:pPr>
            <w:r>
              <w:rPr>
                <w:rFonts w:hint="eastAsia" w:ascii="Times New Roman" w:hAnsi="Times New Roman" w:cs="Times New Roman"/>
                <w:b w:val="0"/>
                <w:bCs w:val="0"/>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是否</w:t>
            </w:r>
            <w:r>
              <w:rPr>
                <w:rFonts w:hint="eastAsia" w:asciiTheme="minorEastAsia" w:hAnsiTheme="minorEastAsia" w:eastAsiaTheme="minorEastAsia" w:cstheme="minorEastAsia"/>
                <w:kern w:val="0"/>
                <w:szCs w:val="21"/>
                <w:lang w:val="en-US" w:eastAsia="zh-CN"/>
              </w:rPr>
              <w:t>未</w:t>
            </w:r>
            <w:r>
              <w:rPr>
                <w:rFonts w:hint="eastAsia" w:asciiTheme="minorEastAsia" w:hAnsiTheme="minorEastAsia" w:eastAsiaTheme="minorEastAsia" w:cstheme="minorEastAsia"/>
                <w:kern w:val="0"/>
                <w:szCs w:val="21"/>
              </w:rPr>
              <w:t>超出经营范围</w:t>
            </w:r>
            <w:r>
              <w:rPr>
                <w:rFonts w:hint="eastAsia" w:asciiTheme="minorEastAsia" w:hAnsiTheme="minorEastAsia" w:eastAsiaTheme="minorEastAsia" w:cstheme="minorEastAsia"/>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供应商提供声明或承诺书，格式自拟</w:t>
            </w:r>
            <w:r>
              <w:rPr>
                <w:rFonts w:hint="eastAsia" w:ascii="宋体" w:hAnsi="宋体" w:cs="宋体"/>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技术参数及商务需求</w:t>
            </w:r>
            <w:r>
              <w:rPr>
                <w:rFonts w:hint="eastAsia" w:asciiTheme="minorEastAsia" w:hAnsiTheme="minorEastAsia" w:eastAsiaTheme="minorEastAsia" w:cstheme="minorEastAsia"/>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rPr>
              <w:t>其他要求</w:t>
            </w: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p>
        </w:tc>
        <w:tc>
          <w:tcPr>
            <w:tcW w:w="4730" w:type="dxa"/>
            <w:vAlign w:val="center"/>
          </w:tcPr>
          <w:p>
            <w:pPr>
              <w:autoSpaceDE w:val="0"/>
              <w:autoSpaceDN w:val="0"/>
              <w:adjustRightInd w:val="0"/>
              <w:snapToGrid w:val="0"/>
              <w:rPr>
                <w:rFonts w:hint="eastAsia" w:ascii="宋体" w:hAnsi="宋体"/>
                <w:szCs w:val="21"/>
              </w:rPr>
            </w:pPr>
            <w:r>
              <w:rPr>
                <w:rFonts w:hint="eastAsia" w:ascii="宋体" w:hAnsi="宋体"/>
                <w:szCs w:val="21"/>
              </w:rPr>
              <w:t>供应商未有下列任一情形：</w:t>
            </w:r>
          </w:p>
          <w:p>
            <w:pPr>
              <w:autoSpaceDE w:val="0"/>
              <w:autoSpaceDN w:val="0"/>
              <w:adjustRightInd w:val="0"/>
              <w:snapToGrid w:val="0"/>
              <w:rPr>
                <w:rFonts w:hint="eastAsia"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hint="eastAsia"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hint="eastAsia"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hint="eastAsia"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hint="eastAsia"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其他要求</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磋商</w:t>
            </w:r>
            <w:r>
              <w:rPr>
                <w:rFonts w:hint="eastAsia" w:ascii="宋体" w:hAnsi="宋体" w:cs="宋体"/>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w:t>
            </w:r>
            <w:r>
              <w:rPr>
                <w:rFonts w:hint="eastAsia" w:asciiTheme="minorEastAsia" w:hAnsiTheme="minorEastAsia" w:eastAsiaTheme="minorEastAsia" w:cstheme="minorEastAsia"/>
                <w:kern w:val="0"/>
                <w:szCs w:val="21"/>
                <w:lang w:val="en-US" w:eastAsia="zh-CN"/>
              </w:rPr>
              <w:t>资格性和符合性审查</w:t>
            </w:r>
            <w:r>
              <w:rPr>
                <w:rFonts w:hint="eastAsia" w:asciiTheme="minorEastAsia" w:hAnsiTheme="minorEastAsia" w:eastAsiaTheme="minorEastAsia" w:cstheme="minorEastAsia"/>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标需同时提供制造商及代理商双方的数据资料（制造商直接</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标的仅需提供制造商数据资料），如果数据资料与声明函不一致的，由</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判定。经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 号文中对中小企业划型标准的，将根据财库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181</w:t>
            </w:r>
            <w:r>
              <w:rPr>
                <w:rFonts w:hint="eastAsia" w:asciiTheme="minorEastAsia" w:hAnsiTheme="minorEastAsia" w:eastAsiaTheme="minorEastAsia" w:cstheme="minorEastAsia"/>
                <w:kern w:val="0"/>
                <w:szCs w:val="21"/>
                <w:lang w:val="en-US" w:eastAsia="zh-CN"/>
              </w:rPr>
              <w:t>号</w:t>
            </w:r>
            <w:r>
              <w:rPr>
                <w:rFonts w:hint="eastAsia" w:asciiTheme="minorEastAsia" w:hAnsiTheme="minorEastAsia" w:eastAsiaTheme="minorEastAsia" w:cstheme="minorEastAsia"/>
                <w:kern w:val="0"/>
                <w:szCs w:val="21"/>
              </w:rPr>
              <w:t>文的相关规定在评定时对小型和微型企业产品的价格给予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2014</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属于监狱企业的，在评定时视同中小企业</w:t>
            </w:r>
            <w:r>
              <w:rPr>
                <w:rFonts w:hint="eastAsia" w:asciiTheme="minorEastAsia" w:hAnsiTheme="minorEastAsia" w:eastAsiaTheme="minorEastAsia" w:cstheme="minorEastAsia"/>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08" w:name="_Toc25729"/>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08"/>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asciiTheme="minorEastAsia" w:hAnsiTheme="minorEastAsia" w:eastAsiaTheme="minorEastAsia" w:cstheme="minorEastAsia"/>
          <w:b/>
          <w:szCs w:val="21"/>
        </w:rPr>
      </w:pPr>
    </w:p>
    <w:p>
      <w:pPr>
        <w:outlineLvl w:val="9"/>
        <w:rPr>
          <w:rFonts w:hint="eastAsia"/>
        </w:rPr>
      </w:pPr>
    </w:p>
    <w:p>
      <w:pPr>
        <w:pStyle w:val="20"/>
        <w:outlineLvl w:val="9"/>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rPr>
      </w:pPr>
      <w:bookmarkStart w:id="109" w:name="_Toc16455"/>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09"/>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376"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6512" w:type="dxa"/>
            <w:tcBorders>
              <w:top w:val="single" w:color="auto" w:sz="12" w:space="0"/>
            </w:tcBorders>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664" w:type="dxa"/>
            <w:tcBorders>
              <w:top w:val="single" w:color="auto" w:sz="12" w:space="0"/>
            </w:tcBorders>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vAlign w:val="center"/>
          </w:tcPr>
          <w:p>
            <w:pPr>
              <w:widowControl/>
              <w:spacing w:line="360" w:lineRule="auto"/>
              <w:jc w:val="center"/>
              <w:textAlignment w:val="center"/>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lang w:val="en-US" w:eastAsia="zh-CN" w:bidi="ar"/>
              </w:rPr>
              <w:t>竞标</w:t>
            </w:r>
            <w:r>
              <w:rPr>
                <w:rFonts w:hint="eastAsia" w:ascii="宋体" w:hAnsi="宋体" w:eastAsia="宋体" w:cs="宋体"/>
                <w:color w:val="auto"/>
                <w:kern w:val="0"/>
                <w:sz w:val="21"/>
                <w:szCs w:val="21"/>
                <w:highlight w:val="none"/>
                <w:lang w:bidi="ar"/>
              </w:rPr>
              <w:t>报价</w:t>
            </w:r>
            <w:r>
              <w:rPr>
                <w:rFonts w:hint="eastAsia" w:ascii="宋体" w:hAnsi="宋体" w:eastAsia="宋体" w:cs="宋体"/>
                <w:color w:val="auto"/>
                <w:kern w:val="0"/>
                <w:sz w:val="21"/>
                <w:szCs w:val="21"/>
                <w:highlight w:val="none"/>
                <w:lang w:bidi="ar"/>
              </w:rPr>
              <w:br w:type="textWrapping"/>
            </w:r>
            <w:r>
              <w:rPr>
                <w:rFonts w:hint="eastAsia" w:ascii="宋体" w:hAnsi="宋体" w:cs="宋体"/>
                <w:color w:val="auto"/>
                <w:kern w:val="0"/>
                <w:sz w:val="21"/>
                <w:szCs w:val="21"/>
                <w:highlight w:val="none"/>
                <w:lang w:val="en-US" w:eastAsia="zh-CN" w:bidi="ar"/>
              </w:rPr>
              <w:t>40</w:t>
            </w:r>
            <w:r>
              <w:rPr>
                <w:rFonts w:hint="eastAsia" w:ascii="宋体" w:hAnsi="宋体" w:eastAsia="宋体" w:cs="宋体"/>
                <w:color w:val="auto"/>
                <w:kern w:val="0"/>
                <w:sz w:val="21"/>
                <w:szCs w:val="21"/>
                <w:highlight w:val="none"/>
                <w:lang w:bidi="ar"/>
              </w:rPr>
              <w:t>分</w:t>
            </w:r>
          </w:p>
        </w:tc>
        <w:tc>
          <w:tcPr>
            <w:tcW w:w="1376" w:type="dxa"/>
            <w:vAlign w:val="center"/>
          </w:tcPr>
          <w:p>
            <w:pPr>
              <w:widowControl/>
              <w:spacing w:line="360" w:lineRule="auto"/>
              <w:jc w:val="center"/>
              <w:textAlignment w:val="center"/>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lang w:val="en-US" w:eastAsia="zh-CN" w:bidi="ar"/>
              </w:rPr>
              <w:t>最后</w:t>
            </w:r>
            <w:r>
              <w:rPr>
                <w:rFonts w:hint="eastAsia" w:ascii="宋体" w:hAnsi="宋体" w:eastAsia="宋体" w:cs="宋体"/>
                <w:color w:val="auto"/>
                <w:kern w:val="0"/>
                <w:sz w:val="21"/>
                <w:szCs w:val="21"/>
                <w:highlight w:val="none"/>
                <w:lang w:bidi="ar"/>
              </w:rPr>
              <w:t>报价</w:t>
            </w:r>
          </w:p>
        </w:tc>
        <w:tc>
          <w:tcPr>
            <w:tcW w:w="6512" w:type="dxa"/>
            <w:vAlign w:val="center"/>
          </w:tcPr>
          <w:p>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1、报价采用低价优先法计算，即满足</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采购文件要求且报价最低的报价为磋商基准价，其报价分为满分</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2、其他供应商的报价分按照下列公式计算：</w:t>
            </w:r>
          </w:p>
          <w:p>
            <w:pPr>
              <w:widowControl/>
              <w:spacing w:line="360"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报价分=（磋商基准价/磋商报价）×</w:t>
            </w:r>
            <w:r>
              <w:rPr>
                <w:rFonts w:hint="eastAsia" w:ascii="宋体" w:hAnsi="宋体" w:cs="宋体"/>
                <w:color w:val="auto"/>
                <w:sz w:val="21"/>
                <w:szCs w:val="21"/>
                <w:highlight w:val="none"/>
                <w:lang w:val="en-US" w:eastAsia="zh-CN"/>
              </w:rPr>
              <w:t>40</w:t>
            </w:r>
          </w:p>
          <w:p>
            <w:pPr>
              <w:widowControl/>
              <w:spacing w:line="36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符合本磋商文件第</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章“政策支持”</w:t>
            </w:r>
            <w:r>
              <w:rPr>
                <w:rFonts w:hint="eastAsia" w:ascii="宋体" w:hAnsi="宋体" w:eastAsia="宋体" w:cs="宋体"/>
                <w:b/>
                <w:bCs/>
                <w:color w:val="auto"/>
                <w:sz w:val="21"/>
                <w:szCs w:val="21"/>
                <w:highlight w:val="none"/>
                <w:lang w:val="en-US" w:eastAsia="zh-CN"/>
              </w:rPr>
              <w:t>条件</w:t>
            </w:r>
            <w:r>
              <w:rPr>
                <w:rFonts w:hint="eastAsia" w:ascii="宋体" w:hAnsi="宋体" w:eastAsia="宋体" w:cs="宋体"/>
                <w:b/>
                <w:bCs/>
                <w:color w:val="auto"/>
                <w:sz w:val="21"/>
                <w:szCs w:val="21"/>
                <w:highlight w:val="none"/>
              </w:rPr>
              <w:t>的，在评审时予以价格扣除，用扣除后的价格参与评审。</w:t>
            </w:r>
          </w:p>
        </w:tc>
        <w:tc>
          <w:tcPr>
            <w:tcW w:w="664" w:type="dxa"/>
            <w:vAlign w:val="center"/>
          </w:tcPr>
          <w:p>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40</w:t>
            </w:r>
            <w:r>
              <w:rPr>
                <w:rFonts w:hint="eastAsia" w:ascii="宋体" w:hAnsi="宋体" w:eastAsia="宋体" w:cs="宋体"/>
                <w:color w:val="auto"/>
                <w:kern w:val="0"/>
                <w:sz w:val="21"/>
                <w:szCs w:val="21"/>
                <w:highlight w:val="none"/>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8" w:hRule="atLeast"/>
        </w:trPr>
        <w:tc>
          <w:tcPr>
            <w:tcW w:w="736" w:type="dxa"/>
            <w:vMerge w:val="restart"/>
            <w:vAlign w:val="center"/>
          </w:tcPr>
          <w:p>
            <w:pPr>
              <w:spacing w:line="360" w:lineRule="auto"/>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商务</w:t>
            </w:r>
            <w:r>
              <w:rPr>
                <w:rFonts w:hint="eastAsia" w:ascii="宋体" w:hAnsi="宋体" w:cs="宋体"/>
                <w:color w:val="auto"/>
                <w:spacing w:val="-6"/>
                <w:sz w:val="21"/>
                <w:szCs w:val="21"/>
                <w:highlight w:val="none"/>
                <w:lang w:val="en-US" w:eastAsia="zh-CN"/>
              </w:rPr>
              <w:t>25</w:t>
            </w:r>
            <w:r>
              <w:rPr>
                <w:rFonts w:hint="eastAsia" w:ascii="宋体" w:hAnsi="宋体" w:eastAsia="宋体" w:cs="宋体"/>
                <w:color w:val="auto"/>
                <w:spacing w:val="-6"/>
                <w:sz w:val="21"/>
                <w:szCs w:val="21"/>
                <w:highlight w:val="none"/>
              </w:rPr>
              <w:t>分</w:t>
            </w:r>
          </w:p>
        </w:tc>
        <w:tc>
          <w:tcPr>
            <w:tcW w:w="1376" w:type="dxa"/>
            <w:vAlign w:val="center"/>
          </w:tcPr>
          <w:p>
            <w:pPr>
              <w:keepNext w:val="0"/>
              <w:keepLines w:val="0"/>
              <w:pageBreakBefore w:val="0"/>
              <w:kinsoku/>
              <w:wordWrap/>
              <w:overflowPunct/>
              <w:topLinePunct w:val="0"/>
              <w:autoSpaceDE w:val="0"/>
              <w:autoSpaceDN w:val="0"/>
              <w:bidi w:val="0"/>
              <w:adjustRightInd w:val="0"/>
              <w:snapToGrid/>
              <w:spacing w:line="360" w:lineRule="auto"/>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lang w:val="zh-CN"/>
              </w:rPr>
              <w:t>财务状况</w:t>
            </w:r>
          </w:p>
        </w:tc>
        <w:tc>
          <w:tcPr>
            <w:tcW w:w="6512" w:type="dxa"/>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根据供应商提供的近三年财务报告，对其经营状况、财务状况相互比较：</w:t>
            </w:r>
          </w:p>
          <w:p>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连续盈利，偿债能力、盈利能力和抗风险能力强的，得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盈利情况一般，偿债能力和抗风险能力较弱的，得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无盈利，偿债能力和抗风险能力差的，得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10"/>
              <w:keepNext w:val="0"/>
              <w:keepLines w:val="0"/>
              <w:pageBreakBefore w:val="0"/>
              <w:kinsoku/>
              <w:wordWrap/>
              <w:overflowPunct/>
              <w:topLinePunct w:val="0"/>
              <w:bidi w:val="0"/>
              <w:snapToGrid/>
              <w:spacing w:after="0"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（成立不足三年的按公司成立时间起算）</w:t>
            </w:r>
          </w:p>
        </w:tc>
        <w:tc>
          <w:tcPr>
            <w:tcW w:w="664" w:type="dxa"/>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pacing w:val="-6"/>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6" w:hRule="atLeast"/>
        </w:trPr>
        <w:tc>
          <w:tcPr>
            <w:tcW w:w="736" w:type="dxa"/>
            <w:vMerge w:val="continue"/>
            <w:vAlign w:val="center"/>
          </w:tcPr>
          <w:p>
            <w:pPr>
              <w:spacing w:line="360" w:lineRule="auto"/>
              <w:rPr>
                <w:rFonts w:hint="eastAsia" w:ascii="宋体" w:hAnsi="宋体" w:eastAsia="宋体" w:cs="宋体"/>
                <w:color w:val="auto"/>
                <w:sz w:val="21"/>
                <w:szCs w:val="21"/>
                <w:highlight w:val="none"/>
              </w:rPr>
            </w:pPr>
          </w:p>
        </w:tc>
        <w:tc>
          <w:tcPr>
            <w:tcW w:w="1376" w:type="dxa"/>
            <w:vMerge w:val="restart"/>
            <w:vAlign w:val="center"/>
          </w:tcPr>
          <w:p>
            <w:pPr>
              <w:keepNext w:val="0"/>
              <w:keepLines w:val="0"/>
              <w:pageBreakBefore w:val="0"/>
              <w:kinsoku/>
              <w:wordWrap/>
              <w:overflowPunct/>
              <w:topLinePunct w:val="0"/>
              <w:autoSpaceDE w:val="0"/>
              <w:autoSpaceDN w:val="0"/>
              <w:bidi w:val="0"/>
              <w:adjustRightInd w:val="0"/>
              <w:snapToGrid/>
              <w:spacing w:line="360" w:lineRule="auto"/>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z w:val="21"/>
                <w:szCs w:val="21"/>
                <w:highlight w:val="none"/>
                <w:lang w:val="zh-CN"/>
              </w:rPr>
              <w:t>企业业绩</w:t>
            </w:r>
          </w:p>
        </w:tc>
        <w:tc>
          <w:tcPr>
            <w:tcW w:w="6512" w:type="dxa"/>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0"/>
                <w:sz w:val="21"/>
                <w:szCs w:val="21"/>
                <w:highlight w:val="none"/>
              </w:rPr>
            </w:pPr>
            <w:r>
              <w:rPr>
                <w:rFonts w:hint="eastAsia" w:ascii="宋体" w:hAnsi="宋体" w:cs="宋体"/>
                <w:color w:val="auto"/>
                <w:szCs w:val="21"/>
              </w:rPr>
              <w:t>近三年（磋商截止时间往前推算</w:t>
            </w:r>
            <w:r>
              <w:rPr>
                <w:rFonts w:ascii="宋体" w:hAnsi="宋体" w:cs="宋体"/>
                <w:color w:val="auto"/>
                <w:szCs w:val="21"/>
              </w:rPr>
              <w:t>36个月）承担过的类似项目业绩一个得1分，最高得</w:t>
            </w:r>
            <w:r>
              <w:rPr>
                <w:rFonts w:hint="eastAsia" w:ascii="宋体" w:hAnsi="宋体" w:cs="宋体"/>
                <w:color w:val="auto"/>
                <w:szCs w:val="21"/>
                <w:lang w:val="en-US" w:eastAsia="zh-CN"/>
              </w:rPr>
              <w:t>3</w:t>
            </w:r>
            <w:r>
              <w:rPr>
                <w:rFonts w:ascii="宋体" w:hAnsi="宋体" w:cs="宋体"/>
                <w:color w:val="auto"/>
                <w:szCs w:val="21"/>
              </w:rPr>
              <w:t>分。（须提供同复印件加盖公章）</w:t>
            </w:r>
          </w:p>
        </w:tc>
        <w:tc>
          <w:tcPr>
            <w:tcW w:w="664"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color w:val="auto"/>
                <w:spacing w:val="-6"/>
                <w:kern w:val="0"/>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spacing w:line="360" w:lineRule="auto"/>
              <w:rPr>
                <w:rFonts w:hint="eastAsia" w:ascii="宋体" w:hAnsi="宋体" w:eastAsia="宋体" w:cs="宋体"/>
                <w:color w:val="auto"/>
                <w:sz w:val="21"/>
                <w:szCs w:val="21"/>
                <w:highlight w:val="none"/>
              </w:rPr>
            </w:pPr>
          </w:p>
        </w:tc>
        <w:tc>
          <w:tcPr>
            <w:tcW w:w="1376" w:type="dxa"/>
            <w:vMerge w:val="restart"/>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lang w:val="zh-CN"/>
              </w:rPr>
              <w:t>企业认证</w:t>
            </w:r>
          </w:p>
        </w:tc>
        <w:tc>
          <w:tcPr>
            <w:tcW w:w="6512" w:type="dxa"/>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z w:val="21"/>
                <w:szCs w:val="21"/>
                <w:highlight w:val="none"/>
              </w:rPr>
              <w:t>供应商提供有效期内的质量管理体系认证证书</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64"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color w:val="auto"/>
                <w:spacing w:val="-6"/>
                <w:kern w:val="0"/>
                <w:sz w:val="21"/>
                <w:szCs w:val="21"/>
                <w:highlight w:val="none"/>
                <w:lang w:val="en-US" w:eastAsia="zh-CN"/>
              </w:rPr>
              <w:t>3</w:t>
            </w:r>
            <w:r>
              <w:rPr>
                <w:rFonts w:hint="eastAsia" w:ascii="宋体" w:hAnsi="宋体" w:eastAsia="宋体" w:cs="宋体"/>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 w:hRule="atLeast"/>
        </w:trPr>
        <w:tc>
          <w:tcPr>
            <w:tcW w:w="736" w:type="dxa"/>
            <w:vMerge w:val="continue"/>
            <w:vAlign w:val="center"/>
          </w:tcPr>
          <w:p>
            <w:pPr>
              <w:spacing w:line="360" w:lineRule="auto"/>
              <w:rPr>
                <w:rFonts w:hint="eastAsia" w:ascii="宋体" w:hAnsi="宋体" w:eastAsia="宋体" w:cs="宋体"/>
                <w:color w:val="auto"/>
                <w:sz w:val="21"/>
                <w:szCs w:val="21"/>
                <w:highlight w:val="none"/>
              </w:rPr>
            </w:pPr>
          </w:p>
        </w:tc>
        <w:tc>
          <w:tcPr>
            <w:tcW w:w="1376" w:type="dxa"/>
            <w:vMerge w:val="continue"/>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0"/>
                <w:sz w:val="21"/>
                <w:szCs w:val="21"/>
                <w:highlight w:val="none"/>
              </w:rPr>
            </w:pPr>
          </w:p>
        </w:tc>
        <w:tc>
          <w:tcPr>
            <w:tcW w:w="6512" w:type="dxa"/>
            <w:tcBorders>
              <w:bottom w:val="single" w:color="auto" w:sz="4" w:space="0"/>
            </w:tcBorders>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0"/>
                <w:sz w:val="21"/>
                <w:szCs w:val="21"/>
                <w:highlight w:val="none"/>
              </w:rPr>
            </w:pPr>
            <w:r>
              <w:rPr>
                <w:rFonts w:hint="eastAsia" w:ascii="宋体" w:hAnsi="宋体" w:cs="宋体"/>
                <w:color w:val="auto"/>
                <w:szCs w:val="21"/>
                <w:highlight w:val="none"/>
                <w:lang w:val="en-US" w:eastAsia="zh-CN"/>
              </w:rPr>
              <w:t>提供软件制造商</w:t>
            </w:r>
            <w:r>
              <w:rPr>
                <w:rFonts w:hint="eastAsia" w:ascii="宋体" w:hAnsi="宋体" w:cs="宋体"/>
                <w:color w:val="auto"/>
                <w:szCs w:val="21"/>
                <w:highlight w:val="none"/>
              </w:rPr>
              <w:t>高新技术企业认定证书</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64"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color w:val="auto"/>
                <w:spacing w:val="-6"/>
                <w:kern w:val="0"/>
                <w:sz w:val="21"/>
                <w:szCs w:val="21"/>
                <w:highlight w:val="none"/>
              </w:rPr>
            </w:pPr>
            <w:r>
              <w:rPr>
                <w:rFonts w:hint="eastAsia" w:ascii="宋体" w:hAnsi="宋体" w:cs="宋体"/>
                <w:color w:val="auto"/>
                <w:spacing w:val="-6"/>
                <w:kern w:val="0"/>
                <w:sz w:val="21"/>
                <w:szCs w:val="21"/>
                <w:highlight w:val="none"/>
                <w:lang w:val="en-US" w:eastAsia="zh-CN"/>
              </w:rPr>
              <w:t>3</w:t>
            </w:r>
            <w:r>
              <w:rPr>
                <w:rFonts w:hint="eastAsia" w:ascii="宋体" w:hAnsi="宋体" w:eastAsia="宋体" w:cs="宋体"/>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 w:hRule="atLeast"/>
        </w:trPr>
        <w:tc>
          <w:tcPr>
            <w:tcW w:w="736"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color w:val="auto"/>
                <w:highlight w:val="none"/>
              </w:rPr>
            </w:pPr>
          </w:p>
        </w:tc>
        <w:tc>
          <w:tcPr>
            <w:tcW w:w="1376"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color w:val="auto"/>
                <w:highlight w:val="none"/>
              </w:rPr>
            </w:pPr>
          </w:p>
        </w:tc>
        <w:tc>
          <w:tcPr>
            <w:tcW w:w="6512"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提供软件制造商与外贸教学的权威机构合作举办国际性的外贸大赛证明的得3分，全国性的得2分，省级的得1分。</w:t>
            </w:r>
          </w:p>
        </w:tc>
        <w:tc>
          <w:tcPr>
            <w:tcW w:w="664"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2" w:hRule="atLeast"/>
        </w:trPr>
        <w:tc>
          <w:tcPr>
            <w:tcW w:w="736"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cs="宋体"/>
                <w:color w:val="auto"/>
                <w:szCs w:val="21"/>
                <w:highlight w:val="none"/>
                <w:lang w:val="en-US" w:eastAsia="zh-CN"/>
              </w:rPr>
            </w:pPr>
          </w:p>
        </w:tc>
        <w:tc>
          <w:tcPr>
            <w:tcW w:w="1376" w:type="dxa"/>
            <w:vMerge w:val="continue"/>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cs="宋体"/>
                <w:color w:val="auto"/>
                <w:szCs w:val="21"/>
                <w:highlight w:val="none"/>
                <w:lang w:val="en-US" w:eastAsia="zh-CN"/>
              </w:rPr>
            </w:pPr>
          </w:p>
        </w:tc>
        <w:tc>
          <w:tcPr>
            <w:tcW w:w="6512"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正式出版发行、有正式书号的配套教材得3分</w:t>
            </w:r>
          </w:p>
        </w:tc>
        <w:tc>
          <w:tcPr>
            <w:tcW w:w="664" w:type="dxa"/>
            <w:tcBorders>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spacing w:line="360" w:lineRule="auto"/>
              <w:rPr>
                <w:rFonts w:hint="eastAsia" w:ascii="宋体" w:hAnsi="宋体" w:eastAsia="宋体" w:cs="宋体"/>
                <w:color w:val="auto"/>
                <w:sz w:val="21"/>
                <w:szCs w:val="21"/>
                <w:highlight w:val="none"/>
              </w:rPr>
            </w:pPr>
          </w:p>
        </w:tc>
        <w:tc>
          <w:tcPr>
            <w:tcW w:w="1376" w:type="dxa"/>
            <w:vMerge w:val="continue"/>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0"/>
                <w:sz w:val="21"/>
                <w:szCs w:val="21"/>
                <w:highlight w:val="none"/>
              </w:rPr>
            </w:pPr>
          </w:p>
        </w:tc>
        <w:tc>
          <w:tcPr>
            <w:tcW w:w="6512" w:type="dxa"/>
            <w:tcBorders>
              <w:top w:val="single" w:color="auto" w:sz="4" w:space="0"/>
            </w:tcBorders>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软件生产厂商提供国家级教学成果奖获奖证明的得3分，省级</w:t>
            </w:r>
            <w:r>
              <w:rPr>
                <w:rFonts w:hint="eastAsia" w:ascii="宋体" w:hAnsi="宋体" w:cs="宋体"/>
                <w:color w:val="auto"/>
                <w:spacing w:val="-6"/>
                <w:kern w:val="0"/>
                <w:sz w:val="21"/>
                <w:szCs w:val="21"/>
                <w:highlight w:val="none"/>
                <w:lang w:val="en-US" w:eastAsia="zh-CN"/>
              </w:rPr>
              <w:t>的</w:t>
            </w:r>
            <w:r>
              <w:rPr>
                <w:rFonts w:hint="eastAsia" w:ascii="宋体" w:hAnsi="宋体" w:eastAsia="宋体" w:cs="宋体"/>
                <w:color w:val="auto"/>
                <w:spacing w:val="-6"/>
                <w:kern w:val="0"/>
                <w:sz w:val="21"/>
                <w:szCs w:val="21"/>
                <w:highlight w:val="none"/>
              </w:rPr>
              <w:t>得2分，市级</w:t>
            </w:r>
            <w:r>
              <w:rPr>
                <w:rFonts w:hint="eastAsia" w:ascii="宋体" w:hAnsi="宋体" w:cs="宋体"/>
                <w:color w:val="auto"/>
                <w:spacing w:val="-6"/>
                <w:kern w:val="0"/>
                <w:sz w:val="21"/>
                <w:szCs w:val="21"/>
                <w:highlight w:val="none"/>
                <w:lang w:val="en-US" w:eastAsia="zh-CN"/>
              </w:rPr>
              <w:t>的</w:t>
            </w:r>
            <w:r>
              <w:rPr>
                <w:rFonts w:hint="eastAsia" w:ascii="宋体" w:hAnsi="宋体" w:eastAsia="宋体" w:cs="宋体"/>
                <w:color w:val="auto"/>
                <w:spacing w:val="-6"/>
                <w:kern w:val="0"/>
                <w:sz w:val="21"/>
                <w:szCs w:val="21"/>
                <w:highlight w:val="none"/>
              </w:rPr>
              <w:t>得1分。</w:t>
            </w:r>
          </w:p>
        </w:tc>
        <w:tc>
          <w:tcPr>
            <w:tcW w:w="664"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color w:val="auto"/>
                <w:spacing w:val="-6"/>
                <w:kern w:val="0"/>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spacing w:line="360" w:lineRule="auto"/>
              <w:rPr>
                <w:rFonts w:hint="eastAsia" w:ascii="宋体" w:hAnsi="宋体" w:eastAsia="宋体" w:cs="宋体"/>
                <w:sz w:val="21"/>
                <w:szCs w:val="21"/>
              </w:rPr>
            </w:pPr>
          </w:p>
        </w:tc>
        <w:tc>
          <w:tcPr>
            <w:tcW w:w="1376" w:type="dxa"/>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pacing w:val="-6"/>
                <w:kern w:val="0"/>
                <w:sz w:val="21"/>
                <w:szCs w:val="21"/>
              </w:rPr>
            </w:pPr>
            <w:r>
              <w:rPr>
                <w:rFonts w:hint="eastAsia" w:ascii="宋体" w:hAnsi="宋体" w:eastAsia="宋体" w:cs="宋体"/>
                <w:sz w:val="21"/>
                <w:szCs w:val="21"/>
                <w:lang w:val="zh-CN"/>
              </w:rPr>
              <w:t>企业信誉</w:t>
            </w:r>
          </w:p>
        </w:tc>
        <w:tc>
          <w:tcPr>
            <w:tcW w:w="6512" w:type="dxa"/>
            <w:tcBorders>
              <w:top w:val="single" w:color="auto" w:sz="4" w:space="0"/>
            </w:tcBorders>
            <w:vAlign w:val="center"/>
          </w:tcPr>
          <w:p>
            <w:pPr>
              <w:keepNext w:val="0"/>
              <w:keepLines w:val="0"/>
              <w:pageBreakBefore w:val="0"/>
              <w:kinsoku/>
              <w:wordWrap/>
              <w:overflowPunct/>
              <w:topLinePunct w:val="0"/>
              <w:bidi w:val="0"/>
              <w:snapToGrid/>
              <w:spacing w:line="360" w:lineRule="auto"/>
              <w:rPr>
                <w:rFonts w:hint="eastAsia" w:ascii="宋体" w:hAnsi="宋体" w:eastAsia="宋体" w:cs="宋体"/>
                <w:sz w:val="21"/>
                <w:szCs w:val="21"/>
              </w:rPr>
            </w:pPr>
            <w:r>
              <w:rPr>
                <w:rFonts w:hint="eastAsia" w:ascii="宋体" w:hAnsi="宋体" w:eastAsia="宋体" w:cs="宋体"/>
                <w:sz w:val="21"/>
                <w:szCs w:val="21"/>
              </w:rPr>
              <w:t xml:space="preserve">获得企业信用等级证书，AAA的得 </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分；AA及以下的得 </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分；未提供证书清晰复印件的不得分。</w:t>
            </w:r>
          </w:p>
        </w:tc>
        <w:tc>
          <w:tcPr>
            <w:tcW w:w="664" w:type="dxa"/>
            <w:tcBorders>
              <w:top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spacing w:val="-6"/>
                <w:kern w:val="0"/>
                <w:sz w:val="21"/>
                <w:szCs w:val="21"/>
                <w:lang w:val="en-US" w:eastAsia="zh-CN"/>
              </w:rPr>
            </w:pPr>
            <w:r>
              <w:rPr>
                <w:rFonts w:hint="eastAsia" w:ascii="宋体" w:hAnsi="宋体" w:eastAsia="宋体" w:cs="宋体"/>
                <w:spacing w:val="-6"/>
                <w:kern w:val="0"/>
                <w:sz w:val="21"/>
                <w:szCs w:val="21"/>
                <w:lang w:val="en-US" w:eastAsia="zh-CN"/>
              </w:rPr>
              <w:t>2</w:t>
            </w:r>
            <w:r>
              <w:rPr>
                <w:rFonts w:hint="eastAsia" w:ascii="宋体" w:hAnsi="宋体" w:eastAsia="宋体" w:cs="宋体"/>
                <w:spacing w:val="-6"/>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8" w:hRule="atLeast"/>
        </w:trPr>
        <w:tc>
          <w:tcPr>
            <w:tcW w:w="736" w:type="dxa"/>
            <w:vMerge w:val="restart"/>
            <w:vAlign w:val="center"/>
          </w:tcPr>
          <w:p>
            <w:pPr>
              <w:spacing w:line="36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技术服务</w:t>
            </w:r>
            <w:r>
              <w:rPr>
                <w:rFonts w:hint="eastAsia" w:ascii="宋体" w:hAnsi="宋体" w:cs="宋体"/>
                <w:color w:val="auto"/>
                <w:spacing w:val="-6"/>
                <w:sz w:val="21"/>
                <w:szCs w:val="21"/>
                <w:lang w:val="en-US" w:eastAsia="zh-CN"/>
              </w:rPr>
              <w:t>35</w:t>
            </w:r>
            <w:r>
              <w:rPr>
                <w:rFonts w:hint="eastAsia" w:ascii="宋体" w:hAnsi="宋体" w:eastAsia="宋体" w:cs="宋体"/>
                <w:color w:val="auto"/>
                <w:spacing w:val="-6"/>
                <w:sz w:val="21"/>
                <w:szCs w:val="21"/>
              </w:rPr>
              <w:t>分</w:t>
            </w:r>
          </w:p>
        </w:tc>
        <w:tc>
          <w:tcPr>
            <w:tcW w:w="1376" w:type="dxa"/>
            <w:vAlign w:val="center"/>
          </w:tcPr>
          <w:p>
            <w:pPr>
              <w:keepNext w:val="0"/>
              <w:keepLines w:val="0"/>
              <w:pageBreakBefore w:val="0"/>
              <w:kinsoku/>
              <w:wordWrap/>
              <w:overflowPunct/>
              <w:topLinePunct w:val="0"/>
              <w:bidi w:val="0"/>
              <w:snapToGrid/>
              <w:spacing w:line="360" w:lineRule="auto"/>
              <w:ind w:left="-4" w:leftChars="-2" w:firstLine="2" w:firstLineChars="1"/>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售后服务</w:t>
            </w:r>
          </w:p>
        </w:tc>
        <w:tc>
          <w:tcPr>
            <w:tcW w:w="6512" w:type="dxa"/>
            <w:vAlign w:val="center"/>
          </w:tcPr>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根据提供的用户售后服务方案，对其提供的设备售后质保方案、服务承诺条款</w:t>
            </w:r>
            <w:r>
              <w:rPr>
                <w:rFonts w:hint="eastAsia" w:ascii="宋体" w:hAnsi="宋体" w:cs="宋体"/>
                <w:sz w:val="21"/>
                <w:szCs w:val="21"/>
                <w:lang w:eastAsia="zh-CN"/>
              </w:rPr>
              <w:t>等</w:t>
            </w:r>
            <w:r>
              <w:rPr>
                <w:rFonts w:hint="eastAsia" w:ascii="宋体" w:hAnsi="宋体" w:eastAsia="宋体" w:cs="宋体"/>
                <w:sz w:val="21"/>
                <w:szCs w:val="21"/>
              </w:rPr>
              <w:t>情况综合评议：</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内容完备、合理，针对性强，</w:t>
            </w:r>
            <w:r>
              <w:rPr>
                <w:rFonts w:hint="eastAsia" w:ascii="宋体" w:hAnsi="宋体" w:cs="宋体"/>
                <w:sz w:val="21"/>
                <w:szCs w:val="21"/>
                <w:lang w:val="en-US" w:eastAsia="zh-CN"/>
              </w:rPr>
              <w:t>5</w:t>
            </w:r>
            <w:r>
              <w:rPr>
                <w:rFonts w:hint="eastAsia" w:ascii="宋体" w:hAnsi="宋体" w:eastAsia="宋体" w:cs="宋体"/>
                <w:sz w:val="21"/>
                <w:szCs w:val="21"/>
              </w:rPr>
              <w:t>分；</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内容完备，可行，</w:t>
            </w:r>
            <w:r>
              <w:rPr>
                <w:rFonts w:hint="eastAsia" w:ascii="宋体" w:hAnsi="宋体" w:cs="宋体"/>
                <w:sz w:val="21"/>
                <w:szCs w:val="21"/>
                <w:lang w:val="en-US" w:eastAsia="zh-CN"/>
              </w:rPr>
              <w:t>3</w:t>
            </w:r>
            <w:r>
              <w:rPr>
                <w:rFonts w:hint="eastAsia" w:ascii="宋体" w:hAnsi="宋体" w:eastAsia="宋体" w:cs="宋体"/>
                <w:sz w:val="21"/>
                <w:szCs w:val="21"/>
              </w:rPr>
              <w:t xml:space="preserve"> 分；</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内容欠完备，基本可行，1 分；</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不可行，0 分。</w:t>
            </w:r>
          </w:p>
        </w:tc>
        <w:tc>
          <w:tcPr>
            <w:tcW w:w="664" w:type="dxa"/>
            <w:vAlign w:val="center"/>
          </w:tcPr>
          <w:p>
            <w:pPr>
              <w:keepNext w:val="0"/>
              <w:keepLines w:val="0"/>
              <w:pageBreakBefore w:val="0"/>
              <w:kinsoku/>
              <w:wordWrap/>
              <w:overflowPunct/>
              <w:topLinePunct w:val="0"/>
              <w:bidi w:val="0"/>
              <w:snapToGrid/>
              <w:spacing w:line="360" w:lineRule="auto"/>
              <w:ind w:left="-4" w:leftChars="-2" w:firstLine="2" w:firstLineChars="1"/>
              <w:jc w:val="cente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vAlign w:val="center"/>
          </w:tcPr>
          <w:p>
            <w:pPr>
              <w:spacing w:line="360" w:lineRule="auto"/>
              <w:rPr>
                <w:rFonts w:hint="eastAsia" w:ascii="宋体" w:hAnsi="宋体" w:eastAsia="宋体" w:cs="宋体"/>
                <w:sz w:val="21"/>
                <w:szCs w:val="21"/>
              </w:rPr>
            </w:pPr>
          </w:p>
        </w:tc>
        <w:tc>
          <w:tcPr>
            <w:tcW w:w="1376" w:type="dxa"/>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pacing w:val="-6"/>
                <w:kern w:val="0"/>
                <w:sz w:val="21"/>
                <w:szCs w:val="21"/>
              </w:rPr>
            </w:pPr>
            <w:r>
              <w:rPr>
                <w:rFonts w:hint="eastAsia" w:ascii="宋体" w:hAnsi="宋体" w:eastAsia="宋体" w:cs="宋体"/>
                <w:sz w:val="21"/>
                <w:szCs w:val="21"/>
                <w:lang w:val="zh-CN"/>
              </w:rPr>
              <w:t>技术偏离</w:t>
            </w:r>
          </w:p>
        </w:tc>
        <w:tc>
          <w:tcPr>
            <w:tcW w:w="6512" w:type="dxa"/>
            <w:vAlign w:val="center"/>
          </w:tcPr>
          <w:p>
            <w:pPr>
              <w:autoSpaceDE w:val="0"/>
              <w:autoSpaceDN w:val="0"/>
              <w:adjustRightInd w:val="0"/>
              <w:spacing w:line="360" w:lineRule="auto"/>
              <w:ind w:right="71" w:rightChars="34"/>
              <w:rPr>
                <w:rFonts w:hint="eastAsia" w:ascii="宋体" w:hAnsi="宋体" w:eastAsia="宋体" w:cs="宋体"/>
                <w:snapToGrid/>
                <w:color w:val="auto"/>
                <w:spacing w:val="-6"/>
                <w:kern w:val="0"/>
                <w:sz w:val="21"/>
                <w:szCs w:val="21"/>
                <w:lang w:val="en-US" w:eastAsia="zh-CN" w:bidi="ar-SA"/>
              </w:rPr>
            </w:pPr>
            <w:r>
              <w:rPr>
                <w:rFonts w:hint="eastAsia" w:ascii="宋体" w:hAnsi="宋体" w:eastAsia="宋体" w:cs="宋体"/>
                <w:snapToGrid/>
                <w:color w:val="auto"/>
                <w:spacing w:val="-6"/>
                <w:kern w:val="0"/>
                <w:sz w:val="21"/>
                <w:szCs w:val="21"/>
                <w:lang w:val="en-US" w:eastAsia="zh-CN" w:bidi="ar-SA"/>
              </w:rPr>
              <w:t>技术参数响应情况占25分，具体由评委根据供应商的磋商文件中产品情况、《技术响应、偏离说明表》等有关资料打分。</w:t>
            </w:r>
          </w:p>
          <w:p>
            <w:pPr>
              <w:autoSpaceDE w:val="0"/>
              <w:autoSpaceDN w:val="0"/>
              <w:adjustRightInd w:val="0"/>
              <w:spacing w:line="360" w:lineRule="auto"/>
              <w:ind w:right="71" w:rightChars="34"/>
              <w:rPr>
                <w:rFonts w:hint="eastAsia" w:ascii="宋体" w:hAnsi="宋体" w:eastAsia="宋体" w:cs="宋体"/>
                <w:snapToGrid/>
                <w:color w:val="auto"/>
                <w:spacing w:val="-6"/>
                <w:kern w:val="0"/>
                <w:sz w:val="21"/>
                <w:szCs w:val="21"/>
                <w:lang w:val="en-US" w:eastAsia="zh-CN" w:bidi="ar-SA"/>
              </w:rPr>
            </w:pPr>
            <w:r>
              <w:rPr>
                <w:rFonts w:hint="eastAsia" w:ascii="宋体" w:hAnsi="宋体" w:eastAsia="宋体" w:cs="宋体"/>
                <w:snapToGrid/>
                <w:color w:val="auto"/>
                <w:spacing w:val="-6"/>
                <w:kern w:val="0"/>
                <w:sz w:val="21"/>
                <w:szCs w:val="21"/>
                <w:lang w:val="en-US" w:eastAsia="zh-CN" w:bidi="ar-SA"/>
              </w:rPr>
              <w:t>其中：完全满足招标文件技术参数要求的得25分；在此基础上，</w:t>
            </w:r>
            <w:r>
              <w:rPr>
                <w:rFonts w:hint="eastAsia" w:ascii="宋体" w:hAnsi="宋体" w:cs="宋体"/>
                <w:snapToGrid/>
                <w:color w:val="auto"/>
                <w:spacing w:val="-6"/>
                <w:kern w:val="0"/>
                <w:sz w:val="21"/>
                <w:szCs w:val="21"/>
                <w:lang w:val="en-US" w:eastAsia="zh-CN" w:bidi="ar-SA"/>
              </w:rPr>
              <w:t>普通</w:t>
            </w:r>
            <w:r>
              <w:rPr>
                <w:rFonts w:hint="eastAsia" w:ascii="宋体" w:hAnsi="宋体" w:eastAsia="宋体" w:cs="宋体"/>
                <w:snapToGrid/>
                <w:color w:val="auto"/>
                <w:spacing w:val="-6"/>
                <w:kern w:val="0"/>
                <w:sz w:val="21"/>
                <w:szCs w:val="21"/>
                <w:lang w:val="en-US" w:eastAsia="zh-CN" w:bidi="ar-SA"/>
              </w:rPr>
              <w:t>有一项不符合的则每项扣</w:t>
            </w:r>
            <w:r>
              <w:rPr>
                <w:rFonts w:hint="eastAsia" w:ascii="宋体" w:hAnsi="宋体" w:cs="宋体"/>
                <w:snapToGrid/>
                <w:color w:val="auto"/>
                <w:spacing w:val="-6"/>
                <w:kern w:val="0"/>
                <w:sz w:val="21"/>
                <w:szCs w:val="21"/>
                <w:lang w:val="en-US" w:eastAsia="zh-CN" w:bidi="ar-SA"/>
              </w:rPr>
              <w:t>1</w:t>
            </w:r>
            <w:r>
              <w:rPr>
                <w:rFonts w:hint="eastAsia" w:ascii="宋体" w:hAnsi="宋体" w:eastAsia="宋体" w:cs="宋体"/>
                <w:snapToGrid/>
                <w:color w:val="auto"/>
                <w:spacing w:val="-6"/>
                <w:kern w:val="0"/>
                <w:sz w:val="21"/>
                <w:szCs w:val="21"/>
                <w:lang w:val="en-US" w:eastAsia="zh-CN" w:bidi="ar-SA"/>
              </w:rPr>
              <w:t>分，带</w:t>
            </w:r>
            <w:r>
              <w:rPr>
                <w:rFonts w:hint="eastAsia" w:ascii="宋体" w:hAnsi="宋体" w:cs="宋体"/>
                <w:color w:val="auto"/>
                <w:sz w:val="21"/>
                <w:szCs w:val="21"/>
                <w:lang w:eastAsia="zh-CN"/>
              </w:rPr>
              <w:t>“※”</w:t>
            </w:r>
            <w:r>
              <w:rPr>
                <w:rFonts w:hint="eastAsia" w:ascii="宋体" w:hAnsi="宋体" w:eastAsia="宋体" w:cs="宋体"/>
                <w:snapToGrid/>
                <w:color w:val="auto"/>
                <w:spacing w:val="-6"/>
                <w:kern w:val="0"/>
                <w:sz w:val="21"/>
                <w:szCs w:val="21"/>
                <w:lang w:val="en-US" w:eastAsia="zh-CN" w:bidi="ar-SA"/>
              </w:rPr>
              <w:t>有一项不符合的则每项扣</w:t>
            </w:r>
            <w:r>
              <w:rPr>
                <w:rFonts w:hint="eastAsia" w:ascii="宋体" w:hAnsi="宋体" w:cs="宋体"/>
                <w:snapToGrid/>
                <w:color w:val="auto"/>
                <w:spacing w:val="-6"/>
                <w:kern w:val="0"/>
                <w:sz w:val="21"/>
                <w:szCs w:val="21"/>
                <w:lang w:val="en-US" w:eastAsia="zh-CN" w:bidi="ar-SA"/>
              </w:rPr>
              <w:t>2</w:t>
            </w:r>
            <w:r>
              <w:rPr>
                <w:rFonts w:hint="eastAsia" w:ascii="宋体" w:hAnsi="宋体" w:eastAsia="宋体" w:cs="宋体"/>
                <w:snapToGrid/>
                <w:color w:val="auto"/>
                <w:spacing w:val="-6"/>
                <w:kern w:val="0"/>
                <w:sz w:val="21"/>
                <w:szCs w:val="21"/>
                <w:lang w:val="en-US" w:eastAsia="zh-CN" w:bidi="ar-SA"/>
              </w:rPr>
              <w:t>分，扣完为止。</w:t>
            </w:r>
          </w:p>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r>
              <w:rPr>
                <w:rFonts w:hint="eastAsia" w:ascii="宋体" w:hAnsi="宋体" w:eastAsia="宋体" w:cs="宋体"/>
                <w:snapToGrid/>
                <w:color w:val="auto"/>
                <w:spacing w:val="-6"/>
                <w:kern w:val="0"/>
                <w:sz w:val="21"/>
                <w:szCs w:val="21"/>
                <w:lang w:val="en-US" w:eastAsia="zh-CN" w:bidi="ar-SA"/>
              </w:rPr>
              <w:t>备注：复制招标文件技术要求作为实际响应数据或投标响应数据无对应支持文件的，其技术响应将可能按负偏离处理。</w:t>
            </w:r>
          </w:p>
        </w:tc>
        <w:tc>
          <w:tcPr>
            <w:tcW w:w="664" w:type="dxa"/>
            <w:vAlign w:val="center"/>
          </w:tcPr>
          <w:p>
            <w:pPr>
              <w:autoSpaceDE w:val="0"/>
              <w:autoSpaceDN w:val="0"/>
              <w:adjustRightInd w:val="0"/>
              <w:spacing w:line="360" w:lineRule="auto"/>
              <w:ind w:right="71" w:rightChars="34"/>
              <w:jc w:val="center"/>
              <w:rPr>
                <w:rFonts w:hint="eastAsia" w:ascii="宋体" w:hAnsi="宋体" w:eastAsia="宋体" w:cs="宋体"/>
                <w:color w:val="auto"/>
                <w:spacing w:val="-6"/>
                <w:kern w:val="0"/>
                <w:sz w:val="21"/>
                <w:szCs w:val="21"/>
              </w:rPr>
            </w:pPr>
            <w:r>
              <w:rPr>
                <w:rFonts w:hint="eastAsia" w:ascii="宋体" w:hAnsi="宋体" w:cs="宋体"/>
                <w:snapToGrid/>
                <w:color w:val="auto"/>
                <w:spacing w:val="-6"/>
                <w:kern w:val="0"/>
                <w:sz w:val="21"/>
                <w:szCs w:val="21"/>
                <w:lang w:val="en-US" w:eastAsia="zh-CN" w:bidi="ar-SA"/>
              </w:rPr>
              <w:t>2</w:t>
            </w:r>
            <w:r>
              <w:rPr>
                <w:rFonts w:hint="eastAsia" w:ascii="宋体" w:hAnsi="宋体" w:eastAsia="宋体" w:cs="宋体"/>
                <w:snapToGrid/>
                <w:color w:val="auto"/>
                <w:spacing w:val="-6"/>
                <w:kern w:val="0"/>
                <w:sz w:val="21"/>
                <w:szCs w:val="21"/>
                <w:lang w:val="en-US" w:eastAsia="zh-CN" w:bidi="ar-SA"/>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Merge w:val="continue"/>
            <w:vAlign w:val="center"/>
          </w:tcPr>
          <w:p>
            <w:pPr>
              <w:spacing w:line="360" w:lineRule="auto"/>
              <w:rPr>
                <w:rFonts w:hint="eastAsia" w:ascii="宋体" w:hAnsi="宋体" w:eastAsia="宋体" w:cs="宋体"/>
                <w:sz w:val="21"/>
                <w:szCs w:val="21"/>
              </w:rPr>
            </w:pPr>
          </w:p>
        </w:tc>
        <w:tc>
          <w:tcPr>
            <w:tcW w:w="1376" w:type="dxa"/>
            <w:vAlign w:val="center"/>
          </w:tcPr>
          <w:p>
            <w:pPr>
              <w:keepNext w:val="0"/>
              <w:keepLines w:val="0"/>
              <w:pageBreakBefore w:val="0"/>
              <w:kinsoku/>
              <w:wordWrap/>
              <w:overflowPunct/>
              <w:topLinePunct w:val="0"/>
              <w:bidi w:val="0"/>
              <w:snapToGrid/>
              <w:spacing w:line="360" w:lineRule="auto"/>
              <w:jc w:val="center"/>
              <w:rPr>
                <w:rFonts w:hint="eastAsia" w:ascii="宋体" w:hAnsi="宋体" w:eastAsia="宋体" w:cs="宋体"/>
                <w:spacing w:val="-6"/>
                <w:sz w:val="21"/>
                <w:szCs w:val="21"/>
              </w:rPr>
            </w:pPr>
            <w:r>
              <w:rPr>
                <w:rFonts w:hint="eastAsia" w:ascii="宋体" w:hAnsi="宋体" w:eastAsia="宋体" w:cs="宋体"/>
                <w:sz w:val="21"/>
                <w:szCs w:val="21"/>
                <w:lang w:val="zh-CN"/>
              </w:rPr>
              <w:t>验收方案</w:t>
            </w:r>
          </w:p>
        </w:tc>
        <w:tc>
          <w:tcPr>
            <w:tcW w:w="6512" w:type="dxa"/>
            <w:vAlign w:val="center"/>
          </w:tcPr>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pacing w:val="-6"/>
                <w:sz w:val="21"/>
                <w:szCs w:val="21"/>
              </w:rPr>
              <w:t>供应商提供产品检验、安装、调试与验收方案</w:t>
            </w:r>
            <w:r>
              <w:rPr>
                <w:rFonts w:hint="eastAsia" w:ascii="宋体" w:hAnsi="宋体" w:cs="宋体"/>
                <w:sz w:val="21"/>
                <w:szCs w:val="21"/>
                <w:lang w:eastAsia="zh-CN"/>
              </w:rPr>
              <w:t>等</w:t>
            </w:r>
            <w:r>
              <w:rPr>
                <w:rFonts w:hint="eastAsia" w:ascii="宋体" w:hAnsi="宋体" w:eastAsia="宋体" w:cs="宋体"/>
                <w:sz w:val="21"/>
                <w:szCs w:val="21"/>
              </w:rPr>
              <w:t>情况综合评议：</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内容完备、合理，针对性强，</w:t>
            </w:r>
            <w:r>
              <w:rPr>
                <w:rFonts w:hint="eastAsia" w:ascii="宋体" w:hAnsi="宋体" w:cs="宋体"/>
                <w:sz w:val="21"/>
                <w:szCs w:val="21"/>
                <w:lang w:val="en-US" w:eastAsia="zh-CN"/>
              </w:rPr>
              <w:t>5</w:t>
            </w:r>
            <w:r>
              <w:rPr>
                <w:rFonts w:hint="eastAsia" w:ascii="宋体" w:hAnsi="宋体" w:eastAsia="宋体" w:cs="宋体"/>
                <w:sz w:val="21"/>
                <w:szCs w:val="21"/>
              </w:rPr>
              <w:t>分；</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内容完备，可行，</w:t>
            </w:r>
            <w:r>
              <w:rPr>
                <w:rFonts w:hint="eastAsia" w:ascii="宋体" w:hAnsi="宋体" w:cs="宋体"/>
                <w:sz w:val="21"/>
                <w:szCs w:val="21"/>
                <w:lang w:val="en-US" w:eastAsia="zh-CN"/>
              </w:rPr>
              <w:t>3</w:t>
            </w:r>
            <w:r>
              <w:rPr>
                <w:rFonts w:hint="eastAsia" w:ascii="宋体" w:hAnsi="宋体" w:eastAsia="宋体" w:cs="宋体"/>
                <w:sz w:val="21"/>
                <w:szCs w:val="21"/>
              </w:rPr>
              <w:t xml:space="preserve"> 分；</w:t>
            </w:r>
          </w:p>
          <w:p>
            <w:pPr>
              <w:keepNext w:val="0"/>
              <w:keepLines w:val="0"/>
              <w:pageBreakBefore w:val="0"/>
              <w:kinsoku/>
              <w:wordWrap/>
              <w:overflowPunct/>
              <w:topLinePunct w:val="0"/>
              <w:autoSpaceDE w:val="0"/>
              <w:autoSpaceDN w:val="0"/>
              <w:bidi w:val="0"/>
              <w:adjustRightInd w:val="0"/>
              <w:snapToGrid/>
              <w:spacing w:line="360" w:lineRule="auto"/>
              <w:rPr>
                <w:rFonts w:hint="eastAsia" w:ascii="宋体" w:hAnsi="宋体" w:eastAsia="宋体" w:cs="宋体"/>
                <w:sz w:val="21"/>
                <w:szCs w:val="21"/>
              </w:rPr>
            </w:pPr>
            <w:r>
              <w:rPr>
                <w:rFonts w:hint="eastAsia" w:ascii="宋体" w:hAnsi="宋体" w:eastAsia="宋体" w:cs="宋体"/>
                <w:sz w:val="21"/>
                <w:szCs w:val="21"/>
              </w:rPr>
              <w:t>内容欠完备，基本可行，1 分；</w:t>
            </w:r>
          </w:p>
          <w:p>
            <w:pPr>
              <w:keepNext w:val="0"/>
              <w:keepLines w:val="0"/>
              <w:pageBreakBefore w:val="0"/>
              <w:kinsoku/>
              <w:wordWrap/>
              <w:overflowPunct/>
              <w:topLinePunct w:val="0"/>
              <w:bidi w:val="0"/>
              <w:snapToGrid/>
              <w:spacing w:line="360" w:lineRule="auto"/>
              <w:ind w:left="-4" w:leftChars="-2" w:firstLine="2" w:firstLineChars="1"/>
              <w:rPr>
                <w:rFonts w:hint="eastAsia" w:ascii="宋体" w:hAnsi="宋体" w:eastAsia="宋体" w:cs="宋体"/>
                <w:spacing w:val="-6"/>
                <w:sz w:val="21"/>
                <w:szCs w:val="21"/>
              </w:rPr>
            </w:pPr>
            <w:r>
              <w:rPr>
                <w:rFonts w:hint="eastAsia" w:ascii="宋体" w:hAnsi="宋体" w:eastAsia="宋体" w:cs="宋体"/>
                <w:sz w:val="21"/>
                <w:szCs w:val="21"/>
              </w:rPr>
              <w:t>不可行，0 分。</w:t>
            </w:r>
          </w:p>
        </w:tc>
        <w:tc>
          <w:tcPr>
            <w:tcW w:w="664" w:type="dxa"/>
            <w:vAlign w:val="center"/>
          </w:tcPr>
          <w:p>
            <w:pPr>
              <w:keepNext w:val="0"/>
              <w:keepLines w:val="0"/>
              <w:pageBreakBefore w:val="0"/>
              <w:kinsoku/>
              <w:wordWrap/>
              <w:overflowPunct/>
              <w:topLinePunct w:val="0"/>
              <w:autoSpaceDE w:val="0"/>
              <w:autoSpaceDN w:val="0"/>
              <w:bidi w:val="0"/>
              <w:adjustRightInd w:val="0"/>
              <w:snapToGrid/>
              <w:spacing w:line="360" w:lineRule="auto"/>
              <w:ind w:right="71" w:rightChars="34"/>
              <w:jc w:val="center"/>
              <w:rPr>
                <w:rFonts w:hint="eastAsia" w:ascii="宋体" w:hAnsi="宋体" w:eastAsia="宋体" w:cs="宋体"/>
                <w:spacing w:val="-6"/>
                <w:sz w:val="21"/>
                <w:szCs w:val="21"/>
              </w:rPr>
            </w:pPr>
            <w:r>
              <w:rPr>
                <w:rFonts w:hint="eastAsia" w:ascii="宋体" w:hAnsi="宋体" w:cs="宋体"/>
                <w:spacing w:val="-6"/>
                <w:kern w:val="0"/>
                <w:sz w:val="21"/>
                <w:szCs w:val="21"/>
                <w:lang w:val="en-US" w:eastAsia="zh-CN"/>
              </w:rPr>
              <w:t>5</w:t>
            </w:r>
            <w:r>
              <w:rPr>
                <w:rFonts w:hint="eastAsia" w:ascii="宋体" w:hAnsi="宋体" w:eastAsia="宋体" w:cs="宋体"/>
                <w:spacing w:val="-6"/>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36"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w:t>
            </w:r>
          </w:p>
        </w:tc>
        <w:tc>
          <w:tcPr>
            <w:tcW w:w="8552" w:type="dxa"/>
            <w:gridSpan w:val="3"/>
            <w:vAlign w:val="center"/>
          </w:tcPr>
          <w:p>
            <w:pPr>
              <w:spacing w:line="360"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rPr>
      </w:pPr>
      <w:bookmarkStart w:id="110" w:name="_Toc30868"/>
      <w:r>
        <w:rPr>
          <w:rFonts w:hint="eastAsia" w:asciiTheme="minorEastAsia" w:hAnsiTheme="minorEastAsia" w:eastAsiaTheme="minorEastAsia" w:cstheme="minorEastAsia"/>
          <w:b/>
          <w:szCs w:val="21"/>
          <w:lang w:val="en-US" w:eastAsia="zh-CN"/>
        </w:rPr>
        <w:br w:type="textWrapping"/>
      </w: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10"/>
    </w:p>
    <w:p>
      <w:pPr>
        <w:numPr>
          <w:ilvl w:val="3"/>
          <w:numId w:val="44"/>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45"/>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45"/>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45"/>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44"/>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44"/>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44"/>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11" w:name="_Toc18437"/>
      <w:r>
        <w:rPr>
          <w:rFonts w:hint="eastAsia" w:asciiTheme="minorEastAsia" w:hAnsiTheme="minorEastAsia" w:eastAsiaTheme="minorEastAsia" w:cstheme="minorEastAsia"/>
          <w:b/>
          <w:szCs w:val="21"/>
          <w:lang w:val="en-US" w:eastAsia="zh-CN"/>
        </w:rPr>
        <w:t>五、磋商及评审步骤</w:t>
      </w:r>
      <w:bookmarkEnd w:id="111"/>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8"/>
        </w:rPr>
        <w:br w:type="textWrapping"/>
      </w:r>
    </w:p>
    <w:p>
      <w:pP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bookmarkStart w:id="112" w:name="_Toc318643471"/>
      <w:bookmarkStart w:id="113" w:name="_Toc211783328"/>
      <w:bookmarkStart w:id="114" w:name="_Toc7958"/>
      <w:r>
        <w:rPr>
          <w:rFonts w:hint="eastAsia" w:asciiTheme="minorEastAsia" w:hAnsiTheme="minorEastAsia" w:eastAsiaTheme="minorEastAsia" w:cstheme="minorEastAsia"/>
          <w:sz w:val="36"/>
          <w:szCs w:val="36"/>
        </w:rPr>
        <w:t>合同书</w:t>
      </w:r>
      <w:bookmarkEnd w:id="112"/>
      <w:bookmarkEnd w:id="113"/>
      <w:r>
        <w:rPr>
          <w:rFonts w:hint="eastAsia" w:asciiTheme="minorEastAsia" w:hAnsiTheme="minorEastAsia" w:eastAsiaTheme="minorEastAsia" w:cstheme="minorEastAsia"/>
          <w:sz w:val="36"/>
          <w:szCs w:val="36"/>
          <w:lang w:val="en-US" w:eastAsia="zh-CN"/>
        </w:rPr>
        <w:t>格式</w:t>
      </w:r>
      <w:bookmarkEnd w:id="114"/>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rPr>
      </w:pPr>
      <w:r>
        <w:rPr>
          <w:rFonts w:hint="eastAsia" w:asciiTheme="minorEastAsia" w:hAnsiTheme="minorEastAsia" w:eastAsiaTheme="minorEastAsia" w:cstheme="minorEastAsia"/>
          <w:szCs w:val="21"/>
        </w:rPr>
        <w:t>合同签订地址：</w:t>
      </w:r>
    </w:p>
    <w:p>
      <w:pPr>
        <w:pStyle w:val="3"/>
        <w:numPr>
          <w:ilvl w:val="0"/>
          <w:numId w:val="4"/>
        </w:numPr>
        <w:jc w:val="center"/>
        <w:rPr>
          <w:rFonts w:hint="eastAsia" w:asciiTheme="minorEastAsia" w:hAnsiTheme="minorEastAsia" w:eastAsiaTheme="minorEastAsia" w:cstheme="minorEastAsia"/>
          <w:sz w:val="36"/>
          <w:szCs w:val="36"/>
        </w:rPr>
      </w:pPr>
      <w:bookmarkStart w:id="115" w:name="_Toc32354"/>
      <w:r>
        <w:rPr>
          <w:rFonts w:hint="eastAsia" w:asciiTheme="minorEastAsia" w:hAnsiTheme="minorEastAsia" w:eastAsiaTheme="minorEastAsia" w:cstheme="minorEastAsia"/>
          <w:sz w:val="36"/>
          <w:szCs w:val="36"/>
        </w:rPr>
        <w:t>竞争性磋商响应文件格式</w:t>
      </w:r>
      <w:bookmarkEnd w:id="115"/>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政府采购</w:t>
      </w: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预算执行计划：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16" w:name="_Toc5751"/>
      <w:bookmarkStart w:id="117"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6"/>
    <w:bookmarkEnd w:id="117"/>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18" w:name="_Toc264644272"/>
      <w:bookmarkStart w:id="119" w:name="_Toc360174584"/>
      <w:bookmarkStart w:id="120" w:name="_Toc533330957"/>
      <w:bookmarkStart w:id="121" w:name="_Toc11320441"/>
      <w:bookmarkStart w:id="122" w:name="_Toc533331084"/>
      <w:bookmarkStart w:id="123"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8"/>
      <w:bookmarkEnd w:id="119"/>
    </w:p>
    <w:p>
      <w:pPr>
        <w:autoSpaceDE w:val="0"/>
        <w:autoSpaceDN w:val="0"/>
        <w:adjustRightInd w:val="0"/>
        <w:rPr>
          <w:rFonts w:hint="eastAsia" w:asciiTheme="minorEastAsia" w:hAnsiTheme="minorEastAsia" w:eastAsiaTheme="minorEastAsia" w:cstheme="minorEastAsia"/>
          <w:b/>
          <w:bCs/>
          <w:szCs w:val="21"/>
        </w:rPr>
      </w:pPr>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eastAsia="宋体" w:cs="宋体"/>
          <w:b/>
          <w:sz w:val="21"/>
          <w:szCs w:val="21"/>
          <w:lang w:val="en-US" w:eastAsia="zh-CN"/>
        </w:rPr>
        <w:t>投标</w:t>
      </w:r>
      <w:r>
        <w:rPr>
          <w:rFonts w:hint="eastAsia" w:ascii="宋体" w:hAnsi="宋体" w:eastAsia="宋体" w:cs="宋体"/>
          <w:b/>
          <w:sz w:val="21"/>
          <w:szCs w:val="21"/>
        </w:rPr>
        <w:t>文件目录及内容每页须顺序编写页码。</w:t>
      </w:r>
    </w:p>
    <w:p>
      <w:pPr>
        <w:autoSpaceDE w:val="0"/>
        <w:autoSpaceDN w:val="0"/>
        <w:adjustRightInd w:val="0"/>
        <w:spacing w:line="360" w:lineRule="auto"/>
        <w:jc w:val="center"/>
        <w:outlineLvl w:val="1"/>
        <w:rPr>
          <w:rFonts w:hint="eastAsia" w:ascii="宋体" w:hAnsi="宋体" w:eastAsia="宋体" w:cs="宋体"/>
          <w:b/>
          <w:sz w:val="21"/>
          <w:szCs w:val="21"/>
        </w:rPr>
      </w:pPr>
      <w:bookmarkStart w:id="124" w:name="_Toc21743"/>
      <w:r>
        <w:rPr>
          <w:rFonts w:hint="eastAsia" w:ascii="宋体" w:hAnsi="宋体" w:eastAsia="宋体" w:cs="宋体"/>
          <w:b/>
          <w:sz w:val="21"/>
          <w:szCs w:val="21"/>
        </w:rPr>
        <w:br w:type="textWrapping"/>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24"/>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rPr>
      </w:pPr>
    </w:p>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25" w:name="_Toc15789"/>
      <w:bookmarkStart w:id="126" w:name="_Toc479184125"/>
      <w:bookmarkStart w:id="127" w:name="_Toc20006"/>
      <w:bookmarkStart w:id="128" w:name="_Toc30144"/>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25"/>
      <w:bookmarkEnd w:id="126"/>
      <w:bookmarkEnd w:id="127"/>
      <w:bookmarkEnd w:id="128"/>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货物</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46"/>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46"/>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46"/>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7"/>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7"/>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7"/>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7"/>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8"/>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29" w:name="_Toc479184126"/>
      <w:bookmarkStart w:id="130" w:name="_Toc7513"/>
      <w:bookmarkStart w:id="131" w:name="_Toc24205"/>
      <w:bookmarkStart w:id="132" w:name="_Toc13969"/>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29"/>
      <w:bookmarkEnd w:id="130"/>
      <w:bookmarkEnd w:id="131"/>
      <w:bookmarkEnd w:id="132"/>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33" w:name="_Toc30245"/>
      <w:bookmarkStart w:id="134" w:name="_Toc432149008"/>
      <w:bookmarkStart w:id="135" w:name="_Toc424832832"/>
      <w:bookmarkStart w:id="136" w:name="_Toc479184127"/>
      <w:bookmarkStart w:id="137" w:name="_Toc29904"/>
      <w:bookmarkStart w:id="138" w:name="_Toc30476"/>
      <w:bookmarkStart w:id="139" w:name="_Toc360120184"/>
      <w:bookmarkStart w:id="140" w:name="_Toc10986"/>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33"/>
      <w:bookmarkEnd w:id="134"/>
      <w:bookmarkEnd w:id="135"/>
      <w:bookmarkEnd w:id="136"/>
      <w:bookmarkEnd w:id="137"/>
      <w:bookmarkEnd w:id="138"/>
      <w:bookmarkEnd w:id="139"/>
      <w:bookmarkEnd w:id="140"/>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1" w:name="_Toc432149006"/>
      <w:bookmarkStart w:id="142" w:name="_Toc422466732"/>
      <w:r>
        <w:rPr>
          <w:rFonts w:hint="eastAsia" w:asciiTheme="minorEastAsia" w:hAnsiTheme="minorEastAsia" w:eastAsiaTheme="minorEastAsia" w:cstheme="minorEastAsia"/>
          <w:b/>
          <w:bCs/>
          <w:sz w:val="24"/>
        </w:rPr>
        <w:br w:type="page"/>
      </w:r>
      <w:bookmarkStart w:id="143" w:name="_Toc4301"/>
      <w:bookmarkStart w:id="144" w:name="_Toc4741"/>
      <w:bookmarkStart w:id="145" w:name="_Toc19882"/>
      <w:bookmarkStart w:id="146" w:name="_Toc479184128"/>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41"/>
      <w:bookmarkEnd w:id="142"/>
      <w:bookmarkEnd w:id="143"/>
      <w:bookmarkEnd w:id="144"/>
      <w:bookmarkEnd w:id="145"/>
      <w:bookmarkEnd w:id="146"/>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 w:val="21"/>
                <w:szCs w:val="21"/>
                <w:u w:val="single"/>
                <w:lang w:val="en-US" w:eastAsia="zh-CN"/>
              </w:rPr>
              <w:t>大写：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u w:val="single"/>
                <w:lang w:val="en-US" w:eastAsia="zh-CN"/>
              </w:rPr>
              <w:t>小写：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FF0000"/>
                <w:szCs w:val="21"/>
                <w:lang w:val="en-US" w:eastAsia="zh-CN"/>
              </w:rPr>
            </w:pPr>
            <w:r>
              <w:rPr>
                <w:rFonts w:hint="eastAsia" w:asciiTheme="minorEastAsia" w:hAnsiTheme="minorEastAsia" w:eastAsiaTheme="minorEastAsia" w:cstheme="minorEastAsia"/>
                <w:bCs/>
                <w:color w:val="FF0000"/>
                <w:szCs w:val="21"/>
                <w:lang w:val="en-US" w:eastAsia="zh-CN"/>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47" w:name="_Toc259028723"/>
      <w:bookmarkStart w:id="148" w:name="_Toc460258117"/>
      <w:bookmarkStart w:id="149" w:name="_Toc432149007"/>
      <w:bookmarkStart w:id="150" w:name="_Toc424832831"/>
      <w:r>
        <w:rPr>
          <w:rFonts w:hint="eastAsia" w:asciiTheme="minorEastAsia" w:hAnsiTheme="minorEastAsia" w:eastAsiaTheme="minorEastAsia" w:cstheme="minorEastAsia"/>
          <w:b/>
          <w:bCs/>
          <w:sz w:val="24"/>
        </w:rPr>
        <w:br w:type="page"/>
      </w:r>
      <w:bookmarkStart w:id="151" w:name="_Toc1079"/>
      <w:bookmarkStart w:id="152" w:name="_Toc479184129"/>
      <w:bookmarkStart w:id="153" w:name="_Toc18559"/>
      <w:bookmarkStart w:id="154" w:name="_Toc3144"/>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47"/>
      <w:bookmarkEnd w:id="148"/>
      <w:bookmarkEnd w:id="151"/>
      <w:bookmarkEnd w:id="152"/>
      <w:bookmarkEnd w:id="153"/>
      <w:r>
        <w:rPr>
          <w:rFonts w:hint="eastAsia" w:asciiTheme="minorEastAsia" w:hAnsiTheme="minorEastAsia" w:eastAsiaTheme="minorEastAsia" w:cstheme="minorEastAsia"/>
          <w:b/>
          <w:bCs/>
          <w:szCs w:val="21"/>
          <w:lang w:eastAsia="zh-CN"/>
        </w:rPr>
        <w:t>报价费用构成表</w:t>
      </w:r>
      <w:bookmarkEnd w:id="154"/>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9"/>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9"/>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9"/>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5" w:name="_Toc66"/>
      <w:bookmarkStart w:id="156" w:name="_Toc26825"/>
      <w:bookmarkStart w:id="157" w:name="_Toc479184130"/>
      <w:bookmarkStart w:id="158" w:name="_Toc28656"/>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55"/>
      <w:bookmarkEnd w:id="156"/>
      <w:bookmarkEnd w:id="157"/>
      <w:bookmarkEnd w:id="158"/>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9" w:name="_Toc479184131"/>
      <w:bookmarkStart w:id="160" w:name="_Toc26501"/>
      <w:bookmarkStart w:id="161" w:name="_Toc7535"/>
      <w:bookmarkStart w:id="162" w:name="_Toc32726"/>
      <w:r>
        <w:rPr>
          <w:rFonts w:hint="eastAsia" w:asciiTheme="minorEastAsia" w:hAnsiTheme="minorEastAsia" w:eastAsiaTheme="minorEastAsia" w:cstheme="minorEastAsia"/>
          <w:b/>
          <w:bCs/>
          <w:szCs w:val="21"/>
          <w:lang w:val="en-US" w:eastAsia="zh-CN"/>
        </w:rPr>
        <w:t>八、拟投入设备/备件、工具情况</w:t>
      </w:r>
      <w:bookmarkEnd w:id="159"/>
      <w:bookmarkEnd w:id="160"/>
      <w:bookmarkEnd w:id="161"/>
      <w:bookmarkEnd w:id="162"/>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63" w:name="_Toc27053"/>
      <w:bookmarkStart w:id="164" w:name="_Toc10449"/>
      <w:bookmarkStart w:id="165" w:name="_Toc450827818"/>
      <w:bookmarkStart w:id="166" w:name="_Toc479184132"/>
      <w:bookmarkStart w:id="167" w:name="_Toc12313"/>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63"/>
      <w:bookmarkEnd w:id="164"/>
      <w:bookmarkEnd w:id="165"/>
      <w:bookmarkEnd w:id="166"/>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67"/>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49"/>
    <w:bookmarkEnd w:id="150"/>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8" w:name="_Toc422466736"/>
      <w:bookmarkStart w:id="169" w:name="_Toc1591"/>
      <w:bookmarkStart w:id="170" w:name="_Toc479184133"/>
      <w:bookmarkStart w:id="171" w:name="_Toc28200"/>
      <w:bookmarkStart w:id="172" w:name="_Toc17270"/>
      <w:bookmarkStart w:id="173" w:name="_Toc432149012"/>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68"/>
      <w:bookmarkEnd w:id="169"/>
      <w:bookmarkEnd w:id="170"/>
      <w:bookmarkEnd w:id="171"/>
      <w:bookmarkEnd w:id="172"/>
      <w:bookmarkEnd w:id="173"/>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50"/>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50"/>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4" w:name="_Toc32060"/>
      <w:bookmarkStart w:id="175" w:name="_Toc362935521"/>
      <w:bookmarkStart w:id="176" w:name="_Toc28283"/>
      <w:bookmarkStart w:id="177" w:name="_Toc432149013"/>
      <w:bookmarkStart w:id="178" w:name="_Toc479184134"/>
      <w:bookmarkStart w:id="179" w:name="_Toc18816"/>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74"/>
      <w:bookmarkEnd w:id="175"/>
      <w:bookmarkEnd w:id="176"/>
      <w:bookmarkEnd w:id="177"/>
      <w:bookmarkEnd w:id="178"/>
      <w:r>
        <w:rPr>
          <w:rFonts w:hint="eastAsia" w:asciiTheme="minorEastAsia" w:hAnsiTheme="minorEastAsia" w:eastAsiaTheme="minorEastAsia" w:cstheme="minorEastAsia"/>
          <w:b/>
          <w:bCs/>
          <w:szCs w:val="21"/>
        </w:rPr>
        <w:br w:type="textWrapping"/>
      </w:r>
      <w:bookmarkEnd w:id="179"/>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80" w:name="_Toc460258118"/>
      <w:bookmarkStart w:id="181"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2" w:name="_Toc8374"/>
      <w:bookmarkStart w:id="183" w:name="_Toc479184135"/>
      <w:bookmarkStart w:id="184" w:name="_Toc4834"/>
      <w:bookmarkStart w:id="185" w:name="_Toc30455"/>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80"/>
      <w:bookmarkEnd w:id="181"/>
      <w:bookmarkEnd w:id="182"/>
      <w:bookmarkEnd w:id="183"/>
      <w:bookmarkEnd w:id="184"/>
      <w:bookmarkEnd w:id="185"/>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6" w:name="_Toc479184136"/>
      <w:bookmarkStart w:id="187" w:name="_Toc432149014"/>
      <w:bookmarkStart w:id="188" w:name="_Toc422466737"/>
      <w:bookmarkStart w:id="189" w:name="_Toc10429"/>
      <w:bookmarkStart w:id="190" w:name="_Toc26838"/>
      <w:bookmarkStart w:id="191" w:name="_Toc8711"/>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86"/>
      <w:bookmarkEnd w:id="187"/>
      <w:bookmarkEnd w:id="188"/>
      <w:bookmarkEnd w:id="189"/>
      <w:bookmarkEnd w:id="190"/>
      <w:bookmarkEnd w:id="19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2" w:name="_Toc259028731"/>
      <w:bookmarkStart w:id="193" w:name="_Toc17331"/>
      <w:bookmarkStart w:id="194" w:name="_Toc17527"/>
      <w:bookmarkStart w:id="195" w:name="_Toc103"/>
      <w:bookmarkStart w:id="196" w:name="_Toc450827823"/>
      <w:bookmarkStart w:id="197" w:name="_Toc479184137"/>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92"/>
      <w:bookmarkEnd w:id="193"/>
      <w:bookmarkEnd w:id="194"/>
      <w:bookmarkEnd w:id="195"/>
      <w:bookmarkEnd w:id="196"/>
      <w:bookmarkEnd w:id="197"/>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98" w:name="_Toc427239751"/>
      <w:bookmarkStart w:id="199" w:name="_Toc5793"/>
      <w:bookmarkStart w:id="200" w:name="_Toc364868916"/>
      <w:bookmarkStart w:id="201" w:name="_Toc18555"/>
      <w:bookmarkStart w:id="202" w:name="_Toc358447587"/>
      <w:bookmarkStart w:id="203" w:name="_Toc32187"/>
      <w:bookmarkStart w:id="204" w:name="_Toc290207179"/>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rPr>
      </w:pPr>
      <w:bookmarkStart w:id="205" w:name="_Toc6332"/>
      <w:r>
        <w:rPr>
          <w:rFonts w:hint="eastAsia" w:asciiTheme="minorEastAsia" w:hAnsiTheme="minorEastAsia" w:eastAsiaTheme="minorEastAsia" w:cstheme="minorEastAsia"/>
          <w:b/>
          <w:bCs/>
          <w:kern w:val="0"/>
          <w:szCs w:val="21"/>
          <w:lang w:val="en-US" w:eastAsia="zh-CN"/>
        </w:rPr>
        <w:t>十五、</w:t>
      </w:r>
      <w:bookmarkEnd w:id="198"/>
      <w:bookmarkEnd w:id="199"/>
      <w:bookmarkEnd w:id="200"/>
      <w:bookmarkEnd w:id="201"/>
      <w:bookmarkEnd w:id="202"/>
      <w:bookmarkEnd w:id="203"/>
      <w:bookmarkEnd w:id="204"/>
      <w:bookmarkStart w:id="206" w:name="_Toc29785"/>
      <w:bookmarkStart w:id="207" w:name="_Toc27229"/>
      <w:bookmarkStart w:id="208" w:name="_Toc479184138"/>
      <w:bookmarkStart w:id="209" w:name="_Toc460258123"/>
      <w:r>
        <w:rPr>
          <w:rFonts w:hint="eastAsia" w:asciiTheme="minorEastAsia" w:hAnsiTheme="minorEastAsia" w:eastAsiaTheme="minorEastAsia" w:cstheme="minorEastAsia"/>
          <w:b/>
          <w:bCs/>
          <w:kern w:val="0"/>
          <w:szCs w:val="21"/>
        </w:rPr>
        <w:t>报价技术文件</w:t>
      </w:r>
      <w:bookmarkEnd w:id="205"/>
      <w:bookmarkEnd w:id="206"/>
      <w:bookmarkEnd w:id="207"/>
      <w:bookmarkEnd w:id="208"/>
      <w:bookmarkEnd w:id="209"/>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51"/>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0" w:name="_Toc22465"/>
      <w:bookmarkStart w:id="211" w:name="_Toc432149016"/>
      <w:bookmarkStart w:id="212" w:name="_Toc355802499"/>
      <w:bookmarkStart w:id="213" w:name="_Toc12119"/>
      <w:bookmarkStart w:id="214" w:name="_Toc2101"/>
      <w:bookmarkStart w:id="215" w:name="_Toc422466739"/>
      <w:bookmarkStart w:id="216" w:name="_Toc356836516"/>
      <w:bookmarkStart w:id="217" w:name="_Toc8098"/>
      <w:bookmarkStart w:id="218" w:name="_Toc479184140"/>
      <w:bookmarkStart w:id="219" w:name="_Toc26126"/>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六</w:t>
      </w:r>
      <w:r>
        <w:rPr>
          <w:rFonts w:hint="eastAsia" w:asciiTheme="minorEastAsia" w:hAnsiTheme="minorEastAsia" w:eastAsiaTheme="minorEastAsia" w:cstheme="minorEastAsia"/>
          <w:b/>
        </w:rPr>
        <w:t>、中小企业声明函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19"/>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spacing w:val="6"/>
          <w:szCs w:val="21"/>
        </w:rPr>
        <w:t>______（请填写：中型、小型、微型）企业</w:t>
      </w:r>
      <w:bookmarkEnd w:id="22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52"/>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52"/>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0"/>
    <w:bookmarkEnd w:id="121"/>
    <w:bookmarkEnd w:id="122"/>
    <w:bookmarkEnd w:id="123"/>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1" w:name="_Toc26897"/>
      <w:bookmarkStart w:id="222" w:name="_Toc7229"/>
      <w:bookmarkStart w:id="223" w:name="_Toc30406"/>
      <w:bookmarkStart w:id="224" w:name="_Toc479184141"/>
      <w:bookmarkStart w:id="225" w:name="_Toc4320"/>
      <w:bookmarkStart w:id="226" w:name="_Toc476839034"/>
      <w:r>
        <w:rPr>
          <w:rFonts w:hint="eastAsia" w:asciiTheme="minorEastAsia" w:hAnsiTheme="minorEastAsia" w:eastAsiaTheme="minorEastAsia" w:cstheme="minorEastAsia"/>
          <w:b/>
          <w:bCs/>
          <w:spacing w:val="6"/>
          <w:szCs w:val="21"/>
          <w:lang w:val="en-US" w:eastAsia="zh-CN"/>
        </w:rPr>
        <w:t>十七、</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1"/>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27" w:name="_Toc21843"/>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十八</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7"/>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53"/>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53"/>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53"/>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53"/>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53"/>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28" w:name="_Toc20002"/>
      <w:r>
        <w:rPr>
          <w:rFonts w:hint="eastAsia" w:asciiTheme="minorEastAsia" w:hAnsiTheme="minorEastAsia" w:eastAsiaTheme="minorEastAsia" w:cstheme="minorEastAsia"/>
          <w:b/>
          <w:lang w:val="en-US" w:eastAsia="zh-CN"/>
        </w:rPr>
        <w:t>十九、节能环保产品证明材料（若符合）</w:t>
      </w:r>
      <w:bookmarkEnd w:id="228"/>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29" w:name="_Toc4769"/>
      <w:r>
        <w:rPr>
          <w:rFonts w:hint="eastAsia" w:asciiTheme="minorEastAsia" w:hAnsiTheme="minorEastAsia" w:eastAsiaTheme="minorEastAsia" w:cstheme="minorEastAsia"/>
          <w:b/>
          <w:bCs/>
          <w:spacing w:val="6"/>
          <w:szCs w:val="21"/>
          <w:lang w:val="en-US" w:eastAsia="zh-CN"/>
        </w:rPr>
        <w:t>二十</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22"/>
      <w:bookmarkEnd w:id="223"/>
      <w:bookmarkEnd w:id="224"/>
      <w:bookmarkEnd w:id="225"/>
      <w:bookmarkEnd w:id="226"/>
      <w:bookmarkEnd w:id="229"/>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line="360" w:lineRule="auto"/>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hint="eastAsia" w:asciiTheme="minorEastAsia" w:hAnsiTheme="minorEastAsia" w:eastAsiaTheme="minorEastAsia" w:cstheme="minorEastAsia"/>
          <w:spacing w:val="6"/>
          <w:szCs w:val="21"/>
        </w:rPr>
      </w:pPr>
      <w:bookmarkStart w:id="230" w:name="_Toc10829"/>
      <w:bookmarkStart w:id="231" w:name="_Toc16716"/>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A67AE"/>
    <w:multiLevelType w:val="singleLevel"/>
    <w:tmpl w:val="821A67AE"/>
    <w:lvl w:ilvl="0" w:tentative="0">
      <w:start w:val="1"/>
      <w:numFmt w:val="decimal"/>
      <w:lvlText w:val="%1)"/>
      <w:lvlJc w:val="left"/>
      <w:pPr>
        <w:ind w:left="425" w:hanging="425"/>
      </w:pPr>
      <w:rPr>
        <w:rFonts w:hint="default"/>
      </w:rPr>
    </w:lvl>
  </w:abstractNum>
  <w:abstractNum w:abstractNumId="1">
    <w:nsid w:val="C9327217"/>
    <w:multiLevelType w:val="singleLevel"/>
    <w:tmpl w:val="C9327217"/>
    <w:lvl w:ilvl="0" w:tentative="0">
      <w:start w:val="1"/>
      <w:numFmt w:val="decimal"/>
      <w:lvlText w:val="%1)"/>
      <w:lvlJc w:val="left"/>
      <w:pPr>
        <w:ind w:left="425" w:hanging="425"/>
      </w:pPr>
      <w:rPr>
        <w:rFonts w:hint="default"/>
      </w:rPr>
    </w:lvl>
  </w:abstractNum>
  <w:abstractNum w:abstractNumId="2">
    <w:nsid w:val="C95EA7B7"/>
    <w:multiLevelType w:val="singleLevel"/>
    <w:tmpl w:val="C95EA7B7"/>
    <w:lvl w:ilvl="0" w:tentative="0">
      <w:start w:val="1"/>
      <w:numFmt w:val="decimal"/>
      <w:suff w:val="nothing"/>
      <w:lvlText w:val="%1、"/>
      <w:lvlJc w:val="left"/>
    </w:lvl>
  </w:abstractNum>
  <w:abstractNum w:abstractNumId="3">
    <w:nsid w:val="D31DD1B1"/>
    <w:multiLevelType w:val="singleLevel"/>
    <w:tmpl w:val="D31DD1B1"/>
    <w:lvl w:ilvl="0" w:tentative="0">
      <w:start w:val="1"/>
      <w:numFmt w:val="decimal"/>
      <w:lvlText w:val="%1)"/>
      <w:lvlJc w:val="left"/>
      <w:pPr>
        <w:ind w:left="425" w:hanging="425"/>
      </w:pPr>
      <w:rPr>
        <w:rFonts w:hint="default"/>
      </w:rPr>
    </w:lvl>
  </w:abstractNum>
  <w:abstractNum w:abstractNumId="4">
    <w:nsid w:val="D757A492"/>
    <w:multiLevelType w:val="singleLevel"/>
    <w:tmpl w:val="D757A492"/>
    <w:lvl w:ilvl="0" w:tentative="0">
      <w:start w:val="1"/>
      <w:numFmt w:val="decimal"/>
      <w:suff w:val="space"/>
      <w:lvlText w:val="%1）"/>
      <w:lvlJc w:val="left"/>
    </w:lvl>
  </w:abstractNum>
  <w:abstractNum w:abstractNumId="5">
    <w:nsid w:val="F6715C08"/>
    <w:multiLevelType w:val="singleLevel"/>
    <w:tmpl w:val="F6715C08"/>
    <w:lvl w:ilvl="0" w:tentative="0">
      <w:start w:val="1"/>
      <w:numFmt w:val="decimal"/>
      <w:lvlText w:val="%1)"/>
      <w:lvlJc w:val="left"/>
      <w:pPr>
        <w:ind w:left="425" w:hanging="425"/>
      </w:pPr>
      <w:rPr>
        <w:rFonts w:hint="default"/>
      </w:rPr>
    </w:lvl>
  </w:abstractNum>
  <w:abstractNum w:abstractNumId="6">
    <w:nsid w:val="FF4B8943"/>
    <w:multiLevelType w:val="singleLevel"/>
    <w:tmpl w:val="FF4B8943"/>
    <w:lvl w:ilvl="0" w:tentative="0">
      <w:start w:val="1"/>
      <w:numFmt w:val="decimal"/>
      <w:suff w:val="nothing"/>
      <w:lvlText w:val="（%1）"/>
      <w:lvlJc w:val="left"/>
    </w:lvl>
  </w:abstractNum>
  <w:abstractNum w:abstractNumId="7">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9">
    <w:nsid w:val="044F5BAD"/>
    <w:multiLevelType w:val="singleLevel"/>
    <w:tmpl w:val="044F5BAD"/>
    <w:lvl w:ilvl="0" w:tentative="0">
      <w:start w:val="1"/>
      <w:numFmt w:val="decimal"/>
      <w:suff w:val="nothing"/>
      <w:lvlText w:val="（%1）"/>
      <w:lvlJc w:val="left"/>
    </w:lvl>
  </w:abstractNum>
  <w:abstractNum w:abstractNumId="10">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1E84619A"/>
    <w:multiLevelType w:val="singleLevel"/>
    <w:tmpl w:val="1E84619A"/>
    <w:lvl w:ilvl="0" w:tentative="0">
      <w:start w:val="1"/>
      <w:numFmt w:val="decimal"/>
      <w:suff w:val="nothing"/>
      <w:lvlText w:val="%1、"/>
      <w:lvlJc w:val="left"/>
    </w:lvl>
  </w:abstractNum>
  <w:abstractNum w:abstractNumId="2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2">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3">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4">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7">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9">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2">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4FA5163E"/>
    <w:multiLevelType w:val="singleLevel"/>
    <w:tmpl w:val="4FA5163E"/>
    <w:lvl w:ilvl="0" w:tentative="0">
      <w:start w:val="1"/>
      <w:numFmt w:val="decimal"/>
      <w:lvlText w:val="%1)"/>
      <w:lvlJc w:val="left"/>
      <w:pPr>
        <w:ind w:left="425" w:hanging="425"/>
      </w:pPr>
      <w:rPr>
        <w:rFonts w:hint="default"/>
      </w:rPr>
    </w:lvl>
  </w:abstractNum>
  <w:abstractNum w:abstractNumId="35">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7">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8">
    <w:nsid w:val="57DE39E9"/>
    <w:multiLevelType w:val="singleLevel"/>
    <w:tmpl w:val="57DE39E9"/>
    <w:lvl w:ilvl="0" w:tentative="0">
      <w:start w:val="1"/>
      <w:numFmt w:val="decimal"/>
      <w:lvlText w:val="%1)"/>
      <w:lvlJc w:val="left"/>
      <w:pPr>
        <w:ind w:left="425" w:hanging="425"/>
      </w:pPr>
      <w:rPr>
        <w:rFonts w:hint="default"/>
      </w:rPr>
    </w:lvl>
  </w:abstractNum>
  <w:abstractNum w:abstractNumId="39">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0">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1">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3">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4">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6">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7">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9">
    <w:nsid w:val="7BE425CF"/>
    <w:multiLevelType w:val="multilevel"/>
    <w:tmpl w:val="7BE425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2">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44"/>
  </w:num>
  <w:num w:numId="2">
    <w:abstractNumId w:val="15"/>
  </w:num>
  <w:num w:numId="3">
    <w:abstractNumId w:val="23"/>
  </w:num>
  <w:num w:numId="4">
    <w:abstractNumId w:val="32"/>
  </w:num>
  <w:num w:numId="5">
    <w:abstractNumId w:val="18"/>
  </w:num>
  <w:num w:numId="6">
    <w:abstractNumId w:val="17"/>
  </w:num>
  <w:num w:numId="7">
    <w:abstractNumId w:val="6"/>
  </w:num>
  <w:num w:numId="8">
    <w:abstractNumId w:val="37"/>
  </w:num>
  <w:num w:numId="9">
    <w:abstractNumId w:val="20"/>
  </w:num>
  <w:num w:numId="10">
    <w:abstractNumId w:val="13"/>
  </w:num>
  <w:num w:numId="11">
    <w:abstractNumId w:val="19"/>
  </w:num>
  <w:num w:numId="12">
    <w:abstractNumId w:val="40"/>
  </w:num>
  <w:num w:numId="13">
    <w:abstractNumId w:val="51"/>
  </w:num>
  <w:num w:numId="14">
    <w:abstractNumId w:val="52"/>
  </w:num>
  <w:num w:numId="15">
    <w:abstractNumId w:val="31"/>
  </w:num>
  <w:num w:numId="16">
    <w:abstractNumId w:val="35"/>
  </w:num>
  <w:num w:numId="17">
    <w:abstractNumId w:val="39"/>
  </w:num>
  <w:num w:numId="18">
    <w:abstractNumId w:val="41"/>
  </w:num>
  <w:num w:numId="19">
    <w:abstractNumId w:val="8"/>
  </w:num>
  <w:num w:numId="20">
    <w:abstractNumId w:val="43"/>
  </w:num>
  <w:num w:numId="21">
    <w:abstractNumId w:val="10"/>
  </w:num>
  <w:num w:numId="22">
    <w:abstractNumId w:val="29"/>
  </w:num>
  <w:num w:numId="23">
    <w:abstractNumId w:val="25"/>
  </w:num>
  <w:num w:numId="24">
    <w:abstractNumId w:val="46"/>
  </w:num>
  <w:num w:numId="25">
    <w:abstractNumId w:val="16"/>
  </w:num>
  <w:num w:numId="26">
    <w:abstractNumId w:val="30"/>
  </w:num>
  <w:num w:numId="27">
    <w:abstractNumId w:val="12"/>
  </w:num>
  <w:num w:numId="28">
    <w:abstractNumId w:val="45"/>
  </w:num>
  <w:num w:numId="29">
    <w:abstractNumId w:val="50"/>
  </w:num>
  <w:num w:numId="30">
    <w:abstractNumId w:val="33"/>
  </w:num>
  <w:num w:numId="31">
    <w:abstractNumId w:val="27"/>
  </w:num>
  <w:num w:numId="32">
    <w:abstractNumId w:val="14"/>
  </w:num>
  <w:num w:numId="33">
    <w:abstractNumId w:val="24"/>
  </w:num>
  <w:num w:numId="34">
    <w:abstractNumId w:val="48"/>
  </w:num>
  <w:num w:numId="35">
    <w:abstractNumId w:val="28"/>
  </w:num>
  <w:num w:numId="36">
    <w:abstractNumId w:val="4"/>
  </w:num>
  <w:num w:numId="37">
    <w:abstractNumId w:val="49"/>
  </w:num>
  <w:num w:numId="38">
    <w:abstractNumId w:val="3"/>
  </w:num>
  <w:num w:numId="39">
    <w:abstractNumId w:val="1"/>
  </w:num>
  <w:num w:numId="40">
    <w:abstractNumId w:val="5"/>
  </w:num>
  <w:num w:numId="41">
    <w:abstractNumId w:val="38"/>
  </w:num>
  <w:num w:numId="42">
    <w:abstractNumId w:val="34"/>
  </w:num>
  <w:num w:numId="43">
    <w:abstractNumId w:val="0"/>
  </w:num>
  <w:num w:numId="44">
    <w:abstractNumId w:val="47"/>
  </w:num>
  <w:num w:numId="45">
    <w:abstractNumId w:val="42"/>
  </w:num>
  <w:num w:numId="46">
    <w:abstractNumId w:val="21"/>
  </w:num>
  <w:num w:numId="47">
    <w:abstractNumId w:val="36"/>
  </w:num>
  <w:num w:numId="48">
    <w:abstractNumId w:val="7"/>
  </w:num>
  <w:num w:numId="49">
    <w:abstractNumId w:val="22"/>
  </w:num>
  <w:num w:numId="50">
    <w:abstractNumId w:val="26"/>
  </w:num>
  <w:num w:numId="51">
    <w:abstractNumId w:val="11"/>
  </w:num>
  <w:num w:numId="52">
    <w:abstractNumId w:val="2"/>
  </w:num>
  <w:num w:numId="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D07706"/>
    <w:rsid w:val="01EF7E92"/>
    <w:rsid w:val="0221271C"/>
    <w:rsid w:val="022D649C"/>
    <w:rsid w:val="02351774"/>
    <w:rsid w:val="023A6ECB"/>
    <w:rsid w:val="02420646"/>
    <w:rsid w:val="0249182B"/>
    <w:rsid w:val="028223A8"/>
    <w:rsid w:val="02A9706C"/>
    <w:rsid w:val="02AF6599"/>
    <w:rsid w:val="02DE374B"/>
    <w:rsid w:val="03044359"/>
    <w:rsid w:val="031C67BA"/>
    <w:rsid w:val="03511571"/>
    <w:rsid w:val="035E37BC"/>
    <w:rsid w:val="03715197"/>
    <w:rsid w:val="03A25185"/>
    <w:rsid w:val="03A92E0C"/>
    <w:rsid w:val="03A93F07"/>
    <w:rsid w:val="03DD17F0"/>
    <w:rsid w:val="03F730D5"/>
    <w:rsid w:val="040E4213"/>
    <w:rsid w:val="04137380"/>
    <w:rsid w:val="04160294"/>
    <w:rsid w:val="0421064D"/>
    <w:rsid w:val="0424709F"/>
    <w:rsid w:val="04273734"/>
    <w:rsid w:val="042C6AE4"/>
    <w:rsid w:val="0439748C"/>
    <w:rsid w:val="045F4428"/>
    <w:rsid w:val="04663DEE"/>
    <w:rsid w:val="048B6224"/>
    <w:rsid w:val="049C3EF3"/>
    <w:rsid w:val="04BC1BA0"/>
    <w:rsid w:val="04CC4566"/>
    <w:rsid w:val="04FD23FC"/>
    <w:rsid w:val="05005426"/>
    <w:rsid w:val="055A38B5"/>
    <w:rsid w:val="059C5F8E"/>
    <w:rsid w:val="05AD5736"/>
    <w:rsid w:val="05CA2818"/>
    <w:rsid w:val="05CF4780"/>
    <w:rsid w:val="05FA06DD"/>
    <w:rsid w:val="06023A8F"/>
    <w:rsid w:val="0611621E"/>
    <w:rsid w:val="062D1935"/>
    <w:rsid w:val="062F7CE8"/>
    <w:rsid w:val="063F258E"/>
    <w:rsid w:val="065044F8"/>
    <w:rsid w:val="0653482B"/>
    <w:rsid w:val="06B7286F"/>
    <w:rsid w:val="06C116BD"/>
    <w:rsid w:val="06C767F8"/>
    <w:rsid w:val="06EA2FBD"/>
    <w:rsid w:val="06ED1770"/>
    <w:rsid w:val="06FE4AAE"/>
    <w:rsid w:val="070157D1"/>
    <w:rsid w:val="07117CDC"/>
    <w:rsid w:val="071B473B"/>
    <w:rsid w:val="07354BE2"/>
    <w:rsid w:val="07506DDE"/>
    <w:rsid w:val="078360F1"/>
    <w:rsid w:val="079555F7"/>
    <w:rsid w:val="07AA21A6"/>
    <w:rsid w:val="07B323DD"/>
    <w:rsid w:val="07CB1191"/>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9E13CA7"/>
    <w:rsid w:val="0A165448"/>
    <w:rsid w:val="0A502EA2"/>
    <w:rsid w:val="0A5758F7"/>
    <w:rsid w:val="0A67144A"/>
    <w:rsid w:val="0A71618F"/>
    <w:rsid w:val="0A7E1671"/>
    <w:rsid w:val="0AC16F66"/>
    <w:rsid w:val="0B435CD5"/>
    <w:rsid w:val="0B456825"/>
    <w:rsid w:val="0B4B17AC"/>
    <w:rsid w:val="0B4C1B40"/>
    <w:rsid w:val="0B4F5787"/>
    <w:rsid w:val="0B625354"/>
    <w:rsid w:val="0B6438A9"/>
    <w:rsid w:val="0BC22757"/>
    <w:rsid w:val="0BD0342B"/>
    <w:rsid w:val="0BE3070D"/>
    <w:rsid w:val="0BE94FBA"/>
    <w:rsid w:val="0C367BBD"/>
    <w:rsid w:val="0C3C4113"/>
    <w:rsid w:val="0C4225D4"/>
    <w:rsid w:val="0C49239C"/>
    <w:rsid w:val="0C4E57C8"/>
    <w:rsid w:val="0C7336D0"/>
    <w:rsid w:val="0C9B4414"/>
    <w:rsid w:val="0CC36F40"/>
    <w:rsid w:val="0CE75800"/>
    <w:rsid w:val="0CF02600"/>
    <w:rsid w:val="0D162766"/>
    <w:rsid w:val="0D30615A"/>
    <w:rsid w:val="0D4A590E"/>
    <w:rsid w:val="0D50445B"/>
    <w:rsid w:val="0D7807F1"/>
    <w:rsid w:val="0D895A46"/>
    <w:rsid w:val="0D9B67EB"/>
    <w:rsid w:val="0DA45AD2"/>
    <w:rsid w:val="0DE86CEC"/>
    <w:rsid w:val="0E0A51BD"/>
    <w:rsid w:val="0E141CA7"/>
    <w:rsid w:val="0E386D2E"/>
    <w:rsid w:val="0E442D5B"/>
    <w:rsid w:val="0E4E7B59"/>
    <w:rsid w:val="0E6E5960"/>
    <w:rsid w:val="0EAE4301"/>
    <w:rsid w:val="0ED27024"/>
    <w:rsid w:val="0ED94F19"/>
    <w:rsid w:val="0EDC5EDB"/>
    <w:rsid w:val="0F1B0DB7"/>
    <w:rsid w:val="0F3425BB"/>
    <w:rsid w:val="0F5A5FCA"/>
    <w:rsid w:val="0F6C7EA7"/>
    <w:rsid w:val="0FA03F81"/>
    <w:rsid w:val="0FC5121F"/>
    <w:rsid w:val="0FC52200"/>
    <w:rsid w:val="0FC57219"/>
    <w:rsid w:val="0FF11896"/>
    <w:rsid w:val="0FF743B8"/>
    <w:rsid w:val="100F7F55"/>
    <w:rsid w:val="10217A6F"/>
    <w:rsid w:val="104114BC"/>
    <w:rsid w:val="104F21E7"/>
    <w:rsid w:val="10522A43"/>
    <w:rsid w:val="105950B7"/>
    <w:rsid w:val="10681B45"/>
    <w:rsid w:val="10D545EB"/>
    <w:rsid w:val="10E51E7E"/>
    <w:rsid w:val="110045E6"/>
    <w:rsid w:val="1109548A"/>
    <w:rsid w:val="11156035"/>
    <w:rsid w:val="111F2499"/>
    <w:rsid w:val="11296D36"/>
    <w:rsid w:val="1146103D"/>
    <w:rsid w:val="116C7384"/>
    <w:rsid w:val="11893889"/>
    <w:rsid w:val="12305D0B"/>
    <w:rsid w:val="124B307E"/>
    <w:rsid w:val="12595354"/>
    <w:rsid w:val="1259597E"/>
    <w:rsid w:val="12676ACE"/>
    <w:rsid w:val="128C79F5"/>
    <w:rsid w:val="12987FD1"/>
    <w:rsid w:val="12D57C7C"/>
    <w:rsid w:val="12DE2F04"/>
    <w:rsid w:val="12F453F7"/>
    <w:rsid w:val="135A65CD"/>
    <w:rsid w:val="13681291"/>
    <w:rsid w:val="13887E83"/>
    <w:rsid w:val="139A72A6"/>
    <w:rsid w:val="13D75C16"/>
    <w:rsid w:val="141A71FC"/>
    <w:rsid w:val="14393E39"/>
    <w:rsid w:val="1439492C"/>
    <w:rsid w:val="144E282E"/>
    <w:rsid w:val="14905D77"/>
    <w:rsid w:val="14C13D98"/>
    <w:rsid w:val="14C818C6"/>
    <w:rsid w:val="14D17473"/>
    <w:rsid w:val="14D2285A"/>
    <w:rsid w:val="14F848F0"/>
    <w:rsid w:val="1533008F"/>
    <w:rsid w:val="153D3401"/>
    <w:rsid w:val="155142E7"/>
    <w:rsid w:val="15855A36"/>
    <w:rsid w:val="158E06A1"/>
    <w:rsid w:val="15932B1E"/>
    <w:rsid w:val="15AF36C0"/>
    <w:rsid w:val="15C264E4"/>
    <w:rsid w:val="15D73E4B"/>
    <w:rsid w:val="15EE7CEF"/>
    <w:rsid w:val="160D691C"/>
    <w:rsid w:val="16333435"/>
    <w:rsid w:val="16391530"/>
    <w:rsid w:val="16550678"/>
    <w:rsid w:val="166C136C"/>
    <w:rsid w:val="168C0198"/>
    <w:rsid w:val="16C6539F"/>
    <w:rsid w:val="16C83962"/>
    <w:rsid w:val="16ED23AA"/>
    <w:rsid w:val="171B0C3E"/>
    <w:rsid w:val="172A3B23"/>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9D0CC8"/>
    <w:rsid w:val="189F530B"/>
    <w:rsid w:val="18A12DFD"/>
    <w:rsid w:val="18A922F3"/>
    <w:rsid w:val="18B137E8"/>
    <w:rsid w:val="18D46399"/>
    <w:rsid w:val="18F56002"/>
    <w:rsid w:val="192F50C9"/>
    <w:rsid w:val="19477931"/>
    <w:rsid w:val="19633F03"/>
    <w:rsid w:val="196F047E"/>
    <w:rsid w:val="199E02FC"/>
    <w:rsid w:val="19BA1CE3"/>
    <w:rsid w:val="19DF55C2"/>
    <w:rsid w:val="19EE2693"/>
    <w:rsid w:val="1A0C61A8"/>
    <w:rsid w:val="1A132F57"/>
    <w:rsid w:val="1A300E03"/>
    <w:rsid w:val="1A5F760F"/>
    <w:rsid w:val="1A6F3E95"/>
    <w:rsid w:val="1A6F6E85"/>
    <w:rsid w:val="1AD22ED2"/>
    <w:rsid w:val="1AD51B88"/>
    <w:rsid w:val="1B2058A0"/>
    <w:rsid w:val="1B566A66"/>
    <w:rsid w:val="1B8565CF"/>
    <w:rsid w:val="1B9104B0"/>
    <w:rsid w:val="1BAC363D"/>
    <w:rsid w:val="1BD60F79"/>
    <w:rsid w:val="1C090AB8"/>
    <w:rsid w:val="1C0C60A0"/>
    <w:rsid w:val="1C41527E"/>
    <w:rsid w:val="1C49412F"/>
    <w:rsid w:val="1C4D3DCD"/>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6218B4"/>
    <w:rsid w:val="1D83301E"/>
    <w:rsid w:val="1D836FC7"/>
    <w:rsid w:val="1D9F4A19"/>
    <w:rsid w:val="1DA05599"/>
    <w:rsid w:val="1DAB519B"/>
    <w:rsid w:val="1DC65420"/>
    <w:rsid w:val="1DC94DC3"/>
    <w:rsid w:val="1DD04ECF"/>
    <w:rsid w:val="1E0649A4"/>
    <w:rsid w:val="1E474E6F"/>
    <w:rsid w:val="1E6843C7"/>
    <w:rsid w:val="1EA60FCA"/>
    <w:rsid w:val="1EA87417"/>
    <w:rsid w:val="1ED70A99"/>
    <w:rsid w:val="1F35766F"/>
    <w:rsid w:val="1F65672E"/>
    <w:rsid w:val="1F6B4880"/>
    <w:rsid w:val="1F6D18D3"/>
    <w:rsid w:val="1F7222CF"/>
    <w:rsid w:val="1F855EC8"/>
    <w:rsid w:val="1F865B87"/>
    <w:rsid w:val="1F8D0E35"/>
    <w:rsid w:val="1FB611E4"/>
    <w:rsid w:val="1FBA2E91"/>
    <w:rsid w:val="1FC02D54"/>
    <w:rsid w:val="1FD92D82"/>
    <w:rsid w:val="1FEE1F52"/>
    <w:rsid w:val="207471CF"/>
    <w:rsid w:val="20950348"/>
    <w:rsid w:val="20981E88"/>
    <w:rsid w:val="20A06A24"/>
    <w:rsid w:val="20A10137"/>
    <w:rsid w:val="20B97750"/>
    <w:rsid w:val="20BD2343"/>
    <w:rsid w:val="20C125E5"/>
    <w:rsid w:val="20D100EF"/>
    <w:rsid w:val="20F77EBA"/>
    <w:rsid w:val="20FE0571"/>
    <w:rsid w:val="212F48FD"/>
    <w:rsid w:val="216135E4"/>
    <w:rsid w:val="21B23C30"/>
    <w:rsid w:val="21D5663A"/>
    <w:rsid w:val="220D5F91"/>
    <w:rsid w:val="220F017A"/>
    <w:rsid w:val="223D6488"/>
    <w:rsid w:val="224F423C"/>
    <w:rsid w:val="227710AB"/>
    <w:rsid w:val="229B4E78"/>
    <w:rsid w:val="22C77F82"/>
    <w:rsid w:val="22E50F21"/>
    <w:rsid w:val="22F562BD"/>
    <w:rsid w:val="231C3AC6"/>
    <w:rsid w:val="23261385"/>
    <w:rsid w:val="233970A1"/>
    <w:rsid w:val="238F2A95"/>
    <w:rsid w:val="2390118C"/>
    <w:rsid w:val="23A33225"/>
    <w:rsid w:val="23A3458B"/>
    <w:rsid w:val="23A83880"/>
    <w:rsid w:val="23AC3B0D"/>
    <w:rsid w:val="23AC7B00"/>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B8384E"/>
    <w:rsid w:val="25D966A6"/>
    <w:rsid w:val="25FE15DC"/>
    <w:rsid w:val="26806C09"/>
    <w:rsid w:val="26863962"/>
    <w:rsid w:val="268F15B2"/>
    <w:rsid w:val="26983FA4"/>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C30A0"/>
    <w:rsid w:val="295F6F3A"/>
    <w:rsid w:val="2978542E"/>
    <w:rsid w:val="298168E8"/>
    <w:rsid w:val="29880DC9"/>
    <w:rsid w:val="299658C8"/>
    <w:rsid w:val="29C74336"/>
    <w:rsid w:val="2A0C4705"/>
    <w:rsid w:val="2A104C01"/>
    <w:rsid w:val="2A2219FF"/>
    <w:rsid w:val="2A2649D3"/>
    <w:rsid w:val="2A2F0453"/>
    <w:rsid w:val="2A375CB0"/>
    <w:rsid w:val="2A4F7A8E"/>
    <w:rsid w:val="2A5C693A"/>
    <w:rsid w:val="2A9D1044"/>
    <w:rsid w:val="2AA14EFF"/>
    <w:rsid w:val="2AC52B69"/>
    <w:rsid w:val="2ADE2205"/>
    <w:rsid w:val="2AE42B9F"/>
    <w:rsid w:val="2AFA4FF0"/>
    <w:rsid w:val="2AFF35D3"/>
    <w:rsid w:val="2B0A651F"/>
    <w:rsid w:val="2B132D50"/>
    <w:rsid w:val="2B6076B4"/>
    <w:rsid w:val="2B617D56"/>
    <w:rsid w:val="2B6E542D"/>
    <w:rsid w:val="2BEB27E3"/>
    <w:rsid w:val="2BEB2E9D"/>
    <w:rsid w:val="2BF61207"/>
    <w:rsid w:val="2C1713D1"/>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A7ADA"/>
    <w:rsid w:val="2EC2396D"/>
    <w:rsid w:val="2F1B0798"/>
    <w:rsid w:val="2F4F0438"/>
    <w:rsid w:val="2F506BFB"/>
    <w:rsid w:val="2F7E2CC0"/>
    <w:rsid w:val="2F921764"/>
    <w:rsid w:val="2F98405A"/>
    <w:rsid w:val="2FD11EB8"/>
    <w:rsid w:val="2FE1749B"/>
    <w:rsid w:val="303D5772"/>
    <w:rsid w:val="30432F50"/>
    <w:rsid w:val="306E40F7"/>
    <w:rsid w:val="306F4499"/>
    <w:rsid w:val="30872A8D"/>
    <w:rsid w:val="30B15581"/>
    <w:rsid w:val="30B93848"/>
    <w:rsid w:val="30BE1DE8"/>
    <w:rsid w:val="31253510"/>
    <w:rsid w:val="313177AD"/>
    <w:rsid w:val="31341EAD"/>
    <w:rsid w:val="31423CC5"/>
    <w:rsid w:val="31483D95"/>
    <w:rsid w:val="3157256E"/>
    <w:rsid w:val="3160159B"/>
    <w:rsid w:val="316102EA"/>
    <w:rsid w:val="31665B97"/>
    <w:rsid w:val="31711EF3"/>
    <w:rsid w:val="31854B7E"/>
    <w:rsid w:val="31E86EE4"/>
    <w:rsid w:val="31FD6157"/>
    <w:rsid w:val="32171B71"/>
    <w:rsid w:val="322B53E9"/>
    <w:rsid w:val="32915ABA"/>
    <w:rsid w:val="329C1497"/>
    <w:rsid w:val="32D72576"/>
    <w:rsid w:val="32D93319"/>
    <w:rsid w:val="32E04086"/>
    <w:rsid w:val="32F96A45"/>
    <w:rsid w:val="330D0307"/>
    <w:rsid w:val="332C3D97"/>
    <w:rsid w:val="3360351F"/>
    <w:rsid w:val="33620CB2"/>
    <w:rsid w:val="33B17CDB"/>
    <w:rsid w:val="33E04B57"/>
    <w:rsid w:val="33FA7456"/>
    <w:rsid w:val="34024883"/>
    <w:rsid w:val="342C6E98"/>
    <w:rsid w:val="344629CF"/>
    <w:rsid w:val="344F7140"/>
    <w:rsid w:val="34755DB1"/>
    <w:rsid w:val="349E0FB2"/>
    <w:rsid w:val="34A96A1A"/>
    <w:rsid w:val="34B370D1"/>
    <w:rsid w:val="34CA52FD"/>
    <w:rsid w:val="34E622D6"/>
    <w:rsid w:val="3518700F"/>
    <w:rsid w:val="352F2FF3"/>
    <w:rsid w:val="35375748"/>
    <w:rsid w:val="35486C73"/>
    <w:rsid w:val="359E09BB"/>
    <w:rsid w:val="361A4DE1"/>
    <w:rsid w:val="361F592F"/>
    <w:rsid w:val="362F79EA"/>
    <w:rsid w:val="36516B14"/>
    <w:rsid w:val="36556C85"/>
    <w:rsid w:val="365B1C96"/>
    <w:rsid w:val="36603459"/>
    <w:rsid w:val="366D2C19"/>
    <w:rsid w:val="3675230B"/>
    <w:rsid w:val="36766F5C"/>
    <w:rsid w:val="36777C43"/>
    <w:rsid w:val="367E7A3F"/>
    <w:rsid w:val="36BD24F8"/>
    <w:rsid w:val="36C1347A"/>
    <w:rsid w:val="36C31B41"/>
    <w:rsid w:val="36C532A1"/>
    <w:rsid w:val="36CE234D"/>
    <w:rsid w:val="36D347D3"/>
    <w:rsid w:val="36DA50A9"/>
    <w:rsid w:val="372F4949"/>
    <w:rsid w:val="3736228A"/>
    <w:rsid w:val="37671725"/>
    <w:rsid w:val="376F122C"/>
    <w:rsid w:val="3798526A"/>
    <w:rsid w:val="37B72EB1"/>
    <w:rsid w:val="37C806F3"/>
    <w:rsid w:val="37C85C3C"/>
    <w:rsid w:val="37CF1603"/>
    <w:rsid w:val="38585500"/>
    <w:rsid w:val="385D1C71"/>
    <w:rsid w:val="386038B3"/>
    <w:rsid w:val="388E1434"/>
    <w:rsid w:val="38BA5460"/>
    <w:rsid w:val="38C62FF5"/>
    <w:rsid w:val="38D62476"/>
    <w:rsid w:val="38E27127"/>
    <w:rsid w:val="39027E88"/>
    <w:rsid w:val="39075875"/>
    <w:rsid w:val="391904A1"/>
    <w:rsid w:val="391C718D"/>
    <w:rsid w:val="394D30B0"/>
    <w:rsid w:val="39624091"/>
    <w:rsid w:val="397C6037"/>
    <w:rsid w:val="399F4E87"/>
    <w:rsid w:val="39D43B66"/>
    <w:rsid w:val="39EC03FA"/>
    <w:rsid w:val="3A1D058F"/>
    <w:rsid w:val="3A1E303B"/>
    <w:rsid w:val="3A1F74C9"/>
    <w:rsid w:val="3A2A1F54"/>
    <w:rsid w:val="3A2D40D1"/>
    <w:rsid w:val="3A314B02"/>
    <w:rsid w:val="3A5C2602"/>
    <w:rsid w:val="3A79657B"/>
    <w:rsid w:val="3A8B77C7"/>
    <w:rsid w:val="3A9A32EA"/>
    <w:rsid w:val="3ACD391F"/>
    <w:rsid w:val="3B026D00"/>
    <w:rsid w:val="3B097DD5"/>
    <w:rsid w:val="3B1471CB"/>
    <w:rsid w:val="3B655681"/>
    <w:rsid w:val="3B6C4553"/>
    <w:rsid w:val="3B6F3ABC"/>
    <w:rsid w:val="3B7527F4"/>
    <w:rsid w:val="3BAA143A"/>
    <w:rsid w:val="3BC050FA"/>
    <w:rsid w:val="3BC378A6"/>
    <w:rsid w:val="3BD37CC1"/>
    <w:rsid w:val="3BD520DF"/>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87782"/>
    <w:rsid w:val="3EFD0DF6"/>
    <w:rsid w:val="3EFE49C6"/>
    <w:rsid w:val="3F0A5B5C"/>
    <w:rsid w:val="3F1A0890"/>
    <w:rsid w:val="3F3F5846"/>
    <w:rsid w:val="3F71500B"/>
    <w:rsid w:val="3F801023"/>
    <w:rsid w:val="3F8064EB"/>
    <w:rsid w:val="3F950FB5"/>
    <w:rsid w:val="3F982DCA"/>
    <w:rsid w:val="3FCB5632"/>
    <w:rsid w:val="3FD12D26"/>
    <w:rsid w:val="3FDE4917"/>
    <w:rsid w:val="3FE2412F"/>
    <w:rsid w:val="402F3ADF"/>
    <w:rsid w:val="40306F5A"/>
    <w:rsid w:val="40476BB3"/>
    <w:rsid w:val="40546FB6"/>
    <w:rsid w:val="40554803"/>
    <w:rsid w:val="407A60D5"/>
    <w:rsid w:val="407D4F24"/>
    <w:rsid w:val="40961808"/>
    <w:rsid w:val="40AB4DEE"/>
    <w:rsid w:val="40D24BBE"/>
    <w:rsid w:val="40EC4043"/>
    <w:rsid w:val="41166469"/>
    <w:rsid w:val="412008E0"/>
    <w:rsid w:val="413A6D3B"/>
    <w:rsid w:val="41515AC7"/>
    <w:rsid w:val="41902B9F"/>
    <w:rsid w:val="41C02331"/>
    <w:rsid w:val="41C13A63"/>
    <w:rsid w:val="41C67037"/>
    <w:rsid w:val="41D229E1"/>
    <w:rsid w:val="41EC6E94"/>
    <w:rsid w:val="41F72149"/>
    <w:rsid w:val="42415ACC"/>
    <w:rsid w:val="427D539F"/>
    <w:rsid w:val="42900E39"/>
    <w:rsid w:val="42991E30"/>
    <w:rsid w:val="42A150B9"/>
    <w:rsid w:val="42A853E0"/>
    <w:rsid w:val="42CC19F4"/>
    <w:rsid w:val="42CE0B28"/>
    <w:rsid w:val="42CF6367"/>
    <w:rsid w:val="42DE1CCC"/>
    <w:rsid w:val="4308546B"/>
    <w:rsid w:val="43263445"/>
    <w:rsid w:val="434157E3"/>
    <w:rsid w:val="43494860"/>
    <w:rsid w:val="434D380E"/>
    <w:rsid w:val="43934189"/>
    <w:rsid w:val="439D4850"/>
    <w:rsid w:val="43C27232"/>
    <w:rsid w:val="43CA5E98"/>
    <w:rsid w:val="43ED069F"/>
    <w:rsid w:val="442A6E5A"/>
    <w:rsid w:val="445C4B8F"/>
    <w:rsid w:val="44833851"/>
    <w:rsid w:val="44982752"/>
    <w:rsid w:val="44BF6F86"/>
    <w:rsid w:val="44C45031"/>
    <w:rsid w:val="44D53AB2"/>
    <w:rsid w:val="44F27B0D"/>
    <w:rsid w:val="45485BDE"/>
    <w:rsid w:val="457F0BA9"/>
    <w:rsid w:val="458571EC"/>
    <w:rsid w:val="45945C30"/>
    <w:rsid w:val="459F2306"/>
    <w:rsid w:val="45A832FE"/>
    <w:rsid w:val="45AB6174"/>
    <w:rsid w:val="45BA63E5"/>
    <w:rsid w:val="45CC5EDC"/>
    <w:rsid w:val="45F73D47"/>
    <w:rsid w:val="462D2575"/>
    <w:rsid w:val="46467FD8"/>
    <w:rsid w:val="46601D33"/>
    <w:rsid w:val="4666746C"/>
    <w:rsid w:val="467505FA"/>
    <w:rsid w:val="467B6008"/>
    <w:rsid w:val="468720BA"/>
    <w:rsid w:val="46895AFC"/>
    <w:rsid w:val="468E6A9E"/>
    <w:rsid w:val="46BC623F"/>
    <w:rsid w:val="46D855B9"/>
    <w:rsid w:val="470D2C74"/>
    <w:rsid w:val="474F3911"/>
    <w:rsid w:val="477570F1"/>
    <w:rsid w:val="47AD33FA"/>
    <w:rsid w:val="47B41AAA"/>
    <w:rsid w:val="47CD38AD"/>
    <w:rsid w:val="47DB16D8"/>
    <w:rsid w:val="4800662D"/>
    <w:rsid w:val="481726F3"/>
    <w:rsid w:val="48416760"/>
    <w:rsid w:val="48466F81"/>
    <w:rsid w:val="484D02A2"/>
    <w:rsid w:val="486B647A"/>
    <w:rsid w:val="48896934"/>
    <w:rsid w:val="48C12AEC"/>
    <w:rsid w:val="48D072A1"/>
    <w:rsid w:val="48D1341D"/>
    <w:rsid w:val="48D63F90"/>
    <w:rsid w:val="48E0279A"/>
    <w:rsid w:val="48E64C8E"/>
    <w:rsid w:val="48FA7B87"/>
    <w:rsid w:val="48FB70A5"/>
    <w:rsid w:val="49022205"/>
    <w:rsid w:val="4919356E"/>
    <w:rsid w:val="492A7740"/>
    <w:rsid w:val="49300AA7"/>
    <w:rsid w:val="493225EF"/>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736F36"/>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20B4C"/>
    <w:rsid w:val="4E85341C"/>
    <w:rsid w:val="4E9B7B12"/>
    <w:rsid w:val="4E9D3927"/>
    <w:rsid w:val="4EC47712"/>
    <w:rsid w:val="4EDD3C61"/>
    <w:rsid w:val="4EF0294F"/>
    <w:rsid w:val="4EF1457F"/>
    <w:rsid w:val="4F1C5D1B"/>
    <w:rsid w:val="4F2C40A0"/>
    <w:rsid w:val="4F2F3B98"/>
    <w:rsid w:val="4F380B7A"/>
    <w:rsid w:val="4F424B82"/>
    <w:rsid w:val="4F4B0CB3"/>
    <w:rsid w:val="4F4F0EBF"/>
    <w:rsid w:val="4F8C4B40"/>
    <w:rsid w:val="4FAA5CD5"/>
    <w:rsid w:val="4FBD187E"/>
    <w:rsid w:val="4FC56067"/>
    <w:rsid w:val="4FD11AC0"/>
    <w:rsid w:val="500F5BDC"/>
    <w:rsid w:val="502F75EB"/>
    <w:rsid w:val="50400243"/>
    <w:rsid w:val="50494336"/>
    <w:rsid w:val="50784012"/>
    <w:rsid w:val="50813C12"/>
    <w:rsid w:val="5087463E"/>
    <w:rsid w:val="50A11680"/>
    <w:rsid w:val="50B77550"/>
    <w:rsid w:val="50C773AE"/>
    <w:rsid w:val="50CD6602"/>
    <w:rsid w:val="510D0F23"/>
    <w:rsid w:val="51197B59"/>
    <w:rsid w:val="512523AA"/>
    <w:rsid w:val="51615030"/>
    <w:rsid w:val="51627812"/>
    <w:rsid w:val="51C136D4"/>
    <w:rsid w:val="51D33F6D"/>
    <w:rsid w:val="51DB1448"/>
    <w:rsid w:val="52045DB4"/>
    <w:rsid w:val="522C275E"/>
    <w:rsid w:val="524C13A2"/>
    <w:rsid w:val="529000F6"/>
    <w:rsid w:val="5296149A"/>
    <w:rsid w:val="52A65672"/>
    <w:rsid w:val="52BA4073"/>
    <w:rsid w:val="52CD7B31"/>
    <w:rsid w:val="52D576F4"/>
    <w:rsid w:val="52DF170A"/>
    <w:rsid w:val="52E25B6D"/>
    <w:rsid w:val="52F362FB"/>
    <w:rsid w:val="52F4161A"/>
    <w:rsid w:val="52F91DA2"/>
    <w:rsid w:val="52F965A5"/>
    <w:rsid w:val="53041B71"/>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806F19"/>
    <w:rsid w:val="54A01FAE"/>
    <w:rsid w:val="54AC3148"/>
    <w:rsid w:val="54C0256E"/>
    <w:rsid w:val="54C334B7"/>
    <w:rsid w:val="54D4667D"/>
    <w:rsid w:val="54D55C56"/>
    <w:rsid w:val="54EC389B"/>
    <w:rsid w:val="54F847D9"/>
    <w:rsid w:val="55126190"/>
    <w:rsid w:val="555F3833"/>
    <w:rsid w:val="55667780"/>
    <w:rsid w:val="556E493A"/>
    <w:rsid w:val="55725F14"/>
    <w:rsid w:val="55941D63"/>
    <w:rsid w:val="559C0CE1"/>
    <w:rsid w:val="55B42D88"/>
    <w:rsid w:val="55D11119"/>
    <w:rsid w:val="55DB1F79"/>
    <w:rsid w:val="560A42BD"/>
    <w:rsid w:val="560C1D89"/>
    <w:rsid w:val="56353B20"/>
    <w:rsid w:val="56443B98"/>
    <w:rsid w:val="56453A77"/>
    <w:rsid w:val="56757259"/>
    <w:rsid w:val="568B7EB7"/>
    <w:rsid w:val="56BC078F"/>
    <w:rsid w:val="56CB4BCB"/>
    <w:rsid w:val="56FB75FE"/>
    <w:rsid w:val="57391A95"/>
    <w:rsid w:val="573F3C9E"/>
    <w:rsid w:val="574C52C4"/>
    <w:rsid w:val="57526FDB"/>
    <w:rsid w:val="57572F35"/>
    <w:rsid w:val="575B33A4"/>
    <w:rsid w:val="57674A5D"/>
    <w:rsid w:val="579775E1"/>
    <w:rsid w:val="57C90530"/>
    <w:rsid w:val="57CE0836"/>
    <w:rsid w:val="582F44F7"/>
    <w:rsid w:val="583F27F2"/>
    <w:rsid w:val="58425B56"/>
    <w:rsid w:val="58455B6D"/>
    <w:rsid w:val="584D29B0"/>
    <w:rsid w:val="584F7C49"/>
    <w:rsid w:val="585B6C0B"/>
    <w:rsid w:val="5888302C"/>
    <w:rsid w:val="5889129A"/>
    <w:rsid w:val="58AD528C"/>
    <w:rsid w:val="58B31955"/>
    <w:rsid w:val="58BA45A1"/>
    <w:rsid w:val="59306273"/>
    <w:rsid w:val="594F6915"/>
    <w:rsid w:val="59737A65"/>
    <w:rsid w:val="59842DF4"/>
    <w:rsid w:val="59A0359A"/>
    <w:rsid w:val="59E52D9A"/>
    <w:rsid w:val="5A300449"/>
    <w:rsid w:val="5A482DEE"/>
    <w:rsid w:val="5A4D2D81"/>
    <w:rsid w:val="5A55295D"/>
    <w:rsid w:val="5A7E104A"/>
    <w:rsid w:val="5A8208A0"/>
    <w:rsid w:val="5A861FD5"/>
    <w:rsid w:val="5AE3253A"/>
    <w:rsid w:val="5AEA30C9"/>
    <w:rsid w:val="5AEA3475"/>
    <w:rsid w:val="5AF54C6B"/>
    <w:rsid w:val="5B087B94"/>
    <w:rsid w:val="5B0C2FBE"/>
    <w:rsid w:val="5B0E3E89"/>
    <w:rsid w:val="5B124740"/>
    <w:rsid w:val="5B31434D"/>
    <w:rsid w:val="5B3F60FF"/>
    <w:rsid w:val="5B3F66E7"/>
    <w:rsid w:val="5B872AE6"/>
    <w:rsid w:val="5BA77753"/>
    <w:rsid w:val="5BB60E53"/>
    <w:rsid w:val="5BC025EF"/>
    <w:rsid w:val="5BE21FF5"/>
    <w:rsid w:val="5C1203C7"/>
    <w:rsid w:val="5C1F35AE"/>
    <w:rsid w:val="5C3905BF"/>
    <w:rsid w:val="5C66397A"/>
    <w:rsid w:val="5C7349B6"/>
    <w:rsid w:val="5C824C05"/>
    <w:rsid w:val="5C8725EE"/>
    <w:rsid w:val="5CB0251A"/>
    <w:rsid w:val="5CB97030"/>
    <w:rsid w:val="5CC34EA1"/>
    <w:rsid w:val="5CC97332"/>
    <w:rsid w:val="5D187049"/>
    <w:rsid w:val="5D1D2427"/>
    <w:rsid w:val="5D424182"/>
    <w:rsid w:val="5D756277"/>
    <w:rsid w:val="5D955FBD"/>
    <w:rsid w:val="5DA62524"/>
    <w:rsid w:val="5DAC3919"/>
    <w:rsid w:val="5DB36259"/>
    <w:rsid w:val="5DBD33B2"/>
    <w:rsid w:val="5DC223CB"/>
    <w:rsid w:val="5DF66637"/>
    <w:rsid w:val="5DFF6858"/>
    <w:rsid w:val="5E0F2B0E"/>
    <w:rsid w:val="5E185132"/>
    <w:rsid w:val="5E2A0167"/>
    <w:rsid w:val="5E5D68E8"/>
    <w:rsid w:val="5E802A96"/>
    <w:rsid w:val="5E9074FF"/>
    <w:rsid w:val="5EAE1AF2"/>
    <w:rsid w:val="5EB62A77"/>
    <w:rsid w:val="5EB80355"/>
    <w:rsid w:val="5EBB2226"/>
    <w:rsid w:val="5EBE5F24"/>
    <w:rsid w:val="5EF07004"/>
    <w:rsid w:val="5F0E1E9A"/>
    <w:rsid w:val="5F651E59"/>
    <w:rsid w:val="5F860C23"/>
    <w:rsid w:val="5FC44411"/>
    <w:rsid w:val="5FE426E2"/>
    <w:rsid w:val="605C7AA6"/>
    <w:rsid w:val="605F132B"/>
    <w:rsid w:val="608510A4"/>
    <w:rsid w:val="608762FF"/>
    <w:rsid w:val="609E1C45"/>
    <w:rsid w:val="60BD4FD1"/>
    <w:rsid w:val="60C06C33"/>
    <w:rsid w:val="60D507D0"/>
    <w:rsid w:val="60EA1511"/>
    <w:rsid w:val="60EB6C34"/>
    <w:rsid w:val="60EF14D0"/>
    <w:rsid w:val="60FD5C7B"/>
    <w:rsid w:val="613D7E7B"/>
    <w:rsid w:val="617162E9"/>
    <w:rsid w:val="618660D1"/>
    <w:rsid w:val="61A52BAA"/>
    <w:rsid w:val="61FA0AE4"/>
    <w:rsid w:val="62325FB8"/>
    <w:rsid w:val="623438BB"/>
    <w:rsid w:val="624B10F0"/>
    <w:rsid w:val="624F3E4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410B16"/>
    <w:rsid w:val="63562840"/>
    <w:rsid w:val="637141EC"/>
    <w:rsid w:val="63805B1F"/>
    <w:rsid w:val="63834973"/>
    <w:rsid w:val="638F3DC7"/>
    <w:rsid w:val="6397194C"/>
    <w:rsid w:val="63DA4B5E"/>
    <w:rsid w:val="64273E62"/>
    <w:rsid w:val="642E2892"/>
    <w:rsid w:val="643B736C"/>
    <w:rsid w:val="647E78FD"/>
    <w:rsid w:val="64AD7C37"/>
    <w:rsid w:val="64B05758"/>
    <w:rsid w:val="64BE4B0D"/>
    <w:rsid w:val="65075A96"/>
    <w:rsid w:val="650E600B"/>
    <w:rsid w:val="650F0C7B"/>
    <w:rsid w:val="659A31CC"/>
    <w:rsid w:val="65B221E6"/>
    <w:rsid w:val="66426031"/>
    <w:rsid w:val="66593B74"/>
    <w:rsid w:val="665D2DD8"/>
    <w:rsid w:val="66651C8A"/>
    <w:rsid w:val="66675176"/>
    <w:rsid w:val="669F2C65"/>
    <w:rsid w:val="66BE6B53"/>
    <w:rsid w:val="66C55FD8"/>
    <w:rsid w:val="66D333AF"/>
    <w:rsid w:val="67192A34"/>
    <w:rsid w:val="674A4927"/>
    <w:rsid w:val="677243C5"/>
    <w:rsid w:val="678568CD"/>
    <w:rsid w:val="67904A3A"/>
    <w:rsid w:val="67A24F14"/>
    <w:rsid w:val="67BB4EAD"/>
    <w:rsid w:val="67E453F6"/>
    <w:rsid w:val="67F130F8"/>
    <w:rsid w:val="67F84AFE"/>
    <w:rsid w:val="680878A3"/>
    <w:rsid w:val="68324391"/>
    <w:rsid w:val="68340476"/>
    <w:rsid w:val="68375AD4"/>
    <w:rsid w:val="683870E8"/>
    <w:rsid w:val="68457681"/>
    <w:rsid w:val="684977D5"/>
    <w:rsid w:val="68552C50"/>
    <w:rsid w:val="685C02D9"/>
    <w:rsid w:val="685D34E7"/>
    <w:rsid w:val="68A8123A"/>
    <w:rsid w:val="68B84F4C"/>
    <w:rsid w:val="69055229"/>
    <w:rsid w:val="69261108"/>
    <w:rsid w:val="6929374C"/>
    <w:rsid w:val="692F20BB"/>
    <w:rsid w:val="69784C3F"/>
    <w:rsid w:val="69C1095D"/>
    <w:rsid w:val="6A0138F7"/>
    <w:rsid w:val="6A1E155A"/>
    <w:rsid w:val="6A7B5447"/>
    <w:rsid w:val="6ADB012D"/>
    <w:rsid w:val="6AE3748E"/>
    <w:rsid w:val="6AF53FAE"/>
    <w:rsid w:val="6B1C3EC6"/>
    <w:rsid w:val="6B3F4C28"/>
    <w:rsid w:val="6B574638"/>
    <w:rsid w:val="6B5F5B98"/>
    <w:rsid w:val="6B615C8D"/>
    <w:rsid w:val="6B67068F"/>
    <w:rsid w:val="6B6E2E8D"/>
    <w:rsid w:val="6B977A86"/>
    <w:rsid w:val="6BAB6FBB"/>
    <w:rsid w:val="6BB568D4"/>
    <w:rsid w:val="6BDF79C7"/>
    <w:rsid w:val="6BE146ED"/>
    <w:rsid w:val="6C0B074D"/>
    <w:rsid w:val="6C1458EF"/>
    <w:rsid w:val="6C231806"/>
    <w:rsid w:val="6C275F8B"/>
    <w:rsid w:val="6C351DD2"/>
    <w:rsid w:val="6C3B15FF"/>
    <w:rsid w:val="6C3B431E"/>
    <w:rsid w:val="6C3E5116"/>
    <w:rsid w:val="6C725FD7"/>
    <w:rsid w:val="6C852D02"/>
    <w:rsid w:val="6CEA2C90"/>
    <w:rsid w:val="6CFA5C74"/>
    <w:rsid w:val="6D1E269C"/>
    <w:rsid w:val="6D2C4A68"/>
    <w:rsid w:val="6D3B2E78"/>
    <w:rsid w:val="6D3C3AC0"/>
    <w:rsid w:val="6D410335"/>
    <w:rsid w:val="6D4305C3"/>
    <w:rsid w:val="6D48445E"/>
    <w:rsid w:val="6D4C1E99"/>
    <w:rsid w:val="6D500B73"/>
    <w:rsid w:val="6D522113"/>
    <w:rsid w:val="6D666AA6"/>
    <w:rsid w:val="6D687043"/>
    <w:rsid w:val="6D7D6DC8"/>
    <w:rsid w:val="6D885EAB"/>
    <w:rsid w:val="6D953F0C"/>
    <w:rsid w:val="6DB67EBB"/>
    <w:rsid w:val="6DEF52E3"/>
    <w:rsid w:val="6E0E6A1E"/>
    <w:rsid w:val="6E2D763E"/>
    <w:rsid w:val="6E420FB1"/>
    <w:rsid w:val="6E6E0848"/>
    <w:rsid w:val="6E953983"/>
    <w:rsid w:val="6E95768E"/>
    <w:rsid w:val="6EA14900"/>
    <w:rsid w:val="6EB27AA3"/>
    <w:rsid w:val="6EBD1CFE"/>
    <w:rsid w:val="6EF9461D"/>
    <w:rsid w:val="6F1348E9"/>
    <w:rsid w:val="6F2A01FE"/>
    <w:rsid w:val="6F2A71A4"/>
    <w:rsid w:val="6F832A55"/>
    <w:rsid w:val="6F9415EA"/>
    <w:rsid w:val="6FB72F84"/>
    <w:rsid w:val="6FCA5E7C"/>
    <w:rsid w:val="6FE3419F"/>
    <w:rsid w:val="6FF778F1"/>
    <w:rsid w:val="700346D4"/>
    <w:rsid w:val="700972F0"/>
    <w:rsid w:val="70287F2C"/>
    <w:rsid w:val="70AF69EB"/>
    <w:rsid w:val="70F97D93"/>
    <w:rsid w:val="71181113"/>
    <w:rsid w:val="711D7CA6"/>
    <w:rsid w:val="71227E63"/>
    <w:rsid w:val="71614B6B"/>
    <w:rsid w:val="718D2905"/>
    <w:rsid w:val="719909D2"/>
    <w:rsid w:val="719B61D4"/>
    <w:rsid w:val="71A10922"/>
    <w:rsid w:val="71D214DD"/>
    <w:rsid w:val="71E0212C"/>
    <w:rsid w:val="71F62920"/>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44278"/>
    <w:rsid w:val="733712FB"/>
    <w:rsid w:val="73460FB0"/>
    <w:rsid w:val="73513F28"/>
    <w:rsid w:val="735A7119"/>
    <w:rsid w:val="736127BE"/>
    <w:rsid w:val="739E0038"/>
    <w:rsid w:val="73B34591"/>
    <w:rsid w:val="73D850A2"/>
    <w:rsid w:val="73DE7F6C"/>
    <w:rsid w:val="73E365CE"/>
    <w:rsid w:val="73E64B1D"/>
    <w:rsid w:val="740735EA"/>
    <w:rsid w:val="7408106C"/>
    <w:rsid w:val="7412351E"/>
    <w:rsid w:val="74BE4E97"/>
    <w:rsid w:val="74D504C8"/>
    <w:rsid w:val="74D64A35"/>
    <w:rsid w:val="74F679F1"/>
    <w:rsid w:val="74F841F7"/>
    <w:rsid w:val="75003D28"/>
    <w:rsid w:val="750445F2"/>
    <w:rsid w:val="751D637E"/>
    <w:rsid w:val="751F2555"/>
    <w:rsid w:val="753504B8"/>
    <w:rsid w:val="75454148"/>
    <w:rsid w:val="75466A74"/>
    <w:rsid w:val="757F267E"/>
    <w:rsid w:val="758418D8"/>
    <w:rsid w:val="75A17528"/>
    <w:rsid w:val="75AA6AC3"/>
    <w:rsid w:val="75B749A9"/>
    <w:rsid w:val="75CB1443"/>
    <w:rsid w:val="75CD3F16"/>
    <w:rsid w:val="761A34DA"/>
    <w:rsid w:val="76781DCD"/>
    <w:rsid w:val="76D84698"/>
    <w:rsid w:val="775865D7"/>
    <w:rsid w:val="775A33B3"/>
    <w:rsid w:val="775B4584"/>
    <w:rsid w:val="776234AF"/>
    <w:rsid w:val="776D12AE"/>
    <w:rsid w:val="77895532"/>
    <w:rsid w:val="77AD0FE0"/>
    <w:rsid w:val="77BE7384"/>
    <w:rsid w:val="78821B50"/>
    <w:rsid w:val="788E2A2A"/>
    <w:rsid w:val="78C52EE0"/>
    <w:rsid w:val="78D23C9C"/>
    <w:rsid w:val="7913610A"/>
    <w:rsid w:val="791A167A"/>
    <w:rsid w:val="794D119C"/>
    <w:rsid w:val="796B6F7E"/>
    <w:rsid w:val="79935707"/>
    <w:rsid w:val="799A2128"/>
    <w:rsid w:val="79C0552F"/>
    <w:rsid w:val="79C30D65"/>
    <w:rsid w:val="79CC3295"/>
    <w:rsid w:val="7A0B1561"/>
    <w:rsid w:val="7A25258A"/>
    <w:rsid w:val="7A2C646D"/>
    <w:rsid w:val="7A55546C"/>
    <w:rsid w:val="7A743686"/>
    <w:rsid w:val="7A774208"/>
    <w:rsid w:val="7A824E2E"/>
    <w:rsid w:val="7A9E7BE0"/>
    <w:rsid w:val="7AFF6437"/>
    <w:rsid w:val="7B021BF1"/>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DDD18D5"/>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next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7</TotalTime>
  <ScaleCrop>false</ScaleCrop>
  <LinksUpToDate>false</LinksUpToDate>
  <CharactersWithSpaces>29889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NTKO</cp:lastModifiedBy>
  <cp:lastPrinted>2019-09-01T07:55:00Z</cp:lastPrinted>
  <dcterms:modified xsi:type="dcterms:W3CDTF">2020-11-02T09:19:44Z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