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sz w:val="30"/>
          <w:szCs w:val="30"/>
        </w:rPr>
        <w:drawing>
          <wp:anchor distT="0" distB="0" distL="114300" distR="114300" simplePos="0" relativeHeight="251678720" behindDoc="0" locked="0" layoutInCell="1" allowOverlap="1">
            <wp:simplePos x="0" y="0"/>
            <wp:positionH relativeFrom="column">
              <wp:posOffset>11430</wp:posOffset>
            </wp:positionH>
            <wp:positionV relativeFrom="paragraph">
              <wp:posOffset>62865</wp:posOffset>
            </wp:positionV>
            <wp:extent cx="1222375" cy="784860"/>
            <wp:effectExtent l="0" t="0" r="12065" b="762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9"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br w:type="textWrapping"/>
      </w:r>
      <w:r>
        <w:rPr>
          <w:rFonts w:hint="eastAsia" w:asciiTheme="minorEastAsia" w:hAnsiTheme="minorEastAsia" w:eastAsiaTheme="minorEastAsia" w:cstheme="minorEastAsia"/>
          <w:color w:val="auto"/>
          <w:sz w:val="28"/>
        </w:rPr>
        <w:br w:type="textWrapping"/>
      </w:r>
    </w:p>
    <w:p>
      <w:pPr>
        <w:pStyle w:val="10"/>
        <w:kinsoku w:val="0"/>
        <w:overflowPunct w:val="0"/>
        <w:spacing w:before="194"/>
        <w:jc w:val="center"/>
        <w:rPr>
          <w:rFonts w:hint="eastAsia" w:asciiTheme="minorEastAsia" w:hAnsiTheme="minorEastAsia" w:eastAsiaTheme="minorEastAsia" w:cstheme="minorEastAsia"/>
          <w:color w:val="auto"/>
          <w:sz w:val="92"/>
        </w:rPr>
      </w:pP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竞争性</w:t>
      </w:r>
      <w:r>
        <w:rPr>
          <w:rFonts w:hint="eastAsia" w:asciiTheme="minorEastAsia" w:hAnsiTheme="minorEastAsia" w:eastAsiaTheme="minorEastAsia" w:cstheme="minorEastAsia"/>
          <w:color w:val="auto"/>
          <w:sz w:val="92"/>
          <w:lang w:val="en-US" w:eastAsia="zh-CN"/>
          <w14:shadow w14:blurRad="50800" w14:dist="38100" w14:dir="2700000" w14:sx="100000" w14:sy="100000" w14:kx="0" w14:ky="0" w14:algn="tl">
            <w14:srgbClr w14:val="000000">
              <w14:alpha w14:val="60000"/>
            </w14:srgbClr>
          </w14:shadow>
        </w:rPr>
        <w:t>磋商</w:t>
      </w: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采购文件</w:t>
      </w: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jc w:val="center"/>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spacing w:before="2" w:after="1"/>
        <w:rPr>
          <w:rFonts w:hint="eastAsia" w:asciiTheme="minorEastAsia" w:hAnsiTheme="minorEastAsia" w:eastAsiaTheme="minorEastAsia" w:cstheme="minorEastAsia"/>
          <w:color w:val="auto"/>
          <w:sz w:val="11"/>
        </w:rPr>
      </w:pPr>
    </w:p>
    <w:tbl>
      <w:tblPr>
        <w:tblStyle w:val="26"/>
        <w:tblW w:w="8146"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3"/>
        <w:gridCol w:w="6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编</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号：</w:t>
            </w:r>
          </w:p>
        </w:tc>
        <w:tc>
          <w:tcPr>
            <w:tcW w:w="6053" w:type="dxa"/>
            <w:tcBorders>
              <w:top w:val="nil"/>
              <w:left w:val="nil"/>
              <w:bottom w:val="nil"/>
              <w:right w:val="nil"/>
              <w:tl2br w:val="nil"/>
              <w:tr2bl w:val="nil"/>
            </w:tcBorders>
            <w:vAlign w:val="center"/>
          </w:tcPr>
          <w:p>
            <w:pPr>
              <w:pStyle w:val="95"/>
              <w:kinsoku w:val="0"/>
              <w:overflowPunct w:val="0"/>
              <w:spacing w:before="122"/>
              <w:ind w:left="55"/>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ZJZB-202010-292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3"/>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名</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称：</w:t>
            </w:r>
          </w:p>
        </w:tc>
        <w:tc>
          <w:tcPr>
            <w:tcW w:w="6053" w:type="dxa"/>
            <w:tcBorders>
              <w:top w:val="nil"/>
              <w:left w:val="nil"/>
              <w:bottom w:val="nil"/>
              <w:right w:val="nil"/>
              <w:tl2br w:val="nil"/>
              <w:tr2bl w:val="nil"/>
            </w:tcBorders>
            <w:vAlign w:val="center"/>
          </w:tcPr>
          <w:p>
            <w:pPr>
              <w:pStyle w:val="95"/>
              <w:kinsoku w:val="0"/>
              <w:overflowPunct w:val="0"/>
              <w:spacing w:before="123" w:line="242" w:lineRule="auto"/>
              <w:ind w:left="55" w:right="136"/>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武汉市东西湖区革新大道以东、荷沙路以南、波天湖路以西地块弱电线路迁改工程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购</w:t>
            </w:r>
            <w:r>
              <w:rPr>
                <w:rFonts w:hint="eastAsia" w:asciiTheme="minorEastAsia" w:hAnsiTheme="minorEastAsia" w:eastAsiaTheme="minorEastAsia" w:cstheme="minorEastAsia"/>
                <w:b/>
                <w:color w:val="auto"/>
                <w:sz w:val="28"/>
                <w:lang w:val="en-US" w:eastAsia="zh-CN"/>
              </w:rPr>
              <w:t xml:space="preserve">  方 式</w:t>
            </w:r>
            <w:r>
              <w:rPr>
                <w:rFonts w:hint="eastAsia" w:asciiTheme="minorEastAsia" w:hAnsiTheme="minorEastAsia" w:eastAsiaTheme="minorEastAsia" w:cstheme="minorEastAsia"/>
                <w:b/>
                <w:color w:val="auto"/>
                <w:sz w:val="28"/>
              </w:rPr>
              <w:t>：</w:t>
            </w:r>
          </w:p>
        </w:tc>
        <w:tc>
          <w:tcPr>
            <w:tcW w:w="6053" w:type="dxa"/>
            <w:tcBorders>
              <w:top w:val="nil"/>
              <w:left w:val="nil"/>
              <w:bottom w:val="nil"/>
              <w:right w:val="nil"/>
              <w:tl2br w:val="nil"/>
              <w:tr2bl w:val="nil"/>
            </w:tcBorders>
            <w:vAlign w:val="center"/>
          </w:tcPr>
          <w:p>
            <w:pPr>
              <w:pStyle w:val="95"/>
              <w:kinsoku w:val="0"/>
              <w:overflowPunct w:val="0"/>
              <w:spacing w:before="122" w:line="299" w:lineRule="exact"/>
              <w:ind w:left="55"/>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类 别：</w:t>
            </w:r>
          </w:p>
        </w:tc>
        <w:tc>
          <w:tcPr>
            <w:tcW w:w="6053" w:type="dxa"/>
            <w:tcBorders>
              <w:top w:val="nil"/>
              <w:left w:val="nil"/>
              <w:bottom w:val="nil"/>
              <w:right w:val="nil"/>
              <w:tl2br w:val="nil"/>
              <w:tr2bl w:val="nil"/>
            </w:tcBorders>
            <w:vAlign w:val="center"/>
          </w:tcPr>
          <w:p>
            <w:pPr>
              <w:pStyle w:val="95"/>
              <w:kinsoku w:val="0"/>
              <w:overflowPunct w:val="0"/>
              <w:spacing w:before="122" w:line="299" w:lineRule="exact"/>
              <w:ind w:left="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工程</w:t>
            </w:r>
          </w:p>
        </w:tc>
      </w:tr>
    </w:tbl>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spacing w:before="4"/>
        <w:rPr>
          <w:rFonts w:hint="eastAsia" w:asciiTheme="minorEastAsia" w:hAnsiTheme="minorEastAsia" w:eastAsiaTheme="minorEastAsia" w:cstheme="minorEastAsia"/>
          <w:color w:val="auto"/>
          <w:sz w:val="20"/>
        </w:rPr>
      </w:pPr>
    </w:p>
    <w:tbl>
      <w:tblPr>
        <w:tblStyle w:val="26"/>
        <w:tblW w:w="8123"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41"/>
        <w:gridCol w:w="6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人：</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武汉临空港经济开发区综合保税物流产业建设管理办公室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采购代理机构：</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中经国际招标集团有限公司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编 制 时 间 ：</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default"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2020年10月</w:t>
            </w:r>
          </w:p>
        </w:tc>
      </w:tr>
    </w:tbl>
    <w:p>
      <w:pPr>
        <w:rPr>
          <w:rFonts w:hint="eastAsia" w:asciiTheme="minorEastAsia" w:hAnsiTheme="minorEastAsia" w:eastAsiaTheme="minorEastAsia" w:cstheme="minorEastAsia"/>
          <w:color w:val="auto"/>
          <w:sz w:val="20"/>
        </w:rPr>
        <w:sectPr>
          <w:type w:val="continuous"/>
          <w:pgSz w:w="11910" w:h="16840"/>
          <w:pgMar w:top="1400" w:right="1200" w:bottom="280" w:left="1200" w:header="720" w:footer="720" w:gutter="0"/>
          <w:lnNumType w:countBy="0" w:distance="360"/>
          <w:cols w:space="720" w:num="1"/>
        </w:sectPr>
      </w:pPr>
    </w:p>
    <w:p>
      <w:pPr>
        <w:jc w:val="center"/>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目  录</w:t>
      </w:r>
    </w:p>
    <w:p>
      <w:pPr>
        <w:jc w:val="center"/>
        <w:rPr>
          <w:rFonts w:hint="eastAsia" w:asciiTheme="minorEastAsia" w:hAnsiTheme="minorEastAsia" w:eastAsiaTheme="minorEastAsia" w:cstheme="minorEastAsia"/>
          <w:b/>
          <w:bCs/>
          <w:szCs w:val="21"/>
          <w:lang w:val="zh-CN"/>
        </w:rPr>
      </w:pPr>
    </w:p>
    <w:p>
      <w:pPr>
        <w:pStyle w:val="20"/>
        <w:tabs>
          <w:tab w:val="right" w:leader="dot" w:pos="9072"/>
        </w:tabs>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TOC \o "1-3" \h \z \u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_Toc31877 </w:instrText>
      </w:r>
      <w:r>
        <w:rPr>
          <w:rFonts w:hint="eastAsia" w:asciiTheme="minorEastAsia" w:hAnsiTheme="minorEastAsia" w:eastAsiaTheme="minorEastAsia" w:cstheme="minorEastAsia"/>
          <w:szCs w:val="21"/>
        </w:rPr>
        <w:fldChar w:fldCharType="separate"/>
      </w:r>
      <w:r>
        <w:rPr>
          <w:rFonts w:hint="default"/>
          <w:bCs/>
          <w:szCs w:val="36"/>
        </w:rPr>
        <w:t xml:space="preserve">第一章 </w:t>
      </w:r>
      <w:r>
        <w:rPr>
          <w:rFonts w:hint="eastAsia" w:ascii="宋体" w:hAnsi="宋体" w:cs="宋体"/>
          <w:szCs w:val="36"/>
        </w:rPr>
        <w:t>竞争性磋商公告</w:t>
      </w:r>
      <w:r>
        <w:tab/>
      </w:r>
      <w:r>
        <w:fldChar w:fldCharType="begin"/>
      </w:r>
      <w:r>
        <w:instrText xml:space="preserve"> PAGEREF _Toc31877 </w:instrText>
      </w:r>
      <w:r>
        <w:fldChar w:fldCharType="separate"/>
      </w:r>
      <w:r>
        <w:t>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_Toc22341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1"/>
        </w:rPr>
        <w:t>一、 项目基本情况</w:t>
      </w:r>
      <w:r>
        <w:tab/>
      </w:r>
      <w:r>
        <w:fldChar w:fldCharType="begin"/>
      </w:r>
      <w:r>
        <w:instrText xml:space="preserve"> PAGEREF _Toc22341 </w:instrText>
      </w:r>
      <w:r>
        <w:fldChar w:fldCharType="separate"/>
      </w:r>
      <w:r>
        <w:t>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_Toc31384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1"/>
        </w:rPr>
        <w:t>二、 申请人的资格要求</w:t>
      </w:r>
      <w:r>
        <w:tab/>
      </w:r>
      <w:r>
        <w:fldChar w:fldCharType="begin"/>
      </w:r>
      <w:r>
        <w:instrText xml:space="preserve"> PAGEREF _Toc31384 </w:instrText>
      </w:r>
      <w:r>
        <w:fldChar w:fldCharType="separate"/>
      </w:r>
      <w:r>
        <w:t>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_Toc16535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1"/>
        </w:rPr>
        <w:t>三、 获取</w:t>
      </w:r>
      <w:r>
        <w:rPr>
          <w:rFonts w:hint="eastAsia" w:ascii="宋体" w:hAnsi="宋体" w:eastAsia="宋体" w:cs="宋体"/>
          <w:szCs w:val="21"/>
          <w:lang w:eastAsia="zh-CN"/>
        </w:rPr>
        <w:t>采购</w:t>
      </w:r>
      <w:r>
        <w:rPr>
          <w:rFonts w:hint="eastAsia" w:ascii="宋体" w:hAnsi="宋体" w:eastAsia="宋体" w:cs="宋体"/>
          <w:szCs w:val="21"/>
        </w:rPr>
        <w:t>文件</w:t>
      </w:r>
      <w:r>
        <w:tab/>
      </w:r>
      <w:r>
        <w:fldChar w:fldCharType="begin"/>
      </w:r>
      <w:r>
        <w:instrText xml:space="preserve"> PAGEREF _Toc16535 </w:instrText>
      </w:r>
      <w:r>
        <w:fldChar w:fldCharType="separate"/>
      </w:r>
      <w:r>
        <w:t>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_Toc16036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1"/>
        </w:rPr>
        <w:t xml:space="preserve">四、 </w:t>
      </w:r>
      <w:r>
        <w:rPr>
          <w:rFonts w:hint="eastAsia" w:ascii="宋体" w:hAnsi="宋体" w:eastAsia="宋体" w:cs="宋体"/>
          <w:szCs w:val="21"/>
          <w:lang w:eastAsia="zh-CN"/>
        </w:rPr>
        <w:t>响应文件提交</w:t>
      </w:r>
      <w:r>
        <w:tab/>
      </w:r>
      <w:r>
        <w:fldChar w:fldCharType="begin"/>
      </w:r>
      <w:r>
        <w:instrText xml:space="preserve"> PAGEREF _Toc16036 </w:instrText>
      </w:r>
      <w:r>
        <w:fldChar w:fldCharType="separate"/>
      </w:r>
      <w:r>
        <w:t>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_Toc29838 </w:instrText>
      </w:r>
      <w:r>
        <w:rPr>
          <w:rFonts w:hint="eastAsia" w:asciiTheme="minorEastAsia" w:hAnsiTheme="minorEastAsia" w:eastAsiaTheme="minorEastAsia" w:cstheme="minorEastAsia"/>
          <w:szCs w:val="21"/>
        </w:rPr>
        <w:fldChar w:fldCharType="separate"/>
      </w:r>
      <w:r>
        <w:rPr>
          <w:rFonts w:hint="eastAsia" w:eastAsia="宋体"/>
          <w:szCs w:val="21"/>
          <w:lang w:eastAsia="zh-CN"/>
        </w:rPr>
        <w:t xml:space="preserve">五、 </w:t>
      </w:r>
      <w:r>
        <w:rPr>
          <w:rFonts w:hint="eastAsia" w:ascii="宋体" w:hAnsi="宋体" w:eastAsia="宋体" w:cs="宋体"/>
          <w:szCs w:val="21"/>
          <w:lang w:eastAsia="zh-CN"/>
        </w:rPr>
        <w:t>开启</w:t>
      </w:r>
      <w:r>
        <w:tab/>
      </w:r>
      <w:r>
        <w:fldChar w:fldCharType="begin"/>
      </w:r>
      <w:r>
        <w:instrText xml:space="preserve"> PAGEREF _Toc29838 </w:instrText>
      </w:r>
      <w:r>
        <w:fldChar w:fldCharType="separate"/>
      </w:r>
      <w:r>
        <w:t>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_Toc8718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1"/>
        </w:rPr>
        <w:t>六、 公告期限</w:t>
      </w:r>
      <w:r>
        <w:tab/>
      </w:r>
      <w:r>
        <w:fldChar w:fldCharType="begin"/>
      </w:r>
      <w:r>
        <w:instrText xml:space="preserve"> PAGEREF _Toc8718 </w:instrText>
      </w:r>
      <w:r>
        <w:fldChar w:fldCharType="separate"/>
      </w:r>
      <w:r>
        <w:t>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_Toc19847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1"/>
        </w:rPr>
        <w:t>七、 其他补充事宜</w:t>
      </w:r>
      <w:r>
        <w:tab/>
      </w:r>
      <w:r>
        <w:fldChar w:fldCharType="begin"/>
      </w:r>
      <w:r>
        <w:instrText xml:space="preserve"> PAGEREF _Toc19847 </w:instrText>
      </w:r>
      <w:r>
        <w:fldChar w:fldCharType="separate"/>
      </w:r>
      <w:r>
        <w:t>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_Toc2590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1"/>
        </w:rPr>
        <w:t>八、 凡对本次采购提出询问，请按以下方式联系</w:t>
      </w:r>
      <w:r>
        <w:tab/>
      </w:r>
      <w:r>
        <w:fldChar w:fldCharType="begin"/>
      </w:r>
      <w:r>
        <w:instrText xml:space="preserve"> PAGEREF _Toc2590 </w:instrText>
      </w:r>
      <w:r>
        <w:fldChar w:fldCharType="separate"/>
      </w:r>
      <w:r>
        <w:t>8</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_Toc18050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九、 注意事项</w:t>
      </w:r>
      <w:r>
        <w:tab/>
      </w:r>
      <w:r>
        <w:fldChar w:fldCharType="begin"/>
      </w:r>
      <w:r>
        <w:instrText xml:space="preserve"> PAGEREF _Toc18050 </w:instrText>
      </w:r>
      <w:r>
        <w:fldChar w:fldCharType="separate"/>
      </w:r>
      <w:r>
        <w:t>8</w:t>
      </w:r>
      <w:r>
        <w:fldChar w:fldCharType="end"/>
      </w:r>
      <w:r>
        <w:rPr>
          <w:rFonts w:hint="eastAsia" w:asciiTheme="minorEastAsia" w:hAnsiTheme="minorEastAsia" w:eastAsiaTheme="minorEastAsia" w:cstheme="minorEastAsia"/>
          <w:szCs w:val="21"/>
        </w:rPr>
        <w:fldChar w:fldCharType="end"/>
      </w:r>
    </w:p>
    <w:p>
      <w:pPr>
        <w:pStyle w:val="20"/>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_Toc27978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36"/>
        </w:rPr>
        <w:t xml:space="preserve">第二章 </w:t>
      </w:r>
      <w:r>
        <w:rPr>
          <w:rFonts w:hint="eastAsia" w:asciiTheme="minorEastAsia" w:hAnsiTheme="minorEastAsia" w:eastAsiaTheme="minorEastAsia" w:cstheme="minorEastAsia"/>
          <w:szCs w:val="36"/>
        </w:rPr>
        <w:t>供应商须知</w:t>
      </w:r>
      <w:r>
        <w:tab/>
      </w:r>
      <w:r>
        <w:fldChar w:fldCharType="begin"/>
      </w:r>
      <w:r>
        <w:instrText xml:space="preserve"> PAGEREF _Toc27978 </w:instrText>
      </w:r>
      <w:r>
        <w:fldChar w:fldCharType="separate"/>
      </w:r>
      <w:r>
        <w:t>10</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_Toc3532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《供应商须知前附表》</w:t>
      </w:r>
      <w:r>
        <w:tab/>
      </w:r>
      <w:r>
        <w:fldChar w:fldCharType="begin"/>
      </w:r>
      <w:r>
        <w:instrText xml:space="preserve"> PAGEREF _Toc3532 </w:instrText>
      </w:r>
      <w:r>
        <w:fldChar w:fldCharType="separate"/>
      </w:r>
      <w:r>
        <w:t>10</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_Toc13227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供应商须知</w:t>
      </w:r>
      <w:r>
        <w:tab/>
      </w:r>
      <w:r>
        <w:fldChar w:fldCharType="begin"/>
      </w:r>
      <w:r>
        <w:instrText xml:space="preserve"> PAGEREF _Toc13227 </w:instrText>
      </w:r>
      <w:r>
        <w:fldChar w:fldCharType="separate"/>
      </w:r>
      <w:r>
        <w:t>14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_Toc6668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一、 </w:t>
      </w:r>
      <w:r>
        <w:rPr>
          <w:rFonts w:hint="eastAsia" w:asciiTheme="minorEastAsia" w:hAnsiTheme="minorEastAsia" w:eastAsiaTheme="minorEastAsia" w:cstheme="minorEastAsia"/>
          <w:szCs w:val="21"/>
        </w:rPr>
        <w:t>总则</w:t>
      </w:r>
      <w:r>
        <w:tab/>
      </w:r>
      <w:r>
        <w:fldChar w:fldCharType="begin"/>
      </w:r>
      <w:r>
        <w:instrText xml:space="preserve"> PAGEREF _Toc6668 </w:instrText>
      </w:r>
      <w:r>
        <w:fldChar w:fldCharType="separate"/>
      </w:r>
      <w:r>
        <w:t>14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_Toc21598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适用法律及范围</w:t>
      </w:r>
      <w:r>
        <w:tab/>
      </w:r>
      <w:r>
        <w:fldChar w:fldCharType="begin"/>
      </w:r>
      <w:r>
        <w:instrText xml:space="preserve"> PAGEREF _Toc21598 </w:instrText>
      </w:r>
      <w:r>
        <w:fldChar w:fldCharType="separate"/>
      </w:r>
      <w:r>
        <w:t>14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_Toc15546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定义</w:t>
      </w:r>
      <w:r>
        <w:tab/>
      </w:r>
      <w:r>
        <w:fldChar w:fldCharType="begin"/>
      </w:r>
      <w:r>
        <w:instrText xml:space="preserve"> PAGEREF _Toc15546 </w:instrText>
      </w:r>
      <w:r>
        <w:fldChar w:fldCharType="separate"/>
      </w:r>
      <w:r>
        <w:t>14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_Toc24219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3、 </w:t>
      </w:r>
      <w:r>
        <w:rPr>
          <w:rFonts w:hint="eastAsia" w:asciiTheme="minorEastAsia" w:hAnsiTheme="minorEastAsia" w:eastAsiaTheme="minorEastAsia" w:cstheme="minorEastAsia"/>
          <w:snapToGrid w:val="0"/>
          <w:kern w:val="0"/>
          <w:szCs w:val="21"/>
          <w:lang w:val="zh-CN"/>
        </w:rPr>
        <w:t>工程、货物及服务</w:t>
      </w:r>
      <w:r>
        <w:tab/>
      </w:r>
      <w:r>
        <w:fldChar w:fldCharType="begin"/>
      </w:r>
      <w:r>
        <w:instrText xml:space="preserve"> PAGEREF _Toc24219 </w:instrText>
      </w:r>
      <w:r>
        <w:fldChar w:fldCharType="separate"/>
      </w:r>
      <w:r>
        <w:t>14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_Toc17736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rPr>
        <w:t>费用</w:t>
      </w:r>
      <w:r>
        <w:tab/>
      </w:r>
      <w:r>
        <w:fldChar w:fldCharType="begin"/>
      </w:r>
      <w:r>
        <w:instrText xml:space="preserve"> PAGEREF _Toc17736 </w:instrText>
      </w:r>
      <w:r>
        <w:fldChar w:fldCharType="separate"/>
      </w:r>
      <w:r>
        <w:t>14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_Toc21698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二、 </w:t>
      </w:r>
      <w:r>
        <w:rPr>
          <w:rFonts w:hint="eastAsia" w:asciiTheme="minorEastAsia" w:hAnsiTheme="minorEastAsia" w:eastAsiaTheme="minorEastAsia" w:cstheme="minorEastAsia"/>
          <w:szCs w:val="21"/>
        </w:rPr>
        <w:t>竞争性磋商采购文件</w:t>
      </w:r>
      <w:r>
        <w:tab/>
      </w:r>
      <w:r>
        <w:fldChar w:fldCharType="begin"/>
      </w:r>
      <w:r>
        <w:instrText xml:space="preserve"> PAGEREF _Toc21698 </w:instrText>
      </w:r>
      <w:r>
        <w:fldChar w:fldCharType="separate"/>
      </w:r>
      <w:r>
        <w:t>15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_Toc8830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rPr>
        <w:t>竞争性磋商采购文件的构成</w:t>
      </w:r>
      <w:r>
        <w:tab/>
      </w:r>
      <w:r>
        <w:fldChar w:fldCharType="begin"/>
      </w:r>
      <w:r>
        <w:instrText xml:space="preserve"> PAGEREF _Toc8830 </w:instrText>
      </w:r>
      <w:r>
        <w:fldChar w:fldCharType="separate"/>
      </w:r>
      <w:r>
        <w:t>15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_Toc12476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6、 </w:t>
      </w:r>
      <w:r>
        <w:rPr>
          <w:rFonts w:hint="eastAsia" w:asciiTheme="minorEastAsia" w:hAnsiTheme="minorEastAsia" w:eastAsiaTheme="minorEastAsia" w:cstheme="minorEastAsia"/>
          <w:snapToGrid w:val="0"/>
          <w:kern w:val="0"/>
          <w:szCs w:val="21"/>
          <w:lang w:val="zh-CN"/>
        </w:rPr>
        <w:t>竞争性磋商采购文件的澄清</w:t>
      </w:r>
      <w:r>
        <w:tab/>
      </w:r>
      <w:r>
        <w:fldChar w:fldCharType="begin"/>
      </w:r>
      <w:r>
        <w:instrText xml:space="preserve"> PAGEREF _Toc12476 </w:instrText>
      </w:r>
      <w:r>
        <w:fldChar w:fldCharType="separate"/>
      </w:r>
      <w:r>
        <w:t>15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_Toc7134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7、 </w:t>
      </w:r>
      <w:r>
        <w:rPr>
          <w:rFonts w:hint="eastAsia" w:asciiTheme="minorEastAsia" w:hAnsiTheme="minorEastAsia" w:eastAsiaTheme="minorEastAsia" w:cstheme="minorEastAsia"/>
          <w:snapToGrid w:val="0"/>
          <w:kern w:val="0"/>
          <w:szCs w:val="21"/>
          <w:lang w:val="zh-CN"/>
        </w:rPr>
        <w:t>竞争性磋商采购文件的修改</w:t>
      </w:r>
      <w:r>
        <w:tab/>
      </w:r>
      <w:r>
        <w:fldChar w:fldCharType="begin"/>
      </w:r>
      <w:r>
        <w:instrText xml:space="preserve"> PAGEREF _Toc7134 </w:instrText>
      </w:r>
      <w:r>
        <w:fldChar w:fldCharType="separate"/>
      </w:r>
      <w:r>
        <w:t>16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_Toc25685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三、 </w:t>
      </w:r>
      <w:r>
        <w:rPr>
          <w:rFonts w:hint="eastAsia" w:asciiTheme="minorEastAsia" w:hAnsiTheme="minorEastAsia" w:eastAsiaTheme="minorEastAsia" w:cstheme="minorEastAsia"/>
          <w:szCs w:val="21"/>
        </w:rPr>
        <w:t>竞争性磋商响应文件</w:t>
      </w:r>
      <w:r>
        <w:tab/>
      </w:r>
      <w:r>
        <w:fldChar w:fldCharType="begin"/>
      </w:r>
      <w:r>
        <w:instrText xml:space="preserve"> PAGEREF _Toc25685 </w:instrText>
      </w:r>
      <w:r>
        <w:fldChar w:fldCharType="separate"/>
      </w:r>
      <w:r>
        <w:t>16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_Toc19213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8、 </w:t>
      </w:r>
      <w:r>
        <w:rPr>
          <w:rFonts w:hint="eastAsia" w:asciiTheme="minorEastAsia" w:hAnsiTheme="minorEastAsia" w:eastAsiaTheme="minorEastAsia" w:cstheme="minorEastAsia"/>
          <w:snapToGrid w:val="0"/>
          <w:kern w:val="0"/>
          <w:szCs w:val="21"/>
          <w:lang w:val="zh-CN"/>
        </w:rPr>
        <w:t>语言和计量单位</w:t>
      </w:r>
      <w:r>
        <w:tab/>
      </w:r>
      <w:r>
        <w:fldChar w:fldCharType="begin"/>
      </w:r>
      <w:r>
        <w:instrText xml:space="preserve"> PAGEREF _Toc19213 </w:instrText>
      </w:r>
      <w:r>
        <w:fldChar w:fldCharType="separate"/>
      </w:r>
      <w:r>
        <w:t>16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_Toc32126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9、 </w:t>
      </w:r>
      <w:r>
        <w:rPr>
          <w:rFonts w:hint="eastAsia" w:asciiTheme="minorEastAsia" w:hAnsiTheme="minorEastAsia" w:eastAsiaTheme="minorEastAsia" w:cstheme="minorEastAsia"/>
          <w:snapToGrid w:val="0"/>
          <w:kern w:val="0"/>
          <w:szCs w:val="21"/>
          <w:lang w:val="zh-CN"/>
        </w:rPr>
        <w:t>竞争性磋商响应文件的构成</w:t>
      </w:r>
      <w:r>
        <w:tab/>
      </w:r>
      <w:r>
        <w:fldChar w:fldCharType="begin"/>
      </w:r>
      <w:r>
        <w:instrText xml:space="preserve"> PAGEREF _Toc32126 </w:instrText>
      </w:r>
      <w:r>
        <w:fldChar w:fldCharType="separate"/>
      </w:r>
      <w:r>
        <w:t>16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_Toc32143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10、 </w:t>
      </w:r>
      <w:r>
        <w:rPr>
          <w:rFonts w:hint="eastAsia" w:asciiTheme="minorEastAsia" w:hAnsiTheme="minorEastAsia" w:eastAsiaTheme="minorEastAsia" w:cstheme="minorEastAsia"/>
          <w:snapToGrid w:val="0"/>
          <w:kern w:val="0"/>
          <w:szCs w:val="21"/>
          <w:lang w:val="zh-CN"/>
        </w:rPr>
        <w:t>竞争性磋商响应文件的编制</w:t>
      </w:r>
      <w:r>
        <w:tab/>
      </w:r>
      <w:r>
        <w:fldChar w:fldCharType="begin"/>
      </w:r>
      <w:r>
        <w:instrText xml:space="preserve"> PAGEREF _Toc32143 </w:instrText>
      </w:r>
      <w:r>
        <w:fldChar w:fldCharType="separate"/>
      </w:r>
      <w:r>
        <w:t>16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_Toc5535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11、 </w:t>
      </w:r>
      <w:r>
        <w:rPr>
          <w:rFonts w:hint="eastAsia" w:asciiTheme="minorEastAsia" w:hAnsiTheme="minorEastAsia" w:eastAsiaTheme="minorEastAsia" w:cstheme="minorEastAsia"/>
          <w:snapToGrid w:val="0"/>
          <w:kern w:val="0"/>
          <w:szCs w:val="21"/>
          <w:lang w:val="zh-CN"/>
        </w:rPr>
        <w:t>磋商报价</w:t>
      </w:r>
      <w:r>
        <w:tab/>
      </w:r>
      <w:r>
        <w:fldChar w:fldCharType="begin"/>
      </w:r>
      <w:r>
        <w:instrText xml:space="preserve"> PAGEREF _Toc5535 </w:instrText>
      </w:r>
      <w:r>
        <w:fldChar w:fldCharType="separate"/>
      </w:r>
      <w:r>
        <w:t>17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_Toc10586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12、 </w:t>
      </w:r>
      <w:r>
        <w:rPr>
          <w:rFonts w:hint="eastAsia" w:asciiTheme="minorEastAsia" w:hAnsiTheme="minorEastAsia" w:eastAsiaTheme="minorEastAsia" w:cstheme="minorEastAsia"/>
          <w:snapToGrid w:val="0"/>
          <w:kern w:val="0"/>
          <w:szCs w:val="21"/>
          <w:lang w:val="zh-CN"/>
        </w:rPr>
        <w:t>备选方案</w:t>
      </w:r>
      <w:r>
        <w:tab/>
      </w:r>
      <w:r>
        <w:fldChar w:fldCharType="begin"/>
      </w:r>
      <w:r>
        <w:instrText xml:space="preserve"> PAGEREF _Toc10586 </w:instrText>
      </w:r>
      <w:r>
        <w:fldChar w:fldCharType="separate"/>
      </w:r>
      <w:r>
        <w:t>17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_Toc11349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13、 </w:t>
      </w:r>
      <w:r>
        <w:rPr>
          <w:rFonts w:hint="eastAsia" w:asciiTheme="minorEastAsia" w:hAnsiTheme="minorEastAsia" w:eastAsiaTheme="minorEastAsia" w:cstheme="minorEastAsia"/>
          <w:snapToGrid w:val="0"/>
          <w:kern w:val="0"/>
          <w:szCs w:val="21"/>
          <w:lang w:val="zh-CN"/>
        </w:rPr>
        <w:t>联合体</w:t>
      </w:r>
      <w:r>
        <w:tab/>
      </w:r>
      <w:r>
        <w:fldChar w:fldCharType="begin"/>
      </w:r>
      <w:r>
        <w:instrText xml:space="preserve"> PAGEREF _Toc11349 </w:instrText>
      </w:r>
      <w:r>
        <w:fldChar w:fldCharType="separate"/>
      </w:r>
      <w:r>
        <w:t>17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_Toc13069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14、 </w:t>
      </w:r>
      <w:r>
        <w:rPr>
          <w:rFonts w:hint="eastAsia" w:asciiTheme="minorEastAsia" w:hAnsiTheme="minorEastAsia" w:eastAsiaTheme="minorEastAsia" w:cstheme="minorEastAsia"/>
          <w:snapToGrid w:val="0"/>
          <w:kern w:val="0"/>
          <w:szCs w:val="21"/>
          <w:lang w:val="zh-CN"/>
        </w:rPr>
        <w:t>供应商资格证明文件</w:t>
      </w:r>
      <w:r>
        <w:tab/>
      </w:r>
      <w:r>
        <w:fldChar w:fldCharType="begin"/>
      </w:r>
      <w:r>
        <w:instrText xml:space="preserve"> PAGEREF _Toc13069 </w:instrText>
      </w:r>
      <w:r>
        <w:fldChar w:fldCharType="separate"/>
      </w:r>
      <w:r>
        <w:t>17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_Toc20825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15、 </w:t>
      </w:r>
      <w:r>
        <w:rPr>
          <w:rFonts w:hint="eastAsia" w:asciiTheme="minorEastAsia" w:hAnsiTheme="minorEastAsia" w:eastAsiaTheme="minorEastAsia" w:cstheme="minorEastAsia"/>
          <w:snapToGrid w:val="0"/>
          <w:kern w:val="0"/>
          <w:szCs w:val="21"/>
          <w:lang w:val="zh-CN"/>
        </w:rPr>
        <w:t>证明报价内容、服务合格性和符合竞争性磋商采购文件规定的文件</w:t>
      </w:r>
      <w:r>
        <w:tab/>
      </w:r>
      <w:r>
        <w:fldChar w:fldCharType="begin"/>
      </w:r>
      <w:r>
        <w:instrText xml:space="preserve"> PAGEREF _Toc20825 </w:instrText>
      </w:r>
      <w:r>
        <w:fldChar w:fldCharType="separate"/>
      </w:r>
      <w:r>
        <w:t>18</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_Toc31436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16、 </w:t>
      </w:r>
      <w:r>
        <w:rPr>
          <w:rFonts w:hint="eastAsia" w:asciiTheme="minorEastAsia" w:hAnsiTheme="minorEastAsia" w:eastAsiaTheme="minorEastAsia" w:cstheme="minorEastAsia"/>
          <w:snapToGrid w:val="0"/>
          <w:kern w:val="0"/>
          <w:szCs w:val="21"/>
          <w:lang w:val="zh-CN"/>
        </w:rPr>
        <w:t>磋商保证金</w:t>
      </w:r>
      <w:r>
        <w:tab/>
      </w:r>
      <w:r>
        <w:fldChar w:fldCharType="begin"/>
      </w:r>
      <w:r>
        <w:instrText xml:space="preserve"> PAGEREF _Toc31436 </w:instrText>
      </w:r>
      <w:r>
        <w:fldChar w:fldCharType="separate"/>
      </w:r>
      <w:r>
        <w:t>18</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_Toc24159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17、 </w:t>
      </w:r>
      <w:r>
        <w:rPr>
          <w:rFonts w:hint="eastAsia" w:asciiTheme="minorEastAsia" w:hAnsiTheme="minorEastAsia" w:eastAsiaTheme="minorEastAsia" w:cstheme="minorEastAsia"/>
          <w:snapToGrid w:val="0"/>
          <w:kern w:val="0"/>
          <w:szCs w:val="21"/>
          <w:lang w:val="zh-CN"/>
        </w:rPr>
        <w:t>磋商有效期</w:t>
      </w:r>
      <w:r>
        <w:tab/>
      </w:r>
      <w:r>
        <w:fldChar w:fldCharType="begin"/>
      </w:r>
      <w:r>
        <w:instrText xml:space="preserve"> PAGEREF _Toc24159 </w:instrText>
      </w:r>
      <w:r>
        <w:fldChar w:fldCharType="separate"/>
      </w:r>
      <w:r>
        <w:t>18</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_Toc3344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18、 </w:t>
      </w:r>
      <w:r>
        <w:rPr>
          <w:rFonts w:hint="eastAsia" w:asciiTheme="minorEastAsia" w:hAnsiTheme="minorEastAsia" w:eastAsiaTheme="minorEastAsia" w:cstheme="minorEastAsia"/>
          <w:snapToGrid w:val="0"/>
          <w:kern w:val="0"/>
          <w:szCs w:val="21"/>
          <w:lang w:val="zh-CN"/>
        </w:rPr>
        <w:t>竞争性磋商响应文件的装订、签署和数量</w:t>
      </w:r>
      <w:r>
        <w:tab/>
      </w:r>
      <w:r>
        <w:fldChar w:fldCharType="begin"/>
      </w:r>
      <w:r>
        <w:instrText xml:space="preserve"> PAGEREF _Toc3344 </w:instrText>
      </w:r>
      <w:r>
        <w:fldChar w:fldCharType="separate"/>
      </w:r>
      <w:r>
        <w:t>19</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_Toc18735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四、 </w:t>
      </w:r>
      <w:r>
        <w:rPr>
          <w:rFonts w:hint="eastAsia" w:asciiTheme="minorEastAsia" w:hAnsiTheme="minorEastAsia" w:eastAsiaTheme="minorEastAsia" w:cstheme="minorEastAsia"/>
          <w:szCs w:val="21"/>
        </w:rPr>
        <w:t>竞争性磋商响应文件的递交</w:t>
      </w:r>
      <w:r>
        <w:tab/>
      </w:r>
      <w:r>
        <w:fldChar w:fldCharType="begin"/>
      </w:r>
      <w:r>
        <w:instrText xml:space="preserve"> PAGEREF _Toc18735 </w:instrText>
      </w:r>
      <w:r>
        <w:fldChar w:fldCharType="separate"/>
      </w:r>
      <w:r>
        <w:t>19</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_Toc32495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19、 </w:t>
      </w:r>
      <w:r>
        <w:rPr>
          <w:rFonts w:hint="eastAsia" w:asciiTheme="minorEastAsia" w:hAnsiTheme="minorEastAsia" w:eastAsiaTheme="minorEastAsia" w:cstheme="minorEastAsia"/>
          <w:szCs w:val="21"/>
        </w:rPr>
        <w:t>竞争性磋商响应文件</w:t>
      </w:r>
      <w:r>
        <w:rPr>
          <w:rFonts w:hint="eastAsia" w:asciiTheme="minorEastAsia" w:hAnsiTheme="minorEastAsia" w:eastAsiaTheme="minorEastAsia" w:cstheme="minorEastAsia"/>
          <w:snapToGrid w:val="0"/>
          <w:kern w:val="0"/>
          <w:szCs w:val="21"/>
          <w:lang w:val="zh-CN"/>
        </w:rPr>
        <w:t>的密封和标记</w:t>
      </w:r>
      <w:r>
        <w:tab/>
      </w:r>
      <w:r>
        <w:fldChar w:fldCharType="begin"/>
      </w:r>
      <w:r>
        <w:instrText xml:space="preserve"> PAGEREF _Toc32495 </w:instrText>
      </w:r>
      <w:r>
        <w:fldChar w:fldCharType="separate"/>
      </w:r>
      <w:r>
        <w:t>19</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_Toc5959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20、 </w:t>
      </w:r>
      <w:r>
        <w:rPr>
          <w:rFonts w:hint="eastAsia" w:asciiTheme="minorEastAsia" w:hAnsiTheme="minorEastAsia" w:eastAsiaTheme="minorEastAsia" w:cstheme="minorEastAsia"/>
          <w:snapToGrid w:val="0"/>
          <w:kern w:val="0"/>
          <w:szCs w:val="21"/>
          <w:lang w:val="zh-CN"/>
        </w:rPr>
        <w:t>竞争性磋商响应文件的送达地点及截止时间</w:t>
      </w:r>
      <w:r>
        <w:tab/>
      </w:r>
      <w:r>
        <w:fldChar w:fldCharType="begin"/>
      </w:r>
      <w:r>
        <w:instrText xml:space="preserve"> PAGEREF _Toc5959 </w:instrText>
      </w:r>
      <w:r>
        <w:fldChar w:fldCharType="separate"/>
      </w:r>
      <w:r>
        <w:t>20</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_Toc31142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21、 </w:t>
      </w:r>
      <w:r>
        <w:rPr>
          <w:rFonts w:hint="eastAsia" w:asciiTheme="minorEastAsia" w:hAnsiTheme="minorEastAsia" w:eastAsiaTheme="minorEastAsia" w:cstheme="minorEastAsia"/>
          <w:snapToGrid w:val="0"/>
          <w:kern w:val="0"/>
          <w:szCs w:val="21"/>
          <w:lang w:val="zh-CN"/>
        </w:rPr>
        <w:t>迟交的竞争性磋商响应文件</w:t>
      </w:r>
      <w:r>
        <w:tab/>
      </w:r>
      <w:r>
        <w:fldChar w:fldCharType="begin"/>
      </w:r>
      <w:r>
        <w:instrText xml:space="preserve"> PAGEREF _Toc31142 </w:instrText>
      </w:r>
      <w:r>
        <w:fldChar w:fldCharType="separate"/>
      </w:r>
      <w:r>
        <w:t>20</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_Toc1988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22、 </w:t>
      </w:r>
      <w:r>
        <w:rPr>
          <w:rFonts w:hint="eastAsia" w:asciiTheme="minorEastAsia" w:hAnsiTheme="minorEastAsia" w:eastAsiaTheme="minorEastAsia" w:cstheme="minorEastAsia"/>
          <w:snapToGrid w:val="0"/>
          <w:kern w:val="0"/>
          <w:szCs w:val="21"/>
          <w:lang w:val="zh-CN"/>
        </w:rPr>
        <w:t>竞争性磋商响应文件的补充、修改或者撤回</w:t>
      </w:r>
      <w:r>
        <w:tab/>
      </w:r>
      <w:r>
        <w:fldChar w:fldCharType="begin"/>
      </w:r>
      <w:r>
        <w:instrText xml:space="preserve"> PAGEREF _Toc1988 </w:instrText>
      </w:r>
      <w:r>
        <w:fldChar w:fldCharType="separate"/>
      </w:r>
      <w:r>
        <w:t>20</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_Toc22378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五、 </w:t>
      </w:r>
      <w:r>
        <w:rPr>
          <w:rFonts w:hint="eastAsia" w:asciiTheme="minorEastAsia" w:hAnsiTheme="minorEastAsia" w:eastAsiaTheme="minorEastAsia" w:cstheme="minorEastAsia"/>
          <w:szCs w:val="21"/>
        </w:rPr>
        <w:t>磋商程序及步骤</w:t>
      </w:r>
      <w:r>
        <w:tab/>
      </w:r>
      <w:r>
        <w:fldChar w:fldCharType="begin"/>
      </w:r>
      <w:r>
        <w:instrText xml:space="preserve"> PAGEREF _Toc22378 </w:instrText>
      </w:r>
      <w:r>
        <w:fldChar w:fldCharType="separate"/>
      </w:r>
      <w:r>
        <w:t>20</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_Toc28009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23、 </w:t>
      </w:r>
      <w:r>
        <w:rPr>
          <w:rFonts w:hint="eastAsia" w:asciiTheme="minorEastAsia" w:hAnsiTheme="minorEastAsia" w:eastAsiaTheme="minorEastAsia" w:cstheme="minorEastAsia"/>
        </w:rPr>
        <w:t>竞争性磋商小组</w:t>
      </w:r>
      <w:r>
        <w:tab/>
      </w:r>
      <w:r>
        <w:fldChar w:fldCharType="begin"/>
      </w:r>
      <w:r>
        <w:instrText xml:space="preserve"> PAGEREF _Toc28009 </w:instrText>
      </w:r>
      <w:r>
        <w:fldChar w:fldCharType="separate"/>
      </w:r>
      <w:r>
        <w:t>20</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_Toc970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24、 </w:t>
      </w:r>
      <w:r>
        <w:rPr>
          <w:rFonts w:hint="eastAsia" w:asciiTheme="minorEastAsia" w:hAnsiTheme="minorEastAsia" w:eastAsiaTheme="minorEastAsia" w:cstheme="minorEastAsia"/>
        </w:rPr>
        <w:t>磋商代表</w:t>
      </w:r>
      <w:r>
        <w:tab/>
      </w:r>
      <w:r>
        <w:fldChar w:fldCharType="begin"/>
      </w:r>
      <w:r>
        <w:instrText xml:space="preserve"> PAGEREF _Toc970 </w:instrText>
      </w:r>
      <w:r>
        <w:fldChar w:fldCharType="separate"/>
      </w:r>
      <w:r>
        <w:t>20</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_Toc16887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rPr>
        <w:t xml:space="preserve">25、 </w:t>
      </w:r>
      <w:r>
        <w:rPr>
          <w:rFonts w:hint="eastAsia" w:asciiTheme="minorEastAsia" w:hAnsiTheme="minorEastAsia" w:eastAsiaTheme="minorEastAsia" w:cstheme="minorEastAsia"/>
        </w:rPr>
        <w:t>资格审查和符合性审查</w:t>
      </w:r>
      <w:r>
        <w:tab/>
      </w:r>
      <w:r>
        <w:fldChar w:fldCharType="begin"/>
      </w:r>
      <w:r>
        <w:instrText xml:space="preserve"> PAGEREF _Toc16887 </w:instrText>
      </w:r>
      <w:r>
        <w:fldChar w:fldCharType="separate"/>
      </w:r>
      <w:r>
        <w:t>21</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_Toc9265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rPr>
        <w:t xml:space="preserve">26、 </w:t>
      </w:r>
      <w:r>
        <w:rPr>
          <w:rFonts w:hint="eastAsia" w:asciiTheme="minorEastAsia" w:hAnsiTheme="minorEastAsia" w:eastAsiaTheme="minorEastAsia" w:cstheme="minorEastAsia"/>
        </w:rPr>
        <w:t>磋商</w:t>
      </w:r>
      <w:r>
        <w:tab/>
      </w:r>
      <w:r>
        <w:fldChar w:fldCharType="begin"/>
      </w:r>
      <w:r>
        <w:instrText xml:space="preserve"> PAGEREF _Toc9265 </w:instrText>
      </w:r>
      <w:r>
        <w:fldChar w:fldCharType="separate"/>
      </w:r>
      <w:r>
        <w:t>21</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_Toc1335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lang w:val="zh-CN"/>
        </w:rPr>
        <w:t xml:space="preserve">27、 </w:t>
      </w:r>
      <w:r>
        <w:rPr>
          <w:rFonts w:hint="eastAsia" w:asciiTheme="minorEastAsia" w:hAnsiTheme="minorEastAsia" w:eastAsiaTheme="minorEastAsia" w:cstheme="minorEastAsia"/>
          <w:lang w:val="zh-CN"/>
        </w:rPr>
        <w:t>保密</w:t>
      </w:r>
      <w:r>
        <w:tab/>
      </w:r>
      <w:r>
        <w:fldChar w:fldCharType="begin"/>
      </w:r>
      <w:r>
        <w:instrText xml:space="preserve"> PAGEREF _Toc1335 </w:instrText>
      </w:r>
      <w:r>
        <w:fldChar w:fldCharType="separate"/>
      </w:r>
      <w:r>
        <w:t>22</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_Toc28985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六、 </w:t>
      </w:r>
      <w:r>
        <w:rPr>
          <w:rFonts w:hint="eastAsia" w:asciiTheme="minorEastAsia" w:hAnsiTheme="minorEastAsia" w:eastAsiaTheme="minorEastAsia" w:cstheme="minorEastAsia"/>
          <w:szCs w:val="21"/>
        </w:rPr>
        <w:t>成交与签订合同</w:t>
      </w:r>
      <w:r>
        <w:tab/>
      </w:r>
      <w:r>
        <w:fldChar w:fldCharType="begin"/>
      </w:r>
      <w:r>
        <w:instrText xml:space="preserve"> PAGEREF _Toc28985 </w:instrText>
      </w:r>
      <w:r>
        <w:fldChar w:fldCharType="separate"/>
      </w:r>
      <w:r>
        <w:t>22</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_Toc19813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lang w:val="zh-CN"/>
        </w:rPr>
        <w:t xml:space="preserve">28、 </w:t>
      </w:r>
      <w:r>
        <w:rPr>
          <w:rFonts w:hint="eastAsia" w:asciiTheme="minorEastAsia" w:hAnsiTheme="minorEastAsia" w:eastAsiaTheme="minorEastAsia" w:cstheme="minorEastAsia"/>
          <w:lang w:val="zh-CN"/>
        </w:rPr>
        <w:t>合同授予标准</w:t>
      </w:r>
      <w:r>
        <w:tab/>
      </w:r>
      <w:r>
        <w:fldChar w:fldCharType="begin"/>
      </w:r>
      <w:r>
        <w:instrText xml:space="preserve"> PAGEREF _Toc19813 </w:instrText>
      </w:r>
      <w:r>
        <w:fldChar w:fldCharType="separate"/>
      </w:r>
      <w:r>
        <w:t>22</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_Toc12283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lang w:val="zh-CN"/>
        </w:rPr>
        <w:t xml:space="preserve">29、 </w:t>
      </w:r>
      <w:r>
        <w:rPr>
          <w:rFonts w:hint="eastAsia" w:asciiTheme="minorEastAsia" w:hAnsiTheme="minorEastAsia" w:eastAsiaTheme="minorEastAsia" w:cstheme="minorEastAsia"/>
          <w:lang w:val="zh-CN"/>
        </w:rPr>
        <w:t>签订合同</w:t>
      </w:r>
      <w:r>
        <w:tab/>
      </w:r>
      <w:r>
        <w:fldChar w:fldCharType="begin"/>
      </w:r>
      <w:r>
        <w:instrText xml:space="preserve"> PAGEREF _Toc12283 </w:instrText>
      </w:r>
      <w:r>
        <w:fldChar w:fldCharType="separate"/>
      </w:r>
      <w:r>
        <w:t>22</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_Toc23515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lang w:val="zh-CN"/>
        </w:rPr>
        <w:t xml:space="preserve">七、 </w:t>
      </w:r>
      <w:r>
        <w:rPr>
          <w:rFonts w:hint="eastAsia" w:asciiTheme="minorEastAsia" w:hAnsiTheme="minorEastAsia" w:eastAsiaTheme="minorEastAsia" w:cstheme="minorEastAsia"/>
          <w:szCs w:val="21"/>
          <w:lang w:val="zh-CN"/>
        </w:rPr>
        <w:t>质疑和投诉</w:t>
      </w:r>
      <w:r>
        <w:tab/>
      </w:r>
      <w:r>
        <w:fldChar w:fldCharType="begin"/>
      </w:r>
      <w:r>
        <w:instrText xml:space="preserve"> PAGEREF _Toc23515 </w:instrText>
      </w:r>
      <w:r>
        <w:fldChar w:fldCharType="separate"/>
      </w:r>
      <w:r>
        <w:t>23</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_Toc29313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lang w:val="zh-CN"/>
        </w:rPr>
        <w:t xml:space="preserve">30、 </w:t>
      </w:r>
      <w:r>
        <w:rPr>
          <w:rFonts w:hint="eastAsia" w:asciiTheme="minorEastAsia" w:hAnsiTheme="minorEastAsia" w:eastAsiaTheme="minorEastAsia" w:cstheme="minorEastAsia"/>
          <w:lang w:val="zh-CN"/>
        </w:rPr>
        <w:t>质疑</w:t>
      </w:r>
      <w:r>
        <w:tab/>
      </w:r>
      <w:r>
        <w:fldChar w:fldCharType="begin"/>
      </w:r>
      <w:r>
        <w:instrText xml:space="preserve"> PAGEREF _Toc29313 </w:instrText>
      </w:r>
      <w:r>
        <w:fldChar w:fldCharType="separate"/>
      </w:r>
      <w:r>
        <w:t>23</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_Toc24622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lang w:val="zh-CN"/>
        </w:rPr>
        <w:t xml:space="preserve">31、 </w:t>
      </w:r>
      <w:r>
        <w:rPr>
          <w:rFonts w:hint="eastAsia" w:asciiTheme="minorEastAsia" w:hAnsiTheme="minorEastAsia" w:eastAsiaTheme="minorEastAsia" w:cstheme="minorEastAsia"/>
          <w:lang w:val="zh-CN"/>
        </w:rPr>
        <w:t>质疑回复</w:t>
      </w:r>
      <w:r>
        <w:tab/>
      </w:r>
      <w:r>
        <w:fldChar w:fldCharType="begin"/>
      </w:r>
      <w:r>
        <w:instrText xml:space="preserve"> PAGEREF _Toc24622 </w:instrText>
      </w:r>
      <w:r>
        <w:fldChar w:fldCharType="separate"/>
      </w:r>
      <w:r>
        <w:t>24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_Toc16631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lang w:val="zh-CN"/>
        </w:rPr>
        <w:t xml:space="preserve">32、 </w:t>
      </w:r>
      <w:r>
        <w:rPr>
          <w:rFonts w:hint="eastAsia" w:asciiTheme="minorEastAsia" w:hAnsiTheme="minorEastAsia" w:eastAsiaTheme="minorEastAsia" w:cstheme="minorEastAsia"/>
          <w:lang w:val="zh-CN"/>
        </w:rPr>
        <w:t>投诉</w:t>
      </w:r>
      <w:r>
        <w:tab/>
      </w:r>
      <w:r>
        <w:fldChar w:fldCharType="begin"/>
      </w:r>
      <w:r>
        <w:instrText xml:space="preserve"> PAGEREF _Toc16631 </w:instrText>
      </w:r>
      <w:r>
        <w:fldChar w:fldCharType="separate"/>
      </w:r>
      <w:r>
        <w:t>24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_Toc9502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lang w:val="zh-CN"/>
        </w:rPr>
        <w:t xml:space="preserve">八、 </w:t>
      </w:r>
      <w:r>
        <w:rPr>
          <w:rFonts w:hint="eastAsia" w:asciiTheme="minorEastAsia" w:hAnsiTheme="minorEastAsia" w:eastAsiaTheme="minorEastAsia" w:cstheme="minorEastAsia"/>
          <w:szCs w:val="21"/>
          <w:lang w:val="zh-CN"/>
        </w:rPr>
        <w:t>政策</w:t>
      </w:r>
      <w:r>
        <w:tab/>
      </w:r>
      <w:r>
        <w:fldChar w:fldCharType="begin"/>
      </w:r>
      <w:r>
        <w:instrText xml:space="preserve"> PAGEREF _Toc9502 </w:instrText>
      </w:r>
      <w:r>
        <w:fldChar w:fldCharType="separate"/>
      </w:r>
      <w:r>
        <w:t>24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_Toc6491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lang w:val="en-US" w:eastAsia="zh-CN"/>
        </w:rPr>
        <w:t xml:space="preserve">33、 </w:t>
      </w:r>
      <w:r>
        <w:rPr>
          <w:rFonts w:hint="eastAsia" w:asciiTheme="minorEastAsia" w:hAnsiTheme="minorEastAsia" w:eastAsiaTheme="minorEastAsia" w:cstheme="minorEastAsia"/>
          <w:lang w:val="en-US" w:eastAsia="zh-CN"/>
        </w:rPr>
        <w:t>政府采购政策</w:t>
      </w:r>
      <w:r>
        <w:tab/>
      </w:r>
      <w:r>
        <w:fldChar w:fldCharType="begin"/>
      </w:r>
      <w:r>
        <w:instrText xml:space="preserve"> PAGEREF _Toc6491 </w:instrText>
      </w:r>
      <w:r>
        <w:fldChar w:fldCharType="separate"/>
      </w:r>
      <w:r>
        <w:t>24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_Toc32253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lang w:val="zh-CN"/>
        </w:rPr>
        <w:t xml:space="preserve">九、 </w:t>
      </w:r>
      <w:r>
        <w:rPr>
          <w:rFonts w:hint="eastAsia" w:asciiTheme="minorEastAsia" w:hAnsiTheme="minorEastAsia" w:eastAsiaTheme="minorEastAsia" w:cstheme="minorEastAsia"/>
          <w:szCs w:val="21"/>
          <w:lang w:val="zh-CN"/>
        </w:rPr>
        <w:t>其他要求</w:t>
      </w:r>
      <w:r>
        <w:tab/>
      </w:r>
      <w:r>
        <w:fldChar w:fldCharType="begin"/>
      </w:r>
      <w:r>
        <w:instrText xml:space="preserve"> PAGEREF _Toc32253 </w:instrText>
      </w:r>
      <w:r>
        <w:fldChar w:fldCharType="separate"/>
      </w:r>
      <w:r>
        <w:t>25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_Toc25018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lang w:val="zh-CN"/>
        </w:rPr>
        <w:t xml:space="preserve">十、 </w:t>
      </w:r>
      <w:r>
        <w:rPr>
          <w:rFonts w:hint="eastAsia" w:asciiTheme="minorEastAsia" w:hAnsiTheme="minorEastAsia" w:eastAsiaTheme="minorEastAsia" w:cstheme="minorEastAsia"/>
          <w:szCs w:val="21"/>
          <w:lang w:val="zh-CN"/>
        </w:rPr>
        <w:t>适用法律</w:t>
      </w:r>
      <w:r>
        <w:tab/>
      </w:r>
      <w:r>
        <w:fldChar w:fldCharType="begin"/>
      </w:r>
      <w:r>
        <w:instrText xml:space="preserve"> PAGEREF _Toc25018 </w:instrText>
      </w:r>
      <w:r>
        <w:fldChar w:fldCharType="separate"/>
      </w:r>
      <w:r>
        <w:t>25</w:t>
      </w:r>
      <w:r>
        <w:fldChar w:fldCharType="end"/>
      </w:r>
      <w:r>
        <w:rPr>
          <w:rFonts w:hint="eastAsia" w:asciiTheme="minorEastAsia" w:hAnsiTheme="minorEastAsia" w:eastAsiaTheme="minorEastAsia" w:cstheme="minorEastAsia"/>
          <w:szCs w:val="21"/>
        </w:rPr>
        <w:fldChar w:fldCharType="end"/>
      </w:r>
    </w:p>
    <w:p>
      <w:pPr>
        <w:pStyle w:val="20"/>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_Toc16520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bCs/>
          <w:szCs w:val="36"/>
        </w:rPr>
        <w:t>采购需求</w:t>
      </w:r>
      <w:r>
        <w:tab/>
      </w:r>
      <w:r>
        <w:fldChar w:fldCharType="begin"/>
      </w:r>
      <w:r>
        <w:instrText xml:space="preserve"> PAGEREF _Toc16520 </w:instrText>
      </w:r>
      <w:r>
        <w:fldChar w:fldCharType="separate"/>
      </w:r>
      <w:r>
        <w:t>27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_Toc2362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4"/>
          <w:lang w:val="en-US" w:eastAsia="zh-CN"/>
        </w:rPr>
        <w:t>一、技术需求</w:t>
      </w:r>
      <w:r>
        <w:tab/>
      </w:r>
      <w:r>
        <w:fldChar w:fldCharType="begin"/>
      </w:r>
      <w:r>
        <w:instrText xml:space="preserve"> PAGEREF _Toc2362 </w:instrText>
      </w:r>
      <w:r>
        <w:fldChar w:fldCharType="separate"/>
      </w:r>
      <w:r>
        <w:t>27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_Toc13890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4"/>
          <w:lang w:val="en-US" w:eastAsia="zh-CN"/>
        </w:rPr>
        <w:t>二、商务需求</w:t>
      </w:r>
      <w:r>
        <w:tab/>
      </w:r>
      <w:r>
        <w:fldChar w:fldCharType="begin"/>
      </w:r>
      <w:r>
        <w:instrText xml:space="preserve"> PAGEREF _Toc13890 </w:instrText>
      </w:r>
      <w:r>
        <w:fldChar w:fldCharType="separate"/>
      </w:r>
      <w:r>
        <w:t>27</w:t>
      </w:r>
      <w:r>
        <w:fldChar w:fldCharType="end"/>
      </w:r>
      <w:r>
        <w:rPr>
          <w:rFonts w:hint="eastAsia" w:asciiTheme="minorEastAsia" w:hAnsiTheme="minorEastAsia" w:eastAsiaTheme="minorEastAsia" w:cstheme="minorEastAsia"/>
          <w:szCs w:val="21"/>
        </w:rPr>
        <w:fldChar w:fldCharType="end"/>
      </w:r>
    </w:p>
    <w:p>
      <w:pPr>
        <w:pStyle w:val="20"/>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_Toc13948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lang w:val="en-US" w:eastAsia="zh-CN"/>
        </w:rPr>
        <w:t>竞争性磋商采购</w:t>
      </w:r>
      <w:r>
        <w:rPr>
          <w:rFonts w:hint="eastAsia" w:asciiTheme="minorEastAsia" w:hAnsiTheme="minorEastAsia" w:eastAsiaTheme="minorEastAsia" w:cstheme="minorEastAsia"/>
          <w:szCs w:val="36"/>
        </w:rPr>
        <w:t>评定办法</w:t>
      </w:r>
      <w:r>
        <w:tab/>
      </w:r>
      <w:r>
        <w:fldChar w:fldCharType="begin"/>
      </w:r>
      <w:r>
        <w:instrText xml:space="preserve"> PAGEREF _Toc13948 </w:instrText>
      </w:r>
      <w:r>
        <w:fldChar w:fldCharType="separate"/>
      </w:r>
      <w:r>
        <w:t>30</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_Toc2504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评定办法前附表</w:t>
      </w:r>
      <w:r>
        <w:tab/>
      </w:r>
      <w:r>
        <w:fldChar w:fldCharType="begin"/>
      </w:r>
      <w:r>
        <w:instrText xml:space="preserve"> PAGEREF _Toc2504 </w:instrText>
      </w:r>
      <w:r>
        <w:fldChar w:fldCharType="separate"/>
      </w:r>
      <w:r>
        <w:t>30</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_Toc6082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计算办法</w:t>
      </w:r>
      <w:r>
        <w:tab/>
      </w:r>
      <w:r>
        <w:fldChar w:fldCharType="begin"/>
      </w:r>
      <w:r>
        <w:instrText xml:space="preserve"> PAGEREF _Toc6082 </w:instrText>
      </w:r>
      <w:r>
        <w:fldChar w:fldCharType="separate"/>
      </w:r>
      <w:r>
        <w:t>32</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_Toc12933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评分细则</w:t>
      </w:r>
      <w:r>
        <w:tab/>
      </w:r>
      <w:r>
        <w:fldChar w:fldCharType="begin"/>
      </w:r>
      <w:r>
        <w:instrText xml:space="preserve"> PAGEREF _Toc12933 </w:instrText>
      </w:r>
      <w:r>
        <w:fldChar w:fldCharType="separate"/>
      </w:r>
      <w:r>
        <w:t>34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_Toc2135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评定办法</w:t>
      </w:r>
      <w:r>
        <w:tab/>
      </w:r>
      <w:r>
        <w:fldChar w:fldCharType="begin"/>
      </w:r>
      <w:r>
        <w:instrText xml:space="preserve"> PAGEREF _Toc2135 </w:instrText>
      </w:r>
      <w:r>
        <w:fldChar w:fldCharType="separate"/>
      </w:r>
      <w:r>
        <w:t>36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_Toc32082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lang w:val="en-US" w:eastAsia="zh-CN"/>
        </w:rPr>
        <w:t>五、磋商及评审步骤</w:t>
      </w:r>
      <w:r>
        <w:tab/>
      </w:r>
      <w:r>
        <w:fldChar w:fldCharType="begin"/>
      </w:r>
      <w:r>
        <w:instrText xml:space="preserve"> PAGEREF _Toc32082 </w:instrText>
      </w:r>
      <w:r>
        <w:fldChar w:fldCharType="separate"/>
      </w:r>
      <w:r>
        <w:t>37</w:t>
      </w:r>
      <w:r>
        <w:fldChar w:fldCharType="end"/>
      </w:r>
      <w:r>
        <w:rPr>
          <w:rFonts w:hint="eastAsia" w:asciiTheme="minorEastAsia" w:hAnsiTheme="minorEastAsia" w:eastAsiaTheme="minorEastAsia" w:cstheme="minorEastAsia"/>
          <w:szCs w:val="21"/>
        </w:rPr>
        <w:fldChar w:fldCharType="end"/>
      </w:r>
    </w:p>
    <w:p>
      <w:pPr>
        <w:pStyle w:val="20"/>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_Toc16866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kern w:val="0"/>
          <w:szCs w:val="36"/>
        </w:rPr>
        <w:t xml:space="preserve">第五章 </w:t>
      </w:r>
      <w:r>
        <w:rPr>
          <w:rFonts w:hint="eastAsia" w:asciiTheme="minorEastAsia" w:hAnsiTheme="minorEastAsia" w:eastAsiaTheme="minorEastAsia" w:cstheme="minorEastAsia"/>
          <w:szCs w:val="36"/>
        </w:rPr>
        <w:t>合同书</w:t>
      </w:r>
      <w:r>
        <w:rPr>
          <w:rFonts w:hint="eastAsia" w:asciiTheme="minorEastAsia" w:hAnsiTheme="minorEastAsia" w:eastAsiaTheme="minorEastAsia" w:cstheme="minorEastAsia"/>
          <w:szCs w:val="36"/>
          <w:lang w:val="en-US" w:eastAsia="zh-CN"/>
        </w:rPr>
        <w:t>格式</w:t>
      </w:r>
      <w:r>
        <w:tab/>
      </w:r>
      <w:r>
        <w:fldChar w:fldCharType="begin"/>
      </w:r>
      <w:r>
        <w:instrText xml:space="preserve"> PAGEREF _Toc16866 </w:instrText>
      </w:r>
      <w:r>
        <w:fldChar w:fldCharType="separate"/>
      </w:r>
      <w:r>
        <w:t>40</w:t>
      </w:r>
      <w:r>
        <w:fldChar w:fldCharType="end"/>
      </w:r>
      <w:r>
        <w:rPr>
          <w:rFonts w:hint="eastAsia" w:asciiTheme="minorEastAsia" w:hAnsiTheme="minorEastAsia" w:eastAsiaTheme="minorEastAsia" w:cstheme="minorEastAsia"/>
          <w:szCs w:val="21"/>
        </w:rPr>
        <w:fldChar w:fldCharType="end"/>
      </w:r>
    </w:p>
    <w:p>
      <w:pPr>
        <w:pStyle w:val="20"/>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_Toc16985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36"/>
        </w:rPr>
        <w:t xml:space="preserve">第六章 </w:t>
      </w:r>
      <w:r>
        <w:rPr>
          <w:rFonts w:hint="eastAsia" w:asciiTheme="minorEastAsia" w:hAnsiTheme="minorEastAsia" w:eastAsiaTheme="minorEastAsia" w:cstheme="minorEastAsia"/>
          <w:szCs w:val="36"/>
        </w:rPr>
        <w:t>竞争性磋商响应文件格式</w:t>
      </w:r>
      <w:r>
        <w:tab/>
      </w:r>
      <w:r>
        <w:fldChar w:fldCharType="begin"/>
      </w:r>
      <w:r>
        <w:instrText xml:space="preserve"> PAGEREF _Toc16985 </w:instrText>
      </w:r>
      <w:r>
        <w:fldChar w:fldCharType="separate"/>
      </w:r>
      <w:r>
        <w:t>45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_Toc26290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1"/>
        </w:rPr>
        <w:t>一</w:t>
      </w:r>
      <w:r>
        <w:rPr>
          <w:rFonts w:hint="eastAsia" w:ascii="宋体" w:hAnsi="宋体" w:eastAsia="宋体" w:cs="宋体"/>
          <w:szCs w:val="21"/>
          <w:lang w:eastAsia="zh-CN"/>
        </w:rPr>
        <w:t>、</w:t>
      </w:r>
      <w:r>
        <w:rPr>
          <w:rFonts w:hint="eastAsia" w:ascii="宋体" w:hAnsi="宋体" w:eastAsia="宋体" w:cs="宋体"/>
          <w:szCs w:val="21"/>
        </w:rPr>
        <w:t>评分标准索引表</w:t>
      </w:r>
      <w:r>
        <w:tab/>
      </w:r>
      <w:r>
        <w:fldChar w:fldCharType="begin"/>
      </w:r>
      <w:r>
        <w:instrText xml:space="preserve"> PAGEREF _Toc26290 </w:instrText>
      </w:r>
      <w:r>
        <w:fldChar w:fldCharType="separate"/>
      </w:r>
      <w:r>
        <w:t>46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_Toc6111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、磋商书</w:t>
      </w:r>
      <w:r>
        <w:tab/>
      </w:r>
      <w:r>
        <w:fldChar w:fldCharType="begin"/>
      </w:r>
      <w:r>
        <w:instrText xml:space="preserve"> PAGEREF _Toc6111 </w:instrText>
      </w:r>
      <w:r>
        <w:fldChar w:fldCharType="separate"/>
      </w:r>
      <w:r>
        <w:t>47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_Toc15196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t>、法定代表人授权书</w:t>
      </w:r>
      <w:r>
        <w:tab/>
      </w:r>
      <w:r>
        <w:fldChar w:fldCharType="begin"/>
      </w:r>
      <w:r>
        <w:instrText xml:space="preserve"> PAGEREF _Toc15196 </w:instrText>
      </w:r>
      <w:r>
        <w:fldChar w:fldCharType="separate"/>
      </w:r>
      <w:r>
        <w:t>48</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_Toc14020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kern w:val="0"/>
          <w:szCs w:val="21"/>
          <w:lang w:val="en-US" w:eastAsia="zh-CN"/>
        </w:rPr>
        <w:t>四</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法定代表人身份证明书</w:t>
      </w:r>
      <w:r>
        <w:tab/>
      </w:r>
      <w:r>
        <w:fldChar w:fldCharType="begin"/>
      </w:r>
      <w:r>
        <w:instrText xml:space="preserve"> PAGEREF _Toc14020 </w:instrText>
      </w:r>
      <w:r>
        <w:fldChar w:fldCharType="separate"/>
      </w:r>
      <w:r>
        <w:t>49</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_Toc12835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五</w:t>
      </w:r>
      <w:r>
        <w:rPr>
          <w:rFonts w:hint="eastAsia" w:asciiTheme="minorEastAsia" w:hAnsiTheme="minorEastAsia" w:eastAsiaTheme="minorEastAsia" w:cstheme="minorEastAsia"/>
          <w:bCs/>
          <w:szCs w:val="21"/>
        </w:rPr>
        <w:t>、报价一览表</w:t>
      </w:r>
      <w:r>
        <w:tab/>
      </w:r>
      <w:r>
        <w:fldChar w:fldCharType="begin"/>
      </w:r>
      <w:r>
        <w:instrText xml:space="preserve"> PAGEREF _Toc12835 </w:instrText>
      </w:r>
      <w:r>
        <w:fldChar w:fldCharType="separate"/>
      </w:r>
      <w:r>
        <w:t>50</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_Toc22962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六</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竞标</w:t>
      </w:r>
      <w:r>
        <w:rPr>
          <w:rFonts w:hint="eastAsia" w:asciiTheme="minorEastAsia" w:hAnsiTheme="minorEastAsia" w:eastAsiaTheme="minorEastAsia" w:cstheme="minorEastAsia"/>
          <w:bCs/>
          <w:szCs w:val="21"/>
          <w:lang w:eastAsia="zh-CN"/>
        </w:rPr>
        <w:t>分项报价表</w:t>
      </w:r>
      <w:r>
        <w:tab/>
      </w:r>
      <w:r>
        <w:fldChar w:fldCharType="begin"/>
      </w:r>
      <w:r>
        <w:instrText xml:space="preserve"> PAGEREF _Toc22962 </w:instrText>
      </w:r>
      <w:r>
        <w:fldChar w:fldCharType="separate"/>
      </w:r>
      <w:r>
        <w:t>51</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_Toc11947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七</w:t>
      </w:r>
      <w:r>
        <w:rPr>
          <w:rFonts w:hint="eastAsia" w:asciiTheme="minorEastAsia" w:hAnsiTheme="minorEastAsia" w:eastAsiaTheme="minorEastAsia" w:cstheme="minorEastAsia"/>
          <w:bCs/>
          <w:szCs w:val="21"/>
        </w:rPr>
        <w:t>、耗材清单</w:t>
      </w:r>
      <w:r>
        <w:tab/>
      </w:r>
      <w:r>
        <w:fldChar w:fldCharType="begin"/>
      </w:r>
      <w:r>
        <w:instrText xml:space="preserve"> PAGEREF _Toc11947 </w:instrText>
      </w:r>
      <w:r>
        <w:fldChar w:fldCharType="separate"/>
      </w:r>
      <w:r>
        <w:t>52</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_Toc17091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八、拟投入设备/备件、工具情况</w:t>
      </w:r>
      <w:r>
        <w:tab/>
      </w:r>
      <w:r>
        <w:fldChar w:fldCharType="begin"/>
      </w:r>
      <w:r>
        <w:instrText xml:space="preserve"> PAGEREF _Toc17091 </w:instrText>
      </w:r>
      <w:r>
        <w:fldChar w:fldCharType="separate"/>
      </w:r>
      <w:r>
        <w:t>53</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_Toc11172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九</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缴纳</w:t>
      </w:r>
      <w:r>
        <w:rPr>
          <w:rFonts w:hint="eastAsia" w:asciiTheme="minorEastAsia" w:hAnsiTheme="minorEastAsia" w:eastAsiaTheme="minorEastAsia" w:cstheme="minorEastAsia"/>
          <w:bCs/>
          <w:szCs w:val="21"/>
        </w:rPr>
        <w:t>保证金的银行凭证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如有</w:t>
      </w:r>
      <w:r>
        <w:rPr>
          <w:rFonts w:hint="eastAsia" w:asciiTheme="minorEastAsia" w:hAnsiTheme="minorEastAsia" w:eastAsiaTheme="minorEastAsia" w:cstheme="minorEastAsia"/>
          <w:bCs/>
          <w:szCs w:val="21"/>
          <w:lang w:eastAsia="zh-CN"/>
        </w:rPr>
        <w:t>）</w:t>
      </w:r>
      <w:r>
        <w:tab/>
      </w:r>
      <w:r>
        <w:fldChar w:fldCharType="begin"/>
      </w:r>
      <w:r>
        <w:instrText xml:space="preserve"> PAGEREF _Toc11172 </w:instrText>
      </w:r>
      <w:r>
        <w:fldChar w:fldCharType="separate"/>
      </w:r>
      <w:r>
        <w:t>54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_Toc9970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十</w:t>
      </w:r>
      <w:r>
        <w:rPr>
          <w:rFonts w:hint="eastAsia" w:asciiTheme="minorEastAsia" w:hAnsiTheme="minorEastAsia" w:eastAsiaTheme="minorEastAsia" w:cstheme="minorEastAsia"/>
          <w:bCs/>
          <w:szCs w:val="21"/>
        </w:rPr>
        <w:t>、偏离说明表</w:t>
      </w:r>
      <w:r>
        <w:tab/>
      </w:r>
      <w:r>
        <w:fldChar w:fldCharType="begin"/>
      </w:r>
      <w:r>
        <w:instrText xml:space="preserve"> PAGEREF _Toc9970 </w:instrText>
      </w:r>
      <w:r>
        <w:fldChar w:fldCharType="separate"/>
      </w:r>
      <w:r>
        <w:t>55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_Toc25318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kern w:val="0"/>
          <w:szCs w:val="21"/>
        </w:rPr>
        <w:t>十</w:t>
      </w:r>
      <w:r>
        <w:rPr>
          <w:rFonts w:hint="eastAsia" w:asciiTheme="minorEastAsia" w:hAnsiTheme="minorEastAsia" w:eastAsiaTheme="minorEastAsia" w:cstheme="minorEastAsia"/>
          <w:kern w:val="0"/>
          <w:szCs w:val="21"/>
          <w:lang w:eastAsia="zh-CN"/>
        </w:rPr>
        <w:t>一</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bCs/>
          <w:szCs w:val="21"/>
        </w:rPr>
        <w:t xml:space="preserve">类似业绩一览表 </w:t>
      </w:r>
      <w:r>
        <w:tab/>
      </w:r>
      <w:r>
        <w:fldChar w:fldCharType="begin"/>
      </w:r>
      <w:r>
        <w:instrText xml:space="preserve"> PAGEREF _Toc25318 </w:instrText>
      </w:r>
      <w:r>
        <w:fldChar w:fldCharType="separate"/>
      </w:r>
      <w:r>
        <w:t>56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_Toc30301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rPr>
        <w:t>十</w:t>
      </w:r>
      <w:r>
        <w:rPr>
          <w:rFonts w:hint="eastAsia" w:asciiTheme="minorEastAsia" w:hAnsiTheme="minorEastAsia" w:eastAsiaTheme="minorEastAsia" w:cstheme="minorEastAsia"/>
          <w:bCs/>
          <w:szCs w:val="21"/>
          <w:lang w:val="en-US" w:eastAsia="zh-CN"/>
        </w:rPr>
        <w:t>二</w:t>
      </w:r>
      <w:r>
        <w:rPr>
          <w:rFonts w:hint="eastAsia" w:asciiTheme="minorEastAsia" w:hAnsiTheme="minorEastAsia" w:eastAsiaTheme="minorEastAsia" w:cstheme="minorEastAsia"/>
          <w:bCs/>
          <w:szCs w:val="21"/>
        </w:rPr>
        <w:t>、拟投入项目组人员一览表</w:t>
      </w:r>
      <w:r>
        <w:tab/>
      </w:r>
      <w:r>
        <w:fldChar w:fldCharType="begin"/>
      </w:r>
      <w:r>
        <w:instrText xml:space="preserve"> PAGEREF _Toc30301 </w:instrText>
      </w:r>
      <w:r>
        <w:fldChar w:fldCharType="separate"/>
      </w:r>
      <w:r>
        <w:t>57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_Toc13108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三</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供应商的资格声明</w:t>
      </w:r>
      <w:r>
        <w:tab/>
      </w:r>
      <w:r>
        <w:fldChar w:fldCharType="begin"/>
      </w:r>
      <w:r>
        <w:instrText xml:space="preserve"> PAGEREF _Toc13108 </w:instrText>
      </w:r>
      <w:r>
        <w:fldChar w:fldCharType="separate"/>
      </w:r>
      <w:r>
        <w:t>58</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_Toc28523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四</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资格证明文件</w:t>
      </w:r>
      <w:r>
        <w:tab/>
      </w:r>
      <w:r>
        <w:fldChar w:fldCharType="begin"/>
      </w:r>
      <w:r>
        <w:instrText xml:space="preserve"> PAGEREF _Toc28523 </w:instrText>
      </w:r>
      <w:r>
        <w:fldChar w:fldCharType="separate"/>
      </w:r>
      <w:r>
        <w:t>59</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_Toc6462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kern w:val="0"/>
          <w:szCs w:val="21"/>
          <w:lang w:val="en-US" w:eastAsia="zh-CN"/>
        </w:rPr>
        <w:t>十五、</w:t>
      </w:r>
      <w:r>
        <w:rPr>
          <w:rFonts w:hint="eastAsia" w:asciiTheme="minorEastAsia" w:hAnsiTheme="minorEastAsia" w:eastAsiaTheme="minorEastAsia" w:cstheme="minorEastAsia"/>
          <w:bCs/>
          <w:kern w:val="0"/>
          <w:szCs w:val="21"/>
        </w:rPr>
        <w:t>机构配备情况</w:t>
      </w:r>
      <w:r>
        <w:rPr>
          <w:rFonts w:hint="eastAsia" w:asciiTheme="minorEastAsia" w:hAnsiTheme="minorEastAsia" w:eastAsiaTheme="minorEastAsia" w:cstheme="minorEastAsia"/>
          <w:bCs/>
          <w:kern w:val="0"/>
          <w:szCs w:val="21"/>
          <w:lang w:val="en-US" w:eastAsia="zh-CN"/>
        </w:rPr>
        <w:t>一览表</w:t>
      </w:r>
      <w:r>
        <w:tab/>
      </w:r>
      <w:r>
        <w:fldChar w:fldCharType="begin"/>
      </w:r>
      <w:r>
        <w:instrText xml:space="preserve"> PAGEREF _Toc6462 </w:instrText>
      </w:r>
      <w:r>
        <w:fldChar w:fldCharType="separate"/>
      </w:r>
      <w:r>
        <w:t>60</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_Toc7250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lang w:val="en-US" w:eastAsia="zh-CN"/>
        </w:rPr>
        <w:t>十六、报价技术文件</w:t>
      </w:r>
      <w:r>
        <w:tab/>
      </w:r>
      <w:r>
        <w:fldChar w:fldCharType="begin"/>
      </w:r>
      <w:r>
        <w:instrText xml:space="preserve"> PAGEREF _Toc7250 </w:instrText>
      </w:r>
      <w:r>
        <w:fldChar w:fldCharType="separate"/>
      </w:r>
      <w:r>
        <w:t>64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_Toc32159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十</w:t>
      </w: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、中小企业声明函</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_Toc32159 </w:instrText>
      </w:r>
      <w:r>
        <w:fldChar w:fldCharType="separate"/>
      </w:r>
      <w:r>
        <w:t>65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_Toc5517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pacing w:val="6"/>
          <w:szCs w:val="21"/>
          <w:lang w:val="en-US" w:eastAsia="zh-CN"/>
        </w:rPr>
        <w:t>十八、</w:t>
      </w:r>
      <w:r>
        <w:rPr>
          <w:rFonts w:hint="eastAsia" w:asciiTheme="minorEastAsia" w:hAnsiTheme="minorEastAsia" w:eastAsiaTheme="minorEastAsia" w:cstheme="minorEastAsia"/>
          <w:bCs/>
          <w:lang w:val="zh-CN"/>
        </w:rPr>
        <w:t>监狱企业证</w:t>
      </w:r>
      <w:r>
        <w:rPr>
          <w:rFonts w:hint="eastAsia" w:asciiTheme="minorEastAsia" w:hAnsiTheme="minorEastAsia" w:eastAsiaTheme="minorEastAsia" w:cstheme="minorEastAsia"/>
          <w:lang w:val="zh-CN"/>
        </w:rPr>
        <w:t>明文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_Toc5517 </w:instrText>
      </w:r>
      <w:r>
        <w:fldChar w:fldCharType="separate"/>
      </w:r>
      <w:r>
        <w:t>66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_Toc26604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lang w:val="en-US" w:eastAsia="zh-CN"/>
        </w:rPr>
        <w:t>十九</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残疾人福利性单位声明函（若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_Toc26604 </w:instrText>
      </w:r>
      <w:r>
        <w:fldChar w:fldCharType="separate"/>
      </w:r>
      <w:r>
        <w:t>67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_Toc31045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lang w:val="en-US" w:eastAsia="zh-CN"/>
        </w:rPr>
        <w:t>二十、节能环保产品证明材料（若符合）</w:t>
      </w:r>
      <w:r>
        <w:tab/>
      </w:r>
      <w:r>
        <w:fldChar w:fldCharType="begin"/>
      </w:r>
      <w:r>
        <w:instrText xml:space="preserve"> PAGEREF _Toc31045 </w:instrText>
      </w:r>
      <w:r>
        <w:fldChar w:fldCharType="separate"/>
      </w:r>
      <w:r>
        <w:t>68</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_Toc26379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pacing w:val="6"/>
          <w:szCs w:val="21"/>
          <w:lang w:val="en-US" w:eastAsia="zh-CN"/>
        </w:rPr>
        <w:t>二十一</w:t>
      </w:r>
      <w:r>
        <w:rPr>
          <w:rFonts w:hint="eastAsia" w:asciiTheme="minorEastAsia" w:hAnsiTheme="minorEastAsia" w:eastAsiaTheme="minorEastAsia" w:cstheme="minorEastAsia"/>
          <w:bCs/>
          <w:spacing w:val="6"/>
          <w:szCs w:val="21"/>
        </w:rPr>
        <w:t>、</w:t>
      </w:r>
      <w:r>
        <w:rPr>
          <w:rFonts w:hint="eastAsia" w:asciiTheme="minorEastAsia" w:hAnsiTheme="minorEastAsia" w:eastAsiaTheme="minorEastAsia" w:cstheme="minorEastAsia"/>
        </w:rPr>
        <w:t>无重大违法记录声明</w:t>
      </w:r>
      <w:r>
        <w:tab/>
      </w:r>
      <w:r>
        <w:fldChar w:fldCharType="begin"/>
      </w:r>
      <w:r>
        <w:instrText xml:space="preserve"> PAGEREF _Toc26379 </w:instrText>
      </w:r>
      <w:r>
        <w:fldChar w:fldCharType="separate"/>
      </w:r>
      <w:r>
        <w:t>69</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_Toc18104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kern w:val="0"/>
          <w:szCs w:val="21"/>
          <w:shd w:val="clear" w:color="auto" w:fill="FFFFFF"/>
          <w:lang w:val="en-US" w:eastAsia="zh-CN"/>
        </w:rPr>
        <w:t>二十二</w:t>
      </w:r>
      <w:r>
        <w:rPr>
          <w:rFonts w:hint="eastAsia" w:asciiTheme="minorEastAsia" w:hAnsiTheme="minorEastAsia" w:eastAsiaTheme="minorEastAsia" w:cstheme="minorEastAsia"/>
          <w:bCs/>
          <w:kern w:val="0"/>
          <w:szCs w:val="21"/>
          <w:shd w:val="clear" w:color="auto" w:fill="FFFFFF"/>
        </w:rPr>
        <w:t>、磋商供应商认为应该提交的其它文件（格式自拟）</w:t>
      </w:r>
      <w:r>
        <w:tab/>
      </w:r>
      <w:r>
        <w:fldChar w:fldCharType="begin"/>
      </w:r>
      <w:r>
        <w:instrText xml:space="preserve"> PAGEREF _Toc18104 </w:instrText>
      </w:r>
      <w:r>
        <w:fldChar w:fldCharType="separate"/>
      </w:r>
      <w:r>
        <w:t>69</w:t>
      </w:r>
      <w:r>
        <w:fldChar w:fldCharType="end"/>
      </w:r>
      <w:r>
        <w:rPr>
          <w:rFonts w:hint="eastAsia" w:asciiTheme="minorEastAsia" w:hAnsiTheme="minorEastAsia" w:eastAsiaTheme="minorEastAsia" w:cstheme="minorEastAsia"/>
          <w:szCs w:val="21"/>
        </w:rPr>
        <w:fldChar w:fldCharType="end"/>
      </w:r>
    </w:p>
    <w:p>
      <w:pPr>
        <w:jc w:val="left"/>
        <w:rPr>
          <w:rFonts w:hint="eastAsia" w:asciiTheme="minorEastAsia" w:hAnsiTheme="minorEastAsia" w:eastAsiaTheme="minorEastAsia" w:cstheme="minorEastAsia"/>
          <w:sz w:val="21"/>
          <w:szCs w:val="21"/>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szCs w:val="21"/>
        </w:rPr>
        <w:fldChar w:fldCharType="end"/>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36"/>
          <w:szCs w:val="36"/>
        </w:rPr>
        <w:br w:type="page"/>
      </w:r>
    </w:p>
    <w:p>
      <w:pPr>
        <w:numPr>
          <w:ilvl w:val="0"/>
          <w:numId w:val="5"/>
        </w:numPr>
        <w:spacing w:line="360" w:lineRule="auto"/>
        <w:jc w:val="center"/>
        <w:outlineLvl w:val="0"/>
        <w:rPr>
          <w:rFonts w:hint="eastAsia"/>
          <w:b/>
          <w:bCs/>
          <w:sz w:val="24"/>
          <w:szCs w:val="24"/>
        </w:rPr>
      </w:pPr>
      <w:bookmarkStart w:id="0" w:name="_Toc31877"/>
      <w:bookmarkStart w:id="1" w:name="_Toc6866"/>
      <w:r>
        <w:rPr>
          <w:rFonts w:hint="eastAsia" w:ascii="宋体" w:hAnsi="宋体" w:cs="宋体"/>
          <w:b/>
          <w:sz w:val="36"/>
          <w:szCs w:val="36"/>
        </w:rPr>
        <w:t>竞争性磋商公告</w:t>
      </w:r>
      <w:bookmarkEnd w:id="0"/>
      <w:bookmarkEnd w:id="1"/>
      <w:bookmarkStart w:id="2" w:name="_Toc524908844"/>
      <w:bookmarkStart w:id="3" w:name="_Toc179632528"/>
      <w:bookmarkStart w:id="4" w:name="_Toc9976"/>
      <w:bookmarkStart w:id="5" w:name="_Toc152042288"/>
      <w:bookmarkStart w:id="6" w:name="_Toc152045512"/>
      <w:bookmarkStart w:id="7" w:name="_Toc144974480"/>
    </w:p>
    <w:bookmarkEnd w:id="2"/>
    <w:bookmarkEnd w:id="3"/>
    <w:bookmarkEnd w:id="4"/>
    <w:bookmarkEnd w:id="5"/>
    <w:bookmarkEnd w:id="6"/>
    <w:bookmarkEnd w:id="7"/>
    <w:p>
      <w:pPr>
        <w:pBdr>
          <w:top w:val="single" w:color="auto" w:sz="4" w:space="1"/>
          <w:left w:val="single" w:color="auto" w:sz="4" w:space="4"/>
          <w:bottom w:val="single" w:color="auto" w:sz="4" w:space="1"/>
          <w:right w:val="single" w:color="auto" w:sz="4" w:space="4"/>
        </w:pBdr>
        <w:spacing w:line="360" w:lineRule="auto"/>
        <w:jc w:val="left"/>
        <w:rPr>
          <w:rFonts w:hint="eastAsia" w:ascii="宋体" w:hAnsi="宋体" w:eastAsia="宋体" w:cs="宋体"/>
          <w:color w:val="000000"/>
          <w:sz w:val="21"/>
          <w:szCs w:val="21"/>
        </w:rPr>
      </w:pPr>
      <w:r>
        <w:rPr>
          <w:rFonts w:hint="eastAsia" w:ascii="宋体" w:hAnsi="宋体" w:eastAsia="宋体" w:cs="宋体"/>
          <w:b/>
          <w:bCs/>
          <w:color w:val="000000"/>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武汉市东西湖区革新大道以东、荷沙路以南、波天湖路以西地块弱电线路迁改工程</w:t>
      </w:r>
      <w:r>
        <w:rPr>
          <w:rFonts w:hint="eastAsia" w:ascii="宋体" w:hAnsi="宋体" w:eastAsia="宋体" w:cs="宋体"/>
          <w:color w:val="auto"/>
          <w:sz w:val="21"/>
          <w:szCs w:val="21"/>
          <w:u w:val="none"/>
          <w:lang w:val="en-US" w:eastAsia="zh-CN"/>
        </w:rPr>
        <w:t>采购项目的潜在供应商应在</w:t>
      </w:r>
      <w:r>
        <w:rPr>
          <w:rFonts w:hint="eastAsia" w:ascii="宋体" w:hAnsi="宋体" w:eastAsia="宋体" w:cs="宋体"/>
          <w:color w:val="auto"/>
          <w:sz w:val="21"/>
          <w:szCs w:val="21"/>
          <w:u w:val="single"/>
        </w:rPr>
        <w:t>中经国际招标集团有限公司</w:t>
      </w:r>
      <w:r>
        <w:rPr>
          <w:rFonts w:hint="eastAsia" w:ascii="宋体" w:hAnsi="宋体" w:eastAsia="宋体" w:cs="宋体"/>
          <w:color w:val="auto"/>
          <w:sz w:val="21"/>
          <w:szCs w:val="21"/>
          <w:u w:val="single"/>
          <w:lang w:eastAsia="zh-CN"/>
        </w:rPr>
        <w:t>（武昌区中北路岳家嘴立交山河企业大厦</w:t>
      </w:r>
      <w:r>
        <w:rPr>
          <w:rFonts w:hint="eastAsia" w:ascii="宋体" w:hAnsi="宋体" w:eastAsia="宋体" w:cs="宋体"/>
          <w:color w:val="auto"/>
          <w:sz w:val="21"/>
          <w:szCs w:val="21"/>
          <w:u w:val="single"/>
          <w:lang w:val="en-US" w:eastAsia="zh-CN"/>
        </w:rPr>
        <w:t>48楼</w:t>
      </w:r>
      <w:r>
        <w:rPr>
          <w:rFonts w:hint="eastAsia" w:ascii="宋体" w:hAnsi="宋体" w:eastAsia="宋体" w:cs="宋体"/>
          <w:color w:val="auto"/>
          <w:sz w:val="21"/>
          <w:szCs w:val="21"/>
          <w:u w:val="single"/>
          <w:lang w:eastAsia="zh-CN"/>
        </w:rPr>
        <w:t>4805室）</w:t>
      </w:r>
      <w:r>
        <w:rPr>
          <w:rFonts w:hint="eastAsia" w:ascii="宋体" w:hAnsi="宋体" w:eastAsia="宋体" w:cs="宋体"/>
          <w:color w:val="auto"/>
          <w:sz w:val="21"/>
          <w:szCs w:val="21"/>
        </w:rPr>
        <w:t>获取</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文件，并于</w:t>
      </w:r>
      <w:r>
        <w:rPr>
          <w:rFonts w:hint="eastAsia" w:ascii="宋体" w:hAnsi="宋体" w:eastAsia="宋体" w:cs="宋体"/>
          <w:color w:val="auto"/>
          <w:sz w:val="21"/>
          <w:szCs w:val="21"/>
          <w:u w:val="single"/>
        </w:rPr>
        <w:t>2020年11月9日14点30分</w:t>
      </w:r>
      <w:r>
        <w:rPr>
          <w:rFonts w:hint="eastAsia" w:ascii="宋体" w:hAnsi="宋体" w:eastAsia="宋体" w:cs="宋体"/>
          <w:color w:val="auto"/>
          <w:sz w:val="21"/>
          <w:szCs w:val="21"/>
        </w:rPr>
        <w:t>（北京时间）前递交</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w:t>
      </w:r>
    </w:p>
    <w:p>
      <w:pPr>
        <w:pStyle w:val="2"/>
        <w:numPr>
          <w:ilvl w:val="0"/>
          <w:numId w:val="6"/>
        </w:numPr>
        <w:spacing w:line="360" w:lineRule="auto"/>
        <w:jc w:val="left"/>
        <w:rPr>
          <w:rFonts w:hint="eastAsia" w:ascii="宋体" w:hAnsi="宋体" w:eastAsia="宋体" w:cs="宋体"/>
          <w:color w:val="auto"/>
          <w:sz w:val="21"/>
          <w:szCs w:val="21"/>
        </w:rPr>
      </w:pPr>
      <w:bookmarkStart w:id="8" w:name="_Toc22341"/>
      <w:r>
        <w:rPr>
          <w:rFonts w:hint="eastAsia" w:ascii="宋体" w:hAnsi="宋体" w:eastAsia="宋体" w:cs="宋体"/>
          <w:color w:val="auto"/>
          <w:sz w:val="21"/>
          <w:szCs w:val="21"/>
        </w:rPr>
        <w:t>项目基本情况</w:t>
      </w:r>
      <w:bookmarkEnd w:id="8"/>
    </w:p>
    <w:p>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1、项目编号：ZJZB-202010-292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br w:type="textWrapping"/>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、项目名称：武汉市东西湖区革新大道以东、荷沙路以南、波天湖路以西地块弱电线路迁改工程</w:t>
      </w:r>
      <w:r>
        <w:rPr>
          <w:rFonts w:hint="eastAsia" w:ascii="宋体" w:hAnsi="宋体" w:eastAsia="宋体" w:cs="宋体"/>
          <w:color w:val="auto"/>
          <w:sz w:val="21"/>
          <w:szCs w:val="21"/>
        </w:rPr>
        <w:br w:type="textWrapping"/>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、采购方式：竞争性磋商</w:t>
      </w:r>
    </w:p>
    <w:p>
      <w:pPr>
        <w:spacing w:line="360" w:lineRule="auto"/>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、预算</w:t>
      </w:r>
      <w:r>
        <w:rPr>
          <w:rFonts w:hint="eastAsia" w:ascii="宋体" w:hAnsi="宋体" w:eastAsia="宋体" w:cs="宋体"/>
          <w:color w:val="auto"/>
          <w:sz w:val="21"/>
          <w:szCs w:val="21"/>
          <w:lang w:eastAsia="zh-CN"/>
        </w:rPr>
        <w:t>金额</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120</w:t>
      </w:r>
      <w:r>
        <w:rPr>
          <w:rFonts w:hint="eastAsia" w:ascii="宋体" w:hAnsi="宋体" w:eastAsia="宋体" w:cs="宋体"/>
          <w:color w:val="auto"/>
          <w:sz w:val="21"/>
          <w:szCs w:val="21"/>
        </w:rPr>
        <w:t>万元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5、最高限价：</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120</w:t>
      </w:r>
      <w:r>
        <w:rPr>
          <w:rFonts w:hint="eastAsia" w:ascii="宋体" w:hAnsi="宋体" w:eastAsia="宋体" w:cs="宋体"/>
          <w:color w:val="auto"/>
          <w:sz w:val="21"/>
          <w:szCs w:val="21"/>
        </w:rPr>
        <w:t>万元</w:t>
      </w:r>
      <w:r>
        <w:rPr>
          <w:rFonts w:hint="eastAsia" w:ascii="宋体" w:hAnsi="宋体" w:eastAsia="宋体" w:cs="宋体"/>
          <w:color w:val="auto"/>
          <w:sz w:val="21"/>
          <w:szCs w:val="21"/>
          <w:lang w:val="en-US" w:eastAsia="zh-CN"/>
        </w:rPr>
        <w:t>；</w:t>
      </w:r>
    </w:p>
    <w:p>
      <w:pPr>
        <w:numPr>
          <w:ilvl w:val="0"/>
          <w:numId w:val="0"/>
        </w:numPr>
        <w:spacing w:line="360" w:lineRule="auto"/>
        <w:jc w:val="left"/>
        <w:rPr>
          <w:rFonts w:hint="eastAsia" w:ascii="宋体" w:hAnsi="宋体" w:eastAsia="宋体" w:cs="宋体"/>
          <w:color w:val="000000"/>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采购需求：</w:t>
      </w:r>
      <w:r>
        <w:rPr>
          <w:rFonts w:hint="eastAsia" w:ascii="宋体" w:hAnsi="宋体" w:eastAsia="宋体" w:cs="宋体"/>
          <w:color w:val="auto"/>
          <w:sz w:val="21"/>
          <w:szCs w:val="21"/>
        </w:rPr>
        <w:t xml:space="preserve"> </w:t>
      </w:r>
      <w:r>
        <w:rPr>
          <w:rFonts w:hint="eastAsia" w:ascii="宋体" w:hAnsi="宋体" w:cs="宋体"/>
          <w:color w:val="auto"/>
          <w:sz w:val="21"/>
          <w:szCs w:val="21"/>
          <w:highlight w:val="none"/>
          <w:lang w:val="en-US" w:eastAsia="zh-CN"/>
        </w:rPr>
        <w:t>武汉市东西湖区革新大道以东、荷沙路以南、波天湖路以西地块弱电线路</w:t>
      </w:r>
      <w:r>
        <w:rPr>
          <w:rFonts w:hint="eastAsia" w:ascii="宋体" w:hAnsi="宋体" w:eastAsia="宋体" w:cs="宋体"/>
          <w:color w:val="auto"/>
          <w:sz w:val="21"/>
          <w:szCs w:val="21"/>
          <w:highlight w:val="none"/>
          <w:lang w:val="en-US" w:eastAsia="zh-CN"/>
        </w:rPr>
        <w:t>迁改工程</w:t>
      </w:r>
      <w:r>
        <w:rPr>
          <w:rFonts w:hint="eastAsia" w:ascii="宋体" w:hAnsi="宋体" w:cs="宋体"/>
          <w:color w:val="auto"/>
          <w:sz w:val="21"/>
          <w:szCs w:val="21"/>
          <w:highlight w:val="none"/>
          <w:lang w:val="en-US" w:eastAsia="zh-CN"/>
        </w:rPr>
        <w:t>，其中包括杆路部分、国防光缆迁改部分、民用通信线路部分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r>
        <w:rPr>
          <w:rFonts w:hint="eastAsia" w:asciiTheme="minorEastAsia" w:hAnsiTheme="minorEastAsia" w:eastAsiaTheme="minorEastAsia" w:cstheme="minorEastAsia"/>
          <w:szCs w:val="21"/>
        </w:rPr>
        <w:t>(详见工程量清单及图纸</w:t>
      </w:r>
      <w:r>
        <w:rPr>
          <w:rFonts w:hint="eastAsia" w:asciiTheme="minorEastAsia" w:hAnsiTheme="minorEastAsia" w:eastAsiaTheme="minorEastAsia" w:cstheme="minorEastAsia"/>
          <w:color w:val="auto"/>
          <w:szCs w:val="21"/>
        </w:rPr>
        <w:t>、采购文件第三章“项目采购需求”）</w:t>
      </w:r>
    </w:p>
    <w:p>
      <w:pPr>
        <w:numPr>
          <w:ilvl w:val="0"/>
          <w:numId w:val="7"/>
        </w:numPr>
        <w:spacing w:line="360" w:lineRule="auto"/>
        <w:ind w:left="420" w:left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类别：</w:t>
      </w:r>
      <w:r>
        <w:rPr>
          <w:rFonts w:hint="eastAsia" w:ascii="宋体" w:hAnsi="宋体" w:eastAsia="宋体" w:cs="宋体"/>
          <w:b w:val="0"/>
          <w:bCs w:val="0"/>
          <w:color w:val="auto"/>
          <w:kern w:val="2"/>
          <w:sz w:val="21"/>
          <w:szCs w:val="21"/>
          <w:lang w:val="en-US" w:eastAsia="zh-CN" w:bidi="ar-SA"/>
        </w:rPr>
        <w:t>工程</w:t>
      </w:r>
    </w:p>
    <w:p>
      <w:pPr>
        <w:numPr>
          <w:ilvl w:val="0"/>
          <w:numId w:val="7"/>
        </w:numPr>
        <w:spacing w:line="360" w:lineRule="auto"/>
        <w:ind w:left="420" w:leftChars="200"/>
        <w:jc w:val="left"/>
        <w:rPr>
          <w:rFonts w:hint="eastAsia" w:ascii="宋体" w:hAnsi="宋体" w:eastAsia="宋体" w:cs="宋体"/>
          <w:color w:val="000000"/>
          <w:sz w:val="21"/>
          <w:szCs w:val="21"/>
        </w:rPr>
      </w:pPr>
      <w:r>
        <w:rPr>
          <w:rFonts w:hint="eastAsia" w:ascii="宋体" w:hAnsi="宋体" w:cs="宋体"/>
          <w:b w:val="0"/>
          <w:bCs w:val="0"/>
          <w:kern w:val="2"/>
          <w:sz w:val="21"/>
          <w:szCs w:val="21"/>
          <w:lang w:val="en-US" w:eastAsia="zh-CN" w:bidi="ar-SA"/>
        </w:rPr>
        <w:t>工期</w:t>
      </w:r>
      <w:r>
        <w:rPr>
          <w:rFonts w:hint="eastAsia" w:ascii="宋体" w:hAnsi="宋体" w:eastAsia="宋体" w:cs="宋体"/>
          <w:b w:val="0"/>
          <w:bCs w:val="0"/>
          <w:color w:val="auto"/>
          <w:kern w:val="2"/>
          <w:sz w:val="21"/>
          <w:szCs w:val="21"/>
          <w:lang w:val="en-US" w:eastAsia="zh-CN" w:bidi="ar-SA"/>
        </w:rPr>
        <w:t>：进场后</w:t>
      </w:r>
      <w:r>
        <w:rPr>
          <w:rFonts w:hint="eastAsia" w:ascii="宋体" w:hAnsi="宋体" w:cs="宋体"/>
          <w:color w:val="auto"/>
          <w:szCs w:val="21"/>
          <w:u w:val="single"/>
          <w:lang w:val="en-US" w:eastAsia="zh-CN"/>
        </w:rPr>
        <w:t>45</w:t>
      </w:r>
      <w:r>
        <w:rPr>
          <w:rFonts w:hint="eastAsia" w:ascii="宋体" w:hAnsi="宋体" w:eastAsia="宋体" w:cs="宋体"/>
          <w:b w:val="0"/>
          <w:bCs w:val="0"/>
          <w:color w:val="auto"/>
          <w:kern w:val="2"/>
          <w:sz w:val="21"/>
          <w:szCs w:val="21"/>
          <w:lang w:val="en-US" w:eastAsia="zh-CN" w:bidi="ar-SA"/>
        </w:rPr>
        <w:t>日历天内完工</w:t>
      </w:r>
    </w:p>
    <w:p>
      <w:pPr>
        <w:numPr>
          <w:ilvl w:val="0"/>
          <w:numId w:val="7"/>
        </w:numPr>
        <w:spacing w:line="360" w:lineRule="auto"/>
        <w:ind w:left="420" w:leftChars="200"/>
        <w:jc w:val="left"/>
        <w:rPr>
          <w:rFonts w:hint="eastAsia" w:ascii="宋体" w:hAnsi="宋体" w:eastAsia="宋体" w:cs="宋体"/>
          <w:color w:val="auto"/>
          <w:sz w:val="21"/>
          <w:szCs w:val="21"/>
        </w:rPr>
      </w:pPr>
      <w:r>
        <w:rPr>
          <w:rFonts w:hint="eastAsia" w:ascii="宋体" w:hAnsi="宋体" w:eastAsia="宋体" w:cs="宋体"/>
          <w:b w:val="0"/>
          <w:bCs w:val="0"/>
          <w:color w:val="auto"/>
          <w:kern w:val="2"/>
          <w:sz w:val="21"/>
          <w:szCs w:val="21"/>
          <w:lang w:val="en-US" w:eastAsia="zh-CN" w:bidi="ar-SA"/>
        </w:rPr>
        <w:t>质保期/保修期：</w:t>
      </w:r>
      <w:r>
        <w:rPr>
          <w:rFonts w:hint="eastAsia" w:ascii="宋体" w:hAnsi="宋体" w:eastAsia="宋体" w:cs="宋体"/>
          <w:color w:val="auto"/>
          <w:sz w:val="21"/>
          <w:szCs w:val="21"/>
        </w:rPr>
        <w:t>验收合格之日算起，工程质保期限为2年</w:t>
      </w:r>
      <w:r>
        <w:rPr>
          <w:rFonts w:hint="eastAsia" w:ascii="宋体" w:hAnsi="宋体" w:cs="宋体"/>
          <w:color w:val="auto"/>
          <w:sz w:val="21"/>
          <w:szCs w:val="21"/>
          <w:lang w:eastAsia="zh-CN"/>
        </w:rPr>
        <w:t>。</w:t>
      </w:r>
    </w:p>
    <w:p>
      <w:pPr>
        <w:numPr>
          <w:ilvl w:val="0"/>
          <w:numId w:val="7"/>
        </w:numPr>
        <w:spacing w:line="360" w:lineRule="auto"/>
        <w:ind w:left="420" w:leftChars="200"/>
        <w:jc w:val="left"/>
        <w:rPr>
          <w:rFonts w:hint="eastAsia" w:ascii="宋体" w:hAnsi="宋体" w:eastAsia="宋体" w:cs="宋体"/>
          <w:color w:val="000000"/>
          <w:sz w:val="21"/>
          <w:szCs w:val="21"/>
        </w:rPr>
      </w:pPr>
      <w:r>
        <w:rPr>
          <w:rFonts w:hint="eastAsia" w:ascii="宋体" w:hAnsi="宋体" w:cs="宋体"/>
          <w:color w:val="000000"/>
          <w:sz w:val="21"/>
          <w:szCs w:val="21"/>
          <w:lang w:eastAsia="zh-CN"/>
        </w:rPr>
        <w:t>工程</w:t>
      </w:r>
      <w:r>
        <w:rPr>
          <w:rFonts w:hint="eastAsia" w:ascii="宋体" w:hAnsi="宋体" w:eastAsia="宋体" w:cs="宋体"/>
          <w:color w:val="000000"/>
          <w:sz w:val="21"/>
          <w:szCs w:val="21"/>
        </w:rPr>
        <w:t>质量标准</w:t>
      </w:r>
      <w:r>
        <w:rPr>
          <w:rFonts w:hint="eastAsia" w:ascii="宋体" w:hAnsi="宋体" w:eastAsia="宋体" w:cs="宋体"/>
          <w:color w:val="auto"/>
          <w:sz w:val="21"/>
          <w:szCs w:val="21"/>
        </w:rPr>
        <w:t>：达到《</w:t>
      </w:r>
      <w:r>
        <w:rPr>
          <w:rFonts w:hint="eastAsia" w:ascii="宋体" w:hAnsi="宋体" w:cs="宋体"/>
          <w:color w:val="auto"/>
          <w:sz w:val="21"/>
          <w:szCs w:val="21"/>
          <w:lang w:eastAsia="zh-CN"/>
        </w:rPr>
        <w:t>通信线路工程验收规范</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YD5121-2010</w:t>
      </w:r>
      <w:r>
        <w:rPr>
          <w:rFonts w:hint="eastAsia" w:ascii="宋体" w:hAnsi="宋体" w:eastAsia="宋体" w:cs="宋体"/>
          <w:color w:val="auto"/>
          <w:sz w:val="21"/>
          <w:szCs w:val="21"/>
        </w:rPr>
        <w:t>）合格标</w:t>
      </w:r>
      <w:r>
        <w:rPr>
          <w:rFonts w:hint="eastAsia" w:ascii="宋体" w:hAnsi="宋体" w:eastAsia="宋体" w:cs="宋体"/>
          <w:color w:val="000000"/>
          <w:sz w:val="21"/>
          <w:szCs w:val="21"/>
        </w:rPr>
        <w:t>准，以及国家或行业颁布的其他现行各项技术标准和验收规范规定</w:t>
      </w:r>
    </w:p>
    <w:p>
      <w:pPr>
        <w:numPr>
          <w:ilvl w:val="0"/>
          <w:numId w:val="7"/>
        </w:numPr>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lang w:eastAsia="zh-CN"/>
        </w:rPr>
        <w:t>其</w:t>
      </w:r>
      <w:r>
        <w:rPr>
          <w:rFonts w:hint="eastAsia" w:ascii="宋体" w:hAnsi="宋体" w:eastAsia="宋体" w:cs="宋体"/>
          <w:color w:val="auto"/>
          <w:sz w:val="21"/>
          <w:szCs w:val="21"/>
          <w:lang w:eastAsia="zh-CN"/>
        </w:rPr>
        <w:t>他</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参加</w:t>
      </w:r>
      <w:r>
        <w:rPr>
          <w:rFonts w:hint="eastAsia" w:ascii="宋体" w:hAnsi="宋体" w:eastAsia="宋体" w:cs="宋体"/>
          <w:color w:val="auto"/>
          <w:sz w:val="21"/>
          <w:szCs w:val="21"/>
          <w:lang w:eastAsia="zh-CN"/>
        </w:rPr>
        <w:t>竞标</w:t>
      </w:r>
      <w:r>
        <w:rPr>
          <w:rFonts w:hint="eastAsia" w:ascii="宋体" w:hAnsi="宋体" w:eastAsia="宋体" w:cs="宋体"/>
          <w:color w:val="auto"/>
          <w:sz w:val="21"/>
          <w:szCs w:val="21"/>
        </w:rPr>
        <w:t>的报价超过该包采购最高限价的，该包</w:t>
      </w:r>
      <w:r>
        <w:rPr>
          <w:rFonts w:hint="eastAsia" w:ascii="宋体" w:hAnsi="宋体" w:eastAsia="宋体" w:cs="宋体"/>
          <w:color w:val="auto"/>
          <w:sz w:val="21"/>
          <w:szCs w:val="21"/>
          <w:lang w:eastAsia="zh-CN"/>
        </w:rPr>
        <w:t>竞标</w:t>
      </w:r>
      <w:r>
        <w:rPr>
          <w:rFonts w:hint="eastAsia" w:ascii="宋体" w:hAnsi="宋体" w:eastAsia="宋体" w:cs="宋体"/>
          <w:color w:val="auto"/>
          <w:sz w:val="21"/>
          <w:szCs w:val="21"/>
        </w:rPr>
        <w:t>无效；</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报</w:t>
      </w:r>
      <w:r>
        <w:rPr>
          <w:rFonts w:hint="eastAsia" w:ascii="宋体" w:hAnsi="宋体" w:eastAsia="宋体" w:cs="宋体"/>
          <w:sz w:val="21"/>
          <w:szCs w:val="21"/>
        </w:rPr>
        <w:t>价须包含该采购</w:t>
      </w:r>
      <w:r>
        <w:rPr>
          <w:rFonts w:hint="eastAsia" w:ascii="宋体" w:hAnsi="宋体" w:eastAsia="宋体" w:cs="宋体"/>
          <w:sz w:val="21"/>
          <w:szCs w:val="21"/>
          <w:lang w:eastAsia="zh-CN"/>
        </w:rPr>
        <w:t>需求</w:t>
      </w:r>
      <w:r>
        <w:rPr>
          <w:rFonts w:hint="eastAsia" w:ascii="宋体" w:hAnsi="宋体" w:eastAsia="宋体" w:cs="宋体"/>
          <w:sz w:val="21"/>
          <w:szCs w:val="21"/>
        </w:rPr>
        <w:t>的全部内容。</w:t>
      </w:r>
    </w:p>
    <w:p>
      <w:pPr>
        <w:numPr>
          <w:ilvl w:val="0"/>
          <w:numId w:val="0"/>
        </w:numPr>
        <w:spacing w:line="360" w:lineRule="auto"/>
        <w:jc w:val="left"/>
        <w:rPr>
          <w:rFonts w:hint="eastAsia" w:ascii="宋体" w:hAnsi="宋体" w:eastAsia="宋体" w:cs="宋体"/>
          <w:strike/>
          <w:dstrike w:val="0"/>
          <w:color w:val="auto"/>
          <w:sz w:val="21"/>
          <w:szCs w:val="21"/>
          <w:lang w:eastAsia="zh-CN"/>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w:t>
      </w:r>
      <w:r>
        <w:rPr>
          <w:rFonts w:hint="eastAsia" w:ascii="宋体" w:hAnsi="宋体" w:eastAsia="宋体" w:cs="宋体"/>
          <w:color w:val="auto"/>
          <w:sz w:val="21"/>
          <w:szCs w:val="21"/>
        </w:rPr>
        <w:t>合同履行期限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 xml:space="preserve"> </w:t>
      </w:r>
      <w:r>
        <w:rPr>
          <w:rFonts w:hint="eastAsia" w:ascii="宋体" w:hAnsi="宋体" w:cs="宋体"/>
          <w:color w:val="auto"/>
          <w:sz w:val="21"/>
          <w:szCs w:val="21"/>
          <w:u w:val="single"/>
          <w:lang w:eastAsia="zh-CN"/>
        </w:rPr>
        <w:t>见工期</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single"/>
          <w:lang w:val="en-US" w:eastAsia="zh-CN"/>
        </w:rPr>
        <w:t xml:space="preserve">                 </w:t>
      </w:r>
    </w:p>
    <w:p>
      <w:pPr>
        <w:numPr>
          <w:ilvl w:val="0"/>
          <w:numId w:val="0"/>
        </w:numPr>
        <w:spacing w:line="360" w:lineRule="auto"/>
        <w:jc w:val="left"/>
        <w:rPr>
          <w:rFonts w:hint="eastAsia" w:ascii="宋体" w:hAnsi="宋体" w:eastAsia="宋体" w:cs="宋体"/>
          <w:sz w:val="21"/>
          <w:szCs w:val="21"/>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本项目</w:t>
      </w:r>
      <w:r>
        <w:rPr>
          <w:rFonts w:hint="eastAsia" w:ascii="宋体" w:hAnsi="宋体" w:eastAsia="宋体" w:cs="宋体"/>
          <w:color w:val="auto"/>
          <w:sz w:val="21"/>
          <w:szCs w:val="21"/>
          <w:u w:val="single"/>
          <w:lang w:val="en-US" w:eastAsia="zh-CN"/>
        </w:rPr>
        <w:t>不接受</w:t>
      </w:r>
      <w:r>
        <w:rPr>
          <w:rFonts w:hint="eastAsia" w:ascii="宋体" w:hAnsi="宋体" w:eastAsia="宋体" w:cs="宋体"/>
          <w:color w:val="auto"/>
          <w:sz w:val="21"/>
          <w:szCs w:val="21"/>
          <w:lang w:val="en-US" w:eastAsia="zh-CN"/>
        </w:rPr>
        <w:t>联合体</w:t>
      </w:r>
      <w:r>
        <w:rPr>
          <w:rFonts w:hint="eastAsia" w:ascii="宋体" w:hAnsi="宋体" w:eastAsia="宋体" w:cs="宋体"/>
          <w:sz w:val="21"/>
          <w:szCs w:val="21"/>
          <w:lang w:val="en-US" w:eastAsia="zh-CN"/>
        </w:rPr>
        <w:t>竞标；</w:t>
      </w:r>
    </w:p>
    <w:p>
      <w:pPr>
        <w:pStyle w:val="2"/>
        <w:numPr>
          <w:ilvl w:val="0"/>
          <w:numId w:val="6"/>
        </w:numPr>
        <w:spacing w:line="360" w:lineRule="auto"/>
        <w:jc w:val="left"/>
        <w:rPr>
          <w:rFonts w:hint="eastAsia" w:ascii="宋体" w:hAnsi="宋体" w:eastAsia="宋体" w:cs="宋体"/>
          <w:sz w:val="21"/>
          <w:szCs w:val="21"/>
        </w:rPr>
      </w:pPr>
      <w:bookmarkStart w:id="9" w:name="_Toc31384"/>
      <w:r>
        <w:rPr>
          <w:rFonts w:hint="eastAsia" w:ascii="宋体" w:hAnsi="宋体" w:eastAsia="宋体" w:cs="宋体"/>
          <w:sz w:val="21"/>
          <w:szCs w:val="21"/>
        </w:rPr>
        <w:t>申请人的资格要求</w:t>
      </w:r>
      <w:bookmarkEnd w:id="9"/>
    </w:p>
    <w:p>
      <w:pPr>
        <w:numPr>
          <w:ilvl w:val="0"/>
          <w:numId w:val="8"/>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满足《中华人民共和国政府采购法》第二十二条规定；</w:t>
      </w:r>
    </w:p>
    <w:p>
      <w:pPr>
        <w:spacing w:line="360" w:lineRule="auto"/>
        <w:ind w:left="446"/>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1.1具有独立承担民事责任的能力；</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1.2具有良好的商业信誉和健全的财务会计制度；</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1.3具有履行合同所必需的设备和专业技术能力；</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1.4有依法缴纳税收和社会保障资金的良好记录；</w:t>
      </w:r>
    </w:p>
    <w:p>
      <w:pPr>
        <w:spacing w:line="360" w:lineRule="auto"/>
        <w:ind w:left="420" w:firstLine="315" w:firstLineChars="150"/>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1.5参加政府采购活动前三年内，在经营活动中没有重大违法记录</w:t>
      </w:r>
      <w:r>
        <w:rPr>
          <w:rFonts w:hint="eastAsia" w:asciiTheme="minorEastAsia" w:hAnsiTheme="minorEastAsia" w:eastAsiaTheme="minorEastAsia" w:cstheme="minorEastAsia"/>
          <w:color w:val="000000"/>
          <w:sz w:val="21"/>
          <w:szCs w:val="21"/>
          <w:lang w:eastAsia="zh-CN"/>
        </w:rPr>
        <w:t>；（重大违法记录是指供应商因违法经营受到刑事处罚或者责令停产停业、吊销许可证或者执照、较大数额罚款等行政处罚）</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1.6法律、行政法规规定的其他条件；</w:t>
      </w:r>
    </w:p>
    <w:p>
      <w:pPr>
        <w:numPr>
          <w:ilvl w:val="0"/>
          <w:numId w:val="8"/>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单位负责人为同一人或者存在直接控股、管理关系的不同投标人，不得参加本项目同一合同项下的政府采购活动。</w:t>
      </w:r>
    </w:p>
    <w:p>
      <w:pPr>
        <w:numPr>
          <w:ilvl w:val="0"/>
          <w:numId w:val="8"/>
        </w:num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rPr>
        <w:t>为本采购项目提供整体设计、规范编制或者项目管理、监理、检测等服务的，不得再参加本项目的其他招标采购活动。</w:t>
      </w:r>
    </w:p>
    <w:p>
      <w:pPr>
        <w:numPr>
          <w:ilvl w:val="0"/>
          <w:numId w:val="8"/>
        </w:num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未被列入失信被执行人、重大税收违法案件当事人名单，未被列入政府采购严重违法失信行为记录名单。</w:t>
      </w:r>
    </w:p>
    <w:p>
      <w:pPr>
        <w:numPr>
          <w:ilvl w:val="0"/>
          <w:numId w:val="8"/>
        </w:numPr>
        <w:spacing w:line="360" w:lineRule="auto"/>
        <w:ind w:firstLine="420" w:firstLineChars="200"/>
        <w:jc w:val="left"/>
        <w:rPr>
          <w:rFonts w:hint="eastAsia" w:asciiTheme="minorEastAsia" w:hAnsiTheme="minorEastAsia" w:eastAsiaTheme="minorEastAsia" w:cstheme="minorEastAsia"/>
          <w:strike w:val="0"/>
          <w:dstrike w:val="0"/>
          <w:color w:val="auto"/>
          <w:sz w:val="21"/>
          <w:szCs w:val="21"/>
        </w:rPr>
      </w:pPr>
      <w:r>
        <w:rPr>
          <w:rFonts w:hint="eastAsia" w:asciiTheme="minorEastAsia" w:hAnsiTheme="minorEastAsia" w:eastAsiaTheme="minorEastAsia" w:cstheme="minorEastAsia"/>
          <w:color w:val="auto"/>
          <w:sz w:val="21"/>
          <w:szCs w:val="21"/>
        </w:rPr>
        <w:t>落实政府采购政策需满足的资格要求：</w:t>
      </w:r>
      <w:r>
        <w:rPr>
          <w:rFonts w:hint="eastAsia" w:asciiTheme="minorEastAsia" w:hAnsiTheme="minorEastAsia" w:eastAsiaTheme="minorEastAsia" w:cstheme="minorEastAsia"/>
          <w:strike w:val="0"/>
          <w:dstrike w:val="0"/>
          <w:color w:val="auto"/>
          <w:sz w:val="21"/>
          <w:szCs w:val="21"/>
        </w:rPr>
        <w:t>详见</w:t>
      </w:r>
      <w:r>
        <w:rPr>
          <w:rFonts w:hint="eastAsia" w:asciiTheme="minorEastAsia" w:hAnsiTheme="minorEastAsia" w:eastAsiaTheme="minorEastAsia" w:cstheme="minorEastAsia"/>
          <w:strike w:val="0"/>
          <w:dstrike w:val="0"/>
          <w:color w:val="auto"/>
          <w:sz w:val="21"/>
          <w:szCs w:val="21"/>
          <w:lang w:val="en-US" w:eastAsia="zh-CN"/>
        </w:rPr>
        <w:t>采购</w:t>
      </w:r>
      <w:r>
        <w:rPr>
          <w:rFonts w:hint="eastAsia" w:asciiTheme="minorEastAsia" w:hAnsiTheme="minorEastAsia" w:eastAsiaTheme="minorEastAsia" w:cstheme="minorEastAsia"/>
          <w:strike w:val="0"/>
          <w:dstrike w:val="0"/>
          <w:color w:val="auto"/>
          <w:sz w:val="21"/>
          <w:szCs w:val="21"/>
        </w:rPr>
        <w:t>文件；</w:t>
      </w:r>
    </w:p>
    <w:p>
      <w:pPr>
        <w:numPr>
          <w:ilvl w:val="0"/>
          <w:numId w:val="8"/>
        </w:numPr>
        <w:spacing w:line="360" w:lineRule="auto"/>
        <w:ind w:firstLine="422" w:firstLineChars="200"/>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本项目的特定资格要求：</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6.1供应商未被列入“信用中国”网站(www.creditchina.gov.cn)失信被执行人、重大税收违法案件当事人、政府采购严重违法失信行为记录名单和“中国政府采购”网站（www.ccgp.gov.cn）政府采购严重违法失信行为记录名单（评审时以采购代理机构现场查询结果为准）；</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 xml:space="preserve">    6.2供应商营业执照的经营范围需满足采购需求；</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6.3供应商须具有国家建设行政主管部门颁发的通信工程施工总承包叁级及以上资质，且具备建设主管部门颁发的有效的安全生产许可证资质；</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highlight w:val="none"/>
          <w:lang w:val="en-US" w:eastAsia="zh-CN"/>
        </w:rPr>
        <w:t xml:space="preserve">6.4 </w:t>
      </w:r>
      <w:r>
        <w:rPr>
          <w:rFonts w:hint="eastAsia" w:asciiTheme="minorEastAsia" w:hAnsiTheme="minorEastAsia" w:eastAsiaTheme="minorEastAsia" w:cstheme="minorEastAsia"/>
          <w:color w:val="auto"/>
          <w:szCs w:val="21"/>
        </w:rPr>
        <w:t>供应商拟派的项目经理须具备建设行政主管部门核发的</w:t>
      </w:r>
      <w:r>
        <w:rPr>
          <w:rFonts w:hint="eastAsia" w:asciiTheme="minorEastAsia" w:hAnsiTheme="minorEastAsia" w:eastAsiaTheme="minorEastAsia" w:cstheme="minorEastAsia"/>
          <w:color w:val="auto"/>
          <w:szCs w:val="21"/>
          <w:lang w:eastAsia="zh-CN"/>
        </w:rPr>
        <w:t>通信与广电工程</w:t>
      </w:r>
      <w:r>
        <w:rPr>
          <w:rFonts w:hint="eastAsia" w:asciiTheme="minorEastAsia" w:hAnsiTheme="minorEastAsia" w:eastAsiaTheme="minorEastAsia" w:cstheme="minorEastAsia"/>
          <w:color w:val="auto"/>
          <w:szCs w:val="21"/>
        </w:rPr>
        <w:t>专业</w:t>
      </w:r>
      <w:r>
        <w:rPr>
          <w:rFonts w:hint="eastAsia" w:asciiTheme="minorEastAsia" w:hAnsiTheme="minorEastAsia" w:eastAsiaTheme="minorEastAsia" w:cstheme="minorEastAsia"/>
          <w:color w:val="auto"/>
          <w:szCs w:val="21"/>
          <w:lang w:val="en-US" w:eastAsia="zh-CN"/>
        </w:rPr>
        <w:t>一</w:t>
      </w:r>
      <w:r>
        <w:rPr>
          <w:rFonts w:hint="eastAsia" w:asciiTheme="minorEastAsia" w:hAnsiTheme="minorEastAsia" w:eastAsiaTheme="minorEastAsia" w:cstheme="minorEastAsia"/>
          <w:color w:val="auto"/>
          <w:szCs w:val="21"/>
        </w:rPr>
        <w:t>级注册建造师执业资格且注册于该公司（提供身份证、资格证书、劳动合同及近三个月的社保证明）；具备有效的安全生产考核合格证书（B证）；同时提供未担任其他在建工程的项目经理及中标后只承担本工程的承诺书（格式自拟）；</w:t>
      </w:r>
    </w:p>
    <w:p>
      <w:pPr>
        <w:numPr>
          <w:ilvl w:val="0"/>
          <w:numId w:val="0"/>
        </w:numPr>
        <w:spacing w:line="360" w:lineRule="auto"/>
        <w:ind w:firstLine="420" w:firstLineChars="200"/>
        <w:jc w:val="left"/>
        <w:rPr>
          <w:rFonts w:hint="eastAsia" w:ascii="宋体" w:hAnsi="宋体" w:eastAsia="宋体" w:cs="宋体"/>
          <w:color w:val="auto"/>
          <w:sz w:val="21"/>
          <w:szCs w:val="21"/>
        </w:rPr>
      </w:pPr>
      <w:r>
        <w:rPr>
          <w:rFonts w:hint="eastAsia" w:asciiTheme="minorEastAsia" w:hAnsiTheme="minorEastAsia" w:eastAsiaTheme="minorEastAsia" w:cstheme="minorEastAsia"/>
          <w:color w:val="auto"/>
          <w:szCs w:val="21"/>
          <w:lang w:val="en-US" w:eastAsia="zh-CN"/>
        </w:rPr>
        <w:t>6.5 供应商拟派的项目管理团队（施工员、质量员、安全员、标准员、材料员、资料员）必须具备相应岗位证（提供身份证、岗位证书、劳动合同及近三个月的社保证明），其中安全员需具备有效期内的安全员C证；</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pStyle w:val="2"/>
        <w:numPr>
          <w:ilvl w:val="0"/>
          <w:numId w:val="6"/>
        </w:numPr>
        <w:spacing w:line="360" w:lineRule="auto"/>
        <w:jc w:val="left"/>
        <w:rPr>
          <w:rFonts w:hint="eastAsia" w:ascii="宋体" w:hAnsi="宋体" w:eastAsia="宋体" w:cs="宋体"/>
          <w:color w:val="auto"/>
          <w:sz w:val="21"/>
          <w:szCs w:val="21"/>
        </w:rPr>
      </w:pPr>
      <w:bookmarkStart w:id="10" w:name="_Toc16535"/>
      <w:bookmarkStart w:id="11" w:name="_Toc334539185"/>
      <w:r>
        <w:rPr>
          <w:rFonts w:hint="eastAsia" w:ascii="宋体" w:hAnsi="宋体" w:eastAsia="宋体" w:cs="宋体"/>
          <w:color w:val="auto"/>
          <w:sz w:val="21"/>
          <w:szCs w:val="21"/>
        </w:rPr>
        <w:t>获取</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w:t>
      </w:r>
      <w:bookmarkEnd w:id="10"/>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auto"/>
          <w:sz w:val="21"/>
          <w:szCs w:val="21"/>
        </w:rPr>
        <w:t>时间：</w:t>
      </w:r>
      <w:r>
        <w:rPr>
          <w:rFonts w:hint="eastAsia" w:ascii="宋体" w:hAnsi="宋体" w:eastAsia="宋体" w:cs="宋体"/>
          <w:color w:val="auto"/>
          <w:sz w:val="21"/>
          <w:szCs w:val="21"/>
          <w:u w:val="single"/>
          <w:lang w:val="en-US" w:eastAsia="zh-CN"/>
        </w:rPr>
        <w:t>2020</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11</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2</w:t>
      </w:r>
      <w:r>
        <w:rPr>
          <w:rFonts w:hint="eastAsia" w:ascii="宋体" w:hAnsi="宋体" w:eastAsia="宋体" w:cs="宋体"/>
          <w:color w:val="auto"/>
          <w:sz w:val="21"/>
          <w:szCs w:val="21"/>
          <w:u w:val="single"/>
        </w:rPr>
        <w:t>日至</w:t>
      </w:r>
      <w:r>
        <w:rPr>
          <w:rFonts w:hint="eastAsia" w:ascii="宋体" w:hAnsi="宋体" w:eastAsia="宋体" w:cs="宋体"/>
          <w:color w:val="auto"/>
          <w:sz w:val="21"/>
          <w:szCs w:val="21"/>
          <w:u w:val="single"/>
          <w:lang w:val="en-US" w:eastAsia="zh-CN"/>
        </w:rPr>
        <w:t>2020</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1</w:t>
      </w:r>
      <w:r>
        <w:rPr>
          <w:rFonts w:hint="eastAsia" w:ascii="宋体" w:hAnsi="宋体" w:cs="宋体"/>
          <w:sz w:val="21"/>
          <w:szCs w:val="21"/>
          <w:u w:val="single"/>
          <w:lang w:val="en-US" w:eastAsia="zh-CN"/>
        </w:rPr>
        <w:t>1</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6</w:t>
      </w:r>
      <w:r>
        <w:rPr>
          <w:rFonts w:hint="eastAsia" w:ascii="宋体" w:hAnsi="宋体" w:eastAsia="宋体" w:cs="宋体"/>
          <w:sz w:val="21"/>
          <w:szCs w:val="21"/>
          <w:u w:val="single"/>
        </w:rPr>
        <w:t>日</w:t>
      </w:r>
      <w:r>
        <w:rPr>
          <w:rFonts w:hint="eastAsia" w:ascii="宋体" w:hAnsi="宋体" w:eastAsia="宋体" w:cs="宋体"/>
          <w:sz w:val="21"/>
          <w:szCs w:val="21"/>
        </w:rPr>
        <w:t>（提供期限自本公告发布</w:t>
      </w:r>
      <w:r>
        <w:rPr>
          <w:rFonts w:hint="eastAsia" w:ascii="宋体" w:hAnsi="宋体" w:eastAsia="宋体" w:cs="宋体"/>
          <w:sz w:val="21"/>
          <w:szCs w:val="21"/>
          <w:lang w:eastAsia="zh-CN"/>
        </w:rPr>
        <w:t>之</w:t>
      </w:r>
      <w:r>
        <w:rPr>
          <w:rFonts w:hint="eastAsia" w:ascii="宋体" w:hAnsi="宋体" w:eastAsia="宋体" w:cs="宋体"/>
          <w:sz w:val="21"/>
          <w:szCs w:val="21"/>
        </w:rPr>
        <w:t>日起</w:t>
      </w:r>
      <w:r>
        <w:rPr>
          <w:rFonts w:hint="eastAsia" w:ascii="宋体" w:hAnsi="宋体" w:eastAsia="宋体" w:cs="宋体"/>
          <w:sz w:val="21"/>
          <w:szCs w:val="21"/>
          <w:lang w:eastAsia="zh-CN"/>
        </w:rPr>
        <w:t>至少</w:t>
      </w:r>
      <w:r>
        <w:rPr>
          <w:rFonts w:hint="eastAsia" w:ascii="宋体" w:hAnsi="宋体" w:eastAsia="宋体" w:cs="宋体"/>
          <w:sz w:val="21"/>
          <w:szCs w:val="21"/>
        </w:rPr>
        <w:t>5个工作日），每天上午</w:t>
      </w:r>
      <w:r>
        <w:rPr>
          <w:rFonts w:hint="eastAsia" w:ascii="宋体" w:hAnsi="宋体" w:eastAsia="宋体" w:cs="宋体"/>
          <w:sz w:val="21"/>
          <w:szCs w:val="21"/>
          <w:lang w:val="en-US" w:eastAsia="zh-CN"/>
        </w:rPr>
        <w:t>09:00</w:t>
      </w:r>
      <w:r>
        <w:rPr>
          <w:rFonts w:hint="eastAsia" w:ascii="宋体" w:hAnsi="宋体" w:eastAsia="宋体" w:cs="宋体"/>
          <w:sz w:val="21"/>
          <w:szCs w:val="21"/>
        </w:rPr>
        <w:t>至</w:t>
      </w:r>
      <w:r>
        <w:rPr>
          <w:rFonts w:hint="eastAsia" w:ascii="宋体" w:hAnsi="宋体" w:eastAsia="宋体" w:cs="宋体"/>
          <w:sz w:val="21"/>
          <w:szCs w:val="21"/>
          <w:lang w:val="en-US" w:eastAsia="zh-CN"/>
        </w:rPr>
        <w:t>12:00</w:t>
      </w:r>
      <w:r>
        <w:rPr>
          <w:rFonts w:hint="eastAsia" w:ascii="宋体" w:hAnsi="宋体" w:eastAsia="宋体" w:cs="宋体"/>
          <w:sz w:val="21"/>
          <w:szCs w:val="21"/>
        </w:rPr>
        <w:t>，下午</w:t>
      </w:r>
      <w:r>
        <w:rPr>
          <w:rFonts w:hint="eastAsia" w:ascii="宋体" w:hAnsi="宋体" w:eastAsia="宋体" w:cs="宋体"/>
          <w:sz w:val="21"/>
          <w:szCs w:val="21"/>
          <w:lang w:val="en-US" w:eastAsia="zh-CN"/>
        </w:rPr>
        <w:t>14:30</w:t>
      </w:r>
      <w:r>
        <w:rPr>
          <w:rFonts w:hint="eastAsia" w:ascii="宋体" w:hAnsi="宋体" w:eastAsia="宋体" w:cs="宋体"/>
          <w:sz w:val="21"/>
          <w:szCs w:val="21"/>
        </w:rPr>
        <w:t>至</w:t>
      </w:r>
      <w:r>
        <w:rPr>
          <w:rFonts w:hint="eastAsia" w:ascii="宋体" w:hAnsi="宋体" w:eastAsia="宋体" w:cs="宋体"/>
          <w:sz w:val="21"/>
          <w:szCs w:val="21"/>
          <w:lang w:val="en-US" w:eastAsia="zh-CN"/>
        </w:rPr>
        <w:t>17:00</w:t>
      </w:r>
      <w:r>
        <w:rPr>
          <w:rFonts w:hint="eastAsia" w:ascii="宋体" w:hAnsi="宋体" w:eastAsia="宋体" w:cs="宋体"/>
          <w:sz w:val="21"/>
          <w:szCs w:val="21"/>
        </w:rPr>
        <w:t>（北京时间，法定节假日除外）</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地点：武昌区中北路岳家嘴立交山河企业大厦</w:t>
      </w:r>
      <w:r>
        <w:rPr>
          <w:rFonts w:hint="eastAsia" w:ascii="宋体" w:hAnsi="宋体" w:eastAsia="宋体" w:cs="宋体"/>
          <w:sz w:val="21"/>
          <w:szCs w:val="21"/>
          <w:lang w:val="en-US" w:eastAsia="zh-CN"/>
        </w:rPr>
        <w:t>48楼</w:t>
      </w:r>
      <w:r>
        <w:rPr>
          <w:rFonts w:hint="eastAsia" w:ascii="宋体" w:hAnsi="宋体" w:eastAsia="宋体" w:cs="宋体"/>
          <w:sz w:val="21"/>
          <w:szCs w:val="21"/>
        </w:rPr>
        <w:t>4805室；</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 w:val="0"/>
          <w:bCs w:val="0"/>
          <w:color w:val="auto"/>
          <w:sz w:val="21"/>
          <w:szCs w:val="21"/>
          <w:lang w:eastAsia="zh-CN"/>
        </w:rPr>
        <w:t>现场获取</w:t>
      </w:r>
      <w:r>
        <w:rPr>
          <w:rFonts w:hint="eastAsia" w:ascii="宋体" w:hAnsi="宋体" w:eastAsia="宋体" w:cs="宋体"/>
          <w:b w:val="0"/>
          <w:bCs w:val="0"/>
          <w:color w:val="auto"/>
          <w:sz w:val="21"/>
          <w:szCs w:val="21"/>
        </w:rPr>
        <w:t>：</w:t>
      </w:r>
      <w:bookmarkEnd w:id="11"/>
      <w:r>
        <w:rPr>
          <w:rFonts w:hint="eastAsia" w:ascii="宋体" w:hAnsi="宋体" w:eastAsia="宋体" w:cs="宋体"/>
          <w:b w:val="0"/>
          <w:bCs w:val="0"/>
          <w:color w:val="auto"/>
          <w:sz w:val="21"/>
          <w:szCs w:val="21"/>
        </w:rPr>
        <w:t>1）法定代表人领取的，凭法定代表人身份证明书（格式</w:t>
      </w:r>
      <w:r>
        <w:rPr>
          <w:rFonts w:hint="eastAsia" w:ascii="宋体" w:hAnsi="宋体" w:eastAsia="宋体" w:cs="宋体"/>
          <w:b w:val="0"/>
          <w:bCs w:val="0"/>
          <w:color w:val="auto"/>
          <w:sz w:val="21"/>
          <w:szCs w:val="21"/>
          <w:lang w:eastAsia="zh-CN"/>
        </w:rPr>
        <w:t>见附件</w:t>
      </w:r>
      <w:r>
        <w:rPr>
          <w:rFonts w:hint="eastAsia" w:ascii="宋体" w:hAnsi="宋体" w:eastAsia="宋体" w:cs="宋体"/>
          <w:b w:val="0"/>
          <w:bCs w:val="0"/>
          <w:color w:val="auto"/>
          <w:sz w:val="21"/>
          <w:szCs w:val="21"/>
        </w:rPr>
        <w:t>）及法定代表人身份证原件领取；2）法定代表人委托他人领取的，凭法定代表人授权书（格式</w:t>
      </w:r>
      <w:r>
        <w:rPr>
          <w:rFonts w:hint="eastAsia" w:ascii="宋体" w:hAnsi="宋体" w:eastAsia="宋体" w:cs="宋体"/>
          <w:b w:val="0"/>
          <w:bCs w:val="0"/>
          <w:color w:val="auto"/>
          <w:sz w:val="21"/>
          <w:szCs w:val="21"/>
          <w:lang w:eastAsia="zh-CN"/>
        </w:rPr>
        <w:t>见附件</w:t>
      </w:r>
      <w:r>
        <w:rPr>
          <w:rFonts w:hint="eastAsia" w:ascii="宋体" w:hAnsi="宋体" w:eastAsia="宋体" w:cs="宋体"/>
          <w:b w:val="0"/>
          <w:bCs w:val="0"/>
          <w:color w:val="auto"/>
          <w:sz w:val="21"/>
          <w:szCs w:val="21"/>
        </w:rPr>
        <w:t>）及受托人身份证原件领取</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）加盖</w:t>
      </w:r>
      <w:r>
        <w:rPr>
          <w:rFonts w:hint="eastAsia" w:ascii="宋体" w:hAnsi="宋体" w:eastAsia="宋体" w:cs="宋体"/>
          <w:b w:val="0"/>
          <w:bCs w:val="0"/>
          <w:color w:val="auto"/>
          <w:sz w:val="21"/>
          <w:szCs w:val="21"/>
          <w:lang w:val="en-US" w:eastAsia="zh-CN"/>
        </w:rPr>
        <w:t>公章</w:t>
      </w:r>
      <w:r>
        <w:rPr>
          <w:rFonts w:hint="eastAsia" w:ascii="宋体" w:hAnsi="宋体" w:eastAsia="宋体" w:cs="宋体"/>
          <w:b w:val="0"/>
          <w:bCs w:val="0"/>
          <w:color w:val="auto"/>
          <w:sz w:val="21"/>
          <w:szCs w:val="21"/>
        </w:rPr>
        <w:t>的营业执照</w:t>
      </w:r>
      <w:r>
        <w:rPr>
          <w:rFonts w:hint="eastAsia" w:ascii="宋体" w:hAnsi="宋体" w:eastAsia="宋体" w:cs="宋体"/>
          <w:b w:val="0"/>
          <w:bCs w:val="0"/>
          <w:color w:val="auto"/>
          <w:sz w:val="21"/>
          <w:szCs w:val="21"/>
          <w:lang w:val="en-US" w:eastAsia="zh-CN"/>
        </w:rPr>
        <w:t>真彩扫描件、项目报名表</w:t>
      </w:r>
      <w:r>
        <w:rPr>
          <w:rFonts w:hint="eastAsia" w:ascii="宋体" w:hAnsi="宋体" w:eastAsia="宋体" w:cs="宋体"/>
          <w:b w:val="0"/>
          <w:bCs w:val="0"/>
          <w:color w:val="auto"/>
          <w:sz w:val="21"/>
          <w:szCs w:val="21"/>
        </w:rPr>
        <w:t>（格式见附件）</w:t>
      </w:r>
      <w:r>
        <w:rPr>
          <w:rFonts w:hint="eastAsia" w:ascii="宋体" w:hAnsi="宋体" w:eastAsia="宋体" w:cs="宋体"/>
          <w:b w:val="0"/>
          <w:bCs w:val="0"/>
          <w:color w:val="auto"/>
          <w:sz w:val="21"/>
          <w:szCs w:val="21"/>
          <w:lang w:val="en-US" w:eastAsia="zh-CN"/>
        </w:rPr>
        <w:t>、供应商信用承诺书（格式见附件）、《中小企业声明函》扫描件，格式详见《政府采购促进中小企业发展暂行办法》(财库【2011】181号)（如项目非专门面向中小微企业，则不需要中小企业声明函）；</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bCs/>
          <w:color w:val="auto"/>
          <w:sz w:val="21"/>
          <w:szCs w:val="21"/>
          <w:lang w:val="en-US" w:eastAsia="zh-CN"/>
        </w:rPr>
        <w:t xml:space="preserve">   </w:t>
      </w:r>
      <w:r>
        <w:rPr>
          <w:rFonts w:hint="eastAsia" w:ascii="宋体" w:hAnsi="宋体" w:cs="宋体"/>
          <w:b/>
          <w:bCs/>
          <w:color w:val="auto"/>
          <w:sz w:val="21"/>
          <w:szCs w:val="21"/>
          <w:lang w:val="en-US" w:eastAsia="zh-CN"/>
        </w:rPr>
        <w:t xml:space="preserve">  </w:t>
      </w:r>
      <w:r>
        <w:rPr>
          <w:rFonts w:hint="eastAsia" w:ascii="宋体" w:hAnsi="宋体" w:eastAsia="宋体" w:cs="宋体"/>
          <w:sz w:val="21"/>
          <w:szCs w:val="21"/>
          <w:lang w:val="en-US" w:eastAsia="zh-CN"/>
        </w:rPr>
        <w:t>售价：采购文件</w:t>
      </w:r>
      <w:r>
        <w:rPr>
          <w:rFonts w:hint="eastAsia" w:ascii="宋体" w:hAnsi="宋体" w:eastAsia="宋体" w:cs="宋体"/>
          <w:color w:val="auto"/>
          <w:sz w:val="21"/>
          <w:szCs w:val="21"/>
          <w:lang w:val="en-US" w:eastAsia="zh-CN"/>
        </w:rPr>
        <w:t>人民币400元/本，</w:t>
      </w:r>
      <w:r>
        <w:rPr>
          <w:rFonts w:hint="eastAsia" w:ascii="宋体" w:hAnsi="宋体" w:eastAsia="宋体" w:cs="宋体"/>
          <w:sz w:val="21"/>
          <w:szCs w:val="21"/>
          <w:lang w:val="en-US" w:eastAsia="zh-CN"/>
        </w:rPr>
        <w:t>售后不退，不办理邮寄；</w:t>
      </w:r>
    </w:p>
    <w:p>
      <w:pPr>
        <w:pStyle w:val="2"/>
        <w:numPr>
          <w:ilvl w:val="0"/>
          <w:numId w:val="6"/>
        </w:numPr>
        <w:spacing w:line="360" w:lineRule="auto"/>
        <w:jc w:val="left"/>
        <w:rPr>
          <w:rFonts w:hint="eastAsia" w:ascii="宋体" w:hAnsi="宋体" w:eastAsia="宋体" w:cs="宋体"/>
          <w:sz w:val="21"/>
          <w:szCs w:val="21"/>
        </w:rPr>
      </w:pPr>
      <w:bookmarkStart w:id="12" w:name="_Toc16036"/>
      <w:r>
        <w:rPr>
          <w:rFonts w:hint="eastAsia" w:ascii="宋体" w:hAnsi="宋体" w:eastAsia="宋体" w:cs="宋体"/>
          <w:sz w:val="21"/>
          <w:szCs w:val="21"/>
          <w:lang w:eastAsia="zh-CN"/>
        </w:rPr>
        <w:t>响应文件提交</w:t>
      </w:r>
      <w:bookmarkEnd w:id="12"/>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开始时间：2020年11月9日08点30分（北京时间）</w:t>
      </w:r>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截止时间：2020年11月9日14点30分（北京时间）</w:t>
      </w:r>
    </w:p>
    <w:p>
      <w:pPr>
        <w:numPr>
          <w:ilvl w:val="0"/>
          <w:numId w:val="0"/>
        </w:numPr>
        <w:spacing w:line="360" w:lineRule="auto"/>
        <w:ind w:firstLine="420" w:firstLineChars="200"/>
        <w:jc w:val="left"/>
        <w:outlineLvl w:val="9"/>
        <w:rPr>
          <w:rFonts w:hint="eastAsia" w:ascii="宋体" w:hAnsi="宋体" w:eastAsia="宋体" w:cs="宋体"/>
          <w:sz w:val="21"/>
          <w:szCs w:val="21"/>
        </w:rPr>
      </w:pPr>
      <w:r>
        <w:rPr>
          <w:rFonts w:hint="eastAsia" w:asciiTheme="minorEastAsia" w:hAnsiTheme="minorEastAsia" w:eastAsiaTheme="minorEastAsia" w:cstheme="minorEastAsia"/>
          <w:sz w:val="21"/>
          <w:szCs w:val="21"/>
          <w:lang w:val="en-US" w:eastAsia="zh-CN"/>
        </w:rPr>
        <w:t>地点：武昌区中北路岳家嘴立交山河企业大厦4806</w:t>
      </w:r>
      <w:r>
        <w:rPr>
          <w:rFonts w:hint="eastAsia" w:ascii="宋体" w:hAnsi="宋体" w:eastAsia="宋体" w:cs="宋体"/>
          <w:sz w:val="21"/>
          <w:szCs w:val="21"/>
          <w:lang w:val="en-US" w:eastAsia="zh-CN"/>
        </w:rPr>
        <w:t>室</w:t>
      </w:r>
    </w:p>
    <w:p>
      <w:pPr>
        <w:pStyle w:val="2"/>
        <w:numPr>
          <w:ilvl w:val="0"/>
          <w:numId w:val="6"/>
        </w:numPr>
        <w:spacing w:line="360" w:lineRule="auto"/>
        <w:jc w:val="left"/>
        <w:rPr>
          <w:rFonts w:hint="eastAsia" w:eastAsia="宋体"/>
          <w:sz w:val="21"/>
          <w:szCs w:val="21"/>
          <w:lang w:eastAsia="zh-CN"/>
        </w:rPr>
      </w:pPr>
      <w:bookmarkStart w:id="13" w:name="_Toc29838"/>
      <w:r>
        <w:rPr>
          <w:rFonts w:hint="eastAsia" w:ascii="宋体" w:hAnsi="宋体" w:eastAsia="宋体" w:cs="宋体"/>
          <w:sz w:val="21"/>
          <w:szCs w:val="21"/>
          <w:lang w:eastAsia="zh-CN"/>
        </w:rPr>
        <w:t>开启</w:t>
      </w:r>
      <w:bookmarkEnd w:id="13"/>
    </w:p>
    <w:p>
      <w:pPr>
        <w:numPr>
          <w:ilvl w:val="0"/>
          <w:numId w:val="0"/>
        </w:numPr>
        <w:spacing w:line="360" w:lineRule="auto"/>
        <w:ind w:leftChars="0" w:firstLine="420" w:firstLineChars="200"/>
        <w:jc w:val="left"/>
        <w:outlineLvl w:val="9"/>
        <w:rPr>
          <w:rFonts w:hint="eastAsia" w:eastAsia="宋体"/>
          <w:sz w:val="21"/>
          <w:szCs w:val="21"/>
          <w:lang w:eastAsia="zh-CN"/>
        </w:rPr>
      </w:pPr>
      <w:r>
        <w:rPr>
          <w:rFonts w:hint="eastAsia" w:ascii="宋体" w:hAnsi="宋体" w:eastAsia="宋体" w:cs="宋体"/>
          <w:sz w:val="21"/>
          <w:szCs w:val="21"/>
          <w:lang w:val="en-US" w:eastAsia="zh-CN"/>
        </w:rPr>
        <w:t>时间：</w:t>
      </w:r>
      <w:r>
        <w:rPr>
          <w:rFonts w:hint="eastAsia" w:asciiTheme="minorEastAsia" w:hAnsiTheme="minorEastAsia" w:eastAsiaTheme="minorEastAsia" w:cstheme="minorEastAsia"/>
          <w:sz w:val="21"/>
          <w:szCs w:val="21"/>
          <w:lang w:val="en-US" w:eastAsia="zh-CN"/>
        </w:rPr>
        <w:t>2020年11月9日14点30分</w:t>
      </w:r>
      <w:r>
        <w:rPr>
          <w:rFonts w:hint="eastAsia" w:ascii="宋体" w:hAnsi="宋体" w:eastAsia="宋体" w:cs="宋体"/>
          <w:sz w:val="21"/>
          <w:szCs w:val="21"/>
          <w:lang w:eastAsia="zh-CN"/>
        </w:rPr>
        <w:t>（北京时间）</w:t>
      </w:r>
    </w:p>
    <w:p>
      <w:pPr>
        <w:pStyle w:val="2"/>
        <w:numPr>
          <w:ilvl w:val="0"/>
          <w:numId w:val="6"/>
        </w:numPr>
        <w:spacing w:line="360" w:lineRule="auto"/>
        <w:jc w:val="left"/>
        <w:rPr>
          <w:rFonts w:hint="eastAsia" w:ascii="宋体" w:hAnsi="宋体" w:eastAsia="宋体" w:cs="宋体"/>
          <w:sz w:val="21"/>
          <w:szCs w:val="21"/>
        </w:rPr>
      </w:pPr>
      <w:bookmarkStart w:id="14" w:name="_Toc8718"/>
      <w:r>
        <w:rPr>
          <w:rFonts w:hint="eastAsia" w:ascii="宋体" w:hAnsi="宋体" w:eastAsia="宋体" w:cs="宋体"/>
          <w:sz w:val="21"/>
          <w:szCs w:val="21"/>
        </w:rPr>
        <w:t>公告期限</w:t>
      </w:r>
      <w:bookmarkEnd w:id="14"/>
    </w:p>
    <w:p>
      <w:pPr>
        <w:spacing w:line="360" w:lineRule="auto"/>
        <w:ind w:firstLine="420" w:firstLineChars="200"/>
        <w:jc w:val="left"/>
        <w:rPr>
          <w:rFonts w:hint="eastAsia" w:ascii="宋体" w:hAnsi="宋体" w:eastAsia="宋体" w:cs="宋体"/>
          <w:sz w:val="21"/>
          <w:szCs w:val="21"/>
          <w:lang w:eastAsia="zh-CN"/>
        </w:rPr>
      </w:pPr>
      <w:bookmarkStart w:id="15" w:name="_Toc334539188"/>
      <w:bookmarkStart w:id="16" w:name="_Toc320898024"/>
      <w:bookmarkStart w:id="17" w:name="_Toc259607751"/>
      <w:bookmarkStart w:id="18" w:name="_Toc6021"/>
      <w:bookmarkStart w:id="19" w:name="_Toc276368888"/>
      <w:bookmarkStart w:id="20" w:name="_Toc317262251"/>
      <w:r>
        <w:rPr>
          <w:rFonts w:hint="eastAsia" w:ascii="宋体" w:hAnsi="宋体" w:eastAsia="宋体" w:cs="宋体"/>
          <w:sz w:val="21"/>
          <w:szCs w:val="21"/>
          <w:lang w:val="en-US" w:eastAsia="zh-CN"/>
        </w:rPr>
        <w:t>自本公告发布之日起</w:t>
      </w:r>
      <w:r>
        <w:rPr>
          <w:rFonts w:hint="eastAsia" w:ascii="宋体" w:hAnsi="宋体" w:eastAsia="宋体" w:cs="宋体"/>
          <w:sz w:val="21"/>
          <w:szCs w:val="21"/>
          <w:lang w:eastAsia="zh-CN"/>
        </w:rPr>
        <w:t>至少</w:t>
      </w:r>
      <w:r>
        <w:rPr>
          <w:rFonts w:hint="eastAsia" w:ascii="宋体" w:hAnsi="宋体" w:eastAsia="宋体" w:cs="宋体"/>
          <w:sz w:val="21"/>
          <w:szCs w:val="21"/>
          <w:lang w:val="en-US" w:eastAsia="zh-CN"/>
        </w:rPr>
        <w:t>5个工作日</w:t>
      </w:r>
    </w:p>
    <w:bookmarkEnd w:id="15"/>
    <w:bookmarkEnd w:id="16"/>
    <w:bookmarkEnd w:id="17"/>
    <w:bookmarkEnd w:id="18"/>
    <w:bookmarkEnd w:id="19"/>
    <w:bookmarkEnd w:id="20"/>
    <w:p>
      <w:pPr>
        <w:pStyle w:val="2"/>
        <w:numPr>
          <w:ilvl w:val="0"/>
          <w:numId w:val="6"/>
        </w:numPr>
        <w:spacing w:line="360" w:lineRule="auto"/>
        <w:jc w:val="left"/>
        <w:rPr>
          <w:rFonts w:hint="eastAsia" w:ascii="宋体" w:hAnsi="宋体" w:eastAsia="宋体" w:cs="宋体"/>
          <w:sz w:val="21"/>
          <w:szCs w:val="21"/>
        </w:rPr>
      </w:pPr>
      <w:bookmarkStart w:id="21" w:name="_Toc19847"/>
      <w:r>
        <w:rPr>
          <w:rFonts w:hint="eastAsia" w:ascii="宋体" w:hAnsi="宋体" w:eastAsia="宋体" w:cs="宋体"/>
          <w:sz w:val="21"/>
          <w:szCs w:val="21"/>
        </w:rPr>
        <w:t>其他补充事宜</w:t>
      </w:r>
      <w:bookmarkEnd w:id="21"/>
    </w:p>
    <w:p>
      <w:pPr>
        <w:numPr>
          <w:ilvl w:val="0"/>
          <w:numId w:val="0"/>
        </w:numPr>
        <w:spacing w:line="360" w:lineRule="auto"/>
        <w:ind w:firstLine="420" w:firstLineChars="200"/>
        <w:jc w:val="left"/>
        <w:rPr>
          <w:rFonts w:hint="eastAsia" w:ascii="宋体" w:hAnsi="宋体" w:eastAsia="宋体" w:cs="宋体"/>
          <w:color w:val="auto"/>
          <w:sz w:val="21"/>
          <w:szCs w:val="21"/>
          <w:lang w:val="en-US" w:eastAsia="zh-CN"/>
        </w:rPr>
      </w:pPr>
      <w:bookmarkStart w:id="22" w:name="_Toc259028279"/>
      <w:r>
        <w:rPr>
          <w:rFonts w:hint="eastAsia" w:ascii="宋体" w:hAnsi="宋体" w:eastAsia="宋体" w:cs="宋体"/>
          <w:sz w:val="21"/>
          <w:szCs w:val="21"/>
          <w:lang w:val="en-US" w:eastAsia="zh-CN"/>
        </w:rPr>
        <w:t>1.本项目是否专门面向中小企业、监狱企业、残疾人福利</w:t>
      </w:r>
      <w:r>
        <w:rPr>
          <w:rFonts w:hint="eastAsia" w:ascii="宋体" w:hAnsi="宋体" w:eastAsia="宋体" w:cs="宋体"/>
          <w:color w:val="auto"/>
          <w:sz w:val="21"/>
          <w:szCs w:val="21"/>
          <w:lang w:val="en-US" w:eastAsia="zh-CN"/>
        </w:rPr>
        <w:t>性单位：否</w:t>
      </w:r>
    </w:p>
    <w:p>
      <w:pPr>
        <w:numPr>
          <w:ilvl w:val="0"/>
          <w:numId w:val="0"/>
        </w:num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spacing w:line="360" w:lineRule="auto"/>
        <w:jc w:val="left"/>
        <w:rPr>
          <w:rFonts w:hint="eastAsia" w:ascii="宋体" w:hAnsi="宋体" w:cs="宋体"/>
          <w:sz w:val="21"/>
          <w:szCs w:val="21"/>
        </w:rPr>
      </w:pPr>
      <w:r>
        <w:rPr>
          <w:rFonts w:hint="eastAsia" w:ascii="宋体" w:hAnsi="宋体" w:eastAsia="宋体" w:cs="宋体"/>
          <w:sz w:val="21"/>
          <w:szCs w:val="21"/>
          <w:lang w:val="en-US" w:eastAsia="zh-CN"/>
        </w:rPr>
        <w:t>3.供应商如需查询技术要求可直接到我处查阅采购文件第三章相关内容。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4.本项目将在以下网站发布所有信息，请参加本项目竞标的供应商密切关注。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w:t>
      </w:r>
      <w:r>
        <w:rPr>
          <w:rFonts w:hint="eastAsia" w:ascii="宋体" w:hAnsi="宋体" w:cs="宋体"/>
          <w:sz w:val="21"/>
          <w:szCs w:val="21"/>
        </w:rPr>
        <w:t>（一）《中经国际招标集团有限公司官网》（网址：http://www.ceitcl.com/）</w:t>
      </w:r>
    </w:p>
    <w:p>
      <w:pPr>
        <w:spacing w:line="360" w:lineRule="auto"/>
        <w:jc w:val="left"/>
        <w:rPr>
          <w:rFonts w:hint="eastAsia" w:ascii="宋体" w:hAnsi="宋体" w:eastAsia="宋体" w:cs="宋体"/>
          <w:b/>
          <w:bCs/>
          <w:kern w:val="2"/>
          <w:sz w:val="21"/>
          <w:szCs w:val="21"/>
          <w:lang w:val="en-US" w:eastAsia="zh-CN" w:bidi="ar-SA"/>
        </w:rPr>
      </w:pPr>
    </w:p>
    <w:bookmarkEnd w:id="22"/>
    <w:p>
      <w:pPr>
        <w:pStyle w:val="2"/>
        <w:numPr>
          <w:ilvl w:val="0"/>
          <w:numId w:val="6"/>
        </w:numPr>
        <w:spacing w:line="360" w:lineRule="auto"/>
        <w:jc w:val="left"/>
        <w:rPr>
          <w:rFonts w:hint="eastAsia" w:ascii="宋体" w:hAnsi="宋体" w:eastAsia="宋体" w:cs="宋体"/>
          <w:sz w:val="21"/>
          <w:szCs w:val="21"/>
        </w:rPr>
      </w:pPr>
      <w:bookmarkStart w:id="23" w:name="_Toc2590"/>
      <w:r>
        <w:rPr>
          <w:rFonts w:hint="eastAsia" w:ascii="宋体" w:hAnsi="宋体" w:eastAsia="宋体" w:cs="宋体"/>
          <w:sz w:val="21"/>
          <w:szCs w:val="21"/>
        </w:rPr>
        <w:t>凡对本次采购提出询问，请按以下方式联系</w:t>
      </w:r>
      <w:bookmarkEnd w:id="23"/>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1.采购</w:t>
      </w:r>
      <w:r>
        <w:rPr>
          <w:rFonts w:hint="eastAsia" w:ascii="宋体" w:hAnsi="宋体" w:eastAsia="宋体" w:cs="宋体"/>
          <w:color w:val="auto"/>
          <w:sz w:val="21"/>
          <w:szCs w:val="21"/>
          <w:lang w:eastAsia="zh-CN"/>
        </w:rPr>
        <w:t>人信息</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名 称：武汉临空港经济开发区综合保税物流产业建设管理办公室　　　　　　　　　　　　</w:t>
      </w:r>
    </w:p>
    <w:p>
      <w:pPr>
        <w:spacing w:line="360" w:lineRule="auto"/>
        <w:ind w:firstLine="420" w:firstLineChars="200"/>
        <w:jc w:val="left"/>
        <w:outlineLvl w:val="9"/>
        <w:rPr>
          <w:rFonts w:hint="eastAsia" w:ascii="宋体" w:hAnsi="宋体" w:eastAsia="宋体" w:cs="宋体"/>
          <w:color w:val="FF0000"/>
          <w:sz w:val="21"/>
          <w:szCs w:val="21"/>
          <w:lang w:eastAsia="zh-CN"/>
        </w:rPr>
      </w:pPr>
      <w:r>
        <w:rPr>
          <w:rFonts w:hint="eastAsia" w:ascii="宋体" w:hAnsi="宋体" w:eastAsia="宋体" w:cs="宋体"/>
          <w:color w:val="auto"/>
          <w:sz w:val="21"/>
          <w:szCs w:val="21"/>
          <w:lang w:eastAsia="zh-CN"/>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址：武汉市东西湖保税物流中心</w:t>
      </w:r>
      <w:r>
        <w:rPr>
          <w:rFonts w:hint="eastAsia" w:ascii="宋体" w:hAnsi="宋体" w:eastAsia="宋体" w:cs="宋体"/>
          <w:color w:val="FF0000"/>
          <w:sz w:val="21"/>
          <w:szCs w:val="21"/>
          <w:lang w:eastAsia="zh-CN"/>
        </w:rPr>
        <w:t>　　　　　　　　　　　　</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联系方式：13476000886　　　　　　　　　　　 </w:t>
      </w:r>
    </w:p>
    <w:p>
      <w:pPr>
        <w:spacing w:line="360" w:lineRule="auto"/>
        <w:ind w:firstLine="420" w:firstLineChars="200"/>
        <w:jc w:val="left"/>
        <w:outlineLvl w:val="9"/>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2.采购代理机</w:t>
      </w:r>
      <w:r>
        <w:rPr>
          <w:rFonts w:hint="eastAsia" w:ascii="宋体" w:hAnsi="宋体" w:eastAsia="宋体" w:cs="宋体"/>
          <w:sz w:val="21"/>
          <w:szCs w:val="21"/>
          <w:lang w:eastAsia="zh-CN"/>
        </w:rPr>
        <w:t>构信息</w:t>
      </w:r>
    </w:p>
    <w:p>
      <w:pPr>
        <w:spacing w:line="360" w:lineRule="auto"/>
        <w:ind w:firstLine="420" w:firstLineChars="200"/>
        <w:jc w:val="lef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称：中经国际招标集团有限公司　　　　　　　　　　　　</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地　址：武</w:t>
      </w:r>
      <w:r>
        <w:rPr>
          <w:rFonts w:hint="eastAsia" w:ascii="宋体" w:hAnsi="宋体" w:eastAsia="宋体" w:cs="宋体"/>
          <w:color w:val="auto"/>
          <w:sz w:val="21"/>
          <w:szCs w:val="21"/>
          <w:lang w:eastAsia="zh-CN"/>
        </w:rPr>
        <w:t>昌区中北路岳家嘴立交山河企业大厦</w:t>
      </w:r>
      <w:r>
        <w:rPr>
          <w:rFonts w:hint="eastAsia" w:ascii="宋体" w:hAnsi="宋体" w:eastAsia="宋体" w:cs="宋体"/>
          <w:color w:val="auto"/>
          <w:sz w:val="21"/>
          <w:szCs w:val="21"/>
          <w:lang w:val="en-US" w:eastAsia="zh-CN"/>
        </w:rPr>
        <w:t>48楼4805、</w:t>
      </w:r>
      <w:r>
        <w:rPr>
          <w:rFonts w:hint="eastAsia" w:ascii="宋体" w:hAnsi="宋体" w:eastAsia="宋体" w:cs="宋体"/>
          <w:color w:val="auto"/>
          <w:sz w:val="21"/>
          <w:szCs w:val="21"/>
          <w:lang w:eastAsia="zh-CN"/>
        </w:rPr>
        <w:t>4806室　　　　　　　　　　　　</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联系方式：</w:t>
      </w:r>
      <w:r>
        <w:rPr>
          <w:rFonts w:hint="eastAsia" w:ascii="宋体" w:hAnsi="宋体" w:eastAsia="宋体" w:cs="宋体"/>
          <w:color w:val="auto"/>
          <w:sz w:val="21"/>
          <w:szCs w:val="21"/>
          <w:lang w:val="en-US" w:eastAsia="zh-CN"/>
        </w:rPr>
        <w:t>027-87820788</w:t>
      </w:r>
      <w:r>
        <w:rPr>
          <w:rFonts w:hint="eastAsia" w:ascii="宋体" w:hAnsi="宋体" w:eastAsia="宋体" w:cs="宋体"/>
          <w:color w:val="auto"/>
          <w:sz w:val="21"/>
          <w:szCs w:val="21"/>
          <w:lang w:eastAsia="zh-CN"/>
        </w:rPr>
        <w:t>　　　　　　　　　　　　</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3.项目联系方式</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项目联系人：张梦、</w:t>
      </w:r>
      <w:r>
        <w:rPr>
          <w:rFonts w:hint="eastAsia" w:ascii="宋体" w:hAnsi="宋体" w:cs="宋体"/>
          <w:color w:val="auto"/>
          <w:sz w:val="21"/>
          <w:szCs w:val="21"/>
          <w:lang w:eastAsia="zh-CN"/>
        </w:rPr>
        <w:t>方雪菲、吴妍</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宋体" w:hAnsi="宋体" w:eastAsia="宋体" w:cs="宋体"/>
          <w:color w:val="auto"/>
          <w:sz w:val="21"/>
          <w:szCs w:val="21"/>
          <w:lang w:eastAsia="zh-CN"/>
        </w:rPr>
        <w:t>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话：</w:t>
      </w:r>
      <w:r>
        <w:rPr>
          <w:rFonts w:hint="eastAsia" w:ascii="宋体" w:hAnsi="宋体" w:eastAsia="宋体" w:cs="宋体"/>
          <w:color w:val="auto"/>
          <w:sz w:val="21"/>
          <w:szCs w:val="21"/>
          <w:lang w:val="en-US" w:eastAsia="zh-CN"/>
        </w:rPr>
        <w:t>027-87820788</w:t>
      </w:r>
      <w:r>
        <w:rPr>
          <w:rFonts w:hint="eastAsia" w:ascii="宋体" w:hAnsi="宋体" w:eastAsia="宋体" w:cs="宋体"/>
          <w:color w:val="auto"/>
          <w:sz w:val="21"/>
          <w:szCs w:val="21"/>
          <w:lang w:eastAsia="zh-CN"/>
        </w:rPr>
        <w:t>　　</w:t>
      </w:r>
    </w:p>
    <w:p>
      <w:pPr>
        <w:pStyle w:val="2"/>
        <w:numPr>
          <w:ilvl w:val="0"/>
          <w:numId w:val="6"/>
        </w:num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bookmarkStart w:id="24" w:name="_Toc24714"/>
      <w:bookmarkStart w:id="25" w:name="_Toc18050"/>
      <w:r>
        <w:rPr>
          <w:rFonts w:hint="eastAsia" w:asciiTheme="minorEastAsia" w:hAnsiTheme="minorEastAsia" w:eastAsiaTheme="minorEastAsia" w:cstheme="minorEastAsia"/>
          <w:color w:val="auto"/>
          <w:sz w:val="21"/>
          <w:szCs w:val="21"/>
        </w:rPr>
        <w:t>注意事项</w:t>
      </w:r>
      <w:bookmarkEnd w:id="24"/>
      <w:bookmarkEnd w:id="25"/>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1、供应商在获取本项目竞争性磋商文件前须仔细阅读资格要求内容，并按磋商文件规定要求在响应文件中递交合格有效的资格证明文件，资格审查不合格将导致竞标失败。</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供应商对自己所提供的资格证明材料的真实性负责，无论何时，如发现供应商提供虚假的材料，将按照《中华人民共和国政府采购法》及本项目竞争性磋商文件的有关规定进行严肃处理，并在相关网站上进行通报。</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请供应商仔细阅读本磋商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关于本项目磋商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spacing w:line="360" w:lineRule="auto"/>
        <w:rPr>
          <w:rFonts w:hint="eastAsia" w:asciiTheme="minorEastAsia" w:hAnsiTheme="minorEastAsia" w:eastAsiaTheme="minorEastAsia" w:cstheme="minorEastAsia"/>
        </w:rPr>
      </w:pP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中经国际招标集团有限公司</w:t>
      </w:r>
    </w:p>
    <w:p>
      <w:pPr>
        <w:spacing w:line="360" w:lineRule="auto"/>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30</w:t>
      </w:r>
      <w:r>
        <w:rPr>
          <w:rFonts w:hint="eastAsia" w:asciiTheme="minorEastAsia" w:hAnsiTheme="minorEastAsia" w:eastAsiaTheme="minorEastAsia" w:cstheme="minorEastAsia"/>
          <w:szCs w:val="21"/>
        </w:rPr>
        <w:t>日</w:t>
      </w:r>
    </w:p>
    <w:p>
      <w:pPr>
        <w:pStyle w:val="20"/>
        <w:rPr>
          <w:rFonts w:hint="eastAsia" w:asciiTheme="minorEastAsia" w:hAnsiTheme="minorEastAsia" w:eastAsiaTheme="minorEastAsia" w:cstheme="minorEastAsia"/>
        </w:rPr>
      </w:pPr>
    </w:p>
    <w:p>
      <w:pPr>
        <w:numPr>
          <w:ilvl w:val="0"/>
          <w:numId w:val="4"/>
        </w:numPr>
        <w:jc w:val="center"/>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hint="eastAsia" w:asciiTheme="minorEastAsia" w:hAnsiTheme="minorEastAsia" w:eastAsiaTheme="minorEastAsia" w:cstheme="minorEastAsia"/>
          <w:sz w:val="32"/>
          <w:szCs w:val="32"/>
        </w:rPr>
      </w:pPr>
      <w:bookmarkStart w:id="26" w:name="_Toc27978"/>
      <w:r>
        <w:rPr>
          <w:rFonts w:hint="eastAsia" w:asciiTheme="minorEastAsia" w:hAnsiTheme="minorEastAsia" w:eastAsiaTheme="minorEastAsia" w:cstheme="minorEastAsia"/>
          <w:sz w:val="36"/>
          <w:szCs w:val="36"/>
        </w:rPr>
        <w:t>供应商须知</w:t>
      </w:r>
      <w:bookmarkEnd w:id="26"/>
    </w:p>
    <w:p>
      <w:pPr>
        <w:autoSpaceDE w:val="0"/>
        <w:autoSpaceDN w:val="0"/>
        <w:adjustRightInd w:val="0"/>
        <w:spacing w:line="360" w:lineRule="auto"/>
        <w:jc w:val="center"/>
        <w:outlineLvl w:val="1"/>
        <w:rPr>
          <w:rFonts w:hint="eastAsia" w:asciiTheme="minorEastAsia" w:hAnsiTheme="minorEastAsia" w:eastAsiaTheme="minorEastAsia" w:cstheme="minorEastAsia"/>
          <w:b/>
          <w:szCs w:val="21"/>
          <w:lang w:val="zh-CN"/>
        </w:rPr>
      </w:pPr>
      <w:bookmarkStart w:id="27" w:name="_Toc3532"/>
      <w:r>
        <w:rPr>
          <w:rFonts w:hint="eastAsia" w:asciiTheme="minorEastAsia" w:hAnsiTheme="minorEastAsia" w:eastAsiaTheme="minorEastAsia" w:cstheme="minorEastAsia"/>
          <w:b/>
          <w:szCs w:val="21"/>
        </w:rPr>
        <w:t>《供应商须知前附表》</w:t>
      </w:r>
      <w:bookmarkEnd w:id="27"/>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磋商供应商应仔细阅读竞争性磋商采购文件的第二章“供应商须知”，下面所列资料是对“供应商须知”的具体补充和说明。</w:t>
      </w:r>
      <w:r>
        <w:rPr>
          <w:rFonts w:hint="eastAsia" w:asciiTheme="minorEastAsia" w:hAnsiTheme="minorEastAsia" w:eastAsiaTheme="minorEastAsia" w:cstheme="minorEastAsia"/>
          <w:szCs w:val="21"/>
          <w:lang w:val="zh-CN"/>
        </w:rPr>
        <w:t>如有矛盾，应以本表为准。</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4"/>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814"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条款号</w:t>
            </w:r>
          </w:p>
        </w:tc>
        <w:tc>
          <w:tcPr>
            <w:tcW w:w="2127"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条款名称</w:t>
            </w:r>
          </w:p>
        </w:tc>
        <w:tc>
          <w:tcPr>
            <w:tcW w:w="6130"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2.1</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采购人</w:t>
            </w:r>
          </w:p>
        </w:tc>
        <w:tc>
          <w:tcPr>
            <w:tcW w:w="6130" w:type="dxa"/>
            <w:vAlign w:val="center"/>
          </w:tcPr>
          <w:p>
            <w:pPr>
              <w:spacing w:line="240" w:lineRule="auto"/>
              <w:jc w:val="left"/>
              <w:rPr>
                <w:rFonts w:hint="eastAsia" w:asciiTheme="minorEastAsia" w:hAnsiTheme="minorEastAsia" w:eastAsiaTheme="minorEastAsia" w:cstheme="minorEastAsia"/>
                <w:color w:val="FF0000"/>
                <w:sz w:val="21"/>
                <w:szCs w:val="21"/>
                <w:lang w:val="zh-CN"/>
              </w:rPr>
            </w:pPr>
            <w:r>
              <w:rPr>
                <w:rFonts w:hint="eastAsia" w:ascii="宋体" w:hAnsi="宋体" w:eastAsia="宋体" w:cs="宋体"/>
                <w:color w:val="auto"/>
                <w:sz w:val="21"/>
                <w:szCs w:val="21"/>
                <w:lang w:eastAsia="zh-CN"/>
              </w:rPr>
              <w:t>武汉临空港经济开发区综合保税物流产业建设管理办公室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2127" w:type="dxa"/>
            <w:vAlign w:val="center"/>
          </w:tcPr>
          <w:p>
            <w:pPr>
              <w:pStyle w:val="24"/>
              <w:widowControl w:val="0"/>
              <w:autoSpaceDE w:val="0"/>
              <w:autoSpaceDN w:val="0"/>
              <w:adjustRightInd w:val="0"/>
              <w:spacing w:before="0" w:beforeAutospacing="0" w:after="0" w:afterAutospacing="0" w:line="240" w:lineRule="auto"/>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监管部门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FF0000"/>
                <w:sz w:val="21"/>
                <w:szCs w:val="21"/>
                <w:lang w:val="zh-CN"/>
              </w:rPr>
            </w:pPr>
            <w:r>
              <w:rPr>
                <w:rFonts w:hint="eastAsia" w:ascii="宋体" w:hAnsi="宋体" w:eastAsia="宋体" w:cs="宋体"/>
                <w:color w:val="auto"/>
                <w:sz w:val="21"/>
                <w:szCs w:val="21"/>
                <w:lang w:eastAsia="zh-CN"/>
              </w:rPr>
              <w:t>武汉临空港经济开发区综合保税物流产业建设管理办公室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采购代理机构</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left"/>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2.5</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磋商供应商</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sz w:val="21"/>
                <w:szCs w:val="21"/>
                <w:lang w:val="zh-CN"/>
              </w:rPr>
              <w:t>详见</w:t>
            </w:r>
            <w:r>
              <w:rPr>
                <w:rFonts w:hint="eastAsia" w:asciiTheme="minorEastAsia" w:hAnsiTheme="minorEastAsia" w:eastAsiaTheme="minorEastAsia" w:cstheme="minorEastAsia"/>
                <w:sz w:val="21"/>
                <w:szCs w:val="21"/>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4.2</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rPr>
              <w:t>招标代理服务费</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根据国家发展与改革委员会办公厅发改办价格【2003】857号文的规定，经与</w:t>
            </w:r>
            <w:r>
              <w:rPr>
                <w:rFonts w:hint="eastAsia" w:asciiTheme="minorEastAsia" w:hAnsiTheme="minorEastAsia" w:eastAsiaTheme="minorEastAsia" w:cstheme="minorEastAsia"/>
                <w:color w:val="auto"/>
                <w:sz w:val="21"/>
                <w:szCs w:val="21"/>
                <w:lang w:eastAsia="zh-CN"/>
              </w:rPr>
              <w:t>采购人</w:t>
            </w:r>
            <w:r>
              <w:rPr>
                <w:rFonts w:hint="eastAsia" w:asciiTheme="minorEastAsia" w:hAnsiTheme="minorEastAsia" w:eastAsiaTheme="minorEastAsia" w:cstheme="minorEastAsia"/>
                <w:color w:val="auto"/>
                <w:sz w:val="21"/>
                <w:szCs w:val="21"/>
              </w:rPr>
              <w:t>协商，由</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按国家发展计划委员会计价格【2002】1980号文规定</w:t>
            </w:r>
            <w:r>
              <w:rPr>
                <w:rFonts w:hint="eastAsia" w:asciiTheme="minorEastAsia" w:hAnsiTheme="minorEastAsia" w:eastAsiaTheme="minorEastAsia" w:cstheme="minorEastAsia"/>
                <w:color w:val="auto"/>
                <w:sz w:val="21"/>
                <w:szCs w:val="21"/>
                <w:lang w:eastAsia="zh-CN"/>
              </w:rPr>
              <w:t>的</w:t>
            </w:r>
            <w:r>
              <w:rPr>
                <w:rFonts w:hint="eastAsia" w:asciiTheme="minorEastAsia" w:hAnsiTheme="minorEastAsia" w:eastAsiaTheme="minorEastAsia" w:cstheme="minorEastAsia"/>
                <w:color w:val="auto"/>
                <w:sz w:val="21"/>
                <w:szCs w:val="21"/>
              </w:rPr>
              <w:t>取费标准向采购代理机构支付招标代理服务费。招标代理服务费由</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在领取成交通知书的同时，向采购代理机构支付。</w:t>
            </w:r>
            <w:r>
              <w:rPr>
                <w:rFonts w:hint="eastAsia" w:asciiTheme="minorEastAsia" w:hAnsiTheme="minorEastAsia" w:eastAsiaTheme="minorEastAsia" w:cstheme="minorEastAsia"/>
                <w:color w:val="auto"/>
                <w:sz w:val="21"/>
                <w:szCs w:val="21"/>
                <w:lang w:eastAsia="zh-CN"/>
              </w:rPr>
              <w:t>详见成交公告。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6.2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napToGrid w:val="0"/>
                <w:kern w:val="0"/>
                <w:sz w:val="21"/>
                <w:szCs w:val="21"/>
                <w:lang w:val="zh-CN"/>
              </w:rPr>
              <w:t>提疑截止时间</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en-US" w:eastAsia="zh-CN"/>
              </w:rPr>
              <w:t>供应商</w:t>
            </w:r>
            <w:r>
              <w:rPr>
                <w:rFonts w:hint="eastAsia" w:asciiTheme="minorEastAsia" w:hAnsiTheme="minorEastAsia" w:eastAsiaTheme="minorEastAsia" w:cstheme="minorEastAsia"/>
                <w:b w:val="0"/>
                <w:bCs w:val="0"/>
                <w:sz w:val="21"/>
                <w:szCs w:val="21"/>
                <w:lang w:val="zh-CN"/>
              </w:rPr>
              <w:t>对</w:t>
            </w:r>
            <w:r>
              <w:rPr>
                <w:rFonts w:hint="eastAsia" w:asciiTheme="minorEastAsia" w:hAnsiTheme="minorEastAsia" w:eastAsiaTheme="minorEastAsia" w:cstheme="minorEastAsia"/>
                <w:b w:val="0"/>
                <w:bCs w:val="0"/>
                <w:sz w:val="21"/>
                <w:szCs w:val="21"/>
                <w:lang w:val="en-US" w:eastAsia="zh-CN"/>
              </w:rPr>
              <w:t>磋商</w:t>
            </w:r>
            <w:r>
              <w:rPr>
                <w:rFonts w:hint="eastAsia" w:asciiTheme="minorEastAsia" w:hAnsiTheme="minorEastAsia" w:eastAsiaTheme="minorEastAsia" w:cstheme="minorEastAsia"/>
                <w:b w:val="0"/>
                <w:bCs w:val="0"/>
                <w:sz w:val="21"/>
                <w:szCs w:val="21"/>
                <w:lang w:val="zh-CN"/>
              </w:rPr>
              <w:t>文件有异议</w:t>
            </w:r>
            <w:r>
              <w:rPr>
                <w:rFonts w:hint="eastAsia" w:asciiTheme="minorEastAsia" w:hAnsiTheme="minorEastAsia" w:eastAsiaTheme="minorEastAsia" w:cstheme="minorEastAsia"/>
                <w:b w:val="0"/>
                <w:bCs w:val="0"/>
                <w:sz w:val="21"/>
                <w:szCs w:val="21"/>
                <w:lang w:val="en-US" w:eastAsia="zh-CN"/>
              </w:rPr>
              <w:t>或疑问</w:t>
            </w:r>
            <w:r>
              <w:rPr>
                <w:rFonts w:hint="eastAsia" w:asciiTheme="minorEastAsia" w:hAnsiTheme="minorEastAsia" w:eastAsiaTheme="minorEastAsia" w:cstheme="minorEastAsia"/>
                <w:b w:val="0"/>
                <w:bCs w:val="0"/>
                <w:sz w:val="21"/>
                <w:szCs w:val="21"/>
                <w:lang w:val="zh-CN"/>
              </w:rPr>
              <w:t>的，均应以书面形式在</w:t>
            </w:r>
          </w:p>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2020年</w:t>
            </w:r>
            <w:r>
              <w:rPr>
                <w:rFonts w:hint="eastAsia" w:asciiTheme="minorEastAsia" w:hAnsiTheme="minorEastAsia" w:eastAsiaTheme="minorEastAsia" w:cstheme="minorEastAsia"/>
                <w:b w:val="0"/>
                <w:bCs w:val="0"/>
                <w:sz w:val="21"/>
                <w:szCs w:val="21"/>
                <w:lang w:val="en-US" w:eastAsia="zh-CN"/>
              </w:rPr>
              <w:t>11</w:t>
            </w:r>
            <w:r>
              <w:rPr>
                <w:rFonts w:hint="eastAsia" w:asciiTheme="minorEastAsia" w:hAnsiTheme="minorEastAsia" w:eastAsiaTheme="minorEastAsia" w:cstheme="minorEastAsia"/>
                <w:b w:val="0"/>
                <w:bCs w:val="0"/>
                <w:sz w:val="21"/>
                <w:szCs w:val="21"/>
                <w:lang w:val="zh-CN"/>
              </w:rPr>
              <w:t>月</w:t>
            </w:r>
            <w:r>
              <w:rPr>
                <w:rFonts w:hint="eastAsia" w:asciiTheme="minorEastAsia" w:hAnsiTheme="minorEastAsia" w:eastAsiaTheme="minorEastAsia" w:cstheme="minorEastAsia"/>
                <w:b w:val="0"/>
                <w:bCs w:val="0"/>
                <w:sz w:val="21"/>
                <w:szCs w:val="21"/>
                <w:lang w:val="en-US" w:eastAsia="zh-CN"/>
              </w:rPr>
              <w:t>9</w:t>
            </w:r>
            <w:r>
              <w:rPr>
                <w:rFonts w:hint="eastAsia" w:asciiTheme="minorEastAsia" w:hAnsiTheme="minorEastAsia" w:eastAsiaTheme="minorEastAsia" w:cstheme="minorEastAsia"/>
                <w:b w:val="0"/>
                <w:bCs w:val="0"/>
                <w:sz w:val="21"/>
                <w:szCs w:val="21"/>
                <w:lang w:val="zh-CN"/>
              </w:rPr>
              <w:t>日</w:t>
            </w:r>
            <w:r>
              <w:rPr>
                <w:rFonts w:hint="eastAsia" w:asciiTheme="minorEastAsia" w:hAnsiTheme="minorEastAsia" w:eastAsiaTheme="minorEastAsia" w:cstheme="minorEastAsia"/>
                <w:b w:val="0"/>
                <w:bCs w:val="0"/>
                <w:sz w:val="21"/>
                <w:szCs w:val="21"/>
                <w:lang w:val="en-US" w:eastAsia="zh-CN"/>
              </w:rPr>
              <w:t>12</w:t>
            </w:r>
            <w:r>
              <w:rPr>
                <w:rFonts w:hint="eastAsia" w:asciiTheme="minorEastAsia" w:hAnsiTheme="minorEastAsia" w:eastAsiaTheme="minorEastAsia" w:cstheme="minorEastAsia"/>
                <w:b w:val="0"/>
                <w:bCs w:val="0"/>
                <w:sz w:val="21"/>
                <w:szCs w:val="21"/>
                <w:lang w:val="zh-CN"/>
              </w:rPr>
              <w:t>:</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lang w:val="zh-CN"/>
              </w:rPr>
              <w:t>0时前（北京时间），通知采购代理机构。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7.1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供应商确认收到磋商</w:t>
            </w:r>
          </w:p>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文件澄清或者修改的</w:t>
            </w:r>
          </w:p>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时间</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对多</w:t>
            </w:r>
            <w:r>
              <w:rPr>
                <w:rFonts w:hint="eastAsia" w:asciiTheme="minorEastAsia" w:hAnsiTheme="minorEastAsia" w:eastAsiaTheme="minorEastAsia" w:cstheme="minorEastAsia"/>
                <w:snapToGrid w:val="0"/>
                <w:kern w:val="0"/>
                <w:sz w:val="21"/>
                <w:szCs w:val="21"/>
                <w:lang w:val="en-US" w:eastAsia="zh-CN"/>
              </w:rPr>
              <w:t>包</w:t>
            </w:r>
            <w:r>
              <w:rPr>
                <w:rFonts w:hint="eastAsia" w:asciiTheme="minorEastAsia" w:hAnsiTheme="minorEastAsia" w:eastAsiaTheme="minorEastAsia" w:cstheme="minorEastAsia"/>
                <w:snapToGrid w:val="0"/>
                <w:kern w:val="0"/>
                <w:sz w:val="21"/>
                <w:szCs w:val="21"/>
                <w:lang w:val="zh-CN"/>
              </w:rPr>
              <w:t>采购的规定</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详见</w:t>
            </w:r>
            <w:r>
              <w:rPr>
                <w:rFonts w:hint="eastAsia" w:asciiTheme="minorEastAsia" w:hAnsiTheme="minorEastAsia" w:eastAsiaTheme="minorEastAsia" w:cstheme="minorEastAsia"/>
                <w:sz w:val="21"/>
                <w:szCs w:val="21"/>
                <w:lang w:val="en-US" w:eastAsia="zh-CN"/>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12.1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备选方案</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本次采购  </w:t>
            </w:r>
            <w:r>
              <w:rPr>
                <w:rFonts w:hint="eastAsia" w:asciiTheme="minorEastAsia" w:hAnsiTheme="minorEastAsia" w:eastAsiaTheme="minorEastAsia" w:cstheme="minorEastAsia"/>
                <w:sz w:val="21"/>
                <w:szCs w:val="21"/>
                <w:u w:val="single"/>
                <w:lang w:val="zh-CN"/>
              </w:rPr>
              <w:t>不接受</w:t>
            </w:r>
            <w:r>
              <w:rPr>
                <w:rFonts w:hint="eastAsia" w:asciiTheme="minorEastAsia" w:hAnsiTheme="minorEastAsia" w:eastAsiaTheme="minorEastAsia" w:cstheme="minorEastAsia"/>
                <w:sz w:val="21"/>
                <w:szCs w:val="21"/>
                <w:lang w:val="zh-CN"/>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联合体磋商</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本次采购  </w:t>
            </w:r>
            <w:r>
              <w:rPr>
                <w:rFonts w:hint="eastAsia" w:asciiTheme="minorEastAsia" w:hAnsiTheme="minorEastAsia" w:eastAsiaTheme="minorEastAsia" w:cstheme="minorEastAsia"/>
                <w:color w:val="auto"/>
                <w:sz w:val="21"/>
                <w:szCs w:val="21"/>
                <w:u w:val="single"/>
                <w:lang w:val="zh-CN"/>
              </w:rPr>
              <w:t>不接受</w:t>
            </w:r>
            <w:r>
              <w:rPr>
                <w:rFonts w:hint="eastAsia" w:asciiTheme="minorEastAsia" w:hAnsiTheme="minorEastAsia" w:eastAsiaTheme="minorEastAsia" w:cstheme="minorEastAsia"/>
                <w:color w:val="auto"/>
                <w:sz w:val="21"/>
                <w:szCs w:val="21"/>
                <w:lang w:val="zh-CN"/>
              </w:rPr>
              <w:t xml:space="preserve"> 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bCs/>
                <w:sz w:val="21"/>
                <w:szCs w:val="21"/>
                <w:lang w:val="zh-CN"/>
              </w:rPr>
              <w:t>应提交的其它资格证明文件（实质性要求）</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详见第一章《</w:t>
            </w:r>
            <w:r>
              <w:rPr>
                <w:rFonts w:hint="eastAsia" w:asciiTheme="minorEastAsia" w:hAnsiTheme="minorEastAsia" w:eastAsiaTheme="minorEastAsia" w:cstheme="minorEastAsia"/>
                <w:color w:val="auto"/>
                <w:sz w:val="21"/>
                <w:szCs w:val="21"/>
                <w:lang w:val="en-US" w:eastAsia="zh-CN"/>
              </w:rPr>
              <w:t>竞争性磋商</w:t>
            </w:r>
            <w:r>
              <w:rPr>
                <w:rFonts w:hint="eastAsia" w:asciiTheme="minorEastAsia" w:hAnsiTheme="minorEastAsia" w:eastAsiaTheme="minorEastAsia" w:cstheme="minorEastAsia"/>
                <w:color w:val="auto"/>
                <w:sz w:val="21"/>
                <w:szCs w:val="21"/>
                <w:lang w:val="zh-CN"/>
              </w:rPr>
              <w:t>公告》第二款“资格要求”，须提供的证明文件包括但不限于：</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1、具有独立承担民事责任的能力（经营范围需满足采购需求）；</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营业执照等证明文件或自然人的身份证明（如供应商是企业 （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2、具有良好的商业信誉和健全的财务会计制度；</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良好的商业信誉证明材料（自拟），财务会计制度指财务状况报告（供应商是法人的，应提供前一年度经审计的财务报告，或其基本开户银行出具的资信证明（银行资信证明应能说明该供应商与银行之间业务往来正常，企业信誉良好等。银行出具的单纯的存款证明不能视作银行资信证明。下同），其他组织和自然人，没有经审计的财务报告，提供银行出具的资信证明。由财政部门认可的政府采购专业担保机构对供应商进行资信审查后出具投标担保函的，可以不用提供经审计的财务报告和银行资信证明文件。）</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3、具有履行合同所必需的设备和专业技术能力的证明材料；（自拟）</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4、具有依法缴纳税收和社会保障资金的良好记录：（1）供应商依法缴纳税收的证明材料：投标截止时间往前推算连续六个月（至少三个月）缴纳税收的凭据（完税证明、缴款书、银行代扣（代缴）转账凭证等均可）；（2）供应商依法缴纳社会保障资金的证明材料：投标截止时间往前推算连续六个月（至少三个月）缴纳社会保险的凭据（专用发票或社会保险缴纳清单）；（3）供应商为其他组织或自然人的，也需要按此项规定提供缴纳税收的凭据和缴纳社会保险的凭据；（4）递交投标文件截止时间当月成立但因税务机关原因导致其尚未依法缴纳税收的供应商，提供依法缴纳税收承诺书原件（格式自拟），该承诺书视同税收缴纳凭据。（5）递交投标文件截止时间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缴纳社会保障资金。</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5、参加政府采购活动前三年内，在经营活动中没有重大违法记录；（提供书面声明）（重大违法记录是指供应商因违法经营受到刑事处罚或者责令停产停业、吊销许可证或者执照、较大数额罚款等行政处罚）</w:t>
            </w:r>
          </w:p>
          <w:p>
            <w:pPr>
              <w:autoSpaceDE w:val="0"/>
              <w:autoSpaceDN w:val="0"/>
              <w:adjustRightInd w:val="0"/>
              <w:spacing w:line="240" w:lineRule="auto"/>
              <w:jc w:val="left"/>
              <w:rPr>
                <w:rFonts w:hint="eastAsia" w:asciiTheme="minorEastAsia" w:hAnsiTheme="minorEastAsia" w:eastAsiaTheme="minorEastAsia" w:cstheme="minorEastAsia"/>
                <w:b/>
                <w:bCs/>
                <w:color w:val="auto"/>
                <w:sz w:val="21"/>
                <w:szCs w:val="21"/>
                <w:lang w:val="zh-CN"/>
              </w:rPr>
            </w:pPr>
            <w:r>
              <w:rPr>
                <w:rFonts w:hint="eastAsia" w:asciiTheme="minorEastAsia" w:hAnsiTheme="minorEastAsia" w:eastAsiaTheme="minorEastAsia" w:cstheme="minorEastAsia"/>
                <w:b/>
                <w:bCs/>
                <w:color w:val="auto"/>
                <w:sz w:val="21"/>
                <w:szCs w:val="21"/>
                <w:lang w:val="zh-CN"/>
              </w:rPr>
              <w:t>6、符合本文件第一章第二款资格要求的所有证明资料。</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b/>
                <w:bCs/>
                <w:color w:val="auto"/>
                <w:sz w:val="21"/>
                <w:szCs w:val="21"/>
                <w:lang w:val="zh-CN"/>
              </w:rPr>
              <w:t>注：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投标单位本身，参股或控股单位及独立法人子公司的材料不能作为证明材料，但投标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14.4</w:t>
            </w:r>
          </w:p>
        </w:tc>
        <w:tc>
          <w:tcPr>
            <w:tcW w:w="2127"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供应商不得存在的其他情形</w:t>
            </w:r>
          </w:p>
        </w:tc>
        <w:tc>
          <w:tcPr>
            <w:tcW w:w="6130" w:type="dxa"/>
            <w:vAlign w:val="center"/>
          </w:tcPr>
          <w:p>
            <w:pPr>
              <w:numPr>
                <w:ilvl w:val="0"/>
                <w:numId w:val="9"/>
              </w:num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与采购人存在利害关系可能影响</w:t>
            </w:r>
            <w:r>
              <w:rPr>
                <w:rFonts w:hint="eastAsia" w:asciiTheme="minorEastAsia" w:hAnsiTheme="minorEastAsia" w:eastAsiaTheme="minorEastAsia" w:cstheme="minorEastAsia"/>
                <w:sz w:val="21"/>
                <w:szCs w:val="21"/>
                <w:lang w:val="en-US" w:eastAsia="zh-CN"/>
              </w:rPr>
              <w:t>采购</w:t>
            </w:r>
            <w:r>
              <w:rPr>
                <w:rFonts w:hint="eastAsia" w:asciiTheme="minorEastAsia" w:hAnsiTheme="minorEastAsia" w:eastAsiaTheme="minorEastAsia" w:cstheme="minorEastAsia"/>
                <w:sz w:val="21"/>
                <w:szCs w:val="21"/>
              </w:rPr>
              <w:t>公正性的法人、其他组织或者个人，不得参与本项目；单位负责人为同一人或存在控股、管理关系的不同单位只能有一家单位报名(按在采购代理机构处获取文件登记的先后顺序)。</w:t>
            </w:r>
          </w:p>
          <w:p>
            <w:pPr>
              <w:numPr>
                <w:ilvl w:val="0"/>
                <w:numId w:val="9"/>
              </w:numPr>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参与本项目采购活动前，已为本项目提供过整体设计、规范编制或者项目管理、监理、检测等服务的供应商。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15.1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lang w:val="zh-CN"/>
              </w:rPr>
              <w:t>证明响应内容符合竞争性磋商采购文件要求的文件和竞争性磋商采购文件规定的其他资料</w:t>
            </w:r>
          </w:p>
        </w:tc>
        <w:tc>
          <w:tcPr>
            <w:tcW w:w="6130" w:type="dxa"/>
            <w:vAlign w:val="center"/>
          </w:tcPr>
          <w:p>
            <w:pPr>
              <w:numPr>
                <w:ilvl w:val="0"/>
                <w:numId w:val="0"/>
              </w:num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16.1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磋商保证金金额、递交方式、时间及接受磋商保证金的帐户信息</w:t>
            </w:r>
          </w:p>
        </w:tc>
        <w:tc>
          <w:tcPr>
            <w:tcW w:w="6130" w:type="dxa"/>
            <w:vAlign w:val="center"/>
          </w:tcPr>
          <w:p>
            <w:pPr>
              <w:spacing w:line="240" w:lineRule="auto"/>
              <w:ind w:right="256" w:rightChars="122"/>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金    额：</w:t>
            </w:r>
            <w:r>
              <w:rPr>
                <w:rFonts w:hint="eastAsia" w:asciiTheme="minorEastAsia" w:hAnsiTheme="minorEastAsia" w:eastAsiaTheme="minorEastAsia" w:cstheme="minorEastAsia"/>
                <w:color w:val="auto"/>
                <w:sz w:val="21"/>
                <w:szCs w:val="21"/>
                <w:lang w:eastAsia="zh-CN"/>
              </w:rPr>
              <w:t>大写</w:t>
            </w:r>
            <w:r>
              <w:rPr>
                <w:rFonts w:hint="eastAsia" w:asciiTheme="minorEastAsia" w:hAnsiTheme="minorEastAsia" w:eastAsiaTheme="minorEastAsia" w:cstheme="minorEastAsia"/>
                <w:color w:val="auto"/>
                <w:sz w:val="21"/>
                <w:szCs w:val="21"/>
                <w:lang w:val="en-US" w:eastAsia="zh-CN"/>
              </w:rPr>
              <w:t>人民币贰万元整（</w:t>
            </w:r>
            <w:r>
              <w:rPr>
                <w:rFonts w:hint="default" w:ascii="Arial" w:hAnsi="Arial" w:cs="Arial" w:eastAsia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20000.00）</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户    名：中经国际招标集团有限公司湖北分公司</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开户银行：中国农业银行股份有限公司武汉岳家嘴支行</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帐    号：17053001040009288</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lang w:eastAsia="zh-CN"/>
              </w:rPr>
              <w:t>缴纳</w:t>
            </w:r>
            <w:r>
              <w:rPr>
                <w:rFonts w:hint="eastAsia" w:asciiTheme="minorEastAsia" w:hAnsiTheme="minorEastAsia" w:eastAsiaTheme="minorEastAsia" w:cstheme="minorEastAsia"/>
                <w:color w:val="auto"/>
                <w:sz w:val="21"/>
                <w:szCs w:val="21"/>
              </w:rPr>
              <w:t>投标保证金必须从</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的基本帐户以支票、汇票、本票、电汇或者金融机构、担保机构出具的保函等非现金形式一次性汇至中经国际招标集团有限公司湖北分公司专用账户,截止时间为</w:t>
            </w:r>
            <w:r>
              <w:rPr>
                <w:rFonts w:hint="eastAsia" w:asciiTheme="minorEastAsia" w:hAnsiTheme="minorEastAsia" w:eastAsiaTheme="minorEastAsia" w:cstheme="minorEastAsia"/>
                <w:color w:val="auto"/>
                <w:sz w:val="21"/>
                <w:szCs w:val="21"/>
                <w:lang w:val="en-US" w:eastAsia="zh-CN"/>
              </w:rPr>
              <w:t>递交响应文件截止时间，以采购代理公司银行到账信息为准。</w:t>
            </w:r>
            <w:r>
              <w:rPr>
                <w:rFonts w:hint="eastAsia" w:asciiTheme="minorEastAsia" w:hAnsiTheme="minorEastAsia" w:eastAsiaTheme="minorEastAsia" w:cstheme="minorEastAsia"/>
                <w:color w:val="auto"/>
                <w:sz w:val="21"/>
                <w:szCs w:val="21"/>
              </w:rPr>
              <w:t>成交</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签订合同后须将合同扫描件（PDF版）发送至2102252595@qq.com邮箱备案后方可退还保证金。</w:t>
            </w:r>
            <w:r>
              <w:rPr>
                <w:rFonts w:hint="eastAsia" w:asciiTheme="minorEastAsia" w:hAnsiTheme="minorEastAsia" w:eastAsiaTheme="minorEastAsia" w:cstheme="minorEastAsia"/>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17.1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磋商有效期</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kern w:val="0"/>
                <w:sz w:val="21"/>
                <w:szCs w:val="21"/>
              </w:rPr>
              <w:t>自磋商截止时间起共</w:t>
            </w:r>
            <w:r>
              <w:rPr>
                <w:rFonts w:hint="eastAsia" w:asciiTheme="minorEastAsia" w:hAnsiTheme="minorEastAsia" w:eastAsiaTheme="minorEastAsia" w:cstheme="minorEastAsia"/>
                <w:color w:val="auto"/>
                <w:kern w:val="0"/>
                <w:sz w:val="21"/>
                <w:szCs w:val="21"/>
                <w:u w:val="single"/>
                <w:lang w:val="en-US" w:eastAsia="zh-CN"/>
              </w:rPr>
              <w:t xml:space="preserve"> 90 </w:t>
            </w:r>
            <w:r>
              <w:rPr>
                <w:rFonts w:hint="eastAsia" w:asciiTheme="minorEastAsia" w:hAnsiTheme="minorEastAsia" w:eastAsiaTheme="minorEastAsia" w:cstheme="minorEastAsia"/>
                <w:color w:val="auto"/>
                <w:kern w:val="0"/>
                <w:sz w:val="21"/>
                <w:szCs w:val="21"/>
              </w:rPr>
              <w:t>日历天</w:t>
            </w:r>
            <w:r>
              <w:rPr>
                <w:rFonts w:hint="eastAsia" w:asciiTheme="minorEastAsia" w:hAnsiTheme="minorEastAsia" w:eastAsiaTheme="minorEastAsia" w:cstheme="minorEastAsia"/>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18.1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竞争性磋商响应文件正、副本数量</w:t>
            </w:r>
          </w:p>
        </w:tc>
        <w:tc>
          <w:tcPr>
            <w:tcW w:w="6130" w:type="dxa"/>
            <w:vAlign w:val="center"/>
          </w:tcPr>
          <w:p>
            <w:pPr>
              <w:autoSpaceDE w:val="0"/>
              <w:autoSpaceDN w:val="0"/>
              <w:snapToGrid w:val="0"/>
              <w:spacing w:line="24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投标文件纸质版：正本一份（需为</w:t>
            </w:r>
            <w:r>
              <w:rPr>
                <w:rFonts w:hint="eastAsia" w:asciiTheme="minorEastAsia" w:hAnsiTheme="minorEastAsia" w:eastAsiaTheme="minorEastAsia" w:cstheme="minorEastAsia"/>
                <w:color w:val="auto"/>
                <w:sz w:val="21"/>
                <w:szCs w:val="21"/>
                <w:lang w:val="en-US" w:eastAsia="zh-CN"/>
              </w:rPr>
              <w:t>彩色打印</w:t>
            </w:r>
            <w:r>
              <w:rPr>
                <w:rFonts w:hint="eastAsia" w:asciiTheme="minorEastAsia" w:hAnsiTheme="minorEastAsia" w:eastAsiaTheme="minorEastAsia" w:cstheme="minorEastAsia"/>
                <w:color w:val="auto"/>
                <w:sz w:val="21"/>
                <w:szCs w:val="21"/>
              </w:rPr>
              <w:t>件），副本</w:t>
            </w:r>
            <w:r>
              <w:rPr>
                <w:rFonts w:hint="eastAsia" w:asciiTheme="minorEastAsia" w:hAnsiTheme="minorEastAsia" w:eastAsiaTheme="minorEastAsia" w:cstheme="minorEastAsia"/>
                <w:color w:val="auto"/>
                <w:sz w:val="21"/>
                <w:szCs w:val="21"/>
                <w:u w:val="single"/>
              </w:rPr>
              <w:t xml:space="preserve"> 两 </w:t>
            </w:r>
            <w:r>
              <w:rPr>
                <w:rFonts w:hint="eastAsia" w:asciiTheme="minorEastAsia" w:hAnsiTheme="minorEastAsia" w:eastAsiaTheme="minorEastAsia" w:cstheme="minorEastAsia"/>
                <w:color w:val="auto"/>
                <w:sz w:val="21"/>
                <w:szCs w:val="21"/>
              </w:rPr>
              <w:t>份</w:t>
            </w:r>
            <w:r>
              <w:rPr>
                <w:rFonts w:hint="eastAsia" w:asciiTheme="minorEastAsia" w:hAnsiTheme="minorEastAsia" w:eastAsiaTheme="minorEastAsia" w:cstheme="minorEastAsia"/>
                <w:color w:val="auto"/>
                <w:sz w:val="21"/>
                <w:szCs w:val="21"/>
                <w:lang w:eastAsia="zh-CN"/>
              </w:rPr>
              <w:t>；</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投标文件电子版：</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□不要求</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bdr w:val="single" w:color="auto" w:sz="4" w:space="0"/>
              </w:rPr>
              <w:t>√</w:t>
            </w:r>
            <w:r>
              <w:rPr>
                <w:rFonts w:hint="eastAsia" w:asciiTheme="minorEastAsia" w:hAnsiTheme="minorEastAsia" w:eastAsiaTheme="minorEastAsia" w:cstheme="minorEastAsia"/>
                <w:color w:val="auto"/>
                <w:sz w:val="21"/>
                <w:szCs w:val="21"/>
              </w:rPr>
              <w:t>要求，投标文件电子版内容：</w:t>
            </w:r>
            <w:r>
              <w:rPr>
                <w:rFonts w:hint="eastAsia" w:asciiTheme="minorEastAsia" w:hAnsiTheme="minorEastAsia" w:eastAsiaTheme="minorEastAsia" w:cstheme="minorEastAsia"/>
                <w:color w:val="auto"/>
                <w:sz w:val="21"/>
                <w:szCs w:val="21"/>
                <w:u w:val="single"/>
              </w:rPr>
              <w:t>与正本保持一致</w:t>
            </w:r>
          </w:p>
          <w:p>
            <w:pPr>
              <w:autoSpaceDE w:val="0"/>
              <w:autoSpaceDN w:val="0"/>
              <w:snapToGrid w:val="0"/>
              <w:spacing w:line="240" w:lineRule="auto"/>
              <w:ind w:firstLine="840" w:firstLineChars="4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投标文件电子版格式：</w:t>
            </w:r>
            <w:r>
              <w:rPr>
                <w:rFonts w:hint="eastAsia" w:asciiTheme="minorEastAsia" w:hAnsiTheme="minorEastAsia" w:eastAsiaTheme="minorEastAsia" w:cstheme="minorEastAsia"/>
                <w:color w:val="auto"/>
                <w:sz w:val="21"/>
                <w:szCs w:val="21"/>
                <w:u w:val="single"/>
                <w:shd w:val="clear" w:color="auto" w:fill="FFFFFF"/>
                <w:lang w:val="en-US" w:eastAsia="zh-CN"/>
              </w:rPr>
              <w:t>WORD</w:t>
            </w:r>
            <w:r>
              <w:rPr>
                <w:rFonts w:hint="eastAsia" w:asciiTheme="minorEastAsia" w:hAnsiTheme="minorEastAsia" w:eastAsiaTheme="minorEastAsia" w:cstheme="minorEastAsia"/>
                <w:color w:val="auto"/>
                <w:sz w:val="21"/>
                <w:szCs w:val="21"/>
                <w:u w:val="single"/>
              </w:rPr>
              <w:t>格式</w:t>
            </w:r>
            <w:r>
              <w:rPr>
                <w:rFonts w:hint="eastAsia" w:asciiTheme="minorEastAsia" w:hAnsiTheme="minorEastAsia" w:eastAsiaTheme="minorEastAsia" w:cstheme="minorEastAsia"/>
                <w:color w:val="auto"/>
                <w:sz w:val="21"/>
                <w:szCs w:val="21"/>
                <w:u w:val="single"/>
                <w:shd w:val="clear" w:color="auto" w:fill="FFFFFF"/>
                <w:lang w:val="en-US" w:eastAsia="zh-CN"/>
              </w:rPr>
              <w:t>和</w:t>
            </w:r>
            <w:r>
              <w:rPr>
                <w:rFonts w:hint="eastAsia" w:asciiTheme="minorEastAsia" w:hAnsiTheme="minorEastAsia" w:eastAsiaTheme="minorEastAsia" w:cstheme="minorEastAsia"/>
                <w:color w:val="auto"/>
                <w:sz w:val="21"/>
                <w:szCs w:val="21"/>
                <w:u w:val="single"/>
                <w:lang w:val="en-US" w:eastAsia="zh-CN"/>
              </w:rPr>
              <w:t>加盖公章后的</w:t>
            </w:r>
            <w:r>
              <w:rPr>
                <w:rFonts w:hint="eastAsia" w:asciiTheme="minorEastAsia" w:hAnsiTheme="minorEastAsia" w:eastAsiaTheme="minorEastAsia" w:cstheme="minorEastAsia"/>
                <w:color w:val="auto"/>
                <w:sz w:val="21"/>
                <w:szCs w:val="21"/>
                <w:u w:val="single"/>
              </w:rPr>
              <w:t>PDF</w:t>
            </w:r>
            <w:r>
              <w:rPr>
                <w:rFonts w:hint="eastAsia" w:asciiTheme="minorEastAsia" w:hAnsiTheme="minorEastAsia" w:eastAsiaTheme="minorEastAsia" w:cstheme="minorEastAsia"/>
                <w:color w:val="auto"/>
                <w:sz w:val="21"/>
                <w:szCs w:val="21"/>
                <w:u w:val="single"/>
                <w:lang w:val="en-US" w:eastAsia="zh-CN"/>
              </w:rPr>
              <w:t>扫描件</w:t>
            </w:r>
            <w:r>
              <w:rPr>
                <w:rFonts w:hint="eastAsia" w:asciiTheme="minorEastAsia" w:hAnsiTheme="minorEastAsia" w:eastAsiaTheme="minorEastAsia" w:cstheme="minorEastAsia"/>
                <w:color w:val="auto"/>
                <w:sz w:val="21"/>
                <w:szCs w:val="21"/>
                <w:u w:val="single"/>
              </w:rPr>
              <w:t>格式</w:t>
            </w:r>
            <w:r>
              <w:rPr>
                <w:rFonts w:hint="eastAsia" w:asciiTheme="minorEastAsia" w:hAnsiTheme="minorEastAsia" w:eastAsiaTheme="minorEastAsia" w:cstheme="minorEastAsia"/>
                <w:color w:val="auto"/>
                <w:sz w:val="21"/>
                <w:szCs w:val="21"/>
                <w:u w:val="single"/>
                <w:lang w:val="en-US" w:eastAsia="zh-CN"/>
              </w:rPr>
              <w:t>；</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投标文件电子版形式：</w:t>
            </w:r>
            <w:r>
              <w:rPr>
                <w:rFonts w:hint="eastAsia" w:asciiTheme="minorEastAsia" w:hAnsiTheme="minorEastAsia" w:eastAsiaTheme="minorEastAsia" w:cstheme="minorEastAsia"/>
                <w:color w:val="auto"/>
                <w:sz w:val="21"/>
                <w:szCs w:val="21"/>
                <w:u w:val="single"/>
              </w:rPr>
              <w:t xml:space="preserve"> U盘1份</w:t>
            </w:r>
          </w:p>
          <w:p>
            <w:pPr>
              <w:autoSpaceDE w:val="0"/>
              <w:autoSpaceDN w:val="0"/>
              <w:adjustRightInd w:val="0"/>
              <w:spacing w:line="240" w:lineRule="auto"/>
              <w:jc w:val="left"/>
              <w:rPr>
                <w:rFonts w:hint="eastAsia" w:asciiTheme="minorEastAsia" w:hAnsiTheme="minorEastAsia" w:eastAsiaTheme="minorEastAsia" w:cstheme="minorEastAsia"/>
                <w:b w:val="0"/>
                <w:bCs w:val="0"/>
                <w:color w:val="auto"/>
                <w:sz w:val="21"/>
                <w:szCs w:val="21"/>
                <w:u w:val="single"/>
              </w:rPr>
            </w:pPr>
            <w:r>
              <w:rPr>
                <w:rFonts w:hint="eastAsia" w:asciiTheme="minorEastAsia" w:hAnsiTheme="minorEastAsia" w:eastAsiaTheme="minorEastAsia" w:cstheme="minorEastAsia"/>
                <w:b w:val="0"/>
                <w:bCs w:val="0"/>
                <w:color w:val="auto"/>
                <w:sz w:val="21"/>
                <w:szCs w:val="21"/>
                <w:u w:val="none"/>
                <w:lang w:val="en-US" w:eastAsia="zh-CN"/>
              </w:rPr>
              <w:t>3、手持</w:t>
            </w:r>
            <w:r>
              <w:rPr>
                <w:rFonts w:hint="eastAsia" w:asciiTheme="minorEastAsia" w:hAnsiTheme="minorEastAsia" w:eastAsiaTheme="minorEastAsia" w:cstheme="minorEastAsia"/>
                <w:b w:val="0"/>
                <w:bCs w:val="0"/>
                <w:color w:val="auto"/>
                <w:sz w:val="21"/>
                <w:szCs w:val="21"/>
                <w:u w:val="none"/>
              </w:rPr>
              <w:t>法定代表人授权委托书（或法定代表人身份证明书）、单独</w:t>
            </w:r>
            <w:r>
              <w:rPr>
                <w:rFonts w:hint="eastAsia" w:asciiTheme="minorEastAsia" w:hAnsiTheme="minorEastAsia" w:eastAsiaTheme="minorEastAsia" w:cstheme="minorEastAsia"/>
                <w:b w:val="0"/>
                <w:bCs w:val="0"/>
                <w:color w:val="auto"/>
                <w:sz w:val="21"/>
                <w:szCs w:val="21"/>
                <w:u w:val="none"/>
                <w:lang w:val="en-US" w:eastAsia="zh-CN"/>
              </w:rPr>
              <w:t>密封</w:t>
            </w:r>
            <w:r>
              <w:rPr>
                <w:rFonts w:hint="eastAsia" w:asciiTheme="minorEastAsia" w:hAnsiTheme="minorEastAsia" w:eastAsiaTheme="minorEastAsia" w:cstheme="minorEastAsia"/>
                <w:b w:val="0"/>
                <w:bCs w:val="0"/>
                <w:color w:val="auto"/>
                <w:sz w:val="21"/>
                <w:szCs w:val="21"/>
                <w:u w:val="none"/>
              </w:rPr>
              <w:t>提供的报价一览表</w:t>
            </w:r>
            <w:r>
              <w:rPr>
                <w:rFonts w:hint="eastAsia" w:asciiTheme="minorEastAsia" w:hAnsiTheme="minorEastAsia" w:eastAsiaTheme="minorEastAsia" w:cstheme="minorEastAsia"/>
                <w:b w:val="0"/>
                <w:bCs w:val="0"/>
                <w:color w:val="auto"/>
                <w:sz w:val="21"/>
                <w:szCs w:val="21"/>
                <w:u w:val="none"/>
                <w:lang w:eastAsia="zh-CN"/>
              </w:rPr>
              <w:t>；</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所有响应文件概不退还，响应文件按包分开制作，分开密封。</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纸质投标文件</w:t>
            </w:r>
            <w:r>
              <w:rPr>
                <w:rFonts w:hint="eastAsia" w:asciiTheme="minorEastAsia" w:hAnsiTheme="minorEastAsia" w:eastAsiaTheme="minorEastAsia" w:cstheme="minorEastAsia"/>
                <w:color w:val="auto"/>
                <w:sz w:val="21"/>
                <w:szCs w:val="21"/>
                <w:lang w:val="en-US" w:eastAsia="zh-CN"/>
              </w:rPr>
              <w:t>应</w:t>
            </w:r>
            <w:r>
              <w:rPr>
                <w:rFonts w:hint="eastAsia" w:asciiTheme="minorEastAsia" w:hAnsiTheme="minorEastAsia" w:eastAsiaTheme="minorEastAsia" w:cstheme="minorEastAsia"/>
                <w:color w:val="auto"/>
                <w:sz w:val="21"/>
                <w:szCs w:val="21"/>
              </w:rPr>
              <w:t>采用胶粘方</w:t>
            </w:r>
            <w:r>
              <w:rPr>
                <w:rFonts w:hint="eastAsia" w:asciiTheme="minorEastAsia" w:hAnsiTheme="minorEastAsia" w:eastAsiaTheme="minorEastAsia" w:cstheme="minorEastAsia"/>
                <w:color w:val="auto"/>
                <w:sz w:val="21"/>
                <w:szCs w:val="21"/>
                <w:lang w:val="zh-CN"/>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en-US" w:eastAsia="zh-CN"/>
              </w:rPr>
              <w:t>19.1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kern w:val="0"/>
                <w:sz w:val="21"/>
                <w:szCs w:val="21"/>
                <w:lang w:val="zh-CN"/>
              </w:rPr>
              <w:t>竞争性磋商响应文件的密封和标记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kern w:val="0"/>
                <w:sz w:val="21"/>
                <w:szCs w:val="21"/>
              </w:rPr>
              <w:t>本条款细化为：响应文件</w:t>
            </w:r>
            <w:r>
              <w:rPr>
                <w:rFonts w:hint="eastAsia" w:asciiTheme="minorEastAsia" w:hAnsiTheme="minorEastAsia" w:eastAsiaTheme="minorEastAsia" w:cstheme="minorEastAsia"/>
                <w:kern w:val="0"/>
                <w:sz w:val="21"/>
                <w:szCs w:val="21"/>
                <w:lang w:eastAsia="zh-CN"/>
              </w:rPr>
              <w:t>正本</w:t>
            </w:r>
            <w:r>
              <w:rPr>
                <w:rFonts w:hint="eastAsia" w:asciiTheme="minorEastAsia" w:hAnsiTheme="minorEastAsia" w:eastAsiaTheme="minorEastAsia" w:cstheme="minorEastAsia"/>
                <w:kern w:val="0"/>
                <w:sz w:val="21"/>
                <w:szCs w:val="21"/>
              </w:rPr>
              <w:t>需逐页加盖供应商单位公章，不得使用单位其他专用章代替。</w:t>
            </w:r>
            <w:r>
              <w:rPr>
                <w:rFonts w:hint="eastAsia" w:asciiTheme="minorEastAsia" w:hAnsiTheme="minorEastAsia" w:eastAsiaTheme="minorEastAsia" w:cstheme="minorEastAsia"/>
                <w:kern w:val="0"/>
                <w:sz w:val="21"/>
                <w:szCs w:val="21"/>
                <w:lang w:eastAsia="zh-CN"/>
              </w:rPr>
              <w:t>因签字盖章问题导致的响应材料被否决或竞标受影响的情况，其后果供应商自行承担。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样品</w:t>
            </w:r>
            <w:r>
              <w:rPr>
                <w:rFonts w:hint="eastAsia" w:asciiTheme="minorEastAsia" w:hAnsiTheme="minorEastAsia" w:eastAsiaTheme="minorEastAsia" w:cstheme="minorEastAsia"/>
                <w:b/>
                <w:bCs/>
                <w:snapToGrid w:val="0"/>
                <w:color w:val="auto"/>
                <w:kern w:val="0"/>
                <w:sz w:val="21"/>
                <w:szCs w:val="21"/>
                <w:lang w:val="zh-CN"/>
              </w:rPr>
              <w:t>（</w:t>
            </w:r>
            <w:r>
              <w:rPr>
                <w:rFonts w:hint="eastAsia" w:asciiTheme="minorEastAsia" w:hAnsiTheme="minorEastAsia" w:eastAsiaTheme="minorEastAsia" w:cstheme="minorEastAsia"/>
                <w:b/>
                <w:bCs/>
                <w:snapToGrid w:val="0"/>
                <w:color w:val="auto"/>
                <w:kern w:val="0"/>
                <w:sz w:val="21"/>
                <w:szCs w:val="21"/>
                <w:lang w:val="en-US" w:eastAsia="zh-CN"/>
              </w:rPr>
              <w:t>本项目不适用</w:t>
            </w:r>
            <w:r>
              <w:rPr>
                <w:rFonts w:hint="eastAsia" w:asciiTheme="minorEastAsia" w:hAnsiTheme="minorEastAsia" w:eastAsiaTheme="minorEastAsia" w:cstheme="minorEastAsia"/>
                <w:b/>
                <w:bCs/>
                <w:snapToGrid w:val="0"/>
                <w:color w:val="auto"/>
                <w:kern w:val="0"/>
                <w:sz w:val="21"/>
                <w:szCs w:val="21"/>
                <w:lang w:val="zh-CN"/>
              </w:rPr>
              <w:t>）</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提交样品的相关规定：要求在磋商时提交样品的，应在样品上标明磋商供应商名称。</w:t>
            </w:r>
            <w:r>
              <w:rPr>
                <w:rFonts w:hint="eastAsia" w:asciiTheme="minorEastAsia" w:hAnsiTheme="minorEastAsia" w:eastAsiaTheme="minorEastAsia" w:cstheme="minorEastAsia"/>
                <w:color w:val="auto"/>
                <w:kern w:val="0"/>
                <w:sz w:val="21"/>
                <w:szCs w:val="21"/>
                <w:lang w:val="zh-CN"/>
              </w:rPr>
              <w:br w:type="textWrapping"/>
            </w:r>
            <w:r>
              <w:rPr>
                <w:rFonts w:hint="eastAsia" w:asciiTheme="minorEastAsia" w:hAnsiTheme="minorEastAsia" w:eastAsiaTheme="minorEastAsia" w:cstheme="minorEastAsia"/>
                <w:color w:val="auto"/>
                <w:kern w:val="0"/>
                <w:sz w:val="21"/>
                <w:szCs w:val="21"/>
                <w:lang w:val="zh-CN"/>
              </w:rPr>
              <w:t>退还样品的相关规定：</w:t>
            </w:r>
            <w:r>
              <w:rPr>
                <w:rFonts w:hint="eastAsia" w:asciiTheme="minorEastAsia" w:hAnsiTheme="minorEastAsia" w:eastAsiaTheme="minorEastAsia" w:cstheme="minorEastAsia"/>
                <w:color w:val="auto"/>
                <w:kern w:val="0"/>
                <w:sz w:val="21"/>
                <w:szCs w:val="21"/>
                <w:lang w:val="en-US" w:eastAsia="zh-CN"/>
              </w:rPr>
              <w:t>未成交供应商在成交公告发布之日起5个工作日内退还，具体电话通知。成交供应商样品移交采购人作为验收依据，不予退还。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lang w:val="zh-CN"/>
              </w:rPr>
              <w:t>响应文件送达地点及递交截止时间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磋商小组人数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3人或3人以上单数组成，其中采购人代表不超过成员总数的三分之一，外聘经济及技术专家在省政府采购专家库中随机抽取。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磋商代表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eastAsia="zh-CN"/>
              </w:rPr>
              <w:t>建议供应商拟派出席磋商会议的磋商代表为熟知本项目的技术人员或商务负责人等能</w:t>
            </w:r>
            <w:r>
              <w:rPr>
                <w:rFonts w:hint="eastAsia" w:asciiTheme="minorEastAsia" w:hAnsiTheme="minorEastAsia" w:eastAsiaTheme="minorEastAsia" w:cstheme="minorEastAsia"/>
                <w:b/>
                <w:bCs/>
                <w:sz w:val="21"/>
                <w:szCs w:val="21"/>
                <w:lang w:val="en-US" w:eastAsia="zh-CN"/>
              </w:rPr>
              <w:t>为磋商小组详细介绍供应商公司情况及项目了解情况的</w:t>
            </w:r>
            <w:r>
              <w:rPr>
                <w:rFonts w:hint="eastAsia" w:asciiTheme="minorEastAsia" w:hAnsiTheme="minorEastAsia" w:eastAsiaTheme="minorEastAsia" w:cstheme="minorEastAsia"/>
                <w:b/>
                <w:bCs/>
                <w:sz w:val="21"/>
                <w:szCs w:val="21"/>
                <w:lang w:val="zh-CN" w:eastAsia="zh-CN"/>
              </w:rPr>
              <w:t>具有依法缴纳社会保障资金良好记录（磋商现场查询）的在职工作人员，以便在评审过程中进行可能出现的答疑或澄清。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26.4</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提交最后报价供应商的确定方式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采购代理机构将竞争性磋商第二轮报价表（磋商承诺书）发放至所有通过了资格审查及符合性审查的磋商供应商，磋商供应商应在指定的时间内提交满足要求的最后报价，</w:t>
            </w:r>
            <w:r>
              <w:rPr>
                <w:rFonts w:hint="eastAsia" w:asciiTheme="minorEastAsia" w:hAnsiTheme="minorEastAsia" w:eastAsiaTheme="minorEastAsia" w:cstheme="minorEastAsia"/>
                <w:snapToGrid w:val="0"/>
                <w:kern w:val="0"/>
                <w:sz w:val="21"/>
                <w:szCs w:val="21"/>
                <w:lang w:val="en-US" w:eastAsia="zh-CN"/>
              </w:rPr>
              <w:t>在指定地点以</w:t>
            </w:r>
            <w:r>
              <w:rPr>
                <w:rFonts w:hint="eastAsia" w:asciiTheme="minorEastAsia" w:hAnsiTheme="minorEastAsia" w:eastAsiaTheme="minorEastAsia" w:cstheme="minorEastAsia"/>
                <w:snapToGrid w:val="0"/>
                <w:kern w:val="0"/>
                <w:sz w:val="21"/>
                <w:szCs w:val="21"/>
                <w:lang w:val="zh-CN"/>
              </w:rPr>
              <w:t>密封</w:t>
            </w:r>
            <w:r>
              <w:rPr>
                <w:rFonts w:hint="eastAsia" w:asciiTheme="minorEastAsia" w:hAnsiTheme="minorEastAsia" w:eastAsiaTheme="minorEastAsia" w:cstheme="minorEastAsia"/>
                <w:snapToGrid w:val="0"/>
                <w:kern w:val="0"/>
                <w:sz w:val="21"/>
                <w:szCs w:val="21"/>
                <w:lang w:val="en-US" w:eastAsia="zh-CN"/>
              </w:rPr>
              <w:t>等形式</w:t>
            </w:r>
            <w:r>
              <w:rPr>
                <w:rFonts w:hint="eastAsia" w:asciiTheme="minorEastAsia" w:hAnsiTheme="minorEastAsia" w:eastAsiaTheme="minorEastAsia" w:cstheme="minorEastAsia"/>
                <w:snapToGrid w:val="0"/>
                <w:kern w:val="0"/>
                <w:sz w:val="21"/>
                <w:szCs w:val="21"/>
                <w:lang w:val="zh-CN"/>
              </w:rPr>
              <w:t>递交</w:t>
            </w:r>
            <w:r>
              <w:rPr>
                <w:rFonts w:hint="eastAsia" w:asciiTheme="minorEastAsia" w:hAnsiTheme="minorEastAsia" w:eastAsiaTheme="minorEastAsia" w:cstheme="minorEastAsia"/>
                <w:snapToGrid w:val="0"/>
                <w:kern w:val="0"/>
                <w:sz w:val="21"/>
                <w:szCs w:val="21"/>
                <w:lang w:val="en-US" w:eastAsia="zh-CN"/>
              </w:rPr>
              <w:t>给采购代理机构指定现场工作人员或</w:t>
            </w:r>
            <w:r>
              <w:rPr>
                <w:rFonts w:hint="eastAsia" w:asciiTheme="minorEastAsia" w:hAnsiTheme="minorEastAsia" w:eastAsiaTheme="minorEastAsia" w:cstheme="minorEastAsia"/>
                <w:snapToGrid w:val="0"/>
                <w:kern w:val="0"/>
                <w:sz w:val="21"/>
                <w:szCs w:val="21"/>
                <w:lang w:val="zh-CN"/>
              </w:rPr>
              <w:t>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27.3</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推荐成交候选</w:t>
            </w:r>
            <w:r>
              <w:rPr>
                <w:rFonts w:hint="eastAsia" w:asciiTheme="minorEastAsia" w:hAnsiTheme="minorEastAsia" w:eastAsiaTheme="minorEastAsia" w:cstheme="minorEastAsia"/>
                <w:snapToGrid w:val="0"/>
                <w:kern w:val="0"/>
                <w:sz w:val="21"/>
                <w:szCs w:val="21"/>
                <w:lang w:val="en-US" w:eastAsia="zh-CN"/>
              </w:rPr>
              <w:t>供应商</w:t>
            </w:r>
            <w:r>
              <w:rPr>
                <w:rFonts w:hint="eastAsia" w:asciiTheme="minorEastAsia" w:hAnsiTheme="minorEastAsia" w:eastAsiaTheme="minorEastAsia" w:cstheme="minorEastAsia"/>
                <w:snapToGrid w:val="0"/>
                <w:kern w:val="0"/>
                <w:sz w:val="21"/>
                <w:szCs w:val="21"/>
                <w:lang w:val="zh-CN"/>
              </w:rPr>
              <w:t>数量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本项目推荐</w:t>
            </w:r>
            <w:r>
              <w:rPr>
                <w:rFonts w:hint="eastAsia" w:asciiTheme="minorEastAsia" w:hAnsiTheme="minorEastAsia" w:eastAsiaTheme="minorEastAsia" w:cstheme="minorEastAsia"/>
                <w:bCs/>
                <w:color w:val="auto"/>
                <w:kern w:val="44"/>
                <w:sz w:val="21"/>
                <w:szCs w:val="21"/>
                <w:u w:val="single"/>
                <w:lang w:val="en-US" w:eastAsia="zh-CN"/>
              </w:rPr>
              <w:t>3</w:t>
            </w:r>
            <w:r>
              <w:rPr>
                <w:rFonts w:hint="eastAsia" w:asciiTheme="minorEastAsia" w:hAnsiTheme="minorEastAsia" w:eastAsiaTheme="minorEastAsia" w:cstheme="minorEastAsia"/>
                <w:bCs/>
                <w:kern w:val="44"/>
                <w:sz w:val="21"/>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28.5</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成交通知书的领</w:t>
            </w:r>
            <w:r>
              <w:rPr>
                <w:rFonts w:hint="eastAsia" w:asciiTheme="minorEastAsia" w:hAnsiTheme="minorEastAsia" w:eastAsiaTheme="minorEastAsia" w:cstheme="minorEastAsia"/>
                <w:snapToGrid w:val="0"/>
                <w:kern w:val="0"/>
                <w:sz w:val="21"/>
                <w:szCs w:val="21"/>
                <w:lang w:val="en-US" w:eastAsia="zh-CN"/>
              </w:rPr>
              <w:t>时</w:t>
            </w:r>
            <w:r>
              <w:rPr>
                <w:rFonts w:hint="eastAsia" w:asciiTheme="minorEastAsia" w:hAnsiTheme="minorEastAsia" w:eastAsiaTheme="minorEastAsia" w:cstheme="minorEastAsia"/>
                <w:snapToGrid w:val="0"/>
                <w:kern w:val="0"/>
                <w:sz w:val="21"/>
                <w:szCs w:val="21"/>
                <w:lang w:val="zh-CN"/>
              </w:rPr>
              <w:t>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成交通知书与成交结果公告同时发出，成交供应商在成交结果公告</w:t>
            </w:r>
          </w:p>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发布以后即可</w:t>
            </w:r>
            <w:r>
              <w:rPr>
                <w:rFonts w:hint="eastAsia" w:asciiTheme="minorEastAsia" w:hAnsiTheme="minorEastAsia" w:eastAsiaTheme="minorEastAsia" w:cstheme="minorEastAsia"/>
                <w:bCs/>
                <w:kern w:val="44"/>
                <w:sz w:val="21"/>
                <w:szCs w:val="21"/>
                <w:lang w:val="en-US" w:eastAsia="zh-CN"/>
              </w:rPr>
              <w:t>联系采购代理机构</w:t>
            </w:r>
            <w:r>
              <w:rPr>
                <w:rFonts w:hint="eastAsia" w:asciiTheme="minorEastAsia" w:hAnsiTheme="minorEastAsia" w:eastAsiaTheme="minorEastAsia" w:cstheme="minorEastAsia"/>
                <w:bCs/>
                <w:kern w:val="44"/>
                <w:sz w:val="21"/>
                <w:szCs w:val="21"/>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9071" w:type="dxa"/>
            <w:gridSpan w:val="3"/>
            <w:vAlign w:val="center"/>
          </w:tcPr>
          <w:p>
            <w:pPr>
              <w:autoSpaceDE w:val="0"/>
              <w:autoSpaceDN w:val="0"/>
              <w:adjustRightInd w:val="0"/>
              <w:snapToGrid w:val="0"/>
              <w:spacing w:before="31" w:beforeLines="10" w:after="31" w:afterLines="10" w:line="240" w:lineRule="auto"/>
              <w:ind w:right="21" w:rightChars="10"/>
              <w:jc w:val="center"/>
              <w:rPr>
                <w:rFonts w:hint="eastAsia"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b/>
                <w:bCs/>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报价方式</w:t>
            </w:r>
          </w:p>
        </w:tc>
        <w:tc>
          <w:tcPr>
            <w:tcW w:w="6130" w:type="dxa"/>
            <w:vAlign w:val="center"/>
          </w:tcPr>
          <w:p>
            <w:pPr>
              <w:autoSpaceDE w:val="0"/>
              <w:autoSpaceDN w:val="0"/>
              <w:adjustRightInd w:val="0"/>
              <w:snapToGrid w:val="0"/>
              <w:spacing w:before="31" w:beforeLines="10" w:after="31" w:afterLines="10"/>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FF0000"/>
                <w:szCs w:val="21"/>
                <w:lang w:val="zh-CN"/>
              </w:rPr>
              <w:t>本项目按工程量清单进行报价且需精确到小数点后两位</w:t>
            </w:r>
            <w:r>
              <w:rPr>
                <w:rFonts w:hint="eastAsia" w:asciiTheme="minorEastAsia" w:hAnsiTheme="minorEastAsia" w:eastAsiaTheme="minorEastAsia" w:cstheme="minorEastAsia"/>
                <w:color w:val="FF0000"/>
                <w:szCs w:val="21"/>
              </w:rPr>
              <w:t>.</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本项目竞标报价为“交钥匙”价。竞标报价应包括完成该工程项目的成本、利润、税金、开办费、技术措施费、大型机械进出场费、风险费、赶工、加班补助</w:t>
            </w:r>
            <w:r>
              <w:rPr>
                <w:rFonts w:hint="eastAsia" w:asciiTheme="minorEastAsia" w:hAnsiTheme="minorEastAsia" w:eastAsiaTheme="minorEastAsia" w:cstheme="minorEastAsia"/>
                <w:color w:val="auto"/>
                <w:sz w:val="21"/>
                <w:szCs w:val="21"/>
                <w:lang w:val="en-US" w:eastAsia="zh-CN"/>
              </w:rPr>
              <w:t>及</w:t>
            </w:r>
            <w:r>
              <w:rPr>
                <w:rFonts w:hint="eastAsia" w:asciiTheme="minorEastAsia" w:hAnsiTheme="minorEastAsia" w:eastAsiaTheme="minorEastAsia" w:cstheme="minorEastAsia"/>
                <w:color w:val="auto"/>
                <w:sz w:val="21"/>
                <w:szCs w:val="21"/>
                <w:lang w:val="zh-CN"/>
              </w:rPr>
              <w:t>政策性文件规定费用等所有费用。合同签订后采购人未提出增加工作内容的情况下，合同价不得调整。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各供应商按此要求进行报价，同时在合同实施过程中还将发生的其它费用</w:t>
            </w:r>
            <w:r>
              <w:rPr>
                <w:rFonts w:hint="eastAsia" w:asciiTheme="minorEastAsia" w:hAnsiTheme="minorEastAsia" w:eastAsiaTheme="minorEastAsia" w:cstheme="minorEastAsia"/>
                <w:color w:val="auto"/>
                <w:sz w:val="21"/>
                <w:szCs w:val="21"/>
                <w:lang w:val="en-US" w:eastAsia="zh-CN"/>
              </w:rPr>
              <w:t>也</w:t>
            </w:r>
            <w:r>
              <w:rPr>
                <w:rFonts w:hint="eastAsia" w:asciiTheme="minorEastAsia" w:hAnsiTheme="minorEastAsia" w:eastAsiaTheme="minorEastAsia" w:cstheme="minorEastAsia"/>
                <w:color w:val="auto"/>
                <w:sz w:val="21"/>
                <w:szCs w:val="21"/>
                <w:lang w:val="zh-CN"/>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lang w:val="zh-CN"/>
              </w:rPr>
              <w:t>概不负责。</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对于</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文件未列明，而</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供应商认为</w:t>
            </w:r>
            <w:r>
              <w:rPr>
                <w:rFonts w:hint="eastAsia" w:asciiTheme="minorEastAsia" w:hAnsiTheme="minorEastAsia" w:eastAsiaTheme="minorEastAsia" w:cstheme="minorEastAsia"/>
                <w:color w:val="auto"/>
                <w:sz w:val="21"/>
                <w:szCs w:val="21"/>
                <w:lang w:val="en-US" w:eastAsia="zh-CN"/>
              </w:rPr>
              <w:t>必须</w:t>
            </w:r>
            <w:r>
              <w:rPr>
                <w:rFonts w:hint="eastAsia" w:asciiTheme="minorEastAsia" w:hAnsiTheme="minorEastAsia" w:eastAsiaTheme="minorEastAsia" w:cstheme="minorEastAsia"/>
                <w:color w:val="auto"/>
                <w:sz w:val="21"/>
                <w:szCs w:val="21"/>
                <w:lang w:val="zh-CN"/>
              </w:rPr>
              <w:t>的费用也需列入总报价。在合同实施时，采购人将不予支付</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lang w:val="zh-CN"/>
              </w:rPr>
              <w:t>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踏勘现场</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采购人不组织统一踏勘，</w:t>
            </w:r>
            <w:r>
              <w:rPr>
                <w:rFonts w:hint="eastAsia" w:asciiTheme="minorEastAsia" w:hAnsiTheme="minorEastAsia" w:eastAsiaTheme="minorEastAsia" w:cstheme="minorEastAsia"/>
                <w:color w:val="auto"/>
                <w:sz w:val="21"/>
                <w:szCs w:val="21"/>
              </w:rPr>
              <w:t>请各供应商自行踏勘现场；</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□组织，踏勘时间：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踏勘集中地点：</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踏勘联系人：</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注：1、</w:t>
            </w:r>
            <w:r>
              <w:rPr>
                <w:rFonts w:hint="eastAsia" w:asciiTheme="minorEastAsia" w:hAnsiTheme="minorEastAsia" w:eastAsiaTheme="minorEastAsia" w:cstheme="minorEastAsia"/>
                <w:color w:val="auto"/>
                <w:sz w:val="21"/>
                <w:szCs w:val="21"/>
              </w:rPr>
              <w:t>供应商承担踏勘现场所发生的自身费用；</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供应商应承担踏勘现场的责任和风险。</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采购人在踏勘现场中介绍的项目</w:t>
            </w:r>
            <w:r>
              <w:rPr>
                <w:rFonts w:hint="eastAsia" w:asciiTheme="minorEastAsia" w:hAnsiTheme="minorEastAsia" w:eastAsiaTheme="minorEastAsia" w:cstheme="minorEastAsia"/>
                <w:color w:val="auto"/>
                <w:sz w:val="21"/>
                <w:szCs w:val="21"/>
                <w:lang w:val="en-US" w:eastAsia="zh-CN"/>
              </w:rPr>
              <w:t>背景及项目现场</w:t>
            </w:r>
            <w:r>
              <w:rPr>
                <w:rFonts w:hint="eastAsia" w:asciiTheme="minorEastAsia" w:hAnsiTheme="minorEastAsia" w:eastAsiaTheme="minorEastAsia" w:cstheme="minorEastAsia"/>
                <w:color w:val="auto"/>
                <w:sz w:val="21"/>
                <w:szCs w:val="21"/>
              </w:rPr>
              <w:t>和相关的周边环境情况，供应商在编制响应文件时参考，采购人和采购代理机构不对供应商据此作出的判断和决策负责。</w:t>
            </w:r>
          </w:p>
        </w:tc>
      </w:tr>
    </w:tbl>
    <w:p>
      <w:pPr>
        <w:widowControl/>
        <w:jc w:val="left"/>
        <w:rPr>
          <w:rFonts w:hint="eastAsia" w:asciiTheme="minorEastAsia" w:hAnsiTheme="minorEastAsia" w:eastAsiaTheme="minorEastAsia" w:cstheme="minorEastAsia"/>
        </w:rPr>
      </w:pPr>
    </w:p>
    <w:p>
      <w:pPr>
        <w:spacing w:line="360" w:lineRule="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bookmarkStart w:id="28" w:name="_Toc13227"/>
      <w:r>
        <w:rPr>
          <w:rFonts w:hint="eastAsia" w:asciiTheme="minorEastAsia" w:hAnsiTheme="minorEastAsia" w:eastAsiaTheme="minorEastAsia" w:cstheme="minorEastAsia"/>
          <w:b/>
          <w:szCs w:val="21"/>
        </w:rPr>
        <w:t>供应商须知</w:t>
      </w:r>
      <w:bookmarkEnd w:id="28"/>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29" w:name="_Toc6668"/>
      <w:r>
        <w:rPr>
          <w:rFonts w:hint="eastAsia" w:asciiTheme="minorEastAsia" w:hAnsiTheme="minorEastAsia" w:eastAsiaTheme="minorEastAsia" w:cstheme="minorEastAsia"/>
          <w:b/>
          <w:szCs w:val="21"/>
        </w:rPr>
        <w:t>总则</w:t>
      </w:r>
      <w:bookmarkEnd w:id="29"/>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0" w:name="_Toc21598"/>
      <w:bookmarkStart w:id="31" w:name="_Toc27243"/>
      <w:r>
        <w:rPr>
          <w:rFonts w:hint="eastAsia" w:asciiTheme="minorEastAsia" w:hAnsiTheme="minorEastAsia" w:eastAsiaTheme="minorEastAsia" w:cstheme="minorEastAsia"/>
          <w:b/>
          <w:szCs w:val="21"/>
        </w:rPr>
        <w:t>适用法律及范围</w:t>
      </w:r>
      <w:bookmarkEnd w:id="30"/>
      <w:bookmarkEnd w:id="31"/>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本竞争性磋商采购文件仅适用于本次竞争性磋商中所述的项目的采购。</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2" w:name="_Toc15546"/>
      <w:bookmarkStart w:id="33" w:name="_Toc30547"/>
      <w:r>
        <w:rPr>
          <w:rFonts w:hint="eastAsia" w:asciiTheme="minorEastAsia" w:hAnsiTheme="minorEastAsia" w:eastAsiaTheme="minorEastAsia" w:cstheme="minorEastAsia"/>
          <w:b/>
          <w:szCs w:val="21"/>
        </w:rPr>
        <w:t>定义</w:t>
      </w:r>
      <w:bookmarkEnd w:id="32"/>
      <w:bookmarkEnd w:id="33"/>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“采购人”：本次磋商的采购人见《供应商须知前附表》。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“监管部门”：本次磋商的监管部门见《供应商须知前附表》。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“采购代理机构”：本次磋商的采购代理机构见《供应商须知前附表》。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“供应商”是指获取本竞争性磋商采购文件的法人、其他组织或者自然人。</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“磋商供应商”是指</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符合</w:t>
      </w:r>
      <w:r>
        <w:rPr>
          <w:rFonts w:hint="eastAsia" w:asciiTheme="minorEastAsia" w:hAnsiTheme="minorEastAsia" w:eastAsiaTheme="minorEastAsia" w:cstheme="minorEastAsia"/>
          <w:szCs w:val="21"/>
        </w:rPr>
        <w:t>具备《中华人民共和国政府采购法》第二十二条规定的条件；</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符合《供应商须知前附表》的相应条件；</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通过竞争性磋商采购评定办法中初步审核的供应商。</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“成交供应商”</w:t>
      </w:r>
      <w:r>
        <w:rPr>
          <w:rFonts w:hint="eastAsia" w:asciiTheme="minorEastAsia" w:hAnsiTheme="minorEastAsia" w:eastAsiaTheme="minorEastAsia" w:cstheme="minorEastAsia"/>
          <w:snapToGrid w:val="0"/>
          <w:kern w:val="0"/>
          <w:szCs w:val="21"/>
          <w:lang w:val="zh-CN"/>
        </w:rPr>
        <w:t xml:space="preserve"> 是指经磋商小组评审推荐，采购人授予合同的供应商。</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4" w:name="_Toc30503"/>
      <w:bookmarkStart w:id="35" w:name="_Toc24219"/>
      <w:r>
        <w:rPr>
          <w:rFonts w:hint="eastAsia" w:asciiTheme="minorEastAsia" w:hAnsiTheme="minorEastAsia" w:eastAsiaTheme="minorEastAsia" w:cstheme="minorEastAsia"/>
          <w:b/>
          <w:snapToGrid w:val="0"/>
          <w:kern w:val="0"/>
          <w:szCs w:val="21"/>
          <w:lang w:val="zh-CN"/>
        </w:rPr>
        <w:t>工程、货物及服务</w:t>
      </w:r>
      <w:bookmarkEnd w:id="34"/>
      <w:bookmarkEnd w:id="35"/>
    </w:p>
    <w:p>
      <w:pPr>
        <w:numPr>
          <w:ilvl w:val="1"/>
          <w:numId w:val="14"/>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“工程”是指建设工程，包括建筑物和构筑物的新建、改建、扩建及其相关的装修、拆除、修缮等。</w:t>
      </w:r>
    </w:p>
    <w:p>
      <w:pPr>
        <w:numPr>
          <w:ilvl w:val="1"/>
          <w:numId w:val="14"/>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“货物”是指各种形态和种类的物品，包括原材料、燃料、设备、产品等。</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“服务”是指除货物（指各种形态和种类的物品，包括原材料、燃料、设备、产品等）和工程（指建设工程，包括建筑物和构筑物的新建、改建、扩建及其相关的装修、拆除、修缮等）以外的其他政府采购对象。</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6" w:name="_Toc9974"/>
      <w:bookmarkStart w:id="37" w:name="_Toc17736"/>
      <w:r>
        <w:rPr>
          <w:rFonts w:hint="eastAsia" w:asciiTheme="minorEastAsia" w:hAnsiTheme="minorEastAsia" w:eastAsiaTheme="minorEastAsia" w:cstheme="minorEastAsia"/>
          <w:b/>
          <w:szCs w:val="21"/>
        </w:rPr>
        <w:t>费用</w:t>
      </w:r>
      <w:bookmarkEnd w:id="36"/>
      <w:bookmarkEnd w:id="37"/>
      <w:r>
        <w:rPr>
          <w:rFonts w:hint="eastAsia" w:asciiTheme="minorEastAsia" w:hAnsiTheme="minorEastAsia" w:eastAsiaTheme="minorEastAsia" w:cstheme="minorEastAsia"/>
          <w:b/>
          <w:szCs w:val="21"/>
        </w:rPr>
        <w:t xml:space="preserve">  </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供应商应承担所有与准备和参加磋商有关的费用，不论磋商的结果如何，采购人和采购代理机构均无义务和责任承担这些费用。</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招标代理服务费：成交供应商须在收到成交通知书时向采购代理机构支付招标代理服务费。服务费支付标准和方法详见《供应商须知前附表》。</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国家计委计价格[2002]1980 号规定标准收费：</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中标金额（万元）</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货物</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100以下</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100-500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500-1000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0.45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1000-5000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5000-10000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10000-100000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100000以上</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r>
    </w:tbl>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注：招标代理服务收费按差额定率累进法计算。例如：某工程招标代理业务中标金额为 6000万元，计算招标代理服务收费额如下：</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0---100：100×1.000％=10000.000元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100---500：400×0.700％=28000.000元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500---1000：500×0.550％=27500.000元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1000---5000：4000×0.350％=140000.000元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5000---6000：1000×0.200％=20000.000元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合计收费=225500.000元</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38" w:name="_Toc21698"/>
      <w:r>
        <w:rPr>
          <w:rFonts w:hint="eastAsia" w:asciiTheme="minorEastAsia" w:hAnsiTheme="minorEastAsia" w:eastAsiaTheme="minorEastAsia" w:cstheme="minorEastAsia"/>
          <w:b/>
          <w:szCs w:val="21"/>
        </w:rPr>
        <w:t>竞争性磋商采购文件</w:t>
      </w:r>
      <w:bookmarkEnd w:id="38"/>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9" w:name="_Toc8830"/>
      <w:bookmarkStart w:id="40" w:name="_Toc4547"/>
      <w:r>
        <w:rPr>
          <w:rFonts w:hint="eastAsia" w:asciiTheme="minorEastAsia" w:hAnsiTheme="minorEastAsia" w:eastAsiaTheme="minorEastAsia" w:cstheme="minorEastAsia"/>
          <w:b/>
          <w:szCs w:val="21"/>
        </w:rPr>
        <w:t>竞争性磋商采购文件的构成</w:t>
      </w:r>
      <w:bookmarkEnd w:id="39"/>
      <w:bookmarkEnd w:id="40"/>
    </w:p>
    <w:p>
      <w:pPr>
        <w:numPr>
          <w:ilvl w:val="1"/>
          <w:numId w:val="16"/>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本竞争性磋商采购文件包括：</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磋商公告</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供应商须知</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竞争性磋商采购评定办法</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合同书格式</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竞争性磋商响应文件格式</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采购过程中由采购代理机构发出的澄清和修正文件</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磋商小组</w:t>
      </w:r>
      <w:r>
        <w:rPr>
          <w:rFonts w:hint="eastAsia" w:asciiTheme="minorEastAsia" w:hAnsiTheme="minorEastAsia" w:eastAsiaTheme="minorEastAsia" w:cstheme="minorEastAsia"/>
          <w:szCs w:val="21"/>
        </w:rPr>
        <w:t>在磋商过程中发出的对本磋商文件的实质性变动</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1" w:name="_Toc12476"/>
      <w:bookmarkStart w:id="42" w:name="_Toc29700"/>
      <w:r>
        <w:rPr>
          <w:rFonts w:hint="eastAsia" w:asciiTheme="minorEastAsia" w:hAnsiTheme="minorEastAsia" w:eastAsiaTheme="minorEastAsia" w:cstheme="minorEastAsia"/>
          <w:b/>
          <w:snapToGrid w:val="0"/>
          <w:kern w:val="0"/>
          <w:szCs w:val="21"/>
          <w:lang w:val="zh-CN"/>
        </w:rPr>
        <w:t>竞争性磋商采购文件的澄清</w:t>
      </w:r>
      <w:bookmarkEnd w:id="41"/>
      <w:bookmarkEnd w:id="42"/>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供应商获取竞争性磋商采购文件后，应认真检查，如发现页数不全、附件缺失、印刷模糊等，应通知采购代理机构补全或更换，否则风险自负。</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采购代理机构对于符合澄清要求的，将以书面形式给所有接收磋商文件的供应商予以答复(答复中不包括问题的来源)，供应商收到答复后应在24小时内以书面形式向采购代理机构予以确认。</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供应商在规定的时间内未对竞争性磋商采购文件澄清或提出疑问的，采购代理机构将视其为同意。</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澄清的内容是本竞争性磋商采购文件的组成部分，当竞争性磋商采购文件</w:t>
      </w:r>
      <w:r>
        <w:rPr>
          <w:rFonts w:hint="eastAsia" w:asciiTheme="minorEastAsia" w:hAnsiTheme="minorEastAsia" w:eastAsiaTheme="minorEastAsia" w:cstheme="minorEastAsia"/>
          <w:szCs w:val="21"/>
        </w:rPr>
        <w:t>、澄清文件对同一内容的表述不一致时，以最后发出的书面文件为准。</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3" w:name="_Toc31761"/>
      <w:bookmarkStart w:id="44" w:name="_Toc7134"/>
      <w:r>
        <w:rPr>
          <w:rFonts w:hint="eastAsia" w:asciiTheme="minorEastAsia" w:hAnsiTheme="minorEastAsia" w:eastAsiaTheme="minorEastAsia" w:cstheme="minorEastAsia"/>
          <w:b/>
          <w:snapToGrid w:val="0"/>
          <w:kern w:val="0"/>
          <w:szCs w:val="21"/>
          <w:lang w:val="zh-CN"/>
        </w:rPr>
        <w:t>竞争性磋商采购文件的修改</w:t>
      </w:r>
      <w:bookmarkEnd w:id="43"/>
      <w:bookmarkEnd w:id="44"/>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当磋商文件、修改文件对同一内容的表述不一致时，以最后发出的书面文件为准。</w:t>
      </w:r>
    </w:p>
    <w:p>
      <w:pPr>
        <w:numPr>
          <w:ilvl w:val="1"/>
          <w:numId w:val="18"/>
        </w:numPr>
        <w:tabs>
          <w:tab w:val="left" w:pos="525"/>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个工作日前发出，不足</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个工作日的，采购人、采购代理机构将顺延提交首次响应文件截止之日。</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45" w:name="_Toc25685"/>
      <w:r>
        <w:rPr>
          <w:rFonts w:hint="eastAsia" w:asciiTheme="minorEastAsia" w:hAnsiTheme="minorEastAsia" w:eastAsiaTheme="minorEastAsia" w:cstheme="minorEastAsia"/>
          <w:b/>
          <w:szCs w:val="21"/>
        </w:rPr>
        <w:t>竞争性磋商响应文件</w:t>
      </w:r>
      <w:bookmarkEnd w:id="45"/>
    </w:p>
    <w:p>
      <w:pPr>
        <w:numPr>
          <w:ilvl w:val="0"/>
          <w:numId w:val="11"/>
        </w:numPr>
        <w:spacing w:line="360" w:lineRule="auto"/>
        <w:ind w:hanging="540"/>
        <w:outlineLvl w:val="1"/>
        <w:rPr>
          <w:rFonts w:hint="eastAsia" w:asciiTheme="minorEastAsia" w:hAnsiTheme="minorEastAsia" w:eastAsiaTheme="minorEastAsia" w:cstheme="minorEastAsia"/>
          <w:snapToGrid w:val="0"/>
          <w:kern w:val="0"/>
          <w:szCs w:val="21"/>
          <w:lang w:val="zh-CN"/>
        </w:rPr>
      </w:pPr>
      <w:bookmarkStart w:id="46" w:name="_Toc30987"/>
      <w:bookmarkStart w:id="47" w:name="_Toc19213"/>
      <w:r>
        <w:rPr>
          <w:rFonts w:hint="eastAsia" w:asciiTheme="minorEastAsia" w:hAnsiTheme="minorEastAsia" w:eastAsiaTheme="minorEastAsia" w:cstheme="minorEastAsia"/>
          <w:b/>
          <w:snapToGrid w:val="0"/>
          <w:kern w:val="0"/>
          <w:szCs w:val="21"/>
          <w:lang w:val="zh-CN"/>
        </w:rPr>
        <w:t>语言和计量单位</w:t>
      </w:r>
      <w:bookmarkEnd w:id="46"/>
      <w:bookmarkEnd w:id="47"/>
    </w:p>
    <w:p>
      <w:pPr>
        <w:numPr>
          <w:ilvl w:val="1"/>
          <w:numId w:val="19"/>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竞争性磋商响应文件以及供应商与采购代理机构或采购人就有关磋商的所有来往信函、电报、传真等均应使用中文。供应商提交的支持文件或印刷的文献可以用另一种语言，但相应内容应附有中文翻译本，在解释竞争性磋商响应文件时以中文翻译本为准。</w:t>
      </w:r>
    </w:p>
    <w:p>
      <w:pPr>
        <w:numPr>
          <w:ilvl w:val="1"/>
          <w:numId w:val="19"/>
        </w:numPr>
        <w:tabs>
          <w:tab w:val="left" w:pos="540"/>
          <w:tab w:val="clear" w:pos="360"/>
        </w:tabs>
        <w:spacing w:line="360" w:lineRule="auto"/>
        <w:ind w:left="540" w:hanging="540"/>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snapToGrid w:val="0"/>
          <w:kern w:val="0"/>
          <w:szCs w:val="21"/>
          <w:lang w:val="zh-CN"/>
        </w:rPr>
        <w:t>除非竞争性磋商采购文件中另有规定，计量单位均采用中华人民共和国法定的计量单位。</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8" w:name="_Toc32272"/>
      <w:bookmarkStart w:id="49" w:name="_Toc32126"/>
      <w:r>
        <w:rPr>
          <w:rFonts w:hint="eastAsia" w:asciiTheme="minorEastAsia" w:hAnsiTheme="minorEastAsia" w:eastAsiaTheme="minorEastAsia" w:cstheme="minorEastAsia"/>
          <w:b/>
          <w:snapToGrid w:val="0"/>
          <w:kern w:val="0"/>
          <w:szCs w:val="21"/>
          <w:lang w:val="zh-CN"/>
        </w:rPr>
        <w:t>竞争性磋商响应文件的构成</w:t>
      </w:r>
      <w:bookmarkEnd w:id="48"/>
      <w:bookmarkEnd w:id="49"/>
    </w:p>
    <w:p>
      <w:pPr>
        <w:numPr>
          <w:ilvl w:val="1"/>
          <w:numId w:val="20"/>
        </w:numPr>
        <w:tabs>
          <w:tab w:val="left" w:pos="525"/>
          <w:tab w:val="clear" w:pos="360"/>
        </w:tabs>
        <w:autoSpaceDE w:val="0"/>
        <w:autoSpaceDN w:val="0"/>
        <w:adjustRightInd w:val="0"/>
        <w:spacing w:line="360" w:lineRule="auto"/>
        <w:ind w:left="0" w:firstLine="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供应商编制的竞争性磋商响应</w:t>
      </w:r>
      <w:r>
        <w:rPr>
          <w:rFonts w:hint="eastAsia" w:asciiTheme="minorEastAsia" w:hAnsiTheme="minorEastAsia" w:eastAsiaTheme="minorEastAsia" w:cstheme="minorEastAsia"/>
          <w:snapToGrid w:val="0"/>
          <w:kern w:val="0"/>
          <w:szCs w:val="21"/>
          <w:lang w:val="en-US" w:eastAsia="zh-CN"/>
        </w:rPr>
        <w:t>文</w:t>
      </w:r>
      <w:r>
        <w:rPr>
          <w:rFonts w:hint="eastAsia" w:asciiTheme="minorEastAsia" w:hAnsiTheme="minorEastAsia" w:eastAsiaTheme="minorEastAsia" w:cstheme="minorEastAsia"/>
          <w:snapToGrid w:val="0"/>
          <w:kern w:val="0"/>
          <w:szCs w:val="21"/>
          <w:lang w:val="zh-CN"/>
        </w:rPr>
        <w:t>件应包括的内容详见本文件第六章要求。</w:t>
      </w:r>
    </w:p>
    <w:p>
      <w:p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bCs/>
          <w:szCs w:val="21"/>
        </w:rPr>
        <w:t>注：响应文件目录及内容每页须顺序编写页码。</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0" w:name="_Toc25217"/>
      <w:bookmarkStart w:id="51" w:name="_Toc32143"/>
      <w:r>
        <w:rPr>
          <w:rFonts w:hint="eastAsia" w:asciiTheme="minorEastAsia" w:hAnsiTheme="minorEastAsia" w:eastAsiaTheme="minorEastAsia" w:cstheme="minorEastAsia"/>
          <w:b/>
          <w:snapToGrid w:val="0"/>
          <w:kern w:val="0"/>
          <w:szCs w:val="21"/>
          <w:lang w:val="zh-CN"/>
        </w:rPr>
        <w:t>竞争性磋商响应文件的编制</w:t>
      </w:r>
      <w:bookmarkEnd w:id="50"/>
      <w:bookmarkEnd w:id="51"/>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供应商在编制响应文件时应注意本次采购对多包采购的规定，多包采购的规定见《供应商须知前附表》。</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2" w:name="_Toc5535"/>
      <w:bookmarkStart w:id="53" w:name="_Toc24544"/>
      <w:r>
        <w:rPr>
          <w:rFonts w:hint="eastAsia" w:asciiTheme="minorEastAsia" w:hAnsiTheme="minorEastAsia" w:eastAsiaTheme="minorEastAsia" w:cstheme="minorEastAsia"/>
          <w:b/>
          <w:snapToGrid w:val="0"/>
          <w:kern w:val="0"/>
          <w:szCs w:val="21"/>
          <w:lang w:val="zh-CN"/>
        </w:rPr>
        <w:t>磋商报价</w:t>
      </w:r>
      <w:bookmarkEnd w:id="52"/>
      <w:bookmarkEnd w:id="53"/>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磋商报价包括磋商供应商在首次提交的响应文件中的报价、磋商过程中的报价和最后报价。磋商供应商的报价均应以人民币报价。</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供应商应根据本磋商文件的规定和要求、市场价格水平及其走势、</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供应商的管理水平、</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napToGrid w:val="0"/>
          <w:kern w:val="0"/>
          <w:szCs w:val="21"/>
          <w:lang w:val="zh-CN"/>
        </w:rPr>
        <w:t>方案</w:t>
      </w:r>
      <w:r>
        <w:rPr>
          <w:rFonts w:hint="eastAsia" w:asciiTheme="minorEastAsia" w:hAnsiTheme="minorEastAsia" w:eastAsiaTheme="minorEastAsia" w:cstheme="minorEastAsia"/>
          <w:szCs w:val="21"/>
        </w:rPr>
        <w:t>和由这些因素决定的磋商供应商之于本项目的成本水平等提出自己的报价。</w:t>
      </w:r>
      <w:r>
        <w:rPr>
          <w:rFonts w:hint="eastAsia" w:asciiTheme="minorEastAsia" w:hAnsiTheme="minorEastAsia" w:eastAsiaTheme="minorEastAsia" w:cstheme="minorEastAsia"/>
          <w:snapToGrid w:val="0"/>
          <w:kern w:val="0"/>
          <w:szCs w:val="21"/>
          <w:lang w:val="zh-CN"/>
        </w:rPr>
        <w:t>报价应包含完成本采购文件采购需求全部内容的所有费用，所有根据本采购文件或其它原因应由磋商供应商支付的税款和其他应缴纳的费用都应包括在报价中。</w:t>
      </w:r>
      <w:r>
        <w:rPr>
          <w:rFonts w:hint="eastAsia" w:asciiTheme="minorEastAsia" w:hAnsiTheme="minorEastAsia" w:eastAsiaTheme="minorEastAsia" w:cstheme="minorEastAsia"/>
          <w:szCs w:val="21"/>
        </w:rPr>
        <w:t>但磋商供应商不得以低于其成本的价格进行报价。</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供应商在响应文件中</w:t>
      </w:r>
      <w:r>
        <w:rPr>
          <w:rFonts w:hint="eastAsia" w:asciiTheme="minorEastAsia" w:hAnsiTheme="minorEastAsia" w:eastAsiaTheme="minorEastAsia" w:cstheme="minorEastAsia"/>
          <w:snapToGrid w:val="0"/>
          <w:kern w:val="0"/>
          <w:szCs w:val="21"/>
          <w:lang w:val="zh-CN"/>
        </w:rPr>
        <w:t>注明免费的项目将视为包含在报价中。</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每一种采购内容只允许有一个报价，否则其响应文件将被视为无效文件。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成交供应商的报价在合同执行过程中是固定不变的，不得以任何理由予以变更。</w:t>
      </w:r>
    </w:p>
    <w:p>
      <w:pPr>
        <w:numPr>
          <w:ilvl w:val="0"/>
          <w:numId w:val="11"/>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4" w:name="_Toc10586"/>
      <w:bookmarkStart w:id="55" w:name="_Toc6176"/>
      <w:r>
        <w:rPr>
          <w:rFonts w:hint="eastAsia" w:asciiTheme="minorEastAsia" w:hAnsiTheme="minorEastAsia" w:eastAsiaTheme="minorEastAsia" w:cstheme="minorEastAsia"/>
          <w:b/>
          <w:snapToGrid w:val="0"/>
          <w:kern w:val="0"/>
          <w:szCs w:val="21"/>
          <w:lang w:val="zh-CN"/>
        </w:rPr>
        <w:t>备选方案</w:t>
      </w:r>
      <w:bookmarkEnd w:id="54"/>
      <w:bookmarkEnd w:id="55"/>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是否允许备选方案见《供应商须知前附表》。不允许有备选方案的，若在响应文件中提交了备选方案，其响应文件将被视为无效文件。 </w:t>
      </w:r>
    </w:p>
    <w:p>
      <w:pPr>
        <w:numPr>
          <w:ilvl w:val="0"/>
          <w:numId w:val="11"/>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6" w:name="_Toc3324"/>
      <w:bookmarkStart w:id="57" w:name="_Toc11349"/>
      <w:r>
        <w:rPr>
          <w:rFonts w:hint="eastAsia" w:asciiTheme="minorEastAsia" w:hAnsiTheme="minorEastAsia" w:eastAsiaTheme="minorEastAsia" w:cstheme="minorEastAsia"/>
          <w:b/>
          <w:snapToGrid w:val="0"/>
          <w:kern w:val="0"/>
          <w:szCs w:val="21"/>
          <w:lang w:val="zh-CN"/>
        </w:rPr>
        <w:t>联合体</w:t>
      </w:r>
      <w:bookmarkEnd w:id="56"/>
      <w:bookmarkEnd w:id="57"/>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本次采购是否允许联合体参加详见《供应商须知前附表》。 </w:t>
      </w:r>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本次采购允许联合体报价的，联合体各方不得再单独或者与其他供应商另外组成联合体参加本项目的报价。</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8" w:name="_Toc13069"/>
      <w:bookmarkStart w:id="59" w:name="_Toc2434"/>
      <w:r>
        <w:rPr>
          <w:rFonts w:hint="eastAsia" w:asciiTheme="minorEastAsia" w:hAnsiTheme="minorEastAsia" w:eastAsiaTheme="minorEastAsia" w:cstheme="minorEastAsia"/>
          <w:b/>
          <w:snapToGrid w:val="0"/>
          <w:kern w:val="0"/>
          <w:szCs w:val="21"/>
          <w:lang w:val="zh-CN"/>
        </w:rPr>
        <w:t>供应商资格证明文件</w:t>
      </w:r>
      <w:bookmarkEnd w:id="58"/>
      <w:bookmarkEnd w:id="59"/>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供应商应在响应文件提交证明其有资格参加磋商的证明文件，证明文件应包括下列文件：</w:t>
      </w:r>
    </w:p>
    <w:p>
      <w:pPr>
        <w:numPr>
          <w:ilvl w:val="3"/>
          <w:numId w:val="26"/>
        </w:numPr>
        <w:tabs>
          <w:tab w:val="left" w:pos="540"/>
          <w:tab w:val="clear" w:pos="20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kern w:val="0"/>
          <w:szCs w:val="21"/>
          <w:lang w:val="en-US" w:eastAsia="zh-CN"/>
        </w:rPr>
        <w:t>实质性要求</w:t>
      </w:r>
      <w:r>
        <w:rPr>
          <w:rFonts w:hint="eastAsia" w:asciiTheme="minorEastAsia" w:hAnsiTheme="minorEastAsia" w:eastAsiaTheme="minorEastAsia" w:cstheme="minorEastAsia"/>
          <w:snapToGrid w:val="0"/>
          <w:kern w:val="0"/>
          <w:szCs w:val="21"/>
          <w:lang w:val="zh-CN"/>
        </w:rPr>
        <w:t>）见《供应商须知前附表》。</w:t>
      </w:r>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除本须知14.1要求的资格证明文件外，如国家法律法规对市场准入有要求的还应提交相关资格证明文件。</w:t>
      </w:r>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证明材料仅限于磋商供应商单位本身，母公司、股东单位和子公司的材料不能作为证明材料，但磋商供应商单位兼并的企业的材料可作为证明材料。必须</w:t>
      </w:r>
      <w:r>
        <w:rPr>
          <w:rFonts w:hint="eastAsia" w:asciiTheme="minorEastAsia" w:hAnsiTheme="minorEastAsia" w:eastAsiaTheme="minorEastAsia" w:cstheme="minorEastAsia"/>
          <w:snapToGrid w:val="0"/>
          <w:kern w:val="0"/>
          <w:szCs w:val="21"/>
          <w:lang w:val="en-US" w:eastAsia="zh-CN"/>
        </w:rPr>
        <w:t>每页</w:t>
      </w:r>
      <w:r>
        <w:rPr>
          <w:rFonts w:hint="eastAsia" w:asciiTheme="minorEastAsia" w:hAnsiTheme="minorEastAsia" w:eastAsiaTheme="minorEastAsia" w:cstheme="minorEastAsia"/>
          <w:snapToGrid w:val="0"/>
          <w:kern w:val="0"/>
          <w:szCs w:val="21"/>
          <w:lang w:val="zh-CN"/>
        </w:rPr>
        <w:t>加盖单位印章，</w:t>
      </w:r>
      <w:r>
        <w:rPr>
          <w:rFonts w:hint="eastAsia" w:asciiTheme="minorEastAsia" w:hAnsiTheme="minorEastAsia" w:eastAsiaTheme="minorEastAsia" w:cstheme="minorEastAsia"/>
          <w:snapToGrid w:val="0"/>
          <w:kern w:val="0"/>
          <w:szCs w:val="21"/>
          <w:lang w:val="en-US" w:eastAsia="zh-CN"/>
        </w:rPr>
        <w:t>否则做废标处理</w:t>
      </w:r>
      <w:r>
        <w:rPr>
          <w:rFonts w:hint="eastAsia" w:asciiTheme="minorEastAsia" w:hAnsiTheme="minorEastAsia" w:eastAsiaTheme="minorEastAsia" w:cstheme="minorEastAsia"/>
          <w:snapToGrid w:val="0"/>
          <w:kern w:val="0"/>
          <w:szCs w:val="21"/>
          <w:lang w:val="zh-CN"/>
        </w:rPr>
        <w:t>。</w:t>
      </w:r>
    </w:p>
    <w:p>
      <w:pPr>
        <w:numPr>
          <w:ilvl w:val="1"/>
          <w:numId w:val="25"/>
        </w:numPr>
        <w:tabs>
          <w:tab w:val="left" w:pos="540"/>
          <w:tab w:val="clear" w:pos="465"/>
        </w:tabs>
        <w:autoSpaceDE w:val="0"/>
        <w:autoSpaceDN w:val="0"/>
        <w:adjustRightInd w:val="0"/>
        <w:spacing w:line="360" w:lineRule="auto"/>
        <w:ind w:left="540" w:hanging="540"/>
        <w:jc w:val="left"/>
        <w:rPr>
          <w:rFonts w:hint="eastAsia" w:eastAsiaTheme="minorEastAsia"/>
          <w:lang w:val="en-US" w:eastAsia="zh-CN"/>
        </w:rPr>
      </w:pPr>
      <w:r>
        <w:rPr>
          <w:rFonts w:hint="eastAsia" w:asciiTheme="minorEastAsia" w:hAnsiTheme="minorEastAsia" w:eastAsiaTheme="minorEastAsia" w:cstheme="minorEastAsia"/>
          <w:snapToGrid w:val="0"/>
          <w:kern w:val="0"/>
          <w:szCs w:val="21"/>
          <w:lang w:val="en-US" w:eastAsia="zh-CN"/>
        </w:rPr>
        <w:t>供应商不得存在的其他情形</w:t>
      </w:r>
      <w:r>
        <w:rPr>
          <w:rFonts w:hint="eastAsia" w:asciiTheme="minorEastAsia" w:hAnsiTheme="minorEastAsia" w:eastAsiaTheme="minorEastAsia" w:cstheme="minorEastAsia"/>
          <w:snapToGrid w:val="0"/>
          <w:kern w:val="0"/>
          <w:szCs w:val="21"/>
          <w:lang w:val="zh-CN"/>
        </w:rPr>
        <w:t>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0" w:name="_Toc20825"/>
      <w:bookmarkStart w:id="61" w:name="_Toc9935"/>
      <w:r>
        <w:rPr>
          <w:rFonts w:hint="eastAsia" w:asciiTheme="minorEastAsia" w:hAnsiTheme="minorEastAsia" w:eastAsiaTheme="minorEastAsia" w:cstheme="minorEastAsia"/>
          <w:b/>
          <w:snapToGrid w:val="0"/>
          <w:kern w:val="0"/>
          <w:szCs w:val="21"/>
          <w:lang w:val="zh-CN"/>
        </w:rPr>
        <w:t>证明报价内容、服务合格性和符合竞争性磋商采购文件规定的文件</w:t>
      </w:r>
      <w:bookmarkEnd w:id="60"/>
      <w:bookmarkEnd w:id="61"/>
    </w:p>
    <w:p>
      <w:pPr>
        <w:numPr>
          <w:ilvl w:val="1"/>
          <w:numId w:val="27"/>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kern w:val="0"/>
          <w:szCs w:val="21"/>
          <w:lang w:val="zh-CN"/>
        </w:rPr>
        <w:t>证明报价内容符合竞争性磋商采购文件要求的文件和竞争性磋商采购文件规定的其他资料，具体要求</w:t>
      </w:r>
      <w:r>
        <w:rPr>
          <w:rFonts w:hint="eastAsia" w:asciiTheme="minorEastAsia" w:hAnsiTheme="minorEastAsia" w:eastAsiaTheme="minorEastAsia" w:cstheme="minorEastAsia"/>
          <w:snapToGrid w:val="0"/>
          <w:color w:val="auto"/>
          <w:kern w:val="0"/>
          <w:szCs w:val="21"/>
          <w:lang w:val="zh-CN"/>
        </w:rPr>
        <w:t>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2" w:name="_Toc27068"/>
      <w:bookmarkStart w:id="63" w:name="_Toc31436"/>
      <w:r>
        <w:rPr>
          <w:rFonts w:hint="eastAsia" w:asciiTheme="minorEastAsia" w:hAnsiTheme="minorEastAsia" w:eastAsiaTheme="minorEastAsia" w:cstheme="minorEastAsia"/>
          <w:b/>
          <w:snapToGrid w:val="0"/>
          <w:color w:val="auto"/>
          <w:kern w:val="0"/>
          <w:szCs w:val="21"/>
          <w:lang w:val="zh-CN"/>
        </w:rPr>
        <w:t>磋商保证金</w:t>
      </w:r>
      <w:bookmarkEnd w:id="62"/>
      <w:bookmarkEnd w:id="63"/>
    </w:p>
    <w:p>
      <w:pPr>
        <w:numPr>
          <w:ilvl w:val="1"/>
          <w:numId w:val="28"/>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本采购文件是否要求递交磋商保证金及保证金金额、递交方式、递交时间、接受保证金的帐户信息等详见《供应商须知前附表》。</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color w:val="auto"/>
          <w:kern w:val="0"/>
          <w:szCs w:val="21"/>
          <w:lang w:val="zh-CN"/>
        </w:rPr>
        <w:t>本采购文件要求递</w:t>
      </w:r>
      <w:r>
        <w:rPr>
          <w:rFonts w:hint="eastAsia" w:asciiTheme="minorEastAsia" w:hAnsiTheme="minorEastAsia" w:eastAsiaTheme="minorEastAsia" w:cstheme="minorEastAsia"/>
          <w:snapToGrid w:val="0"/>
          <w:kern w:val="0"/>
          <w:szCs w:val="21"/>
          <w:lang w:val="zh-CN"/>
        </w:rPr>
        <w:t>交磋商保证金的，磋商保证金作为竞争性磋商响应文件的组成部分，</w:t>
      </w:r>
      <w:r>
        <w:rPr>
          <w:rFonts w:hint="eastAsia" w:asciiTheme="minorEastAsia" w:hAnsiTheme="minorEastAsia" w:eastAsiaTheme="minorEastAsia" w:cstheme="minorEastAsia"/>
          <w:szCs w:val="21"/>
          <w:lang w:val="zh-CN"/>
        </w:rPr>
        <w:t>以到账为准。</w:t>
      </w:r>
      <w:r>
        <w:rPr>
          <w:rFonts w:hint="eastAsia" w:asciiTheme="minorEastAsia" w:hAnsiTheme="minorEastAsia" w:eastAsiaTheme="minorEastAsia" w:cstheme="minorEastAsia"/>
          <w:snapToGrid w:val="0"/>
          <w:kern w:val="0"/>
          <w:szCs w:val="21"/>
          <w:lang w:val="zh-CN"/>
        </w:rPr>
        <w:t>凡未按规定递交磋商保证金的报价，其响应文件将被视为无效文件。</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磋商保证金有效时间：磋商保证金的有效期与本次磋商有效期一致。</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供应商为联合体的，应由联合体中牵头人缴纳保证金，其缴纳的保证金对联合体各方均具有约束力。</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保证金的退还：未成交的磋商供应商，其磋商保证金在成交通知书发出后5个工作日内不计利息原额退还，成交供应商的磋商保证金，在成交供应商与采购人签订合同后5个工作日内不计利息原额退还。</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有下列情形之一的，磋商保证金将不予退还:</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供应商在提交响应文件截止时间后撤回响应文件的；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供应商在响应文件中提供虚假材料的；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除因不可抗力或磋商文件认可的情形以外，成交供应商不与采购人签订合同的；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供应商与采购人、其他供应商或者采购代理机构恶意串通的；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本采购文件规定的其他情形。</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4" w:name="_Toc24159"/>
      <w:bookmarkStart w:id="65" w:name="_Toc5668"/>
      <w:r>
        <w:rPr>
          <w:rFonts w:hint="eastAsia" w:asciiTheme="minorEastAsia" w:hAnsiTheme="minorEastAsia" w:eastAsiaTheme="minorEastAsia" w:cstheme="minorEastAsia"/>
          <w:b/>
          <w:snapToGrid w:val="0"/>
          <w:kern w:val="0"/>
          <w:szCs w:val="21"/>
          <w:lang w:val="zh-CN"/>
        </w:rPr>
        <w:t>磋商有效期</w:t>
      </w:r>
      <w:bookmarkEnd w:id="64"/>
      <w:bookmarkEnd w:id="65"/>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磋商有效期从磋商结束之日起计算，本次采购磋商有效期见《供应商须知前附表》，磋商供应商承诺的磋商有效期不足的，其响应文件将被视为无效文件。</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供应商同意延长磋商有效期的，不得要求或被允许修改或撤销其竞争性磋商响应文件；供应商拒绝延长的，其响应文件失效，但供应商有权收回其磋商保证金。</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6" w:name="_Toc3344"/>
      <w:bookmarkStart w:id="67" w:name="_Toc8272"/>
      <w:r>
        <w:rPr>
          <w:rFonts w:hint="eastAsia" w:asciiTheme="minorEastAsia" w:hAnsiTheme="minorEastAsia" w:eastAsiaTheme="minorEastAsia" w:cstheme="minorEastAsia"/>
          <w:b/>
          <w:snapToGrid w:val="0"/>
          <w:kern w:val="0"/>
          <w:szCs w:val="21"/>
          <w:lang w:val="zh-CN"/>
        </w:rPr>
        <w:t>竞争性磋商响应文件的装订、签署和数量</w:t>
      </w:r>
      <w:bookmarkEnd w:id="66"/>
      <w:bookmarkEnd w:id="67"/>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、报价一览表。本次磋商供应商提交响应文件正、副本和电子文档的数量见《供应商须知前附表》。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套响应文件须清楚地标明“正本”、“副本”，响应文件的副本可采用正本的复印件，若副本与正本不符，以正本为准；如单独提供的法定代表人授权委托书（或法定代表人身份证明书）、报价一览表与响应文件正本不符，以正本为准。电子文档与纸质文件不符，以纸质文件为准。</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竞争性磋商响应文件中的任何行间插字、涂改和增删，必须由法定代表人或授权代表在旁边签字才有效。</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响应文件应当采用不可拆卸的方法的装订，对未经装订的竞争性磋商响应文件可能发生的文件散落或缺损及由此产生的后果由磋商供应商承担。</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68" w:name="_Toc18735"/>
      <w:r>
        <w:rPr>
          <w:rFonts w:hint="eastAsia" w:asciiTheme="minorEastAsia" w:hAnsiTheme="minorEastAsia" w:eastAsiaTheme="minorEastAsia" w:cstheme="minorEastAsia"/>
          <w:b/>
          <w:szCs w:val="21"/>
        </w:rPr>
        <w:t>竞争性磋商响应文件的递交</w:t>
      </w:r>
      <w:bookmarkEnd w:id="68"/>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9" w:name="_Toc32495"/>
      <w:bookmarkStart w:id="70" w:name="_Toc27305"/>
      <w:r>
        <w:rPr>
          <w:rFonts w:hint="eastAsia" w:asciiTheme="minorEastAsia" w:hAnsiTheme="minorEastAsia" w:eastAsiaTheme="minorEastAsia" w:cstheme="minorEastAsia"/>
          <w:b/>
          <w:szCs w:val="21"/>
        </w:rPr>
        <w:t>竞争性磋商响应文件</w:t>
      </w:r>
      <w:r>
        <w:rPr>
          <w:rFonts w:hint="eastAsia" w:asciiTheme="minorEastAsia" w:hAnsiTheme="minorEastAsia" w:eastAsiaTheme="minorEastAsia" w:cstheme="minorEastAsia"/>
          <w:b/>
          <w:snapToGrid w:val="0"/>
          <w:kern w:val="0"/>
          <w:szCs w:val="21"/>
          <w:lang w:val="zh-CN"/>
        </w:rPr>
        <w:t>的密封和标记</w:t>
      </w:r>
      <w:bookmarkEnd w:id="69"/>
      <w:bookmarkEnd w:id="70"/>
    </w:p>
    <w:p>
      <w:pPr>
        <w:numPr>
          <w:ilvl w:val="1"/>
          <w:numId w:val="3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响应文件的正本、所有副本和电子文档必须密封，</w:t>
      </w:r>
      <w:r>
        <w:rPr>
          <w:rFonts w:hint="eastAsia" w:asciiTheme="minorEastAsia" w:hAnsiTheme="minorEastAsia" w:eastAsiaTheme="minorEastAsia" w:cstheme="minorEastAsia"/>
          <w:snapToGrid w:val="0"/>
          <w:kern w:val="0"/>
          <w:szCs w:val="21"/>
          <w:lang w:val="en-US" w:eastAsia="zh-CN"/>
        </w:rPr>
        <w:t>并在每一页以及骑缝处</w:t>
      </w:r>
      <w:r>
        <w:rPr>
          <w:rFonts w:hint="eastAsia" w:asciiTheme="minorEastAsia" w:hAnsiTheme="minorEastAsia" w:eastAsiaTheme="minorEastAsia" w:cstheme="minorEastAsia"/>
          <w:snapToGrid w:val="0"/>
          <w:kern w:val="0"/>
          <w:szCs w:val="21"/>
          <w:lang w:val="zh-CN"/>
        </w:rPr>
        <w:t>加盖供应商公章</w:t>
      </w:r>
      <w:r>
        <w:rPr>
          <w:rFonts w:hint="eastAsia" w:asciiTheme="minorEastAsia" w:hAnsiTheme="minorEastAsia" w:eastAsiaTheme="minorEastAsia" w:cstheme="minorEastAsia"/>
          <w:snapToGrid w:val="0"/>
          <w:kern w:val="0"/>
          <w:szCs w:val="21"/>
        </w:rPr>
        <w:t>后</w:t>
      </w:r>
      <w:r>
        <w:rPr>
          <w:rFonts w:hint="eastAsia" w:asciiTheme="minorEastAsia" w:hAnsiTheme="minorEastAsia" w:eastAsiaTheme="minorEastAsia" w:cstheme="minorEastAsia"/>
          <w:snapToGrid w:val="0"/>
          <w:kern w:val="0"/>
          <w:szCs w:val="21"/>
          <w:lang w:val="zh-CN"/>
        </w:rPr>
        <w:t>递交，包装上应注明</w:t>
      </w:r>
      <w:r>
        <w:rPr>
          <w:rFonts w:hint="eastAsia" w:asciiTheme="minorEastAsia" w:hAnsiTheme="minorEastAsia" w:eastAsiaTheme="minorEastAsia" w:cstheme="minorEastAsia"/>
          <w:snapToGrid w:val="0"/>
          <w:kern w:val="0"/>
          <w:szCs w:val="21"/>
          <w:lang w:val="en-US" w:eastAsia="zh-CN"/>
        </w:rPr>
        <w:t>项目</w:t>
      </w:r>
      <w:r>
        <w:rPr>
          <w:rFonts w:hint="eastAsia" w:asciiTheme="minorEastAsia" w:hAnsiTheme="minorEastAsia" w:eastAsiaTheme="minorEastAsia" w:cstheme="minorEastAsia"/>
          <w:snapToGrid w:val="0"/>
          <w:kern w:val="0"/>
          <w:szCs w:val="21"/>
          <w:lang w:val="zh-CN"/>
        </w:rPr>
        <w:t>编号、项目名称、包号、供应商名称及“</w:t>
      </w:r>
      <w:r>
        <w:rPr>
          <w:rFonts w:hint="eastAsia" w:asciiTheme="minorEastAsia" w:hAnsiTheme="minorEastAsia" w:eastAsiaTheme="minorEastAsia" w:cstheme="minorEastAsia"/>
          <w:snapToGrid w:val="0"/>
          <w:kern w:val="0"/>
          <w:szCs w:val="21"/>
          <w:u w:val="single"/>
          <w:lang w:val="zh-CN"/>
        </w:rPr>
        <w:t xml:space="preserve">  （磋商</w:t>
      </w:r>
      <w:r>
        <w:rPr>
          <w:rFonts w:hint="eastAsia" w:asciiTheme="minorEastAsia" w:hAnsiTheme="minorEastAsia" w:eastAsiaTheme="minorEastAsia" w:cstheme="minorEastAsia"/>
          <w:snapToGrid w:val="0"/>
          <w:kern w:val="0"/>
          <w:szCs w:val="21"/>
          <w:u w:val="single"/>
          <w:lang w:val="en-US" w:eastAsia="zh-CN"/>
        </w:rPr>
        <w:t>截止</w:t>
      </w:r>
      <w:r>
        <w:rPr>
          <w:rFonts w:hint="eastAsia" w:asciiTheme="minorEastAsia" w:hAnsiTheme="minorEastAsia" w:eastAsiaTheme="minorEastAsia" w:cstheme="minorEastAsia"/>
          <w:snapToGrid w:val="0"/>
          <w:kern w:val="0"/>
          <w:szCs w:val="21"/>
          <w:u w:val="single"/>
          <w:lang w:val="zh-CN"/>
        </w:rPr>
        <w:t>时间）  前</w:t>
      </w:r>
      <w:r>
        <w:rPr>
          <w:rFonts w:hint="eastAsia" w:asciiTheme="minorEastAsia" w:hAnsiTheme="minorEastAsia" w:eastAsiaTheme="minorEastAsia" w:cstheme="minorEastAsia"/>
          <w:snapToGrid w:val="0"/>
          <w:kern w:val="0"/>
          <w:szCs w:val="21"/>
          <w:lang w:val="zh-CN"/>
        </w:rPr>
        <w:t>不得启封”的字样。</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为方便磋商记录，供应商还应将一份《报价一览表》（原件）与一份《法定代表人授权书》（原件）、磋商保证金缴纳证明（</w:t>
      </w:r>
      <w:r>
        <w:rPr>
          <w:rFonts w:hint="eastAsia" w:asciiTheme="minorEastAsia" w:hAnsiTheme="minorEastAsia" w:eastAsiaTheme="minorEastAsia" w:cstheme="minorEastAsia"/>
          <w:snapToGrid w:val="0"/>
          <w:kern w:val="0"/>
          <w:szCs w:val="21"/>
          <w:lang w:val="en-US" w:eastAsia="zh-CN"/>
        </w:rPr>
        <w:t>如有</w:t>
      </w:r>
      <w:r>
        <w:rPr>
          <w:rFonts w:hint="eastAsia" w:asciiTheme="minorEastAsia" w:hAnsiTheme="minorEastAsia" w:eastAsiaTheme="minorEastAsia" w:cstheme="minorEastAsia"/>
          <w:snapToGrid w:val="0"/>
          <w:kern w:val="0"/>
          <w:szCs w:val="21"/>
          <w:lang w:val="zh-CN"/>
        </w:rPr>
        <w:t>）（复印件）单独密封提交，除需按</w:t>
      </w:r>
      <w:r>
        <w:rPr>
          <w:rFonts w:hint="eastAsia" w:asciiTheme="minorEastAsia" w:hAnsiTheme="minorEastAsia" w:eastAsiaTheme="minorEastAsia" w:cstheme="minorEastAsia"/>
          <w:snapToGrid w:val="0"/>
          <w:kern w:val="0"/>
          <w:szCs w:val="21"/>
          <w:lang w:val="en-US" w:eastAsia="zh-CN"/>
        </w:rPr>
        <w:t>19.1</w:t>
      </w:r>
      <w:r>
        <w:rPr>
          <w:rFonts w:hint="eastAsia" w:asciiTheme="minorEastAsia" w:hAnsiTheme="minorEastAsia" w:eastAsiaTheme="minorEastAsia" w:cstheme="minorEastAsia"/>
          <w:snapToGrid w:val="0"/>
          <w:kern w:val="0"/>
          <w:szCs w:val="21"/>
          <w:lang w:val="zh-CN"/>
        </w:rPr>
        <w:t>款要求注明外还应在信封上标明“报价一览表”字样。</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未按要求密封和加写标记的响应文件为无效文件，采购人、采购代理机构将拒收。</w:t>
      </w:r>
    </w:p>
    <w:p>
      <w:pPr>
        <w:keepNext w:val="0"/>
        <w:keepLines w:val="0"/>
        <w:pageBreakBefore w:val="0"/>
        <w:widowControl w:val="0"/>
        <w:numPr>
          <w:ilvl w:val="1"/>
          <w:numId w:val="32"/>
        </w:numPr>
        <w:shd w:val="clear"/>
        <w:tabs>
          <w:tab w:val="left" w:pos="540"/>
          <w:tab w:val="clear" w:pos="465"/>
        </w:tabs>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要求在磋商时提交样品的，应在样品上标明磋商供应商名称。有关提交及退还样品的相关规定见《供应商须知前附表》。</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1" w:name="_Toc17857"/>
      <w:bookmarkStart w:id="72" w:name="_Toc5959"/>
      <w:r>
        <w:rPr>
          <w:rFonts w:hint="eastAsia" w:asciiTheme="minorEastAsia" w:hAnsiTheme="minorEastAsia" w:eastAsiaTheme="minorEastAsia" w:cstheme="minorEastAsia"/>
          <w:b/>
          <w:snapToGrid w:val="0"/>
          <w:kern w:val="0"/>
          <w:szCs w:val="21"/>
          <w:lang w:val="zh-CN"/>
        </w:rPr>
        <w:t>竞争性磋商响应文件的送达地点及截止时间</w:t>
      </w:r>
      <w:bookmarkEnd w:id="71"/>
      <w:bookmarkEnd w:id="72"/>
    </w:p>
    <w:p>
      <w:pPr>
        <w:keepNext w:val="0"/>
        <w:keepLines w:val="0"/>
        <w:pageBreakBefore w:val="0"/>
        <w:widowControl w:val="0"/>
        <w:shd w:val="clear"/>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b/>
          <w:snapToGrid w:val="0"/>
          <w:kern w:val="0"/>
          <w:szCs w:val="21"/>
          <w:lang w:val="zh-CN"/>
        </w:rPr>
        <w:t>20.1</w:t>
      </w:r>
      <w:r>
        <w:rPr>
          <w:rFonts w:hint="eastAsia" w:asciiTheme="minorEastAsia" w:hAnsiTheme="minorEastAsia" w:eastAsiaTheme="minorEastAsia" w:cstheme="minorEastAsia"/>
          <w:b/>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截止时间是</w:t>
      </w:r>
      <w:r>
        <w:rPr>
          <w:rFonts w:hint="eastAsia" w:asciiTheme="minorEastAsia" w:hAnsiTheme="minorEastAsia" w:eastAsiaTheme="minorEastAsia" w:cstheme="minorEastAsia"/>
          <w:b/>
          <w:snapToGrid w:val="0"/>
          <w:kern w:val="0"/>
          <w:szCs w:val="21"/>
          <w:lang w:val="zh-CN"/>
        </w:rPr>
        <w:t>竞争性磋商文件</w:t>
      </w:r>
      <w:r>
        <w:rPr>
          <w:rFonts w:hint="eastAsia" w:asciiTheme="minorEastAsia" w:hAnsiTheme="minorEastAsia" w:eastAsiaTheme="minorEastAsia" w:cstheme="minorEastAsia"/>
          <w:snapToGrid w:val="0"/>
          <w:kern w:val="0"/>
          <w:szCs w:val="21"/>
          <w:lang w:val="zh-CN"/>
        </w:rPr>
        <w:t>中规定的首次送达、提交响应文件的最后时间。本次磋商响应文件的送达地点及截止时间见《供应商须知前附表》。</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3" w:name="_Toc31142"/>
      <w:bookmarkStart w:id="74" w:name="_Toc31376"/>
      <w:r>
        <w:rPr>
          <w:rFonts w:hint="eastAsia" w:asciiTheme="minorEastAsia" w:hAnsiTheme="minorEastAsia" w:eastAsiaTheme="minorEastAsia" w:cstheme="minorEastAsia"/>
          <w:b/>
          <w:snapToGrid w:val="0"/>
          <w:kern w:val="0"/>
          <w:szCs w:val="21"/>
          <w:lang w:val="zh-CN"/>
        </w:rPr>
        <w:t>迟交的竞争性磋商响应文件</w:t>
      </w:r>
      <w:bookmarkEnd w:id="73"/>
      <w:bookmarkEnd w:id="74"/>
    </w:p>
    <w:p>
      <w:pPr>
        <w:numPr>
          <w:ilvl w:val="1"/>
          <w:numId w:val="33"/>
        </w:numPr>
        <w:shd w:val="clear"/>
        <w:tabs>
          <w:tab w:val="left" w:pos="540"/>
          <w:tab w:val="clear" w:pos="48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在本次磋商递交响应文件的截止时间以后送达的响应文件，不论何种原因，采购代理机构将拒收。</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5" w:name="_Toc31760"/>
      <w:bookmarkStart w:id="76" w:name="_Toc1988"/>
      <w:r>
        <w:rPr>
          <w:rFonts w:hint="eastAsia" w:asciiTheme="minorEastAsia" w:hAnsiTheme="minorEastAsia" w:eastAsiaTheme="minorEastAsia" w:cstheme="minorEastAsia"/>
          <w:b/>
          <w:snapToGrid w:val="0"/>
          <w:kern w:val="0"/>
          <w:szCs w:val="21"/>
          <w:lang w:val="zh-CN"/>
        </w:rPr>
        <w:t>竞争性磋商响应文件的补充、修改或者撤回</w:t>
      </w:r>
      <w:bookmarkEnd w:id="75"/>
      <w:bookmarkEnd w:id="76"/>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响应文件截止时间前，供应商可以对</w:t>
      </w:r>
      <w:r>
        <w:rPr>
          <w:rFonts w:hint="eastAsia" w:asciiTheme="minorEastAsia" w:hAnsiTheme="minorEastAsia" w:eastAsiaTheme="minorEastAsia" w:cstheme="minorEastAsia"/>
          <w:snapToGrid w:val="0"/>
          <w:kern w:val="0"/>
          <w:szCs w:val="21"/>
        </w:rPr>
        <w:t>已</w:t>
      </w:r>
      <w:r>
        <w:rPr>
          <w:rFonts w:hint="eastAsia" w:asciiTheme="minorEastAsia" w:hAnsiTheme="minorEastAsia" w:eastAsiaTheme="minorEastAsia" w:cstheme="minorEastAsia"/>
          <w:snapToGrid w:val="0"/>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从</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响应文件截止时间至磋商有效期期满这段时间，供应商不得修改或</w:t>
      </w:r>
      <w:r>
        <w:rPr>
          <w:rFonts w:hint="eastAsia" w:asciiTheme="minorEastAsia" w:hAnsiTheme="minorEastAsia" w:eastAsiaTheme="minorEastAsia" w:cstheme="minorEastAsia"/>
          <w:snapToGrid w:val="0"/>
          <w:kern w:val="0"/>
          <w:szCs w:val="21"/>
        </w:rPr>
        <w:t>撤销</w:t>
      </w:r>
      <w:r>
        <w:rPr>
          <w:rFonts w:hint="eastAsia" w:asciiTheme="minorEastAsia" w:hAnsiTheme="minorEastAsia" w:eastAsiaTheme="minorEastAsia" w:cstheme="minorEastAsia"/>
          <w:snapToGrid w:val="0"/>
          <w:kern w:val="0"/>
          <w:szCs w:val="21"/>
          <w:lang w:val="zh-CN"/>
        </w:rPr>
        <w:t>其响应文件，否则其磋商保证金将不予以退还。</w:t>
      </w:r>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供应商所提交的响应文件在磋商结束后，无论成交与否都不退还。</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77" w:name="_Toc22378"/>
      <w:r>
        <w:rPr>
          <w:rFonts w:hint="eastAsia" w:asciiTheme="minorEastAsia" w:hAnsiTheme="minorEastAsia" w:eastAsiaTheme="minorEastAsia" w:cstheme="minorEastAsia"/>
          <w:b/>
          <w:szCs w:val="21"/>
        </w:rPr>
        <w:t>磋商程序及步骤</w:t>
      </w:r>
      <w:bookmarkEnd w:id="77"/>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8" w:name="_Toc28009"/>
      <w:bookmarkStart w:id="79" w:name="_Toc22624"/>
      <w:r>
        <w:rPr>
          <w:rFonts w:hint="eastAsia" w:asciiTheme="minorEastAsia" w:hAnsiTheme="minorEastAsia" w:eastAsiaTheme="minorEastAsia" w:cstheme="minorEastAsia"/>
          <w:b/>
        </w:rPr>
        <w:t>竞争性磋商小组</w:t>
      </w:r>
      <w:bookmarkEnd w:id="78"/>
      <w:bookmarkEnd w:id="79"/>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23.1 采购人</w:t>
      </w:r>
      <w:r>
        <w:rPr>
          <w:rFonts w:hint="eastAsia" w:asciiTheme="minorEastAsia" w:hAnsiTheme="minorEastAsia" w:eastAsiaTheme="minorEastAsia" w:cstheme="minorEastAsia"/>
        </w:rPr>
        <w:t>依照《中华人民共和国政府采购法》、《中华人民共和国政府采购法实施条例》、《政府采购竞争性磋商采购方式管理暂行办法》及现行法律规定组建磋商小组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磋商小组由采购人代表和评审专家共3人或</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人以上单数组成</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磋商小组人数详见《供应商须知前附表》。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磋商小组中的评审专家人数不少于磋商小组成员总数的2/3。除本采购文件另有规定，评审专家将从政府采购评审专家库中随机抽取。 </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23.3 磋商小组所有成员按事先抽取的磋商顺序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集中与单一供应商分别进行磋商，并给予所有参加磋商的供应商平等的磋商机会。</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80" w:name="_Toc970"/>
      <w:bookmarkStart w:id="81" w:name="_Toc21483"/>
      <w:r>
        <w:rPr>
          <w:rFonts w:hint="eastAsia" w:asciiTheme="minorEastAsia" w:hAnsiTheme="minorEastAsia" w:eastAsiaTheme="minorEastAsia" w:cstheme="minorEastAsia"/>
          <w:b/>
        </w:rPr>
        <w:t>磋商代表</w:t>
      </w:r>
      <w:bookmarkEnd w:id="80"/>
      <w:bookmarkEnd w:id="81"/>
    </w:p>
    <w:p>
      <w:pPr>
        <w:keepNext w:val="0"/>
        <w:keepLines w:val="0"/>
        <w:pageBreakBefore w:val="0"/>
        <w:widowControl w:val="0"/>
        <w:tabs>
          <w:tab w:val="left" w:pos="864"/>
          <w:tab w:val="left" w:pos="1080"/>
        </w:tabs>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lang w:val="en-US" w:eastAsia="zh-CN"/>
        </w:rPr>
      </w:pPr>
      <w:bookmarkStart w:id="82" w:name="_Toc9967"/>
      <w:bookmarkStart w:id="83" w:name="_Toc32662"/>
      <w:r>
        <w:rPr>
          <w:rFonts w:hint="eastAsia" w:asciiTheme="minorEastAsia" w:hAnsiTheme="minorEastAsia" w:eastAsiaTheme="minorEastAsia" w:cstheme="minorEastAsia"/>
          <w:b/>
        </w:rPr>
        <w:t xml:space="preserve">24.1 </w:t>
      </w:r>
      <w:r>
        <w:rPr>
          <w:rFonts w:hint="eastAsia" w:asciiTheme="minorEastAsia" w:hAnsiTheme="minorEastAsia" w:eastAsiaTheme="minorEastAsia" w:cstheme="minorEastAsia"/>
          <w:szCs w:val="21"/>
        </w:rPr>
        <w:t>磋商供应商法定代表人或授权代表应携带本人身份证明参加磋商，授权代表参加磋商的，还应携带法定代表人授权书原件。磋商代表经磋商小组核对身份后，方可参加磋商。</w:t>
      </w:r>
      <w:bookmarkEnd w:id="82"/>
      <w:bookmarkEnd w:id="83"/>
      <w:r>
        <w:rPr>
          <w:rFonts w:hint="eastAsia" w:asciiTheme="minorEastAsia" w:hAnsiTheme="minorEastAsia" w:eastAsiaTheme="minorEastAsia" w:cstheme="minorEastAsia"/>
          <w:szCs w:val="21"/>
          <w:lang w:val="en-US" w:eastAsia="zh-CN"/>
        </w:rPr>
        <w:t>磋商代表的其他要求见《供应商须知前附表》。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84" w:name="_Toc16887"/>
      <w:r>
        <w:rPr>
          <w:rFonts w:hint="eastAsia" w:asciiTheme="minorEastAsia" w:hAnsiTheme="minorEastAsia" w:eastAsiaTheme="minorEastAsia" w:cstheme="minorEastAsia"/>
          <w:b/>
        </w:rPr>
        <w:t>资格审查和符合性审查</w:t>
      </w:r>
      <w:bookmarkEnd w:id="84"/>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25.1在正式磋商前，本磋商文件第四章规定的程序和方法，对供应商进行资格性审查和符合性审查，通过资格性审查和符合性审查，实质性响应磋商文件的供应商方可进入磋商程序。</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85" w:name="_Toc9265"/>
      <w:r>
        <w:rPr>
          <w:rFonts w:hint="eastAsia" w:asciiTheme="minorEastAsia" w:hAnsiTheme="minorEastAsia" w:eastAsiaTheme="minorEastAsia" w:cstheme="minorEastAsia"/>
          <w:b/>
        </w:rPr>
        <w:t>磋商</w:t>
      </w:r>
      <w:bookmarkEnd w:id="85"/>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26.1</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磋商小组将根据本磋商文件第四章规定的程序和方法与</w:t>
      </w:r>
      <w:r>
        <w:rPr>
          <w:rFonts w:hint="eastAsia" w:asciiTheme="minorEastAsia" w:hAnsiTheme="minorEastAsia" w:eastAsiaTheme="minorEastAsia" w:cstheme="minorEastAsia"/>
          <w:szCs w:val="21"/>
          <w:lang w:val="en-US" w:eastAsia="zh-CN"/>
        </w:rPr>
        <w:t>供应商</w:t>
      </w:r>
      <w:r>
        <w:rPr>
          <w:rFonts w:hint="eastAsia" w:asciiTheme="minorEastAsia" w:hAnsiTheme="minorEastAsia" w:eastAsiaTheme="minorEastAsia" w:cstheme="minorEastAsia"/>
          <w:szCs w:val="21"/>
        </w:rPr>
        <w:t>进行磋商。在磋商中，磋商的任何一方不得透露与磋商有关的其他磋商供应商的技</w:t>
      </w:r>
      <w:r>
        <w:rPr>
          <w:rFonts w:hint="eastAsia" w:asciiTheme="minorEastAsia" w:hAnsiTheme="minorEastAsia" w:eastAsiaTheme="minorEastAsia" w:cstheme="minorEastAsia"/>
        </w:rPr>
        <w:t>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Theme="minorEastAsia" w:hAnsiTheme="minorEastAsia" w:eastAsiaTheme="minorEastAsia" w:cstheme="minorEastAsia"/>
          <w:szCs w:val="21"/>
        </w:rPr>
        <w:t>并提供必要的修正时间。</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26.3</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供应商应当按照磋商文件的变动情况和磋商小组的要求重新提交响应文件，</w:t>
      </w:r>
      <w:r>
        <w:rPr>
          <w:rFonts w:hint="eastAsia" w:asciiTheme="minorEastAsia" w:hAnsiTheme="minorEastAsia" w:eastAsiaTheme="minorEastAsia" w:cstheme="minorEastAsia"/>
          <w:szCs w:val="21"/>
        </w:rPr>
        <w:t>对原响应文件进行技术、商务、价格修正，</w:t>
      </w:r>
      <w:r>
        <w:rPr>
          <w:rFonts w:hint="eastAsia" w:asciiTheme="minorEastAsia" w:hAnsiTheme="minorEastAsia" w:eastAsiaTheme="minorEastAsia" w:cstheme="minorEastAsia"/>
          <w:color w:val="auto"/>
          <w:szCs w:val="21"/>
        </w:rPr>
        <w:t>重新提交的响应文件应实质性响应本磋商文件及</w:t>
      </w:r>
      <w:r>
        <w:rPr>
          <w:rFonts w:hint="eastAsia" w:asciiTheme="minorEastAsia" w:hAnsiTheme="minorEastAsia" w:eastAsiaTheme="minorEastAsia" w:cstheme="minorEastAsia"/>
          <w:color w:val="auto"/>
        </w:rPr>
        <w:t>对磋商文件作出的实质性变动，</w:t>
      </w:r>
      <w:r>
        <w:rPr>
          <w:rFonts w:hint="eastAsia" w:asciiTheme="minorEastAsia" w:hAnsiTheme="minorEastAsia" w:eastAsiaTheme="minorEastAsia" w:cstheme="minorEastAsia"/>
          <w:color w:val="auto"/>
          <w:szCs w:val="21"/>
        </w:rPr>
        <w:t>并按本采购文件的规定进行签署。重新提交的响应文件与原响应文件不一致的，以重新提交的响应文件为准。不按要求签署或逾时不提交响应文件的，视同放弃磋商，放弃磋商的</w:t>
      </w:r>
      <w:r>
        <w:rPr>
          <w:rFonts w:hint="eastAsia" w:asciiTheme="minorEastAsia" w:hAnsiTheme="minorEastAsia" w:eastAsiaTheme="minorEastAsia" w:cstheme="minorEastAsia"/>
          <w:color w:val="auto"/>
        </w:rPr>
        <w:t>供应商的磋商保证金将在成交通知书发放后的五个工作日内退还。</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26.4  竞标报价有算术错误的，</w:t>
      </w:r>
      <w:r>
        <w:rPr>
          <w:rFonts w:hint="eastAsia" w:asciiTheme="minorEastAsia" w:hAnsiTheme="minorEastAsia" w:eastAsiaTheme="minorEastAsia" w:cstheme="minorEastAsia"/>
          <w:color w:val="auto"/>
          <w:szCs w:val="21"/>
        </w:rPr>
        <w:t>磋商小组</w:t>
      </w:r>
      <w:r>
        <w:rPr>
          <w:rFonts w:hint="eastAsia" w:asciiTheme="minorEastAsia" w:hAnsiTheme="minorEastAsia" w:eastAsiaTheme="minorEastAsia" w:cstheme="minorEastAsia"/>
          <w:color w:val="auto"/>
          <w:szCs w:val="21"/>
          <w:lang w:eastAsia="zh-CN"/>
        </w:rPr>
        <w:t>按照以下原则对磋商报价进行修正，修正的价格经供应商书面确认后具有约束力。供应商不接受修正价格的，</w:t>
      </w:r>
      <w:r>
        <w:rPr>
          <w:rFonts w:hint="eastAsia" w:asciiTheme="minorEastAsia" w:hAnsiTheme="minorEastAsia" w:eastAsiaTheme="minorEastAsia" w:cstheme="minorEastAsia"/>
          <w:color w:val="auto"/>
          <w:szCs w:val="21"/>
        </w:rPr>
        <w:t>磋商小组</w:t>
      </w:r>
      <w:r>
        <w:rPr>
          <w:rFonts w:hint="eastAsia" w:asciiTheme="minorEastAsia" w:hAnsiTheme="minorEastAsia" w:eastAsiaTheme="minorEastAsia" w:cstheme="minorEastAsia"/>
          <w:color w:val="auto"/>
          <w:szCs w:val="21"/>
          <w:lang w:eastAsia="zh-CN"/>
        </w:rPr>
        <w:t>应当否决其</w:t>
      </w:r>
      <w:r>
        <w:rPr>
          <w:rFonts w:hint="eastAsia" w:asciiTheme="minorEastAsia" w:hAnsiTheme="minorEastAsia" w:eastAsiaTheme="minorEastAsia" w:cstheme="minorEastAsia"/>
          <w:color w:val="auto"/>
          <w:szCs w:val="21"/>
          <w:lang w:val="en-US" w:eastAsia="zh-CN"/>
        </w:rPr>
        <w:t>竞标</w:t>
      </w:r>
      <w:r>
        <w:rPr>
          <w:rFonts w:hint="eastAsia" w:asciiTheme="minorEastAsia" w:hAnsiTheme="minorEastAsia" w:eastAsiaTheme="minorEastAsia" w:cstheme="minorEastAsia"/>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 xml:space="preserve">     （1）响应文件中的大写金额与小写金额不一致的，以大写金额为准；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color w:val="auto"/>
        </w:rPr>
      </w:pPr>
      <w:r>
        <w:rPr>
          <w:rFonts w:hint="eastAsia" w:asciiTheme="minorEastAsia" w:hAnsiTheme="minorEastAsia" w:eastAsiaTheme="minorEastAsia" w:cstheme="minorEastAsia"/>
          <w:color w:val="auto"/>
          <w:szCs w:val="21"/>
          <w:lang w:val="en-US" w:eastAsia="zh-CN"/>
        </w:rPr>
        <w:t xml:space="preserve">     （2）总价金额与根据单价计算出的结果不一致的，以单价金额为准修正总价，但单价金额小数点有明显错误的除外。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360" w:lineRule="auto"/>
        <w:ind w:left="539" w:hanging="539" w:firstLineChars="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w:t>
      </w:r>
      <w:r>
        <w:rPr>
          <w:rFonts w:hint="eastAsia" w:asciiTheme="minorEastAsia" w:hAnsiTheme="minorEastAsia" w:eastAsiaTheme="minorEastAsia" w:cstheme="minorEastAsia"/>
          <w:color w:val="auto"/>
          <w:szCs w:val="21"/>
          <w:lang w:val="en-US" w:eastAsia="zh-CN"/>
        </w:rPr>
        <w:t xml:space="preserve">5 </w:t>
      </w:r>
      <w:r>
        <w:rPr>
          <w:rFonts w:hint="eastAsia" w:asciiTheme="minorEastAsia" w:hAnsiTheme="minorEastAsia" w:eastAsiaTheme="minorEastAsia" w:cstheme="minorEastAsia"/>
          <w:color w:val="auto"/>
          <w:szCs w:val="21"/>
        </w:rPr>
        <w:t>最后报价</w:t>
      </w:r>
    </w:p>
    <w:p>
      <w:pPr>
        <w:keepNext w:val="0"/>
        <w:keepLines w:val="0"/>
        <w:pageBreakBefore w:val="0"/>
        <w:widowControl w:val="0"/>
        <w:kinsoku/>
        <w:wordWrap/>
        <w:overflowPunct/>
        <w:topLinePunct w:val="0"/>
        <w:autoSpaceDE/>
        <w:autoSpaceDN/>
        <w:bidi w:val="0"/>
        <w:adjustRightInd/>
        <w:snapToGrid/>
        <w:spacing w:line="360" w:lineRule="auto"/>
        <w:ind w:left="630" w:leftChars="300" w:firstLine="92" w:firstLineChars="44"/>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采购代理机构将已确定条件的最后报价书发放至所有磋商供应商，要求磋商供应商在指定的时间内提交满足要求的最后报价，密封递交磋商小组。所有磋商供应商递交最后报价后，磋商小组将磋商文件能够详细列明</w:t>
      </w:r>
      <w:r>
        <w:rPr>
          <w:rFonts w:hint="eastAsia" w:asciiTheme="minorEastAsia" w:hAnsiTheme="minorEastAsia" w:eastAsiaTheme="minorEastAsia" w:cstheme="minorEastAsia"/>
          <w:szCs w:val="21"/>
        </w:rPr>
        <w:t>采购标的的技术、服务要求的，磋商结束后，磋商小组应当要求所有继续参加磋商的供应商在规定时间内提交最后报价，提交最后报价的供应商不得少于3家。</w:t>
      </w:r>
    </w:p>
    <w:p>
      <w:pPr>
        <w:keepNext w:val="0"/>
        <w:keepLines w:val="0"/>
        <w:pageBreakBefore w:val="0"/>
        <w:widowControl w:val="0"/>
        <w:kinsoku/>
        <w:wordWrap/>
        <w:overflowPunct/>
        <w:topLinePunct w:val="0"/>
        <w:autoSpaceDE/>
        <w:autoSpaceDN/>
        <w:bidi w:val="0"/>
        <w:adjustRightInd/>
        <w:snapToGrid/>
        <w:spacing w:line="360" w:lineRule="auto"/>
        <w:ind w:left="630" w:leftChars="300" w:firstLine="92" w:firstLineChars="44"/>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keepNext w:val="0"/>
        <w:keepLines w:val="0"/>
        <w:pageBreakBefore w:val="0"/>
        <w:widowControl w:val="0"/>
        <w:kinsoku/>
        <w:wordWrap/>
        <w:overflowPunct/>
        <w:topLinePunct w:val="0"/>
        <w:autoSpaceDE/>
        <w:autoSpaceDN/>
        <w:bidi w:val="0"/>
        <w:adjustRightInd/>
        <w:snapToGrid/>
        <w:spacing w:line="360" w:lineRule="auto"/>
        <w:ind w:left="630" w:leftChars="300" w:firstLine="92" w:firstLineChars="44"/>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本采购项目提交最后报价供应商的确定方式详见《供应商须知前附表》。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26.</w:t>
      </w:r>
      <w:r>
        <w:rPr>
          <w:rFonts w:hint="eastAsia" w:asciiTheme="minorEastAsia" w:hAnsiTheme="minorEastAsia" w:eastAsiaTheme="minorEastAsia" w:cstheme="minorEastAsia"/>
          <w:szCs w:val="21"/>
          <w:lang w:val="en-US" w:eastAsia="zh-CN"/>
        </w:rPr>
        <w:t xml:space="preserve">6 </w:t>
      </w:r>
      <w:r>
        <w:rPr>
          <w:rFonts w:hint="eastAsia" w:asciiTheme="minorEastAsia" w:hAnsiTheme="minorEastAsia" w:eastAsiaTheme="minorEastAsia" w:cstheme="minorEastAsia"/>
          <w:szCs w:val="21"/>
        </w:rPr>
        <w:t>如有需要，磋商小组可进行多轮磋商，直至最终确定竞争性磋商采购文件采购需求中的技术、服务要求以及合同草案条款。如竞争性磋商采购文件无需修改，可直接要求磋商供应商提交最后报价。</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jc w:val="left"/>
        <w:textAlignment w:val="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rPr>
        <w:t>26.</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bCs/>
          <w:kern w:val="44"/>
          <w:szCs w:val="21"/>
        </w:rPr>
        <w:t xml:space="preserve"> 磋商小组审核完最终报价后，根据竞争性磋商采购文件规定的评定办法推荐成交候选人或根据采购人的书面授权直接确定成交供应商。</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jc w:val="left"/>
        <w:textAlignment w:val="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26.</w:t>
      </w:r>
      <w:r>
        <w:rPr>
          <w:rFonts w:hint="eastAsia" w:asciiTheme="minorEastAsia" w:hAnsiTheme="minorEastAsia" w:eastAsiaTheme="minorEastAsia" w:cstheme="minorEastAsia"/>
          <w:bCs/>
          <w:kern w:val="44"/>
          <w:szCs w:val="21"/>
          <w:lang w:val="en-US" w:eastAsia="zh-CN"/>
        </w:rPr>
        <w:t>8</w:t>
      </w:r>
      <w:r>
        <w:rPr>
          <w:rFonts w:hint="eastAsia" w:asciiTheme="minorEastAsia" w:hAnsiTheme="minorEastAsia" w:eastAsiaTheme="minorEastAsia" w:cstheme="minorEastAsia"/>
          <w:bCs/>
          <w:kern w:val="44"/>
          <w:szCs w:val="21"/>
        </w:rPr>
        <w:t>采购代理机构对磋商过程和重要磋商内容进行记录，磋商双方在记录上签字确认。</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6" w:name="_Toc1335"/>
      <w:r>
        <w:rPr>
          <w:rFonts w:hint="eastAsia" w:asciiTheme="minorEastAsia" w:hAnsiTheme="minorEastAsia" w:eastAsiaTheme="minorEastAsia" w:cstheme="minorEastAsia"/>
          <w:b/>
          <w:lang w:val="zh-CN"/>
        </w:rPr>
        <w:t>保密</w:t>
      </w:r>
      <w:bookmarkEnd w:id="86"/>
    </w:p>
    <w:p>
      <w:pPr>
        <w:numPr>
          <w:ilvl w:val="1"/>
          <w:numId w:val="35"/>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凡是属于审查、澄清、评价和比较的有关资料以及授标意向等，采购人、采购代理机构、监管人员、</w:t>
      </w:r>
      <w:r>
        <w:rPr>
          <w:rFonts w:hint="eastAsia" w:asciiTheme="minorEastAsia" w:hAnsiTheme="minorEastAsia" w:eastAsiaTheme="minorEastAsia" w:cstheme="minorEastAsia"/>
          <w:bCs/>
          <w:kern w:val="44"/>
          <w:szCs w:val="21"/>
        </w:rPr>
        <w:t>磋商小组</w:t>
      </w:r>
      <w:r>
        <w:rPr>
          <w:rFonts w:hint="eastAsia" w:asciiTheme="minorEastAsia" w:hAnsiTheme="minorEastAsia" w:eastAsiaTheme="minorEastAsia" w:cstheme="minorEastAsia"/>
          <w:snapToGrid w:val="0"/>
          <w:kern w:val="0"/>
          <w:szCs w:val="21"/>
          <w:lang w:val="zh-CN"/>
        </w:rPr>
        <w:t>及有关工作人员均不得向供应商或其它无关的人员透露。</w:t>
      </w:r>
    </w:p>
    <w:p>
      <w:pPr>
        <w:numPr>
          <w:ilvl w:val="1"/>
          <w:numId w:val="35"/>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Theme="minorEastAsia" w:hAnsiTheme="minorEastAsia" w:eastAsiaTheme="minorEastAsia" w:cstheme="minorEastAsia"/>
          <w:snapToGrid w:val="0"/>
          <w:kern w:val="0"/>
          <w:szCs w:val="21"/>
          <w:lang w:val="en-US" w:eastAsia="zh-CN"/>
        </w:rPr>
        <w:t>四</w:t>
      </w:r>
      <w:r>
        <w:rPr>
          <w:rFonts w:hint="eastAsia" w:asciiTheme="minorEastAsia" w:hAnsiTheme="minorEastAsia" w:eastAsiaTheme="minorEastAsia" w:cstheme="minorEastAsia"/>
          <w:snapToGrid w:val="0"/>
          <w:kern w:val="0"/>
          <w:szCs w:val="21"/>
          <w:lang w:val="zh-CN"/>
        </w:rPr>
        <w:t>章“</w:t>
      </w:r>
      <w:r>
        <w:rPr>
          <w:rFonts w:hint="eastAsia" w:asciiTheme="minorEastAsia" w:hAnsiTheme="minorEastAsia" w:eastAsiaTheme="minorEastAsia" w:cstheme="minorEastAsia"/>
          <w:snapToGrid w:val="0"/>
          <w:kern w:val="0"/>
          <w:szCs w:val="21"/>
          <w:lang w:val="en-US" w:eastAsia="zh-CN"/>
        </w:rPr>
        <w:t>评定办法</w:t>
      </w:r>
      <w:r>
        <w:rPr>
          <w:rFonts w:hint="eastAsia" w:asciiTheme="minorEastAsia" w:hAnsiTheme="minorEastAsia" w:eastAsiaTheme="minorEastAsia" w:cstheme="minorEastAsia"/>
          <w:snapToGrid w:val="0"/>
          <w:kern w:val="0"/>
          <w:szCs w:val="21"/>
          <w:lang w:val="zh-CN"/>
        </w:rPr>
        <w:t>”。</w:t>
      </w:r>
    </w:p>
    <w:p>
      <w:pPr>
        <w:numPr>
          <w:ilvl w:val="1"/>
          <w:numId w:val="35"/>
        </w:numPr>
        <w:autoSpaceDE w:val="0"/>
        <w:autoSpaceDN w:val="0"/>
        <w:adjustRightInd w:val="0"/>
        <w:spacing w:line="360" w:lineRule="auto"/>
        <w:jc w:val="left"/>
        <w:rPr>
          <w:rFonts w:hint="eastAsia"/>
          <w:lang w:val="zh-CN"/>
        </w:rPr>
      </w:pPr>
      <w:r>
        <w:rPr>
          <w:rFonts w:hint="eastAsia" w:asciiTheme="minorEastAsia" w:hAnsiTheme="minorEastAsia" w:eastAsiaTheme="minorEastAsia" w:cstheme="minorEastAsia"/>
          <w:snapToGrid w:val="0"/>
          <w:kern w:val="0"/>
          <w:szCs w:val="21"/>
          <w:lang w:val="zh-CN"/>
        </w:rPr>
        <w:t>磋商小组根据综合评分情况，按照评审得分由高到低的顺序及《供应商须知前附表》规定的数量推荐成交候选供应商，并编写评审报告。评审报告应当有磋商小组全体成员签字认可。</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87" w:name="_Toc28985"/>
      <w:r>
        <w:rPr>
          <w:rFonts w:hint="eastAsia" w:asciiTheme="minorEastAsia" w:hAnsiTheme="minorEastAsia" w:eastAsiaTheme="minorEastAsia" w:cstheme="minorEastAsia"/>
          <w:b/>
          <w:szCs w:val="21"/>
        </w:rPr>
        <w:t>成交与签订合同</w:t>
      </w:r>
      <w:bookmarkEnd w:id="87"/>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8" w:name="_Toc19813"/>
      <w:r>
        <w:rPr>
          <w:rFonts w:hint="eastAsia" w:asciiTheme="minorEastAsia" w:hAnsiTheme="minorEastAsia" w:eastAsiaTheme="minorEastAsia" w:cstheme="minorEastAsia"/>
          <w:b/>
          <w:lang w:val="zh-CN"/>
        </w:rPr>
        <w:t>合同授予标准</w:t>
      </w:r>
      <w:bookmarkEnd w:id="88"/>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left"/>
        <w:textAlignment w:val="auto"/>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28.1</w:t>
      </w:r>
      <w:r>
        <w:rPr>
          <w:rFonts w:hint="eastAsia" w:asciiTheme="minorEastAsia" w:hAnsiTheme="minorEastAsia" w:eastAsiaTheme="minorEastAsia" w:cstheme="minorEastAsia"/>
          <w:iCs/>
          <w:snapToGrid w:val="0"/>
          <w:kern w:val="0"/>
          <w:szCs w:val="21"/>
          <w:lang w:val="en-US" w:eastAsia="zh-CN"/>
        </w:rPr>
        <w:t xml:space="preserve"> </w:t>
      </w:r>
      <w:r>
        <w:rPr>
          <w:rFonts w:hint="eastAsia" w:asciiTheme="minorEastAsia" w:hAnsiTheme="minorEastAsia" w:eastAsiaTheme="minorEastAsia" w:cstheme="minorEastAsia"/>
          <w:iCs/>
          <w:snapToGrid w:val="0"/>
          <w:kern w:val="0"/>
          <w:szCs w:val="21"/>
          <w:lang w:val="zh-CN"/>
        </w:rPr>
        <w:t>采购人将把合同授予排名第一的供应商，特殊情况按本须知29.3的规定执行。</w:t>
      </w:r>
    </w:p>
    <w:p>
      <w:pPr>
        <w:keepNext w:val="0"/>
        <w:keepLines w:val="0"/>
        <w:pageBreakBefore w:val="0"/>
        <w:widowControl w:val="0"/>
        <w:kinsoku/>
        <w:wordWrap/>
        <w:overflowPunct/>
        <w:topLinePunct w:val="0"/>
        <w:bidi w:val="0"/>
        <w:snapToGrid/>
        <w:ind w:left="420" w:hanging="420" w:hangingChars="200"/>
        <w:jc w:val="left"/>
        <w:textAlignment w:val="auto"/>
        <w:outlineLvl w:val="9"/>
        <w:rPr>
          <w:rFonts w:ascii="宋体" w:hAnsi="宋体" w:eastAsia="宋体" w:cs="宋体"/>
          <w:sz w:val="24"/>
          <w:szCs w:val="24"/>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 xml:space="preserve">2 </w:t>
      </w:r>
      <w:r>
        <w:rPr>
          <w:rFonts w:hint="eastAsia" w:asciiTheme="minorEastAsia" w:hAnsiTheme="minorEastAsia" w:eastAsiaTheme="minorEastAsia" w:cstheme="minorEastAsia"/>
          <w:iCs/>
          <w:snapToGrid w:val="0"/>
          <w:kern w:val="0"/>
          <w:szCs w:val="21"/>
          <w:lang w:val="zh-CN"/>
        </w:rPr>
        <w:t>采购代理机构应当在评审结束后2个工作日内将评审报告送采购人确认。</w:t>
      </w:r>
      <w:r>
        <w:rPr>
          <w:rFonts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left"/>
        <w:textAlignment w:val="auto"/>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 xml:space="preserve">3 </w:t>
      </w:r>
      <w:r>
        <w:rPr>
          <w:rFonts w:hint="eastAsia" w:asciiTheme="minorEastAsia" w:hAnsiTheme="minorEastAsia" w:eastAsiaTheme="minorEastAsia" w:cstheme="minorEastAsia"/>
          <w:iCs/>
          <w:snapToGrid w:val="0"/>
          <w:kern w:val="0"/>
          <w:szCs w:val="21"/>
          <w:lang w:val="zh-CN"/>
        </w:rPr>
        <w:t xml:space="preserve">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 </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left"/>
        <w:textAlignment w:val="auto"/>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 xml:space="preserve">4 </w:t>
      </w:r>
      <w:r>
        <w:rPr>
          <w:rFonts w:hint="eastAsia" w:asciiTheme="minorEastAsia" w:hAnsiTheme="minorEastAsia" w:eastAsiaTheme="minorEastAsia" w:cstheme="minorEastAsia"/>
          <w:iCs/>
          <w:snapToGrid w:val="0"/>
          <w:kern w:val="0"/>
          <w:szCs w:val="21"/>
          <w:lang w:val="zh-CN"/>
        </w:rPr>
        <w:t xml:space="preserve">采购人或者采购代理机构应当在成交供应商确定后2个工作日内，在省级以上财政部门指定的政府采购信息发布媒体上公告成交结果，同时向成交供应商发出成交通知书，并将磋商文件随成交结果同时公告。 </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left"/>
        <w:textAlignment w:val="auto"/>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 xml:space="preserve">5 </w:t>
      </w:r>
      <w:r>
        <w:rPr>
          <w:rFonts w:hint="eastAsia" w:asciiTheme="minorEastAsia" w:hAnsiTheme="minorEastAsia" w:eastAsiaTheme="minorEastAsia" w:cstheme="minorEastAsia"/>
          <w:iCs/>
          <w:snapToGrid w:val="0"/>
          <w:kern w:val="0"/>
          <w:szCs w:val="21"/>
          <w:lang w:val="zh-CN"/>
        </w:rPr>
        <w:t>成交通知书的领取时间详见《供应商须知前附表》。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9" w:name="_Toc12283"/>
      <w:r>
        <w:rPr>
          <w:rFonts w:hint="eastAsia" w:asciiTheme="minorEastAsia" w:hAnsiTheme="minorEastAsia" w:eastAsiaTheme="minorEastAsia" w:cstheme="minorEastAsia"/>
          <w:b/>
          <w:lang w:val="zh-CN"/>
        </w:rPr>
        <w:t>签订合同</w:t>
      </w:r>
      <w:bookmarkEnd w:id="89"/>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29.1 竞争性磋商采购文件对履约保证金有规定的，成交供应商应按规定在签订合同前缴纳履约保证金。</w:t>
      </w:r>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29.2 采购人与成交供应商应当在成交通知书发出之日起30日内，按照采购文件确定的合同文本以及采购标的、规格型号、采购金额、采购数量、技术和服务要求等事项签订政府采购合同。</w:t>
      </w:r>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5" w:leftChars="200" w:hanging="115" w:hangingChars="55"/>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val="0"/>
        <w:autoSpaceDN w:val="0"/>
        <w:bidi w:val="0"/>
        <w:adjustRightInd w:val="0"/>
        <w:snapToGrid/>
        <w:spacing w:line="360" w:lineRule="auto"/>
        <w:ind w:left="535" w:leftChars="200" w:hanging="115" w:hangingChars="55"/>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采购人应当自政府采购合同签订之日起2个工作日内，将政府采购合同在省级以上人民政府指定的媒体上公告，但政府采购合同中涉及国家秘密、商业秘密的内容除外。</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29.3 </w:t>
      </w:r>
      <w:r>
        <w:rPr>
          <w:rFonts w:hint="eastAsia" w:asciiTheme="minorEastAsia" w:hAnsiTheme="minorEastAsia" w:eastAsiaTheme="minorEastAsia" w:cstheme="minorEastAsia"/>
          <w:lang w:val="zh-CN"/>
        </w:rPr>
        <w:t>成交供应商拒绝与采购人签订合同的，采购人可以按照评审报告推荐的中标候选人名单排序，确定下一候选人为成交供应商，也可以重新开展政府采购活动。</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29.4 </w:t>
      </w:r>
      <w:r>
        <w:rPr>
          <w:rFonts w:hint="eastAsia" w:asciiTheme="minorEastAsia" w:hAnsiTheme="minorEastAsia" w:eastAsiaTheme="minorEastAsia" w:cstheme="minorEastAsia"/>
          <w:snapToGrid w:val="0"/>
          <w:kern w:val="0"/>
          <w:szCs w:val="21"/>
          <w:lang w:val="zh-CN"/>
        </w:rPr>
        <w:t>签订政府采购合同后7个工作日内，采购人应将政府采购合同副本报同级政府采购监管部门备案。</w:t>
      </w:r>
    </w:p>
    <w:p>
      <w:pPr>
        <w:keepNext w:val="0"/>
        <w:keepLines w:val="0"/>
        <w:pageBreakBefore w:val="0"/>
        <w:widowControl w:val="0"/>
        <w:tabs>
          <w:tab w:val="left" w:pos="540"/>
        </w:tabs>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29.5 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29.6 除不可抗力等因素外，成交通知书发出后，采购人改变成交结果，或者成交供应商拒绝签订政府采购合同的，应当承担相应的法律责任。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left="535" w:leftChars="200" w:hanging="115" w:hangingChars="55"/>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90" w:name="_Toc23515"/>
      <w:bookmarkStart w:id="91" w:name="_Toc4883"/>
      <w:bookmarkStart w:id="92" w:name="_Toc13988"/>
      <w:bookmarkStart w:id="93" w:name="_Toc14510"/>
      <w:r>
        <w:rPr>
          <w:rFonts w:hint="eastAsia" w:asciiTheme="minorEastAsia" w:hAnsiTheme="minorEastAsia" w:eastAsiaTheme="minorEastAsia" w:cstheme="minorEastAsia"/>
          <w:b/>
          <w:szCs w:val="21"/>
          <w:lang w:val="zh-CN"/>
        </w:rPr>
        <w:t>质疑和投诉</w:t>
      </w:r>
      <w:bookmarkEnd w:id="90"/>
      <w:bookmarkEnd w:id="91"/>
      <w:bookmarkEnd w:id="92"/>
      <w:bookmarkEnd w:id="93"/>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4" w:name="_Toc29313"/>
      <w:r>
        <w:rPr>
          <w:rFonts w:hint="eastAsia" w:asciiTheme="minorEastAsia" w:hAnsiTheme="minorEastAsia" w:eastAsiaTheme="minorEastAsia" w:cstheme="minorEastAsia"/>
          <w:b/>
          <w:lang w:val="zh-CN"/>
        </w:rPr>
        <w:t>质疑</w:t>
      </w:r>
      <w:bookmarkEnd w:id="94"/>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lang w:val="zh-CN"/>
        </w:rPr>
        <w:t>.1</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供应商认为磋商文件、磋商过程和成交结果使自己的权益受到损害的，可以在知道或者应知其权益受到损害之日起7个工作日内，以书面形式向采购人或采购代理机构提出质疑。我公司受理项目质疑部门为技术部,联系人：张梦；联系电话：027-87820788。</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质疑书应当包括下列主要内容：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（1）质疑人的名称、地址、联系人及联系电话等；</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（2）被质疑人的名称、地址、联系人及联系电话等；</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（3）质疑项目名称及编号、质疑事项和明确的请求；</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（4）质疑事项的事实根据、法律依据及其他必要的证明材料；质疑人提供的证明材料属于其他供应商投标（响应）文件未公开内容的，应当提供书面材料证明其合法来源；</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（5）提出质疑的日期；</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（6）质疑人的署名及签章（质疑人为自然人的，应当由本人签字；质疑人为法人或者其他组织的，应当由法定代表人或者主要负责人签字盖章并加盖公章）；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（7）法人授权委托书（质疑人或法人委托代理人办理质疑事务的，应当提供授权委托书，授权委托书应当载明委托代理的具体权限和事项）。</w:t>
      </w:r>
    </w:p>
    <w:p>
      <w:pPr>
        <w:keepNext w:val="0"/>
        <w:keepLines w:val="0"/>
        <w:pageBreakBefore w:val="0"/>
        <w:widowControl w:val="0"/>
        <w:kinsoku/>
        <w:wordWrap/>
        <w:overflowPunct/>
        <w:topLinePunct w:val="0"/>
        <w:autoSpaceDE w:val="0"/>
        <w:autoSpaceDN w:val="0"/>
        <w:bidi w:val="0"/>
        <w:adjustRightInd w:val="0"/>
        <w:snapToGrid/>
        <w:spacing w:line="360" w:lineRule="auto"/>
        <w:ind w:left="535" w:leftChars="200" w:hanging="115" w:hangingChars="55"/>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质疑书不符合上述要求的，采购人或代理机构应书面告知具体事项，质疑人应当按要求进行修改或补充，并在质疑有效期限内提交。</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5" w:name="_Toc24622"/>
      <w:r>
        <w:rPr>
          <w:rFonts w:hint="eastAsia" w:asciiTheme="minorEastAsia" w:hAnsiTheme="minorEastAsia" w:eastAsiaTheme="minorEastAsia" w:cstheme="minorEastAsia"/>
          <w:b/>
          <w:lang w:val="zh-CN"/>
        </w:rPr>
        <w:t>质疑回复</w:t>
      </w:r>
      <w:bookmarkEnd w:id="95"/>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zh-CN"/>
        </w:rPr>
        <w:t>.1</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质疑答复应当包括下列内容：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（2）采购人或采购代理机构（委托项目一并列出）的名称、地址、联系人及联系电话；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（3）受理质疑的日期、质疑项目名称及编号、质疑事项；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（4）质疑事项答复的具体情况及事实根据、法律依据；</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（5）告知质疑人依法投诉的权利和投诉方式；</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（6）质疑答复日期。</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6" w:name="_Toc16631"/>
      <w:r>
        <w:rPr>
          <w:rFonts w:hint="eastAsia" w:asciiTheme="minorEastAsia" w:hAnsiTheme="minorEastAsia" w:eastAsiaTheme="minorEastAsia" w:cstheme="minorEastAsia"/>
          <w:b/>
          <w:lang w:val="zh-CN"/>
        </w:rPr>
        <w:t>投诉</w:t>
      </w:r>
      <w:bookmarkEnd w:id="96"/>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zh-CN"/>
        </w:rPr>
        <w:t>.1</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97" w:name="_Toc9502"/>
      <w:bookmarkStart w:id="98" w:name="_Toc28705"/>
      <w:bookmarkStart w:id="99" w:name="_Toc14767"/>
      <w:bookmarkStart w:id="100" w:name="_Toc5571"/>
      <w:r>
        <w:rPr>
          <w:rFonts w:hint="eastAsia" w:asciiTheme="minorEastAsia" w:hAnsiTheme="minorEastAsia" w:eastAsiaTheme="minorEastAsia" w:cstheme="minorEastAsia"/>
          <w:b/>
          <w:szCs w:val="21"/>
          <w:lang w:val="zh-CN"/>
        </w:rPr>
        <w:t>政策</w:t>
      </w:r>
      <w:bookmarkEnd w:id="97"/>
      <w:bookmarkEnd w:id="98"/>
      <w:bookmarkEnd w:id="99"/>
      <w:bookmarkEnd w:id="100"/>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en-US" w:eastAsia="zh-CN"/>
        </w:rPr>
      </w:pPr>
      <w:bookmarkStart w:id="101" w:name="_Toc6491"/>
      <w:r>
        <w:rPr>
          <w:rFonts w:hint="eastAsia" w:asciiTheme="minorEastAsia" w:hAnsiTheme="minorEastAsia" w:eastAsiaTheme="minorEastAsia" w:cstheme="minorEastAsia"/>
          <w:b/>
          <w:lang w:val="en-US" w:eastAsia="zh-CN"/>
        </w:rPr>
        <w:t>政府采购政策</w:t>
      </w:r>
      <w:bookmarkEnd w:id="101"/>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zh-CN"/>
        </w:rPr>
        <w:t>.1</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除非“供应商须知前附表”中有特殊规定，本项目所采购的货物应当为中华人民共和国境内提供。</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为促进中小企业发展，本项目供应商如符合工信部联企业【</w:t>
      </w:r>
      <w:r>
        <w:rPr>
          <w:rFonts w:hint="eastAsia" w:asciiTheme="minorEastAsia" w:hAnsiTheme="minorEastAsia" w:eastAsiaTheme="minorEastAsia" w:cstheme="minorEastAsia"/>
          <w:lang w:val="en-US" w:eastAsia="zh-CN"/>
        </w:rPr>
        <w:t>2011</w:t>
      </w:r>
      <w:r>
        <w:rPr>
          <w:rFonts w:hint="eastAsia" w:asciiTheme="minorEastAsia" w:hAnsiTheme="minorEastAsia" w:eastAsiaTheme="minorEastAsia" w:cstheme="minorEastAsia"/>
          <w:lang w:val="zh-CN"/>
        </w:rPr>
        <w:t>】300号文中对中小企业划型标准的，可按照“评定办法前附表”中相关规定，对产品的价格给予一定比例的扣除，用扣除后的价格参与评审。具体扣除比例详见“评定办法前附表”。</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33.3 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33.4 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zh-CN" w:eastAsia="zh-CN"/>
        </w:rPr>
        <w:t>3</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zh-CN" w:eastAsia="zh-CN"/>
        </w:rPr>
        <w:t>.</w:t>
      </w:r>
      <w:r>
        <w:rPr>
          <w:rFonts w:hint="eastAsia" w:asciiTheme="minorEastAsia" w:hAnsiTheme="minorEastAsia" w:eastAsiaTheme="minorEastAsia" w:cstheme="minorEastAsia"/>
          <w:lang w:val="en-US" w:eastAsia="zh-CN"/>
        </w:rPr>
        <w:t>5 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33.</w:t>
      </w:r>
      <w:r>
        <w:rPr>
          <w:rFonts w:hint="eastAsia" w:asciiTheme="minorEastAsia" w:hAnsiTheme="minorEastAsia" w:eastAsiaTheme="minorEastAsia" w:cstheme="minorEastAsia"/>
          <w:lang w:val="en-US" w:eastAsia="zh-CN"/>
        </w:rPr>
        <w:t xml:space="preserve">6 </w:t>
      </w:r>
      <w:r>
        <w:rPr>
          <w:rFonts w:hint="eastAsia" w:asciiTheme="minorEastAsia" w:hAnsiTheme="minorEastAsia" w:eastAsiaTheme="minorEastAsia" w:cstheme="minorEastAsia"/>
          <w:lang w:val="zh-CN"/>
        </w:rPr>
        <w:t>上述政府采购政策优惠须经磋商小组评审后执行，未提供单独分项报价或证明资料不全的不给予价格扣除。</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3" w:firstLineChars="44"/>
        <w:jc w:val="left"/>
        <w:textAlignment w:val="auto"/>
        <w:rPr>
          <w:rFonts w:hint="eastAsia"/>
          <w:b/>
          <w:bCs/>
          <w:lang w:val="zh-CN"/>
        </w:rPr>
      </w:pPr>
      <w:r>
        <w:rPr>
          <w:rFonts w:hint="eastAsia" w:ascii="宋体" w:hAnsi="宋体" w:cs="宋体"/>
          <w:b/>
          <w:bCs/>
          <w:snapToGrid w:val="0"/>
          <w:kern w:val="0"/>
          <w:szCs w:val="21"/>
          <w:lang w:val="zh-CN"/>
        </w:rPr>
        <w:t>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2" w:name="_Toc32253"/>
      <w:r>
        <w:rPr>
          <w:rFonts w:hint="eastAsia" w:asciiTheme="minorEastAsia" w:hAnsiTheme="minorEastAsia" w:eastAsiaTheme="minorEastAsia" w:cstheme="minorEastAsia"/>
          <w:b/>
          <w:szCs w:val="21"/>
          <w:lang w:val="zh-CN"/>
        </w:rPr>
        <w:t>其他要求</w:t>
      </w:r>
      <w:bookmarkEnd w:id="102"/>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见《供应商须知前附表》。</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3" w:name="_Toc25018"/>
      <w:r>
        <w:rPr>
          <w:rFonts w:hint="eastAsia" w:asciiTheme="minorEastAsia" w:hAnsiTheme="minorEastAsia" w:eastAsiaTheme="minorEastAsia" w:cstheme="minorEastAsia"/>
          <w:b/>
          <w:szCs w:val="21"/>
          <w:lang w:val="zh-CN"/>
        </w:rPr>
        <w:t>适用法律</w:t>
      </w:r>
      <w:bookmarkEnd w:id="103"/>
    </w:p>
    <w:p>
      <w:pPr>
        <w:keepNext w:val="0"/>
        <w:keepLines w:val="0"/>
        <w:pageBreakBefore w:val="0"/>
        <w:widowControl w:val="0"/>
        <w:kinsoku/>
        <w:wordWrap/>
        <w:overflowPunct/>
        <w:topLinePunct w:val="0"/>
        <w:autoSpaceDE w:val="0"/>
        <w:autoSpaceDN w:val="0"/>
        <w:bidi w:val="0"/>
        <w:adjustRightInd w:val="0"/>
        <w:snapToGrid/>
        <w:spacing w:line="360" w:lineRule="auto"/>
        <w:ind w:left="535" w:leftChars="200" w:hanging="115" w:hangingChars="55"/>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采购人或者采购代理机构和供应商的一切采购活动均适用于《中华人民共和国政府采购法》、《中华人民共和国政府采购实施条例》、《政府采购竞争性磋商采购方式管理办法》等相关规定。</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b/>
          <w:bCs/>
          <w:snapToGrid w:val="0"/>
          <w:kern w:val="0"/>
          <w:szCs w:val="21"/>
          <w:lang w:val="zh-CN"/>
        </w:rPr>
        <w:t>补充说明：</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539" w:hanging="539" w:firstLineChars="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 12 月 1 日至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11 月 30 日。</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539" w:leftChars="0" w:hanging="539" w:firstLineChars="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关于提交经审计的财务报告的年份要求：递交响应文件时间如在当年 6 月 30 日以前，</w:t>
      </w:r>
      <w:r>
        <w:rPr>
          <w:rFonts w:hint="eastAsia" w:asciiTheme="minorEastAsia" w:hAnsiTheme="minorEastAsia" w:eastAsiaTheme="minorEastAsia" w:cstheme="minorEastAsia"/>
          <w:snapToGrid w:val="0"/>
          <w:kern w:val="0"/>
          <w:szCs w:val="21"/>
          <w:lang w:val="en-US" w:eastAsia="zh-CN"/>
        </w:rPr>
        <w:t>则</w:t>
      </w:r>
      <w:r>
        <w:rPr>
          <w:rFonts w:hint="eastAsia" w:asciiTheme="minorEastAsia" w:hAnsiTheme="minorEastAsia" w:eastAsiaTheme="minorEastAsia" w:cstheme="minorEastAsia"/>
          <w:snapToGrid w:val="0"/>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6 月 9 日，则“近三年”</w:t>
      </w:r>
      <w:r>
        <w:rPr>
          <w:rFonts w:hint="eastAsia" w:asciiTheme="minorEastAsia" w:hAnsiTheme="minorEastAsia" w:eastAsiaTheme="minorEastAsia" w:cstheme="minorEastAsia"/>
          <w:snapToGrid w:val="0"/>
          <w:kern w:val="0"/>
          <w:szCs w:val="21"/>
          <w:lang w:val="en-US" w:eastAsia="zh-CN"/>
        </w:rPr>
        <w:t>是</w:t>
      </w:r>
      <w:r>
        <w:rPr>
          <w:rFonts w:hint="eastAsia" w:asciiTheme="minorEastAsia" w:hAnsiTheme="minorEastAsia" w:eastAsiaTheme="minorEastAsia" w:cstheme="minorEastAsia"/>
          <w:snapToGrid w:val="0"/>
          <w:kern w:val="0"/>
          <w:szCs w:val="21"/>
          <w:lang w:val="zh-CN"/>
        </w:rPr>
        <w:t>指 201</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8</w:t>
      </w:r>
      <w:r>
        <w:rPr>
          <w:rFonts w:hint="eastAsia" w:asciiTheme="minorEastAsia" w:hAnsiTheme="minorEastAsia" w:eastAsiaTheme="minorEastAsia" w:cstheme="minorEastAsia"/>
          <w:snapToGrid w:val="0"/>
          <w:kern w:val="0"/>
          <w:szCs w:val="21"/>
          <w:lang w:val="zh-CN"/>
        </w:rPr>
        <w:t>年度。</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539" w:leftChars="0" w:hanging="539" w:firstLineChars="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本采购文件所称的“以上”、“以下”、“内”、“以内”，均包括本数；所称的“不足”，不包括本数。</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p>
    <w:p>
      <w:pPr>
        <w:numPr>
          <w:ilvl w:val="0"/>
          <w:numId w:val="4"/>
        </w:numPr>
        <w:spacing w:line="240" w:lineRule="auto"/>
        <w:jc w:val="center"/>
        <w:outlineLvl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br w:type="page"/>
      </w:r>
      <w:bookmarkStart w:id="104" w:name="_Toc16520"/>
      <w:r>
        <w:rPr>
          <w:rFonts w:hint="eastAsia" w:asciiTheme="minorEastAsia" w:hAnsiTheme="minorEastAsia" w:eastAsiaTheme="minorEastAsia" w:cstheme="minorEastAsia"/>
          <w:b/>
          <w:bCs/>
          <w:sz w:val="36"/>
          <w:szCs w:val="36"/>
        </w:rPr>
        <w:t>采购需求</w:t>
      </w:r>
      <w:bookmarkEnd w:id="104"/>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05" w:name="_Toc2362"/>
      <w:r>
        <w:rPr>
          <w:rFonts w:hint="eastAsia" w:asciiTheme="minorEastAsia" w:hAnsiTheme="minorEastAsia" w:eastAsiaTheme="minorEastAsia" w:cstheme="minorEastAsia"/>
          <w:b/>
          <w:bCs/>
          <w:color w:val="auto"/>
          <w:sz w:val="24"/>
          <w:szCs w:val="24"/>
          <w:lang w:val="en-US" w:eastAsia="zh-CN"/>
        </w:rPr>
        <w:t>一、技术需求</w:t>
      </w:r>
      <w:bookmarkEnd w:id="105"/>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1、项目概况：</w:t>
      </w:r>
      <w:r>
        <w:rPr>
          <w:rFonts w:hint="eastAsia" w:ascii="宋体" w:hAnsi="宋体" w:cs="宋体"/>
          <w:color w:val="auto"/>
          <w:sz w:val="21"/>
          <w:szCs w:val="21"/>
          <w:highlight w:val="none"/>
          <w:lang w:val="en-US" w:eastAsia="zh-CN"/>
        </w:rPr>
        <w:t>武汉市东西湖区革新大道以东、荷沙路以南、波天湖路以西地块弱电线路</w:t>
      </w:r>
      <w:r>
        <w:rPr>
          <w:rFonts w:hint="eastAsia" w:ascii="宋体" w:hAnsi="宋体" w:eastAsia="宋体" w:cs="宋体"/>
          <w:color w:val="auto"/>
          <w:sz w:val="21"/>
          <w:szCs w:val="21"/>
          <w:highlight w:val="none"/>
          <w:lang w:val="en-US" w:eastAsia="zh-CN"/>
        </w:rPr>
        <w:t>迁改工程</w:t>
      </w:r>
      <w:r>
        <w:rPr>
          <w:rFonts w:hint="eastAsia" w:ascii="宋体" w:hAnsi="宋体" w:cs="宋体"/>
          <w:color w:val="auto"/>
          <w:sz w:val="21"/>
          <w:szCs w:val="21"/>
          <w:highlight w:val="none"/>
          <w:lang w:val="en-US" w:eastAsia="zh-CN"/>
        </w:rPr>
        <w:t>，其中包括杆路部分、国防光缆迁改部分、民用通信线路部分。</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施工要求：武汉临空港经济开发区综合保税物流产业建设管理办公室有严格的规章管理制度和安全保卫措施，成交供应商必须遵守采购人的各项管理制度，包括人员、设备及材料进出管理等。成交供应商进场施工前，必须与采购人保卫部门签订《施工安全责任书》，并完全响应《施工安全责任书》的全部要求。</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3、本项目所使用材料必须全部使用环保型产品。施工期间，采购人有权利监督成交供应商的工程质量、进度、安全文明施工，如果发现成交供应商在质量、工期、进度、现场安全文明施工有不满足施工合同要求时，采购人有权要求成交供应商及时整改、返工，由此造成的损失由成交供应商负责。</w:t>
      </w:r>
    </w:p>
    <w:p>
      <w:pPr>
        <w:autoSpaceDE w:val="0"/>
        <w:autoSpaceDN w:val="0"/>
        <w:adjustRightInd w:val="0"/>
        <w:spacing w:line="360" w:lineRule="auto"/>
        <w:outlineLvl w:val="9"/>
        <w:rPr>
          <w:rFonts w:hint="eastAsia"/>
          <w:lang w:val="en-US" w:eastAsia="zh-CN"/>
        </w:rPr>
      </w:pPr>
      <w:r>
        <w:rPr>
          <w:rFonts w:hint="eastAsia" w:asciiTheme="minorEastAsia" w:hAnsiTheme="minorEastAsia" w:eastAsiaTheme="minorEastAsia" w:cstheme="minorEastAsia"/>
          <w:b w:val="0"/>
          <w:bCs w:val="0"/>
          <w:color w:val="auto"/>
          <w:szCs w:val="21"/>
          <w:lang w:val="en-US" w:eastAsia="zh-CN"/>
        </w:rPr>
        <w:t>4、其他具体要求详见《工程量清单及清单编制说明》及《图纸》（如有），其作为竞争性磋商文件附件，随竞争性磋商文件同步发放。</w:t>
      </w:r>
      <w:r>
        <w:rPr>
          <w:rFonts w:hint="eastAsia" w:asciiTheme="minorEastAsia" w:hAnsiTheme="minorEastAsia" w:eastAsiaTheme="minorEastAsia" w:cstheme="minorEastAsia"/>
          <w:b w:val="0"/>
          <w:bCs w:val="0"/>
          <w:color w:val="auto"/>
          <w:szCs w:val="21"/>
          <w:lang w:val="en-US" w:eastAsia="zh-CN"/>
        </w:rPr>
        <w:br w:type="textWrapping"/>
      </w: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06" w:name="_Toc13890"/>
      <w:r>
        <w:rPr>
          <w:rFonts w:hint="eastAsia" w:asciiTheme="minorEastAsia" w:hAnsiTheme="minorEastAsia" w:eastAsiaTheme="minorEastAsia" w:cstheme="minorEastAsia"/>
          <w:b/>
          <w:bCs/>
          <w:color w:val="auto"/>
          <w:sz w:val="24"/>
          <w:szCs w:val="24"/>
          <w:lang w:val="en-US" w:eastAsia="zh-CN"/>
        </w:rPr>
        <w:t>二、商务需求</w:t>
      </w:r>
      <w:bookmarkEnd w:id="106"/>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1、违约责任：</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 xml:space="preserve">  1.1 成交供应商未按期完工，每逾期一日，按照合同总价的3‰支付采购人违约金，总额不超过合同价的5%；逾期超过30日，采购人有权解除合同，并要求成交供应商赔偿损失。成交供应商未认真履行合同，未兑现服务承诺，工程验收不合格，但未给采购人造成重大损失或不利影响的，采购人可要求成交供应商整改。并有权要求成交供应商按工程合同总价的3％向采购人支付违约金，由采购人直接从工程款中抵扣。</w:t>
      </w:r>
    </w:p>
    <w:p>
      <w:pPr>
        <w:autoSpaceDE w:val="0"/>
        <w:autoSpaceDN w:val="0"/>
        <w:adjustRightInd w:val="0"/>
        <w:spacing w:line="360" w:lineRule="auto"/>
        <w:ind w:firstLine="210" w:firstLineChars="1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1.2 成交供应商未认真履行合同、兑现服务承诺，工程整改返工后验收仍不合格，或达不到磋商文件要求的使用年限的，采购人可要求成交供应商按工程合同总价的10％支付违约金，违约金不足以弥补损失的，不足由成交供应商另行支付。若造成重大损失或严重不利影响或超过工期30日仍未验收合格，采购人有权单方面解除合同，并要求成交供应商赔偿损失。</w:t>
      </w:r>
    </w:p>
    <w:p>
      <w:pPr>
        <w:autoSpaceDE w:val="0"/>
        <w:autoSpaceDN w:val="0"/>
        <w:adjustRightInd w:val="0"/>
        <w:spacing w:line="360" w:lineRule="auto"/>
        <w:jc w:val="left"/>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安全与文明施工：现场临时用电按照要求执行。采取积极措施做好施工现场的建筑物、构筑物和设备的保护工作，施工时现场未装修部分要遮盖保护，如有损坏和污染，由此所造成的经济损失，由施工方负责赔偿。</w:t>
      </w:r>
    </w:p>
    <w:p>
      <w:pPr>
        <w:autoSpaceDE w:val="0"/>
        <w:autoSpaceDN w:val="0"/>
        <w:adjustRightInd w:val="0"/>
        <w:spacing w:line="360" w:lineRule="auto"/>
        <w:jc w:val="left"/>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3、工程保修：工程质保期内，严格按照国家相关工程质量保修书的条款要求执行，3个日历天内进行维修处理，否则保修期相应顺延。</w:t>
      </w:r>
    </w:p>
    <w:p>
      <w:pPr>
        <w:pStyle w:val="10"/>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4、拟投入本项目的管理班子组成人员要求：供应商应在响应文件中提交拟投入本项目的管理班子组成人员的资格证、上岗证、二代身份证等证明文件。</w:t>
      </w:r>
    </w:p>
    <w:p>
      <w:pPr>
        <w:pStyle w:val="10"/>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5、设备和施工机械：供应商应在投标</w:t>
      </w:r>
      <w:r>
        <w:rPr>
          <w:rFonts w:hint="eastAsia" w:asciiTheme="minorEastAsia" w:hAnsiTheme="minorEastAsia" w:eastAsiaTheme="minorEastAsia" w:cstheme="minorEastAsia"/>
          <w:b w:val="0"/>
          <w:bCs w:val="0"/>
          <w:color w:val="auto"/>
          <w:szCs w:val="21"/>
          <w:lang w:val="en-US" w:eastAsia="zh-CN"/>
        </w:rPr>
        <w:t>文件中提交拟投入本项目的设备和施工机械清单。</w:t>
      </w:r>
    </w:p>
    <w:p>
      <w:pPr>
        <w:pStyle w:val="10"/>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6工程部分售后服务：按现行工程通用规定执行，供应商应在响应文件中提交工程部分售后服务方案。</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7、履约保证金：合同金额的3%；签订合同前5个工作日递交，以支票、汇票、本票或者金融机构、担保机构出具的保函等非现金形式提交。</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8、付款方式：本项目无预付款。工程量完成50%时（以乙方提供、甲方和监理方认可的施工进度表为依据），甲方支付合同价款的50%；工程验收合格后经审计，甲方支付至审计金额的97%（含先期支付的进度款），留取审计金额的3%作为工</w:t>
      </w:r>
      <w:bookmarkStart w:id="282" w:name="_GoBack"/>
      <w:bookmarkEnd w:id="282"/>
      <w:r>
        <w:rPr>
          <w:rFonts w:hint="eastAsia" w:asciiTheme="minorEastAsia" w:hAnsiTheme="minorEastAsia" w:eastAsiaTheme="minorEastAsia" w:cstheme="minorEastAsia"/>
          <w:b w:val="0"/>
          <w:bCs w:val="0"/>
          <w:color w:val="auto"/>
          <w:szCs w:val="21"/>
          <w:lang w:val="en-US" w:eastAsia="zh-CN"/>
        </w:rPr>
        <w:t>程质保金，同时退还履约保证金。质保金返还支付方式和支付时间节点为：无息；质保金从审计决算完成之日起，一年后无质量问题且售后服务到位支付50%，二年后无质量问题且售后服务到位支付至质保金的100%。</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9、其它：</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9.1供应商在进场施工之前需自行现场踏勘，并认真核对采购人提供的需求、方案及工程量清单，提出有无重大漏项、漏量。竣工决算时，漏项及漏量部分的费用由供应商承担。</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9.2合同签订之后3个日历天内提供施工方案，经采购人认可后方可施工。</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9.3工程竣工，由成交供应商提供竣工图及竣工决算表，报采购人审计（包含由采购人委托的审计单位），审减额在8%及以上时，由成交供应商承担审计费用。</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9.4工程变更和决算方式：施工过程中所有的变更和签证，严格按照采购人的相关管理规定办理，供应商需提供书面形式的施工方案、预算，并报采购人审查，经采购人审核同意后（签字盖章）方可施工，作为结算的依据，未经采购人许可擅自增加的合同以外的工程量由供应商自行负责。采购人工程量清单已列出的项目，供应商必须完成，不能作为变更项目。关于变更估价的约定:</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1）合同执行期间，工程量清单项目特征与实际做法一致的项目的综合单价不作任何调整。</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2）因工程变更导致施工方案改变并使措施项目发生变化时，据实调整变更部分的措施费，其他一律不予调整。</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3）由于采购人工程变更等产生新的工程量清单项目时，工程量按规定的程序经造价工程师、监理工程师及采购人确认后执行，并按照以下方式确定的综合单价来调整合同价款：</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（a）合同中已有适用于变更工程的价格，则按合同已有的价格计算；</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（b）合同中只有类似变更工程的价格，则按类似变更工程价格确定变更价格，调整合同价款；</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c）已标价工程量清单中没有适用也没有类似于变更项目，且工程造价管理机构发布的信息价格缺价的，由供应商根据变更工程资料、计量规则和计价办法和通过市场调查等取得有合法依据的同期市场价格提出变更工程项目的单价，并报采购人确认后调整。</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4）本项目的措施费实行总价包干，投标报价中的措施费应充分考虑现场因素以及施工过程中可能发生的措施费用，结算时不论任何原因，其措施费均按照投标报价中的总价包干计取（包括暂列项目）。</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5）根据本合同约定的工程量及其他项目调整时，规费、税金等应按投标报价中的计价水平调整。</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6）工程变更应当由采购人、供应商、监理人共同办理签证并盖章确认，否则不予认可。</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1、资格审查因素等证明材料须提供网上图片或查询方式以供磋商小组核查，响应文件内附相关证书真彩扫描件。</w:t>
      </w:r>
    </w:p>
    <w:p>
      <w:pPr>
        <w:autoSpaceDE w:val="0"/>
        <w:autoSpaceDN w:val="0"/>
        <w:adjustRightInd w:val="0"/>
        <w:spacing w:line="360" w:lineRule="auto"/>
        <w:outlineLvl w:val="9"/>
        <w:rPr>
          <w:rFonts w:hint="eastAsia" w:asciiTheme="minorEastAsia" w:hAnsiTheme="minorEastAsia" w:eastAsiaTheme="minorEastAsia" w:cstheme="minorEastAsia"/>
          <w:b/>
          <w:bCs/>
          <w:color w:val="FF0000"/>
          <w:szCs w:val="21"/>
          <w:lang w:val="en-US" w:eastAsia="zh-CN"/>
        </w:rPr>
      </w:pPr>
      <w:r>
        <w:rPr>
          <w:rFonts w:hint="eastAsia" w:asciiTheme="minorEastAsia" w:hAnsiTheme="minorEastAsia" w:eastAsiaTheme="minorEastAsia" w:cstheme="minorEastAsia"/>
          <w:b w:val="0"/>
          <w:bCs w:val="0"/>
          <w:color w:val="auto"/>
          <w:szCs w:val="21"/>
          <w:lang w:val="en-US" w:eastAsia="zh-CN"/>
        </w:rPr>
        <w:t>2、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r>
        <w:rPr>
          <w:rFonts w:hint="eastAsia" w:asciiTheme="minorEastAsia" w:hAnsiTheme="minorEastAsia" w:eastAsiaTheme="minorEastAsia" w:cstheme="minorEastAsia"/>
          <w:b/>
          <w:bCs/>
          <w:color w:val="FF0000"/>
          <w:szCs w:val="21"/>
          <w:lang w:val="en-US" w:eastAsia="zh-CN"/>
        </w:rPr>
        <w:br w:type="textWrapping"/>
      </w:r>
      <w:r>
        <w:rPr>
          <w:rFonts w:hint="eastAsia" w:asciiTheme="minorEastAsia" w:hAnsiTheme="minorEastAsia" w:eastAsiaTheme="minorEastAsia" w:cstheme="minorEastAsia"/>
          <w:b/>
          <w:bCs/>
          <w:color w:val="FF0000"/>
          <w:szCs w:val="21"/>
          <w:lang w:val="en-US" w:eastAsia="zh-CN"/>
        </w:rPr>
        <w:br w:type="textWrapping"/>
      </w:r>
      <w:r>
        <w:rPr>
          <w:rFonts w:hint="eastAsia" w:asciiTheme="minorEastAsia" w:hAnsiTheme="minorEastAsia" w:eastAsiaTheme="minorEastAsia" w:cstheme="minorEastAsia"/>
          <w:b/>
          <w:bCs/>
          <w:color w:val="FF0000"/>
          <w:szCs w:val="21"/>
          <w:lang w:val="en-US" w:eastAsia="zh-CN"/>
        </w:rPr>
        <w:br w:type="textWrapping"/>
      </w:r>
    </w:p>
    <w:p>
      <w:pPr>
        <w:outlineLvl w:val="9"/>
        <w:rPr>
          <w:rFonts w:hint="eastAsia"/>
          <w:lang w:val="en-US" w:eastAsia="zh-CN"/>
        </w:rPr>
      </w:pPr>
    </w:p>
    <w:p>
      <w:pPr>
        <w:autoSpaceDE w:val="0"/>
        <w:autoSpaceDN w:val="0"/>
        <w:adjustRightInd w:val="0"/>
        <w:spacing w:line="360" w:lineRule="auto"/>
        <w:ind w:firstLine="422" w:firstLineChars="200"/>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br w:type="textWrapping"/>
      </w:r>
    </w:p>
    <w:p>
      <w:pPr>
        <w:autoSpaceDE w:val="0"/>
        <w:autoSpaceDN w:val="0"/>
        <w:adjustRightInd w:val="0"/>
        <w:spacing w:line="360" w:lineRule="auto"/>
        <w:ind w:firstLine="422" w:firstLineChars="200"/>
        <w:outlineLvl w:val="9"/>
        <w:rPr>
          <w:rFonts w:hint="eastAsia" w:asciiTheme="minorEastAsia" w:hAnsiTheme="minorEastAsia" w:eastAsiaTheme="minorEastAsia" w:cstheme="minorEastAsia"/>
          <w:b/>
          <w:bCs/>
          <w:color w:val="auto"/>
          <w:szCs w:val="21"/>
          <w:lang w:val="en-US" w:eastAsia="zh-CN"/>
        </w:rPr>
      </w:pPr>
    </w:p>
    <w:p>
      <w:pPr>
        <w:autoSpaceDE w:val="0"/>
        <w:autoSpaceDN w:val="0"/>
        <w:adjustRightInd w:val="0"/>
        <w:spacing w:line="360" w:lineRule="auto"/>
        <w:ind w:firstLine="422" w:firstLineChars="200"/>
        <w:outlineLvl w:val="9"/>
        <w:rPr>
          <w:rFonts w:hint="eastAsia" w:asciiTheme="minorEastAsia" w:hAnsiTheme="minorEastAsia" w:eastAsiaTheme="minorEastAsia" w:cstheme="minorEastAsia"/>
          <w:b/>
          <w:bCs/>
          <w:color w:val="auto"/>
          <w:szCs w:val="21"/>
          <w:lang w:val="en-US" w:eastAsia="zh-CN"/>
        </w:rPr>
      </w:pPr>
    </w:p>
    <w:p>
      <w:pPr>
        <w:autoSpaceDE w:val="0"/>
        <w:autoSpaceDN w:val="0"/>
        <w:adjustRightInd w:val="0"/>
        <w:spacing w:line="360" w:lineRule="auto"/>
        <w:ind w:firstLine="422" w:firstLineChars="200"/>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br w:type="textWrapping"/>
      </w:r>
      <w:r>
        <w:rPr>
          <w:rFonts w:hint="eastAsia" w:asciiTheme="minorEastAsia" w:hAnsiTheme="minorEastAsia" w:eastAsiaTheme="minorEastAsia" w:cstheme="minorEastAsia"/>
          <w:b/>
          <w:bCs/>
          <w:color w:val="auto"/>
          <w:szCs w:val="21"/>
          <w:lang w:val="en-US" w:eastAsia="zh-CN"/>
        </w:rPr>
        <w:br w:type="textWrapping"/>
      </w:r>
      <w:r>
        <w:rPr>
          <w:rFonts w:hint="eastAsia" w:asciiTheme="minorEastAsia" w:hAnsiTheme="minorEastAsia" w:eastAsiaTheme="minorEastAsia" w:cstheme="minorEastAsia"/>
          <w:b/>
          <w:bCs/>
          <w:color w:val="auto"/>
          <w:szCs w:val="21"/>
          <w:lang w:val="en-US" w:eastAsia="zh-CN"/>
        </w:rPr>
        <w:br w:type="textWrapping"/>
      </w:r>
      <w:r>
        <w:rPr>
          <w:rFonts w:hint="eastAsia" w:asciiTheme="minorEastAsia" w:hAnsiTheme="minorEastAsia" w:eastAsiaTheme="minorEastAsia" w:cstheme="minorEastAsia"/>
          <w:b/>
          <w:bCs/>
          <w:color w:val="auto"/>
          <w:szCs w:val="21"/>
          <w:lang w:val="en-US" w:eastAsia="zh-CN"/>
        </w:rPr>
        <w:br w:type="textWrapping"/>
      </w:r>
      <w:r>
        <w:rPr>
          <w:rFonts w:hint="eastAsia" w:asciiTheme="minorEastAsia" w:hAnsiTheme="minorEastAsia" w:eastAsiaTheme="minorEastAsia" w:cstheme="minorEastAsia"/>
          <w:b/>
          <w:bCs/>
          <w:color w:val="auto"/>
          <w:szCs w:val="21"/>
          <w:lang w:val="en-US" w:eastAsia="zh-CN"/>
        </w:rPr>
        <w:br w:type="textWrapping"/>
      </w:r>
    </w:p>
    <w:p>
      <w:pPr>
        <w:pStyle w:val="3"/>
        <w:numPr>
          <w:ilvl w:val="0"/>
          <w:numId w:val="4"/>
        </w:numPr>
        <w:jc w:val="center"/>
        <w:rPr>
          <w:rFonts w:hint="eastAsia" w:asciiTheme="minorEastAsia" w:hAnsiTheme="minorEastAsia" w:eastAsiaTheme="minorEastAsia" w:cstheme="minorEastAsia"/>
          <w:szCs w:val="21"/>
        </w:rPr>
      </w:pPr>
      <w:bookmarkStart w:id="107" w:name="_Toc13948"/>
      <w:r>
        <w:rPr>
          <w:rFonts w:hint="eastAsia" w:asciiTheme="minorEastAsia" w:hAnsiTheme="minorEastAsia" w:eastAsiaTheme="minorEastAsia" w:cstheme="minorEastAsia"/>
          <w:sz w:val="36"/>
          <w:szCs w:val="36"/>
          <w:lang w:val="en-US" w:eastAsia="zh-CN"/>
        </w:rPr>
        <w:t>竞争性磋商采购</w:t>
      </w:r>
      <w:r>
        <w:rPr>
          <w:rFonts w:hint="eastAsia" w:asciiTheme="minorEastAsia" w:hAnsiTheme="minorEastAsia" w:eastAsiaTheme="minorEastAsia" w:cstheme="minorEastAsia"/>
          <w:sz w:val="36"/>
          <w:szCs w:val="36"/>
        </w:rPr>
        <w:t>评定办法</w:t>
      </w:r>
      <w:bookmarkEnd w:id="107"/>
    </w:p>
    <w:p>
      <w:pPr>
        <w:spacing w:line="360" w:lineRule="auto"/>
        <w:outlineLvl w:val="1"/>
        <w:rPr>
          <w:rFonts w:hint="eastAsia" w:asciiTheme="minorEastAsia" w:hAnsiTheme="minorEastAsia" w:eastAsiaTheme="minorEastAsia" w:cstheme="minorEastAsia"/>
          <w:b/>
          <w:szCs w:val="21"/>
        </w:rPr>
      </w:pPr>
      <w:bookmarkStart w:id="108" w:name="_Toc2504"/>
      <w:r>
        <w:rPr>
          <w:rFonts w:hint="eastAsia" w:asciiTheme="minorEastAsia" w:hAnsiTheme="minorEastAsia" w:eastAsiaTheme="minorEastAsia" w:cstheme="minorEastAsia"/>
          <w:b/>
          <w:szCs w:val="21"/>
          <w:lang w:val="en-US" w:eastAsia="zh-CN"/>
        </w:rPr>
        <w:t>一、</w:t>
      </w:r>
      <w:r>
        <w:rPr>
          <w:rFonts w:hint="eastAsia" w:asciiTheme="minorEastAsia" w:hAnsiTheme="minorEastAsia" w:eastAsiaTheme="minorEastAsia" w:cstheme="minorEastAsia"/>
          <w:b/>
          <w:szCs w:val="21"/>
        </w:rPr>
        <w:t>评定办法前附表</w:t>
      </w:r>
      <w:bookmarkEnd w:id="108"/>
    </w:p>
    <w:tbl>
      <w:tblPr>
        <w:tblStyle w:val="2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3101"/>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1531" w:type="dxa"/>
            <w:gridSpan w:val="2"/>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条款号</w:t>
            </w:r>
          </w:p>
        </w:tc>
        <w:tc>
          <w:tcPr>
            <w:tcW w:w="3101"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评审因素</w:t>
            </w:r>
          </w:p>
        </w:tc>
        <w:tc>
          <w:tcPr>
            <w:tcW w:w="473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1.1</w:t>
            </w:r>
          </w:p>
        </w:tc>
        <w:tc>
          <w:tcPr>
            <w:tcW w:w="851"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资格性审查标准</w:t>
            </w: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资格要求</w:t>
            </w:r>
          </w:p>
        </w:tc>
        <w:tc>
          <w:tcPr>
            <w:tcW w:w="4730" w:type="dxa"/>
            <w:vAlign w:val="center"/>
          </w:tcPr>
          <w:p>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符合本采购文件第一章第二款要求，并提供合格有效的证明材料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没有重大违法记录的书面声明</w:t>
            </w:r>
          </w:p>
        </w:tc>
        <w:tc>
          <w:tcPr>
            <w:tcW w:w="4730" w:type="dxa"/>
            <w:vAlign w:val="center"/>
          </w:tcPr>
          <w:p>
            <w:pPr>
              <w:widowControl/>
              <w:spacing w:line="28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是否提交参加政府采购活动前三年内在经营活动中没有重大违法记录的书面承诺或声明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供应商不得存在的其他情形</w:t>
            </w:r>
          </w:p>
        </w:tc>
        <w:tc>
          <w:tcPr>
            <w:tcW w:w="4730" w:type="dxa"/>
            <w:vAlign w:val="center"/>
          </w:tcPr>
          <w:p>
            <w:pPr>
              <w:widowControl/>
              <w:spacing w:line="280" w:lineRule="exact"/>
              <w:jc w:val="left"/>
              <w:rPr>
                <w:rFonts w:hint="eastAsia" w:ascii="Times New Roman" w:hAnsi="Times New Roman" w:cs="Times New Roman"/>
                <w:lang w:val="zh-CN"/>
              </w:rPr>
            </w:pPr>
            <w:r>
              <w:rPr>
                <w:rFonts w:hint="eastAsia"/>
                <w:lang w:val="zh-CN"/>
              </w:rPr>
              <w:t>1、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widowControl/>
              <w:spacing w:line="280" w:lineRule="exact"/>
              <w:jc w:val="left"/>
              <w:rPr>
                <w:rFonts w:hint="eastAsia" w:ascii="Times New Roman" w:hAnsi="Times New Roman" w:cs="Times New Roman"/>
                <w:lang w:val="zh-CN"/>
              </w:rPr>
            </w:pPr>
            <w:r>
              <w:rPr>
                <w:rFonts w:hint="eastAsia" w:ascii="Times New Roman" w:hAnsi="Times New Roman" w:cs="Times New Roman"/>
                <w:lang w:val="zh-CN"/>
              </w:rPr>
              <w:t>2、参与本项目采购活动前，已为本项目提供过整体设计、规范编制或者项目管理、监理、检测等服务的供应商。</w:t>
            </w:r>
          </w:p>
          <w:p>
            <w:pPr>
              <w:widowControl/>
              <w:spacing w:line="280" w:lineRule="exact"/>
              <w:jc w:val="left"/>
              <w:rPr>
                <w:rFonts w:hint="eastAsia"/>
                <w:lang w:val="zh-CN"/>
              </w:rPr>
            </w:pPr>
            <w:r>
              <w:rPr>
                <w:rFonts w:hint="eastAsia" w:ascii="Times New Roman" w:hAnsi="Times New Roman" w:cs="Times New Roman"/>
                <w:b w:val="0"/>
                <w:bCs w:val="0"/>
                <w:lang w:val="zh-CN"/>
              </w:rPr>
              <w:t>由供应商在《磋商书》中声明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w:t>
            </w:r>
          </w:p>
        </w:tc>
        <w:tc>
          <w:tcPr>
            <w:tcW w:w="851" w:type="dxa"/>
            <w:vMerge w:val="restar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w:t>
            </w:r>
          </w:p>
          <w:p>
            <w:pPr>
              <w:jc w:val="center"/>
              <w:rPr>
                <w:rFonts w:hint="eastAsia" w:asciiTheme="minorEastAsia" w:hAnsiTheme="minorEastAsia" w:eastAsiaTheme="minorEastAsia" w:cstheme="minorEastAsia"/>
                <w:szCs w:val="21"/>
              </w:rPr>
            </w:pPr>
          </w:p>
        </w:tc>
        <w:tc>
          <w:tcPr>
            <w:tcW w:w="3101" w:type="dxa"/>
            <w:vAlign w:val="center"/>
          </w:tcPr>
          <w:p>
            <w:pPr>
              <w:widowControl/>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kern w:val="0"/>
                <w:szCs w:val="21"/>
              </w:rPr>
              <w:t>磋商保证金</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如有</w:t>
            </w:r>
            <w:r>
              <w:rPr>
                <w:rFonts w:hint="eastAsia" w:asciiTheme="minorEastAsia" w:hAnsiTheme="minorEastAsia" w:eastAsiaTheme="minorEastAsia" w:cstheme="minorEastAsia"/>
                <w:kern w:val="0"/>
                <w:szCs w:val="21"/>
                <w:lang w:eastAsia="zh-CN"/>
              </w:rPr>
              <w:t>）</w:t>
            </w:r>
          </w:p>
        </w:tc>
        <w:tc>
          <w:tcPr>
            <w:tcW w:w="4730" w:type="dxa"/>
            <w:vAlign w:val="center"/>
          </w:tcPr>
          <w:p>
            <w:pPr>
              <w:widowControl/>
              <w:rPr>
                <w:rFonts w:hint="eastAsia" w:asciiTheme="minorEastAsia" w:hAnsiTheme="minorEastAsia" w:eastAsiaTheme="minorEastAsia" w:cstheme="minorEastAsia"/>
                <w:bCs/>
                <w:kern w:val="0"/>
                <w:szCs w:val="21"/>
                <w:lang w:val="en-US" w:eastAsia="zh-CN"/>
              </w:rPr>
            </w:pPr>
            <w:r>
              <w:rPr>
                <w:rFonts w:hint="eastAsia" w:asciiTheme="minorEastAsia" w:hAnsiTheme="minorEastAsia" w:eastAsiaTheme="minorEastAsia" w:cstheme="minorEastAsia"/>
                <w:bCs/>
                <w:kern w:val="0"/>
                <w:szCs w:val="21"/>
                <w:lang w:val="en-US" w:eastAsia="zh-CN"/>
              </w:rPr>
              <w:t>供应商是否按照磋商文件提交投标保证金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21"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lang w:eastAsia="zh-CN"/>
              </w:rPr>
              <w:t>磋商</w:t>
            </w:r>
            <w:r>
              <w:rPr>
                <w:rFonts w:hint="eastAsia" w:asciiTheme="minorEastAsia" w:hAnsiTheme="minorEastAsia" w:eastAsiaTheme="minorEastAsia" w:cstheme="minorEastAsia"/>
                <w:kern w:val="0"/>
                <w:szCs w:val="21"/>
              </w:rPr>
              <w:t>函中的大写报价与已标价工程量清单中的投标总价一致</w:t>
            </w:r>
          </w:p>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kern w:val="0"/>
                <w:szCs w:val="21"/>
                <w:lang w:eastAsia="zh-CN"/>
              </w:rPr>
              <w:t>磋商</w:t>
            </w:r>
            <w:r>
              <w:rPr>
                <w:rFonts w:hint="eastAsia" w:asciiTheme="minorEastAsia" w:hAnsiTheme="minorEastAsia" w:eastAsiaTheme="minorEastAsia" w:cstheme="minorEastAsia"/>
                <w:kern w:val="0"/>
                <w:szCs w:val="21"/>
              </w:rPr>
              <w:t>函中的大写报价不大于本标段招标控制价总价</w:t>
            </w:r>
          </w:p>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3）算术错误修正后的投标总报价不大于本标段招标控制价总价</w:t>
            </w:r>
          </w:p>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jc w:val="center"/>
              <w:rPr>
                <w:rFonts w:hint="eastAsia" w:asciiTheme="minorEastAsia" w:hAnsiTheme="minorEastAsia" w:eastAsiaTheme="minorEastAsia" w:cstheme="minorEastAsia"/>
                <w:kern w:val="0"/>
                <w:szCs w:val="21"/>
              </w:rPr>
            </w:pPr>
            <w:r>
              <w:rPr>
                <w:rFonts w:hint="eastAsia" w:ascii="宋体" w:hAnsi="宋体"/>
                <w:szCs w:val="21"/>
              </w:rPr>
              <w:t>已标价工程量清单</w:t>
            </w:r>
          </w:p>
        </w:tc>
        <w:tc>
          <w:tcPr>
            <w:tcW w:w="4730" w:type="dxa"/>
            <w:vAlign w:val="center"/>
          </w:tcPr>
          <w:p>
            <w:pPr>
              <w:jc w:val="left"/>
              <w:rPr>
                <w:rFonts w:hint="eastAsia" w:ascii="宋体" w:hAnsi="宋体"/>
                <w:szCs w:val="21"/>
              </w:rPr>
            </w:pPr>
            <w:r>
              <w:rPr>
                <w:rFonts w:hint="eastAsia" w:ascii="宋体" w:hAnsi="宋体"/>
                <w:szCs w:val="21"/>
              </w:rPr>
              <w:t>1）已标价工程量清单项</w:t>
            </w:r>
            <w:r>
              <w:rPr>
                <w:rFonts w:ascii="宋体" w:hAnsi="宋体"/>
                <w:szCs w:val="21"/>
              </w:rPr>
              <w:t>目编码</w:t>
            </w:r>
            <w:r>
              <w:rPr>
                <w:rFonts w:hint="eastAsia" w:ascii="宋体" w:hAnsi="宋体"/>
                <w:szCs w:val="21"/>
              </w:rPr>
              <w:t>顺序与第</w:t>
            </w:r>
            <w:r>
              <w:rPr>
                <w:rFonts w:hint="eastAsia" w:ascii="宋体" w:hAnsi="宋体"/>
                <w:szCs w:val="21"/>
                <w:lang w:eastAsia="zh-CN"/>
              </w:rPr>
              <w:t>三</w:t>
            </w:r>
            <w:r>
              <w:rPr>
                <w:rFonts w:hint="eastAsia" w:ascii="宋体" w:hAnsi="宋体"/>
                <w:szCs w:val="21"/>
              </w:rPr>
              <w:t>章“工程量清单”给出的项</w:t>
            </w:r>
            <w:r>
              <w:rPr>
                <w:rFonts w:ascii="宋体" w:hAnsi="宋体"/>
                <w:szCs w:val="21"/>
              </w:rPr>
              <w:t>目编码</w:t>
            </w:r>
            <w:r>
              <w:rPr>
                <w:rFonts w:hint="eastAsia" w:ascii="宋体" w:hAnsi="宋体"/>
                <w:szCs w:val="21"/>
              </w:rPr>
              <w:t>顺序一致；</w:t>
            </w:r>
          </w:p>
          <w:p>
            <w:pPr>
              <w:jc w:val="left"/>
              <w:rPr>
                <w:rFonts w:hint="eastAsia" w:ascii="宋体" w:hAnsi="宋体"/>
                <w:szCs w:val="21"/>
              </w:rPr>
            </w:pPr>
            <w:r>
              <w:rPr>
                <w:rFonts w:hint="eastAsia" w:ascii="宋体" w:hAnsi="宋体"/>
                <w:szCs w:val="21"/>
              </w:rPr>
              <w:t>2）已标价工程量清单符合第</w:t>
            </w:r>
            <w:r>
              <w:rPr>
                <w:rFonts w:hint="eastAsia" w:ascii="宋体" w:hAnsi="宋体"/>
                <w:szCs w:val="21"/>
                <w:lang w:eastAsia="zh-CN"/>
              </w:rPr>
              <w:t>三</w:t>
            </w:r>
            <w:r>
              <w:rPr>
                <w:rFonts w:hint="eastAsia" w:ascii="宋体" w:hAnsi="宋体"/>
                <w:szCs w:val="21"/>
              </w:rPr>
              <w:t>章“工程量清单”给出的项</w:t>
            </w:r>
            <w:r>
              <w:rPr>
                <w:rFonts w:ascii="宋体" w:hAnsi="宋体"/>
                <w:szCs w:val="21"/>
              </w:rPr>
              <w:t>目编码、</w:t>
            </w:r>
            <w:r>
              <w:rPr>
                <w:rFonts w:hint="eastAsia" w:ascii="宋体" w:hAnsi="宋体"/>
                <w:szCs w:val="21"/>
              </w:rPr>
              <w:t>项</w:t>
            </w:r>
            <w:r>
              <w:rPr>
                <w:rFonts w:ascii="宋体" w:hAnsi="宋体"/>
                <w:szCs w:val="21"/>
              </w:rPr>
              <w:t>目名称、</w:t>
            </w:r>
            <w:r>
              <w:rPr>
                <w:rFonts w:hint="eastAsia" w:ascii="宋体" w:hAnsi="宋体"/>
                <w:szCs w:val="21"/>
              </w:rPr>
              <w:t>项</w:t>
            </w:r>
            <w:r>
              <w:rPr>
                <w:rFonts w:ascii="宋体" w:hAnsi="宋体"/>
                <w:szCs w:val="21"/>
              </w:rPr>
              <w:t>目特征、计量单位和工程量</w:t>
            </w:r>
            <w:r>
              <w:rPr>
                <w:rFonts w:hint="eastAsia" w:ascii="宋体" w:hAnsi="宋体"/>
                <w:szCs w:val="21"/>
              </w:rPr>
              <w:t>；</w:t>
            </w:r>
          </w:p>
          <w:p>
            <w:pPr>
              <w:jc w:val="left"/>
              <w:rPr>
                <w:rFonts w:hint="eastAsia" w:ascii="宋体" w:hAnsi="宋体"/>
                <w:szCs w:val="21"/>
              </w:rPr>
            </w:pPr>
            <w:r>
              <w:rPr>
                <w:rFonts w:hint="eastAsia" w:ascii="宋体" w:hAnsi="宋体"/>
                <w:szCs w:val="21"/>
              </w:rPr>
              <w:t>3）</w:t>
            </w:r>
            <w:r>
              <w:rPr>
                <w:rFonts w:ascii="宋体" w:hAnsi="宋体"/>
                <w:szCs w:val="21"/>
              </w:rPr>
              <w:t>暂列金额</w:t>
            </w:r>
            <w:r>
              <w:rPr>
                <w:rFonts w:hint="eastAsia" w:ascii="宋体" w:hAnsi="宋体"/>
                <w:szCs w:val="21"/>
              </w:rPr>
              <w:t>符合第</w:t>
            </w:r>
            <w:r>
              <w:rPr>
                <w:rFonts w:hint="eastAsia" w:ascii="宋体" w:hAnsi="宋体"/>
                <w:szCs w:val="21"/>
                <w:lang w:eastAsia="zh-CN"/>
              </w:rPr>
              <w:t>三</w:t>
            </w:r>
            <w:r>
              <w:rPr>
                <w:rFonts w:hint="eastAsia" w:ascii="宋体" w:hAnsi="宋体"/>
                <w:szCs w:val="21"/>
              </w:rPr>
              <w:t>章“工程量清单”</w:t>
            </w:r>
            <w:r>
              <w:rPr>
                <w:rFonts w:ascii="宋体" w:hAnsi="宋体"/>
                <w:szCs w:val="21"/>
              </w:rPr>
              <w:t>列出的金额</w:t>
            </w:r>
            <w:r>
              <w:rPr>
                <w:rFonts w:hint="eastAsia" w:ascii="宋体" w:hAnsi="宋体"/>
                <w:szCs w:val="21"/>
              </w:rPr>
              <w:t>；</w:t>
            </w:r>
          </w:p>
          <w:p>
            <w:pPr>
              <w:jc w:val="left"/>
              <w:rPr>
                <w:rFonts w:hint="eastAsia" w:ascii="宋体" w:hAnsi="宋体"/>
                <w:szCs w:val="21"/>
              </w:rPr>
            </w:pPr>
            <w:r>
              <w:rPr>
                <w:rFonts w:hint="eastAsia" w:ascii="宋体" w:hAnsi="宋体"/>
                <w:szCs w:val="21"/>
              </w:rPr>
              <w:t>4）</w:t>
            </w:r>
            <w:r>
              <w:rPr>
                <w:rFonts w:ascii="宋体" w:hAnsi="宋体"/>
                <w:szCs w:val="21"/>
              </w:rPr>
              <w:t>专业工程暂估价</w:t>
            </w:r>
            <w:r>
              <w:rPr>
                <w:rFonts w:hint="eastAsia" w:ascii="宋体" w:hAnsi="宋体"/>
                <w:szCs w:val="21"/>
              </w:rPr>
              <w:t>符合第</w:t>
            </w:r>
            <w:r>
              <w:rPr>
                <w:rFonts w:hint="eastAsia" w:ascii="宋体" w:hAnsi="宋体"/>
                <w:szCs w:val="21"/>
                <w:lang w:eastAsia="zh-CN"/>
              </w:rPr>
              <w:t>三</w:t>
            </w:r>
            <w:r>
              <w:rPr>
                <w:rFonts w:hint="eastAsia" w:ascii="宋体" w:hAnsi="宋体"/>
                <w:szCs w:val="21"/>
              </w:rPr>
              <w:t>章“工程量清单”</w:t>
            </w:r>
            <w:r>
              <w:rPr>
                <w:rFonts w:ascii="宋体" w:hAnsi="宋体"/>
                <w:szCs w:val="21"/>
              </w:rPr>
              <w:t>列出的金额</w:t>
            </w:r>
            <w:r>
              <w:rPr>
                <w:rFonts w:hint="eastAsia" w:ascii="宋体" w:hAnsi="宋体"/>
                <w:szCs w:val="21"/>
              </w:rPr>
              <w:t>；</w:t>
            </w:r>
          </w:p>
          <w:p>
            <w:pPr>
              <w:jc w:val="left"/>
              <w:rPr>
                <w:rFonts w:hint="eastAsia" w:ascii="宋体" w:hAnsi="宋体"/>
                <w:szCs w:val="21"/>
              </w:rPr>
            </w:pPr>
            <w:r>
              <w:rPr>
                <w:rFonts w:hint="eastAsia" w:ascii="宋体" w:hAnsi="宋体"/>
                <w:szCs w:val="21"/>
              </w:rPr>
              <w:t>5）</w:t>
            </w:r>
            <w:r>
              <w:rPr>
                <w:rFonts w:ascii="宋体" w:hAnsi="宋体"/>
                <w:szCs w:val="21"/>
              </w:rPr>
              <w:t>材料</w:t>
            </w:r>
            <w:r>
              <w:rPr>
                <w:rFonts w:hint="eastAsia" w:ascii="宋体" w:hAnsi="宋体"/>
                <w:szCs w:val="21"/>
              </w:rPr>
              <w:t>（工程设备）</w:t>
            </w:r>
            <w:r>
              <w:rPr>
                <w:rFonts w:ascii="宋体" w:hAnsi="宋体"/>
                <w:szCs w:val="21"/>
              </w:rPr>
              <w:t>暂估价</w:t>
            </w:r>
            <w:r>
              <w:rPr>
                <w:rFonts w:hint="eastAsia" w:ascii="宋体" w:hAnsi="宋体"/>
                <w:szCs w:val="21"/>
              </w:rPr>
              <w:t>符合第</w:t>
            </w:r>
            <w:r>
              <w:rPr>
                <w:rFonts w:hint="eastAsia" w:ascii="宋体" w:hAnsi="宋体"/>
                <w:szCs w:val="21"/>
                <w:lang w:eastAsia="zh-CN"/>
              </w:rPr>
              <w:t>三</w:t>
            </w:r>
            <w:r>
              <w:rPr>
                <w:rFonts w:hint="eastAsia" w:ascii="宋体" w:hAnsi="宋体"/>
                <w:szCs w:val="21"/>
              </w:rPr>
              <w:t>章“工程量清单”</w:t>
            </w:r>
            <w:r>
              <w:rPr>
                <w:rFonts w:ascii="宋体" w:hAnsi="宋体"/>
                <w:szCs w:val="21"/>
              </w:rPr>
              <w:t>列出的单价</w:t>
            </w:r>
            <w:r>
              <w:rPr>
                <w:rFonts w:hint="eastAsia" w:ascii="宋体" w:hAnsi="宋体"/>
                <w:szCs w:val="21"/>
              </w:rPr>
              <w:t>并</w:t>
            </w:r>
            <w:r>
              <w:rPr>
                <w:rFonts w:ascii="宋体" w:hAnsi="宋体"/>
                <w:szCs w:val="21"/>
              </w:rPr>
              <w:t>计入综合单价</w:t>
            </w:r>
            <w:r>
              <w:rPr>
                <w:rFonts w:hint="eastAsia" w:ascii="宋体" w:hAnsi="宋体"/>
                <w:szCs w:val="21"/>
              </w:rPr>
              <w:t>；</w:t>
            </w:r>
          </w:p>
          <w:p>
            <w:pPr>
              <w:jc w:val="left"/>
              <w:rPr>
                <w:rFonts w:hint="eastAsia" w:ascii="宋体" w:hAnsi="宋体"/>
                <w:szCs w:val="21"/>
              </w:rPr>
            </w:pPr>
            <w:r>
              <w:rPr>
                <w:rFonts w:hint="eastAsia" w:ascii="宋体" w:hAnsi="宋体"/>
                <w:szCs w:val="21"/>
              </w:rPr>
              <w:t>6）安全文明施工费、规费和税金等不可竞争费用，按照规定的标准计取；</w:t>
            </w:r>
          </w:p>
          <w:p>
            <w:pPr>
              <w:jc w:val="left"/>
              <w:rPr>
                <w:rFonts w:hint="eastAsia" w:asciiTheme="minorEastAsia" w:hAnsiTheme="minorEastAsia" w:eastAsiaTheme="minorEastAsia" w:cstheme="minorEastAsia"/>
                <w:kern w:val="0"/>
                <w:szCs w:val="21"/>
              </w:rPr>
            </w:pPr>
            <w:r>
              <w:rPr>
                <w:rFonts w:hint="eastAsia" w:ascii="宋体" w:hAnsi="宋体"/>
                <w:szCs w:val="21"/>
                <w:lang w:val="en-US" w:eastAsia="zh-CN"/>
              </w:rPr>
              <w:t>7</w:t>
            </w:r>
            <w:r>
              <w:rPr>
                <w:rFonts w:hint="eastAsia" w:ascii="宋体" w:hAnsi="宋体"/>
                <w:szCs w:val="21"/>
              </w:rPr>
              <w:t>）已标价工程量清单项</w:t>
            </w:r>
            <w:r>
              <w:rPr>
                <w:rFonts w:ascii="宋体" w:hAnsi="宋体"/>
                <w:szCs w:val="21"/>
              </w:rPr>
              <w:t>目</w:t>
            </w:r>
            <w:r>
              <w:rPr>
                <w:rFonts w:hint="eastAsia" w:ascii="宋体" w:hAnsi="宋体"/>
                <w:szCs w:val="21"/>
              </w:rPr>
              <w:t>未填报的项目不超过三项，或不超过三项未填报的项目的费用合计（按招标控制价相应项目的费用合计计算）不超过其投标总报价（修正后的投标总报价，如有）的±1%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经营范围</w:t>
            </w:r>
          </w:p>
        </w:tc>
        <w:tc>
          <w:tcPr>
            <w:tcW w:w="4730" w:type="dxa"/>
            <w:vAlign w:val="center"/>
          </w:tcPr>
          <w:p>
            <w:pPr>
              <w:widowControl/>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是否</w:t>
            </w:r>
            <w:r>
              <w:rPr>
                <w:rFonts w:hint="eastAsia" w:asciiTheme="minorEastAsia" w:hAnsiTheme="minorEastAsia" w:eastAsiaTheme="minorEastAsia" w:cstheme="minorEastAsia"/>
                <w:kern w:val="0"/>
                <w:szCs w:val="21"/>
                <w:lang w:val="en-US" w:eastAsia="zh-CN"/>
              </w:rPr>
              <w:t>未</w:t>
            </w:r>
            <w:r>
              <w:rPr>
                <w:rFonts w:hint="eastAsia" w:asciiTheme="minorEastAsia" w:hAnsiTheme="minorEastAsia" w:eastAsiaTheme="minorEastAsia" w:cstheme="minorEastAsia"/>
                <w:kern w:val="0"/>
                <w:szCs w:val="21"/>
              </w:rPr>
              <w:t>超出经营范围</w:t>
            </w:r>
            <w:r>
              <w:rPr>
                <w:rFonts w:hint="eastAsia" w:asciiTheme="minorEastAsia" w:hAnsiTheme="minorEastAsia" w:eastAsiaTheme="minorEastAsia" w:cstheme="minorEastAsia"/>
                <w:kern w:val="0"/>
                <w:szCs w:val="21"/>
                <w:lang w:val="en-US" w:eastAsia="zh-CN"/>
              </w:rPr>
              <w:t>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rPr>
              <w:t>磋商书签字盖章</w:t>
            </w:r>
          </w:p>
        </w:tc>
        <w:tc>
          <w:tcPr>
            <w:tcW w:w="4730" w:type="dxa"/>
            <w:vAlign w:val="center"/>
          </w:tcPr>
          <w:p>
            <w:pPr>
              <w:widowControl/>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磋商有效期</w:t>
            </w:r>
          </w:p>
        </w:tc>
        <w:tc>
          <w:tcPr>
            <w:tcW w:w="4730" w:type="dxa"/>
            <w:vAlign w:val="center"/>
          </w:tcPr>
          <w:p>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磋商</w:t>
            </w:r>
            <w:r>
              <w:rPr>
                <w:rFonts w:hint="eastAsia" w:asciiTheme="minorEastAsia" w:hAnsiTheme="minorEastAsia" w:eastAsiaTheme="minorEastAsia" w:cstheme="minorEastAsia"/>
                <w:kern w:val="0"/>
                <w:szCs w:val="21"/>
              </w:rPr>
              <w:t>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信誉情况</w:t>
            </w:r>
          </w:p>
        </w:tc>
        <w:tc>
          <w:tcPr>
            <w:tcW w:w="4730" w:type="dxa"/>
            <w:vAlign w:val="center"/>
          </w:tcPr>
          <w:p>
            <w:pPr>
              <w:widowControl/>
              <w:jc w:val="left"/>
              <w:rPr>
                <w:rFonts w:hint="eastAsia" w:asciiTheme="minorEastAsia" w:hAnsiTheme="minorEastAsia" w:eastAsiaTheme="minorEastAsia" w:cstheme="minorEastAsia"/>
                <w:color w:val="auto"/>
                <w:kern w:val="0"/>
                <w:szCs w:val="21"/>
                <w:lang w:val="en-US" w:eastAsia="zh-CN"/>
              </w:rPr>
            </w:pPr>
            <w:r>
              <w:rPr>
                <w:rFonts w:hint="eastAsia" w:ascii="宋体" w:hAnsi="宋体" w:cs="宋体"/>
                <w:color w:val="auto"/>
                <w:kern w:val="0"/>
                <w:szCs w:val="21"/>
              </w:rPr>
              <w:t>参加本</w:t>
            </w:r>
            <w:r>
              <w:rPr>
                <w:rFonts w:hint="eastAsia" w:ascii="宋体" w:hAnsi="宋体" w:cs="宋体"/>
                <w:color w:val="auto"/>
                <w:kern w:val="0"/>
                <w:szCs w:val="21"/>
                <w:shd w:val="clear" w:color="auto" w:fill="FFFFFF"/>
              </w:rPr>
              <w:t>次政府采购活动前三年内，是否有不良经济纠纷记录和违法行为</w:t>
            </w:r>
            <w:r>
              <w:rPr>
                <w:rFonts w:hint="eastAsia" w:ascii="宋体" w:hAnsi="宋体" w:cs="宋体"/>
                <w:color w:val="auto"/>
                <w:kern w:val="0"/>
                <w:szCs w:val="21"/>
                <w:shd w:val="clear" w:color="auto" w:fill="FFFFFF"/>
                <w:lang w:eastAsia="zh-CN"/>
              </w:rPr>
              <w:t>（</w:t>
            </w:r>
            <w:r>
              <w:rPr>
                <w:rFonts w:hint="eastAsia" w:ascii="宋体" w:hAnsi="宋体" w:cs="宋体"/>
                <w:color w:val="auto"/>
                <w:kern w:val="0"/>
                <w:szCs w:val="21"/>
                <w:shd w:val="clear" w:color="auto" w:fill="FFFFFF"/>
                <w:lang w:val="en-US" w:eastAsia="zh-CN"/>
              </w:rPr>
              <w:t>供应商提供声明或承诺书，格式自拟</w:t>
            </w:r>
            <w:r>
              <w:rPr>
                <w:rFonts w:hint="eastAsia" w:ascii="宋体" w:hAnsi="宋体" w:cs="宋体"/>
                <w:color w:val="auto"/>
                <w:kern w:val="0"/>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Merge w:val="restart"/>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采购需求响应</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带“</w:t>
            </w:r>
            <w:r>
              <w:rPr>
                <w:rFonts w:hint="eastAsia" w:ascii="宋体" w:hAnsi="宋体" w:eastAsia="宋体" w:cs="宋体"/>
                <w:color w:val="auto"/>
                <w:kern w:val="0"/>
                <w:szCs w:val="21"/>
                <w:lang w:val="en-US" w:eastAsia="zh-CN"/>
              </w:rPr>
              <w:t>★</w:t>
            </w:r>
            <w:r>
              <w:rPr>
                <w:rFonts w:hint="eastAsia" w:asciiTheme="minorEastAsia" w:hAnsiTheme="minorEastAsia" w:eastAsiaTheme="minorEastAsia" w:cstheme="minorEastAsia"/>
                <w:color w:val="auto"/>
                <w:kern w:val="0"/>
                <w:szCs w:val="21"/>
                <w:lang w:val="en-US" w:eastAsia="zh-CN"/>
              </w:rPr>
              <w:t>”号条款</w:t>
            </w:r>
            <w:r>
              <w:rPr>
                <w:rFonts w:hint="eastAsia" w:asciiTheme="minorEastAsia" w:hAnsiTheme="minorEastAsia" w:eastAsiaTheme="minorEastAsia" w:cstheme="minorEastAsia"/>
                <w:color w:val="auto"/>
                <w:kern w:val="0"/>
                <w:szCs w:val="21"/>
              </w:rPr>
              <w:t>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Merge w:val="continue"/>
            <w:vAlign w:val="center"/>
          </w:tcPr>
          <w:p>
            <w:pPr>
              <w:widowControl/>
              <w:jc w:val="center"/>
              <w:rPr>
                <w:rFonts w:hint="eastAsia" w:asciiTheme="minorEastAsia" w:hAnsiTheme="minorEastAsia" w:eastAsiaTheme="minorEastAsia" w:cstheme="minorEastAsia"/>
                <w:color w:val="auto"/>
                <w:kern w:val="0"/>
                <w:szCs w:val="21"/>
              </w:rPr>
            </w:pP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autoSpaceDE w:val="0"/>
              <w:autoSpaceDN w:val="0"/>
              <w:adjustRightInd w:val="0"/>
              <w:snapToGrid w:val="0"/>
              <w:jc w:val="center"/>
              <w:rPr>
                <w:rFonts w:hint="eastAsia" w:ascii="宋体" w:hAnsi="宋体" w:eastAsia="宋体"/>
                <w:color w:val="auto"/>
                <w:szCs w:val="21"/>
                <w:lang w:eastAsia="zh-CN"/>
              </w:rPr>
            </w:pPr>
            <w:r>
              <w:rPr>
                <w:rFonts w:hint="eastAsia" w:ascii="宋体" w:hAnsi="宋体"/>
                <w:color w:val="auto"/>
                <w:szCs w:val="21"/>
              </w:rPr>
              <w:t>其他要求</w:t>
            </w:r>
            <w:r>
              <w:rPr>
                <w:rFonts w:hint="eastAsia" w:ascii="宋体" w:hAnsi="宋体"/>
                <w:color w:val="auto"/>
                <w:szCs w:val="21"/>
                <w:lang w:eastAsia="zh-CN"/>
              </w:rPr>
              <w:t>（</w:t>
            </w:r>
            <w:r>
              <w:rPr>
                <w:rFonts w:hint="eastAsia" w:ascii="宋体" w:hAnsi="宋体"/>
                <w:color w:val="auto"/>
                <w:szCs w:val="21"/>
                <w:lang w:val="en-US" w:eastAsia="zh-CN"/>
              </w:rPr>
              <w:t>一</w:t>
            </w:r>
            <w:r>
              <w:rPr>
                <w:rFonts w:hint="eastAsia" w:ascii="宋体" w:hAnsi="宋体"/>
                <w:color w:val="auto"/>
                <w:szCs w:val="21"/>
                <w:lang w:eastAsia="zh-CN"/>
              </w:rPr>
              <w:t>）</w:t>
            </w:r>
          </w:p>
        </w:tc>
        <w:tc>
          <w:tcPr>
            <w:tcW w:w="4730" w:type="dxa"/>
            <w:vAlign w:val="center"/>
          </w:tcPr>
          <w:p>
            <w:pPr>
              <w:autoSpaceDE w:val="0"/>
              <w:autoSpaceDN w:val="0"/>
              <w:adjustRightInd w:val="0"/>
              <w:snapToGrid w:val="0"/>
              <w:rPr>
                <w:rFonts w:hint="eastAsia" w:ascii="宋体" w:hAnsi="宋体"/>
                <w:color w:val="auto"/>
                <w:szCs w:val="21"/>
              </w:rPr>
            </w:pPr>
            <w:r>
              <w:rPr>
                <w:rFonts w:hint="eastAsia" w:ascii="宋体" w:hAnsi="宋体"/>
                <w:color w:val="auto"/>
                <w:szCs w:val="21"/>
              </w:rPr>
              <w:t>供应商未有下列任一情形：</w:t>
            </w:r>
          </w:p>
          <w:p>
            <w:pPr>
              <w:autoSpaceDE w:val="0"/>
              <w:autoSpaceDN w:val="0"/>
              <w:adjustRightInd w:val="0"/>
              <w:snapToGrid w:val="0"/>
              <w:rPr>
                <w:rFonts w:hint="eastAsia" w:ascii="宋体" w:hAnsi="宋体"/>
                <w:color w:val="auto"/>
                <w:szCs w:val="21"/>
              </w:rPr>
            </w:pPr>
            <w:r>
              <w:rPr>
                <w:rFonts w:hint="eastAsia" w:ascii="宋体" w:hAnsi="宋体"/>
                <w:color w:val="auto"/>
                <w:szCs w:val="21"/>
              </w:rPr>
              <w:t>（1）不同供应商的响应文件由同一单位或者个人编制；</w:t>
            </w:r>
          </w:p>
          <w:p>
            <w:pPr>
              <w:autoSpaceDE w:val="0"/>
              <w:autoSpaceDN w:val="0"/>
              <w:adjustRightInd w:val="0"/>
              <w:snapToGrid w:val="0"/>
              <w:rPr>
                <w:rFonts w:hint="eastAsia" w:ascii="宋体" w:hAnsi="宋体"/>
                <w:color w:val="auto"/>
                <w:szCs w:val="21"/>
              </w:rPr>
            </w:pPr>
            <w:r>
              <w:rPr>
                <w:rFonts w:hint="eastAsia" w:ascii="宋体" w:hAnsi="宋体"/>
                <w:color w:val="auto"/>
                <w:szCs w:val="21"/>
              </w:rPr>
              <w:t>（2）不同供应商委托同一单位或者个人办理投标事宜；</w:t>
            </w:r>
          </w:p>
          <w:p>
            <w:pPr>
              <w:autoSpaceDE w:val="0"/>
              <w:autoSpaceDN w:val="0"/>
              <w:adjustRightInd w:val="0"/>
              <w:snapToGrid w:val="0"/>
              <w:rPr>
                <w:rFonts w:hint="eastAsia" w:ascii="宋体" w:hAnsi="宋体"/>
                <w:color w:val="auto"/>
                <w:szCs w:val="21"/>
              </w:rPr>
            </w:pPr>
            <w:r>
              <w:rPr>
                <w:rFonts w:hint="eastAsia" w:ascii="宋体" w:hAnsi="宋体"/>
                <w:color w:val="auto"/>
                <w:szCs w:val="21"/>
              </w:rPr>
              <w:t>（3）不同供应商的响应文件载明的项目管理成员或者联系人员为同一人；</w:t>
            </w:r>
          </w:p>
          <w:p>
            <w:pPr>
              <w:autoSpaceDE w:val="0"/>
              <w:autoSpaceDN w:val="0"/>
              <w:adjustRightInd w:val="0"/>
              <w:snapToGrid w:val="0"/>
              <w:rPr>
                <w:rFonts w:hint="eastAsia" w:ascii="宋体" w:hAnsi="宋体"/>
                <w:color w:val="auto"/>
                <w:szCs w:val="21"/>
              </w:rPr>
            </w:pPr>
            <w:r>
              <w:rPr>
                <w:rFonts w:hint="eastAsia" w:ascii="宋体" w:hAnsi="宋体"/>
                <w:color w:val="auto"/>
                <w:szCs w:val="21"/>
              </w:rPr>
              <w:t>（4）不同供应商的响应文件异常一致或者投标报价呈规律性差异；</w:t>
            </w:r>
          </w:p>
          <w:p>
            <w:pPr>
              <w:autoSpaceDE w:val="0"/>
              <w:autoSpaceDN w:val="0"/>
              <w:adjustRightInd w:val="0"/>
              <w:snapToGrid w:val="0"/>
              <w:rPr>
                <w:rFonts w:hint="eastAsia" w:ascii="宋体" w:hAnsi="宋体"/>
                <w:color w:val="auto"/>
                <w:szCs w:val="21"/>
              </w:rPr>
            </w:pPr>
            <w:r>
              <w:rPr>
                <w:rFonts w:hint="eastAsia" w:ascii="宋体" w:hAnsi="宋体"/>
                <w:color w:val="auto"/>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其他要求</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二</w:t>
            </w:r>
            <w:r>
              <w:rPr>
                <w:rFonts w:hint="eastAsia" w:asciiTheme="minorEastAsia" w:hAnsiTheme="minorEastAsia" w:eastAsiaTheme="minorEastAsia" w:cstheme="minorEastAsia"/>
                <w:kern w:val="0"/>
                <w:szCs w:val="21"/>
                <w:lang w:eastAsia="zh-CN"/>
              </w:rPr>
              <w:t>）</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宋体" w:hAnsi="宋体" w:cs="宋体"/>
                <w:kern w:val="0"/>
                <w:sz w:val="21"/>
                <w:szCs w:val="21"/>
                <w:lang w:val="en-US" w:eastAsia="zh-CN"/>
              </w:rPr>
              <w:t>磋商</w:t>
            </w:r>
            <w:r>
              <w:rPr>
                <w:rFonts w:hint="eastAsia" w:ascii="宋体" w:hAnsi="宋体" w:cs="宋体"/>
                <w:kern w:val="0"/>
                <w:sz w:val="21"/>
                <w:szCs w:val="21"/>
              </w:rPr>
              <w:t>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0" w:type="dxa"/>
            <w:vMerge w:val="restart"/>
            <w:vAlign w:val="center"/>
          </w:tcPr>
          <w:p>
            <w:pPr>
              <w:widowControl/>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lang w:val="en-US" w:eastAsia="zh-CN"/>
              </w:rPr>
              <w:t>3</w:t>
            </w:r>
          </w:p>
        </w:tc>
        <w:tc>
          <w:tcPr>
            <w:tcW w:w="851" w:type="dxa"/>
            <w:vMerge w:val="restart"/>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确定磋商供应商进行最后报价</w:t>
            </w:r>
          </w:p>
        </w:tc>
        <w:tc>
          <w:tcPr>
            <w:tcW w:w="3101"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磋商文件能完整、明确列明采购需求，无需要供应商提供最终设计方案或者解决方案的</w:t>
            </w:r>
          </w:p>
        </w:tc>
        <w:tc>
          <w:tcPr>
            <w:tcW w:w="4730" w:type="dxa"/>
            <w:vAlign w:val="center"/>
          </w:tcPr>
          <w:p>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在磋商结束后，磋商小组向所有通过</w:t>
            </w:r>
            <w:r>
              <w:rPr>
                <w:rFonts w:hint="eastAsia" w:asciiTheme="minorEastAsia" w:hAnsiTheme="minorEastAsia" w:eastAsiaTheme="minorEastAsia" w:cstheme="minorEastAsia"/>
                <w:kern w:val="0"/>
                <w:szCs w:val="21"/>
                <w:lang w:val="en-US" w:eastAsia="zh-CN"/>
              </w:rPr>
              <w:t>资格性和符合性审查</w:t>
            </w:r>
            <w:r>
              <w:rPr>
                <w:rFonts w:hint="eastAsia" w:asciiTheme="minorEastAsia" w:hAnsiTheme="minorEastAsia" w:eastAsiaTheme="minorEastAsia" w:cstheme="minorEastAsia"/>
                <w:kern w:val="0"/>
                <w:szCs w:val="21"/>
              </w:rPr>
              <w:t>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hint="eastAsia" w:asciiTheme="minorEastAsia" w:hAnsiTheme="minorEastAsia" w:eastAsiaTheme="minorEastAsia" w:cstheme="minorEastAsia"/>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kern w:val="0"/>
                <w:szCs w:val="21"/>
              </w:rPr>
            </w:pPr>
          </w:p>
        </w:tc>
        <w:tc>
          <w:tcPr>
            <w:tcW w:w="3101"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磋商文件不能完整、明确列明采购需求，需要由供应商提供最终设计方案或者解决方案的</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w:t>
            </w:r>
          </w:p>
        </w:tc>
        <w:tc>
          <w:tcPr>
            <w:tcW w:w="851"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评定</w:t>
            </w:r>
          </w:p>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办法</w:t>
            </w:r>
          </w:p>
        </w:tc>
        <w:tc>
          <w:tcPr>
            <w:tcW w:w="3101" w:type="dxa"/>
            <w:vAlign w:val="center"/>
          </w:tcPr>
          <w:p>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综合评分法</w:t>
            </w:r>
          </w:p>
        </w:tc>
        <w:tc>
          <w:tcPr>
            <w:tcW w:w="473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各供应商的最终得分为各评委所评定分数的算术平均值。磋商小组将根据供应商最终得分由高到低的照顺序推荐3名成交候选人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所属行业及</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划型标准</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类型：工业 制造业……（查询划型标准）</w:t>
            </w:r>
          </w:p>
          <w:p>
            <w:pPr>
              <w:widowControl/>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小型：营业收入</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资产总额</w:t>
            </w:r>
            <w:r>
              <w:rPr>
                <w:rFonts w:hint="eastAsia" w:asciiTheme="minorEastAsia" w:hAnsiTheme="minorEastAsia" w:eastAsiaTheme="minorEastAsia" w:cstheme="minorEastAsia"/>
                <w:kern w:val="0"/>
                <w:szCs w:val="21"/>
                <w:u w:val="single"/>
              </w:rPr>
              <w:t xml:space="preserve">      </w:t>
            </w:r>
          </w:p>
          <w:p>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微型：营业收入</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资产总额</w:t>
            </w:r>
            <w:r>
              <w:rPr>
                <w:rFonts w:hint="eastAsia" w:asciiTheme="minorEastAsia" w:hAnsiTheme="minorEastAsia" w:eastAsiaTheme="minorEastAsia" w:cstheme="minorEastAsia"/>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中小企业</w:t>
            </w:r>
          </w:p>
        </w:tc>
        <w:tc>
          <w:tcPr>
            <w:tcW w:w="7831" w:type="dxa"/>
            <w:gridSpan w:val="2"/>
            <w:vAlign w:val="center"/>
          </w:tcPr>
          <w:p>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如符合工信部联企业</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2011</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300号文中对中小企业划型标准的， 需提供本单位的 《中小企业声明函》（格式见第六章）及企业相关数据资料。代理商</w:t>
            </w:r>
            <w:r>
              <w:rPr>
                <w:rFonts w:hint="eastAsia" w:asciiTheme="minorEastAsia" w:hAnsiTheme="minorEastAsia" w:eastAsiaTheme="minorEastAsia" w:cstheme="minorEastAsia"/>
                <w:kern w:val="0"/>
                <w:szCs w:val="21"/>
                <w:lang w:val="en-US" w:eastAsia="zh-CN"/>
              </w:rPr>
              <w:t>竞</w:t>
            </w:r>
            <w:r>
              <w:rPr>
                <w:rFonts w:hint="eastAsia" w:asciiTheme="minorEastAsia" w:hAnsiTheme="minorEastAsia" w:eastAsiaTheme="minorEastAsia" w:cstheme="minorEastAsia"/>
                <w:kern w:val="0"/>
                <w:szCs w:val="21"/>
              </w:rPr>
              <w:t>标需同时提供制造商及代理商双方的数据资料（制造商直接</w:t>
            </w:r>
            <w:r>
              <w:rPr>
                <w:rFonts w:hint="eastAsia" w:asciiTheme="minorEastAsia" w:hAnsiTheme="minorEastAsia" w:eastAsiaTheme="minorEastAsia" w:cstheme="minorEastAsia"/>
                <w:kern w:val="0"/>
                <w:szCs w:val="21"/>
                <w:lang w:val="en-US" w:eastAsia="zh-CN"/>
              </w:rPr>
              <w:t>竞</w:t>
            </w:r>
            <w:r>
              <w:rPr>
                <w:rFonts w:hint="eastAsia" w:asciiTheme="minorEastAsia" w:hAnsiTheme="minorEastAsia" w:eastAsiaTheme="minorEastAsia" w:cstheme="minorEastAsia"/>
                <w:kern w:val="0"/>
                <w:szCs w:val="21"/>
              </w:rPr>
              <w:t>标的仅需提供制造商数据资料），如果数据资料与声明函不一致的，由</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判定。经</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审核确认</w:t>
            </w:r>
            <w:r>
              <w:rPr>
                <w:rFonts w:hint="eastAsia" w:asciiTheme="minorEastAsia" w:hAnsiTheme="minorEastAsia" w:eastAsiaTheme="minorEastAsia" w:cstheme="minorEastAsia"/>
                <w:kern w:val="0"/>
                <w:szCs w:val="21"/>
                <w:lang w:val="en-US" w:eastAsia="zh-CN"/>
              </w:rPr>
              <w:t>供应商</w:t>
            </w:r>
            <w:r>
              <w:rPr>
                <w:rFonts w:hint="eastAsia" w:asciiTheme="minorEastAsia" w:hAnsiTheme="minorEastAsia" w:eastAsiaTheme="minorEastAsia" w:cstheme="minorEastAsia"/>
                <w:kern w:val="0"/>
                <w:szCs w:val="21"/>
              </w:rPr>
              <w:t>符合工信部联企业</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2011</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300 号文中对中小企业划型标准的，将根据财库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2011</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181</w:t>
            </w:r>
            <w:r>
              <w:rPr>
                <w:rFonts w:hint="eastAsia" w:asciiTheme="minorEastAsia" w:hAnsiTheme="minorEastAsia" w:eastAsiaTheme="minorEastAsia" w:cstheme="minorEastAsia"/>
                <w:kern w:val="0"/>
                <w:szCs w:val="21"/>
                <w:lang w:val="en-US" w:eastAsia="zh-CN"/>
              </w:rPr>
              <w:t>号</w:t>
            </w:r>
            <w:r>
              <w:rPr>
                <w:rFonts w:hint="eastAsia" w:asciiTheme="minorEastAsia" w:hAnsiTheme="minorEastAsia" w:eastAsiaTheme="minorEastAsia" w:cstheme="minorEastAsia"/>
                <w:kern w:val="0"/>
                <w:szCs w:val="21"/>
              </w:rPr>
              <w:t>文的相关规定在评定时对小型和微型企业产品的价格给予</w:t>
            </w:r>
            <w:r>
              <w:rPr>
                <w:rFonts w:hint="eastAsia" w:asciiTheme="minorEastAsia" w:hAnsiTheme="minorEastAsia" w:eastAsiaTheme="minorEastAsia" w:cstheme="minorEastAsia"/>
                <w:kern w:val="0"/>
                <w:szCs w:val="21"/>
                <w:lang w:val="en-US" w:eastAsia="zh-CN"/>
              </w:rPr>
              <w:t>6</w:t>
            </w:r>
            <w:r>
              <w:rPr>
                <w:rFonts w:hint="eastAsia" w:asciiTheme="minorEastAsia" w:hAnsiTheme="minorEastAsia" w:eastAsiaTheme="minorEastAsia" w:cstheme="minorEastAsia"/>
                <w:kern w:val="0"/>
                <w:szCs w:val="21"/>
              </w:rPr>
              <w:t>%的扣除后的价格参与评审。大中型企业与小型、微型企业组成联合体共同参加非专门面向中小企业的政府采购活动，且联合体协议中约定小型、微型企业的协议合同金额占到联合体协议合同总金额 30%以上的，给予联合体2%的价格扣除。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监狱企业</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按照财政部《关于政府采购支持监狱企业发展有关问题的通知》（财库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2014</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审核确认</w:t>
            </w:r>
            <w:r>
              <w:rPr>
                <w:rFonts w:hint="eastAsia" w:asciiTheme="minorEastAsia" w:hAnsiTheme="minorEastAsia" w:eastAsiaTheme="minorEastAsia" w:cstheme="minorEastAsia"/>
                <w:kern w:val="0"/>
                <w:szCs w:val="21"/>
                <w:lang w:val="en-US" w:eastAsia="zh-CN"/>
              </w:rPr>
              <w:t>供应商</w:t>
            </w:r>
            <w:r>
              <w:rPr>
                <w:rFonts w:hint="eastAsia" w:asciiTheme="minorEastAsia" w:hAnsiTheme="minorEastAsia" w:eastAsiaTheme="minorEastAsia" w:cstheme="minorEastAsia"/>
                <w:kern w:val="0"/>
                <w:szCs w:val="21"/>
              </w:rPr>
              <w:t>属于监狱企业的，在评定时视同中小企业</w:t>
            </w:r>
            <w:r>
              <w:rPr>
                <w:rFonts w:hint="eastAsia" w:asciiTheme="minorEastAsia" w:hAnsiTheme="minorEastAsia" w:eastAsiaTheme="minorEastAsia" w:cstheme="minorEastAsia"/>
                <w:kern w:val="0"/>
                <w:szCs w:val="21"/>
                <w:lang w:eastAsia="zh-CN"/>
              </w:rPr>
              <w:t>，价格给予6%的扣除后的价格参与评审。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促进残疾人</w:t>
            </w:r>
          </w:p>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就业</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按照《三部门联合发布关于促进残疾人就业政府采购政策的通知》（财库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2017</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141 号）的规定，在政府采购活动中，残疾人福利性单位视同小型、微型企业，享受预留份额、评审中价格扣除等促进中小企业发展的政府采购政策。符合条件的残疾人福利性单位在参加政府采购活动时，应当提供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2017</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141号文规定的《残疾人福利性单位声明函》（格式见第六章），并对声明的真实性负责，未提供声明函的不予折扣。经</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审核确认</w:t>
            </w:r>
            <w:r>
              <w:rPr>
                <w:rFonts w:hint="eastAsia" w:asciiTheme="minorEastAsia" w:hAnsiTheme="minorEastAsia" w:eastAsiaTheme="minorEastAsia" w:cstheme="minorEastAsia"/>
                <w:kern w:val="0"/>
                <w:szCs w:val="21"/>
                <w:lang w:val="en-US" w:eastAsia="zh-CN"/>
              </w:rPr>
              <w:t>供应商</w:t>
            </w:r>
            <w:r>
              <w:rPr>
                <w:rFonts w:hint="eastAsia" w:asciiTheme="minorEastAsia" w:hAnsiTheme="minorEastAsia" w:eastAsiaTheme="minorEastAsia" w:cstheme="minorEastAsia"/>
                <w:kern w:val="0"/>
                <w:szCs w:val="21"/>
              </w:rPr>
              <w:t>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hint="eastAsia" w:ascii="宋体" w:hAnsi="宋体" w:cs="宋体"/>
                <w:snapToGrid w:val="0"/>
                <w:color w:val="auto"/>
                <w:kern w:val="0"/>
                <w:szCs w:val="21"/>
                <w:lang w:val="zh-CN"/>
              </w:rPr>
            </w:pPr>
          </w:p>
          <w:p>
            <w:pPr>
              <w:autoSpaceDE w:val="0"/>
              <w:autoSpaceDN w:val="0"/>
              <w:adjustRightInd w:val="0"/>
              <w:jc w:val="center"/>
              <w:rPr>
                <w:rFonts w:hint="eastAsia" w:eastAsia="宋体" w:asciiTheme="minorEastAsia" w:hAnsiTheme="minorEastAsia" w:cstheme="minorEastAsia"/>
                <w:color w:val="auto"/>
                <w:kern w:val="0"/>
                <w:szCs w:val="21"/>
                <w:lang w:eastAsia="zh-CN"/>
              </w:rPr>
            </w:pPr>
            <w:r>
              <w:rPr>
                <w:rFonts w:hint="eastAsia" w:ascii="宋体" w:hAnsi="宋体" w:cs="宋体"/>
                <w:snapToGrid w:val="0"/>
                <w:color w:val="auto"/>
                <w:kern w:val="0"/>
                <w:szCs w:val="21"/>
                <w:lang w:val="zh-CN"/>
              </w:rPr>
              <w:t>节能</w:t>
            </w:r>
            <w:r>
              <w:rPr>
                <w:rFonts w:hint="eastAsia" w:ascii="宋体" w:hAnsi="宋体" w:cs="宋体"/>
                <w:snapToGrid w:val="0"/>
                <w:color w:val="auto"/>
                <w:kern w:val="0"/>
                <w:szCs w:val="21"/>
                <w:lang w:val="en-US" w:eastAsia="zh-CN"/>
              </w:rPr>
              <w:t>环保</w:t>
            </w:r>
          </w:p>
        </w:tc>
        <w:tc>
          <w:tcPr>
            <w:tcW w:w="7831" w:type="dxa"/>
            <w:gridSpan w:val="2"/>
            <w:vAlign w:val="center"/>
          </w:tcPr>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如供应商投标产品符合以上文件的政策支持，须提供产品认证证书（合格有效时间内的）或节能产品查（http://www、ccgp、gov、cn/search/jnqdchaxun、htm）/环境标志产品查询（http://www、ccgp、gov、cn/search/hbqdchaxun、htm）查询结果截图。经评委会审核确认供应商投标产品符合以上政府采购政策的，给予该项投标产品所占价格的 1%的价格扣除，用扣除后的价格参与评审。上述政府采购政策优惠须经评标委评审后执行，未提供单独分项报价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bl>
    <w:p>
      <w:pPr>
        <w:spacing w:line="360" w:lineRule="auto"/>
        <w:outlineLvl w:val="1"/>
        <w:rPr>
          <w:rFonts w:hint="eastAsia" w:asciiTheme="minorEastAsia" w:hAnsiTheme="minorEastAsia" w:eastAsiaTheme="minorEastAsia" w:cstheme="minorEastAsia"/>
          <w:b/>
          <w:szCs w:val="21"/>
        </w:rPr>
      </w:pPr>
      <w:bookmarkStart w:id="109" w:name="_Toc6082"/>
      <w:r>
        <w:rPr>
          <w:rFonts w:hint="eastAsia" w:asciiTheme="minorEastAsia" w:hAnsiTheme="minorEastAsia" w:eastAsiaTheme="minorEastAsia" w:cstheme="minorEastAsia"/>
          <w:b/>
          <w:szCs w:val="21"/>
          <w:lang w:val="en-US" w:eastAsia="zh-CN"/>
        </w:rPr>
        <w:t>二、</w:t>
      </w:r>
      <w:r>
        <w:rPr>
          <w:rFonts w:hint="eastAsia" w:asciiTheme="minorEastAsia" w:hAnsiTheme="minorEastAsia" w:eastAsiaTheme="minorEastAsia" w:cstheme="minorEastAsia"/>
          <w:b/>
          <w:szCs w:val="21"/>
        </w:rPr>
        <w:t>计算办法</w:t>
      </w:r>
      <w:bookmarkEnd w:id="109"/>
    </w:p>
    <w:tbl>
      <w:tblPr>
        <w:tblStyle w:val="2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4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分值构成(总分100分)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评标基准价计算方法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满足采购文件要求且报价最低的竞标报价为评标基准价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评分因素</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6"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竞标报价评分标准</w:t>
            </w:r>
          </w:p>
        </w:tc>
        <w:tc>
          <w:tcPr>
            <w:tcW w:w="6322" w:type="dxa"/>
            <w:vAlign w:val="center"/>
          </w:tcPr>
          <w:p>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各供应商的最终得分计算办法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供应商最后得分相同时对供应商进行排序的方法</w:t>
            </w:r>
          </w:p>
        </w:tc>
        <w:tc>
          <w:tcPr>
            <w:tcW w:w="6322" w:type="dxa"/>
            <w:vAlign w:val="center"/>
          </w:tcPr>
          <w:p>
            <w:pPr>
              <w:widowControl/>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得分相同的供应商，按竞标报价由低到高顺序排列。得分且报价相同的，按技术指标优劣顺序排列。</w:t>
            </w:r>
          </w:p>
        </w:tc>
      </w:tr>
    </w:tbl>
    <w:p>
      <w:pPr>
        <w:spacing w:line="360" w:lineRule="auto"/>
        <w:outlineLvl w:val="9"/>
        <w:rPr>
          <w:rFonts w:hint="eastAsia" w:asciiTheme="minorEastAsia" w:hAnsiTheme="minorEastAsia" w:eastAsiaTheme="minorEastAsia" w:cstheme="minorEastAsia"/>
          <w:b/>
          <w:szCs w:val="21"/>
        </w:rPr>
      </w:pPr>
    </w:p>
    <w:p>
      <w:pPr>
        <w:pStyle w:val="20"/>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spacing w:line="360" w:lineRule="auto"/>
        <w:outlineLvl w:val="1"/>
        <w:rPr>
          <w:rFonts w:hint="eastAsia" w:asciiTheme="minorEastAsia" w:hAnsiTheme="minorEastAsia" w:eastAsiaTheme="minorEastAsia" w:cstheme="minorEastAsia"/>
          <w:b/>
          <w:szCs w:val="21"/>
        </w:rPr>
      </w:pPr>
      <w:bookmarkStart w:id="110" w:name="_Toc12933"/>
      <w:r>
        <w:rPr>
          <w:rFonts w:hint="eastAsia" w:asciiTheme="minorEastAsia" w:hAnsiTheme="minorEastAsia" w:eastAsiaTheme="minorEastAsia" w:cstheme="minorEastAsia"/>
          <w:b/>
          <w:szCs w:val="21"/>
          <w:lang w:val="en-US" w:eastAsia="zh-CN"/>
        </w:rPr>
        <w:t>三、</w:t>
      </w:r>
      <w:r>
        <w:rPr>
          <w:rFonts w:hint="eastAsia" w:asciiTheme="minorEastAsia" w:hAnsiTheme="minorEastAsia" w:eastAsiaTheme="minorEastAsia" w:cstheme="minorEastAsia"/>
          <w:b/>
          <w:szCs w:val="21"/>
        </w:rPr>
        <w:t>评分细则</w:t>
      </w:r>
      <w:bookmarkEnd w:id="110"/>
    </w:p>
    <w:tbl>
      <w:tblPr>
        <w:tblStyle w:val="26"/>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376"/>
        <w:gridCol w:w="6512"/>
        <w:gridCol w:w="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736"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spacing w:val="-6"/>
                <w:sz w:val="21"/>
                <w:szCs w:val="21"/>
                <w:lang w:val="en-US" w:eastAsia="zh-CN"/>
              </w:rPr>
            </w:pPr>
            <w:r>
              <w:rPr>
                <w:rFonts w:hint="eastAsia" w:asciiTheme="minorEastAsia" w:hAnsiTheme="minorEastAsia" w:eastAsiaTheme="minorEastAsia" w:cstheme="minorEastAsia"/>
                <w:b/>
                <w:bCs/>
                <w:color w:val="auto"/>
                <w:sz w:val="21"/>
                <w:szCs w:val="21"/>
                <w:lang w:val="en-US" w:eastAsia="zh-CN"/>
              </w:rPr>
              <w:t>类别</w:t>
            </w:r>
          </w:p>
        </w:tc>
        <w:tc>
          <w:tcPr>
            <w:tcW w:w="1376"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因素</w:t>
            </w:r>
          </w:p>
        </w:tc>
        <w:tc>
          <w:tcPr>
            <w:tcW w:w="6512"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标准</w:t>
            </w:r>
          </w:p>
        </w:tc>
        <w:tc>
          <w:tcPr>
            <w:tcW w:w="664"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736" w:type="dxa"/>
            <w:vAlign w:val="center"/>
          </w:tcPr>
          <w:p>
            <w:pPr>
              <w:widowControl/>
              <w:spacing w:line="260" w:lineRule="exact"/>
              <w:jc w:val="center"/>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Cs w:val="21"/>
                <w:lang w:val="en-US" w:eastAsia="zh-CN" w:bidi="ar"/>
              </w:rPr>
              <w:t>竞标</w:t>
            </w:r>
            <w:r>
              <w:rPr>
                <w:rFonts w:hint="eastAsia" w:asciiTheme="minorEastAsia" w:hAnsiTheme="minorEastAsia" w:eastAsiaTheme="minorEastAsia" w:cstheme="minorEastAsia"/>
                <w:color w:val="auto"/>
                <w:kern w:val="0"/>
                <w:szCs w:val="21"/>
                <w:lang w:bidi="ar"/>
              </w:rPr>
              <w:t>报价</w:t>
            </w:r>
            <w:r>
              <w:rPr>
                <w:rFonts w:hint="eastAsia" w:asciiTheme="minorEastAsia" w:hAnsiTheme="minorEastAsia" w:eastAsiaTheme="minorEastAsia" w:cstheme="minorEastAsia"/>
                <w:color w:val="auto"/>
                <w:kern w:val="0"/>
                <w:szCs w:val="21"/>
                <w:lang w:bidi="ar"/>
              </w:rPr>
              <w:br w:type="textWrapping"/>
            </w:r>
            <w:r>
              <w:rPr>
                <w:rFonts w:hint="eastAsia" w:asciiTheme="minorEastAsia" w:hAnsiTheme="minorEastAsia" w:eastAsiaTheme="minorEastAsia" w:cstheme="minorEastAsia"/>
                <w:color w:val="auto"/>
                <w:kern w:val="0"/>
                <w:szCs w:val="21"/>
                <w:lang w:val="en-US" w:eastAsia="zh-CN" w:bidi="ar"/>
              </w:rPr>
              <w:t>30</w:t>
            </w:r>
            <w:r>
              <w:rPr>
                <w:rFonts w:hint="eastAsia" w:asciiTheme="minorEastAsia" w:hAnsiTheme="minorEastAsia" w:eastAsiaTheme="minorEastAsia" w:cstheme="minorEastAsia"/>
                <w:color w:val="auto"/>
                <w:kern w:val="0"/>
                <w:szCs w:val="21"/>
                <w:lang w:bidi="ar"/>
              </w:rPr>
              <w:t>分</w:t>
            </w:r>
          </w:p>
        </w:tc>
        <w:tc>
          <w:tcPr>
            <w:tcW w:w="1376" w:type="dxa"/>
            <w:vAlign w:val="center"/>
          </w:tcPr>
          <w:p>
            <w:pPr>
              <w:widowControl/>
              <w:spacing w:line="260" w:lineRule="exact"/>
              <w:jc w:val="center"/>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Cs w:val="21"/>
                <w:lang w:val="en-US" w:eastAsia="zh-CN" w:bidi="ar"/>
              </w:rPr>
              <w:t>最后</w:t>
            </w:r>
            <w:r>
              <w:rPr>
                <w:rFonts w:hint="eastAsia" w:asciiTheme="minorEastAsia" w:hAnsiTheme="minorEastAsia" w:eastAsiaTheme="minorEastAsia" w:cstheme="minorEastAsia"/>
                <w:color w:val="auto"/>
                <w:kern w:val="0"/>
                <w:szCs w:val="21"/>
                <w:lang w:bidi="ar"/>
              </w:rPr>
              <w:t>报价</w:t>
            </w:r>
          </w:p>
        </w:tc>
        <w:tc>
          <w:tcPr>
            <w:tcW w:w="6512" w:type="dxa"/>
            <w:vAlign w:val="center"/>
          </w:tcPr>
          <w:p>
            <w:pPr>
              <w:widowControl/>
              <w:spacing w:line="260" w:lineRule="exact"/>
              <w:jc w:val="left"/>
              <w:textAlignment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1、报价采用低价优先法计算，即满足</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采购文件要求且报价最低的报价为磋商基准价，其报价分为满分</w:t>
            </w:r>
            <w:r>
              <w:rPr>
                <w:rFonts w:hint="eastAsia" w:asciiTheme="minorEastAsia" w:hAnsiTheme="minorEastAsia" w:eastAsiaTheme="minorEastAsia" w:cstheme="minorEastAsia"/>
                <w:color w:val="auto"/>
                <w:spacing w:val="-6"/>
                <w:sz w:val="21"/>
                <w:szCs w:val="21"/>
              </w:rPr>
              <w:t>30</w:t>
            </w:r>
            <w:r>
              <w:rPr>
                <w:rFonts w:hint="eastAsia" w:asciiTheme="minorEastAsia" w:hAnsiTheme="minorEastAsia" w:eastAsiaTheme="minorEastAsia" w:cstheme="minorEastAsia"/>
                <w:color w:val="auto"/>
              </w:rPr>
              <w:t>分</w:t>
            </w:r>
            <w:r>
              <w:rPr>
                <w:rFonts w:hint="eastAsia" w:asciiTheme="minorEastAsia" w:hAnsiTheme="minorEastAsia" w:eastAsiaTheme="minorEastAsia" w:cstheme="minorEastAsia"/>
                <w:color w:val="auto"/>
                <w:lang w:eastAsia="zh-CN"/>
              </w:rPr>
              <w:t>；</w:t>
            </w:r>
          </w:p>
          <w:p>
            <w:pPr>
              <w:widowControl/>
              <w:spacing w:line="260" w:lineRule="exact"/>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2、其他供应商的报价分按照下列公式计算：</w:t>
            </w:r>
          </w:p>
          <w:p>
            <w:pPr>
              <w:widowControl/>
              <w:spacing w:line="260" w:lineRule="exact"/>
              <w:jc w:val="left"/>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报价分=（磋商基准价/磋商报价）×</w:t>
            </w:r>
            <w:r>
              <w:rPr>
                <w:rFonts w:hint="eastAsia" w:asciiTheme="minorEastAsia" w:hAnsiTheme="minorEastAsia" w:eastAsiaTheme="minorEastAsia" w:cstheme="minorEastAsia"/>
                <w:color w:val="auto"/>
                <w:spacing w:val="-6"/>
                <w:sz w:val="21"/>
                <w:szCs w:val="21"/>
              </w:rPr>
              <w:t>30</w:t>
            </w:r>
          </w:p>
          <w:p>
            <w:pPr>
              <w:widowControl/>
              <w:spacing w:line="260" w:lineRule="exact"/>
              <w:jc w:val="left"/>
              <w:textAlignment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备注：</w:t>
            </w:r>
            <w:r>
              <w:rPr>
                <w:rFonts w:hint="eastAsia" w:asciiTheme="minorEastAsia" w:hAnsiTheme="minorEastAsia" w:eastAsiaTheme="minorEastAsia" w:cstheme="minorEastAsia"/>
                <w:b/>
                <w:bCs/>
                <w:color w:val="auto"/>
                <w:lang w:val="en-US" w:eastAsia="zh-CN"/>
              </w:rPr>
              <w:t>1、</w:t>
            </w:r>
            <w:r>
              <w:rPr>
                <w:rFonts w:hint="eastAsia" w:asciiTheme="minorEastAsia" w:hAnsiTheme="minorEastAsia" w:eastAsiaTheme="minorEastAsia" w:cstheme="minorEastAsia"/>
                <w:b/>
                <w:bCs/>
                <w:color w:val="auto"/>
              </w:rPr>
              <w:t>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widowControl/>
              <w:spacing w:line="260" w:lineRule="exact"/>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lang w:val="en-US" w:eastAsia="zh-CN"/>
              </w:rPr>
              <w:t>2、</w:t>
            </w:r>
            <w:r>
              <w:rPr>
                <w:rFonts w:hint="eastAsia" w:asciiTheme="minorEastAsia" w:hAnsiTheme="minorEastAsia" w:eastAsiaTheme="minorEastAsia" w:cstheme="minorEastAsia"/>
                <w:b/>
                <w:bCs/>
                <w:color w:val="auto"/>
              </w:rPr>
              <w:t>符合本磋商文件第</w:t>
            </w:r>
            <w:r>
              <w:rPr>
                <w:rFonts w:hint="eastAsia" w:asciiTheme="minorEastAsia" w:hAnsiTheme="minorEastAsia" w:eastAsiaTheme="minorEastAsia" w:cstheme="minorEastAsia"/>
                <w:b/>
                <w:bCs/>
                <w:color w:val="auto"/>
                <w:lang w:val="en-US" w:eastAsia="zh-CN"/>
              </w:rPr>
              <w:t>四</w:t>
            </w:r>
            <w:r>
              <w:rPr>
                <w:rFonts w:hint="eastAsia" w:asciiTheme="minorEastAsia" w:hAnsiTheme="minorEastAsia" w:eastAsiaTheme="minorEastAsia" w:cstheme="minorEastAsia"/>
                <w:b/>
                <w:bCs/>
                <w:color w:val="auto"/>
              </w:rPr>
              <w:t>章“政策支持”</w:t>
            </w:r>
            <w:r>
              <w:rPr>
                <w:rFonts w:hint="eastAsia" w:asciiTheme="minorEastAsia" w:hAnsiTheme="minorEastAsia" w:eastAsiaTheme="minorEastAsia" w:cstheme="minorEastAsia"/>
                <w:b/>
                <w:bCs/>
                <w:color w:val="auto"/>
                <w:lang w:val="en-US" w:eastAsia="zh-CN"/>
              </w:rPr>
              <w:t>条件</w:t>
            </w:r>
            <w:r>
              <w:rPr>
                <w:rFonts w:hint="eastAsia" w:asciiTheme="minorEastAsia" w:hAnsiTheme="minorEastAsia" w:eastAsiaTheme="minorEastAsia" w:cstheme="minorEastAsia"/>
                <w:b/>
                <w:bCs/>
                <w:color w:val="auto"/>
              </w:rPr>
              <w:t>的，在评审时予以价格扣除，用扣除后的价格参与评审。</w:t>
            </w:r>
          </w:p>
        </w:tc>
        <w:tc>
          <w:tcPr>
            <w:tcW w:w="664" w:type="dxa"/>
            <w:vAlign w:val="center"/>
          </w:tcPr>
          <w:p>
            <w:pPr>
              <w:widowControl/>
              <w:spacing w:line="260" w:lineRule="exact"/>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sz w:val="21"/>
                <w:szCs w:val="21"/>
              </w:rPr>
              <w:t>30</w:t>
            </w:r>
            <w:r>
              <w:rPr>
                <w:rFonts w:hint="eastAsia" w:asciiTheme="minorEastAsia" w:hAnsiTheme="minorEastAsia" w:eastAsiaTheme="minorEastAsia" w:cstheme="minorEastAsia"/>
                <w:color w:val="auto"/>
                <w:kern w:val="0"/>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trPr>
        <w:tc>
          <w:tcPr>
            <w:tcW w:w="736" w:type="dxa"/>
            <w:vMerge w:val="restart"/>
            <w:vAlign w:val="center"/>
          </w:tcPr>
          <w:p>
            <w:pPr>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商</w:t>
            </w:r>
            <w:r>
              <w:rPr>
                <w:rFonts w:hint="eastAsia" w:asciiTheme="minorEastAsia" w:hAnsiTheme="minorEastAsia" w:eastAsiaTheme="minorEastAsia" w:cstheme="minorEastAsia"/>
                <w:color w:val="auto"/>
                <w:spacing w:val="-6"/>
                <w:sz w:val="21"/>
                <w:szCs w:val="21"/>
              </w:rPr>
              <w:t>务</w:t>
            </w:r>
            <w:r>
              <w:rPr>
                <w:rFonts w:hint="eastAsia" w:asciiTheme="minorEastAsia" w:hAnsiTheme="minorEastAsia" w:eastAsiaTheme="minorEastAsia" w:cstheme="minorEastAsia"/>
                <w:color w:val="auto"/>
                <w:spacing w:val="-6"/>
                <w:sz w:val="21"/>
                <w:szCs w:val="21"/>
                <w:lang w:val="en-US" w:eastAsia="zh-CN"/>
              </w:rPr>
              <w:t>30</w:t>
            </w:r>
            <w:r>
              <w:rPr>
                <w:rFonts w:hint="eastAsia" w:asciiTheme="minorEastAsia" w:hAnsiTheme="minorEastAsia" w:eastAsiaTheme="minorEastAsia" w:cstheme="minorEastAsia"/>
                <w:color w:val="auto"/>
                <w:spacing w:val="-6"/>
                <w:sz w:val="21"/>
                <w:szCs w:val="21"/>
              </w:rPr>
              <w:t>分</w:t>
            </w:r>
          </w:p>
        </w:tc>
        <w:tc>
          <w:tcPr>
            <w:tcW w:w="1376" w:type="dxa"/>
            <w:vMerge w:val="restart"/>
            <w:vAlign w:val="center"/>
          </w:tcPr>
          <w:p>
            <w:pPr>
              <w:autoSpaceDE w:val="0"/>
              <w:autoSpaceDN w:val="0"/>
              <w:adjustRightInd w:val="0"/>
              <w:ind w:right="71" w:rightChars="34"/>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认证资质</w:t>
            </w:r>
          </w:p>
          <w:p>
            <w:pPr>
              <w:rPr>
                <w:rFonts w:hint="eastAsia" w:asciiTheme="minorEastAsia" w:hAnsiTheme="minorEastAsia" w:eastAsiaTheme="minorEastAsia" w:cstheme="minorEastAsia"/>
                <w:spacing w:val="-6"/>
                <w:kern w:val="0"/>
                <w:sz w:val="21"/>
                <w:szCs w:val="21"/>
              </w:rPr>
            </w:pPr>
          </w:p>
        </w:tc>
        <w:tc>
          <w:tcPr>
            <w:tcW w:w="6512" w:type="dxa"/>
            <w:vAlign w:val="center"/>
          </w:tcPr>
          <w:p>
            <w:pPr>
              <w:autoSpaceDE w:val="0"/>
              <w:autoSpaceDN w:val="0"/>
              <w:adjustRightInd w:val="0"/>
              <w:ind w:right="71" w:rightChars="34"/>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供应商具有效期内质量管理体系认证证书</w:t>
            </w:r>
            <w:r>
              <w:rPr>
                <w:rFonts w:hint="eastAsia" w:asciiTheme="minorEastAsia" w:hAnsiTheme="minorEastAsia" w:eastAsiaTheme="minorEastAsia" w:cstheme="minorEastAsia"/>
                <w:szCs w:val="21"/>
              </w:rPr>
              <w:t>的，得1分；</w:t>
            </w:r>
          </w:p>
        </w:tc>
        <w:tc>
          <w:tcPr>
            <w:tcW w:w="664" w:type="dxa"/>
            <w:vAlign w:val="center"/>
          </w:tcPr>
          <w:p>
            <w:pPr>
              <w:autoSpaceDE w:val="0"/>
              <w:autoSpaceDN w:val="0"/>
              <w:adjustRightInd w:val="0"/>
              <w:ind w:right="71" w:rightChars="34"/>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Cs w:val="21"/>
                <w:lang w:bidi="ar"/>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trPr>
        <w:tc>
          <w:tcPr>
            <w:tcW w:w="736" w:type="dxa"/>
            <w:vMerge w:val="continue"/>
            <w:vAlign w:val="center"/>
          </w:tcPr>
          <w:p/>
        </w:tc>
        <w:tc>
          <w:tcPr>
            <w:tcW w:w="1376" w:type="dxa"/>
            <w:vMerge w:val="continue"/>
            <w:vAlign w:val="center"/>
          </w:tcPr>
          <w:p/>
        </w:tc>
        <w:tc>
          <w:tcPr>
            <w:tcW w:w="6512" w:type="dxa"/>
            <w:vAlign w:val="center"/>
          </w:tcPr>
          <w:p>
            <w:pPr>
              <w:autoSpaceDE w:val="0"/>
              <w:autoSpaceDN w:val="0"/>
              <w:adjustRightInd w:val="0"/>
              <w:ind w:right="71" w:rightChars="34"/>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供应商具有效期内环境管理体系认证证书</w:t>
            </w:r>
            <w:r>
              <w:rPr>
                <w:rFonts w:hint="eastAsia" w:asciiTheme="minorEastAsia" w:hAnsiTheme="minorEastAsia" w:eastAsiaTheme="minorEastAsia" w:cstheme="minorEastAsia"/>
                <w:szCs w:val="21"/>
              </w:rPr>
              <w:t>的，得1分；</w:t>
            </w:r>
          </w:p>
        </w:tc>
        <w:tc>
          <w:tcPr>
            <w:tcW w:w="664" w:type="dxa"/>
            <w:vAlign w:val="center"/>
          </w:tcPr>
          <w:p>
            <w:pPr>
              <w:autoSpaceDE w:val="0"/>
              <w:autoSpaceDN w:val="0"/>
              <w:adjustRightInd w:val="0"/>
              <w:ind w:right="71" w:rightChars="34"/>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Cs w:val="21"/>
                <w:lang w:bidi="ar"/>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trPr>
        <w:tc>
          <w:tcPr>
            <w:tcW w:w="736" w:type="dxa"/>
            <w:vMerge w:val="continue"/>
            <w:vAlign w:val="center"/>
          </w:tcPr>
          <w:p>
            <w:pPr>
              <w:rPr>
                <w:rFonts w:hint="eastAsia" w:asciiTheme="minorEastAsia" w:hAnsiTheme="minorEastAsia" w:eastAsiaTheme="minorEastAsia" w:cstheme="minorEastAsia"/>
                <w:spacing w:val="-6"/>
                <w:sz w:val="21"/>
                <w:szCs w:val="21"/>
              </w:rPr>
            </w:pPr>
          </w:p>
        </w:tc>
        <w:tc>
          <w:tcPr>
            <w:tcW w:w="1376" w:type="dxa"/>
            <w:vMerge w:val="continue"/>
            <w:vAlign w:val="center"/>
          </w:tcPr>
          <w:p>
            <w:pPr>
              <w:rPr>
                <w:rFonts w:hint="eastAsia" w:asciiTheme="minorEastAsia" w:hAnsiTheme="minorEastAsia" w:eastAsiaTheme="minorEastAsia" w:cstheme="minorEastAsia"/>
                <w:spacing w:val="-6"/>
                <w:sz w:val="21"/>
                <w:szCs w:val="21"/>
              </w:rPr>
            </w:pPr>
          </w:p>
        </w:tc>
        <w:tc>
          <w:tcPr>
            <w:tcW w:w="6512" w:type="dxa"/>
            <w:vAlign w:val="center"/>
          </w:tcPr>
          <w:p>
            <w:pPr>
              <w:autoSpaceDE w:val="0"/>
              <w:autoSpaceDN w:val="0"/>
              <w:adjustRightInd w:val="0"/>
              <w:ind w:right="71" w:rightChars="34"/>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供应商具有效期内职业健康安全管理体系认证证书</w:t>
            </w:r>
            <w:r>
              <w:rPr>
                <w:rFonts w:hint="eastAsia" w:asciiTheme="minorEastAsia" w:hAnsiTheme="minorEastAsia" w:eastAsiaTheme="minorEastAsia" w:cstheme="minorEastAsia"/>
                <w:szCs w:val="21"/>
              </w:rPr>
              <w:t>的，得1分；</w:t>
            </w:r>
          </w:p>
        </w:tc>
        <w:tc>
          <w:tcPr>
            <w:tcW w:w="664" w:type="dxa"/>
            <w:vAlign w:val="center"/>
          </w:tcPr>
          <w:p>
            <w:pPr>
              <w:autoSpaceDE w:val="0"/>
              <w:autoSpaceDN w:val="0"/>
              <w:adjustRightInd w:val="0"/>
              <w:ind w:right="71" w:rightChars="34"/>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Cs w:val="21"/>
                <w:lang w:bidi="ar"/>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sz w:val="21"/>
                <w:szCs w:val="21"/>
              </w:rPr>
            </w:pPr>
          </w:p>
        </w:tc>
        <w:tc>
          <w:tcPr>
            <w:tcW w:w="1376" w:type="dxa"/>
            <w:vAlign w:val="center"/>
          </w:tcPr>
          <w:p>
            <w:pPr>
              <w:autoSpaceDE w:val="0"/>
              <w:autoSpaceDN w:val="0"/>
              <w:adjustRightInd w:val="0"/>
              <w:ind w:right="71" w:rightChars="34"/>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项目经理业绩</w:t>
            </w:r>
          </w:p>
        </w:tc>
        <w:tc>
          <w:tcPr>
            <w:tcW w:w="6512" w:type="dxa"/>
            <w:vAlign w:val="center"/>
          </w:tcPr>
          <w:p>
            <w:pPr>
              <w:autoSpaceDE w:val="0"/>
              <w:autoSpaceDN w:val="0"/>
              <w:adjustRightInd w:val="0"/>
              <w:ind w:right="71" w:rightChars="34"/>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val="zh-CN"/>
              </w:rPr>
              <w:t>近三年（磋商截止时间往前推算36个月）以来，</w:t>
            </w:r>
            <w:r>
              <w:rPr>
                <w:rFonts w:hint="eastAsia" w:asciiTheme="minorEastAsia" w:hAnsiTheme="minorEastAsia" w:eastAsiaTheme="minorEastAsia" w:cstheme="minorEastAsia"/>
                <w:color w:val="auto"/>
                <w:szCs w:val="21"/>
              </w:rPr>
              <w:t>拟派项目经理承担的已完工的类似业绩</w:t>
            </w:r>
            <w:r>
              <w:rPr>
                <w:rFonts w:hint="eastAsia" w:asciiTheme="minorEastAsia" w:hAnsiTheme="minorEastAsia" w:eastAsiaTheme="minorEastAsia" w:cstheme="minorEastAsia"/>
                <w:color w:val="auto"/>
                <w:szCs w:val="21"/>
                <w:lang w:val="zh-CN"/>
              </w:rPr>
              <w:t>（提供中标通知书、合</w:t>
            </w:r>
            <w:r>
              <w:rPr>
                <w:rFonts w:hint="eastAsia" w:asciiTheme="minorEastAsia" w:hAnsiTheme="minorEastAsia" w:eastAsiaTheme="minorEastAsia" w:cstheme="minorEastAsia"/>
                <w:color w:val="auto"/>
                <w:szCs w:val="21"/>
                <w:lang w:val="zh-CN"/>
              </w:rPr>
              <w:t>同</w:t>
            </w:r>
            <w:r>
              <w:rPr>
                <w:rFonts w:hint="eastAsia" w:asciiTheme="minorEastAsia" w:hAnsiTheme="minorEastAsia" w:eastAsiaTheme="minorEastAsia" w:cstheme="minorEastAsia"/>
                <w:color w:val="auto"/>
                <w:szCs w:val="21"/>
                <w:lang w:val="en-US" w:eastAsia="zh-CN"/>
              </w:rPr>
              <w:t>或</w:t>
            </w:r>
            <w:r>
              <w:rPr>
                <w:rFonts w:hint="eastAsia" w:asciiTheme="minorEastAsia" w:hAnsiTheme="minorEastAsia" w:eastAsiaTheme="minorEastAsia" w:cstheme="minorEastAsia"/>
                <w:color w:val="auto"/>
                <w:szCs w:val="21"/>
              </w:rPr>
              <w:t>竣工</w:t>
            </w:r>
            <w:r>
              <w:rPr>
                <w:rFonts w:hint="eastAsia" w:asciiTheme="minorEastAsia" w:hAnsiTheme="minorEastAsia" w:eastAsiaTheme="minorEastAsia" w:cstheme="minorEastAsia"/>
                <w:color w:val="auto"/>
                <w:szCs w:val="21"/>
                <w:lang w:val="zh-CN"/>
              </w:rPr>
              <w:t>验收证明），1个得</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zh-CN"/>
              </w:rPr>
              <w:t>分，最高得</w:t>
            </w: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lang w:val="zh-CN"/>
              </w:rPr>
              <w:t>分；</w:t>
            </w:r>
          </w:p>
        </w:tc>
        <w:tc>
          <w:tcPr>
            <w:tcW w:w="664" w:type="dxa"/>
            <w:vAlign w:val="center"/>
          </w:tcPr>
          <w:p>
            <w:pPr>
              <w:autoSpaceDE w:val="0"/>
              <w:autoSpaceDN w:val="0"/>
              <w:adjustRightInd w:val="0"/>
              <w:ind w:right="71" w:rightChars="34"/>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6" w:hRule="atLeast"/>
        </w:trPr>
        <w:tc>
          <w:tcPr>
            <w:tcW w:w="736" w:type="dxa"/>
            <w:vMerge w:val="continue"/>
            <w:vAlign w:val="center"/>
          </w:tcPr>
          <w:p>
            <w:pPr>
              <w:rPr>
                <w:rFonts w:hint="eastAsia" w:asciiTheme="minorEastAsia" w:hAnsiTheme="minorEastAsia" w:eastAsiaTheme="minorEastAsia" w:cstheme="minorEastAsia"/>
                <w:sz w:val="21"/>
                <w:szCs w:val="21"/>
              </w:rPr>
            </w:pPr>
          </w:p>
        </w:tc>
        <w:tc>
          <w:tcPr>
            <w:tcW w:w="1376" w:type="dxa"/>
            <w:vMerge w:val="restart"/>
            <w:vAlign w:val="center"/>
          </w:tcPr>
          <w:p>
            <w:pPr>
              <w:autoSpaceDE w:val="0"/>
              <w:autoSpaceDN w:val="0"/>
              <w:adjustRightInd w:val="0"/>
              <w:jc w:val="center"/>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zCs w:val="21"/>
                <w:lang w:val="zh-CN"/>
              </w:rPr>
              <w:t>人员配备情况</w:t>
            </w:r>
          </w:p>
        </w:tc>
        <w:tc>
          <w:tcPr>
            <w:tcW w:w="6512" w:type="dxa"/>
            <w:vAlign w:val="center"/>
          </w:tcPr>
          <w:p>
            <w:pPr>
              <w:autoSpaceDE w:val="0"/>
              <w:autoSpaceDN w:val="0"/>
              <w:adjustRightInd w:val="0"/>
              <w:ind w:right="71" w:rightChars="34"/>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val="zh-CN"/>
              </w:rPr>
              <w:t>供应商拟派</w:t>
            </w:r>
            <w:r>
              <w:rPr>
                <w:rFonts w:hint="eastAsia" w:asciiTheme="minorEastAsia" w:hAnsiTheme="minorEastAsia" w:eastAsiaTheme="minorEastAsia" w:cstheme="minorEastAsia"/>
                <w:color w:val="auto"/>
                <w:szCs w:val="21"/>
              </w:rPr>
              <w:t>的技术负责人具有</w:t>
            </w:r>
            <w:r>
              <w:rPr>
                <w:rFonts w:hint="eastAsia" w:asciiTheme="minorEastAsia" w:hAnsiTheme="minorEastAsia" w:eastAsiaTheme="minorEastAsia" w:cstheme="minorEastAsia"/>
                <w:color w:val="auto"/>
                <w:szCs w:val="21"/>
                <w:lang w:val="zh-CN"/>
              </w:rPr>
              <w:t>二级建造师资格证书的得</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分</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一级建造师得2分。</w:t>
            </w:r>
          </w:p>
        </w:tc>
        <w:tc>
          <w:tcPr>
            <w:tcW w:w="664" w:type="dxa"/>
            <w:vAlign w:val="center"/>
          </w:tcPr>
          <w:p>
            <w:pPr>
              <w:autoSpaceDE w:val="0"/>
              <w:autoSpaceDN w:val="0"/>
              <w:adjustRightInd w:val="0"/>
              <w:ind w:right="71" w:rightChars="34"/>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Cs w:val="21"/>
                <w:lang w:val="en-US" w:eastAsia="zh-CN" w:bidi="ar"/>
              </w:rPr>
              <w:t>2</w:t>
            </w:r>
            <w:r>
              <w:rPr>
                <w:rFonts w:hint="eastAsia" w:asciiTheme="minorEastAsia" w:hAnsiTheme="minorEastAsia" w:eastAsiaTheme="minorEastAsia" w:cstheme="minorEastAsia"/>
                <w:kern w:val="0"/>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6" w:hRule="atLeast"/>
        </w:trPr>
        <w:tc>
          <w:tcPr>
            <w:tcW w:w="736" w:type="dxa"/>
            <w:vMerge w:val="continue"/>
            <w:vAlign w:val="center"/>
          </w:tcPr>
          <w:p>
            <w:pPr>
              <w:autoSpaceDE w:val="0"/>
              <w:autoSpaceDN w:val="0"/>
              <w:adjustRightInd w:val="0"/>
              <w:spacing w:line="300" w:lineRule="auto"/>
              <w:ind w:right="71" w:rightChars="34"/>
            </w:pPr>
          </w:p>
        </w:tc>
        <w:tc>
          <w:tcPr>
            <w:tcW w:w="1376" w:type="dxa"/>
            <w:vMerge w:val="continue"/>
            <w:vAlign w:val="center"/>
          </w:tcPr>
          <w:p>
            <w:pPr>
              <w:autoSpaceDE w:val="0"/>
              <w:autoSpaceDN w:val="0"/>
              <w:adjustRightInd w:val="0"/>
              <w:spacing w:line="300" w:lineRule="auto"/>
              <w:ind w:right="71" w:rightChars="34"/>
              <w:rPr>
                <w:color w:val="auto"/>
              </w:rPr>
            </w:pPr>
          </w:p>
        </w:tc>
        <w:tc>
          <w:tcPr>
            <w:tcW w:w="6512" w:type="dxa"/>
            <w:vAlign w:val="center"/>
          </w:tcPr>
          <w:p>
            <w:pPr>
              <w:widowControl/>
              <w:autoSpaceDE w:val="0"/>
              <w:autoSpaceDN w:val="0"/>
              <w:adjustRightInd w:val="0"/>
              <w:jc w:val="left"/>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rPr>
              <w:t>拟投入本项目的项目管理团队（不含项目经理及技术负责人）具有中级及以上职称或注册资格的，</w:t>
            </w:r>
            <w:r>
              <w:rPr>
                <w:rFonts w:hint="eastAsia" w:asciiTheme="minorEastAsia" w:hAnsiTheme="minorEastAsia" w:eastAsiaTheme="minorEastAsia" w:cstheme="minorEastAsia"/>
                <w:color w:val="auto"/>
                <w:szCs w:val="21"/>
                <w:lang w:eastAsia="zh-CN"/>
              </w:rPr>
              <w:t>施工人员具有登高证、电工证的，</w:t>
            </w:r>
            <w:r>
              <w:rPr>
                <w:rFonts w:hint="eastAsia" w:asciiTheme="minorEastAsia" w:hAnsiTheme="minorEastAsia" w:eastAsiaTheme="minorEastAsia" w:cstheme="minorEastAsia"/>
                <w:color w:val="auto"/>
                <w:szCs w:val="21"/>
              </w:rPr>
              <w:t>每人得1分，最多得</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分，同一人员多个证书不重复计分。</w:t>
            </w:r>
          </w:p>
        </w:tc>
        <w:tc>
          <w:tcPr>
            <w:tcW w:w="664" w:type="dxa"/>
            <w:vAlign w:val="center"/>
          </w:tcPr>
          <w:p>
            <w:pPr>
              <w:autoSpaceDE w:val="0"/>
              <w:autoSpaceDN w:val="0"/>
              <w:adjustRightInd w:val="0"/>
              <w:ind w:right="71" w:rightChars="34"/>
              <w:jc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Cs w:val="21"/>
                <w:lang w:val="en-US" w:eastAsia="zh-CN" w:bidi="ar"/>
              </w:rPr>
              <w:t>4</w:t>
            </w:r>
            <w:r>
              <w:rPr>
                <w:rFonts w:hint="eastAsia" w:asciiTheme="minorEastAsia" w:hAnsiTheme="minorEastAsia" w:eastAsiaTheme="minorEastAsia" w:cstheme="minorEastAsia"/>
                <w:kern w:val="0"/>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736" w:type="dxa"/>
            <w:vMerge w:val="continue"/>
            <w:vAlign w:val="center"/>
          </w:tcPr>
          <w:p>
            <w:pPr>
              <w:rPr>
                <w:rFonts w:hint="eastAsia" w:asciiTheme="minorEastAsia" w:hAnsiTheme="minorEastAsia" w:eastAsiaTheme="minorEastAsia" w:cstheme="minorEastAsia"/>
                <w:sz w:val="21"/>
                <w:szCs w:val="21"/>
              </w:rPr>
            </w:pPr>
          </w:p>
        </w:tc>
        <w:tc>
          <w:tcPr>
            <w:tcW w:w="1376" w:type="dxa"/>
            <w:vMerge w:val="restart"/>
            <w:vAlign w:val="center"/>
          </w:tcPr>
          <w:p>
            <w:pPr>
              <w:widowControl/>
              <w:jc w:val="center"/>
              <w:rPr>
                <w:rFonts w:hint="eastAsia" w:asciiTheme="minorEastAsia" w:hAnsiTheme="minorEastAsia" w:eastAsiaTheme="minorEastAsia" w:cstheme="minorEastAsia"/>
                <w:color w:val="auto"/>
                <w:kern w:val="2"/>
                <w:sz w:val="21"/>
                <w:szCs w:val="21"/>
                <w:lang w:val="zh-CN" w:eastAsia="zh-CN" w:bidi="ar-SA"/>
              </w:rPr>
            </w:pPr>
            <w:r>
              <w:rPr>
                <w:rFonts w:hint="eastAsia" w:asciiTheme="minorEastAsia" w:hAnsiTheme="minorEastAsia" w:eastAsiaTheme="minorEastAsia" w:cstheme="minorEastAsia"/>
                <w:color w:val="auto"/>
                <w:szCs w:val="21"/>
                <w:lang w:bidi="ar"/>
              </w:rPr>
              <w:t>企业信誉</w:t>
            </w:r>
          </w:p>
        </w:tc>
        <w:tc>
          <w:tcPr>
            <w:tcW w:w="6512" w:type="dxa"/>
            <w:tcBorders>
              <w:bottom w:val="single" w:color="auto" w:sz="4" w:space="0"/>
            </w:tcBorders>
            <w:vAlign w:val="center"/>
          </w:tcPr>
          <w:p>
            <w:pPr>
              <w:widowControl/>
              <w:textAlignment w:val="center"/>
              <w:rPr>
                <w:rFonts w:hint="eastAsia" w:asciiTheme="minorEastAsia" w:hAnsiTheme="minorEastAsia" w:eastAsiaTheme="minorEastAsia" w:cstheme="minorEastAsia"/>
                <w:color w:val="auto"/>
                <w:kern w:val="2"/>
                <w:sz w:val="21"/>
                <w:szCs w:val="24"/>
                <w:lang w:val="zh-CN" w:eastAsia="zh-CN" w:bidi="ar-SA"/>
              </w:rPr>
            </w:pPr>
            <w:r>
              <w:rPr>
                <w:rFonts w:hint="eastAsia" w:asciiTheme="minorEastAsia" w:hAnsiTheme="minorEastAsia" w:eastAsiaTheme="minorEastAsia" w:cstheme="minorEastAsia"/>
                <w:color w:val="auto"/>
                <w:szCs w:val="21"/>
                <w:lang w:bidi="ar"/>
              </w:rPr>
              <w:t>获得信用管理服务中心信用等级或银行信用等</w:t>
            </w:r>
            <w:r>
              <w:rPr>
                <w:rFonts w:hint="eastAsia" w:ascii="宋体" w:hAnsi="宋体" w:eastAsia="宋体" w:cs="宋体"/>
                <w:color w:val="auto"/>
                <w:szCs w:val="21"/>
                <w:lang w:bidi="ar"/>
              </w:rPr>
              <w:t>级，ＡＡＡ的得</w:t>
            </w:r>
            <w:r>
              <w:rPr>
                <w:rFonts w:hint="eastAsia" w:ascii="宋体" w:hAnsi="宋体" w:eastAsia="宋体" w:cs="宋体"/>
                <w:color w:val="auto"/>
                <w:szCs w:val="21"/>
                <w:lang w:val="en-US" w:eastAsia="zh-CN" w:bidi="ar"/>
              </w:rPr>
              <w:t>3</w:t>
            </w:r>
            <w:r>
              <w:rPr>
                <w:rFonts w:hint="eastAsia" w:ascii="宋体" w:hAnsi="宋体" w:eastAsia="宋体" w:cs="宋体"/>
                <w:color w:val="auto"/>
                <w:szCs w:val="21"/>
                <w:lang w:bidi="ar"/>
              </w:rPr>
              <w:t xml:space="preserve">分；ＡＡ的得 </w:t>
            </w:r>
            <w:r>
              <w:rPr>
                <w:rFonts w:hint="eastAsia" w:ascii="宋体" w:hAnsi="宋体" w:eastAsia="宋体" w:cs="宋体"/>
                <w:color w:val="auto"/>
                <w:szCs w:val="21"/>
                <w:lang w:val="en-US" w:eastAsia="zh-CN" w:bidi="ar"/>
              </w:rPr>
              <w:t>1</w:t>
            </w:r>
            <w:r>
              <w:rPr>
                <w:rFonts w:hint="eastAsia" w:ascii="宋体" w:hAnsi="宋体" w:eastAsia="宋体" w:cs="宋体"/>
                <w:color w:val="auto"/>
                <w:szCs w:val="21"/>
                <w:lang w:bidi="ar"/>
              </w:rPr>
              <w:t>分；</w:t>
            </w:r>
          </w:p>
        </w:tc>
        <w:tc>
          <w:tcPr>
            <w:tcW w:w="664" w:type="dxa"/>
            <w:tcBorders>
              <w:bottom w:val="single" w:color="auto" w:sz="4" w:space="0"/>
            </w:tcBorders>
            <w:vAlign w:val="center"/>
          </w:tcPr>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736" w:type="dxa"/>
            <w:vMerge w:val="continue"/>
            <w:vAlign w:val="center"/>
          </w:tcPr>
          <w:p>
            <w:pPr>
              <w:rPr>
                <w:rFonts w:hint="eastAsia" w:asciiTheme="minorEastAsia" w:hAnsiTheme="minorEastAsia" w:eastAsiaTheme="minorEastAsia" w:cstheme="minorEastAsia"/>
                <w:sz w:val="21"/>
                <w:szCs w:val="21"/>
              </w:rPr>
            </w:pPr>
          </w:p>
        </w:tc>
        <w:tc>
          <w:tcPr>
            <w:tcW w:w="1376" w:type="dxa"/>
            <w:vMerge w:val="continue"/>
            <w:tcBorders>
              <w:bottom w:val="single" w:color="auto" w:sz="4" w:space="0"/>
            </w:tcBorders>
            <w:vAlign w:val="center"/>
          </w:tcPr>
          <w:p>
            <w:pPr>
              <w:widowControl/>
              <w:jc w:val="center"/>
              <w:rPr>
                <w:rFonts w:hint="eastAsia" w:asciiTheme="minorEastAsia" w:hAnsiTheme="minorEastAsia" w:eastAsiaTheme="minorEastAsia" w:cstheme="minorEastAsia"/>
                <w:color w:val="auto"/>
                <w:szCs w:val="21"/>
                <w:lang w:bidi="ar"/>
              </w:rPr>
            </w:pPr>
          </w:p>
        </w:tc>
        <w:tc>
          <w:tcPr>
            <w:tcW w:w="6512" w:type="dxa"/>
            <w:tcBorders>
              <w:bottom w:val="single" w:color="auto" w:sz="4" w:space="0"/>
            </w:tcBorders>
            <w:vAlign w:val="center"/>
          </w:tcPr>
          <w:p>
            <w:pPr>
              <w:widowControl/>
              <w:textAlignment w:val="center"/>
              <w:rPr>
                <w:rFonts w:hint="eastAsia" w:asciiTheme="minorEastAsia" w:hAnsiTheme="minorEastAsia" w:eastAsiaTheme="minorEastAsia" w:cstheme="minorEastAsia"/>
                <w:color w:val="auto"/>
                <w:szCs w:val="21"/>
                <w:lang w:bidi="ar"/>
              </w:rPr>
            </w:pPr>
            <w:r>
              <w:rPr>
                <w:rFonts w:hint="eastAsia" w:ascii="宋体" w:hAnsi="宋体" w:cs="宋体"/>
                <w:color w:val="auto"/>
                <w:szCs w:val="21"/>
                <w:lang w:val="en-US" w:eastAsia="zh-CN"/>
              </w:rPr>
              <w:t>施工单位得奖情况，国家级奖项每提供1个得2分，省、市级奖项每提供1个得1分，最多4分</w:t>
            </w:r>
          </w:p>
        </w:tc>
        <w:tc>
          <w:tcPr>
            <w:tcW w:w="664" w:type="dxa"/>
            <w:tcBorders>
              <w:bottom w:val="single" w:color="auto" w:sz="4" w:space="0"/>
            </w:tcBorders>
            <w:vAlign w:val="center"/>
          </w:tcPr>
          <w:p>
            <w:pP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736" w:type="dxa"/>
            <w:vMerge w:val="continue"/>
            <w:vAlign w:val="center"/>
          </w:tcPr>
          <w:p>
            <w:pPr>
              <w:rPr>
                <w:rFonts w:hint="eastAsia" w:asciiTheme="minorEastAsia" w:hAnsiTheme="minorEastAsia" w:eastAsiaTheme="minorEastAsia" w:cstheme="minorEastAsia"/>
                <w:sz w:val="21"/>
                <w:szCs w:val="21"/>
              </w:rPr>
            </w:pPr>
          </w:p>
        </w:tc>
        <w:tc>
          <w:tcPr>
            <w:tcW w:w="1376" w:type="dxa"/>
            <w:tcBorders>
              <w:bottom w:val="single" w:color="auto" w:sz="4" w:space="0"/>
            </w:tcBorders>
            <w:vAlign w:val="center"/>
          </w:tcPr>
          <w:p>
            <w:pPr>
              <w:widowControl/>
              <w:jc w:val="center"/>
              <w:rPr>
                <w:rFonts w:hint="eastAsia" w:asciiTheme="minorEastAsia" w:hAnsiTheme="minorEastAsia" w:eastAsiaTheme="minorEastAsia" w:cstheme="minorEastAsia"/>
                <w:color w:val="auto"/>
                <w:szCs w:val="21"/>
                <w:lang w:bidi="ar"/>
              </w:rPr>
            </w:pPr>
            <w:r>
              <w:rPr>
                <w:rFonts w:hint="eastAsia" w:asciiTheme="minorEastAsia" w:hAnsiTheme="minorEastAsia" w:eastAsiaTheme="minorEastAsia" w:cstheme="minorEastAsia"/>
                <w:color w:val="auto"/>
                <w:szCs w:val="21"/>
                <w:lang w:val="zh-CN"/>
              </w:rPr>
              <w:t>企业业绩</w:t>
            </w:r>
          </w:p>
        </w:tc>
        <w:tc>
          <w:tcPr>
            <w:tcW w:w="6512" w:type="dxa"/>
            <w:tcBorders>
              <w:bottom w:val="single" w:color="auto" w:sz="4" w:space="0"/>
            </w:tcBorders>
            <w:vAlign w:val="center"/>
          </w:tcPr>
          <w:p>
            <w:pPr>
              <w:widowControl/>
              <w:textAlignment w:val="center"/>
              <w:rPr>
                <w:rFonts w:hint="eastAsia" w:asciiTheme="minorEastAsia" w:hAnsiTheme="minorEastAsia" w:eastAsiaTheme="minorEastAsia" w:cstheme="minorEastAsia"/>
                <w:color w:val="auto"/>
                <w:szCs w:val="21"/>
                <w:lang w:bidi="ar"/>
              </w:rPr>
            </w:pPr>
            <w:r>
              <w:rPr>
                <w:rFonts w:hint="eastAsia" w:ascii="宋体" w:hAnsi="宋体" w:cs="宋体"/>
                <w:color w:val="auto"/>
                <w:szCs w:val="21"/>
              </w:rPr>
              <w:t>近三年（</w:t>
            </w:r>
            <w:r>
              <w:rPr>
                <w:rFonts w:hint="eastAsia" w:ascii="宋体" w:hAnsi="宋体" w:cs="宋体"/>
                <w:color w:val="auto"/>
                <w:szCs w:val="21"/>
                <w:lang w:eastAsia="zh-CN"/>
              </w:rPr>
              <w:t>磋商</w:t>
            </w:r>
            <w:r>
              <w:rPr>
                <w:rFonts w:hint="eastAsia" w:ascii="宋体" w:hAnsi="宋体" w:cs="宋体"/>
                <w:color w:val="auto"/>
                <w:szCs w:val="21"/>
              </w:rPr>
              <w:t>截止时间往前推算36个月）具有类似</w:t>
            </w:r>
            <w:r>
              <w:rPr>
                <w:rFonts w:hint="eastAsia" w:ascii="宋体" w:hAnsi="宋体" w:cs="宋体"/>
                <w:color w:val="auto"/>
                <w:szCs w:val="21"/>
                <w:lang w:eastAsia="zh-CN"/>
              </w:rPr>
              <w:t>工程</w:t>
            </w:r>
            <w:r>
              <w:rPr>
                <w:rFonts w:hint="eastAsia" w:ascii="宋体" w:hAnsi="宋体" w:cs="宋体"/>
                <w:color w:val="auto"/>
                <w:szCs w:val="21"/>
              </w:rPr>
              <w:t>业绩的，每个得1分，最多得</w:t>
            </w:r>
            <w:r>
              <w:rPr>
                <w:rFonts w:hint="eastAsia" w:ascii="宋体" w:hAnsi="宋体" w:cs="宋体"/>
                <w:color w:val="auto"/>
                <w:szCs w:val="21"/>
                <w:lang w:val="en-US" w:eastAsia="zh-CN"/>
              </w:rPr>
              <w:t>5</w:t>
            </w:r>
            <w:r>
              <w:rPr>
                <w:rFonts w:hint="eastAsia" w:ascii="宋体" w:hAnsi="宋体" w:cs="宋体"/>
                <w:color w:val="auto"/>
                <w:szCs w:val="21"/>
              </w:rPr>
              <w:t>分；（需提供合同真彩扫描件并加盖公章，未提供不得分）</w:t>
            </w:r>
          </w:p>
        </w:tc>
        <w:tc>
          <w:tcPr>
            <w:tcW w:w="664" w:type="dxa"/>
            <w:tcBorders>
              <w:bottom w:val="single" w:color="auto" w:sz="4" w:space="0"/>
            </w:tcBorders>
            <w:vAlign w:val="center"/>
          </w:tcPr>
          <w:p>
            <w:pP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736" w:type="dxa"/>
            <w:vMerge w:val="continue"/>
            <w:vAlign w:val="center"/>
          </w:tcPr>
          <w:p>
            <w:pPr>
              <w:rPr>
                <w:rFonts w:hint="eastAsia" w:asciiTheme="minorEastAsia" w:hAnsiTheme="minorEastAsia" w:eastAsiaTheme="minorEastAsia" w:cstheme="minorEastAsia"/>
                <w:sz w:val="21"/>
                <w:szCs w:val="21"/>
              </w:rPr>
            </w:pPr>
          </w:p>
        </w:tc>
        <w:tc>
          <w:tcPr>
            <w:tcW w:w="1376" w:type="dxa"/>
            <w:tcBorders>
              <w:bottom w:val="single" w:color="auto" w:sz="4" w:space="0"/>
            </w:tcBorders>
            <w:vAlign w:val="center"/>
          </w:tcPr>
          <w:p>
            <w:pPr>
              <w:jc w:val="center"/>
              <w:rPr>
                <w:rFonts w:hint="eastAsia" w:asciiTheme="minorEastAsia" w:hAnsiTheme="minorEastAsia" w:eastAsiaTheme="minorEastAsia" w:cstheme="minorEastAsia"/>
                <w:color w:val="auto"/>
                <w:kern w:val="2"/>
                <w:sz w:val="21"/>
                <w:szCs w:val="21"/>
                <w:lang w:val="zh-CN" w:eastAsia="zh-CN" w:bidi="ar-SA"/>
              </w:rPr>
            </w:pPr>
            <w:r>
              <w:rPr>
                <w:rFonts w:hint="eastAsia" w:asciiTheme="minorEastAsia" w:hAnsiTheme="minorEastAsia" w:eastAsiaTheme="minorEastAsia" w:cstheme="minorEastAsia"/>
                <w:color w:val="auto"/>
                <w:kern w:val="2"/>
                <w:sz w:val="21"/>
                <w:szCs w:val="21"/>
                <w:lang w:val="zh-CN" w:eastAsia="zh-CN" w:bidi="ar-SA"/>
              </w:rPr>
              <w:t>企业资质</w:t>
            </w:r>
          </w:p>
        </w:tc>
        <w:tc>
          <w:tcPr>
            <w:tcW w:w="6512" w:type="dxa"/>
            <w:tcBorders>
              <w:bottom w:val="single" w:color="auto" w:sz="4" w:space="0"/>
            </w:tcBorders>
            <w:vAlign w:val="center"/>
          </w:tcPr>
          <w:p>
            <w:pPr>
              <w:autoSpaceDE w:val="0"/>
              <w:autoSpaceDN w:val="0"/>
              <w:adjustRightInd w:val="0"/>
              <w:spacing w:line="300" w:lineRule="auto"/>
              <w:ind w:right="71" w:rightChars="34"/>
              <w:rPr>
                <w:rFonts w:hint="default" w:eastAsia="宋体" w:asciiTheme="minorEastAsia" w:hAnsi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zh-CN" w:eastAsia="zh-CN" w:bidi="ar-SA"/>
              </w:rPr>
              <w:t>提供涉密信息系统集成资质证书得</w:t>
            </w:r>
            <w:r>
              <w:rPr>
                <w:rFonts w:hint="eastAsia" w:asciiTheme="minorEastAsia" w:hAnsiTheme="minorEastAsia" w:cstheme="minorEastAsia"/>
                <w:color w:val="auto"/>
                <w:kern w:val="2"/>
                <w:sz w:val="21"/>
                <w:szCs w:val="21"/>
                <w:lang w:val="en-US" w:eastAsia="zh-CN" w:bidi="ar-SA"/>
              </w:rPr>
              <w:t>2分，未提供不得分；</w:t>
            </w:r>
          </w:p>
        </w:tc>
        <w:tc>
          <w:tcPr>
            <w:tcW w:w="664" w:type="dxa"/>
            <w:tcBorders>
              <w:bottom w:val="single" w:color="auto" w:sz="4" w:space="0"/>
            </w:tcBorders>
            <w:vAlign w:val="center"/>
          </w:tcPr>
          <w:p>
            <w:pPr>
              <w:autoSpaceDE w:val="0"/>
              <w:autoSpaceDN w:val="0"/>
              <w:adjustRightInd w:val="0"/>
              <w:spacing w:line="300" w:lineRule="auto"/>
              <w:ind w:right="71" w:rightChars="34"/>
              <w:rPr>
                <w:rFonts w:hint="default" w:asciiTheme="minorEastAsia" w:hAnsiTheme="minorEastAsia" w:eastAsiaTheme="minorEastAsia" w:cstheme="minorEastAsia"/>
                <w:color w:val="000000" w:themeColor="text1"/>
                <w:spacing w:val="-6"/>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6"/>
                <w:kern w:val="2"/>
                <w:sz w:val="21"/>
                <w:szCs w:val="21"/>
                <w:lang w:val="en-US" w:eastAsia="zh-CN" w:bidi="ar-SA"/>
                <w14:textFill>
                  <w14:solidFill>
                    <w14:schemeClr w14:val="tx1"/>
                  </w14:solidFill>
                </w14:textFill>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sz w:val="21"/>
                <w:szCs w:val="21"/>
              </w:rPr>
            </w:pPr>
          </w:p>
        </w:tc>
        <w:tc>
          <w:tcPr>
            <w:tcW w:w="1376" w:type="dxa"/>
            <w:tcBorders>
              <w:top w:val="single" w:color="auto" w:sz="4" w:space="0"/>
            </w:tcBorders>
            <w:vAlign w:val="center"/>
          </w:tcPr>
          <w:p>
            <w:pPr>
              <w:autoSpaceDE w:val="0"/>
              <w:autoSpaceDN w:val="0"/>
              <w:adjustRightInd w:val="0"/>
              <w:ind w:right="71" w:rightChars="34"/>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rPr>
              <w:t>财务状况</w:t>
            </w:r>
          </w:p>
        </w:tc>
        <w:tc>
          <w:tcPr>
            <w:tcW w:w="6512" w:type="dxa"/>
            <w:tcBorders>
              <w:top w:val="single" w:color="auto" w:sz="4" w:space="0"/>
            </w:tcBorders>
            <w:vAlign w:val="center"/>
          </w:tcPr>
          <w:p>
            <w:pPr>
              <w:autoSpaceDE w:val="0"/>
              <w:autoSpaceDN w:val="0"/>
              <w:adjustRightInd w:val="0"/>
              <w:ind w:right="71" w:rightChars="34"/>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根据</w:t>
            </w:r>
            <w:r>
              <w:rPr>
                <w:rFonts w:hint="eastAsia" w:asciiTheme="minorEastAsia" w:hAnsiTheme="minorEastAsia" w:eastAsiaTheme="minorEastAsia" w:cstheme="minorEastAsia"/>
                <w:color w:val="auto"/>
                <w:szCs w:val="21"/>
                <w:lang w:eastAsia="zh-CN"/>
              </w:rPr>
              <w:t>供应商</w:t>
            </w:r>
            <w:r>
              <w:rPr>
                <w:rFonts w:hint="eastAsia" w:asciiTheme="minorEastAsia" w:hAnsiTheme="minorEastAsia" w:eastAsiaTheme="minorEastAsia" w:cstheme="minorEastAsia"/>
                <w:color w:val="auto"/>
                <w:szCs w:val="21"/>
              </w:rPr>
              <w:t>提供的近三年（2017、2018、2019）财务报告，对其经营状况、财务状况相互比较：</w:t>
            </w:r>
          </w:p>
          <w:p>
            <w:pPr>
              <w:autoSpaceDE w:val="0"/>
              <w:autoSpaceDN w:val="0"/>
              <w:adjustRightInd w:val="0"/>
              <w:ind w:right="71" w:rightChars="34"/>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连续盈利，偿债能力、盈利能力和抗风险能力强的，得</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分；</w:t>
            </w:r>
          </w:p>
          <w:p>
            <w:pPr>
              <w:autoSpaceDE w:val="0"/>
              <w:autoSpaceDN w:val="0"/>
              <w:adjustRightInd w:val="0"/>
              <w:ind w:right="71" w:rightChars="34"/>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盈利情况一般，偿债能力和抗风险能力较弱的，得2分；</w:t>
            </w:r>
          </w:p>
          <w:p>
            <w:pPr>
              <w:autoSpaceDE w:val="0"/>
              <w:autoSpaceDN w:val="0"/>
              <w:adjustRightInd w:val="0"/>
              <w:ind w:right="71" w:rightChars="34"/>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无盈利，偿债能力和抗风险能力差的，得1分；</w:t>
            </w:r>
          </w:p>
          <w:p>
            <w:pPr>
              <w:autoSpaceDE w:val="0"/>
              <w:autoSpaceDN w:val="0"/>
              <w:adjustRightInd w:val="0"/>
              <w:ind w:right="71" w:rightChars="34"/>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财务报告提供不全，字迹模糊，评委无法确认的，得0分。</w:t>
            </w:r>
          </w:p>
          <w:p>
            <w:pPr>
              <w:autoSpaceDE w:val="0"/>
              <w:autoSpaceDN w:val="0"/>
              <w:adjustRightInd w:val="0"/>
              <w:ind w:right="71" w:rightChars="34"/>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rPr>
              <w:t>（成立不足三年的按公司成立时间起算）</w:t>
            </w:r>
          </w:p>
        </w:tc>
        <w:tc>
          <w:tcPr>
            <w:tcW w:w="664" w:type="dxa"/>
            <w:tcBorders>
              <w:top w:val="single" w:color="auto" w:sz="4" w:space="0"/>
            </w:tcBorders>
            <w:vAlign w:val="center"/>
          </w:tcPr>
          <w:p>
            <w:pPr>
              <w:autoSpaceDE w:val="0"/>
              <w:autoSpaceDN w:val="0"/>
              <w:adjustRightInd w:val="0"/>
              <w:ind w:right="71" w:rightChars="34"/>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vAlign w:val="center"/>
          </w:tcPr>
          <w:p>
            <w:pPr>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技</w:t>
            </w:r>
            <w:r>
              <w:rPr>
                <w:rFonts w:hint="eastAsia" w:asciiTheme="minorEastAsia" w:hAnsiTheme="minorEastAsia" w:eastAsiaTheme="minorEastAsia" w:cstheme="minorEastAsia"/>
                <w:color w:val="auto"/>
                <w:spacing w:val="-6"/>
                <w:sz w:val="21"/>
                <w:szCs w:val="21"/>
              </w:rPr>
              <w:t>术服务</w:t>
            </w:r>
            <w:r>
              <w:rPr>
                <w:rFonts w:hint="eastAsia" w:asciiTheme="minorEastAsia" w:hAnsiTheme="minorEastAsia" w:eastAsiaTheme="minorEastAsia" w:cstheme="minorEastAsia"/>
                <w:color w:val="auto"/>
                <w:spacing w:val="-6"/>
                <w:sz w:val="21"/>
                <w:szCs w:val="21"/>
                <w:lang w:val="en-US" w:eastAsia="zh-CN"/>
              </w:rPr>
              <w:t>40</w:t>
            </w:r>
            <w:r>
              <w:rPr>
                <w:rFonts w:hint="eastAsia" w:asciiTheme="minorEastAsia" w:hAnsiTheme="minorEastAsia" w:eastAsiaTheme="minorEastAsia" w:cstheme="minorEastAsia"/>
                <w:color w:val="auto"/>
                <w:spacing w:val="-6"/>
                <w:sz w:val="21"/>
                <w:szCs w:val="21"/>
              </w:rPr>
              <w:t>分</w:t>
            </w:r>
          </w:p>
        </w:tc>
        <w:tc>
          <w:tcPr>
            <w:tcW w:w="1376" w:type="dxa"/>
            <w:vAlign w:val="center"/>
          </w:tcPr>
          <w:p>
            <w:pPr>
              <w:jc w:val="center"/>
              <w:rPr>
                <w:rFonts w:hint="eastAsia" w:asciiTheme="minorEastAsia" w:hAnsiTheme="minorEastAsia" w:eastAsiaTheme="minorEastAsia" w:cstheme="minorEastAsia"/>
                <w:spacing w:val="-6"/>
                <w:kern w:val="2"/>
                <w:sz w:val="21"/>
                <w:szCs w:val="21"/>
                <w:lang w:val="en-US" w:eastAsia="zh-CN" w:bidi="ar-SA"/>
              </w:rPr>
            </w:pPr>
            <w:r>
              <w:rPr>
                <w:rFonts w:hint="eastAsia" w:asciiTheme="minorEastAsia" w:hAnsiTheme="minorEastAsia" w:eastAsiaTheme="minorEastAsia" w:cstheme="minorEastAsia"/>
                <w:szCs w:val="21"/>
                <w:lang w:bidi="ar"/>
              </w:rPr>
              <w:t>项目概况、施工方案</w:t>
            </w:r>
          </w:p>
        </w:tc>
        <w:tc>
          <w:tcPr>
            <w:tcW w:w="6512" w:type="dxa"/>
            <w:vAlign w:val="center"/>
          </w:tcPr>
          <w:p>
            <w:pPr>
              <w:widowControl/>
              <w:textAlignment w:val="center"/>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根据各供应商对本项目的描述和理解程度，施工方案的完整性、组织设计的针对性比较后进行评分。</w:t>
            </w:r>
          </w:p>
          <w:p>
            <w:pPr>
              <w:widowControl/>
              <w:textAlignment w:val="center"/>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内容完备、合理，针对性强，5分；</w:t>
            </w:r>
          </w:p>
          <w:p>
            <w:pPr>
              <w:widowControl/>
              <w:textAlignment w:val="center"/>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内容完备，可行，3 分；</w:t>
            </w:r>
          </w:p>
          <w:p>
            <w:pPr>
              <w:widowControl/>
              <w:textAlignment w:val="center"/>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内容欠完备，基本可行，1分；</w:t>
            </w:r>
          </w:p>
          <w:p>
            <w:pPr>
              <w:ind w:left="-4" w:leftChars="-2" w:firstLine="2" w:firstLineChars="1"/>
              <w:rPr>
                <w:rFonts w:hint="eastAsia" w:asciiTheme="minorEastAsia" w:hAnsiTheme="minorEastAsia" w:eastAsiaTheme="minorEastAsia" w:cstheme="minorEastAsia"/>
                <w:spacing w:val="-6"/>
                <w:kern w:val="2"/>
                <w:sz w:val="21"/>
                <w:szCs w:val="21"/>
                <w:lang w:val="en-US" w:eastAsia="zh-CN" w:bidi="ar-SA"/>
              </w:rPr>
            </w:pPr>
            <w:r>
              <w:rPr>
                <w:rFonts w:hint="eastAsia" w:asciiTheme="minorEastAsia" w:hAnsiTheme="minorEastAsia" w:eastAsiaTheme="minorEastAsia" w:cstheme="minorEastAsia"/>
                <w:szCs w:val="21"/>
                <w:lang w:bidi="ar"/>
              </w:rPr>
              <w:t>不可行，0 分。</w:t>
            </w:r>
          </w:p>
        </w:tc>
        <w:tc>
          <w:tcPr>
            <w:tcW w:w="664" w:type="dxa"/>
            <w:vAlign w:val="center"/>
          </w:tcPr>
          <w:p>
            <w:pPr>
              <w:ind w:left="-4" w:leftChars="-2" w:firstLine="2" w:firstLineChars="1"/>
              <w:jc w:val="center"/>
              <w:rPr>
                <w:rFonts w:hint="eastAsia" w:asciiTheme="minorEastAsia" w:hAnsiTheme="minorEastAsia" w:eastAsiaTheme="minorEastAsia" w:cstheme="minorEastAsia"/>
                <w:spacing w:val="-6"/>
                <w:kern w:val="2"/>
                <w:sz w:val="21"/>
                <w:szCs w:val="21"/>
                <w:lang w:val="en-US" w:eastAsia="zh-CN" w:bidi="ar-SA"/>
              </w:rPr>
            </w:pPr>
            <w:r>
              <w:rPr>
                <w:rFonts w:hint="eastAsia" w:asciiTheme="minorEastAsia" w:hAnsiTheme="minorEastAsia" w:eastAsiaTheme="minorEastAsia" w:cstheme="minorEastAsia"/>
                <w:szCs w:val="21"/>
                <w:lang w:bidi="ar"/>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3" w:hRule="atLeast"/>
        </w:trPr>
        <w:tc>
          <w:tcPr>
            <w:tcW w:w="736" w:type="dxa"/>
            <w:vMerge w:val="continue"/>
            <w:vAlign w:val="center"/>
          </w:tcPr>
          <w:p>
            <w:pPr>
              <w:ind w:left="-4" w:leftChars="-2" w:firstLine="2" w:firstLineChars="1"/>
              <w:rPr>
                <w:rFonts w:hint="eastAsia" w:asciiTheme="minorEastAsia" w:hAnsiTheme="minorEastAsia" w:eastAsiaTheme="minorEastAsia" w:cstheme="minorEastAsia"/>
                <w:sz w:val="21"/>
                <w:szCs w:val="21"/>
              </w:rPr>
            </w:pPr>
          </w:p>
        </w:tc>
        <w:tc>
          <w:tcPr>
            <w:tcW w:w="1376" w:type="dxa"/>
            <w:vAlign w:val="center"/>
          </w:tcPr>
          <w:p>
            <w:pPr>
              <w:ind w:left="-4" w:leftChars="-2" w:firstLine="2" w:firstLineChars="1"/>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bidi="ar"/>
              </w:rPr>
              <w:t>主要施工方法、工序、施工工艺及标准</w:t>
            </w:r>
          </w:p>
        </w:tc>
        <w:tc>
          <w:tcPr>
            <w:tcW w:w="6512" w:type="dxa"/>
            <w:vAlign w:val="center"/>
          </w:tcPr>
          <w:p>
            <w:pPr>
              <w:widowControl/>
              <w:textAlignment w:val="center"/>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根据各供应商主要施工方法、工序、施工工艺及标准及对本项目的针对性进行比较后评分。</w:t>
            </w:r>
          </w:p>
          <w:p>
            <w:pPr>
              <w:widowControl/>
              <w:textAlignment w:val="center"/>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科学、合理，针对性强，4分；</w:t>
            </w:r>
          </w:p>
          <w:p>
            <w:pPr>
              <w:widowControl/>
              <w:textAlignment w:val="center"/>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合理，可行，2 分；</w:t>
            </w:r>
          </w:p>
          <w:p>
            <w:pPr>
              <w:widowControl/>
              <w:textAlignment w:val="center"/>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欠合理，基本可行，1 分；</w:t>
            </w:r>
          </w:p>
          <w:p>
            <w:pPr>
              <w:ind w:left="-4" w:leftChars="-2" w:firstLine="2" w:firstLineChars="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bidi="ar"/>
              </w:rPr>
              <w:t>不可行，0 分。</w:t>
            </w:r>
          </w:p>
        </w:tc>
        <w:tc>
          <w:tcPr>
            <w:tcW w:w="664" w:type="dxa"/>
            <w:vAlign w:val="center"/>
          </w:tcPr>
          <w:p>
            <w:pPr>
              <w:ind w:left="-4" w:leftChars="-2" w:firstLine="2" w:firstLineChars="1"/>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bidi="ar"/>
              </w:rPr>
              <w:t>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 w:hRule="atLeast"/>
        </w:trPr>
        <w:tc>
          <w:tcPr>
            <w:tcW w:w="736" w:type="dxa"/>
            <w:vMerge w:val="continue"/>
            <w:vAlign w:val="center"/>
          </w:tcPr>
          <w:p>
            <w:pPr>
              <w:rPr>
                <w:rFonts w:hint="eastAsia" w:asciiTheme="minorEastAsia" w:hAnsiTheme="minorEastAsia" w:eastAsiaTheme="minorEastAsia" w:cstheme="minorEastAsia"/>
                <w:sz w:val="21"/>
                <w:szCs w:val="21"/>
              </w:rPr>
            </w:pPr>
          </w:p>
        </w:tc>
        <w:tc>
          <w:tcPr>
            <w:tcW w:w="1376" w:type="dxa"/>
            <w:vMerge w:val="restart"/>
            <w:vAlign w:val="center"/>
          </w:tcPr>
          <w:p>
            <w:pPr>
              <w:jc w:val="center"/>
              <w:rPr>
                <w:rFonts w:asciiTheme="minorEastAsia" w:hAnsiTheme="minorEastAsia" w:eastAsiaTheme="minorEastAsia" w:cstheme="minorEastAsia"/>
                <w:spacing w:val="-6"/>
                <w:kern w:val="0"/>
                <w:szCs w:val="21"/>
              </w:rPr>
            </w:pPr>
            <w:r>
              <w:rPr>
                <w:rFonts w:hint="eastAsia" w:asciiTheme="minorEastAsia" w:hAnsiTheme="minorEastAsia" w:eastAsiaTheme="minorEastAsia" w:cstheme="minorEastAsia"/>
                <w:kern w:val="0"/>
                <w:szCs w:val="21"/>
                <w:lang w:bidi="ar"/>
              </w:rPr>
              <w:t>其他施工组织设计</w:t>
            </w:r>
          </w:p>
          <w:p>
            <w:pPr>
              <w:rPr>
                <w:rFonts w:asciiTheme="minorEastAsia" w:hAnsiTheme="minorEastAsia" w:eastAsiaTheme="minorEastAsia" w:cstheme="minorEastAsia"/>
                <w:spacing w:val="-6"/>
                <w:kern w:val="0"/>
                <w:sz w:val="21"/>
                <w:szCs w:val="21"/>
                <w:lang w:val="en-US" w:eastAsia="zh-CN" w:bidi="ar-SA"/>
              </w:rPr>
            </w:pPr>
          </w:p>
          <w:p>
            <w:pPr>
              <w:rPr>
                <w:rFonts w:hint="eastAsia" w:asciiTheme="minorEastAsia" w:hAnsiTheme="minorEastAsia" w:eastAsiaTheme="minorEastAsia" w:cstheme="minorEastAsia"/>
                <w:spacing w:val="-6"/>
                <w:kern w:val="0"/>
                <w:sz w:val="21"/>
                <w:szCs w:val="21"/>
              </w:rPr>
            </w:pPr>
          </w:p>
        </w:tc>
        <w:tc>
          <w:tcPr>
            <w:tcW w:w="6512" w:type="dxa"/>
            <w:vAlign w:val="center"/>
          </w:tcPr>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拟投入的主要物资、主材、耗材的</w:t>
            </w:r>
            <w:r>
              <w:rPr>
                <w:rFonts w:hint="eastAsia" w:asciiTheme="minorEastAsia" w:hAnsiTheme="minorEastAsia" w:eastAsiaTheme="minorEastAsia" w:cstheme="minorEastAsia"/>
                <w:szCs w:val="21"/>
              </w:rPr>
              <w:t>市场认可度及</w:t>
            </w:r>
            <w:r>
              <w:rPr>
                <w:rFonts w:hint="eastAsia" w:asciiTheme="minorEastAsia" w:hAnsiTheme="minorEastAsia" w:eastAsiaTheme="minorEastAsia" w:cstheme="minorEastAsia"/>
                <w:szCs w:val="21"/>
                <w:lang w:val="zh-CN"/>
              </w:rPr>
              <w:t>品牌</w:t>
            </w:r>
            <w:r>
              <w:rPr>
                <w:rFonts w:hint="eastAsia" w:asciiTheme="minorEastAsia" w:hAnsiTheme="minorEastAsia" w:eastAsiaTheme="minorEastAsia" w:cstheme="minorEastAsia"/>
                <w:szCs w:val="21"/>
              </w:rPr>
              <w:t>知名度</w:t>
            </w:r>
            <w:r>
              <w:rPr>
                <w:rFonts w:hint="eastAsia" w:asciiTheme="minorEastAsia" w:hAnsiTheme="minorEastAsia" w:eastAsiaTheme="minorEastAsia" w:cstheme="minorEastAsia"/>
                <w:szCs w:val="21"/>
                <w:lang w:val="zh-CN"/>
              </w:rPr>
              <w:t>、质量等级、环保节能情况</w:t>
            </w:r>
            <w:r>
              <w:rPr>
                <w:rFonts w:hint="eastAsia" w:asciiTheme="minorEastAsia" w:hAnsiTheme="minorEastAsia" w:eastAsiaTheme="minorEastAsia" w:cstheme="minorEastAsia"/>
                <w:szCs w:val="21"/>
              </w:rPr>
              <w:t>等进行比较后评分</w:t>
            </w:r>
            <w:r>
              <w:rPr>
                <w:rFonts w:hint="eastAsia" w:asciiTheme="minorEastAsia" w:hAnsiTheme="minorEastAsia" w:eastAsiaTheme="minorEastAsia" w:cstheme="minorEastAsia"/>
                <w:kern w:val="0"/>
                <w:szCs w:val="21"/>
                <w:lang w:bidi="ar"/>
              </w:rPr>
              <w:t>：</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科学、合理，针对性强，4分；</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合理，可行，3分；</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欠合理，基本可行，1分；</w:t>
            </w:r>
          </w:p>
          <w:p>
            <w:pPr>
              <w:autoSpaceDE w:val="0"/>
              <w:autoSpaceDN w:val="0"/>
              <w:adjustRightInd w:val="0"/>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Cs w:val="21"/>
                <w:lang w:bidi="ar"/>
              </w:rPr>
              <w:t>不可行，0 分。</w:t>
            </w:r>
          </w:p>
        </w:tc>
        <w:tc>
          <w:tcPr>
            <w:tcW w:w="664" w:type="dxa"/>
            <w:vAlign w:val="center"/>
          </w:tcPr>
          <w:p>
            <w:pPr>
              <w:autoSpaceDE w:val="0"/>
              <w:autoSpaceDN w:val="0"/>
              <w:adjustRightInd w:val="0"/>
              <w:jc w:val="center"/>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Cs w:val="21"/>
                <w:lang w:bidi="ar"/>
              </w:rPr>
              <w:t>4</w:t>
            </w:r>
            <w:r>
              <w:rPr>
                <w:rFonts w:hint="eastAsia" w:asciiTheme="minorEastAsia" w:hAnsiTheme="minorEastAsia" w:eastAsiaTheme="minorEastAsia" w:cstheme="minorEastAsia"/>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 w:hRule="atLeast"/>
        </w:trPr>
        <w:tc>
          <w:tcPr>
            <w:tcW w:w="736" w:type="dxa"/>
            <w:vMerge w:val="continue"/>
            <w:vAlign w:val="center"/>
          </w:tcPr>
          <w:p>
            <w:pPr>
              <w:autoSpaceDE w:val="0"/>
              <w:autoSpaceDN w:val="0"/>
              <w:adjustRightInd w:val="0"/>
            </w:pPr>
          </w:p>
        </w:tc>
        <w:tc>
          <w:tcPr>
            <w:tcW w:w="1376" w:type="dxa"/>
            <w:vMerge w:val="continue"/>
            <w:vAlign w:val="center"/>
          </w:tcPr>
          <w:p>
            <w:pPr>
              <w:autoSpaceDE w:val="0"/>
              <w:autoSpaceDN w:val="0"/>
              <w:adjustRightInd w:val="0"/>
            </w:pPr>
          </w:p>
        </w:tc>
        <w:tc>
          <w:tcPr>
            <w:tcW w:w="6512" w:type="dxa"/>
            <w:vAlign w:val="center"/>
          </w:tcPr>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拟投入的主要施工机械计划：</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科学、合理，针对性强，4分；</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合理，可行，3分；</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欠合理，基本可行，1 分；</w:t>
            </w:r>
          </w:p>
          <w:p>
            <w:pPr>
              <w:autoSpaceDE w:val="0"/>
              <w:autoSpaceDN w:val="0"/>
              <w:adjustRightInd w:val="0"/>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Cs w:val="21"/>
                <w:lang w:bidi="ar"/>
              </w:rPr>
              <w:t>不可行，0 分。</w:t>
            </w:r>
          </w:p>
        </w:tc>
        <w:tc>
          <w:tcPr>
            <w:tcW w:w="664" w:type="dxa"/>
            <w:vAlign w:val="center"/>
          </w:tcPr>
          <w:p>
            <w:pPr>
              <w:autoSpaceDE w:val="0"/>
              <w:autoSpaceDN w:val="0"/>
              <w:adjustRightInd w:val="0"/>
              <w:jc w:val="center"/>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Cs w:val="21"/>
                <w:lang w:bidi="ar"/>
              </w:rPr>
              <w:t>4</w:t>
            </w:r>
            <w:r>
              <w:rPr>
                <w:rFonts w:hint="eastAsia" w:asciiTheme="minorEastAsia" w:hAnsiTheme="minorEastAsia" w:eastAsiaTheme="minorEastAsia" w:cstheme="minorEastAsia"/>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 w:hRule="atLeast"/>
        </w:trPr>
        <w:tc>
          <w:tcPr>
            <w:tcW w:w="736" w:type="dxa"/>
            <w:vMerge w:val="continue"/>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1376" w:type="dxa"/>
            <w:vMerge w:val="continue"/>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6512" w:type="dxa"/>
            <w:vAlign w:val="center"/>
          </w:tcPr>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劳动力安排计划：</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科学、合理，针对性强，4 分；</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合理，可行，3分；</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欠合理，基本可行，1 分；</w:t>
            </w:r>
          </w:p>
          <w:p>
            <w:pPr>
              <w:autoSpaceDE w:val="0"/>
              <w:autoSpaceDN w:val="0"/>
              <w:adjustRightInd w:val="0"/>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Cs w:val="21"/>
                <w:lang w:bidi="ar"/>
              </w:rPr>
              <w:t>不可行，0 分。</w:t>
            </w:r>
          </w:p>
        </w:tc>
        <w:tc>
          <w:tcPr>
            <w:tcW w:w="664" w:type="dxa"/>
            <w:vAlign w:val="center"/>
          </w:tcPr>
          <w:p>
            <w:pPr>
              <w:autoSpaceDE w:val="0"/>
              <w:autoSpaceDN w:val="0"/>
              <w:adjustRightInd w:val="0"/>
              <w:jc w:val="center"/>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szCs w:val="21"/>
                <w:lang w:bidi="ar"/>
              </w:rPr>
              <w:t>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 w:hRule="atLeast"/>
        </w:trPr>
        <w:tc>
          <w:tcPr>
            <w:tcW w:w="736" w:type="dxa"/>
            <w:vMerge w:val="continue"/>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1376" w:type="dxa"/>
            <w:vMerge w:val="continue"/>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6512" w:type="dxa"/>
            <w:vAlign w:val="center"/>
          </w:tcPr>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确保工程质量的技术组织措施：</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科学、合理，针对性强，4 分；</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合理，可行，3 分；</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欠合理，基本可行，1 分；</w:t>
            </w:r>
          </w:p>
          <w:p>
            <w:pPr>
              <w:autoSpaceDE w:val="0"/>
              <w:autoSpaceDN w:val="0"/>
              <w:adjustRightInd w:val="0"/>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Cs w:val="21"/>
                <w:lang w:bidi="ar"/>
              </w:rPr>
              <w:t>不可行，0 分。</w:t>
            </w:r>
          </w:p>
        </w:tc>
        <w:tc>
          <w:tcPr>
            <w:tcW w:w="664" w:type="dxa"/>
            <w:vAlign w:val="center"/>
          </w:tcPr>
          <w:p>
            <w:pPr>
              <w:autoSpaceDE w:val="0"/>
              <w:autoSpaceDN w:val="0"/>
              <w:adjustRightInd w:val="0"/>
              <w:jc w:val="center"/>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Cs w:val="21"/>
                <w:lang w:bidi="ar"/>
              </w:rPr>
              <w:t>4</w:t>
            </w:r>
            <w:r>
              <w:rPr>
                <w:rFonts w:hint="eastAsia" w:asciiTheme="minorEastAsia" w:hAnsiTheme="minorEastAsia" w:eastAsiaTheme="minorEastAsia" w:cstheme="minorEastAsia"/>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 w:hRule="atLeast"/>
        </w:trPr>
        <w:tc>
          <w:tcPr>
            <w:tcW w:w="736" w:type="dxa"/>
            <w:vMerge w:val="continue"/>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1376" w:type="dxa"/>
            <w:vMerge w:val="continue"/>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6512" w:type="dxa"/>
            <w:vAlign w:val="center"/>
          </w:tcPr>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确保安全生产的技术组织措施：</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科学、合理，针对性强，4 分；</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合理，可行，3 分；</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欠合理，基本可行，1 分；</w:t>
            </w:r>
          </w:p>
          <w:p>
            <w:pPr>
              <w:autoSpaceDE w:val="0"/>
              <w:autoSpaceDN w:val="0"/>
              <w:adjustRightInd w:val="0"/>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Cs w:val="21"/>
                <w:lang w:bidi="ar"/>
              </w:rPr>
              <w:t>不可行，0 分。</w:t>
            </w:r>
          </w:p>
        </w:tc>
        <w:tc>
          <w:tcPr>
            <w:tcW w:w="664" w:type="dxa"/>
            <w:vAlign w:val="center"/>
          </w:tcPr>
          <w:p>
            <w:pPr>
              <w:autoSpaceDE w:val="0"/>
              <w:autoSpaceDN w:val="0"/>
              <w:adjustRightInd w:val="0"/>
              <w:jc w:val="center"/>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Cs w:val="21"/>
                <w:lang w:bidi="ar"/>
              </w:rPr>
              <w:t>4</w:t>
            </w:r>
            <w:r>
              <w:rPr>
                <w:rFonts w:hint="eastAsia" w:asciiTheme="minorEastAsia" w:hAnsiTheme="minorEastAsia" w:eastAsiaTheme="minorEastAsia" w:cstheme="minorEastAsia"/>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 w:hRule="atLeast"/>
        </w:trPr>
        <w:tc>
          <w:tcPr>
            <w:tcW w:w="736" w:type="dxa"/>
            <w:vMerge w:val="continue"/>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1376" w:type="dxa"/>
            <w:vMerge w:val="continue"/>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6512" w:type="dxa"/>
            <w:vAlign w:val="center"/>
          </w:tcPr>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确保工期的技术组织措施：</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科学、合理，针对性强，3 分；</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合理，可行，2 分；</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欠合理，基本可行，1 分；</w:t>
            </w:r>
          </w:p>
          <w:p>
            <w:pPr>
              <w:autoSpaceDE w:val="0"/>
              <w:autoSpaceDN w:val="0"/>
              <w:adjustRightInd w:val="0"/>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Cs w:val="21"/>
                <w:lang w:bidi="ar"/>
              </w:rPr>
              <w:t>不可行，0 分。</w:t>
            </w:r>
          </w:p>
        </w:tc>
        <w:tc>
          <w:tcPr>
            <w:tcW w:w="664" w:type="dxa"/>
            <w:vAlign w:val="center"/>
          </w:tcPr>
          <w:p>
            <w:pPr>
              <w:autoSpaceDE w:val="0"/>
              <w:autoSpaceDN w:val="0"/>
              <w:adjustRightInd w:val="0"/>
              <w:jc w:val="center"/>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Cs w:val="21"/>
                <w:lang w:bidi="ar"/>
              </w:rPr>
              <w:t>3</w:t>
            </w:r>
            <w:r>
              <w:rPr>
                <w:rFonts w:hint="eastAsia" w:asciiTheme="minorEastAsia" w:hAnsiTheme="minorEastAsia" w:eastAsiaTheme="minorEastAsia" w:cstheme="minorEastAsia"/>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 w:hRule="atLeast"/>
        </w:trPr>
        <w:tc>
          <w:tcPr>
            <w:tcW w:w="736" w:type="dxa"/>
            <w:vMerge w:val="continue"/>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1376" w:type="dxa"/>
            <w:vMerge w:val="continue"/>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6512" w:type="dxa"/>
            <w:vAlign w:val="center"/>
          </w:tcPr>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确保文明施工的技术组织措施：</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科学、合理，针对性强，3 分；</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合理，可行，2 分；</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欠合理，基本可行，1 分；</w:t>
            </w:r>
          </w:p>
          <w:p>
            <w:pPr>
              <w:autoSpaceDE w:val="0"/>
              <w:autoSpaceDN w:val="0"/>
              <w:adjustRightInd w:val="0"/>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Cs w:val="21"/>
                <w:lang w:bidi="ar"/>
              </w:rPr>
              <w:t>不可行，0 分。</w:t>
            </w:r>
          </w:p>
        </w:tc>
        <w:tc>
          <w:tcPr>
            <w:tcW w:w="664" w:type="dxa"/>
            <w:vAlign w:val="center"/>
          </w:tcPr>
          <w:p>
            <w:pPr>
              <w:autoSpaceDE w:val="0"/>
              <w:autoSpaceDN w:val="0"/>
              <w:adjustRightInd w:val="0"/>
              <w:jc w:val="center"/>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Cs w:val="21"/>
                <w:lang w:bidi="ar"/>
              </w:rPr>
              <w:t>3</w:t>
            </w:r>
            <w:r>
              <w:rPr>
                <w:rFonts w:hint="eastAsia" w:asciiTheme="minorEastAsia" w:hAnsiTheme="minorEastAsia" w:eastAsiaTheme="minorEastAsia" w:cstheme="minorEastAsia"/>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 w:hRule="atLeast"/>
        </w:trPr>
        <w:tc>
          <w:tcPr>
            <w:tcW w:w="736" w:type="dxa"/>
            <w:vMerge w:val="continue"/>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1376" w:type="dxa"/>
            <w:vMerge w:val="continue"/>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6512" w:type="dxa"/>
            <w:vAlign w:val="center"/>
          </w:tcPr>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工程施工进度表或施工网络图：</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设计科学、合理，针对性强，3分；</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合理，可行，2分；</w:t>
            </w:r>
          </w:p>
          <w:p>
            <w:pPr>
              <w:widowControl/>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欠合理，基本可行，1 分；</w:t>
            </w:r>
          </w:p>
          <w:p>
            <w:pPr>
              <w:autoSpaceDE w:val="0"/>
              <w:autoSpaceDN w:val="0"/>
              <w:adjustRightInd w:val="0"/>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Cs w:val="21"/>
                <w:lang w:bidi="ar"/>
              </w:rPr>
              <w:t>不可行，0 分。</w:t>
            </w:r>
          </w:p>
        </w:tc>
        <w:tc>
          <w:tcPr>
            <w:tcW w:w="664" w:type="dxa"/>
            <w:vAlign w:val="center"/>
          </w:tcPr>
          <w:p>
            <w:pPr>
              <w:autoSpaceDE w:val="0"/>
              <w:autoSpaceDN w:val="0"/>
              <w:adjustRightInd w:val="0"/>
              <w:jc w:val="center"/>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Cs w:val="21"/>
                <w:lang w:bidi="ar"/>
              </w:rPr>
              <w:t>3</w:t>
            </w:r>
            <w:r>
              <w:rPr>
                <w:rFonts w:hint="eastAsia" w:asciiTheme="minorEastAsia" w:hAnsiTheme="minorEastAsia" w:eastAsiaTheme="minorEastAsia" w:cstheme="minorEastAsia"/>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6" w:hRule="atLeast"/>
        </w:trPr>
        <w:tc>
          <w:tcPr>
            <w:tcW w:w="736" w:type="dxa"/>
            <w:vMerge w:val="continue"/>
            <w:vAlign w:val="center"/>
          </w:tcPr>
          <w:p>
            <w:pPr>
              <w:rPr>
                <w:rFonts w:hint="eastAsia" w:asciiTheme="minorEastAsia" w:hAnsiTheme="minorEastAsia" w:eastAsiaTheme="minorEastAsia" w:cstheme="minorEastAsia"/>
                <w:sz w:val="21"/>
                <w:szCs w:val="21"/>
              </w:rPr>
            </w:pPr>
          </w:p>
        </w:tc>
        <w:tc>
          <w:tcPr>
            <w:tcW w:w="1376" w:type="dxa"/>
            <w:vAlign w:val="center"/>
          </w:tcPr>
          <w:p>
            <w:pPr>
              <w:rPr>
                <w:rFonts w:hint="eastAsia" w:asciiTheme="minorEastAsia" w:hAnsiTheme="minorEastAsia" w:eastAsiaTheme="minorEastAsia" w:cstheme="minorEastAsia"/>
                <w:spacing w:val="-6"/>
                <w:kern w:val="2"/>
                <w:sz w:val="21"/>
                <w:szCs w:val="21"/>
                <w:lang w:val="en-US" w:eastAsia="zh-CN" w:bidi="ar-SA"/>
              </w:rPr>
            </w:pPr>
            <w:r>
              <w:rPr>
                <w:rFonts w:hint="eastAsia" w:asciiTheme="minorEastAsia" w:hAnsiTheme="minorEastAsia" w:eastAsiaTheme="minorEastAsia" w:cstheme="minorEastAsia"/>
                <w:szCs w:val="21"/>
              </w:rPr>
              <w:t>服务承诺</w:t>
            </w:r>
          </w:p>
        </w:tc>
        <w:tc>
          <w:tcPr>
            <w:tcW w:w="6512" w:type="dxa"/>
            <w:vAlign w:val="center"/>
          </w:tcPr>
          <w:p>
            <w:pPr>
              <w:widowControl/>
              <w:jc w:val="left"/>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根据供应商</w:t>
            </w:r>
            <w:r>
              <w:rPr>
                <w:rFonts w:hint="eastAsia" w:asciiTheme="minorEastAsia" w:hAnsiTheme="minorEastAsia" w:eastAsiaTheme="minorEastAsia" w:cstheme="minorEastAsia"/>
                <w:szCs w:val="21"/>
              </w:rPr>
              <w:t>售后服务承诺、工期延误赔偿承诺</w:t>
            </w:r>
            <w:r>
              <w:rPr>
                <w:rFonts w:hint="eastAsia" w:asciiTheme="minorEastAsia" w:hAnsiTheme="minorEastAsia" w:eastAsiaTheme="minorEastAsia" w:cstheme="minorEastAsia"/>
                <w:kern w:val="0"/>
                <w:szCs w:val="21"/>
              </w:rPr>
              <w:t>进行比较后评分。</w:t>
            </w:r>
          </w:p>
          <w:p>
            <w:pPr>
              <w:widowControl/>
              <w:jc w:val="left"/>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内容齐全，针对性强，2分；</w:t>
            </w:r>
          </w:p>
          <w:p>
            <w:pPr>
              <w:widowControl/>
              <w:jc w:val="left"/>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内容较齐全、合理可行，1分；</w:t>
            </w:r>
          </w:p>
          <w:p>
            <w:pPr>
              <w:autoSpaceDE w:val="0"/>
              <w:autoSpaceDN w:val="0"/>
              <w:adjustRightInd w:val="0"/>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Cs w:val="21"/>
                <w:lang w:bidi="ar"/>
              </w:rPr>
              <w:t>不可行，0 分。</w:t>
            </w:r>
          </w:p>
        </w:tc>
        <w:tc>
          <w:tcPr>
            <w:tcW w:w="664" w:type="dxa"/>
            <w:vAlign w:val="center"/>
          </w:tcPr>
          <w:p>
            <w:pPr>
              <w:autoSpaceDE w:val="0"/>
              <w:autoSpaceDN w:val="0"/>
              <w:adjustRightInd w:val="0"/>
              <w:jc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Cs w:val="21"/>
                <w:lang w:bidi="ar"/>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总分</w:t>
            </w:r>
          </w:p>
        </w:tc>
        <w:tc>
          <w:tcPr>
            <w:tcW w:w="8552" w:type="dxa"/>
            <w:gridSpan w:val="3"/>
            <w:vAlign w:val="center"/>
          </w:tcPr>
          <w:p>
            <w:pPr>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lang w:val="en-US" w:eastAsia="zh-CN"/>
              </w:rPr>
              <w:t>100</w:t>
            </w:r>
          </w:p>
        </w:tc>
      </w:tr>
    </w:tbl>
    <w:p>
      <w:pPr>
        <w:spacing w:line="360" w:lineRule="auto"/>
        <w:outlineLvl w:val="1"/>
        <w:rPr>
          <w:rFonts w:hint="eastAsia" w:asciiTheme="minorEastAsia" w:hAnsiTheme="minorEastAsia" w:eastAsiaTheme="minorEastAsia" w:cstheme="minorEastAsia"/>
          <w:b/>
          <w:szCs w:val="21"/>
        </w:rPr>
      </w:pPr>
      <w:bookmarkStart w:id="111" w:name="_Toc2135"/>
      <w:r>
        <w:rPr>
          <w:rFonts w:hint="eastAsia" w:asciiTheme="minorEastAsia" w:hAnsiTheme="minorEastAsia" w:eastAsiaTheme="minorEastAsia" w:cstheme="minorEastAsia"/>
          <w:b/>
          <w:szCs w:val="21"/>
          <w:lang w:val="en-US" w:eastAsia="zh-CN"/>
        </w:rPr>
        <w:br w:type="textWrapping"/>
      </w:r>
      <w:r>
        <w:rPr>
          <w:rFonts w:hint="eastAsia" w:asciiTheme="minorEastAsia" w:hAnsiTheme="minorEastAsia" w:eastAsiaTheme="minorEastAsia" w:cstheme="minorEastAsia"/>
          <w:b/>
          <w:szCs w:val="21"/>
          <w:lang w:val="en-US" w:eastAsia="zh-CN"/>
        </w:rPr>
        <w:t>四、</w:t>
      </w:r>
      <w:r>
        <w:rPr>
          <w:rFonts w:hint="eastAsia" w:asciiTheme="minorEastAsia" w:hAnsiTheme="minorEastAsia" w:eastAsiaTheme="minorEastAsia" w:cstheme="minorEastAsia"/>
          <w:b/>
          <w:szCs w:val="21"/>
        </w:rPr>
        <w:t>评定办法</w:t>
      </w:r>
      <w:bookmarkEnd w:id="111"/>
    </w:p>
    <w:p>
      <w:pPr>
        <w:numPr>
          <w:ilvl w:val="3"/>
          <w:numId w:val="37"/>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初步审查标准</w:t>
      </w:r>
    </w:p>
    <w:p>
      <w:pPr>
        <w:numPr>
          <w:ilvl w:val="1"/>
          <w:numId w:val="38"/>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资格性审查标准：见评定办法前附表。</w:t>
      </w:r>
    </w:p>
    <w:p>
      <w:pPr>
        <w:numPr>
          <w:ilvl w:val="1"/>
          <w:numId w:val="38"/>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符合性审查标准：见评定办法前附表。</w:t>
      </w:r>
    </w:p>
    <w:p>
      <w:pPr>
        <w:numPr>
          <w:ilvl w:val="1"/>
          <w:numId w:val="38"/>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确定磋商供应商进行最后报价：见评定方法前附表。</w:t>
      </w:r>
    </w:p>
    <w:p>
      <w:pPr>
        <w:numPr>
          <w:ilvl w:val="3"/>
          <w:numId w:val="37"/>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评定方法：见评定办法前附表。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 分值构成</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（3）竞标报价：见评标办法前附表。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 评标基准价计算</w:t>
      </w:r>
    </w:p>
    <w:p>
      <w:pPr>
        <w:spacing w:line="360" w:lineRule="auto"/>
        <w:ind w:firstLine="840" w:firstLineChars="4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评标基准价计算方法：见评标办法前附表。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 评分标准</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（3）竞标报价评分标准：见评标办法前附表。</w:t>
      </w:r>
    </w:p>
    <w:p>
      <w:pPr>
        <w:numPr>
          <w:ilvl w:val="3"/>
          <w:numId w:val="37"/>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评定结果</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3.1</w:t>
      </w: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磋商小组严格按照本章要求对最终报价进行评定。</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完成评定后，</w:t>
      </w:r>
      <w:r>
        <w:rPr>
          <w:rFonts w:hint="eastAsia" w:asciiTheme="minorEastAsia" w:hAnsiTheme="minorEastAsia" w:eastAsiaTheme="minorEastAsia" w:cstheme="minorEastAsia"/>
          <w:snapToGrid w:val="0"/>
          <w:kern w:val="0"/>
          <w:szCs w:val="21"/>
          <w:lang w:val="zh-CN"/>
        </w:rPr>
        <w:t>磋商小组</w:t>
      </w:r>
      <w:r>
        <w:rPr>
          <w:rFonts w:hint="eastAsia" w:asciiTheme="minorEastAsia" w:hAnsiTheme="minorEastAsia" w:eastAsiaTheme="minorEastAsia" w:cstheme="minorEastAsia"/>
          <w:szCs w:val="21"/>
        </w:rPr>
        <w:t>须在评审结果推荐意见上共同签字。</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37"/>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Pr>
        <w:outlineLvl w:val="9"/>
      </w:pPr>
    </w:p>
    <w:p>
      <w:pPr>
        <w:outlineLvl w:val="9"/>
      </w:pPr>
    </w:p>
    <w:p>
      <w:pPr>
        <w:outlineLvl w:val="9"/>
      </w:pPr>
    </w:p>
    <w:p>
      <w:pPr>
        <w:outlineLvl w:val="9"/>
      </w:pPr>
    </w:p>
    <w:p>
      <w:pPr>
        <w:spacing w:line="360" w:lineRule="auto"/>
        <w:outlineLvl w:val="1"/>
        <w:rPr>
          <w:rFonts w:hint="eastAsia" w:asciiTheme="minorEastAsia" w:hAnsiTheme="minorEastAsia" w:eastAsiaTheme="minorEastAsia" w:cstheme="minorEastAsia"/>
          <w:b/>
          <w:szCs w:val="21"/>
          <w:lang w:val="en-US" w:eastAsia="zh-CN"/>
        </w:rPr>
      </w:pPr>
      <w:bookmarkStart w:id="112" w:name="_Toc32082"/>
      <w:r>
        <w:rPr>
          <w:rFonts w:hint="eastAsia" w:asciiTheme="minorEastAsia" w:hAnsiTheme="minorEastAsia" w:eastAsiaTheme="minorEastAsia" w:cstheme="minorEastAsia"/>
          <w:b/>
          <w:szCs w:val="21"/>
          <w:lang w:val="en-US" w:eastAsia="zh-CN"/>
        </w:rPr>
        <w:t>五、磋商及评审步骤</w:t>
      </w:r>
      <w:bookmarkEnd w:id="112"/>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磋商及评审步骤分别依次为磋商小组对供应商及其响应文件的资格和符合性检查、磋商小组同供应商的磋商及供应商的最后报价、详细评审。</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1.验证委托代理人身份、</w:t>
      </w:r>
      <w:r>
        <w:rPr>
          <w:rFonts w:hint="eastAsia" w:asciiTheme="minorEastAsia" w:hAnsiTheme="minorEastAsia" w:eastAsiaTheme="minorEastAsia" w:cstheme="minorEastAsia"/>
          <w:szCs w:val="28"/>
          <w:lang w:val="en-US" w:eastAsia="zh-CN"/>
        </w:rPr>
        <w:t>响应文件</w:t>
      </w:r>
      <w:r>
        <w:rPr>
          <w:rFonts w:hint="eastAsia" w:asciiTheme="minorEastAsia" w:hAnsiTheme="minorEastAsia" w:eastAsiaTheme="minorEastAsia" w:cstheme="minorEastAsia"/>
          <w:szCs w:val="28"/>
        </w:rPr>
        <w:t>密封检查</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主持人按以下程序进行：</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①宣布会场纪律。</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②公布在响应文件递交截止时间前递交响应文件的供应商名称，并点名确认供应商的委托代理人是否到场（验证委托代理人身份证原件）。</w:t>
      </w:r>
    </w:p>
    <w:p>
      <w:pPr>
        <w:spacing w:line="360" w:lineRule="auto"/>
        <w:ind w:firstLine="420" w:firstLineChars="200"/>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szCs w:val="28"/>
        </w:rPr>
        <w:t>③检查响应文件密封情况。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2.资格和符合性审查</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2.1磋商小组审查每份响应文件是否实质上响应了采购文件的要求。磋商小组决定其是否响应只根据响应文件本身的内容，而不依据外部的证据，但响应文件有不真实不正确的内容时除外。</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2.3只有通过了资格和符合性审查的供应商才能进入详细评审阶段。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3.供应商的澄清</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3.1磋商小组要求供应商澄清、说明或者更正响应文件将以书面形式作出。供应商的澄清、说明或者更正应当由法定代表人或其授权代表签字或者加盖公章。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4.磋商及最后报价</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4.1</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szCs w:val="28"/>
        </w:rPr>
        <w:t>磋商小组所有成员应当集中与单一供应商分别进行磋商，并按照</w:t>
      </w:r>
      <w:r>
        <w:rPr>
          <w:rFonts w:hint="eastAsia" w:asciiTheme="minorEastAsia" w:hAnsiTheme="minorEastAsia" w:eastAsiaTheme="minorEastAsia" w:cstheme="minorEastAsia"/>
          <w:szCs w:val="28"/>
          <w:lang w:val="en-US" w:eastAsia="zh-CN"/>
        </w:rPr>
        <w:t>磋商会随机抽签</w:t>
      </w:r>
      <w:r>
        <w:rPr>
          <w:rFonts w:hint="eastAsia" w:asciiTheme="minorEastAsia" w:hAnsiTheme="minorEastAsia" w:eastAsiaTheme="minorEastAsia" w:cstheme="minorEastAsia"/>
          <w:szCs w:val="28"/>
        </w:rPr>
        <w:t>的顺序给予所有参加磋商的供应商平等的磋商机会。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4.2</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b/>
          <w:szCs w:val="28"/>
        </w:rPr>
        <w:t>在磋商过程中，若磋商小组无法联系上供应商代表或者供应商代表在接到磋商小组通知后1</w:t>
      </w:r>
      <w:r>
        <w:rPr>
          <w:rFonts w:hint="eastAsia" w:asciiTheme="minorEastAsia" w:hAnsiTheme="minorEastAsia" w:eastAsiaTheme="minorEastAsia" w:cstheme="minorEastAsia"/>
          <w:b/>
          <w:szCs w:val="28"/>
          <w:lang w:val="en-US" w:eastAsia="zh-CN"/>
        </w:rPr>
        <w:t>5</w:t>
      </w:r>
      <w:r>
        <w:rPr>
          <w:rFonts w:hint="eastAsia" w:asciiTheme="minorEastAsia" w:hAnsiTheme="minorEastAsia" w:eastAsiaTheme="minorEastAsia" w:cstheme="minorEastAsia"/>
          <w:b/>
          <w:szCs w:val="28"/>
        </w:rPr>
        <w:t>分钟内不能抵达磋商会现场的，视为该供应商自动退出磋商。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4.3</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b/>
          <w:szCs w:val="28"/>
        </w:rPr>
        <w:t>磋商小组在与供应商磋商之前，应首先对参与磋商的供应商代表的身份进行核验，未按采购文件要求提供身份证原件或经核验的供应商代表身份与证明文件（法定代表人身份证明或法定代表人授权委托书）或身份证不符的，磋商小组有权拒绝该供应商参加磋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4.4</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szCs w:val="28"/>
        </w:rPr>
        <w:t>在磋商过程中，磋商小组可以根据采购文件和磋商情况实质性变动采购需求中的技术、服务要求以及合同草案条款，但不得变动采购文件中的其他内容。实质性变动的内容，经采购人代表确认后，将作为采购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bCs/>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5</w:t>
      </w:r>
      <w:r>
        <w:rPr>
          <w:rFonts w:hint="eastAsia" w:asciiTheme="minorEastAsia" w:hAnsiTheme="minorEastAsia" w:eastAsiaTheme="minorEastAsia" w:cstheme="minorEastAsia"/>
          <w:szCs w:val="28"/>
        </w:rPr>
        <w:t>磋商结束后，磋商小组将要求所有实质性响应的供应商在规定时间内提交最后报价，最后报价是供应商响应文件的有效组成部分。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Cs/>
          <w:szCs w:val="28"/>
        </w:rPr>
        <w:t>4.</w:t>
      </w:r>
      <w:r>
        <w:rPr>
          <w:rFonts w:hint="eastAsia" w:asciiTheme="minorEastAsia" w:hAnsiTheme="minorEastAsia" w:eastAsiaTheme="minorEastAsia" w:cstheme="minorEastAsia"/>
          <w:bCs/>
          <w:szCs w:val="28"/>
          <w:lang w:val="en-US" w:eastAsia="zh-CN"/>
        </w:rPr>
        <w:t>6</w:t>
      </w:r>
      <w:r>
        <w:rPr>
          <w:rFonts w:hint="eastAsia" w:asciiTheme="minorEastAsia" w:hAnsiTheme="minorEastAsia" w:eastAsiaTheme="minorEastAsia" w:cstheme="minorEastAsia"/>
          <w:szCs w:val="28"/>
        </w:rPr>
        <w:t>已提交响应文件的供应商，在提交最后报价之前，可以根据磋商情况退出磋商。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7</w:t>
      </w:r>
      <w:r>
        <w:rPr>
          <w:rFonts w:hint="eastAsia" w:asciiTheme="minorEastAsia" w:hAnsiTheme="minorEastAsia" w:eastAsiaTheme="minorEastAsia" w:cstheme="minorEastAsia"/>
          <w:szCs w:val="28"/>
        </w:rPr>
        <w:t>符合下列情形，在采购过程中符合要求的供应商可以为2家：</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（1）政府购买服务项目（含政府和社会资本合作项目）；</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（2）市场竞争不充分的科研项目，以及需要扶持的科技成果转化项目。</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5.详细评审</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5.1经磋商确定最终采购需求和提交最后报价的供应商后，由磋商小组采用综合评分法对提交最后报价的供应商的响应文件和最后报价进行综合评分。具体详见“</w:t>
      </w:r>
      <w:r>
        <w:rPr>
          <w:rFonts w:hint="eastAsia" w:asciiTheme="minorEastAsia" w:hAnsiTheme="minorEastAsia" w:eastAsiaTheme="minorEastAsia" w:cstheme="minorEastAsia"/>
          <w:szCs w:val="28"/>
          <w:lang w:val="en-US" w:eastAsia="zh-CN"/>
        </w:rPr>
        <w:t>评分细则</w:t>
      </w:r>
      <w:r>
        <w:rPr>
          <w:rFonts w:hint="eastAsia" w:asciiTheme="minorEastAsia" w:hAnsiTheme="minorEastAsia" w:eastAsiaTheme="minorEastAsia" w:cstheme="minorEastAsia"/>
          <w:szCs w:val="28"/>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5.2评审时，磋商小组各成员应当独立对每个有效响应的文件进行评价、打分，然后汇总每个供应商每项评分因素的得分。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5.3采购代理机构负责对各磋商小组成员的总分进行复核和汇总。各项统计结果均精确到小数点后两位。 </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磋商小组应当根据综合评分情况，按照评审得分由高到低顺序（评审得分相同的，按照最后报价由低到高的顺序确定，评审得分且最后报价相同的，按照技术指标优劣顺序确定）推荐3名成交候选供应商，并编写评审报告。</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5.5</w:t>
      </w:r>
      <w:r>
        <w:rPr>
          <w:rFonts w:hint="eastAsia" w:asciiTheme="minorEastAsia" w:hAnsiTheme="minorEastAsia" w:eastAsiaTheme="minorEastAsia" w:cstheme="minorEastAsia"/>
          <w:szCs w:val="28"/>
        </w:rPr>
        <w:t>在评审期间，供应商不得干扰和阻碍评审工作，供应商不得向磋商小组询问评审情况，任何影响和干扰评审工作的行为都可能导致被取消本次评审的资格，并承担相应的法律责任。</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8"/>
          <w:lang w:val="en-US" w:eastAsia="zh-CN"/>
        </w:rPr>
        <w:t>5.6</w:t>
      </w:r>
      <w:r>
        <w:rPr>
          <w:rFonts w:hint="eastAsia" w:asciiTheme="minorEastAsia" w:hAnsiTheme="minorEastAsia" w:eastAsiaTheme="minorEastAsia" w:cstheme="minorEastAsia"/>
          <w:szCs w:val="28"/>
        </w:rPr>
        <w:t>在评审过程中，磋商小组不得与供应商私下交换意见，从采购工作开始，直到授予供应商合同止，凡是属于审查、澄清、评价和比较响应文件的有关资料以及授标意向等，均不得向供应商或其他无关的人员透露。否则，磋商小组应承担法律、法规责任。</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rPr>
          <w:rFonts w:hint="eastAsia" w:asciiTheme="minorEastAsia" w:hAnsiTheme="minorEastAsia" w:eastAsiaTheme="minorEastAsia" w:cstheme="minorEastAsia"/>
          <w:b w:val="0"/>
          <w:kern w:val="0"/>
          <w:szCs w:val="21"/>
        </w:rPr>
      </w:pPr>
      <w:bookmarkStart w:id="113" w:name="_Toc211783328"/>
      <w:bookmarkStart w:id="114" w:name="_Toc318643471"/>
      <w:r>
        <w:rPr>
          <w:rFonts w:hint="eastAsia" w:asciiTheme="minorEastAsia" w:hAnsiTheme="minorEastAsia" w:eastAsiaTheme="minorEastAsia" w:cstheme="minorEastAsia"/>
          <w:sz w:val="36"/>
          <w:szCs w:val="36"/>
        </w:rPr>
        <w:br w:type="page"/>
      </w:r>
    </w:p>
    <w:p>
      <w:pPr>
        <w:pStyle w:val="3"/>
        <w:numPr>
          <w:ilvl w:val="0"/>
          <w:numId w:val="4"/>
        </w:numPr>
        <w:spacing w:line="240" w:lineRule="auto"/>
        <w:jc w:val="center"/>
        <w:rPr>
          <w:rFonts w:hint="eastAsia" w:asciiTheme="minorEastAsia" w:hAnsiTheme="minorEastAsia" w:eastAsiaTheme="minorEastAsia" w:cstheme="minorEastAsia"/>
          <w:b w:val="0"/>
          <w:kern w:val="0"/>
          <w:szCs w:val="21"/>
        </w:rPr>
      </w:pPr>
      <w:bookmarkStart w:id="115" w:name="_Toc16866"/>
      <w:r>
        <w:rPr>
          <w:rFonts w:hint="eastAsia" w:asciiTheme="minorEastAsia" w:hAnsiTheme="minorEastAsia" w:eastAsiaTheme="minorEastAsia" w:cstheme="minorEastAsia"/>
          <w:sz w:val="36"/>
          <w:szCs w:val="36"/>
        </w:rPr>
        <w:t>合同书</w:t>
      </w:r>
      <w:bookmarkEnd w:id="113"/>
      <w:bookmarkEnd w:id="114"/>
      <w:r>
        <w:rPr>
          <w:rFonts w:hint="eastAsia" w:asciiTheme="minorEastAsia" w:hAnsiTheme="minorEastAsia" w:eastAsiaTheme="minorEastAsia" w:cstheme="minorEastAsia"/>
          <w:sz w:val="36"/>
          <w:szCs w:val="36"/>
          <w:lang w:val="en-US" w:eastAsia="zh-CN"/>
        </w:rPr>
        <w:t>格式</w:t>
      </w:r>
      <w:bookmarkEnd w:id="115"/>
    </w:p>
    <w:p>
      <w:pPr>
        <w:spacing w:line="240" w:lineRule="auto"/>
        <w:ind w:firstLine="42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bCs/>
          <w:szCs w:val="21"/>
        </w:rPr>
        <w:t>（此合同书仅供签订正式合同时参考用）</w:t>
      </w:r>
    </w:p>
    <w:p>
      <w:pPr>
        <w:autoSpaceDE w:val="0"/>
        <w:autoSpaceDN w:val="0"/>
        <w:adjustRightInd w:val="0"/>
        <w:spacing w:line="360" w:lineRule="auto"/>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合　　同　　</w:t>
      </w:r>
      <w:r>
        <w:rPr>
          <w:rFonts w:hint="eastAsia" w:asciiTheme="minorEastAsia" w:hAnsiTheme="minorEastAsia" w:eastAsiaTheme="minorEastAsia" w:cstheme="minorEastAsia"/>
          <w:b/>
          <w:kern w:val="0"/>
          <w:sz w:val="22"/>
          <w:szCs w:val="22"/>
          <w:lang w:val="en-US" w:eastAsia="zh-CN"/>
        </w:rPr>
        <w:t>协    议   书</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合同编号：</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签订日期：</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签订合同地点：</w:t>
      </w:r>
    </w:p>
    <w:p>
      <w:pPr>
        <w:spacing w:line="360" w:lineRule="auto"/>
        <w:ind w:firstLine="420"/>
        <w:jc w:val="left"/>
        <w:outlineLvl w:val="9"/>
        <w:rPr>
          <w:rFonts w:hint="eastAsia"/>
          <w:b w:val="0"/>
          <w:bCs w:val="0"/>
        </w:rPr>
      </w:pPr>
      <w:r>
        <w:rPr>
          <w:rFonts w:hint="eastAsia" w:asciiTheme="minorEastAsia" w:hAnsiTheme="minorEastAsia" w:eastAsiaTheme="minorEastAsia" w:cstheme="minorEastAsia"/>
          <w:b w:val="0"/>
          <w:bCs w:val="0"/>
          <w:kern w:val="0"/>
          <w:sz w:val="21"/>
          <w:szCs w:val="21"/>
        </w:rPr>
        <w:t>本合同由</w:t>
      </w:r>
      <w:r>
        <w:rPr>
          <w:rFonts w:hint="eastAsia" w:asciiTheme="minorEastAsia" w:hAnsiTheme="minorEastAsia" w:eastAsiaTheme="minorEastAsia" w:cstheme="minorEastAsia"/>
          <w:b w:val="0"/>
          <w:bCs w:val="0"/>
          <w:kern w:val="0"/>
          <w:sz w:val="21"/>
          <w:szCs w:val="21"/>
          <w:u w:val="single"/>
        </w:rPr>
        <w:t xml:space="preserve">         </w:t>
      </w:r>
      <w:r>
        <w:rPr>
          <w:rFonts w:hint="eastAsia" w:asciiTheme="minorEastAsia" w:hAnsiTheme="minorEastAsia" w:eastAsiaTheme="minorEastAsia" w:cstheme="minorEastAsia"/>
          <w:b w:val="0"/>
          <w:bCs w:val="0"/>
          <w:kern w:val="0"/>
          <w:sz w:val="21"/>
          <w:szCs w:val="21"/>
        </w:rPr>
        <w:t>（以下简称“</w:t>
      </w:r>
      <w:r>
        <w:rPr>
          <w:rFonts w:hint="eastAsia" w:asciiTheme="minorEastAsia" w:hAnsiTheme="minorEastAsia" w:eastAsiaTheme="minorEastAsia" w:cstheme="minorEastAsia"/>
          <w:b w:val="0"/>
          <w:bCs w:val="0"/>
          <w:kern w:val="0"/>
          <w:sz w:val="21"/>
          <w:szCs w:val="21"/>
          <w:lang w:val="en-US" w:eastAsia="zh-CN"/>
        </w:rPr>
        <w:t>乙方</w:t>
      </w:r>
      <w:r>
        <w:rPr>
          <w:rFonts w:hint="eastAsia" w:asciiTheme="minorEastAsia" w:hAnsiTheme="minorEastAsia" w:eastAsiaTheme="minorEastAsia" w:cstheme="minorEastAsia"/>
          <w:b w:val="0"/>
          <w:bCs w:val="0"/>
          <w:kern w:val="0"/>
          <w:sz w:val="21"/>
          <w:szCs w:val="21"/>
        </w:rPr>
        <w:t>”）与</w:t>
      </w:r>
      <w:r>
        <w:rPr>
          <w:rFonts w:hint="eastAsia" w:asciiTheme="minorEastAsia" w:hAnsiTheme="minorEastAsia" w:eastAsiaTheme="minorEastAsia" w:cstheme="minorEastAsia"/>
          <w:b w:val="0"/>
          <w:bCs w:val="0"/>
          <w:kern w:val="0"/>
          <w:sz w:val="21"/>
          <w:szCs w:val="21"/>
          <w:u w:val="single"/>
        </w:rPr>
        <w:t xml:space="preserve">            </w:t>
      </w:r>
      <w:r>
        <w:rPr>
          <w:rFonts w:hint="eastAsia" w:asciiTheme="minorEastAsia" w:hAnsiTheme="minorEastAsia" w:eastAsiaTheme="minorEastAsia" w:cstheme="minorEastAsia"/>
          <w:b w:val="0"/>
          <w:bCs w:val="0"/>
          <w:kern w:val="0"/>
          <w:sz w:val="21"/>
          <w:szCs w:val="21"/>
        </w:rPr>
        <w:t>（以下简称“</w:t>
      </w:r>
      <w:r>
        <w:rPr>
          <w:rFonts w:hint="eastAsia" w:asciiTheme="minorEastAsia" w:hAnsiTheme="minorEastAsia" w:eastAsiaTheme="minorEastAsia" w:cstheme="minorEastAsia"/>
          <w:b w:val="0"/>
          <w:bCs w:val="0"/>
          <w:kern w:val="0"/>
          <w:sz w:val="21"/>
          <w:szCs w:val="21"/>
          <w:lang w:val="en-US" w:eastAsia="zh-CN"/>
        </w:rPr>
        <w:t>甲方</w:t>
      </w:r>
      <w:r>
        <w:rPr>
          <w:rFonts w:hint="eastAsia" w:asciiTheme="minorEastAsia" w:hAnsiTheme="minorEastAsia" w:eastAsiaTheme="minorEastAsia" w:cstheme="minorEastAsia"/>
          <w:b w:val="0"/>
          <w:bCs w:val="0"/>
          <w:kern w:val="0"/>
          <w:sz w:val="21"/>
          <w:szCs w:val="21"/>
        </w:rPr>
        <w:t>”）签订。</w:t>
      </w:r>
      <w:r>
        <w:rPr>
          <w:rFonts w:hint="eastAsia" w:asciiTheme="minorEastAsia" w:hAnsiTheme="minorEastAsia" w:eastAsiaTheme="minorEastAsia" w:cstheme="minorEastAsia"/>
          <w:b w:val="0"/>
          <w:bCs w:val="0"/>
          <w:kern w:val="0"/>
          <w:sz w:val="21"/>
          <w:szCs w:val="21"/>
          <w:lang w:val="en-US" w:eastAsia="zh-CN"/>
        </w:rPr>
        <w:t>乙方</w:t>
      </w:r>
      <w:r>
        <w:rPr>
          <w:rFonts w:hint="eastAsia" w:asciiTheme="minorEastAsia" w:hAnsiTheme="minorEastAsia" w:eastAsiaTheme="minorEastAsia" w:cstheme="minorEastAsia"/>
          <w:b w:val="0"/>
          <w:bCs w:val="0"/>
          <w:kern w:val="0"/>
          <w:sz w:val="21"/>
          <w:szCs w:val="21"/>
        </w:rPr>
        <w:t>以总金额</w:t>
      </w:r>
      <w:r>
        <w:rPr>
          <w:rFonts w:hint="eastAsia" w:asciiTheme="minorEastAsia" w:hAnsiTheme="minorEastAsia" w:eastAsiaTheme="minorEastAsia" w:cstheme="minorEastAsia"/>
          <w:b w:val="0"/>
          <w:bCs w:val="0"/>
          <w:kern w:val="0"/>
          <w:sz w:val="21"/>
          <w:szCs w:val="21"/>
          <w:u w:val="single"/>
        </w:rPr>
        <w:t xml:space="preserve">           </w:t>
      </w:r>
      <w:r>
        <w:rPr>
          <w:rFonts w:hint="eastAsia" w:asciiTheme="minorEastAsia" w:hAnsiTheme="minorEastAsia" w:eastAsiaTheme="minorEastAsia" w:cstheme="minorEastAsia"/>
          <w:b w:val="0"/>
          <w:bCs w:val="0"/>
          <w:kern w:val="0"/>
          <w:sz w:val="21"/>
          <w:szCs w:val="21"/>
        </w:rPr>
        <w:t>万元人民币（用大写数字书写）向</w:t>
      </w:r>
      <w:r>
        <w:rPr>
          <w:rFonts w:hint="eastAsia" w:asciiTheme="minorEastAsia" w:hAnsiTheme="minorEastAsia" w:eastAsiaTheme="minorEastAsia" w:cstheme="minorEastAsia"/>
          <w:b w:val="0"/>
          <w:bCs w:val="0"/>
          <w:kern w:val="0"/>
          <w:sz w:val="21"/>
          <w:szCs w:val="21"/>
          <w:lang w:val="en-US" w:eastAsia="zh-CN"/>
        </w:rPr>
        <w:t>甲方</w:t>
      </w:r>
      <w:r>
        <w:rPr>
          <w:rFonts w:hint="eastAsia" w:asciiTheme="minorEastAsia" w:hAnsiTheme="minorEastAsia" w:eastAsiaTheme="minorEastAsia" w:cstheme="minorEastAsia"/>
          <w:b w:val="0"/>
          <w:bCs w:val="0"/>
          <w:kern w:val="0"/>
          <w:sz w:val="21"/>
          <w:szCs w:val="21"/>
        </w:rPr>
        <w:t xml:space="preserve">提供如下 </w:t>
      </w:r>
      <w:r>
        <w:rPr>
          <w:rFonts w:hint="eastAsia" w:asciiTheme="minorEastAsia" w:hAnsiTheme="minorEastAsia" w:eastAsiaTheme="minorEastAsia" w:cstheme="minorEastAsia"/>
          <w:b w:val="0"/>
          <w:bCs w:val="0"/>
          <w:kern w:val="0"/>
          <w:sz w:val="21"/>
          <w:szCs w:val="21"/>
          <w:u w:val="single"/>
        </w:rPr>
        <w:t>（工程/货物/服务）</w:t>
      </w:r>
      <w:r>
        <w:rPr>
          <w:rFonts w:hint="eastAsia" w:asciiTheme="minorEastAsia" w:hAnsiTheme="minorEastAsia" w:eastAsiaTheme="minorEastAsia" w:cstheme="minorEastAsia"/>
          <w:b w:val="0"/>
          <w:bCs w:val="0"/>
          <w:kern w:val="0"/>
          <w:sz w:val="21"/>
          <w:szCs w:val="21"/>
        </w:rPr>
        <w:t>：</w:t>
      </w:r>
    </w:p>
    <w:p>
      <w:pPr>
        <w:spacing w:line="36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一、项目概况 </w:t>
      </w:r>
    </w:p>
    <w:p>
      <w:pPr>
        <w:spacing w:line="360" w:lineRule="auto"/>
        <w:ind w:firstLine="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（一）工程名称：</w:t>
      </w:r>
      <w:r>
        <w:rPr>
          <w:rFonts w:hint="eastAsia" w:asciiTheme="minorEastAsia" w:hAnsiTheme="minorEastAsia" w:eastAsiaTheme="minorEastAsia" w:cstheme="minorEastAsia"/>
          <w:sz w:val="21"/>
          <w:szCs w:val="21"/>
          <w:u w:val="single"/>
        </w:rPr>
        <w:t xml:space="preserve">           </w:t>
      </w:r>
    </w:p>
    <w:p>
      <w:pPr>
        <w:spacing w:line="360" w:lineRule="auto"/>
        <w:ind w:firstLine="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（二）工程地点：</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（三）工程内容：详见竞争性磋商文件、响应文件、已报价的工程量清单和第二次报价书等</w:t>
      </w:r>
    </w:p>
    <w:p>
      <w:pPr>
        <w:spacing w:line="360" w:lineRule="auto"/>
        <w:ind w:firstLine="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spacing w:line="360" w:lineRule="auto"/>
        <w:ind w:firstLine="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spacing w:line="360" w:lineRule="auto"/>
        <w:ind w:firstLine="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spacing w:line="360" w:lineRule="auto"/>
        <w:ind w:firstLine="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5、工完场清，施工产生的垃圾运至政府允许倾倒处处置,运距与响应文件中已报价的工程量清单运距一致。</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涉及其它内容，以甲方下发乙方联系函或任务单为准。隐蔽工程需留存影像资料，并及时反馈甲方，按要求及时办理相关签证手续。工程施工过程中如有变更或新增工程量，需向甲方办理相关书面手续。留存影像资料经甲方确认后方可施工，甲方书面确认工程量，并办理鉴证手续，按照本合同第二（三）条进行结算，工程增量金额不得超过本合同金额的10%。</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（四）工期总日历天数：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天</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开竣工日期：</w:t>
      </w:r>
      <w:r>
        <w:rPr>
          <w:rFonts w:hint="eastAsia" w:asciiTheme="minorEastAsia" w:hAnsiTheme="minorEastAsia" w:eastAsiaTheme="minorEastAsia" w:cstheme="minorEastAsia"/>
          <w:sz w:val="21"/>
          <w:szCs w:val="21"/>
          <w:u w:val="single"/>
          <w:lang w:eastAsia="zh-CN"/>
        </w:rPr>
        <w:t>2020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日 至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2020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（五）承包方式：包工包料。</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（六）质量要求及保修服务</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1、质量要求：</w:t>
      </w:r>
      <w:r>
        <w:rPr>
          <w:rFonts w:hint="eastAsia" w:asciiTheme="minorEastAsia" w:hAnsiTheme="minorEastAsia" w:eastAsiaTheme="minorEastAsia" w:cstheme="minorEastAsia"/>
          <w:b w:val="0"/>
          <w:bCs w:val="0"/>
          <w:kern w:val="2"/>
          <w:sz w:val="21"/>
          <w:szCs w:val="21"/>
          <w:lang w:val="en-US" w:eastAsia="zh-CN" w:bidi="ar-SA"/>
        </w:rPr>
        <w:t>达到《建筑工程施工质量验收统一标准》（GB50300-2013）合格标准，以及国家或行业颁布的其他现行各项技术标准和验收规范规定</w:t>
      </w:r>
      <w:r>
        <w:rPr>
          <w:rFonts w:hint="eastAsia" w:asciiTheme="minorEastAsia" w:hAnsiTheme="minorEastAsia" w:eastAsiaTheme="minorEastAsia" w:cstheme="minorEastAsia"/>
          <w:sz w:val="21"/>
          <w:szCs w:val="21"/>
        </w:rPr>
        <w:t>，达到合格要求，并完全符合甲方竞争性磋商采购文件、乙方响应文件，以及双方谈判期间所达成的全部质量要求。</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2、免费保修期：按照国家规定，在正常使用条件下，达到最低保修期限（或者双方约定的保修期限），从验收合格之日起计算。</w:t>
      </w:r>
    </w:p>
    <w:p>
      <w:pPr>
        <w:spacing w:line="360" w:lineRule="auto"/>
        <w:ind w:firstLine="105" w:firstLine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（七）经费渠道：</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spacing w:line="36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二、合同价款、结算及支付方式</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（一）合同价：人民币小写：</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元，大写：</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。其中含暂列金</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（包含按照竞争性磋商采购文件或者招标文件中有关</w:t>
      </w:r>
      <w:r>
        <w:rPr>
          <w:rFonts w:hint="eastAsia" w:asciiTheme="minorEastAsia" w:hAnsiTheme="minorEastAsia" w:eastAsiaTheme="minorEastAsia" w:cstheme="minorEastAsia"/>
          <w:sz w:val="21"/>
          <w:szCs w:val="21"/>
          <w:lang w:val="zh-CN"/>
        </w:rPr>
        <w:t>本项目造价编审费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（二）造价包含的内容</w:t>
      </w:r>
    </w:p>
    <w:p>
      <w:pPr>
        <w:spacing w:line="360" w:lineRule="auto"/>
        <w:ind w:firstLine="420" w:firstLineChars="200"/>
        <w:rPr>
          <w:rFonts w:hint="eastAsia" w:asciiTheme="minorEastAsia" w:hAnsiTheme="minorEastAsia" w:eastAsiaTheme="minorEastAsia" w:cstheme="minorEastAsia"/>
          <w:strike/>
          <w:sz w:val="21"/>
          <w:szCs w:val="21"/>
        </w:rPr>
      </w:pPr>
      <w:r>
        <w:rPr>
          <w:rFonts w:hint="eastAsia" w:asciiTheme="minorEastAsia" w:hAnsiTheme="minorEastAsia" w:eastAsiaTheme="minorEastAsia" w:cstheme="minorEastAsia"/>
          <w:sz w:val="21"/>
          <w:szCs w:val="21"/>
        </w:rPr>
        <w:t>含税造价，</w:t>
      </w:r>
      <w:r>
        <w:rPr>
          <w:rFonts w:hint="eastAsia" w:asciiTheme="minorEastAsia" w:hAnsiTheme="minorEastAsia" w:eastAsiaTheme="minorEastAsia" w:cstheme="minorEastAsia"/>
          <w:bCs/>
          <w:sz w:val="21"/>
          <w:szCs w:val="21"/>
        </w:rPr>
        <w:t>包括工程所需的人工费、主材费、辅料费、配件费、机械费、管理费、含</w:t>
      </w:r>
      <w:r>
        <w:rPr>
          <w:rFonts w:hint="eastAsia" w:asciiTheme="minorEastAsia" w:hAnsiTheme="minorEastAsia" w:eastAsiaTheme="minorEastAsia" w:cstheme="minorEastAsia"/>
          <w:b/>
          <w:sz w:val="21"/>
          <w:szCs w:val="21"/>
        </w:rPr>
        <w:t>安全文明施工费</w:t>
      </w:r>
      <w:r>
        <w:rPr>
          <w:rFonts w:hint="eastAsia" w:asciiTheme="minorEastAsia" w:hAnsiTheme="minorEastAsia" w:eastAsiaTheme="minorEastAsia" w:cstheme="minorEastAsia"/>
          <w:sz w:val="21"/>
          <w:szCs w:val="21"/>
        </w:rPr>
        <w:t>在内的措施费、</w:t>
      </w:r>
      <w:r>
        <w:rPr>
          <w:rFonts w:hint="eastAsia" w:asciiTheme="minorEastAsia" w:hAnsiTheme="minorEastAsia" w:eastAsiaTheme="minorEastAsia" w:cstheme="minorEastAsia"/>
          <w:bCs/>
          <w:sz w:val="21"/>
          <w:szCs w:val="21"/>
        </w:rPr>
        <w:t>税金、规费等所有费用</w:t>
      </w:r>
      <w:r>
        <w:rPr>
          <w:rFonts w:hint="eastAsia" w:asciiTheme="minorEastAsia" w:hAnsiTheme="minorEastAsia" w:eastAsiaTheme="minorEastAsia" w:cstheme="minorEastAsia"/>
          <w:sz w:val="21"/>
          <w:szCs w:val="21"/>
        </w:rPr>
        <w:t>。</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（三）结算及付款方式：</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1、合同范围内的工程内容,按成交金额中标单价进行结算。合同范围外的变更工程内容：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（1）合同中有适用于变更的工程内容，以成交金额中标单价进行结算；</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（2）合同中无适用于变更的工程内容，则参照2018版定额套取相关子目及取费标准重新组价进行结算；材料价格参照武汉市建筑工程（施工）当月市场价格信息；</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（3）若无定额套用而采用市场价进行组价的，均不再计取任何税费。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2、工程完工后，经</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验收合格后，按照审定结算价进行结算。</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、2016年5月1日后，国家调整了税收政策，由营业税调整为增值税。凡涉及到“营改增”的问题或其他税务问题，乙方承诺税金已包含在合同价内，之后不再有任何争议。</w:t>
      </w:r>
    </w:p>
    <w:p>
      <w:pPr>
        <w:spacing w:line="360" w:lineRule="auto"/>
        <w:ind w:firstLine="422" w:firstLineChars="200"/>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rPr>
        <w:t>三、付款方式</w:t>
      </w:r>
      <w:r>
        <w:rPr>
          <w:rFonts w:hint="eastAsia" w:asciiTheme="minorEastAsia" w:hAnsiTheme="minorEastAsia" w:eastAsiaTheme="minorEastAsia" w:cstheme="minorEastAsia"/>
          <w:b/>
          <w:sz w:val="21"/>
          <w:szCs w:val="21"/>
          <w:lang w:val="en-US" w:eastAsia="zh-CN"/>
        </w:rPr>
        <w:t>与售后服务</w:t>
      </w:r>
    </w:p>
    <w:p>
      <w:pPr>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1、</w:t>
      </w:r>
      <w:r>
        <w:rPr>
          <w:rFonts w:hint="eastAsia" w:asciiTheme="minorEastAsia" w:hAnsiTheme="minorEastAsia" w:eastAsiaTheme="minorEastAsia" w:cstheme="minorEastAsia"/>
          <w:color w:val="FF0000"/>
          <w:sz w:val="21"/>
          <w:szCs w:val="21"/>
          <w:lang w:val="en-US" w:eastAsia="zh-CN"/>
        </w:rPr>
        <w:t>付款方式：</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2、售后服务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保修期内，乙方法人或委托代理人需保持联系电话畅通，二十四小时内应有回应。若乙方法人或委托代理人、联系电话及地址有变动，需及时来函告知，以便于双方沟通联系维修及办理质保金退还手续。若甲方无法联系到乙方进行免费保修服务，甲方可自行委托其他施工单位进行维修，因此产生的维修费用将从质保金中扣除。</w:t>
      </w:r>
    </w:p>
    <w:p>
      <w:pPr>
        <w:spacing w:line="36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四、双方的权利和义务</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（一）甲方权利</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在乙方施工期间有权利监督乙方的工程质量、进度、安全文明施工，如果发现乙方在质量、工期、进度、现场安全文明施工有不满足施工合同要求时，甲方有权要求乙方及时整改、返工，由此造成的损失由乙方负责。若造成工期延误的，每延误壹日，甲方有权每日按照合同价的3‰向乙方收取违约金，总额不超过合同价的5%。</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（二）甲方义务</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1、施工期间，指派专人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负责现场管理；负责协调处理校内有关部门关系，提供乙方施工用水、用电、材料堆放场地。</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2、做好三通工作，使施工场地具备施工条件，并满足施工期间的需要。</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3、尽可能提供各项施工技术资料。</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、甲方需及时通知乙方签收工程建设审计意见书。</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（三）乙方权利</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1、在施工期间，当甲方提出的专业问题，有不合理的地方，乙方有权提出自己的意见，并和甲方共同探讨可行性方案。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2、在甲方书面同意下，乙方可以处理在本工程活动中所产生的有利用价值的废品。                                                                                  </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（四）乙方义务</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在施工现场显眼处设置施工标识牌（标明工程名称；建设单位及现场负责人、联系电话；施工单位及现场负责人、联系电话；开、竣工日期）；施工人员必须统一着装，佩戴胸牌及防护器具，必须具备较好的操作技能和安全生产、文明施工意识，服务态度热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2、乙方将施工所用主材先进行报验，提供主材的出厂证明、质量保证书、合格证及检验报告，经甲方代表现场书面确认后方可施工，并装订成册作为完工后结算资料报审计进行审核。</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3、乙方施工时，现场安全文明施工必须达到武汉市合格要求。乙方应采用必须的安全措施，施工现场指派专人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负责施工现场安全。施工现场的任何安全事故（包括甲乙双方及第三人的人身安全及财产损失事故），由乙方承担责任，甲方不负责任何安全责任。</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4、乙方应保护施工场地的环境，施工现场指派专人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负责环保、健康及卫生清理。乙方要做好现场文明施工工作。建筑垃圾有组织地运输至允许堆放地点，不得随意乱扔，否则由乙方承担法律责任。工程完工后，施工现场不得有施工用的工具、未用完的材料及建筑垃圾，对施工中产生的建筑垃圾及时运出</w:t>
      </w:r>
      <w:r>
        <w:rPr>
          <w:rFonts w:hint="eastAsia" w:asciiTheme="minorEastAsia" w:hAnsiTheme="minorEastAsia" w:eastAsiaTheme="minorEastAsia" w:cstheme="minorEastAsia"/>
          <w:sz w:val="21"/>
          <w:szCs w:val="21"/>
          <w:lang w:val="en-US" w:eastAsia="zh-CN"/>
        </w:rPr>
        <w:t>场地</w:t>
      </w:r>
      <w:r>
        <w:rPr>
          <w:rFonts w:hint="eastAsia" w:asciiTheme="minorEastAsia" w:hAnsiTheme="minorEastAsia" w:eastAsiaTheme="minorEastAsia" w:cstheme="minorEastAsia"/>
          <w:sz w:val="21"/>
          <w:szCs w:val="21"/>
        </w:rPr>
        <w:t>外，做到工完场清。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5、乙方施工人员应遵守甲方各种规章制度、行为规范，服从甲方的现场管理。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6、由于质量问题造成的经济上的损失和工程工期上的延误，责任由乙方承担，甲方不负任何责任。</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7、已竣工工程未交付甲方之前，乙方负责已完工程的保护工作，期间发生损坏，由乙方负责修复。</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8、乙方必须提供给甲方真实完整的竣工资料。</w:t>
      </w:r>
    </w:p>
    <w:p>
      <w:pPr>
        <w:spacing w:line="360" w:lineRule="auto"/>
        <w:ind w:firstLine="55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五、违约责任及处理规定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rPr>
        <w:t>)乙方未按期完工，每逾期一日，按照合同总价的3‰支付甲方违约金，总额不超过合同价的5%；逾期超过30日，甲方有权解除合同，并要求乙方赔偿损失。乙方未认真履行合同，未兑现服务承诺，工程验收不合格，但未给甲方造成重大损失或不利影响的，甲方可责成乙方整改。并有权要求乙方按工程合同总价的3％向甲方支付违约金，由甲方直接从工程款中抵扣。</w:t>
      </w:r>
    </w:p>
    <w:p>
      <w:pPr>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（三）乙方未认真履行合同、兑现服务承诺，工程整改返工后验收仍不合格，</w:t>
      </w:r>
      <w:r>
        <w:rPr>
          <w:rFonts w:hint="eastAsia" w:asciiTheme="minorEastAsia" w:hAnsiTheme="minorEastAsia" w:eastAsiaTheme="minorEastAsia" w:cstheme="minorEastAsia"/>
          <w:sz w:val="21"/>
          <w:szCs w:val="21"/>
          <w:lang w:eastAsia="zh-CN"/>
        </w:rPr>
        <w:t>或达不到磋商文件要求的使用年限的</w:t>
      </w:r>
      <w:r>
        <w:rPr>
          <w:rFonts w:hint="eastAsia" w:asciiTheme="minorEastAsia" w:hAnsiTheme="minorEastAsia" w:eastAsiaTheme="minorEastAsia" w:cstheme="minorEastAsia"/>
          <w:sz w:val="21"/>
          <w:szCs w:val="21"/>
        </w:rPr>
        <w:t>，甲方可要求乙方按工程合同总价的10％支付违约金，违约金不足以弥补损失的，不足乙方另行支付。若造成重大损失或严重不利影响或超过工期30日仍未验收合格，甲方有权单方面解除合同，并要求乙方赔偿损失。</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（四）因乙方原因，发生火灾、失窃等事件或乙方违反法律、法规和甲方规章制度的，甲方有权单方面解除合同，并责成乙方赔偿损失。</w:t>
      </w:r>
    </w:p>
    <w:p>
      <w:pPr>
        <w:spacing w:line="360" w:lineRule="auto"/>
        <w:ind w:firstLine="413" w:firstLineChars="19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（五）乙方承诺已知晓并遵守甲方的各项规章制度，如有违反，按甲方的制度给予处罚。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（六）因工作失误而造成甲方经济损失，由乙方负责赔偿经济损失（不可抗力的因素除外）。</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（七）乙方必须接受甲方对施工人员的服务质量、服务态度、安全等监督，若有违反相关的规定和质量标准，甲方有权开具通知书给乙方进行整改，并记录入信誉档案中。</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（八）乙方不得将本项目转包、分包。如果发现转包、分包，甲方有权立即解除合同，并追究乙方法律责任。</w:t>
      </w:r>
    </w:p>
    <w:p>
      <w:pPr>
        <w:spacing w:line="36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六、合同的变更、终止</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（一）合同期限内，本合同未尽事宜以双方协商书面形式补充协议为准；本合同与国家、省市人民政府强制性规定相抵触的，按国家、省、市有关规定执行。</w:t>
      </w:r>
    </w:p>
    <w:p>
      <w:pPr>
        <w:spacing w:line="360" w:lineRule="auto"/>
        <w:ind w:firstLine="411"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据实际工作的需要，双方可对本合同进行相应的补充、并以书面形式签订补充协议，补充协议与本合同具同等法律效力。补充协议不得与本合同及甲方竞争性磋商采购文件、乙方响应文件的实质性内容背离。</w:t>
      </w:r>
    </w:p>
    <w:p>
      <w:pPr>
        <w:spacing w:line="360" w:lineRule="auto"/>
        <w:ind w:left="-359" w:leftChars="-171" w:firstLine="728" w:firstLineChars="3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（三）合同及附件和补充协议的签订、履行发生争议，甲乙双方协商解决，不能协商一致的，双方同意由甲方所在地人民法院诉讼解决。</w:t>
      </w:r>
    </w:p>
    <w:p>
      <w:pPr>
        <w:spacing w:line="360" w:lineRule="auto"/>
        <w:ind w:left="-359" w:leftChars="-171" w:firstLine="728" w:firstLineChars="3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（四）合同壹式陆份，甲方执留叁份，乙方执留叁份。</w:t>
      </w:r>
    </w:p>
    <w:p>
      <w:pPr>
        <w:spacing w:line="360" w:lineRule="auto"/>
        <w:ind w:left="-359" w:leftChars="-171" w:firstLine="728" w:firstLineChars="3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（五）合同经双方代表签字、盖章生效。</w:t>
      </w:r>
    </w:p>
    <w:p>
      <w:pPr>
        <w:widowControl/>
        <w:jc w:val="left"/>
        <w:rPr>
          <w:rFonts w:hint="eastAsia" w:asciiTheme="minorEastAsia" w:hAnsiTheme="minorEastAsia" w:eastAsiaTheme="minorEastAsia" w:cstheme="minorEastAsia"/>
          <w:sz w:val="21"/>
          <w:szCs w:val="21"/>
        </w:rPr>
      </w:pPr>
    </w:p>
    <w:p>
      <w:pPr>
        <w:widowControl/>
        <w:jc w:val="left"/>
        <w:rPr>
          <w:rFonts w:hint="eastAsia" w:asciiTheme="minorEastAsia" w:hAnsiTheme="minorEastAsia" w:eastAsiaTheme="minorEastAsia" w:cstheme="minorEastAsia"/>
          <w:sz w:val="21"/>
          <w:szCs w:val="21"/>
        </w:rPr>
      </w:pPr>
    </w:p>
    <w:tbl>
      <w:tblPr>
        <w:tblStyle w:val="26"/>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2"/>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466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甲方: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传真：</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   期：</w:t>
            </w:r>
            <w:r>
              <w:rPr>
                <w:rFonts w:hint="eastAsia" w:asciiTheme="minorEastAsia" w:hAnsiTheme="minorEastAsia" w:eastAsiaTheme="minorEastAsia" w:cstheme="minorEastAsia"/>
                <w:sz w:val="21"/>
                <w:szCs w:val="21"/>
                <w:lang w:eastAsia="zh-CN"/>
              </w:rPr>
              <w:t>2020</w:t>
            </w:r>
            <w:r>
              <w:rPr>
                <w:rFonts w:hint="eastAsia" w:asciiTheme="minorEastAsia" w:hAnsiTheme="minorEastAsia" w:eastAsiaTheme="minorEastAsia" w:cstheme="minorEastAsia"/>
                <w:sz w:val="21"/>
                <w:szCs w:val="21"/>
              </w:rPr>
              <w:t xml:space="preserve"> 年   月   日</w:t>
            </w:r>
          </w:p>
        </w:tc>
        <w:tc>
          <w:tcPr>
            <w:tcW w:w="5025" w:type="dxa"/>
            <w:tcBorders>
              <w:top w:val="single" w:color="auto" w:sz="4" w:space="0"/>
              <w:left w:val="single" w:color="auto" w:sz="4" w:space="0"/>
              <w:bottom w:val="single" w:color="auto" w:sz="4" w:space="0"/>
              <w:right w:val="single" w:color="auto" w:sz="4" w:space="0"/>
            </w:tcBorders>
            <w:vAlign w:val="top"/>
          </w:tcPr>
          <w:p>
            <w:pPr>
              <w:spacing w:line="500" w:lineRule="exact"/>
              <w:ind w:left="-359" w:leftChars="-171"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w:t>
            </w:r>
          </w:p>
          <w:p>
            <w:pPr>
              <w:spacing w:line="5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地址：</w:t>
            </w:r>
          </w:p>
          <w:p>
            <w:pPr>
              <w:spacing w:line="500" w:lineRule="exact"/>
              <w:ind w:left="-359" w:leftChars="-171"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法人：</w:t>
            </w:r>
          </w:p>
          <w:p>
            <w:pPr>
              <w:spacing w:line="500" w:lineRule="exact"/>
              <w:ind w:left="-359" w:leftChars="-171"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w:t>
            </w:r>
          </w:p>
          <w:p>
            <w:pPr>
              <w:spacing w:line="500" w:lineRule="exact"/>
              <w:ind w:left="-359" w:leftChars="-171"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传真：</w:t>
            </w:r>
          </w:p>
          <w:p>
            <w:pPr>
              <w:spacing w:line="5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电话：</w:t>
            </w:r>
          </w:p>
          <w:p>
            <w:pPr>
              <w:spacing w:line="500" w:lineRule="exact"/>
              <w:ind w:firstLine="105" w:firstLine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w:t>
            </w:r>
          </w:p>
          <w:p>
            <w:pPr>
              <w:spacing w:line="500" w:lineRule="exact"/>
              <w:ind w:firstLine="105" w:firstLine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账号：</w:t>
            </w:r>
          </w:p>
          <w:p>
            <w:pPr>
              <w:spacing w:line="500" w:lineRule="exact"/>
              <w:ind w:left="-359" w:leftChars="-171"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p>
          <w:p>
            <w:pPr>
              <w:spacing w:line="500" w:lineRule="exact"/>
              <w:ind w:left="-359" w:leftChars="-171"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w:t>
            </w:r>
            <w:r>
              <w:rPr>
                <w:rFonts w:hint="eastAsia" w:asciiTheme="minorEastAsia" w:hAnsiTheme="minorEastAsia" w:eastAsiaTheme="minorEastAsia" w:cstheme="minorEastAsia"/>
                <w:sz w:val="21"/>
                <w:szCs w:val="21"/>
                <w:lang w:eastAsia="zh-CN"/>
              </w:rPr>
              <w:t>2020</w:t>
            </w:r>
            <w:r>
              <w:rPr>
                <w:rFonts w:hint="eastAsia" w:asciiTheme="minorEastAsia" w:hAnsiTheme="minorEastAsia" w:eastAsiaTheme="minorEastAsia" w:cstheme="minorEastAsia"/>
                <w:sz w:val="21"/>
                <w:szCs w:val="21"/>
              </w:rPr>
              <w:t xml:space="preserve"> 年   月   日</w:t>
            </w:r>
          </w:p>
        </w:tc>
      </w:tr>
    </w:tbl>
    <w:p>
      <w:pPr>
        <w:outlineLvl w:val="9"/>
        <w:rPr>
          <w:rFonts w:hint="eastAsia" w:asciiTheme="minorEastAsia" w:hAnsiTheme="minorEastAsia" w:eastAsiaTheme="minorEastAsia" w:cstheme="minorEastAsia"/>
          <w:kern w:val="0"/>
          <w:szCs w:val="21"/>
        </w:rPr>
      </w:pPr>
    </w:p>
    <w:p>
      <w:pPr>
        <w:outlineLvl w:val="9"/>
        <w:rPr>
          <w:rFonts w:hint="eastAsia"/>
        </w:rPr>
      </w:pPr>
    </w:p>
    <w:p>
      <w:pPr>
        <w:rPr>
          <w:rFonts w:hint="eastAsia" w:asciiTheme="minorEastAsia" w:hAnsiTheme="minorEastAsia" w:eastAsiaTheme="minorEastAsia" w:cstheme="minorEastAsia"/>
          <w:kern w:val="0"/>
          <w:szCs w:val="21"/>
        </w:rPr>
      </w:pPr>
    </w:p>
    <w:p>
      <w:pPr>
        <w:outlineLvl w:val="9"/>
        <w:rPr>
          <w:rFonts w:hint="eastAsia" w:asciiTheme="minorEastAsia" w:hAnsiTheme="minorEastAsia" w:eastAsiaTheme="minorEastAsia" w:cstheme="minorEastAsia"/>
          <w:kern w:val="0"/>
          <w:szCs w:val="21"/>
        </w:rPr>
      </w:pPr>
    </w:p>
    <w:p>
      <w:pPr>
        <w:rPr>
          <w:rFonts w:hint="eastAsia" w:asciiTheme="minorEastAsia" w:hAnsiTheme="minorEastAsia" w:eastAsiaTheme="minorEastAsia" w:cstheme="minorEastAsia"/>
          <w:kern w:val="0"/>
          <w:szCs w:val="21"/>
        </w:rPr>
      </w:pPr>
    </w:p>
    <w:p>
      <w:pPr>
        <w:outlineLvl w:val="9"/>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br w:type="textWrapping"/>
      </w:r>
    </w:p>
    <w:p>
      <w:pPr>
        <w:outlineLvl w:val="9"/>
        <w:rPr>
          <w:rFonts w:hint="eastAsia" w:asciiTheme="minorEastAsia" w:hAnsiTheme="minorEastAsia" w:eastAsiaTheme="minorEastAsia" w:cstheme="minorEastAsia"/>
          <w:kern w:val="0"/>
          <w:szCs w:val="21"/>
        </w:rPr>
      </w:pPr>
    </w:p>
    <w:p>
      <w:pPr>
        <w:outlineLvl w:val="9"/>
        <w:rPr>
          <w:rFonts w:hint="eastAsia" w:asciiTheme="minorEastAsia" w:hAnsiTheme="minorEastAsia" w:eastAsiaTheme="minorEastAsia" w:cstheme="minorEastAsia"/>
          <w:kern w:val="0"/>
          <w:szCs w:val="21"/>
        </w:rPr>
      </w:pPr>
    </w:p>
    <w:p>
      <w:pPr>
        <w:outlineLvl w:val="9"/>
        <w:rPr>
          <w:rFonts w:hint="eastAsia" w:asciiTheme="minorEastAsia" w:hAnsiTheme="minorEastAsia" w:eastAsiaTheme="minorEastAsia" w:cstheme="minorEastAsia"/>
          <w:kern w:val="0"/>
          <w:szCs w:val="21"/>
        </w:rPr>
      </w:pPr>
    </w:p>
    <w:p>
      <w:pPr>
        <w:outlineLvl w:val="9"/>
        <w:rPr>
          <w:rFonts w:hint="eastAsia" w:asciiTheme="minorEastAsia" w:hAnsiTheme="minorEastAsia" w:eastAsiaTheme="minorEastAsia" w:cstheme="minorEastAsia"/>
          <w:kern w:val="0"/>
          <w:szCs w:val="21"/>
        </w:rPr>
      </w:pPr>
    </w:p>
    <w:p>
      <w:pPr>
        <w:outlineLvl w:val="9"/>
        <w:rPr>
          <w:rFonts w:hint="eastAsia" w:asciiTheme="minorEastAsia" w:hAnsiTheme="minorEastAsia" w:eastAsiaTheme="minorEastAsia" w:cstheme="minorEastAsia"/>
          <w:kern w:val="0"/>
          <w:szCs w:val="21"/>
        </w:rPr>
      </w:pPr>
    </w:p>
    <w:p>
      <w:pPr>
        <w:outlineLvl w:val="9"/>
        <w:rPr>
          <w:rFonts w:hint="eastAsia" w:asciiTheme="minorEastAsia" w:hAnsiTheme="minorEastAsia" w:eastAsiaTheme="minorEastAsia" w:cstheme="minorEastAsia"/>
          <w:kern w:val="0"/>
          <w:szCs w:val="21"/>
        </w:rPr>
      </w:pPr>
    </w:p>
    <w:p>
      <w:pPr>
        <w:outlineLvl w:val="9"/>
        <w:rPr>
          <w:rFonts w:hint="eastAsia" w:asciiTheme="minorEastAsia" w:hAnsiTheme="minorEastAsia" w:eastAsiaTheme="minorEastAsia" w:cstheme="minorEastAsia"/>
          <w:kern w:val="0"/>
          <w:szCs w:val="21"/>
        </w:rPr>
      </w:pPr>
    </w:p>
    <w:p>
      <w:pPr>
        <w:outlineLvl w:val="9"/>
        <w:rPr>
          <w:rFonts w:hint="eastAsia" w:asciiTheme="minorEastAsia" w:hAnsiTheme="minorEastAsia" w:eastAsiaTheme="minorEastAsia" w:cstheme="minorEastAsia"/>
          <w:kern w:val="0"/>
          <w:szCs w:val="21"/>
        </w:rPr>
      </w:pPr>
    </w:p>
    <w:p>
      <w:pPr>
        <w:outlineLvl w:val="9"/>
        <w:rPr>
          <w:rFonts w:hint="eastAsia" w:asciiTheme="minorEastAsia" w:hAnsiTheme="minorEastAsia" w:eastAsiaTheme="minorEastAsia" w:cstheme="minorEastAsia"/>
          <w:kern w:val="0"/>
          <w:szCs w:val="21"/>
        </w:rPr>
      </w:pPr>
    </w:p>
    <w:p>
      <w:pPr>
        <w:outlineLvl w:val="9"/>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textWrapping"/>
      </w:r>
    </w:p>
    <w:p>
      <w:pPr>
        <w:rPr>
          <w:rFonts w:hint="eastAsia"/>
        </w:rPr>
      </w:pPr>
    </w:p>
    <w:p>
      <w:pPr>
        <w:pStyle w:val="3"/>
        <w:numPr>
          <w:ilvl w:val="0"/>
          <w:numId w:val="4"/>
        </w:numPr>
        <w:jc w:val="center"/>
        <w:rPr>
          <w:rFonts w:hint="eastAsia" w:asciiTheme="minorEastAsia" w:hAnsiTheme="minorEastAsia" w:eastAsiaTheme="minorEastAsia" w:cstheme="minorEastAsia"/>
          <w:sz w:val="36"/>
          <w:szCs w:val="36"/>
        </w:rPr>
      </w:pPr>
      <w:bookmarkStart w:id="116" w:name="_Toc16985"/>
      <w:r>
        <w:rPr>
          <w:rFonts w:hint="eastAsia" w:asciiTheme="minorEastAsia" w:hAnsiTheme="minorEastAsia" w:eastAsiaTheme="minorEastAsia" w:cstheme="minorEastAsia"/>
          <w:sz w:val="36"/>
          <w:szCs w:val="36"/>
        </w:rPr>
        <w:t>竞争性磋商响应文件格式</w:t>
      </w:r>
      <w:bookmarkEnd w:id="116"/>
    </w:p>
    <w:p>
      <w:pPr>
        <w:autoSpaceDE w:val="0"/>
        <w:autoSpaceDN w:val="0"/>
        <w:adjustRightIn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封面：</w:t>
      </w: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jc w:val="center"/>
        <w:rPr>
          <w:rFonts w:hint="eastAsia" w:asciiTheme="minorEastAsia" w:hAnsiTheme="minorEastAsia" w:eastAsiaTheme="minorEastAsia" w:cstheme="minorEastAsia"/>
          <w:b/>
          <w:sz w:val="84"/>
          <w:szCs w:val="84"/>
        </w:rPr>
      </w:pPr>
    </w:p>
    <w:p>
      <w:pPr>
        <w:autoSpaceDE w:val="0"/>
        <w:autoSpaceDN w:val="0"/>
        <w:adjustRightInd w:val="0"/>
        <w:jc w:val="center"/>
        <w:rPr>
          <w:rFonts w:hint="eastAsia"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响 应 文 件</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lang w:val="en-US" w:eastAsia="zh-CN"/>
        </w:rPr>
        <w:t>项目编号</w:t>
      </w:r>
      <w:r>
        <w:rPr>
          <w:rFonts w:hint="eastAsia" w:asciiTheme="minorEastAsia" w:hAnsiTheme="minorEastAsia" w:eastAsiaTheme="minorEastAsia" w:cstheme="minorEastAsia"/>
          <w:b/>
          <w:bCs/>
          <w:sz w:val="30"/>
          <w:szCs w:val="30"/>
        </w:rPr>
        <w:t>：</w:t>
      </w:r>
      <w:r>
        <w:rPr>
          <w:rFonts w:hint="eastAsia" w:asciiTheme="minorEastAsia" w:hAnsiTheme="minorEastAsia" w:eastAsiaTheme="minorEastAsia" w:cstheme="minorEastAsia"/>
          <w:b/>
          <w:bCs/>
          <w:sz w:val="30"/>
          <w:szCs w:val="30"/>
          <w:u w:val="single"/>
        </w:rPr>
        <w:t xml:space="preserve">                            </w:t>
      </w:r>
    </w:p>
    <w:p>
      <w:pPr>
        <w:tabs>
          <w:tab w:val="left" w:pos="7230"/>
        </w:tabs>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项目名称：</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ind w:firstLine="1190" w:firstLineChars="395"/>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none"/>
        </w:rPr>
        <w:t xml:space="preserve"> </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spacing w:line="360" w:lineRule="auto"/>
        <w:ind w:firstLine="1260" w:firstLineChars="450"/>
        <w:rPr>
          <w:rFonts w:hint="eastAsia" w:asciiTheme="minorEastAsia" w:hAnsiTheme="minorEastAsia" w:eastAsiaTheme="minorEastAsia" w:cstheme="minorEastAsia"/>
          <w:b/>
          <w:bCs/>
          <w:sz w:val="32"/>
          <w:u w:val="single"/>
        </w:rPr>
      </w:pPr>
      <w:r>
        <w:rPr>
          <w:rFonts w:hint="eastAsia" w:asciiTheme="minorEastAsia" w:hAnsiTheme="minorEastAsia" w:eastAsiaTheme="minorEastAsia" w:cstheme="minorEastAsia"/>
          <w:sz w:val="28"/>
          <w:szCs w:val="28"/>
        </w:rPr>
        <w:t>磋商供应商名称（盖章）：</w:t>
      </w:r>
      <w:r>
        <w:rPr>
          <w:rFonts w:hint="eastAsia" w:asciiTheme="minorEastAsia" w:hAnsiTheme="minorEastAsia" w:eastAsiaTheme="minorEastAsia" w:cstheme="minorEastAsia"/>
          <w:b/>
          <w:bCs/>
          <w:sz w:val="32"/>
          <w:u w:val="single"/>
        </w:rPr>
        <w:t xml:space="preserve">                       </w:t>
      </w:r>
      <w:bookmarkStart w:id="117" w:name="_Toc5751"/>
      <w:bookmarkStart w:id="118" w:name="_Toc23858"/>
    </w:p>
    <w:p>
      <w:pPr>
        <w:autoSpaceDE w:val="0"/>
        <w:autoSpaceDN w:val="0"/>
        <w:adjustRightInd w:val="0"/>
        <w:spacing w:line="360" w:lineRule="auto"/>
        <w:ind w:firstLine="1260" w:firstLineChars="4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bookmarkEnd w:id="117"/>
    <w:bookmarkEnd w:id="118"/>
    <w:p>
      <w:pPr>
        <w:autoSpaceDE w:val="0"/>
        <w:autoSpaceDN w:val="0"/>
        <w:adjustRightInd w:val="0"/>
        <w:spacing w:line="360" w:lineRule="auto"/>
        <w:jc w:val="center"/>
        <w:rPr>
          <w:rFonts w:hint="eastAsia" w:asciiTheme="minorEastAsia" w:hAnsiTheme="minorEastAsia" w:eastAsiaTheme="minorEastAsia" w:cstheme="minorEastAsia"/>
          <w:b/>
          <w:bCs/>
          <w:sz w:val="24"/>
        </w:rPr>
      </w:pPr>
      <w:bookmarkStart w:id="119" w:name="_Toc360174584"/>
      <w:bookmarkStart w:id="120" w:name="_Toc264644272"/>
      <w:bookmarkStart w:id="121" w:name="_Toc11320441"/>
      <w:bookmarkStart w:id="122" w:name="_Toc533330957"/>
      <w:bookmarkStart w:id="123" w:name="_Toc533331084"/>
      <w:bookmarkStart w:id="124" w:name="_Toc211783342"/>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bCs/>
          <w:sz w:val="24"/>
        </w:rPr>
        <w:t>响应文件目录</w:t>
      </w:r>
      <w:bookmarkEnd w:id="119"/>
      <w:bookmarkEnd w:id="120"/>
    </w:p>
    <w:p>
      <w:pPr>
        <w:autoSpaceDE w:val="0"/>
        <w:autoSpaceDN w:val="0"/>
        <w:adjustRightInd w:val="0"/>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t>注：</w:t>
      </w:r>
      <w:r>
        <w:rPr>
          <w:rFonts w:hint="eastAsia" w:ascii="宋体" w:hAnsi="宋体" w:eastAsia="宋体" w:cs="宋体"/>
          <w:b/>
          <w:sz w:val="21"/>
          <w:szCs w:val="21"/>
          <w:lang w:val="en-US" w:eastAsia="zh-CN"/>
        </w:rPr>
        <w:t>投标</w:t>
      </w:r>
      <w:r>
        <w:rPr>
          <w:rFonts w:hint="eastAsia" w:ascii="宋体" w:hAnsi="宋体" w:eastAsia="宋体" w:cs="宋体"/>
          <w:b/>
          <w:sz w:val="21"/>
          <w:szCs w:val="21"/>
        </w:rPr>
        <w:t>文件目录及内容每页须顺序编写页码。</w:t>
      </w:r>
    </w:p>
    <w:p>
      <w:pPr>
        <w:autoSpaceDE w:val="0"/>
        <w:autoSpaceDN w:val="0"/>
        <w:adjustRightInd w:val="0"/>
        <w:spacing w:line="360" w:lineRule="auto"/>
        <w:jc w:val="center"/>
        <w:outlineLvl w:val="1"/>
        <w:rPr>
          <w:rFonts w:hint="eastAsia" w:ascii="宋体" w:hAnsi="宋体" w:eastAsia="宋体" w:cs="宋体"/>
          <w:b/>
          <w:sz w:val="21"/>
          <w:szCs w:val="21"/>
        </w:rPr>
      </w:pPr>
      <w:bookmarkStart w:id="125" w:name="_Toc26290"/>
      <w:r>
        <w:rPr>
          <w:rFonts w:hint="eastAsia" w:ascii="宋体" w:hAnsi="宋体" w:eastAsia="宋体" w:cs="宋体"/>
          <w:b/>
          <w:sz w:val="21"/>
          <w:szCs w:val="21"/>
        </w:rPr>
        <w:br w:type="textWrapping"/>
      </w:r>
      <w:r>
        <w:rPr>
          <w:rFonts w:hint="eastAsia" w:ascii="宋体" w:hAnsi="宋体" w:eastAsia="宋体" w:cs="宋体"/>
          <w:b/>
          <w:sz w:val="21"/>
          <w:szCs w:val="21"/>
        </w:rPr>
        <w:t>一</w:t>
      </w:r>
      <w:r>
        <w:rPr>
          <w:rFonts w:hint="eastAsia" w:ascii="宋体" w:hAnsi="宋体" w:eastAsia="宋体" w:cs="宋体"/>
          <w:b/>
          <w:sz w:val="21"/>
          <w:szCs w:val="21"/>
          <w:lang w:eastAsia="zh-CN"/>
        </w:rPr>
        <w:t>、</w:t>
      </w:r>
      <w:r>
        <w:rPr>
          <w:rFonts w:hint="eastAsia" w:ascii="宋体" w:hAnsi="宋体" w:eastAsia="宋体" w:cs="宋体"/>
          <w:b/>
          <w:sz w:val="21"/>
          <w:szCs w:val="21"/>
        </w:rPr>
        <w:t>评分标准索引表</w:t>
      </w:r>
      <w:bookmarkEnd w:id="125"/>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285"/>
        <w:gridCol w:w="5358"/>
        <w:gridCol w:w="825"/>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687"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lang w:val="en-US" w:eastAsia="zh-CN"/>
              </w:rPr>
            </w:pPr>
            <w:r>
              <w:rPr>
                <w:rFonts w:hint="eastAsia" w:ascii="宋体" w:hAnsi="宋体" w:eastAsia="宋体" w:cs="宋体"/>
                <w:b/>
                <w:bCs/>
                <w:color w:val="auto"/>
                <w:sz w:val="21"/>
                <w:szCs w:val="21"/>
                <w:lang w:val="en-US" w:eastAsia="zh-CN"/>
              </w:rPr>
              <w:t>类别</w:t>
            </w:r>
          </w:p>
        </w:tc>
        <w:tc>
          <w:tcPr>
            <w:tcW w:w="1285"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因素</w:t>
            </w:r>
          </w:p>
        </w:tc>
        <w:tc>
          <w:tcPr>
            <w:tcW w:w="5358"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标准</w:t>
            </w:r>
          </w:p>
        </w:tc>
        <w:tc>
          <w:tcPr>
            <w:tcW w:w="825" w:type="dxa"/>
            <w:tcBorders>
              <w:top w:val="single" w:color="auto" w:sz="12" w:space="0"/>
            </w:tcBorders>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分值</w:t>
            </w:r>
          </w:p>
        </w:tc>
        <w:tc>
          <w:tcPr>
            <w:tcW w:w="1133" w:type="dxa"/>
            <w:tcBorders>
              <w:top w:val="single" w:color="auto" w:sz="12" w:space="0"/>
            </w:tcBorders>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687" w:type="dxa"/>
            <w:noWrap w:val="0"/>
            <w:vAlign w:val="center"/>
          </w:tcPr>
          <w:p>
            <w:pPr>
              <w:widowControl/>
              <w:spacing w:line="360" w:lineRule="auto"/>
              <w:jc w:val="center"/>
              <w:textAlignment w:val="center"/>
              <w:rPr>
                <w:rFonts w:hint="eastAsia" w:ascii="宋体" w:hAnsi="宋体" w:eastAsia="宋体" w:cs="宋体"/>
                <w:spacing w:val="-6"/>
                <w:sz w:val="21"/>
                <w:szCs w:val="21"/>
              </w:rPr>
            </w:pPr>
          </w:p>
        </w:tc>
        <w:tc>
          <w:tcPr>
            <w:tcW w:w="1285" w:type="dxa"/>
            <w:noWrap w:val="0"/>
            <w:vAlign w:val="center"/>
          </w:tcPr>
          <w:p>
            <w:pPr>
              <w:widowControl/>
              <w:spacing w:line="360" w:lineRule="auto"/>
              <w:jc w:val="center"/>
              <w:textAlignment w:val="center"/>
              <w:rPr>
                <w:rFonts w:hint="eastAsia" w:ascii="宋体" w:hAnsi="宋体" w:eastAsia="宋体" w:cs="宋体"/>
                <w:spacing w:val="-6"/>
                <w:sz w:val="21"/>
                <w:szCs w:val="21"/>
              </w:rPr>
            </w:pPr>
          </w:p>
        </w:tc>
        <w:tc>
          <w:tcPr>
            <w:tcW w:w="5358" w:type="dxa"/>
            <w:noWrap w:val="0"/>
            <w:vAlign w:val="center"/>
          </w:tcPr>
          <w:p>
            <w:pPr>
              <w:widowControl/>
              <w:spacing w:line="360" w:lineRule="auto"/>
              <w:jc w:val="left"/>
              <w:textAlignment w:val="center"/>
              <w:rPr>
                <w:rFonts w:hint="eastAsia" w:ascii="宋体" w:hAnsi="宋体" w:eastAsia="宋体" w:cs="宋体"/>
                <w:sz w:val="21"/>
                <w:szCs w:val="21"/>
              </w:rPr>
            </w:pPr>
          </w:p>
        </w:tc>
        <w:tc>
          <w:tcPr>
            <w:tcW w:w="825" w:type="dxa"/>
            <w:noWrap w:val="0"/>
            <w:vAlign w:val="center"/>
          </w:tcPr>
          <w:p>
            <w:pPr>
              <w:widowControl/>
              <w:spacing w:line="360" w:lineRule="auto"/>
              <w:jc w:val="center"/>
              <w:textAlignment w:val="center"/>
              <w:rPr>
                <w:rFonts w:hint="eastAsia" w:ascii="宋体" w:hAnsi="宋体" w:eastAsia="宋体" w:cs="宋体"/>
                <w:sz w:val="21"/>
                <w:szCs w:val="21"/>
              </w:rPr>
            </w:pPr>
          </w:p>
        </w:tc>
        <w:tc>
          <w:tcPr>
            <w:tcW w:w="1133" w:type="dxa"/>
            <w:noWrap w:val="0"/>
            <w:vAlign w:val="center"/>
          </w:tcPr>
          <w:p>
            <w:pPr>
              <w:widowControl/>
              <w:spacing w:line="360" w:lineRule="auto"/>
              <w:jc w:val="center"/>
              <w:textAlignment w:val="center"/>
              <w:rPr>
                <w:rFonts w:hint="eastAsia" w:ascii="宋体" w:hAnsi="宋体" w:eastAsia="宋体" w:cs="宋体"/>
                <w:color w:val="FF0000"/>
                <w:kern w:val="0"/>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noWrap w:val="0"/>
            <w:vAlign w:val="center"/>
          </w:tcPr>
          <w:p>
            <w:pPr>
              <w:spacing w:line="360" w:lineRule="auto"/>
              <w:jc w:val="center"/>
              <w:rPr>
                <w:rFonts w:hint="eastAsia" w:ascii="宋体" w:hAnsi="宋体" w:eastAsia="宋体" w:cs="宋体"/>
                <w:spacing w:val="-6"/>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spacing w:line="360" w:lineRule="auto"/>
              <w:rPr>
                <w:rFonts w:hint="eastAsia" w:ascii="宋体" w:hAnsi="宋体" w:eastAsia="宋体" w:cs="宋体"/>
                <w:spacing w:val="-6"/>
                <w:sz w:val="21"/>
                <w:szCs w:val="21"/>
              </w:rPr>
            </w:pPr>
          </w:p>
        </w:tc>
        <w:tc>
          <w:tcPr>
            <w:tcW w:w="825" w:type="dxa"/>
            <w:noWrap w:val="0"/>
            <w:vAlign w:val="center"/>
          </w:tcPr>
          <w:p>
            <w:pPr>
              <w:spacing w:line="360" w:lineRule="auto"/>
              <w:rPr>
                <w:rFonts w:hint="eastAsia" w:ascii="宋体" w:hAnsi="宋体" w:eastAsia="宋体" w:cs="宋体"/>
                <w:spacing w:val="-6"/>
                <w:sz w:val="21"/>
                <w:szCs w:val="21"/>
              </w:rPr>
            </w:pPr>
          </w:p>
        </w:tc>
        <w:tc>
          <w:tcPr>
            <w:tcW w:w="1133" w:type="dxa"/>
            <w:noWrap w:val="0"/>
            <w:vAlign w:val="center"/>
          </w:tcPr>
          <w:p>
            <w:pPr>
              <w:spacing w:line="360" w:lineRule="auto"/>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color w:val="000000"/>
                <w:spacing w:val="-6"/>
                <w:sz w:val="21"/>
                <w:szCs w:val="21"/>
              </w:rPr>
            </w:pPr>
          </w:p>
        </w:tc>
        <w:tc>
          <w:tcPr>
            <w:tcW w:w="5358"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c>
          <w:tcPr>
            <w:tcW w:w="825"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c>
          <w:tcPr>
            <w:tcW w:w="1133"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tcBorders>
              <w:bottom w:val="single" w:color="auto" w:sz="4" w:space="0"/>
            </w:tcBorders>
            <w:noWrap w:val="0"/>
            <w:vAlign w:val="center"/>
          </w:tcPr>
          <w:p>
            <w:pPr>
              <w:spacing w:line="360" w:lineRule="auto"/>
              <w:rPr>
                <w:rFonts w:hint="eastAsia" w:ascii="宋体" w:hAnsi="宋体" w:eastAsia="宋体" w:cs="宋体"/>
                <w:spacing w:val="-6"/>
                <w:kern w:val="0"/>
                <w:sz w:val="21"/>
                <w:szCs w:val="21"/>
              </w:rPr>
            </w:pPr>
          </w:p>
        </w:tc>
        <w:tc>
          <w:tcPr>
            <w:tcW w:w="5358"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tcBorders>
              <w:top w:val="single" w:color="auto" w:sz="4" w:space="0"/>
            </w:tcBorders>
            <w:noWrap w:val="0"/>
            <w:vAlign w:val="center"/>
          </w:tcPr>
          <w:p>
            <w:pPr>
              <w:spacing w:line="360" w:lineRule="auto"/>
              <w:rPr>
                <w:rFonts w:hint="eastAsia" w:ascii="宋体" w:hAnsi="宋体" w:eastAsia="宋体" w:cs="宋体"/>
                <w:spacing w:val="-6"/>
                <w:kern w:val="0"/>
                <w:sz w:val="21"/>
                <w:szCs w:val="21"/>
              </w:rPr>
            </w:pPr>
          </w:p>
        </w:tc>
        <w:tc>
          <w:tcPr>
            <w:tcW w:w="5358"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noWrap w:val="0"/>
            <w:vAlign w:val="center"/>
          </w:tcPr>
          <w:p>
            <w:pPr>
              <w:spacing w:line="360" w:lineRule="auto"/>
              <w:jc w:val="center"/>
              <w:rPr>
                <w:rFonts w:hint="eastAsia" w:ascii="宋体" w:hAnsi="宋体" w:eastAsia="宋体" w:cs="宋体"/>
                <w:spacing w:val="-6"/>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825"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1133" w:type="dxa"/>
            <w:noWrap w:val="0"/>
            <w:vAlign w:val="center"/>
          </w:tcPr>
          <w:p>
            <w:pPr>
              <w:spacing w:line="360" w:lineRule="auto"/>
              <w:ind w:left="-4" w:leftChars="-2" w:firstLine="1" w:firstLineChars="1"/>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ind w:left="-4" w:leftChars="-2" w:firstLine="2" w:firstLineChars="1"/>
              <w:rPr>
                <w:rFonts w:hint="eastAsia" w:ascii="宋体" w:hAnsi="宋体" w:eastAsia="宋体" w:cs="宋体"/>
                <w:sz w:val="21"/>
                <w:szCs w:val="21"/>
              </w:rPr>
            </w:pPr>
          </w:p>
        </w:tc>
        <w:tc>
          <w:tcPr>
            <w:tcW w:w="1285" w:type="dxa"/>
            <w:noWrap w:val="0"/>
            <w:vAlign w:val="center"/>
          </w:tcPr>
          <w:p>
            <w:pPr>
              <w:spacing w:line="360" w:lineRule="auto"/>
              <w:ind w:left="-4" w:leftChars="-2" w:firstLine="2" w:firstLineChars="1"/>
              <w:rPr>
                <w:rFonts w:hint="eastAsia" w:ascii="宋体" w:hAnsi="宋体" w:eastAsia="宋体" w:cs="宋体"/>
                <w:sz w:val="21"/>
                <w:szCs w:val="21"/>
              </w:rPr>
            </w:pPr>
          </w:p>
        </w:tc>
        <w:tc>
          <w:tcPr>
            <w:tcW w:w="5358" w:type="dxa"/>
            <w:noWrap w:val="0"/>
            <w:vAlign w:val="center"/>
          </w:tcPr>
          <w:p>
            <w:pPr>
              <w:spacing w:line="360" w:lineRule="auto"/>
              <w:ind w:left="-4" w:leftChars="-2" w:firstLine="2" w:firstLineChars="1"/>
              <w:rPr>
                <w:rFonts w:hint="eastAsia" w:ascii="宋体" w:hAnsi="宋体" w:eastAsia="宋体" w:cs="宋体"/>
                <w:sz w:val="21"/>
                <w:szCs w:val="21"/>
              </w:rPr>
            </w:pPr>
          </w:p>
        </w:tc>
        <w:tc>
          <w:tcPr>
            <w:tcW w:w="825" w:type="dxa"/>
            <w:noWrap w:val="0"/>
            <w:vAlign w:val="center"/>
          </w:tcPr>
          <w:p>
            <w:pPr>
              <w:spacing w:line="360" w:lineRule="auto"/>
              <w:ind w:left="-4" w:leftChars="-2" w:firstLine="2" w:firstLineChars="1"/>
              <w:rPr>
                <w:rFonts w:hint="eastAsia" w:ascii="宋体" w:hAnsi="宋体" w:eastAsia="宋体" w:cs="宋体"/>
                <w:sz w:val="21"/>
                <w:szCs w:val="21"/>
              </w:rPr>
            </w:pPr>
          </w:p>
        </w:tc>
        <w:tc>
          <w:tcPr>
            <w:tcW w:w="1133" w:type="dxa"/>
            <w:noWrap w:val="0"/>
            <w:vAlign w:val="center"/>
          </w:tcPr>
          <w:p>
            <w:pPr>
              <w:spacing w:line="360" w:lineRule="auto"/>
              <w:ind w:left="-4" w:leftChars="-2" w:firstLine="2" w:firstLineChars="1"/>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c>
          <w:tcPr>
            <w:tcW w:w="825"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c>
          <w:tcPr>
            <w:tcW w:w="1133"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825"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1133" w:type="dxa"/>
            <w:noWrap w:val="0"/>
            <w:vAlign w:val="center"/>
          </w:tcPr>
          <w:p>
            <w:pPr>
              <w:spacing w:line="360" w:lineRule="auto"/>
              <w:ind w:left="-4" w:leftChars="-2" w:firstLine="1" w:firstLineChars="1"/>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rPr>
                <w:rFonts w:hint="eastAsia" w:ascii="宋体" w:hAnsi="宋体" w:eastAsia="宋体" w:cs="宋体"/>
                <w:spacing w:val="-6"/>
                <w:sz w:val="21"/>
                <w:szCs w:val="21"/>
              </w:rPr>
            </w:pPr>
          </w:p>
        </w:tc>
        <w:tc>
          <w:tcPr>
            <w:tcW w:w="825" w:type="dxa"/>
            <w:noWrap w:val="0"/>
            <w:vAlign w:val="center"/>
          </w:tcPr>
          <w:p>
            <w:pPr>
              <w:spacing w:line="360" w:lineRule="auto"/>
              <w:rPr>
                <w:rFonts w:hint="eastAsia" w:ascii="宋体" w:hAnsi="宋体" w:eastAsia="宋体" w:cs="宋体"/>
                <w:spacing w:val="-6"/>
                <w:sz w:val="21"/>
                <w:szCs w:val="21"/>
              </w:rPr>
            </w:pPr>
          </w:p>
        </w:tc>
        <w:tc>
          <w:tcPr>
            <w:tcW w:w="1133" w:type="dxa"/>
            <w:noWrap w:val="0"/>
            <w:vAlign w:val="center"/>
          </w:tcPr>
          <w:p>
            <w:pPr>
              <w:spacing w:line="360" w:lineRule="auto"/>
              <w:rPr>
                <w:rFonts w:hint="eastAsia" w:ascii="宋体" w:hAnsi="宋体" w:eastAsia="宋体" w:cs="宋体"/>
                <w:spacing w:val="-6"/>
                <w:sz w:val="21"/>
                <w:szCs w:val="21"/>
              </w:rPr>
            </w:pPr>
          </w:p>
        </w:tc>
      </w:tr>
    </w:tbl>
    <w:p>
      <w:pPr>
        <w:adjustRightInd w:val="0"/>
        <w:snapToGrid w:val="0"/>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adjustRightInd w:val="0"/>
        <w:snapToGrid w:val="0"/>
        <w:spacing w:line="480" w:lineRule="auto"/>
        <w:jc w:val="center"/>
        <w:outlineLvl w:val="1"/>
        <w:rPr>
          <w:rFonts w:hint="eastAsia" w:asciiTheme="minorEastAsia" w:hAnsiTheme="minorEastAsia" w:eastAsiaTheme="minorEastAsia" w:cstheme="minorEastAsia"/>
          <w:b/>
        </w:rPr>
      </w:pPr>
      <w:bookmarkStart w:id="126" w:name="_Toc479184125"/>
      <w:bookmarkStart w:id="127" w:name="_Toc15789"/>
      <w:bookmarkStart w:id="128" w:name="_Toc30144"/>
      <w:bookmarkStart w:id="129" w:name="_Toc6111"/>
      <w:r>
        <w:rPr>
          <w:rFonts w:hint="eastAsia" w:asciiTheme="minorEastAsia" w:hAnsiTheme="minorEastAsia" w:eastAsiaTheme="minorEastAsia" w:cstheme="minorEastAsia"/>
          <w:b/>
          <w:lang w:val="en-US" w:eastAsia="zh-CN"/>
        </w:rPr>
        <w:t>二</w:t>
      </w:r>
      <w:r>
        <w:rPr>
          <w:rFonts w:hint="eastAsia" w:asciiTheme="minorEastAsia" w:hAnsiTheme="minorEastAsia" w:eastAsiaTheme="minorEastAsia" w:cstheme="minorEastAsia"/>
          <w:b/>
        </w:rPr>
        <w:t>、磋商书</w:t>
      </w:r>
      <w:bookmarkEnd w:id="126"/>
      <w:bookmarkEnd w:id="127"/>
      <w:bookmarkEnd w:id="128"/>
      <w:bookmarkEnd w:id="129"/>
    </w:p>
    <w:p>
      <w:pPr>
        <w:pStyle w:val="20"/>
        <w:rPr>
          <w:rFonts w:hint="eastAsia" w:asciiTheme="minorEastAsia" w:hAnsiTheme="minorEastAsia" w:eastAsiaTheme="minorEastAsia" w:cstheme="minorEastAsia"/>
          <w:b/>
          <w:szCs w:val="21"/>
        </w:rPr>
      </w:pPr>
    </w:p>
    <w:p>
      <w:pPr>
        <w:autoSpaceDE w:val="0"/>
        <w:autoSpaceDN w:val="0"/>
        <w:adjustRightIn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u w:val="single"/>
        </w:rPr>
        <w:t>（政府采购代理机构）：</w:t>
      </w:r>
    </w:p>
    <w:p>
      <w:pPr>
        <w:autoSpaceDE w:val="0"/>
        <w:autoSpaceDN w:val="0"/>
        <w:adjustRightInd w:val="0"/>
        <w:ind w:left="2" w:firstLine="462" w:firstLineChars="2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依据贵方（项目名称/</w:t>
      </w:r>
      <w:r>
        <w:rPr>
          <w:rFonts w:hint="eastAsia" w:asciiTheme="minorEastAsia" w:hAnsiTheme="minorEastAsia" w:eastAsiaTheme="minorEastAsia" w:cstheme="minorEastAsia"/>
          <w:kern w:val="0"/>
          <w:szCs w:val="21"/>
          <w:lang w:val="en-US" w:eastAsia="zh-CN"/>
        </w:rPr>
        <w:t>项目</w:t>
      </w:r>
      <w:r>
        <w:rPr>
          <w:rFonts w:hint="eastAsia" w:asciiTheme="minorEastAsia" w:hAnsiTheme="minorEastAsia" w:eastAsiaTheme="minorEastAsia" w:cstheme="minorEastAsia"/>
          <w:kern w:val="0"/>
          <w:szCs w:val="21"/>
        </w:rPr>
        <w:t>编号）项目第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包</w:t>
      </w:r>
      <w:r>
        <w:rPr>
          <w:rFonts w:hint="eastAsia" w:asciiTheme="minorEastAsia" w:hAnsiTheme="minorEastAsia" w:eastAsiaTheme="minorEastAsia" w:cstheme="minorEastAsia"/>
          <w:kern w:val="0"/>
          <w:szCs w:val="21"/>
          <w:lang w:val="en-US" w:eastAsia="zh-CN"/>
        </w:rPr>
        <w:t>工程</w:t>
      </w:r>
      <w:r>
        <w:rPr>
          <w:rFonts w:hint="eastAsia" w:asciiTheme="minorEastAsia" w:hAnsiTheme="minorEastAsia" w:eastAsiaTheme="minorEastAsia" w:cstheme="minorEastAsia"/>
          <w:kern w:val="0"/>
          <w:szCs w:val="21"/>
        </w:rPr>
        <w:t>的磋商邀请，我方代表（姓名、职务）经正式授权并代表供应商（供应商的名称、地址）提交下述文件正本一份，副本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numPr>
          <w:ilvl w:val="1"/>
          <w:numId w:val="39"/>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竞争性磋商响应文件；</w:t>
      </w:r>
    </w:p>
    <w:p>
      <w:pPr>
        <w:numPr>
          <w:ilvl w:val="1"/>
          <w:numId w:val="39"/>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p>
      <w:pPr>
        <w:numPr>
          <w:ilvl w:val="1"/>
          <w:numId w:val="39"/>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按采购的规定递交</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元（人民币大写）的保证金</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如有</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并进行如下承诺声明：</w:t>
      </w:r>
    </w:p>
    <w:p>
      <w:pPr>
        <w:numPr>
          <w:ilvl w:val="0"/>
          <w:numId w:val="40"/>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我公司在参加本次政府采购活动前</w:t>
      </w:r>
      <w:r>
        <w:rPr>
          <w:rFonts w:hint="eastAsia" w:asciiTheme="minorEastAsia" w:hAnsiTheme="minorEastAsia" w:eastAsiaTheme="minorEastAsia" w:cstheme="minorEastAsia"/>
          <w:kern w:val="0"/>
          <w:szCs w:val="21"/>
        </w:rPr>
        <w:t>3年内在经营活动中没有重大违法记录；</w:t>
      </w:r>
    </w:p>
    <w:p>
      <w:pPr>
        <w:numPr>
          <w:ilvl w:val="0"/>
          <w:numId w:val="40"/>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我公司在本响应文件中所提供的全部资格证明文件均真实有效，我方承诺对其真实性负责并承担相应后果；</w:t>
      </w:r>
    </w:p>
    <w:p>
      <w:pPr>
        <w:numPr>
          <w:ilvl w:val="0"/>
          <w:numId w:val="40"/>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我公司在本响应文件中所响应的内容均将成为签订合同的依据，并承诺按响应内容提供相应服务；</w:t>
      </w:r>
    </w:p>
    <w:p>
      <w:pPr>
        <w:numPr>
          <w:ilvl w:val="0"/>
          <w:numId w:val="40"/>
        </w:numPr>
        <w:tabs>
          <w:tab w:val="left" w:pos="840"/>
        </w:tabs>
        <w:autoSpaceDE w:val="0"/>
        <w:autoSpaceDN w:val="0"/>
        <w:adjustRightInd w:val="0"/>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重要声明：</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4.1</w:t>
      </w:r>
      <w:r>
        <w:rPr>
          <w:rFonts w:hint="eastAsia" w:asciiTheme="minorEastAsia" w:hAnsiTheme="minorEastAsia" w:eastAsiaTheme="minorEastAsia" w:cstheme="minorEastAsia"/>
          <w:b w:val="0"/>
          <w:bCs w:val="0"/>
          <w:lang w:val="en-US" w:eastAsia="zh-CN"/>
        </w:rPr>
        <w:t>与我方单位负责人为同一人的其他单位名称：□无；□有，具体单位名称为：</w:t>
      </w:r>
      <w:r>
        <w:rPr>
          <w:rFonts w:hint="eastAsia" w:asciiTheme="minorEastAsia" w:hAnsiTheme="minorEastAsia" w:eastAsiaTheme="minorEastAsia" w:cstheme="minorEastAsia"/>
          <w:b w:val="0"/>
          <w:bCs w:val="0"/>
          <w:u w:val="single"/>
          <w:lang w:val="en-US" w:eastAsia="zh-CN"/>
        </w:rPr>
        <w:t>     </w:t>
      </w:r>
      <w:r>
        <w:rPr>
          <w:rFonts w:hint="eastAsia" w:asciiTheme="minorEastAsia" w:hAnsiTheme="minorEastAsia" w:eastAsiaTheme="minorEastAsia" w:cstheme="minorEastAsia"/>
          <w:b w:val="0"/>
          <w:bCs w:val="0"/>
          <w:lang w:val="en-US" w:eastAsia="zh-CN"/>
        </w:rPr>
        <w:t xml:space="preserve">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4.2与我方存在控股、管理关系的其他单位的名称：□无；□有，具体单位名称为：</w:t>
      </w:r>
      <w:r>
        <w:rPr>
          <w:rFonts w:hint="eastAsia" w:asciiTheme="minorEastAsia" w:hAnsiTheme="minorEastAsia" w:eastAsiaTheme="minorEastAsia" w:cstheme="minorEastAsia"/>
          <w:b w:val="0"/>
          <w:bCs w:val="0"/>
          <w:u w:val="single"/>
          <w:lang w:val="en-US" w:eastAsia="zh-CN"/>
        </w:rPr>
        <w:t>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b w:val="0"/>
          <w:bCs w:val="0"/>
          <w:u w:val="single"/>
          <w:lang w:val="en-US" w:eastAsia="zh-CN"/>
        </w:rPr>
        <w:t>     </w:t>
      </w:r>
    </w:p>
    <w:p>
      <w:pPr>
        <w:outlineLvl w:val="9"/>
        <w:rPr>
          <w:rFonts w:hint="eastAsia"/>
          <w:lang w:val="en-US" w:eastAsia="zh-CN"/>
        </w:rPr>
      </w:pPr>
      <w:r>
        <w:rPr>
          <w:rFonts w:hint="eastAsia" w:asciiTheme="minorEastAsia" w:hAnsiTheme="minorEastAsia" w:eastAsiaTheme="minorEastAsia" w:cstheme="minorEastAsia"/>
          <w:b/>
          <w:bCs/>
          <w:lang w:val="en-US" w:eastAsia="zh-CN"/>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在此，我方宣布同意如下：</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所附《报价一览表》中规定的应提交和交付的货物报价总价为</w:t>
      </w:r>
      <w:r>
        <w:rPr>
          <w:rFonts w:hint="eastAsia" w:asciiTheme="minorEastAsia" w:hAnsiTheme="minorEastAsia" w:eastAsiaTheme="minorEastAsia" w:cstheme="minorEastAsia"/>
          <w:kern w:val="0"/>
          <w:szCs w:val="21"/>
          <w:u w:val="single"/>
        </w:rPr>
        <w:t>（注明币种，并用文字和数字表示的报价总价）</w:t>
      </w:r>
      <w:r>
        <w:rPr>
          <w:rFonts w:hint="eastAsia" w:asciiTheme="minorEastAsia" w:hAnsiTheme="minorEastAsia" w:eastAsiaTheme="minorEastAsia" w:cstheme="minorEastAsia"/>
          <w:kern w:val="0"/>
          <w:szCs w:val="21"/>
        </w:rPr>
        <w:t>。</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将按竞争性磋商采购文件的约定履行合同责任和义务。</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已详细审查全部竞争性磋商采购文件，包括</w:t>
      </w:r>
      <w:r>
        <w:rPr>
          <w:rFonts w:hint="eastAsia" w:asciiTheme="minorEastAsia" w:hAnsiTheme="minorEastAsia" w:eastAsiaTheme="minorEastAsia" w:cstheme="minorEastAsia"/>
          <w:kern w:val="0"/>
          <w:szCs w:val="21"/>
          <w:u w:val="single"/>
        </w:rPr>
        <w:t>（补充文件等）</w:t>
      </w:r>
      <w:r>
        <w:rPr>
          <w:rFonts w:hint="eastAsia" w:asciiTheme="minorEastAsia" w:hAnsiTheme="minorEastAsia" w:eastAsiaTheme="minorEastAsia" w:cstheme="minorEastAsia"/>
          <w:kern w:val="0"/>
          <w:szCs w:val="21"/>
        </w:rPr>
        <w:t>，对此无异议。</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本竞争性磋商响应文件的有效期自磋商截止时间起共</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rPr>
        <w:t>日历天</w:t>
      </w:r>
      <w:r>
        <w:rPr>
          <w:rFonts w:hint="eastAsia" w:asciiTheme="minorEastAsia" w:hAnsiTheme="minorEastAsia" w:eastAsiaTheme="minorEastAsia" w:cstheme="minorEastAsia"/>
          <w:kern w:val="0"/>
          <w:szCs w:val="21"/>
          <w:lang w:eastAsia="zh-CN"/>
        </w:rPr>
        <w:t>。</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接收竞争性磋商采购文件中关于没收保证金的约定。</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同意提供按照贵方可能要求的与其报价有关的一切数据或资料。</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与本报价有关的一切正式往来信函请寄：</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    应    商：（</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  讯  地  址：</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子  函  件：</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签字</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p>
    <w:p>
      <w:pPr>
        <w:tabs>
          <w:tab w:val="left" w:pos="540"/>
        </w:tabs>
        <w:autoSpaceDE w:val="0"/>
        <w:autoSpaceDN w:val="0"/>
        <w:adjustRightInd w:val="0"/>
        <w:jc w:val="center"/>
        <w:outlineLvl w:val="1"/>
        <w:rPr>
          <w:rFonts w:hint="eastAsia" w:asciiTheme="minorEastAsia" w:hAnsiTheme="minorEastAsia" w:eastAsiaTheme="minorEastAsia" w:cstheme="minorEastAsia"/>
          <w:b/>
        </w:rPr>
      </w:pPr>
      <w:bookmarkStart w:id="130" w:name="_Toc13969"/>
      <w:bookmarkStart w:id="131" w:name="_Toc15196"/>
      <w:bookmarkStart w:id="132" w:name="_Toc479184126"/>
      <w:bookmarkStart w:id="133" w:name="_Toc24205"/>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t>三</w:t>
      </w:r>
      <w:r>
        <w:rPr>
          <w:rFonts w:hint="eastAsia" w:asciiTheme="minorEastAsia" w:hAnsiTheme="minorEastAsia" w:eastAsiaTheme="minorEastAsia" w:cstheme="minorEastAsia"/>
          <w:b/>
        </w:rPr>
        <w:t>、法定代表人授权书</w:t>
      </w:r>
      <w:bookmarkEnd w:id="130"/>
      <w:bookmarkEnd w:id="131"/>
      <w:bookmarkEnd w:id="132"/>
      <w:bookmarkEnd w:id="133"/>
    </w:p>
    <w:p>
      <w:pPr>
        <w:rPr>
          <w:rFonts w:hint="eastAsia" w:asciiTheme="minorEastAsia" w:hAnsiTheme="minorEastAsia" w:eastAsiaTheme="minorEastAsia" w:cstheme="minorEastAsia"/>
          <w:kern w:val="0"/>
          <w:szCs w:val="21"/>
        </w:rPr>
      </w:pPr>
    </w:p>
    <w:p>
      <w:pPr>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兹授权</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同志为我公司参加贵单位组织的</w:t>
      </w:r>
      <w:r>
        <w:rPr>
          <w:rFonts w:hint="eastAsia" w:asciiTheme="minorEastAsia" w:hAnsiTheme="minorEastAsia" w:eastAsiaTheme="minorEastAsia" w:cstheme="minorEastAsia"/>
          <w:kern w:val="0"/>
          <w:szCs w:val="21"/>
          <w:u w:val="single"/>
        </w:rPr>
        <w:t>（项目名称）</w:t>
      </w:r>
      <w:r>
        <w:rPr>
          <w:rFonts w:hint="eastAsia" w:asciiTheme="minorEastAsia" w:hAnsiTheme="minorEastAsia" w:eastAsiaTheme="minorEastAsia" w:cstheme="minorEastAsia"/>
          <w:kern w:val="0"/>
          <w:szCs w:val="21"/>
        </w:rPr>
        <w:t>采购活动的供应商代表人（磋商代表），全权代表我公司处理在该项目采购活动中的一切事宜。代理期限从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日起至</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日止。</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授权单位（</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签发日期：</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日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附：</w:t>
      </w:r>
      <w:r>
        <w:rPr>
          <w:rFonts w:hint="eastAsia" w:asciiTheme="minorEastAsia" w:hAnsiTheme="minorEastAsia" w:eastAsiaTheme="minorEastAsia" w:cstheme="minorEastAsia"/>
          <w:kern w:val="0"/>
          <w:szCs w:val="21"/>
          <w:u w:val="single"/>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u w:val="single"/>
          <w:lang w:val="en-US" w:eastAsia="zh-CN"/>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职务：</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rPr>
                <w:rFonts w:hint="eastAsia"/>
              </w:rPr>
            </w:pPr>
            <w:r>
              <w:rPr>
                <w:rFonts w:hint="eastAsia"/>
                <w:lang w:val="en-US" w:eastAsia="zh-CN"/>
              </w:rPr>
              <w:t>授权代表</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p>
            <w:pPr>
              <w:autoSpaceDE w:val="0"/>
              <w:autoSpaceDN w:val="0"/>
              <w:adjustRightInd w:val="0"/>
              <w:spacing w:line="360" w:lineRule="auto"/>
              <w:jc w:val="left"/>
              <w:rPr>
                <w:rFonts w:hint="eastAsia"/>
              </w:rPr>
            </w:pPr>
            <w:r>
              <w:rPr>
                <w:rFonts w:hint="eastAsia"/>
                <w:lang w:val="en-US" w:eastAsia="zh-CN"/>
              </w:rPr>
              <w:t>法定代表</w:t>
            </w:r>
            <w:r>
              <w:rPr>
                <w:rFonts w:hint="eastAsia"/>
              </w:rPr>
              <w:t>人身份证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rPr>
                <w:rFonts w:hint="eastAsia"/>
              </w:rPr>
            </w:pPr>
            <w:r>
              <w:rPr>
                <w:rFonts w:hint="eastAsia"/>
                <w:b/>
                <w:bCs/>
              </w:rPr>
              <w:t>注：如法定代表人直接参加磋商并签署响应文件，无须提供本授权书。</w:t>
            </w:r>
          </w:p>
        </w:tc>
      </w:tr>
    </w:tbl>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34" w:name="_Toc14020"/>
      <w:bookmarkStart w:id="135" w:name="_Toc29143"/>
      <w:bookmarkStart w:id="136" w:name="_Toc432149008"/>
      <w:bookmarkStart w:id="137" w:name="_Toc479184127"/>
      <w:bookmarkStart w:id="138" w:name="_Toc360120184"/>
      <w:bookmarkStart w:id="139" w:name="_Toc30245"/>
      <w:bookmarkStart w:id="140" w:name="_Toc424832832"/>
      <w:bookmarkStart w:id="141" w:name="_Toc29904"/>
      <w:r>
        <w:rPr>
          <w:rFonts w:hint="eastAsia" w:asciiTheme="minorEastAsia" w:hAnsiTheme="minorEastAsia" w:eastAsiaTheme="minorEastAsia" w:cstheme="minorEastAsia"/>
          <w:b/>
          <w:bCs/>
          <w:kern w:val="0"/>
          <w:szCs w:val="21"/>
          <w:lang w:val="en-US" w:eastAsia="zh-CN"/>
        </w:rPr>
        <w:br w:type="textWrapping"/>
      </w:r>
      <w:r>
        <w:rPr>
          <w:rFonts w:hint="eastAsia" w:asciiTheme="minorEastAsia" w:hAnsiTheme="minorEastAsia" w:eastAsiaTheme="minorEastAsia" w:cstheme="minorEastAsia"/>
          <w:b/>
          <w:bCs/>
          <w:kern w:val="0"/>
          <w:szCs w:val="21"/>
          <w:lang w:val="en-US" w:eastAsia="zh-CN"/>
        </w:rPr>
        <w:br w:type="textWrapping"/>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法定代表人身份证明书</w:t>
      </w:r>
      <w:bookmarkEnd w:id="134"/>
      <w:bookmarkEnd w:id="135"/>
      <w:bookmarkEnd w:id="136"/>
      <w:bookmarkEnd w:id="137"/>
      <w:bookmarkEnd w:id="138"/>
      <w:bookmarkEnd w:id="139"/>
      <w:bookmarkEnd w:id="140"/>
      <w:bookmarkEnd w:id="141"/>
    </w:p>
    <w:p>
      <w:pPr>
        <w:spacing w:line="360" w:lineRule="auto"/>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兹证明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（姓名）</w:t>
      </w:r>
      <w:r>
        <w:rPr>
          <w:rFonts w:hint="eastAsia" w:asciiTheme="minorEastAsia" w:hAnsiTheme="minorEastAsia" w:eastAsiaTheme="minorEastAsia" w:cstheme="minorEastAsia"/>
          <w:szCs w:val="21"/>
        </w:rPr>
        <w:t>在我单位任</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kern w:val="0"/>
          <w:szCs w:val="21"/>
        </w:rPr>
        <w:t>，系</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（供应商）的法定代表人。</w:t>
      </w:r>
    </w:p>
    <w:p>
      <w:pPr>
        <w:spacing w:line="360" w:lineRule="auto"/>
        <w:ind w:firstLine="630" w:firstLineChars="300"/>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供应商（盖章）：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w:t>
      </w:r>
      <w:r>
        <w:rPr>
          <w:rFonts w:hint="eastAsia" w:asciiTheme="minorEastAsia" w:hAnsiTheme="minorEastAsia" w:eastAsiaTheme="minorEastAsia" w:cstheme="minorEastAsia"/>
          <w:kern w:val="0"/>
          <w:szCs w:val="21"/>
          <w:lang w:val="en-US" w:eastAsia="zh-CN"/>
        </w:rPr>
        <w:t>签字或盖</w:t>
      </w:r>
      <w:r>
        <w:rPr>
          <w:rFonts w:hint="eastAsia" w:asciiTheme="minorEastAsia" w:hAnsiTheme="minorEastAsia" w:eastAsiaTheme="minorEastAsia" w:cstheme="minorEastAsia"/>
          <w:kern w:val="0"/>
          <w:szCs w:val="21"/>
        </w:rPr>
        <w:t>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年龄：</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p>
    <w:p>
      <w:pPr>
        <w:spacing w:line="360" w:lineRule="auto"/>
        <w:ind w:firstLine="5985" w:firstLineChars="285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w:t>
      </w: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r>
              <w:rPr>
                <w:rFonts w:hint="eastAsia"/>
              </w:rPr>
              <w:t>粘贴</w:t>
            </w:r>
            <w:r>
              <w:rPr>
                <w:rFonts w:hint="eastAsia"/>
                <w:lang w:val="en-US" w:eastAsia="zh-CN"/>
              </w:rPr>
              <w:t>法定代表人</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bl>
    <w:p>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注：本表适用于供应商不授权代理人，而由法定代表人直接参加磋商并签署响应文件的情况；</w:t>
      </w:r>
    </w:p>
    <w:p>
      <w:pPr>
        <w:rPr>
          <w:rFonts w:hint="eastAsia" w:asciiTheme="minorEastAsia" w:hAnsiTheme="minorEastAsia" w:eastAsiaTheme="minorEastAsia" w:cstheme="minorEastAsia"/>
          <w:b/>
          <w:kern w:val="0"/>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bCs/>
          <w:szCs w:val="21"/>
        </w:rPr>
      </w:pPr>
    </w:p>
    <w:p>
      <w:pPr>
        <w:tabs>
          <w:tab w:val="left" w:pos="3969"/>
        </w:tabs>
        <w:spacing w:line="500" w:lineRule="exact"/>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42" w:name="_Toc422466732"/>
      <w:bookmarkStart w:id="143" w:name="_Toc432149006"/>
      <w:r>
        <w:rPr>
          <w:rFonts w:hint="eastAsia" w:asciiTheme="minorEastAsia" w:hAnsiTheme="minorEastAsia" w:eastAsiaTheme="minorEastAsia" w:cstheme="minorEastAsia"/>
          <w:b/>
          <w:bCs/>
          <w:sz w:val="24"/>
        </w:rPr>
        <w:br w:type="page"/>
      </w:r>
      <w:bookmarkStart w:id="144" w:name="_Toc4741"/>
      <w:bookmarkStart w:id="145" w:name="_Toc479184128"/>
      <w:bookmarkStart w:id="146" w:name="_Toc4301"/>
      <w:bookmarkStart w:id="147" w:name="_Toc12835"/>
      <w:r>
        <w:rPr>
          <w:rFonts w:hint="eastAsia" w:asciiTheme="minorEastAsia" w:hAnsiTheme="minorEastAsia" w:eastAsiaTheme="minorEastAsia" w:cstheme="minorEastAsia"/>
          <w:b/>
          <w:bCs/>
          <w:szCs w:val="21"/>
          <w:lang w:val="en-US" w:eastAsia="zh-CN"/>
        </w:rPr>
        <w:t>五</w:t>
      </w:r>
      <w:r>
        <w:rPr>
          <w:rFonts w:hint="eastAsia" w:asciiTheme="minorEastAsia" w:hAnsiTheme="minorEastAsia" w:eastAsiaTheme="minorEastAsia" w:cstheme="minorEastAsia"/>
          <w:b/>
          <w:bCs/>
          <w:szCs w:val="21"/>
        </w:rPr>
        <w:t>、报价一览表</w:t>
      </w:r>
      <w:bookmarkEnd w:id="142"/>
      <w:bookmarkEnd w:id="143"/>
      <w:bookmarkEnd w:id="144"/>
      <w:bookmarkEnd w:id="145"/>
      <w:bookmarkEnd w:id="146"/>
      <w:bookmarkEnd w:id="147"/>
    </w:p>
    <w:p>
      <w:pPr>
        <w:adjustRightInd w:val="0"/>
        <w:snapToGrid w:val="0"/>
        <w:ind w:left="-88" w:leftChars="-4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bl>
      <w:tblPr>
        <w:tblStyle w:val="26"/>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宋体" w:hAnsi="宋体"/>
                <w:szCs w:val="21"/>
                <w:lang w:val="en-US" w:eastAsia="zh-CN"/>
              </w:rPr>
              <w:t>供应商</w:t>
            </w:r>
            <w:r>
              <w:rPr>
                <w:rFonts w:hint="eastAsia" w:ascii="宋体" w:hAnsi="宋体"/>
                <w:szCs w:val="21"/>
              </w:rPr>
              <w:t>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lang w:val="en-US" w:eastAsia="zh-CN"/>
              </w:rPr>
              <w:t>竞标</w:t>
            </w:r>
            <w:r>
              <w:rPr>
                <w:rFonts w:hint="eastAsia" w:asciiTheme="minorEastAsia" w:hAnsiTheme="minorEastAsia" w:eastAsiaTheme="minorEastAsia" w:cstheme="minorEastAsia"/>
                <w:bCs/>
                <w:szCs w:val="21"/>
              </w:rPr>
              <w:t>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color w:val="FF0000"/>
                <w:sz w:val="21"/>
                <w:szCs w:val="21"/>
                <w:u w:val="single"/>
                <w:lang w:val="en-US" w:eastAsia="zh-CN"/>
              </w:rPr>
              <w:t>大写：</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val="en-US" w:eastAsia="zh-CN"/>
              </w:rPr>
              <w:t xml:space="preserve">  </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u w:val="single"/>
                <w:lang w:val="en-US" w:eastAsia="zh-CN"/>
              </w:rPr>
              <w:t>小写：</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val="en-US" w:eastAsia="zh-CN"/>
              </w:rPr>
              <w:t xml:space="preserve">  </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工</w:t>
            </w:r>
            <w:r>
              <w:rPr>
                <w:rFonts w:hint="eastAsia" w:asciiTheme="minorEastAsia" w:hAnsiTheme="minorEastAsia" w:eastAsiaTheme="minorEastAsia" w:cstheme="minorEastAsia"/>
                <w:szCs w:val="21"/>
              </w:rPr>
              <w:t>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工程质量标准</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r>
              <w:rPr>
                <w:rFonts w:hint="eastAsia"/>
                <w:lang w:val="en-US" w:eastAsia="zh-CN"/>
              </w:rPr>
              <w:t>项目经理</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r>
              <w:rPr>
                <w:rFonts w:hint="eastAsia"/>
                <w:lang w:val="en-US" w:eastAsia="zh-CN"/>
              </w:rPr>
              <w:t>姓名：</w:t>
            </w:r>
            <w:r>
              <w:rPr>
                <w:rFonts w:hint="eastAsia"/>
                <w:lang w:val="en-US" w:eastAsia="zh-CN"/>
              </w:rPr>
              <w:br w:type="textWrapping"/>
            </w:r>
            <w:r>
              <w:rPr>
                <w:rFonts w:hint="eastAsia"/>
                <w:lang w:val="en-US" w:eastAsia="zh-CN"/>
              </w:rPr>
              <w:t>身份证号：</w:t>
            </w:r>
            <w:r>
              <w:rPr>
                <w:rFonts w:hint="eastAsia"/>
                <w:lang w:val="en-US" w:eastAsia="zh-CN"/>
              </w:rPr>
              <w:br w:type="textWrapping"/>
            </w:r>
            <w:r>
              <w:rPr>
                <w:rFonts w:hint="eastAsia"/>
                <w:lang w:val="en-US" w:eastAsia="zh-CN"/>
              </w:rPr>
              <w:t>注册类型及等级：</w:t>
            </w:r>
            <w:r>
              <w:rPr>
                <w:rFonts w:hint="eastAsia"/>
                <w:lang w:val="en-US" w:eastAsia="zh-CN"/>
              </w:rPr>
              <w:br w:type="textWrapping"/>
            </w:r>
            <w:r>
              <w:rPr>
                <w:rFonts w:hint="eastAsia"/>
                <w:lang w:val="en-US" w:eastAsia="zh-CN"/>
              </w:rPr>
              <w:t>注册证书编号：</w:t>
            </w:r>
            <w:r>
              <w:rPr>
                <w:rFonts w:hint="eastAsia"/>
                <w:lang w:val="en-US" w:eastAsia="zh-CN"/>
              </w:rPr>
              <w:br w:type="textWrapping"/>
            </w:r>
            <w:r>
              <w:rPr>
                <w:rFonts w:hint="eastAsia"/>
                <w:lang w:val="en-US" w:eastAsia="zh-CN"/>
              </w:rPr>
              <w:t>注册专业及有效期：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人民币报价。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（2）价格应按照“供应商须知” 的要求报价。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（3）此表除保留在竞争性磋商响应文件中外，另复制一份与法定代表人授权书（原件）、保证金缴纳证明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（复印件）及报价优惠声明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一起另外密封装在一个小信封中，作为</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记录之用。</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lang w:val="en-US" w:eastAsia="zh-CN"/>
        </w:rPr>
      </w:pPr>
      <w:bookmarkStart w:id="148" w:name="_Toc259028723"/>
      <w:bookmarkStart w:id="149" w:name="_Toc460258117"/>
      <w:bookmarkStart w:id="150" w:name="_Toc424832831"/>
      <w:bookmarkStart w:id="151" w:name="_Toc432149007"/>
      <w:r>
        <w:rPr>
          <w:rFonts w:hint="eastAsia" w:asciiTheme="minorEastAsia" w:hAnsiTheme="minorEastAsia" w:eastAsiaTheme="minorEastAsia" w:cstheme="minorEastAsia"/>
          <w:b/>
          <w:bCs/>
          <w:sz w:val="24"/>
        </w:rPr>
        <w:br w:type="page"/>
      </w:r>
      <w:bookmarkStart w:id="152" w:name="_Toc18559"/>
      <w:bookmarkStart w:id="153" w:name="_Toc479184129"/>
      <w:bookmarkStart w:id="154" w:name="_Toc1079"/>
      <w:bookmarkStart w:id="155" w:name="_Toc22962"/>
      <w:r>
        <w:rPr>
          <w:rFonts w:hint="eastAsia" w:asciiTheme="minorEastAsia" w:hAnsiTheme="minorEastAsia" w:eastAsiaTheme="minorEastAsia" w:cstheme="minorEastAsia"/>
          <w:b/>
          <w:bCs/>
          <w:szCs w:val="21"/>
          <w:lang w:val="en-US" w:eastAsia="zh-CN"/>
        </w:rPr>
        <w:t>六</w:t>
      </w:r>
      <w:r>
        <w:rPr>
          <w:rFonts w:hint="eastAsia" w:asciiTheme="minorEastAsia" w:hAnsiTheme="minorEastAsia" w:eastAsiaTheme="minorEastAsia" w:cstheme="minorEastAsia"/>
          <w:b/>
          <w:bCs/>
          <w:szCs w:val="21"/>
        </w:rPr>
        <w:t>、</w:t>
      </w:r>
      <w:bookmarkEnd w:id="148"/>
      <w:bookmarkEnd w:id="149"/>
      <w:bookmarkEnd w:id="152"/>
      <w:bookmarkEnd w:id="153"/>
      <w:bookmarkEnd w:id="154"/>
      <w:r>
        <w:rPr>
          <w:rFonts w:hint="eastAsia" w:asciiTheme="minorEastAsia" w:hAnsiTheme="minorEastAsia" w:eastAsiaTheme="minorEastAsia" w:cstheme="minorEastAsia"/>
          <w:b/>
          <w:bCs/>
          <w:szCs w:val="21"/>
          <w:lang w:val="en-US" w:eastAsia="zh-CN"/>
        </w:rPr>
        <w:t>竞标</w:t>
      </w:r>
      <w:r>
        <w:rPr>
          <w:rFonts w:hint="eastAsia" w:asciiTheme="minorEastAsia" w:hAnsiTheme="minorEastAsia" w:eastAsiaTheme="minorEastAsia" w:cstheme="minorEastAsia"/>
          <w:b/>
          <w:bCs/>
          <w:szCs w:val="21"/>
          <w:lang w:eastAsia="zh-CN"/>
        </w:rPr>
        <w:t>分项报价表</w:t>
      </w:r>
      <w:bookmarkEnd w:id="155"/>
    </w:p>
    <w:p>
      <w:pPr>
        <w:adjustRightInd w:val="0"/>
        <w:snapToGrid w:val="0"/>
        <w:rPr>
          <w:rFonts w:hint="eastAsia" w:asciiTheme="minorEastAsia" w:hAnsiTheme="minorEastAsia" w:eastAsiaTheme="minorEastAsia" w:cstheme="minorEastAsia"/>
          <w:b/>
          <w:szCs w:val="21"/>
        </w:rPr>
      </w:pP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各供应商按照工程量清单的形式进行报价。</w:t>
      </w:r>
    </w:p>
    <w:p>
      <w:pPr>
        <w:spacing w:line="360" w:lineRule="auto"/>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56" w:name="_Toc26825"/>
      <w:bookmarkStart w:id="157" w:name="_Toc479184130"/>
      <w:bookmarkStart w:id="158" w:name="_Toc11947"/>
      <w:bookmarkStart w:id="159" w:name="_Toc28656"/>
      <w:r>
        <w:rPr>
          <w:rFonts w:hint="eastAsia" w:asciiTheme="minorEastAsia" w:hAnsiTheme="minorEastAsia" w:eastAsiaTheme="minorEastAsia" w:cstheme="minorEastAsia"/>
          <w:b/>
          <w:bCs/>
          <w:szCs w:val="21"/>
          <w:lang w:val="en-US" w:eastAsia="zh-CN"/>
        </w:rPr>
        <w:t>七</w:t>
      </w:r>
      <w:r>
        <w:rPr>
          <w:rFonts w:hint="eastAsia" w:asciiTheme="minorEastAsia" w:hAnsiTheme="minorEastAsia" w:eastAsiaTheme="minorEastAsia" w:cstheme="minorEastAsia"/>
          <w:b/>
          <w:bCs/>
          <w:szCs w:val="21"/>
        </w:rPr>
        <w:t>、耗材清单</w:t>
      </w:r>
      <w:bookmarkEnd w:id="156"/>
      <w:bookmarkEnd w:id="157"/>
      <w:bookmarkEnd w:id="158"/>
      <w:bookmarkEnd w:id="159"/>
    </w:p>
    <w:p>
      <w:pPr>
        <w:adjustRightInd w:val="0"/>
        <w:snapToGrid w:val="0"/>
        <w:rPr>
          <w:rFonts w:hint="eastAsia" w:asciiTheme="minorEastAsia" w:hAnsiTheme="minorEastAsia" w:eastAsiaTheme="minorEastAsia" w:cstheme="minorEastAsia"/>
          <w:b/>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耗材名称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outlineLvl w:val="9"/>
        <w:rPr>
          <w:rFonts w:hint="eastAsia"/>
        </w:rPr>
      </w:pP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60" w:name="_Toc17091"/>
      <w:bookmarkStart w:id="161" w:name="_Toc7535"/>
      <w:bookmarkStart w:id="162" w:name="_Toc479184131"/>
      <w:bookmarkStart w:id="163" w:name="_Toc32726"/>
      <w:r>
        <w:rPr>
          <w:rFonts w:hint="eastAsia" w:asciiTheme="minorEastAsia" w:hAnsiTheme="minorEastAsia" w:eastAsiaTheme="minorEastAsia" w:cstheme="minorEastAsia"/>
          <w:b/>
          <w:bCs/>
          <w:szCs w:val="21"/>
          <w:lang w:val="en-US" w:eastAsia="zh-CN"/>
        </w:rPr>
        <w:t>八、拟投入设备/备件、工具情况</w:t>
      </w:r>
      <w:bookmarkEnd w:id="160"/>
      <w:bookmarkEnd w:id="161"/>
      <w:bookmarkEnd w:id="162"/>
      <w:bookmarkEnd w:id="163"/>
    </w:p>
    <w:p>
      <w:pPr>
        <w:spacing w:line="360" w:lineRule="auto"/>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设备</w:t>
            </w:r>
            <w:r>
              <w:rPr>
                <w:rFonts w:hint="eastAsia" w:asciiTheme="minorEastAsia" w:hAnsiTheme="minorEastAsia" w:eastAsiaTheme="minorEastAsia" w:cstheme="minorEastAsia"/>
                <w:b/>
                <w:bCs/>
                <w:szCs w:val="21"/>
                <w:lang w:val="en-US" w:eastAsia="zh-CN"/>
              </w:rPr>
              <w:t>/备件</w:t>
            </w:r>
            <w:r>
              <w:rPr>
                <w:rFonts w:hint="eastAsia" w:asciiTheme="minorEastAsia" w:hAnsiTheme="minorEastAsia" w:eastAsiaTheme="minorEastAsia" w:cstheme="minorEastAsia"/>
                <w:b/>
                <w:szCs w:val="21"/>
              </w:rPr>
              <w:t>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outlineLvl w:val="9"/>
        <w:rPr>
          <w:rFonts w:hint="eastAsia"/>
          <w:lang w:eastAsia="zh-CN"/>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szCs w:val="21"/>
        </w:rPr>
        <w:br w:type="page"/>
      </w:r>
      <w:bookmarkStart w:id="164" w:name="_Toc27053"/>
      <w:bookmarkStart w:id="165" w:name="_Toc479184132"/>
      <w:bookmarkStart w:id="166" w:name="_Toc450827818"/>
      <w:bookmarkStart w:id="167" w:name="_Toc10449"/>
      <w:bookmarkStart w:id="168" w:name="_Toc11172"/>
      <w:r>
        <w:rPr>
          <w:rFonts w:hint="eastAsia" w:asciiTheme="minorEastAsia" w:hAnsiTheme="minorEastAsia" w:eastAsiaTheme="minorEastAsia" w:cstheme="minorEastAsia"/>
          <w:b/>
          <w:bCs/>
          <w:szCs w:val="21"/>
          <w:lang w:val="en-US" w:eastAsia="zh-CN"/>
        </w:rPr>
        <w:t>九</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eastAsia="zh-CN"/>
        </w:rPr>
        <w:t>缴纳</w:t>
      </w:r>
      <w:r>
        <w:rPr>
          <w:rFonts w:hint="eastAsia" w:asciiTheme="minorEastAsia" w:hAnsiTheme="minorEastAsia" w:eastAsiaTheme="minorEastAsia" w:cstheme="minorEastAsia"/>
          <w:b/>
          <w:bCs/>
          <w:szCs w:val="21"/>
        </w:rPr>
        <w:t>保证金的银行凭证</w:t>
      </w:r>
      <w:bookmarkEnd w:id="164"/>
      <w:bookmarkEnd w:id="165"/>
      <w:bookmarkEnd w:id="166"/>
      <w:bookmarkEnd w:id="167"/>
      <w:r>
        <w:rPr>
          <w:rFonts w:hint="eastAsia" w:asciiTheme="minorEastAsia" w:hAnsiTheme="minorEastAsia" w:eastAsiaTheme="minorEastAsia" w:cstheme="minorEastAsia"/>
          <w:b/>
          <w:bCs/>
          <w:szCs w:val="21"/>
          <w:lang w:eastAsia="zh-CN"/>
        </w:rPr>
        <w:t>（</w:t>
      </w:r>
      <w:r>
        <w:rPr>
          <w:rFonts w:hint="eastAsia" w:asciiTheme="minorEastAsia" w:hAnsiTheme="minorEastAsia" w:eastAsiaTheme="minorEastAsia" w:cstheme="minorEastAsia"/>
          <w:b/>
          <w:bCs/>
          <w:szCs w:val="21"/>
          <w:lang w:val="en-US" w:eastAsia="zh-CN"/>
        </w:rPr>
        <w:t>如有</w:t>
      </w:r>
      <w:r>
        <w:rPr>
          <w:rFonts w:hint="eastAsia" w:asciiTheme="minorEastAsia" w:hAnsiTheme="minorEastAsia" w:eastAsiaTheme="minorEastAsia" w:cstheme="minorEastAsia"/>
          <w:b/>
          <w:bCs/>
          <w:szCs w:val="21"/>
          <w:lang w:eastAsia="zh-CN"/>
        </w:rPr>
        <w:t>）</w:t>
      </w:r>
      <w:bookmarkEnd w:id="168"/>
    </w:p>
    <w:p>
      <w:pPr>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中经国际招标集团有限公司：</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u w:val="single"/>
        </w:rPr>
        <w:t xml:space="preserve">                       (供应商全称)</w:t>
      </w:r>
      <w:r>
        <w:rPr>
          <w:rFonts w:hint="eastAsia" w:asciiTheme="minorEastAsia" w:hAnsiTheme="minorEastAsia" w:eastAsiaTheme="minorEastAsia" w:cstheme="minorEastAsia"/>
          <w:bCs/>
          <w:szCs w:val="21"/>
        </w:rPr>
        <w:t xml:space="preserve"> 参加贵方组织的，采购编号为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的采购活动。</w:t>
      </w:r>
      <w:r>
        <w:rPr>
          <w:rFonts w:hint="eastAsia" w:asciiTheme="minorEastAsia" w:hAnsiTheme="minorEastAsia" w:eastAsiaTheme="minorEastAsia" w:cstheme="minorEastAsia"/>
          <w:szCs w:val="21"/>
        </w:rPr>
        <w:t>按竞争性磋商文件的规定，已递交人民币</w:t>
      </w:r>
      <w:r>
        <w:rPr>
          <w:rFonts w:hint="eastAsia" w:asciiTheme="minorEastAsia" w:hAnsiTheme="minorEastAsia" w:eastAsiaTheme="minorEastAsia" w:cstheme="minorEastAsia"/>
          <w:szCs w:val="21"/>
          <w:u w:val="single"/>
        </w:rPr>
        <w:t xml:space="preserve">（大写）  　　 </w:t>
      </w:r>
      <w:r>
        <w:rPr>
          <w:rFonts w:hint="eastAsia" w:asciiTheme="minorEastAsia" w:hAnsiTheme="minorEastAsia" w:eastAsiaTheme="minorEastAsia" w:cstheme="minorEastAsia"/>
          <w:szCs w:val="21"/>
        </w:rPr>
        <w:t xml:space="preserve"> 元的保证金。</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 应 商 名 称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供应商银行账号：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bl>
      <w:tblPr>
        <w:tblStyle w:val="2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粘贴转账或电汇银行凭证（复印件）</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c>
      </w:tr>
    </w:tbl>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注： 请供应商认真填写银行信息，并要求与粘贴转账或电汇银行凭证的相关信息一致，采购代理机构将依据此凭证信息退还保证金。</w:t>
      </w:r>
    </w:p>
    <w:bookmarkEnd w:id="150"/>
    <w:bookmarkEnd w:id="151"/>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69" w:name="_Toc422466736"/>
      <w:bookmarkStart w:id="170" w:name="_Toc28200"/>
      <w:bookmarkStart w:id="171" w:name="_Toc432149012"/>
      <w:bookmarkStart w:id="172" w:name="_Toc1591"/>
      <w:bookmarkStart w:id="173" w:name="_Toc9970"/>
      <w:bookmarkStart w:id="174" w:name="_Toc479184133"/>
      <w:r>
        <w:rPr>
          <w:rFonts w:hint="eastAsia" w:asciiTheme="minorEastAsia" w:hAnsiTheme="minorEastAsia" w:eastAsiaTheme="minorEastAsia" w:cstheme="minorEastAsia"/>
          <w:b/>
          <w:bCs/>
          <w:szCs w:val="21"/>
          <w:lang w:val="en-US" w:eastAsia="zh-CN"/>
        </w:rPr>
        <w:t>十</w:t>
      </w:r>
      <w:r>
        <w:rPr>
          <w:rFonts w:hint="eastAsia" w:asciiTheme="minorEastAsia" w:hAnsiTheme="minorEastAsia" w:eastAsiaTheme="minorEastAsia" w:cstheme="minorEastAsia"/>
          <w:b/>
          <w:bCs/>
          <w:szCs w:val="21"/>
        </w:rPr>
        <w:t>、偏离说明表</w:t>
      </w:r>
      <w:bookmarkEnd w:id="169"/>
      <w:bookmarkEnd w:id="170"/>
      <w:bookmarkEnd w:id="171"/>
      <w:bookmarkEnd w:id="172"/>
      <w:bookmarkEnd w:id="173"/>
      <w:bookmarkEnd w:id="174"/>
    </w:p>
    <w:p>
      <w:pPr>
        <w:adjustRightInd w:val="0"/>
        <w:snapToGrid w:val="0"/>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874"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采购需求</w:t>
            </w:r>
          </w:p>
        </w:tc>
        <w:tc>
          <w:tcPr>
            <w:tcW w:w="3449"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报价响应</w:t>
            </w:r>
          </w:p>
        </w:tc>
        <w:tc>
          <w:tcPr>
            <w:tcW w:w="1675"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技术</w:t>
            </w:r>
            <w:r>
              <w:rPr>
                <w:rFonts w:hint="eastAsia" w:asciiTheme="minorEastAsia" w:hAnsiTheme="minorEastAsia" w:eastAsiaTheme="minorEastAsia" w:cstheme="minorEastAsia"/>
                <w:b/>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商务</w:t>
            </w:r>
            <w:r>
              <w:rPr>
                <w:rFonts w:hint="eastAsia" w:asciiTheme="minorEastAsia" w:hAnsiTheme="minorEastAsia" w:eastAsiaTheme="minorEastAsia" w:cstheme="minorEastAsia"/>
                <w:b/>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资格</w:t>
            </w:r>
            <w:r>
              <w:rPr>
                <w:rFonts w:hint="eastAsia" w:asciiTheme="minorEastAsia" w:hAnsiTheme="minorEastAsia" w:eastAsiaTheme="minorEastAsia" w:cstheme="minorEastAsia"/>
                <w:b/>
                <w:szCs w:val="21"/>
                <w:lang w:val="en-US" w:eastAsia="zh-CN"/>
              </w:rPr>
              <w:t>性</w:t>
            </w:r>
            <w:r>
              <w:rPr>
                <w:rFonts w:hint="eastAsia" w:asciiTheme="minorEastAsia" w:hAnsiTheme="minorEastAsia" w:eastAsiaTheme="minorEastAsia" w:cstheme="minorEastAsia"/>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D7D7D7" w:themeFill="background1" w:themeFillShade="D8"/>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shd w:val="clear" w:fill="D7D7D7" w:themeFill="background1" w:themeFillShade="D8"/>
                <w:lang w:val="en-US" w:eastAsia="zh-CN"/>
              </w:rPr>
              <w:t>符合性</w:t>
            </w:r>
            <w:r>
              <w:rPr>
                <w:rFonts w:hint="eastAsia" w:asciiTheme="minorEastAsia" w:hAnsiTheme="minorEastAsia" w:eastAsiaTheme="minorEastAsia" w:cstheme="minorEastAsia"/>
                <w:b/>
                <w:szCs w:val="21"/>
                <w:shd w:val="clear" w:fill="D7D7D7" w:themeFill="background1" w:themeFillShade="D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7"/>
          <w:numId w:val="42"/>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7"/>
          <w:numId w:val="42"/>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对有具体参数要求的指标，磋商供应商必须提供所投产品的具体参数值。如果仅注明“符合”，“满足”或简单复制竞争性磋商采购文件要求，将可能导致报价被拒绝。</w:t>
      </w:r>
    </w:p>
    <w:p>
      <w:pPr>
        <w:adjustRightInd w:val="0"/>
        <w:snapToGrid w:val="0"/>
        <w:ind w:firstLine="42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rPr>
          <w:rFonts w:hint="eastAsia" w:asciiTheme="minorEastAsia" w:hAnsiTheme="minorEastAsia" w:eastAsiaTheme="minorEastAsia" w:cstheme="minorEastAsia"/>
          <w:b/>
          <w:kern w:val="0"/>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kern w:val="0"/>
          <w:szCs w:val="21"/>
        </w:rPr>
        <w:br w:type="page"/>
      </w:r>
      <w:bookmarkStart w:id="175" w:name="_Toc28283"/>
      <w:bookmarkStart w:id="176" w:name="_Toc32060"/>
      <w:bookmarkStart w:id="177" w:name="_Toc479184134"/>
      <w:bookmarkStart w:id="178" w:name="_Toc432149013"/>
      <w:bookmarkStart w:id="179" w:name="_Toc362935521"/>
      <w:bookmarkStart w:id="180" w:name="_Toc25318"/>
      <w:r>
        <w:rPr>
          <w:rFonts w:hint="eastAsia" w:asciiTheme="minorEastAsia" w:hAnsiTheme="minorEastAsia" w:eastAsiaTheme="minorEastAsia" w:cstheme="minorEastAsia"/>
          <w:b/>
          <w:kern w:val="0"/>
          <w:szCs w:val="21"/>
        </w:rPr>
        <w:t>十</w:t>
      </w:r>
      <w:r>
        <w:rPr>
          <w:rFonts w:hint="eastAsia" w:asciiTheme="minorEastAsia" w:hAnsiTheme="minorEastAsia" w:eastAsiaTheme="minorEastAsia" w:cstheme="minorEastAsia"/>
          <w:b/>
          <w:kern w:val="0"/>
          <w:szCs w:val="21"/>
          <w:lang w:eastAsia="zh-CN"/>
        </w:rPr>
        <w:t>一</w:t>
      </w:r>
      <w:r>
        <w:rPr>
          <w:rFonts w:hint="eastAsia" w:asciiTheme="minorEastAsia" w:hAnsiTheme="minorEastAsia" w:eastAsiaTheme="minorEastAsia" w:cstheme="minorEastAsia"/>
          <w:b/>
          <w:kern w:val="0"/>
          <w:szCs w:val="21"/>
        </w:rPr>
        <w:t>、</w:t>
      </w:r>
      <w:r>
        <w:rPr>
          <w:rFonts w:hint="eastAsia" w:asciiTheme="minorEastAsia" w:hAnsiTheme="minorEastAsia" w:eastAsiaTheme="minorEastAsia" w:cstheme="minorEastAsia"/>
          <w:b/>
          <w:bCs/>
          <w:szCs w:val="21"/>
        </w:rPr>
        <w:t>类似业绩一览表</w:t>
      </w:r>
      <w:bookmarkEnd w:id="175"/>
      <w:bookmarkEnd w:id="176"/>
      <w:bookmarkEnd w:id="177"/>
      <w:bookmarkEnd w:id="178"/>
      <w:bookmarkEnd w:id="179"/>
      <w:r>
        <w:rPr>
          <w:rFonts w:hint="eastAsia" w:asciiTheme="minorEastAsia" w:hAnsiTheme="minorEastAsia" w:eastAsiaTheme="minorEastAsia" w:cstheme="minorEastAsia"/>
          <w:b/>
          <w:bCs/>
          <w:szCs w:val="21"/>
        </w:rPr>
        <w:br w:type="textWrapping"/>
      </w:r>
      <w:bookmarkEnd w:id="180"/>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项目编号：</w:t>
      </w:r>
    </w:p>
    <w:tbl>
      <w:tblPr>
        <w:tblStyle w:val="26"/>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22"/>
        <w:gridCol w:w="824"/>
        <w:gridCol w:w="1237"/>
        <w:gridCol w:w="971"/>
        <w:gridCol w:w="912"/>
        <w:gridCol w:w="1345"/>
        <w:gridCol w:w="1192"/>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lang w:val="en-US" w:eastAsia="zh-CN"/>
              </w:rPr>
              <w:t>序号</w:t>
            </w:r>
          </w:p>
        </w:tc>
        <w:tc>
          <w:tcPr>
            <w:tcW w:w="142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名称</w:t>
            </w:r>
          </w:p>
        </w:tc>
        <w:tc>
          <w:tcPr>
            <w:tcW w:w="82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w:t>
            </w:r>
          </w:p>
        </w:tc>
        <w:tc>
          <w:tcPr>
            <w:tcW w:w="123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合同签订</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时间</w:t>
            </w:r>
          </w:p>
        </w:tc>
        <w:tc>
          <w:tcPr>
            <w:tcW w:w="971"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合同金额</w:t>
            </w:r>
          </w:p>
        </w:tc>
        <w:tc>
          <w:tcPr>
            <w:tcW w:w="91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项目经理</w:t>
            </w:r>
          </w:p>
        </w:tc>
        <w:tc>
          <w:tcPr>
            <w:tcW w:w="134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业主单位联系人及电话</w:t>
            </w:r>
          </w:p>
        </w:tc>
        <w:tc>
          <w:tcPr>
            <w:tcW w:w="119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中标公告网页链接（如有）</w:t>
            </w:r>
          </w:p>
        </w:tc>
        <w:tc>
          <w:tcPr>
            <w:tcW w:w="64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1.附</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供应商承担类似项目的情况填入本表中</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提供业绩合同等评分标准要求的相关</w:t>
      </w:r>
      <w:r>
        <w:rPr>
          <w:rFonts w:hint="eastAsia" w:asciiTheme="minorEastAsia" w:hAnsiTheme="minorEastAsia" w:eastAsiaTheme="minorEastAsia" w:cstheme="minorEastAsia"/>
          <w:szCs w:val="21"/>
        </w:rPr>
        <w:t>证明材料。 无证明材料的内容评审时将不予考虑。</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val="en-US" w:eastAsia="zh-CN"/>
        </w:rPr>
        <w:t>2.公开竞标成交的类似业绩，还应提供成交/中标公告网页链接。</w:t>
      </w:r>
    </w:p>
    <w:p>
      <w:pPr>
        <w:spacing w:line="360" w:lineRule="auto"/>
        <w:rPr>
          <w:rFonts w:hint="eastAsia" w:asciiTheme="minorEastAsia" w:hAnsiTheme="minorEastAsia" w:eastAsiaTheme="minorEastAsia" w:cstheme="minorEastAsia"/>
          <w:szCs w:val="21"/>
        </w:rPr>
      </w:pPr>
      <w:bookmarkStart w:id="181" w:name="_Toc460258118"/>
      <w:bookmarkStart w:id="182" w:name="_Toc454806053"/>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83" w:name="_Toc30301"/>
      <w:bookmarkStart w:id="184" w:name="_Toc30455"/>
      <w:bookmarkStart w:id="185" w:name="_Toc4834"/>
      <w:bookmarkStart w:id="186" w:name="_Toc479184135"/>
      <w:r>
        <w:rPr>
          <w:rFonts w:hint="eastAsia" w:asciiTheme="minorEastAsia" w:hAnsiTheme="minorEastAsia" w:eastAsiaTheme="minorEastAsia" w:cstheme="minorEastAsia"/>
          <w:b/>
          <w:bCs/>
          <w:szCs w:val="21"/>
        </w:rPr>
        <w:t>十</w:t>
      </w:r>
      <w:r>
        <w:rPr>
          <w:rFonts w:hint="eastAsia" w:asciiTheme="minorEastAsia" w:hAnsiTheme="minorEastAsia" w:eastAsiaTheme="minorEastAsia" w:cstheme="minorEastAsia"/>
          <w:b/>
          <w:bCs/>
          <w:szCs w:val="21"/>
          <w:lang w:val="en-US" w:eastAsia="zh-CN"/>
        </w:rPr>
        <w:t>二</w:t>
      </w:r>
      <w:r>
        <w:rPr>
          <w:rFonts w:hint="eastAsia" w:asciiTheme="minorEastAsia" w:hAnsiTheme="minorEastAsia" w:eastAsiaTheme="minorEastAsia" w:cstheme="minorEastAsia"/>
          <w:b/>
          <w:bCs/>
          <w:szCs w:val="21"/>
        </w:rPr>
        <w:t>、拟投入项目组人员一览表</w:t>
      </w:r>
      <w:bookmarkEnd w:id="181"/>
      <w:bookmarkEnd w:id="182"/>
      <w:bookmarkEnd w:id="183"/>
      <w:bookmarkEnd w:id="184"/>
      <w:bookmarkEnd w:id="185"/>
      <w:bookmarkEnd w:id="186"/>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ind w:left="-181" w:leftChars="-86" w:firstLine="180" w:firstLineChars="8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在本项目中</w:t>
            </w:r>
            <w:r>
              <w:rPr>
                <w:rFonts w:hint="eastAsia" w:asciiTheme="minorEastAsia" w:hAnsiTheme="minorEastAsia" w:eastAsiaTheme="minorEastAsia" w:cstheme="minorEastAsia"/>
                <w:szCs w:val="21"/>
                <w:lang w:val="en-US" w:eastAsia="zh-CN"/>
              </w:rPr>
              <w:t>担</w:t>
            </w:r>
            <w:r>
              <w:rPr>
                <w:rFonts w:hint="eastAsia" w:asciiTheme="minorEastAsia" w:hAnsiTheme="minorEastAsia" w:eastAsiaTheme="minorEastAsia" w:cstheme="minorEastAsia"/>
                <w:szCs w:val="21"/>
              </w:rPr>
              <w:t>当职位</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学历</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职务</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职称</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从业经历</w:t>
            </w: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说明：附拟投入项目组人员</w:t>
      </w:r>
      <w:r>
        <w:rPr>
          <w:rFonts w:hint="eastAsia" w:asciiTheme="minorEastAsia" w:hAnsiTheme="minorEastAsia" w:eastAsiaTheme="minorEastAsia" w:cstheme="minorEastAsia"/>
          <w:szCs w:val="21"/>
          <w:lang w:val="en-US" w:eastAsia="zh-CN"/>
        </w:rPr>
        <w:t>身份证、劳动合同、社保证明、</w:t>
      </w:r>
      <w:r>
        <w:rPr>
          <w:rFonts w:hint="eastAsia"/>
        </w:rPr>
        <w:t>职称证书</w:t>
      </w:r>
      <w:r>
        <w:rPr>
          <w:rFonts w:hint="eastAsia"/>
          <w:lang w:eastAsia="zh-CN"/>
        </w:rPr>
        <w:t>、</w:t>
      </w:r>
      <w:r>
        <w:rPr>
          <w:rFonts w:hint="eastAsia"/>
        </w:rPr>
        <w:t>学历证书</w:t>
      </w:r>
      <w:r>
        <w:rPr>
          <w:rFonts w:hint="eastAsia" w:asciiTheme="minorEastAsia" w:hAnsiTheme="minorEastAsia" w:eastAsiaTheme="minorEastAsia" w:cstheme="minorEastAsia"/>
          <w:szCs w:val="21"/>
        </w:rPr>
        <w:t>等</w:t>
      </w:r>
      <w:r>
        <w:rPr>
          <w:rFonts w:hint="eastAsia" w:asciiTheme="minorEastAsia" w:hAnsiTheme="minorEastAsia" w:eastAsiaTheme="minorEastAsia" w:cstheme="minorEastAsia"/>
          <w:szCs w:val="21"/>
          <w:lang w:val="en-US" w:eastAsia="zh-CN"/>
        </w:rPr>
        <w:t>评分标准要求的其他相关</w:t>
      </w:r>
      <w:r>
        <w:rPr>
          <w:rFonts w:hint="eastAsia" w:asciiTheme="minorEastAsia" w:hAnsiTheme="minorEastAsia" w:eastAsiaTheme="minorEastAsia" w:cstheme="minorEastAsia"/>
          <w:szCs w:val="21"/>
        </w:rPr>
        <w:t>证明材料。无证明材料的内容评审时将不予考虑。</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87" w:name="_Toc432149014"/>
      <w:bookmarkStart w:id="188" w:name="_Toc26838"/>
      <w:bookmarkStart w:id="189" w:name="_Toc10429"/>
      <w:bookmarkStart w:id="190" w:name="_Toc13108"/>
      <w:bookmarkStart w:id="191" w:name="_Toc479184136"/>
      <w:bookmarkStart w:id="192" w:name="_Toc422466737"/>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三</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供应商的资格声明</w:t>
      </w:r>
      <w:bookmarkEnd w:id="187"/>
      <w:bookmarkEnd w:id="188"/>
      <w:bookmarkEnd w:id="189"/>
      <w:bookmarkEnd w:id="190"/>
      <w:bookmarkEnd w:id="191"/>
      <w:bookmarkEnd w:id="192"/>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1.名称及基本情况：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（3）成立或注册日期：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（4）公司性质：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（5）法定代表人或主要负责人：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（6）员工人数：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（7）注册资本：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（8）实收资本：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（9）上年末资产负债率：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1）固定资产</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原值：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净值：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2）流动资产：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3）长期负债：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4）短期负债：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2．与报价服务内容有关的情况：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（1）供应商提供此响应服务内容的经验（包括年限、项目业主、额定能力、商业运营的起始日期等）；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（2）服务网点分布（可另行附表）：</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服务网点名称和地址</w:t>
            </w:r>
          </w:p>
        </w:tc>
        <w:tc>
          <w:tcPr>
            <w:tcW w:w="173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主要服务范围</w:t>
            </w:r>
          </w:p>
        </w:tc>
        <w:tc>
          <w:tcPr>
            <w:tcW w:w="226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服务人员数</w:t>
            </w:r>
          </w:p>
        </w:tc>
        <w:tc>
          <w:tcPr>
            <w:tcW w:w="226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3．供应商认为需要声明的其他情况：</w:t>
      </w:r>
    </w:p>
    <w:p>
      <w:pPr>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兹证明上述声明是真实的、正确的，并提供了全部能提供的资料和数据，我们同意遵照</w:t>
      </w:r>
      <w:r>
        <w:rPr>
          <w:rFonts w:hint="eastAsia" w:asciiTheme="minorEastAsia" w:hAnsiTheme="minorEastAsia" w:eastAsiaTheme="minorEastAsia" w:cstheme="minorEastAsia"/>
          <w:bCs/>
          <w:szCs w:val="21"/>
          <w:u w:val="single"/>
        </w:rPr>
        <w:t>采购代理机构</w:t>
      </w:r>
      <w:r>
        <w:rPr>
          <w:rFonts w:hint="eastAsia" w:asciiTheme="minorEastAsia" w:hAnsiTheme="minorEastAsia" w:eastAsiaTheme="minorEastAsia" w:cstheme="minorEastAsia"/>
          <w:bCs/>
          <w:szCs w:val="21"/>
        </w:rPr>
        <w:t>要求出示的有关证明文件。</w:t>
      </w:r>
    </w:p>
    <w:p>
      <w:pPr>
        <w:spacing w:line="360" w:lineRule="auto"/>
        <w:ind w:firstLine="210" w:firstLineChars="100"/>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93" w:name="_Toc17527"/>
      <w:bookmarkStart w:id="194" w:name="_Toc259028731"/>
      <w:bookmarkStart w:id="195" w:name="_Toc28523"/>
      <w:bookmarkStart w:id="196" w:name="_Toc17331"/>
      <w:bookmarkStart w:id="197" w:name="_Toc450827823"/>
      <w:bookmarkStart w:id="198" w:name="_Toc479184137"/>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资格证明文件</w:t>
      </w:r>
      <w:bookmarkEnd w:id="193"/>
      <w:bookmarkEnd w:id="194"/>
      <w:bookmarkEnd w:id="195"/>
      <w:bookmarkEnd w:id="196"/>
      <w:bookmarkEnd w:id="197"/>
      <w:bookmarkEnd w:id="198"/>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提供第</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val="en-US" w:eastAsia="zh-CN"/>
        </w:rPr>
        <w:t>第二款</w:t>
      </w:r>
      <w:r>
        <w:rPr>
          <w:rFonts w:hint="eastAsia" w:asciiTheme="minorEastAsia" w:hAnsiTheme="minorEastAsia" w:eastAsiaTheme="minorEastAsia" w:cstheme="minorEastAsia"/>
          <w:szCs w:val="21"/>
        </w:rPr>
        <w:t>资格要求</w:t>
      </w:r>
      <w:r>
        <w:rPr>
          <w:rFonts w:hint="eastAsia" w:asciiTheme="minorEastAsia" w:hAnsiTheme="minorEastAsia" w:eastAsiaTheme="minorEastAsia" w:cstheme="minorEastAsia"/>
          <w:szCs w:val="21"/>
          <w:lang w:val="en-US" w:eastAsia="zh-CN"/>
        </w:rPr>
        <w:t>的</w:t>
      </w:r>
      <w:r>
        <w:rPr>
          <w:rFonts w:hint="eastAsia" w:asciiTheme="minorEastAsia" w:hAnsiTheme="minorEastAsia" w:eastAsiaTheme="minorEastAsia" w:cstheme="minorEastAsia"/>
          <w:szCs w:val="21"/>
        </w:rPr>
        <w:t>资格证明文件的</w:t>
      </w:r>
      <w:r>
        <w:rPr>
          <w:rFonts w:hint="eastAsia" w:asciiTheme="minorEastAsia" w:hAnsiTheme="minorEastAsia" w:eastAsiaTheme="minorEastAsia" w:cstheme="minorEastAsia"/>
          <w:szCs w:val="21"/>
          <w:lang w:val="en-US" w:eastAsia="zh-CN"/>
        </w:rPr>
        <w:t>真彩扫描件</w:t>
      </w:r>
      <w:r>
        <w:rPr>
          <w:rFonts w:hint="eastAsia" w:asciiTheme="minorEastAsia" w:hAnsiTheme="minorEastAsia" w:eastAsiaTheme="minorEastAsia" w:cstheme="minorEastAsia"/>
          <w:szCs w:val="21"/>
          <w:lang w:eastAsia="zh-CN"/>
        </w:rPr>
        <w:t>。</w:t>
      </w:r>
    </w:p>
    <w:p>
      <w:pPr>
        <w:rPr>
          <w:rFonts w:hint="eastAsia" w:asciiTheme="minorEastAsia" w:hAnsiTheme="minorEastAsia" w:eastAsiaTheme="minorEastAsia" w:cstheme="minorEastAsia"/>
          <w:szCs w:val="21"/>
        </w:rPr>
      </w:pPr>
    </w:p>
    <w:p>
      <w:pPr>
        <w:adjustRightInd w:val="0"/>
        <w:snapToGrid w:val="0"/>
        <w:spacing w:line="360" w:lineRule="auto"/>
        <w:ind w:left="-88" w:leftChars="-42"/>
        <w:jc w:val="center"/>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kern w:val="0"/>
          <w:szCs w:val="21"/>
          <w:lang w:val="en-US" w:eastAsia="zh-CN"/>
        </w:rPr>
      </w:pPr>
      <w:bookmarkStart w:id="199" w:name="_Toc6462"/>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bookmarkStart w:id="200" w:name="_Toc5793"/>
      <w:bookmarkStart w:id="201" w:name="_Toc290207179"/>
      <w:bookmarkStart w:id="202" w:name="_Toc18555"/>
      <w:bookmarkStart w:id="203" w:name="_Toc358447587"/>
      <w:bookmarkStart w:id="204" w:name="_Toc364868916"/>
      <w:bookmarkStart w:id="205" w:name="_Toc427239751"/>
      <w:bookmarkStart w:id="206" w:name="_Toc32187"/>
      <w:r>
        <w:rPr>
          <w:rFonts w:hint="eastAsia" w:asciiTheme="minorEastAsia" w:hAnsiTheme="minorEastAsia" w:eastAsiaTheme="minorEastAsia" w:cstheme="minorEastAsia"/>
          <w:b/>
          <w:bCs/>
          <w:kern w:val="0"/>
          <w:szCs w:val="21"/>
          <w:lang w:val="en-US" w:eastAsia="zh-CN"/>
        </w:rPr>
        <w:t>十五、</w:t>
      </w:r>
      <w:r>
        <w:rPr>
          <w:rFonts w:hint="eastAsia" w:asciiTheme="minorEastAsia" w:hAnsiTheme="minorEastAsia" w:eastAsiaTheme="minorEastAsia" w:cstheme="minorEastAsia"/>
          <w:b/>
          <w:bCs/>
          <w:kern w:val="0"/>
          <w:szCs w:val="21"/>
        </w:rPr>
        <w:t>机构配备情况</w:t>
      </w:r>
      <w:bookmarkEnd w:id="200"/>
      <w:bookmarkEnd w:id="201"/>
      <w:bookmarkEnd w:id="202"/>
      <w:bookmarkEnd w:id="203"/>
      <w:bookmarkEnd w:id="204"/>
      <w:bookmarkEnd w:id="205"/>
      <w:bookmarkEnd w:id="206"/>
      <w:r>
        <w:rPr>
          <w:rFonts w:hint="eastAsia" w:asciiTheme="minorEastAsia" w:hAnsiTheme="minorEastAsia" w:eastAsiaTheme="minorEastAsia" w:cstheme="minorEastAsia"/>
          <w:b/>
          <w:bCs/>
          <w:kern w:val="0"/>
          <w:szCs w:val="21"/>
          <w:lang w:val="en-US" w:eastAsia="zh-CN"/>
        </w:rPr>
        <w:t>一览表</w:t>
      </w:r>
      <w:bookmarkEnd w:id="199"/>
    </w:p>
    <w:p>
      <w:pPr>
        <w:tabs>
          <w:tab w:val="left" w:pos="540"/>
        </w:tabs>
        <w:autoSpaceDE w:val="0"/>
        <w:autoSpaceDN w:val="0"/>
        <w:adjustRightInd w:val="0"/>
        <w:spacing w:line="360" w:lineRule="auto"/>
        <w:jc w:val="center"/>
        <w:outlineLvl w:val="9"/>
        <w:rPr>
          <w:rFonts w:hint="eastAsia" w:asciiTheme="minorEastAsia" w:hAnsiTheme="minorEastAsia" w:eastAsiaTheme="minorEastAsia" w:cstheme="minorEastAsia"/>
          <w:b/>
          <w:bCs/>
          <w:kern w:val="0"/>
          <w:szCs w:val="21"/>
        </w:rPr>
      </w:pPr>
    </w:p>
    <w:p>
      <w:pPr>
        <w:rPr>
          <w:rFonts w:ascii="宋体" w:hAnsi="宋体"/>
          <w:b/>
          <w:szCs w:val="21"/>
        </w:rPr>
      </w:pPr>
      <w:bookmarkStart w:id="207" w:name="_Toc114375859"/>
      <w:bookmarkStart w:id="208" w:name="_Toc78098330"/>
      <w:bookmarkStart w:id="209" w:name="_Toc114371669"/>
      <w:bookmarkStart w:id="210" w:name="_Toc114887896"/>
      <w:bookmarkStart w:id="211" w:name="_Toc114916950"/>
      <w:bookmarkStart w:id="212" w:name="_Toc290207180"/>
      <w:bookmarkStart w:id="213" w:name="_Toc4196"/>
      <w:bookmarkStart w:id="214" w:name="_Toc114371518"/>
      <w:bookmarkStart w:id="215" w:name="_Toc114916889"/>
      <w:bookmarkStart w:id="216" w:name="_Toc114376993"/>
      <w:bookmarkStart w:id="217" w:name="_Toc164767936"/>
      <w:bookmarkStart w:id="218" w:name="_Toc112752890"/>
      <w:r>
        <w:rPr>
          <w:rFonts w:hint="eastAsia" w:ascii="宋体" w:hAnsi="宋体"/>
          <w:b/>
          <w:szCs w:val="21"/>
        </w:rPr>
        <w:t>（1）项目管理机构配备情况表</w:t>
      </w:r>
      <w:bookmarkEnd w:id="207"/>
      <w:bookmarkEnd w:id="208"/>
      <w:bookmarkEnd w:id="209"/>
      <w:bookmarkEnd w:id="210"/>
      <w:bookmarkEnd w:id="211"/>
      <w:bookmarkEnd w:id="212"/>
      <w:bookmarkEnd w:id="213"/>
      <w:bookmarkEnd w:id="214"/>
      <w:bookmarkEnd w:id="215"/>
      <w:bookmarkEnd w:id="216"/>
      <w:bookmarkEnd w:id="217"/>
      <w:bookmarkEnd w:id="218"/>
    </w:p>
    <w:p>
      <w:pPr>
        <w:rPr>
          <w:rFonts w:ascii="宋体" w:hAnsi="宋体"/>
          <w:szCs w:val="21"/>
        </w:rPr>
      </w:pPr>
      <w:r>
        <w:rPr>
          <w:rFonts w:hint="eastAsia" w:ascii="宋体" w:hAnsi="宋体"/>
          <w:szCs w:val="21"/>
          <w:u w:val="single"/>
        </w:rPr>
        <w:t xml:space="preserve">                        </w:t>
      </w:r>
      <w:r>
        <w:rPr>
          <w:rFonts w:hint="eastAsia" w:ascii="宋体" w:hAnsi="宋体"/>
          <w:szCs w:val="21"/>
        </w:rPr>
        <w:t xml:space="preserve">工程                                       </w:t>
      </w:r>
    </w:p>
    <w:tbl>
      <w:tblPr>
        <w:tblStyle w:val="2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929"/>
        <w:gridCol w:w="840"/>
        <w:gridCol w:w="828"/>
        <w:gridCol w:w="828"/>
        <w:gridCol w:w="840"/>
        <w:gridCol w:w="929"/>
        <w:gridCol w:w="750"/>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839" w:type="dxa"/>
            <w:vMerge w:val="restart"/>
            <w:vAlign w:val="center"/>
          </w:tcPr>
          <w:p>
            <w:pPr>
              <w:rPr>
                <w:rFonts w:ascii="宋体" w:hAnsi="宋体"/>
                <w:szCs w:val="21"/>
              </w:rPr>
            </w:pPr>
            <w:r>
              <w:rPr>
                <w:rFonts w:hint="eastAsia" w:ascii="宋体" w:hAnsi="宋体"/>
                <w:szCs w:val="21"/>
              </w:rPr>
              <w:t>职务</w:t>
            </w:r>
          </w:p>
        </w:tc>
        <w:tc>
          <w:tcPr>
            <w:tcW w:w="929" w:type="dxa"/>
            <w:vMerge w:val="restart"/>
            <w:vAlign w:val="center"/>
          </w:tcPr>
          <w:p>
            <w:pPr>
              <w:rPr>
                <w:rFonts w:ascii="宋体" w:hAnsi="宋体"/>
                <w:szCs w:val="21"/>
              </w:rPr>
            </w:pPr>
            <w:r>
              <w:rPr>
                <w:rFonts w:hint="eastAsia" w:ascii="宋体" w:hAnsi="宋体"/>
                <w:szCs w:val="21"/>
              </w:rPr>
              <w:t>姓名</w:t>
            </w:r>
          </w:p>
        </w:tc>
        <w:tc>
          <w:tcPr>
            <w:tcW w:w="840" w:type="dxa"/>
            <w:vMerge w:val="restart"/>
            <w:vAlign w:val="center"/>
          </w:tcPr>
          <w:p>
            <w:pPr>
              <w:rPr>
                <w:rFonts w:ascii="宋体" w:hAnsi="宋体"/>
                <w:szCs w:val="21"/>
              </w:rPr>
            </w:pPr>
            <w:r>
              <w:rPr>
                <w:rFonts w:hint="eastAsia" w:ascii="宋体" w:hAnsi="宋体"/>
                <w:szCs w:val="21"/>
              </w:rPr>
              <w:t>职称</w:t>
            </w:r>
          </w:p>
        </w:tc>
        <w:tc>
          <w:tcPr>
            <w:tcW w:w="3425" w:type="dxa"/>
            <w:gridSpan w:val="4"/>
            <w:vAlign w:val="center"/>
          </w:tcPr>
          <w:p>
            <w:pPr>
              <w:rPr>
                <w:rFonts w:ascii="宋体" w:hAnsi="宋体"/>
                <w:szCs w:val="21"/>
              </w:rPr>
            </w:pPr>
            <w:r>
              <w:rPr>
                <w:rFonts w:hint="eastAsia" w:ascii="宋体" w:hAnsi="宋体"/>
                <w:szCs w:val="21"/>
              </w:rPr>
              <w:t>执业或职业资格证明</w:t>
            </w:r>
          </w:p>
        </w:tc>
        <w:tc>
          <w:tcPr>
            <w:tcW w:w="2427" w:type="dxa"/>
            <w:gridSpan w:val="2"/>
            <w:vAlign w:val="center"/>
          </w:tcPr>
          <w:p>
            <w:pPr>
              <w:rPr>
                <w:rFonts w:ascii="宋体" w:hAnsi="宋体"/>
                <w:szCs w:val="21"/>
              </w:rPr>
            </w:pPr>
            <w:r>
              <w:rPr>
                <w:rFonts w:hint="eastAsia" w:ascii="宋体" w:hAnsi="宋体"/>
                <w:szCs w:val="21"/>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839" w:type="dxa"/>
            <w:vMerge w:val="continue"/>
            <w:vAlign w:val="top"/>
          </w:tcPr>
          <w:p>
            <w:pPr>
              <w:rPr>
                <w:rFonts w:ascii="宋体" w:hAnsi="宋体"/>
                <w:szCs w:val="21"/>
              </w:rPr>
            </w:pPr>
          </w:p>
        </w:tc>
        <w:tc>
          <w:tcPr>
            <w:tcW w:w="929" w:type="dxa"/>
            <w:vMerge w:val="continue"/>
            <w:vAlign w:val="top"/>
          </w:tcPr>
          <w:p>
            <w:pPr>
              <w:rPr>
                <w:rFonts w:ascii="宋体" w:hAnsi="宋体"/>
                <w:szCs w:val="21"/>
              </w:rPr>
            </w:pPr>
          </w:p>
        </w:tc>
        <w:tc>
          <w:tcPr>
            <w:tcW w:w="840" w:type="dxa"/>
            <w:vMerge w:val="continue"/>
            <w:vAlign w:val="top"/>
          </w:tcPr>
          <w:p>
            <w:pPr>
              <w:rPr>
                <w:rFonts w:ascii="宋体" w:hAnsi="宋体"/>
                <w:szCs w:val="21"/>
              </w:rPr>
            </w:pPr>
          </w:p>
        </w:tc>
        <w:tc>
          <w:tcPr>
            <w:tcW w:w="828" w:type="dxa"/>
            <w:vAlign w:val="center"/>
          </w:tcPr>
          <w:p>
            <w:pPr>
              <w:rPr>
                <w:rFonts w:ascii="宋体" w:hAnsi="宋体"/>
                <w:szCs w:val="21"/>
              </w:rPr>
            </w:pPr>
            <w:r>
              <w:rPr>
                <w:rFonts w:hint="eastAsia" w:ascii="宋体" w:hAnsi="宋体"/>
                <w:szCs w:val="21"/>
              </w:rPr>
              <w:t>证书名称</w:t>
            </w:r>
          </w:p>
        </w:tc>
        <w:tc>
          <w:tcPr>
            <w:tcW w:w="828" w:type="dxa"/>
            <w:vAlign w:val="center"/>
          </w:tcPr>
          <w:p>
            <w:pPr>
              <w:rPr>
                <w:rFonts w:ascii="宋体" w:hAnsi="宋体"/>
                <w:szCs w:val="21"/>
              </w:rPr>
            </w:pPr>
            <w:r>
              <w:rPr>
                <w:rFonts w:hint="eastAsia" w:ascii="宋体" w:hAnsi="宋体"/>
                <w:szCs w:val="21"/>
              </w:rPr>
              <w:t>级别</w:t>
            </w:r>
          </w:p>
        </w:tc>
        <w:tc>
          <w:tcPr>
            <w:tcW w:w="840" w:type="dxa"/>
            <w:vAlign w:val="center"/>
          </w:tcPr>
          <w:p>
            <w:pPr>
              <w:rPr>
                <w:rFonts w:ascii="宋体" w:hAnsi="宋体"/>
                <w:szCs w:val="21"/>
              </w:rPr>
            </w:pPr>
            <w:r>
              <w:rPr>
                <w:rFonts w:hint="eastAsia" w:ascii="宋体" w:hAnsi="宋体"/>
                <w:szCs w:val="21"/>
              </w:rPr>
              <w:t>证号</w:t>
            </w:r>
          </w:p>
        </w:tc>
        <w:tc>
          <w:tcPr>
            <w:tcW w:w="929" w:type="dxa"/>
            <w:vAlign w:val="center"/>
          </w:tcPr>
          <w:p>
            <w:pPr>
              <w:rPr>
                <w:rFonts w:ascii="宋体" w:hAnsi="宋体"/>
                <w:szCs w:val="21"/>
              </w:rPr>
            </w:pPr>
            <w:r>
              <w:rPr>
                <w:rFonts w:hint="eastAsia" w:ascii="宋体" w:hAnsi="宋体"/>
                <w:szCs w:val="21"/>
              </w:rPr>
              <w:t>专业</w:t>
            </w:r>
          </w:p>
        </w:tc>
        <w:tc>
          <w:tcPr>
            <w:tcW w:w="750" w:type="dxa"/>
            <w:vAlign w:val="center"/>
          </w:tcPr>
          <w:p>
            <w:pPr>
              <w:rPr>
                <w:rFonts w:ascii="宋体" w:hAnsi="宋体"/>
                <w:szCs w:val="21"/>
              </w:rPr>
            </w:pPr>
            <w:r>
              <w:rPr>
                <w:rFonts w:hint="eastAsia" w:ascii="宋体" w:hAnsi="宋体"/>
                <w:szCs w:val="21"/>
              </w:rPr>
              <w:t>项目数</w:t>
            </w:r>
          </w:p>
        </w:tc>
        <w:tc>
          <w:tcPr>
            <w:tcW w:w="1677" w:type="dxa"/>
            <w:vAlign w:val="center"/>
          </w:tcPr>
          <w:p>
            <w:pPr>
              <w:rPr>
                <w:rFonts w:ascii="宋体" w:hAnsi="宋体"/>
                <w:szCs w:val="21"/>
              </w:rPr>
            </w:pPr>
            <w:r>
              <w:rPr>
                <w:rFonts w:hint="eastAsia" w:ascii="宋体" w:hAnsi="宋体"/>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9" w:type="dxa"/>
            <w:vAlign w:val="top"/>
          </w:tcPr>
          <w:p>
            <w:pPr>
              <w:rPr>
                <w:rFonts w:ascii="宋体" w:hAnsi="宋体"/>
                <w:szCs w:val="21"/>
              </w:rPr>
            </w:pPr>
          </w:p>
        </w:tc>
        <w:tc>
          <w:tcPr>
            <w:tcW w:w="929" w:type="dxa"/>
            <w:vAlign w:val="top"/>
          </w:tcPr>
          <w:p>
            <w:pPr>
              <w:rPr>
                <w:rFonts w:ascii="宋体" w:hAnsi="宋体"/>
                <w:szCs w:val="21"/>
              </w:rPr>
            </w:pPr>
          </w:p>
        </w:tc>
        <w:tc>
          <w:tcPr>
            <w:tcW w:w="840" w:type="dxa"/>
            <w:vAlign w:val="top"/>
          </w:tcPr>
          <w:p>
            <w:pPr>
              <w:rPr>
                <w:rFonts w:ascii="宋体" w:hAnsi="宋体"/>
                <w:szCs w:val="21"/>
              </w:rPr>
            </w:pPr>
          </w:p>
        </w:tc>
        <w:tc>
          <w:tcPr>
            <w:tcW w:w="828" w:type="dxa"/>
            <w:vAlign w:val="top"/>
          </w:tcPr>
          <w:p>
            <w:pPr>
              <w:rPr>
                <w:rFonts w:ascii="宋体" w:hAnsi="宋体"/>
                <w:szCs w:val="21"/>
              </w:rPr>
            </w:pPr>
          </w:p>
        </w:tc>
        <w:tc>
          <w:tcPr>
            <w:tcW w:w="828" w:type="dxa"/>
            <w:vAlign w:val="top"/>
          </w:tcPr>
          <w:p>
            <w:pPr>
              <w:rPr>
                <w:rFonts w:ascii="宋体" w:hAnsi="宋体"/>
                <w:szCs w:val="21"/>
              </w:rPr>
            </w:pPr>
          </w:p>
        </w:tc>
        <w:tc>
          <w:tcPr>
            <w:tcW w:w="840" w:type="dxa"/>
            <w:vAlign w:val="top"/>
          </w:tcPr>
          <w:p>
            <w:pPr>
              <w:rPr>
                <w:rFonts w:ascii="宋体" w:hAnsi="宋体"/>
                <w:szCs w:val="21"/>
              </w:rPr>
            </w:pPr>
          </w:p>
        </w:tc>
        <w:tc>
          <w:tcPr>
            <w:tcW w:w="929" w:type="dxa"/>
            <w:vAlign w:val="top"/>
          </w:tcPr>
          <w:p>
            <w:pPr>
              <w:rPr>
                <w:rFonts w:ascii="宋体" w:hAnsi="宋体"/>
                <w:szCs w:val="21"/>
              </w:rPr>
            </w:pPr>
          </w:p>
        </w:tc>
        <w:tc>
          <w:tcPr>
            <w:tcW w:w="750" w:type="dxa"/>
            <w:vAlign w:val="top"/>
          </w:tcPr>
          <w:p>
            <w:pPr>
              <w:rPr>
                <w:rFonts w:ascii="宋体" w:hAnsi="宋体"/>
                <w:szCs w:val="21"/>
              </w:rPr>
            </w:pPr>
          </w:p>
        </w:tc>
        <w:tc>
          <w:tcPr>
            <w:tcW w:w="1677" w:type="dxa"/>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9" w:type="dxa"/>
            <w:vAlign w:val="top"/>
          </w:tcPr>
          <w:p>
            <w:pPr>
              <w:rPr>
                <w:rFonts w:ascii="宋体" w:hAnsi="宋体"/>
                <w:szCs w:val="21"/>
              </w:rPr>
            </w:pPr>
          </w:p>
        </w:tc>
        <w:tc>
          <w:tcPr>
            <w:tcW w:w="929" w:type="dxa"/>
            <w:vAlign w:val="top"/>
          </w:tcPr>
          <w:p>
            <w:pPr>
              <w:rPr>
                <w:rFonts w:ascii="宋体" w:hAnsi="宋体"/>
                <w:szCs w:val="21"/>
              </w:rPr>
            </w:pPr>
          </w:p>
        </w:tc>
        <w:tc>
          <w:tcPr>
            <w:tcW w:w="840" w:type="dxa"/>
            <w:vAlign w:val="top"/>
          </w:tcPr>
          <w:p>
            <w:pPr>
              <w:rPr>
                <w:rFonts w:ascii="宋体" w:hAnsi="宋体"/>
                <w:szCs w:val="21"/>
              </w:rPr>
            </w:pPr>
          </w:p>
        </w:tc>
        <w:tc>
          <w:tcPr>
            <w:tcW w:w="828" w:type="dxa"/>
            <w:vAlign w:val="top"/>
          </w:tcPr>
          <w:p>
            <w:pPr>
              <w:rPr>
                <w:rFonts w:ascii="宋体" w:hAnsi="宋体"/>
                <w:szCs w:val="21"/>
              </w:rPr>
            </w:pPr>
          </w:p>
        </w:tc>
        <w:tc>
          <w:tcPr>
            <w:tcW w:w="828" w:type="dxa"/>
            <w:vAlign w:val="top"/>
          </w:tcPr>
          <w:p>
            <w:pPr>
              <w:rPr>
                <w:rFonts w:ascii="宋体" w:hAnsi="宋体"/>
                <w:szCs w:val="21"/>
              </w:rPr>
            </w:pPr>
          </w:p>
        </w:tc>
        <w:tc>
          <w:tcPr>
            <w:tcW w:w="840" w:type="dxa"/>
            <w:vAlign w:val="top"/>
          </w:tcPr>
          <w:p>
            <w:pPr>
              <w:rPr>
                <w:rFonts w:ascii="宋体" w:hAnsi="宋体"/>
                <w:szCs w:val="21"/>
              </w:rPr>
            </w:pPr>
          </w:p>
        </w:tc>
        <w:tc>
          <w:tcPr>
            <w:tcW w:w="929" w:type="dxa"/>
            <w:vAlign w:val="top"/>
          </w:tcPr>
          <w:p>
            <w:pPr>
              <w:rPr>
                <w:rFonts w:ascii="宋体" w:hAnsi="宋体"/>
                <w:szCs w:val="21"/>
              </w:rPr>
            </w:pPr>
          </w:p>
        </w:tc>
        <w:tc>
          <w:tcPr>
            <w:tcW w:w="750" w:type="dxa"/>
            <w:vAlign w:val="top"/>
          </w:tcPr>
          <w:p>
            <w:pPr>
              <w:rPr>
                <w:rFonts w:ascii="宋体" w:hAnsi="宋体"/>
                <w:szCs w:val="21"/>
              </w:rPr>
            </w:pPr>
          </w:p>
        </w:tc>
        <w:tc>
          <w:tcPr>
            <w:tcW w:w="1677" w:type="dxa"/>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9" w:type="dxa"/>
            <w:vAlign w:val="top"/>
          </w:tcPr>
          <w:p>
            <w:pPr>
              <w:rPr>
                <w:rFonts w:ascii="宋体" w:hAnsi="宋体"/>
                <w:szCs w:val="21"/>
              </w:rPr>
            </w:pPr>
          </w:p>
        </w:tc>
        <w:tc>
          <w:tcPr>
            <w:tcW w:w="929" w:type="dxa"/>
            <w:vAlign w:val="top"/>
          </w:tcPr>
          <w:p>
            <w:pPr>
              <w:rPr>
                <w:rFonts w:ascii="宋体" w:hAnsi="宋体"/>
                <w:szCs w:val="21"/>
              </w:rPr>
            </w:pPr>
          </w:p>
        </w:tc>
        <w:tc>
          <w:tcPr>
            <w:tcW w:w="840" w:type="dxa"/>
            <w:vAlign w:val="top"/>
          </w:tcPr>
          <w:p>
            <w:pPr>
              <w:rPr>
                <w:rFonts w:ascii="宋体" w:hAnsi="宋体"/>
                <w:szCs w:val="21"/>
              </w:rPr>
            </w:pPr>
          </w:p>
        </w:tc>
        <w:tc>
          <w:tcPr>
            <w:tcW w:w="828" w:type="dxa"/>
            <w:vAlign w:val="top"/>
          </w:tcPr>
          <w:p>
            <w:pPr>
              <w:rPr>
                <w:rFonts w:ascii="宋体" w:hAnsi="宋体"/>
                <w:szCs w:val="21"/>
              </w:rPr>
            </w:pPr>
          </w:p>
        </w:tc>
        <w:tc>
          <w:tcPr>
            <w:tcW w:w="828" w:type="dxa"/>
            <w:vAlign w:val="top"/>
          </w:tcPr>
          <w:p>
            <w:pPr>
              <w:rPr>
                <w:rFonts w:ascii="宋体" w:hAnsi="宋体"/>
                <w:szCs w:val="21"/>
              </w:rPr>
            </w:pPr>
          </w:p>
        </w:tc>
        <w:tc>
          <w:tcPr>
            <w:tcW w:w="840" w:type="dxa"/>
            <w:vAlign w:val="top"/>
          </w:tcPr>
          <w:p>
            <w:pPr>
              <w:rPr>
                <w:rFonts w:ascii="宋体" w:hAnsi="宋体"/>
                <w:szCs w:val="21"/>
              </w:rPr>
            </w:pPr>
          </w:p>
        </w:tc>
        <w:tc>
          <w:tcPr>
            <w:tcW w:w="929" w:type="dxa"/>
            <w:vAlign w:val="top"/>
          </w:tcPr>
          <w:p>
            <w:pPr>
              <w:rPr>
                <w:rFonts w:ascii="宋体" w:hAnsi="宋体"/>
                <w:szCs w:val="21"/>
              </w:rPr>
            </w:pPr>
          </w:p>
        </w:tc>
        <w:tc>
          <w:tcPr>
            <w:tcW w:w="750" w:type="dxa"/>
            <w:vAlign w:val="top"/>
          </w:tcPr>
          <w:p>
            <w:pPr>
              <w:rPr>
                <w:rFonts w:ascii="宋体" w:hAnsi="宋体"/>
                <w:szCs w:val="21"/>
              </w:rPr>
            </w:pPr>
          </w:p>
        </w:tc>
        <w:tc>
          <w:tcPr>
            <w:tcW w:w="1677" w:type="dxa"/>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9" w:type="dxa"/>
            <w:vAlign w:val="top"/>
          </w:tcPr>
          <w:p>
            <w:pPr>
              <w:rPr>
                <w:rFonts w:ascii="宋体" w:hAnsi="宋体"/>
                <w:szCs w:val="21"/>
              </w:rPr>
            </w:pPr>
          </w:p>
        </w:tc>
        <w:tc>
          <w:tcPr>
            <w:tcW w:w="929" w:type="dxa"/>
            <w:vAlign w:val="top"/>
          </w:tcPr>
          <w:p>
            <w:pPr>
              <w:rPr>
                <w:rFonts w:ascii="宋体" w:hAnsi="宋体"/>
                <w:szCs w:val="21"/>
              </w:rPr>
            </w:pPr>
          </w:p>
        </w:tc>
        <w:tc>
          <w:tcPr>
            <w:tcW w:w="840" w:type="dxa"/>
            <w:vAlign w:val="top"/>
          </w:tcPr>
          <w:p>
            <w:pPr>
              <w:rPr>
                <w:rFonts w:ascii="宋体" w:hAnsi="宋体"/>
                <w:szCs w:val="21"/>
              </w:rPr>
            </w:pPr>
          </w:p>
        </w:tc>
        <w:tc>
          <w:tcPr>
            <w:tcW w:w="828" w:type="dxa"/>
            <w:vAlign w:val="top"/>
          </w:tcPr>
          <w:p>
            <w:pPr>
              <w:rPr>
                <w:rFonts w:ascii="宋体" w:hAnsi="宋体"/>
                <w:szCs w:val="21"/>
              </w:rPr>
            </w:pPr>
          </w:p>
        </w:tc>
        <w:tc>
          <w:tcPr>
            <w:tcW w:w="828" w:type="dxa"/>
            <w:vAlign w:val="top"/>
          </w:tcPr>
          <w:p>
            <w:pPr>
              <w:rPr>
                <w:rFonts w:ascii="宋体" w:hAnsi="宋体"/>
                <w:szCs w:val="21"/>
              </w:rPr>
            </w:pPr>
          </w:p>
        </w:tc>
        <w:tc>
          <w:tcPr>
            <w:tcW w:w="840" w:type="dxa"/>
            <w:vAlign w:val="top"/>
          </w:tcPr>
          <w:p>
            <w:pPr>
              <w:rPr>
                <w:rFonts w:ascii="宋体" w:hAnsi="宋体"/>
                <w:szCs w:val="21"/>
              </w:rPr>
            </w:pPr>
          </w:p>
        </w:tc>
        <w:tc>
          <w:tcPr>
            <w:tcW w:w="929" w:type="dxa"/>
            <w:vAlign w:val="top"/>
          </w:tcPr>
          <w:p>
            <w:pPr>
              <w:rPr>
                <w:rFonts w:ascii="宋体" w:hAnsi="宋体"/>
                <w:szCs w:val="21"/>
              </w:rPr>
            </w:pPr>
          </w:p>
        </w:tc>
        <w:tc>
          <w:tcPr>
            <w:tcW w:w="750" w:type="dxa"/>
            <w:vAlign w:val="top"/>
          </w:tcPr>
          <w:p>
            <w:pPr>
              <w:rPr>
                <w:rFonts w:ascii="宋体" w:hAnsi="宋体"/>
                <w:szCs w:val="21"/>
              </w:rPr>
            </w:pPr>
          </w:p>
        </w:tc>
        <w:tc>
          <w:tcPr>
            <w:tcW w:w="1677" w:type="dxa"/>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9" w:type="dxa"/>
            <w:vAlign w:val="top"/>
          </w:tcPr>
          <w:p>
            <w:pPr>
              <w:rPr>
                <w:rFonts w:ascii="宋体" w:hAnsi="宋体"/>
                <w:szCs w:val="21"/>
              </w:rPr>
            </w:pPr>
          </w:p>
        </w:tc>
        <w:tc>
          <w:tcPr>
            <w:tcW w:w="929" w:type="dxa"/>
            <w:vAlign w:val="top"/>
          </w:tcPr>
          <w:p>
            <w:pPr>
              <w:rPr>
                <w:rFonts w:ascii="宋体" w:hAnsi="宋体"/>
                <w:szCs w:val="21"/>
              </w:rPr>
            </w:pPr>
          </w:p>
        </w:tc>
        <w:tc>
          <w:tcPr>
            <w:tcW w:w="840" w:type="dxa"/>
            <w:vAlign w:val="top"/>
          </w:tcPr>
          <w:p>
            <w:pPr>
              <w:rPr>
                <w:rFonts w:ascii="宋体" w:hAnsi="宋体"/>
                <w:szCs w:val="21"/>
              </w:rPr>
            </w:pPr>
          </w:p>
        </w:tc>
        <w:tc>
          <w:tcPr>
            <w:tcW w:w="828" w:type="dxa"/>
            <w:vAlign w:val="top"/>
          </w:tcPr>
          <w:p>
            <w:pPr>
              <w:rPr>
                <w:rFonts w:ascii="宋体" w:hAnsi="宋体"/>
                <w:szCs w:val="21"/>
              </w:rPr>
            </w:pPr>
          </w:p>
        </w:tc>
        <w:tc>
          <w:tcPr>
            <w:tcW w:w="828" w:type="dxa"/>
            <w:vAlign w:val="top"/>
          </w:tcPr>
          <w:p>
            <w:pPr>
              <w:rPr>
                <w:rFonts w:ascii="宋体" w:hAnsi="宋体"/>
                <w:szCs w:val="21"/>
              </w:rPr>
            </w:pPr>
          </w:p>
        </w:tc>
        <w:tc>
          <w:tcPr>
            <w:tcW w:w="840" w:type="dxa"/>
            <w:vAlign w:val="top"/>
          </w:tcPr>
          <w:p>
            <w:pPr>
              <w:rPr>
                <w:rFonts w:ascii="宋体" w:hAnsi="宋体"/>
                <w:szCs w:val="21"/>
              </w:rPr>
            </w:pPr>
          </w:p>
        </w:tc>
        <w:tc>
          <w:tcPr>
            <w:tcW w:w="929" w:type="dxa"/>
            <w:vAlign w:val="top"/>
          </w:tcPr>
          <w:p>
            <w:pPr>
              <w:rPr>
                <w:rFonts w:ascii="宋体" w:hAnsi="宋体"/>
                <w:szCs w:val="21"/>
              </w:rPr>
            </w:pPr>
          </w:p>
        </w:tc>
        <w:tc>
          <w:tcPr>
            <w:tcW w:w="750" w:type="dxa"/>
            <w:vAlign w:val="top"/>
          </w:tcPr>
          <w:p>
            <w:pPr>
              <w:rPr>
                <w:rFonts w:ascii="宋体" w:hAnsi="宋体"/>
                <w:szCs w:val="21"/>
              </w:rPr>
            </w:pPr>
          </w:p>
        </w:tc>
        <w:tc>
          <w:tcPr>
            <w:tcW w:w="1677" w:type="dxa"/>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9" w:type="dxa"/>
            <w:vAlign w:val="top"/>
          </w:tcPr>
          <w:p>
            <w:pPr>
              <w:rPr>
                <w:rFonts w:ascii="宋体" w:hAnsi="宋体"/>
                <w:szCs w:val="21"/>
              </w:rPr>
            </w:pPr>
          </w:p>
        </w:tc>
        <w:tc>
          <w:tcPr>
            <w:tcW w:w="929" w:type="dxa"/>
            <w:vAlign w:val="top"/>
          </w:tcPr>
          <w:p>
            <w:pPr>
              <w:rPr>
                <w:rFonts w:ascii="宋体" w:hAnsi="宋体"/>
                <w:szCs w:val="21"/>
              </w:rPr>
            </w:pPr>
          </w:p>
        </w:tc>
        <w:tc>
          <w:tcPr>
            <w:tcW w:w="840" w:type="dxa"/>
            <w:vAlign w:val="top"/>
          </w:tcPr>
          <w:p>
            <w:pPr>
              <w:rPr>
                <w:rFonts w:ascii="宋体" w:hAnsi="宋体"/>
                <w:szCs w:val="21"/>
              </w:rPr>
            </w:pPr>
          </w:p>
        </w:tc>
        <w:tc>
          <w:tcPr>
            <w:tcW w:w="828" w:type="dxa"/>
            <w:vAlign w:val="top"/>
          </w:tcPr>
          <w:p>
            <w:pPr>
              <w:rPr>
                <w:rFonts w:ascii="宋体" w:hAnsi="宋体"/>
                <w:szCs w:val="21"/>
              </w:rPr>
            </w:pPr>
          </w:p>
        </w:tc>
        <w:tc>
          <w:tcPr>
            <w:tcW w:w="828" w:type="dxa"/>
            <w:vAlign w:val="top"/>
          </w:tcPr>
          <w:p>
            <w:pPr>
              <w:rPr>
                <w:rFonts w:ascii="宋体" w:hAnsi="宋体"/>
                <w:szCs w:val="21"/>
              </w:rPr>
            </w:pPr>
          </w:p>
        </w:tc>
        <w:tc>
          <w:tcPr>
            <w:tcW w:w="840" w:type="dxa"/>
            <w:vAlign w:val="top"/>
          </w:tcPr>
          <w:p>
            <w:pPr>
              <w:rPr>
                <w:rFonts w:ascii="宋体" w:hAnsi="宋体"/>
                <w:szCs w:val="21"/>
              </w:rPr>
            </w:pPr>
          </w:p>
        </w:tc>
        <w:tc>
          <w:tcPr>
            <w:tcW w:w="929" w:type="dxa"/>
            <w:vAlign w:val="top"/>
          </w:tcPr>
          <w:p>
            <w:pPr>
              <w:rPr>
                <w:rFonts w:ascii="宋体" w:hAnsi="宋体"/>
                <w:szCs w:val="21"/>
              </w:rPr>
            </w:pPr>
          </w:p>
        </w:tc>
        <w:tc>
          <w:tcPr>
            <w:tcW w:w="750" w:type="dxa"/>
            <w:vAlign w:val="top"/>
          </w:tcPr>
          <w:p>
            <w:pPr>
              <w:rPr>
                <w:rFonts w:ascii="宋体" w:hAnsi="宋体"/>
                <w:szCs w:val="21"/>
              </w:rPr>
            </w:pPr>
          </w:p>
        </w:tc>
        <w:tc>
          <w:tcPr>
            <w:tcW w:w="1677" w:type="dxa"/>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9" w:type="dxa"/>
            <w:vAlign w:val="top"/>
          </w:tcPr>
          <w:p>
            <w:pPr>
              <w:rPr>
                <w:rFonts w:ascii="宋体" w:hAnsi="宋体"/>
                <w:szCs w:val="21"/>
              </w:rPr>
            </w:pPr>
          </w:p>
        </w:tc>
        <w:tc>
          <w:tcPr>
            <w:tcW w:w="929" w:type="dxa"/>
            <w:vAlign w:val="top"/>
          </w:tcPr>
          <w:p>
            <w:pPr>
              <w:rPr>
                <w:rFonts w:ascii="宋体" w:hAnsi="宋体"/>
                <w:szCs w:val="21"/>
              </w:rPr>
            </w:pPr>
          </w:p>
        </w:tc>
        <w:tc>
          <w:tcPr>
            <w:tcW w:w="840" w:type="dxa"/>
            <w:vAlign w:val="top"/>
          </w:tcPr>
          <w:p>
            <w:pPr>
              <w:rPr>
                <w:rFonts w:ascii="宋体" w:hAnsi="宋体"/>
                <w:szCs w:val="21"/>
              </w:rPr>
            </w:pPr>
          </w:p>
        </w:tc>
        <w:tc>
          <w:tcPr>
            <w:tcW w:w="828" w:type="dxa"/>
            <w:vAlign w:val="top"/>
          </w:tcPr>
          <w:p>
            <w:pPr>
              <w:rPr>
                <w:rFonts w:ascii="宋体" w:hAnsi="宋体"/>
                <w:szCs w:val="21"/>
              </w:rPr>
            </w:pPr>
          </w:p>
        </w:tc>
        <w:tc>
          <w:tcPr>
            <w:tcW w:w="828" w:type="dxa"/>
            <w:vAlign w:val="top"/>
          </w:tcPr>
          <w:p>
            <w:pPr>
              <w:rPr>
                <w:rFonts w:ascii="宋体" w:hAnsi="宋体"/>
                <w:szCs w:val="21"/>
              </w:rPr>
            </w:pPr>
          </w:p>
        </w:tc>
        <w:tc>
          <w:tcPr>
            <w:tcW w:w="840" w:type="dxa"/>
            <w:vAlign w:val="top"/>
          </w:tcPr>
          <w:p>
            <w:pPr>
              <w:rPr>
                <w:rFonts w:ascii="宋体" w:hAnsi="宋体"/>
                <w:szCs w:val="21"/>
              </w:rPr>
            </w:pPr>
          </w:p>
        </w:tc>
        <w:tc>
          <w:tcPr>
            <w:tcW w:w="929" w:type="dxa"/>
            <w:vAlign w:val="top"/>
          </w:tcPr>
          <w:p>
            <w:pPr>
              <w:rPr>
                <w:rFonts w:ascii="宋体" w:hAnsi="宋体"/>
                <w:szCs w:val="21"/>
              </w:rPr>
            </w:pPr>
          </w:p>
        </w:tc>
        <w:tc>
          <w:tcPr>
            <w:tcW w:w="750" w:type="dxa"/>
            <w:vAlign w:val="top"/>
          </w:tcPr>
          <w:p>
            <w:pPr>
              <w:rPr>
                <w:rFonts w:ascii="宋体" w:hAnsi="宋体"/>
                <w:szCs w:val="21"/>
              </w:rPr>
            </w:pPr>
          </w:p>
        </w:tc>
        <w:tc>
          <w:tcPr>
            <w:tcW w:w="1677" w:type="dxa"/>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39" w:type="dxa"/>
            <w:vAlign w:val="top"/>
          </w:tcPr>
          <w:p>
            <w:pPr>
              <w:rPr>
                <w:rFonts w:ascii="宋体" w:hAnsi="宋体"/>
                <w:szCs w:val="21"/>
              </w:rPr>
            </w:pPr>
          </w:p>
        </w:tc>
        <w:tc>
          <w:tcPr>
            <w:tcW w:w="929" w:type="dxa"/>
            <w:vAlign w:val="top"/>
          </w:tcPr>
          <w:p>
            <w:pPr>
              <w:rPr>
                <w:rFonts w:ascii="宋体" w:hAnsi="宋体"/>
                <w:szCs w:val="21"/>
              </w:rPr>
            </w:pPr>
          </w:p>
        </w:tc>
        <w:tc>
          <w:tcPr>
            <w:tcW w:w="840" w:type="dxa"/>
            <w:vAlign w:val="top"/>
          </w:tcPr>
          <w:p>
            <w:pPr>
              <w:rPr>
                <w:rFonts w:ascii="宋体" w:hAnsi="宋体"/>
                <w:szCs w:val="21"/>
              </w:rPr>
            </w:pPr>
          </w:p>
        </w:tc>
        <w:tc>
          <w:tcPr>
            <w:tcW w:w="828" w:type="dxa"/>
            <w:vAlign w:val="top"/>
          </w:tcPr>
          <w:p>
            <w:pPr>
              <w:rPr>
                <w:rFonts w:ascii="宋体" w:hAnsi="宋体"/>
                <w:szCs w:val="21"/>
              </w:rPr>
            </w:pPr>
          </w:p>
        </w:tc>
        <w:tc>
          <w:tcPr>
            <w:tcW w:w="828" w:type="dxa"/>
            <w:vAlign w:val="top"/>
          </w:tcPr>
          <w:p>
            <w:pPr>
              <w:rPr>
                <w:rFonts w:ascii="宋体" w:hAnsi="宋体"/>
                <w:szCs w:val="21"/>
              </w:rPr>
            </w:pPr>
          </w:p>
        </w:tc>
        <w:tc>
          <w:tcPr>
            <w:tcW w:w="840" w:type="dxa"/>
            <w:vAlign w:val="top"/>
          </w:tcPr>
          <w:p>
            <w:pPr>
              <w:rPr>
                <w:rFonts w:ascii="宋体" w:hAnsi="宋体"/>
                <w:szCs w:val="21"/>
              </w:rPr>
            </w:pPr>
          </w:p>
        </w:tc>
        <w:tc>
          <w:tcPr>
            <w:tcW w:w="929" w:type="dxa"/>
            <w:vAlign w:val="top"/>
          </w:tcPr>
          <w:p>
            <w:pPr>
              <w:rPr>
                <w:rFonts w:ascii="宋体" w:hAnsi="宋体"/>
                <w:szCs w:val="21"/>
              </w:rPr>
            </w:pPr>
          </w:p>
        </w:tc>
        <w:tc>
          <w:tcPr>
            <w:tcW w:w="750" w:type="dxa"/>
            <w:vAlign w:val="top"/>
          </w:tcPr>
          <w:p>
            <w:pPr>
              <w:rPr>
                <w:rFonts w:ascii="宋体" w:hAnsi="宋体"/>
                <w:szCs w:val="21"/>
              </w:rPr>
            </w:pPr>
          </w:p>
        </w:tc>
        <w:tc>
          <w:tcPr>
            <w:tcW w:w="1677" w:type="dxa"/>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8460" w:type="dxa"/>
            <w:gridSpan w:val="9"/>
            <w:vAlign w:val="top"/>
          </w:tcPr>
          <w:p>
            <w:pPr>
              <w:rPr>
                <w:rFonts w:ascii="宋体" w:hAnsi="宋体"/>
                <w:szCs w:val="21"/>
              </w:rPr>
            </w:pPr>
            <w:r>
              <w:rPr>
                <w:rFonts w:hint="eastAsia" w:ascii="宋体" w:hAnsi="宋体"/>
                <w:szCs w:val="21"/>
              </w:rPr>
              <w:t>一旦我单位中标，将实行项目经理负责制，并配备上述项目管理机构。我方保证上述填报内容真实，若不真实，愿按有关规定接受处理。项目管理班子机构设置、职责分工等情况另附资料说明</w:t>
            </w:r>
          </w:p>
        </w:tc>
      </w:tr>
    </w:tbl>
    <w:p>
      <w:pPr>
        <w:rPr>
          <w:rFonts w:ascii="宋体" w:hAnsi="宋体"/>
          <w:b/>
          <w:szCs w:val="21"/>
          <w:u w:val="single"/>
        </w:rPr>
      </w:pPr>
      <w:r>
        <w:rPr>
          <w:rFonts w:hint="eastAsia" w:ascii="宋体" w:hAnsi="宋体"/>
          <w:b/>
          <w:szCs w:val="21"/>
          <w:u w:val="single"/>
        </w:rPr>
        <w:t>注：后附拟投入本项目的管理班子组成人员的职称证、资格证、上岗证、二代身份证、经社保单位鉴定的劳动合同及缴纳社保的证明文件。</w:t>
      </w:r>
    </w:p>
    <w:p>
      <w:pPr>
        <w:rPr>
          <w:rFonts w:ascii="宋体" w:hAnsi="宋体"/>
          <w:b/>
          <w:szCs w:val="21"/>
        </w:rPr>
      </w:pPr>
      <w:r>
        <w:rPr>
          <w:rFonts w:ascii="宋体" w:hAnsi="宋体"/>
          <w:szCs w:val="21"/>
        </w:rPr>
        <w:br w:type="page"/>
      </w:r>
      <w:bookmarkStart w:id="219" w:name="_Toc114916890"/>
      <w:bookmarkStart w:id="220" w:name="_Toc164767937"/>
      <w:bookmarkStart w:id="221" w:name="_Toc114887897"/>
      <w:bookmarkStart w:id="222" w:name="_Toc114371519"/>
      <w:bookmarkStart w:id="223" w:name="_Toc114375860"/>
      <w:bookmarkStart w:id="224" w:name="_Toc114371670"/>
      <w:bookmarkStart w:id="225" w:name="_Toc290207181"/>
      <w:bookmarkStart w:id="226" w:name="_Toc114376994"/>
      <w:bookmarkStart w:id="227" w:name="_Toc114916951"/>
      <w:bookmarkStart w:id="228" w:name="_Toc112752891"/>
      <w:bookmarkStart w:id="229" w:name="_Toc78098331"/>
      <w:bookmarkStart w:id="230" w:name="_Toc28093"/>
      <w:r>
        <w:rPr>
          <w:rFonts w:hint="eastAsia" w:ascii="宋体" w:hAnsi="宋体"/>
          <w:b/>
          <w:szCs w:val="21"/>
        </w:rPr>
        <w:t>（2）项目经理简历表</w:t>
      </w:r>
      <w:bookmarkEnd w:id="219"/>
      <w:bookmarkEnd w:id="220"/>
      <w:bookmarkEnd w:id="221"/>
      <w:bookmarkEnd w:id="222"/>
      <w:bookmarkEnd w:id="223"/>
      <w:bookmarkEnd w:id="224"/>
      <w:bookmarkEnd w:id="225"/>
      <w:bookmarkEnd w:id="226"/>
      <w:bookmarkEnd w:id="227"/>
      <w:bookmarkEnd w:id="228"/>
      <w:bookmarkEnd w:id="229"/>
      <w:bookmarkEnd w:id="230"/>
    </w:p>
    <w:p>
      <w:pPr>
        <w:rPr>
          <w:rFonts w:ascii="宋体" w:hAnsi="宋体"/>
          <w:szCs w:val="21"/>
        </w:rPr>
      </w:pPr>
      <w:r>
        <w:rPr>
          <w:rFonts w:hint="eastAsia" w:ascii="宋体" w:hAnsi="宋体"/>
          <w:szCs w:val="21"/>
          <w:u w:val="single"/>
        </w:rPr>
        <w:t xml:space="preserve">（工程项目名称）     </w:t>
      </w:r>
      <w:r>
        <w:rPr>
          <w:rFonts w:hint="eastAsia" w:ascii="宋体" w:hAnsi="宋体"/>
          <w:szCs w:val="21"/>
        </w:rPr>
        <w:t xml:space="preserve">工程                                                </w:t>
      </w:r>
    </w:p>
    <w:tbl>
      <w:tblPr>
        <w:tblStyle w:val="26"/>
        <w:tblW w:w="89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68"/>
        <w:gridCol w:w="949"/>
        <w:gridCol w:w="42"/>
        <w:gridCol w:w="1336"/>
        <w:gridCol w:w="37"/>
        <w:gridCol w:w="1410"/>
        <w:gridCol w:w="1272"/>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14" w:type="dxa"/>
            <w:vAlign w:val="center"/>
          </w:tcPr>
          <w:p>
            <w:pPr>
              <w:rPr>
                <w:rFonts w:ascii="宋体" w:hAnsi="宋体"/>
                <w:szCs w:val="21"/>
              </w:rPr>
            </w:pPr>
            <w:r>
              <w:rPr>
                <w:rFonts w:hint="eastAsia" w:ascii="宋体" w:hAnsi="宋体"/>
                <w:szCs w:val="21"/>
              </w:rPr>
              <w:t>姓名</w:t>
            </w:r>
          </w:p>
        </w:tc>
        <w:tc>
          <w:tcPr>
            <w:tcW w:w="1859" w:type="dxa"/>
            <w:gridSpan w:val="3"/>
            <w:vAlign w:val="center"/>
          </w:tcPr>
          <w:p>
            <w:pPr>
              <w:rPr>
                <w:rFonts w:ascii="宋体" w:hAnsi="宋体"/>
                <w:szCs w:val="21"/>
              </w:rPr>
            </w:pPr>
          </w:p>
        </w:tc>
        <w:tc>
          <w:tcPr>
            <w:tcW w:w="1373" w:type="dxa"/>
            <w:gridSpan w:val="2"/>
            <w:vAlign w:val="center"/>
          </w:tcPr>
          <w:p>
            <w:pPr>
              <w:rPr>
                <w:rFonts w:ascii="宋体" w:hAnsi="宋体"/>
                <w:szCs w:val="21"/>
              </w:rPr>
            </w:pPr>
            <w:r>
              <w:rPr>
                <w:rFonts w:hint="eastAsia" w:ascii="宋体" w:hAnsi="宋体"/>
                <w:szCs w:val="21"/>
              </w:rPr>
              <w:t>性别</w:t>
            </w:r>
          </w:p>
        </w:tc>
        <w:tc>
          <w:tcPr>
            <w:tcW w:w="1410" w:type="dxa"/>
            <w:vAlign w:val="center"/>
          </w:tcPr>
          <w:p>
            <w:pPr>
              <w:rPr>
                <w:rFonts w:ascii="宋体" w:hAnsi="宋体"/>
                <w:szCs w:val="21"/>
              </w:rPr>
            </w:pPr>
          </w:p>
        </w:tc>
        <w:tc>
          <w:tcPr>
            <w:tcW w:w="1272" w:type="dxa"/>
            <w:vAlign w:val="center"/>
          </w:tcPr>
          <w:p>
            <w:pPr>
              <w:rPr>
                <w:rFonts w:ascii="宋体" w:hAnsi="宋体"/>
                <w:szCs w:val="21"/>
              </w:rPr>
            </w:pPr>
            <w:r>
              <w:rPr>
                <w:rFonts w:hint="eastAsia" w:ascii="宋体" w:hAnsi="宋体"/>
                <w:szCs w:val="21"/>
              </w:rPr>
              <w:t>年龄</w:t>
            </w:r>
          </w:p>
        </w:tc>
        <w:tc>
          <w:tcPr>
            <w:tcW w:w="178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14" w:type="dxa"/>
            <w:vAlign w:val="center"/>
          </w:tcPr>
          <w:p>
            <w:pPr>
              <w:rPr>
                <w:rFonts w:ascii="宋体" w:hAnsi="宋体"/>
                <w:szCs w:val="21"/>
              </w:rPr>
            </w:pPr>
            <w:r>
              <w:rPr>
                <w:rFonts w:hint="eastAsia" w:ascii="宋体" w:hAnsi="宋体"/>
                <w:szCs w:val="21"/>
              </w:rPr>
              <w:t>职务</w:t>
            </w:r>
          </w:p>
        </w:tc>
        <w:tc>
          <w:tcPr>
            <w:tcW w:w="1859" w:type="dxa"/>
            <w:gridSpan w:val="3"/>
            <w:vAlign w:val="center"/>
          </w:tcPr>
          <w:p>
            <w:pPr>
              <w:rPr>
                <w:rFonts w:ascii="宋体" w:hAnsi="宋体"/>
                <w:szCs w:val="21"/>
              </w:rPr>
            </w:pPr>
          </w:p>
        </w:tc>
        <w:tc>
          <w:tcPr>
            <w:tcW w:w="1373" w:type="dxa"/>
            <w:gridSpan w:val="2"/>
            <w:vAlign w:val="center"/>
          </w:tcPr>
          <w:p>
            <w:pPr>
              <w:rPr>
                <w:rFonts w:ascii="宋体" w:hAnsi="宋体"/>
                <w:szCs w:val="21"/>
              </w:rPr>
            </w:pPr>
            <w:r>
              <w:rPr>
                <w:rFonts w:hint="eastAsia" w:ascii="宋体" w:hAnsi="宋体"/>
                <w:szCs w:val="21"/>
              </w:rPr>
              <w:t>职称</w:t>
            </w:r>
          </w:p>
        </w:tc>
        <w:tc>
          <w:tcPr>
            <w:tcW w:w="1410" w:type="dxa"/>
            <w:vAlign w:val="center"/>
          </w:tcPr>
          <w:p>
            <w:pPr>
              <w:rPr>
                <w:rFonts w:ascii="宋体" w:hAnsi="宋体"/>
                <w:szCs w:val="21"/>
              </w:rPr>
            </w:pPr>
          </w:p>
        </w:tc>
        <w:tc>
          <w:tcPr>
            <w:tcW w:w="1272" w:type="dxa"/>
            <w:vAlign w:val="center"/>
          </w:tcPr>
          <w:p>
            <w:pPr>
              <w:rPr>
                <w:rFonts w:ascii="宋体" w:hAnsi="宋体"/>
                <w:szCs w:val="21"/>
              </w:rPr>
            </w:pPr>
            <w:r>
              <w:rPr>
                <w:rFonts w:hint="eastAsia" w:ascii="宋体" w:hAnsi="宋体"/>
                <w:szCs w:val="21"/>
              </w:rPr>
              <w:t>学历</w:t>
            </w:r>
          </w:p>
        </w:tc>
        <w:tc>
          <w:tcPr>
            <w:tcW w:w="178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082" w:type="dxa"/>
            <w:gridSpan w:val="2"/>
            <w:vAlign w:val="center"/>
          </w:tcPr>
          <w:p>
            <w:pPr>
              <w:rPr>
                <w:rFonts w:ascii="宋体" w:hAnsi="宋体"/>
                <w:szCs w:val="21"/>
              </w:rPr>
            </w:pPr>
            <w:r>
              <w:rPr>
                <w:rFonts w:hint="eastAsia" w:ascii="宋体" w:hAnsi="宋体"/>
                <w:szCs w:val="21"/>
              </w:rPr>
              <w:t>参加工作时间</w:t>
            </w:r>
          </w:p>
        </w:tc>
        <w:tc>
          <w:tcPr>
            <w:tcW w:w="2364" w:type="dxa"/>
            <w:gridSpan w:val="4"/>
            <w:vAlign w:val="center"/>
          </w:tcPr>
          <w:p>
            <w:pPr>
              <w:rPr>
                <w:rFonts w:ascii="宋体" w:hAnsi="宋体"/>
                <w:szCs w:val="21"/>
              </w:rPr>
            </w:pPr>
          </w:p>
        </w:tc>
        <w:tc>
          <w:tcPr>
            <w:tcW w:w="2682" w:type="dxa"/>
            <w:gridSpan w:val="2"/>
            <w:vAlign w:val="center"/>
          </w:tcPr>
          <w:p>
            <w:pPr>
              <w:rPr>
                <w:rFonts w:ascii="宋体" w:hAnsi="宋体"/>
                <w:szCs w:val="21"/>
              </w:rPr>
            </w:pPr>
            <w:r>
              <w:rPr>
                <w:rFonts w:hint="eastAsia" w:ascii="宋体" w:hAnsi="宋体"/>
                <w:szCs w:val="21"/>
              </w:rPr>
              <w:t>担任项目经理年限</w:t>
            </w:r>
          </w:p>
        </w:tc>
        <w:tc>
          <w:tcPr>
            <w:tcW w:w="178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912" w:type="dxa"/>
            <w:gridSpan w:val="9"/>
            <w:vAlign w:val="center"/>
          </w:tcPr>
          <w:p>
            <w:pPr>
              <w:rPr>
                <w:rFonts w:ascii="宋体" w:hAnsi="宋体"/>
                <w:szCs w:val="21"/>
              </w:rPr>
            </w:pPr>
            <w:r>
              <w:rPr>
                <w:rFonts w:hint="eastAsia" w:ascii="宋体" w:hAnsi="宋体"/>
                <w:szCs w:val="21"/>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rPr>
                <w:rFonts w:ascii="宋体" w:hAnsi="宋体"/>
                <w:szCs w:val="21"/>
              </w:rPr>
            </w:pPr>
            <w:r>
              <w:rPr>
                <w:rFonts w:hint="eastAsia" w:ascii="宋体" w:hAnsi="宋体"/>
                <w:szCs w:val="21"/>
              </w:rPr>
              <w:t>建设单位</w:t>
            </w:r>
          </w:p>
        </w:tc>
        <w:tc>
          <w:tcPr>
            <w:tcW w:w="1817" w:type="dxa"/>
            <w:gridSpan w:val="2"/>
            <w:vAlign w:val="center"/>
          </w:tcPr>
          <w:p>
            <w:pPr>
              <w:rPr>
                <w:rFonts w:ascii="宋体" w:hAnsi="宋体"/>
                <w:szCs w:val="21"/>
              </w:rPr>
            </w:pPr>
            <w:r>
              <w:rPr>
                <w:rFonts w:hint="eastAsia" w:ascii="宋体" w:hAnsi="宋体"/>
                <w:szCs w:val="21"/>
              </w:rPr>
              <w:t>项目名称</w:t>
            </w:r>
          </w:p>
        </w:tc>
        <w:tc>
          <w:tcPr>
            <w:tcW w:w="1378" w:type="dxa"/>
            <w:gridSpan w:val="2"/>
            <w:vAlign w:val="center"/>
          </w:tcPr>
          <w:p>
            <w:pPr>
              <w:rPr>
                <w:rFonts w:ascii="宋体" w:hAnsi="宋体"/>
                <w:szCs w:val="21"/>
              </w:rPr>
            </w:pPr>
            <w:r>
              <w:rPr>
                <w:rFonts w:hint="eastAsia" w:ascii="宋体" w:hAnsi="宋体"/>
                <w:szCs w:val="21"/>
              </w:rPr>
              <w:t>建设规模</w:t>
            </w:r>
          </w:p>
        </w:tc>
        <w:tc>
          <w:tcPr>
            <w:tcW w:w="1447" w:type="dxa"/>
            <w:gridSpan w:val="2"/>
            <w:vAlign w:val="center"/>
          </w:tcPr>
          <w:p>
            <w:pPr>
              <w:rPr>
                <w:rFonts w:ascii="宋体" w:hAnsi="宋体"/>
                <w:szCs w:val="21"/>
              </w:rPr>
            </w:pPr>
            <w:r>
              <w:rPr>
                <w:rFonts w:hint="eastAsia" w:ascii="宋体" w:hAnsi="宋体"/>
                <w:szCs w:val="21"/>
              </w:rPr>
              <w:t>开、竣工</w:t>
            </w:r>
          </w:p>
          <w:p>
            <w:pPr>
              <w:rPr>
                <w:rFonts w:ascii="宋体" w:hAnsi="宋体"/>
                <w:szCs w:val="21"/>
              </w:rPr>
            </w:pPr>
            <w:r>
              <w:rPr>
                <w:rFonts w:hint="eastAsia" w:ascii="宋体" w:hAnsi="宋体"/>
                <w:szCs w:val="21"/>
              </w:rPr>
              <w:t>日期</w:t>
            </w:r>
          </w:p>
        </w:tc>
        <w:tc>
          <w:tcPr>
            <w:tcW w:w="1272" w:type="dxa"/>
            <w:vAlign w:val="center"/>
          </w:tcPr>
          <w:p>
            <w:pPr>
              <w:rPr>
                <w:rFonts w:ascii="宋体" w:hAnsi="宋体"/>
                <w:szCs w:val="21"/>
              </w:rPr>
            </w:pPr>
            <w:r>
              <w:rPr>
                <w:rFonts w:hint="eastAsia" w:ascii="宋体" w:hAnsi="宋体"/>
                <w:szCs w:val="21"/>
              </w:rPr>
              <w:t>在建或</w:t>
            </w:r>
          </w:p>
          <w:p>
            <w:pPr>
              <w:rPr>
                <w:rFonts w:ascii="宋体" w:hAnsi="宋体"/>
                <w:szCs w:val="21"/>
              </w:rPr>
            </w:pPr>
            <w:r>
              <w:rPr>
                <w:rFonts w:hint="eastAsia" w:ascii="宋体" w:hAnsi="宋体"/>
                <w:szCs w:val="21"/>
              </w:rPr>
              <w:t>已完</w:t>
            </w:r>
          </w:p>
        </w:tc>
        <w:tc>
          <w:tcPr>
            <w:tcW w:w="1784" w:type="dxa"/>
            <w:vAlign w:val="center"/>
          </w:tcPr>
          <w:p>
            <w:pPr>
              <w:rPr>
                <w:rFonts w:ascii="宋体" w:hAnsi="宋体"/>
                <w:szCs w:val="21"/>
              </w:rPr>
            </w:pPr>
            <w:r>
              <w:rPr>
                <w:rFonts w:hint="eastAsia" w:ascii="宋体" w:hAnsi="宋体"/>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14" w:type="dxa"/>
            <w:vAlign w:val="center"/>
          </w:tcPr>
          <w:p>
            <w:pPr>
              <w:rPr>
                <w:rFonts w:ascii="宋体" w:hAnsi="宋体"/>
                <w:szCs w:val="21"/>
              </w:rPr>
            </w:pPr>
          </w:p>
        </w:tc>
        <w:tc>
          <w:tcPr>
            <w:tcW w:w="1817" w:type="dxa"/>
            <w:gridSpan w:val="2"/>
            <w:vAlign w:val="center"/>
          </w:tcPr>
          <w:p>
            <w:pPr>
              <w:rPr>
                <w:rFonts w:ascii="宋体" w:hAnsi="宋体"/>
                <w:szCs w:val="21"/>
              </w:rPr>
            </w:pPr>
          </w:p>
        </w:tc>
        <w:tc>
          <w:tcPr>
            <w:tcW w:w="1378" w:type="dxa"/>
            <w:gridSpan w:val="2"/>
            <w:vAlign w:val="center"/>
          </w:tcPr>
          <w:p>
            <w:pPr>
              <w:rPr>
                <w:rFonts w:ascii="宋体" w:hAnsi="宋体"/>
                <w:szCs w:val="21"/>
              </w:rPr>
            </w:pPr>
          </w:p>
        </w:tc>
        <w:tc>
          <w:tcPr>
            <w:tcW w:w="1447" w:type="dxa"/>
            <w:gridSpan w:val="2"/>
            <w:vAlign w:val="center"/>
          </w:tcPr>
          <w:p>
            <w:pPr>
              <w:rPr>
                <w:rFonts w:ascii="宋体" w:hAnsi="宋体"/>
                <w:szCs w:val="21"/>
              </w:rPr>
            </w:pPr>
          </w:p>
        </w:tc>
        <w:tc>
          <w:tcPr>
            <w:tcW w:w="1272" w:type="dxa"/>
            <w:vAlign w:val="center"/>
          </w:tcPr>
          <w:p>
            <w:pPr>
              <w:rPr>
                <w:rFonts w:ascii="宋体" w:hAnsi="宋体"/>
                <w:szCs w:val="21"/>
              </w:rPr>
            </w:pPr>
          </w:p>
        </w:tc>
        <w:tc>
          <w:tcPr>
            <w:tcW w:w="178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14" w:type="dxa"/>
            <w:vAlign w:val="center"/>
          </w:tcPr>
          <w:p>
            <w:pPr>
              <w:rPr>
                <w:rFonts w:ascii="宋体" w:hAnsi="宋体"/>
                <w:szCs w:val="21"/>
              </w:rPr>
            </w:pPr>
          </w:p>
        </w:tc>
        <w:tc>
          <w:tcPr>
            <w:tcW w:w="1817" w:type="dxa"/>
            <w:gridSpan w:val="2"/>
            <w:vAlign w:val="center"/>
          </w:tcPr>
          <w:p>
            <w:pPr>
              <w:rPr>
                <w:rFonts w:ascii="宋体" w:hAnsi="宋体"/>
                <w:szCs w:val="21"/>
              </w:rPr>
            </w:pPr>
          </w:p>
        </w:tc>
        <w:tc>
          <w:tcPr>
            <w:tcW w:w="1378" w:type="dxa"/>
            <w:gridSpan w:val="2"/>
            <w:vAlign w:val="center"/>
          </w:tcPr>
          <w:p>
            <w:pPr>
              <w:rPr>
                <w:rFonts w:ascii="宋体" w:hAnsi="宋体"/>
                <w:szCs w:val="21"/>
              </w:rPr>
            </w:pPr>
          </w:p>
        </w:tc>
        <w:tc>
          <w:tcPr>
            <w:tcW w:w="1447" w:type="dxa"/>
            <w:gridSpan w:val="2"/>
            <w:vAlign w:val="center"/>
          </w:tcPr>
          <w:p>
            <w:pPr>
              <w:rPr>
                <w:rFonts w:ascii="宋体" w:hAnsi="宋体"/>
                <w:szCs w:val="21"/>
              </w:rPr>
            </w:pPr>
          </w:p>
        </w:tc>
        <w:tc>
          <w:tcPr>
            <w:tcW w:w="1272" w:type="dxa"/>
            <w:vAlign w:val="center"/>
          </w:tcPr>
          <w:p>
            <w:pPr>
              <w:rPr>
                <w:rFonts w:ascii="宋体" w:hAnsi="宋体"/>
                <w:szCs w:val="21"/>
              </w:rPr>
            </w:pPr>
          </w:p>
        </w:tc>
        <w:tc>
          <w:tcPr>
            <w:tcW w:w="178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14" w:type="dxa"/>
            <w:vAlign w:val="center"/>
          </w:tcPr>
          <w:p>
            <w:pPr>
              <w:rPr>
                <w:rFonts w:ascii="宋体" w:hAnsi="宋体"/>
                <w:szCs w:val="21"/>
              </w:rPr>
            </w:pPr>
          </w:p>
        </w:tc>
        <w:tc>
          <w:tcPr>
            <w:tcW w:w="1817" w:type="dxa"/>
            <w:gridSpan w:val="2"/>
            <w:vAlign w:val="center"/>
          </w:tcPr>
          <w:p>
            <w:pPr>
              <w:rPr>
                <w:rFonts w:ascii="宋体" w:hAnsi="宋体"/>
                <w:szCs w:val="21"/>
              </w:rPr>
            </w:pPr>
          </w:p>
        </w:tc>
        <w:tc>
          <w:tcPr>
            <w:tcW w:w="1378" w:type="dxa"/>
            <w:gridSpan w:val="2"/>
            <w:vAlign w:val="center"/>
          </w:tcPr>
          <w:p>
            <w:pPr>
              <w:rPr>
                <w:rFonts w:ascii="宋体" w:hAnsi="宋体"/>
                <w:szCs w:val="21"/>
              </w:rPr>
            </w:pPr>
          </w:p>
        </w:tc>
        <w:tc>
          <w:tcPr>
            <w:tcW w:w="1447" w:type="dxa"/>
            <w:gridSpan w:val="2"/>
            <w:vAlign w:val="center"/>
          </w:tcPr>
          <w:p>
            <w:pPr>
              <w:rPr>
                <w:rFonts w:ascii="宋体" w:hAnsi="宋体"/>
                <w:szCs w:val="21"/>
              </w:rPr>
            </w:pPr>
          </w:p>
        </w:tc>
        <w:tc>
          <w:tcPr>
            <w:tcW w:w="1272" w:type="dxa"/>
            <w:vAlign w:val="center"/>
          </w:tcPr>
          <w:p>
            <w:pPr>
              <w:rPr>
                <w:rFonts w:ascii="宋体" w:hAnsi="宋体"/>
                <w:szCs w:val="21"/>
              </w:rPr>
            </w:pPr>
          </w:p>
        </w:tc>
        <w:tc>
          <w:tcPr>
            <w:tcW w:w="178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14" w:type="dxa"/>
            <w:vAlign w:val="center"/>
          </w:tcPr>
          <w:p>
            <w:pPr>
              <w:rPr>
                <w:rFonts w:ascii="宋体" w:hAnsi="宋体"/>
                <w:szCs w:val="21"/>
              </w:rPr>
            </w:pPr>
          </w:p>
        </w:tc>
        <w:tc>
          <w:tcPr>
            <w:tcW w:w="1817" w:type="dxa"/>
            <w:gridSpan w:val="2"/>
            <w:vAlign w:val="center"/>
          </w:tcPr>
          <w:p>
            <w:pPr>
              <w:rPr>
                <w:rFonts w:ascii="宋体" w:hAnsi="宋体"/>
                <w:szCs w:val="21"/>
              </w:rPr>
            </w:pPr>
          </w:p>
        </w:tc>
        <w:tc>
          <w:tcPr>
            <w:tcW w:w="1378" w:type="dxa"/>
            <w:gridSpan w:val="2"/>
            <w:vAlign w:val="center"/>
          </w:tcPr>
          <w:p>
            <w:pPr>
              <w:rPr>
                <w:rFonts w:ascii="宋体" w:hAnsi="宋体"/>
                <w:szCs w:val="21"/>
              </w:rPr>
            </w:pPr>
          </w:p>
        </w:tc>
        <w:tc>
          <w:tcPr>
            <w:tcW w:w="1447" w:type="dxa"/>
            <w:gridSpan w:val="2"/>
            <w:vAlign w:val="center"/>
          </w:tcPr>
          <w:p>
            <w:pPr>
              <w:rPr>
                <w:rFonts w:ascii="宋体" w:hAnsi="宋体"/>
                <w:szCs w:val="21"/>
              </w:rPr>
            </w:pPr>
          </w:p>
        </w:tc>
        <w:tc>
          <w:tcPr>
            <w:tcW w:w="1272" w:type="dxa"/>
            <w:vAlign w:val="center"/>
          </w:tcPr>
          <w:p>
            <w:pPr>
              <w:rPr>
                <w:rFonts w:ascii="宋体" w:hAnsi="宋体"/>
                <w:szCs w:val="21"/>
              </w:rPr>
            </w:pPr>
          </w:p>
        </w:tc>
        <w:tc>
          <w:tcPr>
            <w:tcW w:w="1784" w:type="dxa"/>
            <w:vAlign w:val="center"/>
          </w:tcPr>
          <w:p>
            <w:pPr>
              <w:rPr>
                <w:rFonts w:ascii="宋体" w:hAnsi="宋体"/>
                <w:szCs w:val="21"/>
              </w:rPr>
            </w:pPr>
          </w:p>
        </w:tc>
      </w:tr>
    </w:tbl>
    <w:p>
      <w:pPr>
        <w:rPr>
          <w:rFonts w:hint="eastAsia" w:ascii="宋体" w:hAnsi="宋体"/>
          <w:szCs w:val="21"/>
        </w:rPr>
      </w:pPr>
      <w:bookmarkStart w:id="231" w:name="_Toc114376995"/>
      <w:bookmarkStart w:id="232" w:name="_Toc112752892"/>
      <w:bookmarkStart w:id="233" w:name="_Toc114371671"/>
      <w:bookmarkStart w:id="234" w:name="_Toc164767938"/>
      <w:bookmarkStart w:id="235" w:name="_Toc114916952"/>
      <w:bookmarkStart w:id="236" w:name="_Toc114375861"/>
      <w:bookmarkStart w:id="237" w:name="_Toc114371520"/>
      <w:bookmarkStart w:id="238" w:name="_Toc290207182"/>
      <w:bookmarkStart w:id="239" w:name="_Toc114916891"/>
      <w:bookmarkStart w:id="240" w:name="_Toc78098332"/>
      <w:bookmarkStart w:id="241" w:name="_Toc114887898"/>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br w:type="textWrapping"/>
      </w:r>
    </w:p>
    <w:p>
      <w:pPr>
        <w:rPr>
          <w:rFonts w:hint="eastAsia" w:ascii="宋体" w:hAnsi="宋体"/>
          <w:szCs w:val="21"/>
        </w:rPr>
      </w:pPr>
    </w:p>
    <w:p>
      <w:pPr>
        <w:rPr>
          <w:rFonts w:hint="eastAsia" w:ascii="宋体" w:hAnsi="宋体"/>
          <w:b/>
          <w:szCs w:val="21"/>
        </w:rPr>
      </w:pPr>
    </w:p>
    <w:p>
      <w:pPr>
        <w:rPr>
          <w:rFonts w:hint="eastAsia" w:ascii="宋体" w:hAnsi="宋体"/>
          <w:b/>
          <w:szCs w:val="21"/>
        </w:rPr>
      </w:pPr>
      <w:bookmarkStart w:id="242" w:name="_Toc11043"/>
      <w:r>
        <w:rPr>
          <w:rFonts w:hint="eastAsia" w:ascii="宋体" w:hAnsi="宋体"/>
          <w:b/>
          <w:szCs w:val="21"/>
        </w:rPr>
        <w:br w:type="page"/>
      </w:r>
    </w:p>
    <w:p>
      <w:pPr>
        <w:rPr>
          <w:rFonts w:ascii="宋体" w:hAnsi="宋体"/>
          <w:b/>
          <w:szCs w:val="21"/>
        </w:rPr>
      </w:pPr>
      <w:r>
        <w:rPr>
          <w:rFonts w:hint="eastAsia" w:ascii="宋体" w:hAnsi="宋体"/>
          <w:b/>
          <w:szCs w:val="21"/>
        </w:rPr>
        <w:t>（3）项目技术负责人简历表</w:t>
      </w:r>
      <w:bookmarkEnd w:id="231"/>
      <w:bookmarkEnd w:id="232"/>
      <w:bookmarkEnd w:id="233"/>
      <w:bookmarkEnd w:id="234"/>
      <w:bookmarkEnd w:id="235"/>
      <w:bookmarkEnd w:id="236"/>
      <w:bookmarkEnd w:id="237"/>
      <w:bookmarkEnd w:id="238"/>
      <w:bookmarkEnd w:id="239"/>
      <w:bookmarkEnd w:id="240"/>
      <w:bookmarkEnd w:id="241"/>
      <w:bookmarkEnd w:id="242"/>
    </w:p>
    <w:p>
      <w:pPr>
        <w:rPr>
          <w:rFonts w:ascii="宋体" w:hAnsi="宋体"/>
          <w:szCs w:val="21"/>
        </w:rPr>
      </w:pPr>
      <w:r>
        <w:rPr>
          <w:rFonts w:hint="eastAsia" w:ascii="宋体" w:hAnsi="宋体"/>
          <w:szCs w:val="21"/>
          <w:u w:val="single"/>
        </w:rPr>
        <w:t xml:space="preserve">（工程项目名称）     </w:t>
      </w:r>
      <w:r>
        <w:rPr>
          <w:rFonts w:hint="eastAsia" w:ascii="宋体" w:hAnsi="宋体"/>
          <w:szCs w:val="21"/>
        </w:rPr>
        <w:t xml:space="preserve">工程                                               </w:t>
      </w:r>
    </w:p>
    <w:tbl>
      <w:tblPr>
        <w:tblStyle w:val="26"/>
        <w:tblW w:w="89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868"/>
        <w:gridCol w:w="949"/>
        <w:gridCol w:w="42"/>
        <w:gridCol w:w="1336"/>
        <w:gridCol w:w="37"/>
        <w:gridCol w:w="1410"/>
        <w:gridCol w:w="1272"/>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31" w:type="dxa"/>
            <w:vAlign w:val="center"/>
          </w:tcPr>
          <w:p>
            <w:pPr>
              <w:rPr>
                <w:rFonts w:ascii="宋体" w:hAnsi="宋体"/>
                <w:szCs w:val="21"/>
              </w:rPr>
            </w:pPr>
            <w:r>
              <w:rPr>
                <w:rFonts w:hint="eastAsia" w:ascii="宋体" w:hAnsi="宋体"/>
                <w:szCs w:val="21"/>
              </w:rPr>
              <w:t>姓名</w:t>
            </w:r>
          </w:p>
        </w:tc>
        <w:tc>
          <w:tcPr>
            <w:tcW w:w="1859" w:type="dxa"/>
            <w:gridSpan w:val="3"/>
            <w:vAlign w:val="center"/>
          </w:tcPr>
          <w:p>
            <w:pPr>
              <w:rPr>
                <w:rFonts w:ascii="宋体" w:hAnsi="宋体"/>
                <w:szCs w:val="21"/>
              </w:rPr>
            </w:pPr>
          </w:p>
        </w:tc>
        <w:tc>
          <w:tcPr>
            <w:tcW w:w="1373" w:type="dxa"/>
            <w:gridSpan w:val="2"/>
            <w:vAlign w:val="center"/>
          </w:tcPr>
          <w:p>
            <w:pPr>
              <w:rPr>
                <w:rFonts w:ascii="宋体" w:hAnsi="宋体"/>
                <w:szCs w:val="21"/>
              </w:rPr>
            </w:pPr>
            <w:r>
              <w:rPr>
                <w:rFonts w:hint="eastAsia" w:ascii="宋体" w:hAnsi="宋体"/>
                <w:szCs w:val="21"/>
              </w:rPr>
              <w:t>性别</w:t>
            </w:r>
          </w:p>
        </w:tc>
        <w:tc>
          <w:tcPr>
            <w:tcW w:w="1410" w:type="dxa"/>
            <w:vAlign w:val="center"/>
          </w:tcPr>
          <w:p>
            <w:pPr>
              <w:rPr>
                <w:rFonts w:ascii="宋体" w:hAnsi="宋体"/>
                <w:szCs w:val="21"/>
              </w:rPr>
            </w:pPr>
          </w:p>
        </w:tc>
        <w:tc>
          <w:tcPr>
            <w:tcW w:w="1272" w:type="dxa"/>
            <w:vAlign w:val="center"/>
          </w:tcPr>
          <w:p>
            <w:pPr>
              <w:rPr>
                <w:rFonts w:ascii="宋体" w:hAnsi="宋体"/>
                <w:szCs w:val="21"/>
              </w:rPr>
            </w:pPr>
            <w:r>
              <w:rPr>
                <w:rFonts w:hint="eastAsia" w:ascii="宋体" w:hAnsi="宋体"/>
                <w:szCs w:val="21"/>
              </w:rPr>
              <w:t>年龄</w:t>
            </w:r>
          </w:p>
        </w:tc>
        <w:tc>
          <w:tcPr>
            <w:tcW w:w="1668"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31" w:type="dxa"/>
            <w:vAlign w:val="center"/>
          </w:tcPr>
          <w:p>
            <w:pPr>
              <w:rPr>
                <w:rFonts w:ascii="宋体" w:hAnsi="宋体"/>
                <w:szCs w:val="21"/>
              </w:rPr>
            </w:pPr>
            <w:r>
              <w:rPr>
                <w:rFonts w:hint="eastAsia" w:ascii="宋体" w:hAnsi="宋体"/>
                <w:szCs w:val="21"/>
              </w:rPr>
              <w:t>职务</w:t>
            </w:r>
          </w:p>
        </w:tc>
        <w:tc>
          <w:tcPr>
            <w:tcW w:w="1859" w:type="dxa"/>
            <w:gridSpan w:val="3"/>
            <w:vAlign w:val="center"/>
          </w:tcPr>
          <w:p>
            <w:pPr>
              <w:rPr>
                <w:rFonts w:ascii="宋体" w:hAnsi="宋体"/>
                <w:szCs w:val="21"/>
              </w:rPr>
            </w:pPr>
          </w:p>
        </w:tc>
        <w:tc>
          <w:tcPr>
            <w:tcW w:w="1373" w:type="dxa"/>
            <w:gridSpan w:val="2"/>
            <w:vAlign w:val="center"/>
          </w:tcPr>
          <w:p>
            <w:pPr>
              <w:rPr>
                <w:rFonts w:ascii="宋体" w:hAnsi="宋体"/>
                <w:szCs w:val="21"/>
              </w:rPr>
            </w:pPr>
            <w:r>
              <w:rPr>
                <w:rFonts w:hint="eastAsia" w:ascii="宋体" w:hAnsi="宋体"/>
                <w:szCs w:val="21"/>
              </w:rPr>
              <w:t>职称</w:t>
            </w:r>
          </w:p>
        </w:tc>
        <w:tc>
          <w:tcPr>
            <w:tcW w:w="1410" w:type="dxa"/>
            <w:vAlign w:val="center"/>
          </w:tcPr>
          <w:p>
            <w:pPr>
              <w:rPr>
                <w:rFonts w:ascii="宋体" w:hAnsi="宋体"/>
                <w:szCs w:val="21"/>
              </w:rPr>
            </w:pPr>
          </w:p>
        </w:tc>
        <w:tc>
          <w:tcPr>
            <w:tcW w:w="1272" w:type="dxa"/>
            <w:vAlign w:val="center"/>
          </w:tcPr>
          <w:p>
            <w:pPr>
              <w:rPr>
                <w:rFonts w:ascii="宋体" w:hAnsi="宋体"/>
                <w:szCs w:val="21"/>
              </w:rPr>
            </w:pPr>
            <w:r>
              <w:rPr>
                <w:rFonts w:hint="eastAsia" w:ascii="宋体" w:hAnsi="宋体"/>
                <w:szCs w:val="21"/>
              </w:rPr>
              <w:t>学历</w:t>
            </w:r>
          </w:p>
        </w:tc>
        <w:tc>
          <w:tcPr>
            <w:tcW w:w="1668"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99" w:type="dxa"/>
            <w:gridSpan w:val="2"/>
            <w:vAlign w:val="center"/>
          </w:tcPr>
          <w:p>
            <w:pPr>
              <w:rPr>
                <w:rFonts w:ascii="宋体" w:hAnsi="宋体"/>
                <w:szCs w:val="21"/>
              </w:rPr>
            </w:pPr>
            <w:r>
              <w:rPr>
                <w:rFonts w:hint="eastAsia" w:ascii="宋体" w:hAnsi="宋体"/>
                <w:szCs w:val="21"/>
              </w:rPr>
              <w:t>参加工作时间</w:t>
            </w:r>
          </w:p>
        </w:tc>
        <w:tc>
          <w:tcPr>
            <w:tcW w:w="2364" w:type="dxa"/>
            <w:gridSpan w:val="4"/>
            <w:vAlign w:val="center"/>
          </w:tcPr>
          <w:p>
            <w:pPr>
              <w:rPr>
                <w:rFonts w:ascii="宋体" w:hAnsi="宋体"/>
                <w:szCs w:val="21"/>
              </w:rPr>
            </w:pPr>
          </w:p>
        </w:tc>
        <w:tc>
          <w:tcPr>
            <w:tcW w:w="2682" w:type="dxa"/>
            <w:gridSpan w:val="2"/>
            <w:vAlign w:val="center"/>
          </w:tcPr>
          <w:p>
            <w:pPr>
              <w:rPr>
                <w:rFonts w:ascii="宋体" w:hAnsi="宋体"/>
                <w:szCs w:val="21"/>
              </w:rPr>
            </w:pPr>
            <w:r>
              <w:rPr>
                <w:rFonts w:hint="eastAsia" w:ascii="宋体" w:hAnsi="宋体"/>
                <w:szCs w:val="21"/>
              </w:rPr>
              <w:t>担任技术负责人年限</w:t>
            </w:r>
          </w:p>
        </w:tc>
        <w:tc>
          <w:tcPr>
            <w:tcW w:w="1668"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913" w:type="dxa"/>
            <w:gridSpan w:val="9"/>
            <w:vAlign w:val="center"/>
          </w:tcPr>
          <w:p>
            <w:pPr>
              <w:rPr>
                <w:rFonts w:ascii="宋体" w:hAnsi="宋体"/>
                <w:szCs w:val="21"/>
              </w:rPr>
            </w:pPr>
            <w:r>
              <w:rPr>
                <w:rFonts w:hint="eastAsia" w:ascii="宋体" w:hAnsi="宋体"/>
                <w:szCs w:val="21"/>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Align w:val="center"/>
          </w:tcPr>
          <w:p>
            <w:pPr>
              <w:rPr>
                <w:rFonts w:ascii="宋体" w:hAnsi="宋体"/>
                <w:szCs w:val="21"/>
              </w:rPr>
            </w:pPr>
            <w:r>
              <w:rPr>
                <w:rFonts w:hint="eastAsia" w:ascii="宋体" w:hAnsi="宋体"/>
                <w:szCs w:val="21"/>
              </w:rPr>
              <w:t>建设单位</w:t>
            </w:r>
          </w:p>
        </w:tc>
        <w:tc>
          <w:tcPr>
            <w:tcW w:w="1817" w:type="dxa"/>
            <w:gridSpan w:val="2"/>
            <w:vAlign w:val="center"/>
          </w:tcPr>
          <w:p>
            <w:pPr>
              <w:rPr>
                <w:rFonts w:ascii="宋体" w:hAnsi="宋体"/>
                <w:szCs w:val="21"/>
              </w:rPr>
            </w:pPr>
            <w:r>
              <w:rPr>
                <w:rFonts w:hint="eastAsia" w:ascii="宋体" w:hAnsi="宋体"/>
                <w:szCs w:val="21"/>
              </w:rPr>
              <w:t>项目名称</w:t>
            </w:r>
          </w:p>
        </w:tc>
        <w:tc>
          <w:tcPr>
            <w:tcW w:w="1378" w:type="dxa"/>
            <w:gridSpan w:val="2"/>
            <w:vAlign w:val="center"/>
          </w:tcPr>
          <w:p>
            <w:pPr>
              <w:rPr>
                <w:rFonts w:ascii="宋体" w:hAnsi="宋体"/>
                <w:szCs w:val="21"/>
              </w:rPr>
            </w:pPr>
            <w:r>
              <w:rPr>
                <w:rFonts w:hint="eastAsia" w:ascii="宋体" w:hAnsi="宋体"/>
                <w:szCs w:val="21"/>
              </w:rPr>
              <w:t>建设规模</w:t>
            </w:r>
          </w:p>
        </w:tc>
        <w:tc>
          <w:tcPr>
            <w:tcW w:w="1447" w:type="dxa"/>
            <w:gridSpan w:val="2"/>
            <w:vAlign w:val="center"/>
          </w:tcPr>
          <w:p>
            <w:pPr>
              <w:rPr>
                <w:rFonts w:ascii="宋体" w:hAnsi="宋体"/>
                <w:szCs w:val="21"/>
              </w:rPr>
            </w:pPr>
            <w:r>
              <w:rPr>
                <w:rFonts w:hint="eastAsia" w:ascii="宋体" w:hAnsi="宋体"/>
                <w:szCs w:val="21"/>
              </w:rPr>
              <w:t>开、竣工</w:t>
            </w:r>
          </w:p>
          <w:p>
            <w:pPr>
              <w:rPr>
                <w:rFonts w:ascii="宋体" w:hAnsi="宋体"/>
                <w:szCs w:val="21"/>
              </w:rPr>
            </w:pPr>
            <w:r>
              <w:rPr>
                <w:rFonts w:hint="eastAsia" w:ascii="宋体" w:hAnsi="宋体"/>
                <w:szCs w:val="21"/>
              </w:rPr>
              <w:t>日期</w:t>
            </w:r>
          </w:p>
        </w:tc>
        <w:tc>
          <w:tcPr>
            <w:tcW w:w="1272" w:type="dxa"/>
            <w:vAlign w:val="center"/>
          </w:tcPr>
          <w:p>
            <w:pPr>
              <w:rPr>
                <w:rFonts w:ascii="宋体" w:hAnsi="宋体"/>
                <w:szCs w:val="21"/>
              </w:rPr>
            </w:pPr>
            <w:r>
              <w:rPr>
                <w:rFonts w:hint="eastAsia" w:ascii="宋体" w:hAnsi="宋体"/>
                <w:szCs w:val="21"/>
              </w:rPr>
              <w:t>在建或</w:t>
            </w:r>
          </w:p>
          <w:p>
            <w:pPr>
              <w:rPr>
                <w:rFonts w:ascii="宋体" w:hAnsi="宋体"/>
                <w:szCs w:val="21"/>
              </w:rPr>
            </w:pPr>
            <w:r>
              <w:rPr>
                <w:rFonts w:hint="eastAsia" w:ascii="宋体" w:hAnsi="宋体"/>
                <w:szCs w:val="21"/>
              </w:rPr>
              <w:t>已完</w:t>
            </w:r>
          </w:p>
        </w:tc>
        <w:tc>
          <w:tcPr>
            <w:tcW w:w="1668" w:type="dxa"/>
            <w:vAlign w:val="center"/>
          </w:tcPr>
          <w:p>
            <w:pPr>
              <w:rPr>
                <w:rFonts w:ascii="宋体" w:hAnsi="宋体"/>
                <w:szCs w:val="21"/>
              </w:rPr>
            </w:pPr>
            <w:r>
              <w:rPr>
                <w:rFonts w:hint="eastAsia" w:ascii="宋体" w:hAnsi="宋体"/>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31" w:type="dxa"/>
            <w:vAlign w:val="center"/>
          </w:tcPr>
          <w:p>
            <w:pPr>
              <w:rPr>
                <w:rFonts w:ascii="宋体" w:hAnsi="宋体"/>
                <w:szCs w:val="21"/>
              </w:rPr>
            </w:pPr>
          </w:p>
        </w:tc>
        <w:tc>
          <w:tcPr>
            <w:tcW w:w="1817" w:type="dxa"/>
            <w:gridSpan w:val="2"/>
            <w:vAlign w:val="center"/>
          </w:tcPr>
          <w:p>
            <w:pPr>
              <w:rPr>
                <w:rFonts w:ascii="宋体" w:hAnsi="宋体"/>
                <w:szCs w:val="21"/>
              </w:rPr>
            </w:pPr>
          </w:p>
        </w:tc>
        <w:tc>
          <w:tcPr>
            <w:tcW w:w="1378" w:type="dxa"/>
            <w:gridSpan w:val="2"/>
            <w:vAlign w:val="center"/>
          </w:tcPr>
          <w:p>
            <w:pPr>
              <w:rPr>
                <w:rFonts w:ascii="宋体" w:hAnsi="宋体"/>
                <w:szCs w:val="21"/>
              </w:rPr>
            </w:pPr>
          </w:p>
        </w:tc>
        <w:tc>
          <w:tcPr>
            <w:tcW w:w="1447" w:type="dxa"/>
            <w:gridSpan w:val="2"/>
            <w:vAlign w:val="center"/>
          </w:tcPr>
          <w:p>
            <w:pPr>
              <w:rPr>
                <w:rFonts w:ascii="宋体" w:hAnsi="宋体"/>
                <w:szCs w:val="21"/>
              </w:rPr>
            </w:pPr>
          </w:p>
        </w:tc>
        <w:tc>
          <w:tcPr>
            <w:tcW w:w="1272" w:type="dxa"/>
            <w:vAlign w:val="center"/>
          </w:tcPr>
          <w:p>
            <w:pPr>
              <w:rPr>
                <w:rFonts w:ascii="宋体" w:hAnsi="宋体"/>
                <w:szCs w:val="21"/>
              </w:rPr>
            </w:pPr>
          </w:p>
        </w:tc>
        <w:tc>
          <w:tcPr>
            <w:tcW w:w="1668"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31" w:type="dxa"/>
            <w:vAlign w:val="center"/>
          </w:tcPr>
          <w:p>
            <w:pPr>
              <w:rPr>
                <w:rFonts w:ascii="宋体" w:hAnsi="宋体"/>
                <w:szCs w:val="21"/>
              </w:rPr>
            </w:pPr>
          </w:p>
        </w:tc>
        <w:tc>
          <w:tcPr>
            <w:tcW w:w="1817" w:type="dxa"/>
            <w:gridSpan w:val="2"/>
            <w:vAlign w:val="center"/>
          </w:tcPr>
          <w:p>
            <w:pPr>
              <w:rPr>
                <w:rFonts w:ascii="宋体" w:hAnsi="宋体"/>
                <w:szCs w:val="21"/>
              </w:rPr>
            </w:pPr>
          </w:p>
        </w:tc>
        <w:tc>
          <w:tcPr>
            <w:tcW w:w="1378" w:type="dxa"/>
            <w:gridSpan w:val="2"/>
            <w:vAlign w:val="center"/>
          </w:tcPr>
          <w:p>
            <w:pPr>
              <w:rPr>
                <w:rFonts w:ascii="宋体" w:hAnsi="宋体"/>
                <w:szCs w:val="21"/>
              </w:rPr>
            </w:pPr>
          </w:p>
        </w:tc>
        <w:tc>
          <w:tcPr>
            <w:tcW w:w="1447" w:type="dxa"/>
            <w:gridSpan w:val="2"/>
            <w:vAlign w:val="center"/>
          </w:tcPr>
          <w:p>
            <w:pPr>
              <w:rPr>
                <w:rFonts w:ascii="宋体" w:hAnsi="宋体"/>
                <w:szCs w:val="21"/>
              </w:rPr>
            </w:pPr>
          </w:p>
        </w:tc>
        <w:tc>
          <w:tcPr>
            <w:tcW w:w="1272" w:type="dxa"/>
            <w:vAlign w:val="center"/>
          </w:tcPr>
          <w:p>
            <w:pPr>
              <w:rPr>
                <w:rFonts w:ascii="宋体" w:hAnsi="宋体"/>
                <w:szCs w:val="21"/>
              </w:rPr>
            </w:pPr>
          </w:p>
        </w:tc>
        <w:tc>
          <w:tcPr>
            <w:tcW w:w="1668"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31" w:type="dxa"/>
            <w:vAlign w:val="center"/>
          </w:tcPr>
          <w:p>
            <w:pPr>
              <w:rPr>
                <w:rFonts w:ascii="宋体" w:hAnsi="宋体"/>
                <w:szCs w:val="21"/>
              </w:rPr>
            </w:pPr>
          </w:p>
        </w:tc>
        <w:tc>
          <w:tcPr>
            <w:tcW w:w="1817" w:type="dxa"/>
            <w:gridSpan w:val="2"/>
            <w:vAlign w:val="center"/>
          </w:tcPr>
          <w:p>
            <w:pPr>
              <w:rPr>
                <w:rFonts w:ascii="宋体" w:hAnsi="宋体"/>
                <w:szCs w:val="21"/>
              </w:rPr>
            </w:pPr>
          </w:p>
        </w:tc>
        <w:tc>
          <w:tcPr>
            <w:tcW w:w="1378" w:type="dxa"/>
            <w:gridSpan w:val="2"/>
            <w:vAlign w:val="center"/>
          </w:tcPr>
          <w:p>
            <w:pPr>
              <w:rPr>
                <w:rFonts w:ascii="宋体" w:hAnsi="宋体"/>
                <w:szCs w:val="21"/>
              </w:rPr>
            </w:pPr>
          </w:p>
        </w:tc>
        <w:tc>
          <w:tcPr>
            <w:tcW w:w="1447" w:type="dxa"/>
            <w:gridSpan w:val="2"/>
            <w:vAlign w:val="center"/>
          </w:tcPr>
          <w:p>
            <w:pPr>
              <w:rPr>
                <w:rFonts w:ascii="宋体" w:hAnsi="宋体"/>
                <w:szCs w:val="21"/>
              </w:rPr>
            </w:pPr>
          </w:p>
        </w:tc>
        <w:tc>
          <w:tcPr>
            <w:tcW w:w="1272" w:type="dxa"/>
            <w:vAlign w:val="center"/>
          </w:tcPr>
          <w:p>
            <w:pPr>
              <w:rPr>
                <w:rFonts w:ascii="宋体" w:hAnsi="宋体"/>
                <w:szCs w:val="21"/>
              </w:rPr>
            </w:pPr>
          </w:p>
        </w:tc>
        <w:tc>
          <w:tcPr>
            <w:tcW w:w="1668"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31" w:type="dxa"/>
            <w:vAlign w:val="center"/>
          </w:tcPr>
          <w:p>
            <w:pPr>
              <w:rPr>
                <w:rFonts w:ascii="宋体" w:hAnsi="宋体"/>
                <w:szCs w:val="21"/>
              </w:rPr>
            </w:pPr>
          </w:p>
        </w:tc>
        <w:tc>
          <w:tcPr>
            <w:tcW w:w="1817" w:type="dxa"/>
            <w:gridSpan w:val="2"/>
            <w:vAlign w:val="center"/>
          </w:tcPr>
          <w:p>
            <w:pPr>
              <w:rPr>
                <w:rFonts w:ascii="宋体" w:hAnsi="宋体"/>
                <w:szCs w:val="21"/>
              </w:rPr>
            </w:pPr>
          </w:p>
        </w:tc>
        <w:tc>
          <w:tcPr>
            <w:tcW w:w="1378" w:type="dxa"/>
            <w:gridSpan w:val="2"/>
            <w:vAlign w:val="center"/>
          </w:tcPr>
          <w:p>
            <w:pPr>
              <w:rPr>
                <w:rFonts w:ascii="宋体" w:hAnsi="宋体"/>
                <w:szCs w:val="21"/>
              </w:rPr>
            </w:pPr>
          </w:p>
        </w:tc>
        <w:tc>
          <w:tcPr>
            <w:tcW w:w="1447" w:type="dxa"/>
            <w:gridSpan w:val="2"/>
            <w:vAlign w:val="center"/>
          </w:tcPr>
          <w:p>
            <w:pPr>
              <w:rPr>
                <w:rFonts w:ascii="宋体" w:hAnsi="宋体"/>
                <w:szCs w:val="21"/>
              </w:rPr>
            </w:pPr>
          </w:p>
        </w:tc>
        <w:tc>
          <w:tcPr>
            <w:tcW w:w="1272" w:type="dxa"/>
            <w:vAlign w:val="center"/>
          </w:tcPr>
          <w:p>
            <w:pPr>
              <w:rPr>
                <w:rFonts w:ascii="宋体" w:hAnsi="宋体"/>
                <w:szCs w:val="21"/>
              </w:rPr>
            </w:pPr>
          </w:p>
        </w:tc>
        <w:tc>
          <w:tcPr>
            <w:tcW w:w="1668"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31" w:type="dxa"/>
            <w:vAlign w:val="center"/>
          </w:tcPr>
          <w:p>
            <w:pPr>
              <w:rPr>
                <w:rFonts w:ascii="宋体" w:hAnsi="宋体"/>
                <w:szCs w:val="21"/>
              </w:rPr>
            </w:pPr>
          </w:p>
        </w:tc>
        <w:tc>
          <w:tcPr>
            <w:tcW w:w="1817" w:type="dxa"/>
            <w:gridSpan w:val="2"/>
            <w:vAlign w:val="center"/>
          </w:tcPr>
          <w:p>
            <w:pPr>
              <w:rPr>
                <w:rFonts w:ascii="宋体" w:hAnsi="宋体"/>
                <w:szCs w:val="21"/>
              </w:rPr>
            </w:pPr>
          </w:p>
        </w:tc>
        <w:tc>
          <w:tcPr>
            <w:tcW w:w="1378" w:type="dxa"/>
            <w:gridSpan w:val="2"/>
            <w:vAlign w:val="center"/>
          </w:tcPr>
          <w:p>
            <w:pPr>
              <w:rPr>
                <w:rFonts w:ascii="宋体" w:hAnsi="宋体"/>
                <w:szCs w:val="21"/>
              </w:rPr>
            </w:pPr>
          </w:p>
        </w:tc>
        <w:tc>
          <w:tcPr>
            <w:tcW w:w="1447" w:type="dxa"/>
            <w:gridSpan w:val="2"/>
            <w:vAlign w:val="center"/>
          </w:tcPr>
          <w:p>
            <w:pPr>
              <w:rPr>
                <w:rFonts w:ascii="宋体" w:hAnsi="宋体"/>
                <w:szCs w:val="21"/>
              </w:rPr>
            </w:pPr>
          </w:p>
        </w:tc>
        <w:tc>
          <w:tcPr>
            <w:tcW w:w="1272" w:type="dxa"/>
            <w:vAlign w:val="center"/>
          </w:tcPr>
          <w:p>
            <w:pPr>
              <w:rPr>
                <w:rFonts w:ascii="宋体" w:hAnsi="宋体"/>
                <w:szCs w:val="21"/>
              </w:rPr>
            </w:pPr>
          </w:p>
        </w:tc>
        <w:tc>
          <w:tcPr>
            <w:tcW w:w="1668" w:type="dxa"/>
            <w:vAlign w:val="center"/>
          </w:tcPr>
          <w:p>
            <w:pPr>
              <w:rPr>
                <w:rFonts w:ascii="宋体" w:hAnsi="宋体"/>
                <w:szCs w:val="21"/>
              </w:rPr>
            </w:pPr>
          </w:p>
        </w:tc>
      </w:tr>
    </w:tbl>
    <w:p>
      <w:pPr>
        <w:rPr>
          <w:rFonts w:ascii="宋体" w:hAnsi="宋体"/>
          <w:b/>
          <w:szCs w:val="21"/>
        </w:rPr>
      </w:pPr>
      <w:r>
        <w:rPr>
          <w:rFonts w:ascii="宋体" w:hAnsi="宋体"/>
          <w:szCs w:val="21"/>
        </w:rPr>
        <w:br w:type="page"/>
      </w:r>
      <w:bookmarkStart w:id="243" w:name="_Toc114376996"/>
      <w:bookmarkStart w:id="244" w:name="_Toc112752893"/>
      <w:bookmarkStart w:id="245" w:name="_Toc21651"/>
      <w:bookmarkStart w:id="246" w:name="_Toc164767939"/>
      <w:bookmarkStart w:id="247" w:name="_Toc114375862"/>
      <w:bookmarkStart w:id="248" w:name="_Toc114916892"/>
      <w:bookmarkStart w:id="249" w:name="_Toc290207183"/>
      <w:bookmarkStart w:id="250" w:name="_Toc114371672"/>
      <w:bookmarkStart w:id="251" w:name="_Toc78098333"/>
      <w:bookmarkStart w:id="252" w:name="_Toc114371521"/>
      <w:bookmarkStart w:id="253" w:name="_Toc114916953"/>
      <w:bookmarkStart w:id="254" w:name="_Toc114887899"/>
      <w:r>
        <w:rPr>
          <w:rFonts w:hint="eastAsia" w:ascii="宋体" w:hAnsi="宋体"/>
          <w:b/>
          <w:szCs w:val="21"/>
        </w:rPr>
        <w:t>（4）项目管理机构配备情况辅助说明资料</w:t>
      </w:r>
      <w:bookmarkEnd w:id="243"/>
      <w:bookmarkEnd w:id="244"/>
      <w:bookmarkEnd w:id="245"/>
      <w:bookmarkEnd w:id="246"/>
      <w:bookmarkEnd w:id="247"/>
      <w:bookmarkEnd w:id="248"/>
      <w:bookmarkEnd w:id="249"/>
      <w:bookmarkEnd w:id="250"/>
      <w:bookmarkEnd w:id="251"/>
      <w:bookmarkEnd w:id="252"/>
      <w:bookmarkEnd w:id="253"/>
      <w:bookmarkEnd w:id="254"/>
    </w:p>
    <w:p>
      <w:pPr>
        <w:rPr>
          <w:rFonts w:ascii="宋体" w:hAnsi="宋体"/>
          <w:szCs w:val="21"/>
        </w:rPr>
      </w:pPr>
      <w:r>
        <w:rPr>
          <w:rFonts w:hint="eastAsia" w:ascii="宋体" w:hAnsi="宋体"/>
          <w:szCs w:val="21"/>
          <w:u w:val="single"/>
        </w:rPr>
        <w:t>（工程项目名称）</w:t>
      </w:r>
      <w:r>
        <w:rPr>
          <w:rFonts w:hint="eastAsia" w:ascii="宋体" w:hAnsi="宋体"/>
          <w:szCs w:val="21"/>
        </w:rPr>
        <w:t xml:space="preserve">工程                                                     </w:t>
      </w:r>
    </w:p>
    <w:tbl>
      <w:tblPr>
        <w:tblStyle w:val="26"/>
        <w:tblW w:w="89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1" w:hRule="atLeast"/>
        </w:trPr>
        <w:tc>
          <w:tcPr>
            <w:tcW w:w="8913" w:type="dxa"/>
            <w:vAlign w:val="top"/>
          </w:tcPr>
          <w:p>
            <w:pPr>
              <w:rPr>
                <w:rFonts w:ascii="宋体" w:hAnsi="宋体"/>
                <w:szCs w:val="21"/>
              </w:rPr>
            </w:pPr>
          </w:p>
        </w:tc>
      </w:tr>
    </w:tbl>
    <w:p>
      <w:pPr>
        <w:spacing w:line="360" w:lineRule="auto"/>
        <w:ind w:left="168" w:leftChars="80"/>
        <w:rPr>
          <w:rFonts w:ascii="宋体" w:hAnsi="宋体"/>
          <w:szCs w:val="21"/>
        </w:rPr>
      </w:pPr>
    </w:p>
    <w:p>
      <w:pPr>
        <w:spacing w:line="360" w:lineRule="auto"/>
        <w:ind w:left="168" w:leftChars="80"/>
        <w:jc w:val="center"/>
        <w:outlineLvl w:val="9"/>
        <w:rPr>
          <w:rFonts w:hint="eastAsia" w:ascii="宋体" w:hAnsi="宋体"/>
          <w:szCs w:val="21"/>
        </w:rPr>
      </w:pPr>
      <w:r>
        <w:rPr>
          <w:rFonts w:hint="eastAsia" w:ascii="宋体" w:hAnsi="宋体"/>
          <w:szCs w:val="21"/>
        </w:rPr>
        <w:t>注：1、辅助说明资料主要包括管理机构的机构设置、职责分工、有关复印证明资料以及供应商认为有必要提供的资料。辅助说明资料格式不做统一规定，由供应商自行设计。</w:t>
      </w:r>
    </w:p>
    <w:p>
      <w:pPr>
        <w:spacing w:line="360" w:lineRule="auto"/>
        <w:ind w:left="168" w:leftChars="80" w:firstLine="420" w:firstLineChars="200"/>
        <w:jc w:val="both"/>
        <w:outlineLvl w:val="9"/>
        <w:rPr>
          <w:rFonts w:hint="eastAsia" w:ascii="宋体" w:hAnsi="宋体"/>
          <w:szCs w:val="21"/>
        </w:rPr>
      </w:pPr>
      <w:r>
        <w:rPr>
          <w:rFonts w:hint="eastAsia" w:ascii="宋体" w:hAnsi="宋体"/>
          <w:szCs w:val="21"/>
          <w:lang w:val="en-US" w:eastAsia="zh-CN"/>
        </w:rPr>
        <w:t>2、</w:t>
      </w:r>
      <w:r>
        <w:rPr>
          <w:rFonts w:hint="eastAsia" w:ascii="宋体" w:hAnsi="宋体"/>
          <w:szCs w:val="21"/>
        </w:rPr>
        <w:t>项目管理班子配备情况辅助说明资料可另附（与本响应文件一起装订）。</w:t>
      </w:r>
      <w:bookmarkStart w:id="255" w:name="_Toc29785"/>
      <w:bookmarkStart w:id="256" w:name="_Toc479184138"/>
      <w:bookmarkStart w:id="257" w:name="_Toc460258123"/>
      <w:bookmarkStart w:id="258" w:name="_Toc27229"/>
    </w:p>
    <w:p>
      <w:pPr>
        <w:numPr>
          <w:ilvl w:val="0"/>
          <w:numId w:val="0"/>
        </w:numPr>
        <w:outlineLvl w:val="9"/>
        <w:rPr>
          <w:rFonts w:hint="eastAsia"/>
        </w:rPr>
      </w:pPr>
    </w:p>
    <w:p>
      <w:pPr>
        <w:tabs>
          <w:tab w:val="left" w:pos="540"/>
        </w:tabs>
        <w:autoSpaceDE w:val="0"/>
        <w:autoSpaceDN w:val="0"/>
        <w:adjustRightInd w:val="0"/>
        <w:spacing w:line="360" w:lineRule="auto"/>
        <w:jc w:val="center"/>
        <w:outlineLvl w:val="9"/>
        <w:rPr>
          <w:rFonts w:hint="eastAsia" w:asciiTheme="minorEastAsia" w:hAnsiTheme="minorEastAsia" w:eastAsiaTheme="minorEastAsia" w:cstheme="minorEastAsia"/>
          <w:b/>
          <w:lang w:val="en-US" w:eastAsia="zh-CN"/>
        </w:rPr>
      </w:pPr>
    </w:p>
    <w:p>
      <w:pPr>
        <w:tabs>
          <w:tab w:val="left" w:pos="540"/>
        </w:tabs>
        <w:autoSpaceDE w:val="0"/>
        <w:autoSpaceDN w:val="0"/>
        <w:adjustRightInd w:val="0"/>
        <w:spacing w:line="360" w:lineRule="auto"/>
        <w:jc w:val="center"/>
        <w:outlineLvl w:val="9"/>
        <w:rPr>
          <w:rFonts w:hint="eastAsia" w:asciiTheme="minorEastAsia" w:hAnsiTheme="minorEastAsia" w:eastAsiaTheme="minorEastAsia" w:cstheme="minorEastAsia"/>
          <w:b/>
          <w:lang w:val="en-US" w:eastAsia="zh-CN"/>
        </w:rPr>
      </w:pPr>
    </w:p>
    <w:p>
      <w:pPr>
        <w:tabs>
          <w:tab w:val="left" w:pos="540"/>
        </w:tabs>
        <w:autoSpaceDE w:val="0"/>
        <w:autoSpaceDN w:val="0"/>
        <w:adjustRightInd w:val="0"/>
        <w:spacing w:line="360" w:lineRule="auto"/>
        <w:jc w:val="center"/>
        <w:outlineLvl w:val="9"/>
        <w:rPr>
          <w:rFonts w:hint="eastAsia" w:asciiTheme="minorEastAsia" w:hAnsiTheme="minorEastAsia" w:eastAsiaTheme="minorEastAsia" w:cstheme="minorEastAsia"/>
          <w:b/>
          <w:lang w:val="en-US" w:eastAsia="zh-CN"/>
        </w:rPr>
      </w:pPr>
    </w:p>
    <w:p>
      <w:pP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br w:type="page"/>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lang w:val="en-US" w:eastAsia="zh-CN"/>
        </w:rPr>
      </w:pPr>
      <w:bookmarkStart w:id="259" w:name="_Toc7250"/>
      <w:r>
        <w:rPr>
          <w:rFonts w:hint="eastAsia" w:asciiTheme="minorEastAsia" w:hAnsiTheme="minorEastAsia" w:eastAsiaTheme="minorEastAsia" w:cstheme="minorEastAsia"/>
          <w:b/>
          <w:lang w:val="en-US" w:eastAsia="zh-CN"/>
        </w:rPr>
        <w:t>十六、报价技术文件</w:t>
      </w:r>
      <w:bookmarkEnd w:id="255"/>
      <w:bookmarkEnd w:id="256"/>
      <w:bookmarkEnd w:id="257"/>
      <w:bookmarkEnd w:id="258"/>
      <w:bookmarkEnd w:id="259"/>
    </w:p>
    <w:p>
      <w:pPr>
        <w:tabs>
          <w:tab w:val="left" w:pos="540"/>
        </w:tabs>
        <w:autoSpaceDE w:val="0"/>
        <w:autoSpaceDN w:val="0"/>
        <w:adjustRightInd w:val="0"/>
        <w:spacing w:line="360" w:lineRule="auto"/>
        <w:jc w:val="center"/>
        <w:outlineLvl w:val="9"/>
        <w:rPr>
          <w:rFonts w:hint="eastAsia" w:asciiTheme="minorEastAsia" w:hAnsiTheme="minorEastAsia" w:eastAsiaTheme="minorEastAsia" w:cstheme="minorEastAsia"/>
          <w:b/>
          <w:bCs/>
          <w:kern w:val="0"/>
          <w:szCs w:val="21"/>
          <w:lang w:val="en-US" w:eastAsia="zh-CN"/>
        </w:rPr>
      </w:pPr>
    </w:p>
    <w:p>
      <w:pPr>
        <w:pStyle w:val="97"/>
        <w:spacing w:line="360" w:lineRule="auto"/>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由供应商自行编制施工组织设计，目录清晰、内容详尽、易于理解和评审并富有建设性的技术方案将在评审时具有优势。</w:t>
      </w:r>
    </w:p>
    <w:p>
      <w:pPr>
        <w:adjustRightInd w:val="0"/>
        <w:snapToGrid w:val="0"/>
        <w:spacing w:line="360" w:lineRule="auto"/>
        <w:ind w:left="-88" w:leftChars="-42" w:firstLine="420" w:firstLineChars="200"/>
        <w:jc w:val="left"/>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编制的具体要求：编制时应采用文字并结合图表形式说明各分部分项工程的施工方法；拟投入的主要施工机械设备情况、主要施工机械进场计划、劳动力计划等；结合招标工程特点提出切实可行的保证工程质量、安全生产、文明施工、工程进度的技术组织措施，同时应对关键工序、复杂环节重点提出相应技术措施，如雨天施工技术措施、减少扰民噪音、降低环境污染技术措施、地下管线及其他地上地下设施的保护加固措施等。</w:t>
      </w:r>
    </w:p>
    <w:p>
      <w:pPr>
        <w:adjustRightInd w:val="0"/>
        <w:snapToGrid w:val="0"/>
        <w:spacing w:line="360" w:lineRule="auto"/>
        <w:ind w:left="-88" w:leftChars="-42" w:firstLine="422" w:firstLineChars="200"/>
        <w:jc w:val="left"/>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以下内容仅供参考，格式自拟。</w:t>
      </w:r>
    </w:p>
    <w:p>
      <w:pPr>
        <w:numPr>
          <w:ilvl w:val="1"/>
          <w:numId w:val="43"/>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项目概况及对本项目总体要求的理解</w:t>
      </w:r>
    </w:p>
    <w:p>
      <w:pPr>
        <w:numPr>
          <w:ilvl w:val="1"/>
          <w:numId w:val="43"/>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p>
    <w:p>
      <w:pPr>
        <w:numPr>
          <w:ilvl w:val="1"/>
          <w:numId w:val="43"/>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项目重点及难点解析</w:t>
      </w:r>
    </w:p>
    <w:p>
      <w:pPr>
        <w:numPr>
          <w:ilvl w:val="1"/>
          <w:numId w:val="43"/>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质量控制措施</w:t>
      </w:r>
    </w:p>
    <w:p>
      <w:pPr>
        <w:numPr>
          <w:ilvl w:val="1"/>
          <w:numId w:val="43"/>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进度控制措施</w:t>
      </w:r>
    </w:p>
    <w:p>
      <w:pPr>
        <w:numPr>
          <w:ilvl w:val="1"/>
          <w:numId w:val="43"/>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对本项目的合理化建议</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rPr>
        <w:br w:type="page"/>
      </w:r>
      <w:bookmarkStart w:id="260" w:name="_Toc432149016"/>
      <w:bookmarkStart w:id="261" w:name="_Toc356836516"/>
      <w:bookmarkStart w:id="262" w:name="_Toc2101"/>
      <w:bookmarkStart w:id="263" w:name="_Toc22465"/>
      <w:bookmarkStart w:id="264" w:name="_Toc12119"/>
      <w:bookmarkStart w:id="265" w:name="_Toc422466739"/>
      <w:bookmarkStart w:id="266" w:name="_Toc479184140"/>
      <w:bookmarkStart w:id="267" w:name="_Toc355802499"/>
      <w:bookmarkStart w:id="268" w:name="_Toc8098"/>
      <w:bookmarkStart w:id="269" w:name="_Toc32159"/>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lang w:val="en-US" w:eastAsia="zh-CN"/>
        </w:rPr>
        <w:t>七</w:t>
      </w:r>
      <w:r>
        <w:rPr>
          <w:rFonts w:hint="eastAsia" w:asciiTheme="minorEastAsia" w:hAnsiTheme="minorEastAsia" w:eastAsiaTheme="minorEastAsia" w:cstheme="minorEastAsia"/>
          <w:b/>
        </w:rPr>
        <w:t>、中小企业声明函</w:t>
      </w:r>
      <w:bookmarkEnd w:id="260"/>
      <w:bookmarkEnd w:id="261"/>
      <w:bookmarkEnd w:id="262"/>
      <w:bookmarkEnd w:id="263"/>
      <w:bookmarkEnd w:id="264"/>
      <w:bookmarkEnd w:id="265"/>
      <w:bookmarkEnd w:id="266"/>
      <w:bookmarkEnd w:id="267"/>
      <w:bookmarkEnd w:id="268"/>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69"/>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本公司郑重声明，根据《政府采购促进中小企业发展暂行办法》（财库[2011]181号）的规定，本公司为</w:t>
      </w:r>
      <w:bookmarkStart w:id="270" w:name="OLE_LINK5"/>
      <w:r>
        <w:rPr>
          <w:rFonts w:hint="eastAsia" w:asciiTheme="minorEastAsia" w:hAnsiTheme="minorEastAsia" w:eastAsiaTheme="minorEastAsia" w:cstheme="minorEastAsia"/>
          <w:spacing w:val="6"/>
          <w:szCs w:val="21"/>
        </w:rPr>
        <w:t>______（请填写：中型、小型、微型）企业</w:t>
      </w:r>
      <w:bookmarkEnd w:id="270"/>
      <w:r>
        <w:rPr>
          <w:rFonts w:hint="eastAsia" w:asciiTheme="minorEastAsia" w:hAnsiTheme="minorEastAsia" w:eastAsiaTheme="minorEastAsia" w:cstheme="minorEastAsia"/>
          <w:spacing w:val="6"/>
          <w:szCs w:val="21"/>
        </w:rPr>
        <w:t>。即，本公司同时满足以下条件：</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本公司对上述声明的真实性负责。如有虚假，将依法承担相应责任。</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附证明材料：</w:t>
      </w:r>
    </w:p>
    <w:p>
      <w:pPr>
        <w:numPr>
          <w:ilvl w:val="0"/>
          <w:numId w:val="44"/>
        </w:numPr>
        <w:spacing w:line="360" w:lineRule="auto"/>
        <w:ind w:firstLine="446" w:firstLineChars="200"/>
        <w:rPr>
          <w:rFonts w:hint="eastAsia" w:asciiTheme="minorEastAsia" w:hAnsiTheme="minorEastAsia" w:eastAsiaTheme="minorEastAsia" w:cstheme="minorEastAsia"/>
          <w:b/>
          <w:bCs/>
          <w:spacing w:val="6"/>
          <w:szCs w:val="21"/>
          <w:lang w:val="en-US" w:eastAsia="zh-CN"/>
        </w:rPr>
      </w:pPr>
      <w:r>
        <w:rPr>
          <w:rFonts w:hint="eastAsia" w:asciiTheme="minorEastAsia" w:hAnsiTheme="minorEastAsia" w:eastAsiaTheme="minorEastAsia" w:cstheme="minorEastAsia"/>
          <w:b/>
          <w:bCs/>
          <w:spacing w:val="6"/>
          <w:szCs w:val="21"/>
          <w:lang w:val="en-US" w:eastAsia="zh-CN"/>
        </w:rPr>
        <w:t>提供</w:t>
      </w:r>
      <w:r>
        <w:rPr>
          <w:rFonts w:hint="eastAsia" w:asciiTheme="minorEastAsia" w:hAnsiTheme="minorEastAsia" w:eastAsiaTheme="minorEastAsia" w:cstheme="minorEastAsia"/>
          <w:b/>
          <w:bCs/>
          <w:spacing w:val="6"/>
          <w:szCs w:val="21"/>
        </w:rPr>
        <w:t>供应商企业规模、年产值、员工数量及制造商企业规模、年产值、员工数量等数据资</w:t>
      </w:r>
      <w:r>
        <w:rPr>
          <w:rFonts w:hint="eastAsia" w:asciiTheme="minorEastAsia" w:hAnsiTheme="minorEastAsia" w:eastAsiaTheme="minorEastAsia" w:cstheme="minorEastAsia"/>
          <w:b/>
          <w:bCs/>
          <w:spacing w:val="6"/>
          <w:szCs w:val="21"/>
          <w:lang w:val="en-US" w:eastAsia="zh-CN"/>
        </w:rPr>
        <w:t>料。</w:t>
      </w:r>
    </w:p>
    <w:p>
      <w:pPr>
        <w:numPr>
          <w:ilvl w:val="0"/>
          <w:numId w:val="44"/>
        </w:numPr>
        <w:spacing w:line="360" w:lineRule="auto"/>
        <w:ind w:firstLine="446" w:firstLineChars="200"/>
        <w:rPr>
          <w:rFonts w:hint="eastAsia"/>
          <w:lang w:val="en-US" w:eastAsia="zh-CN"/>
        </w:rPr>
      </w:pPr>
      <w:r>
        <w:rPr>
          <w:rFonts w:hint="eastAsia" w:asciiTheme="minorEastAsia" w:hAnsiTheme="minorEastAsia" w:eastAsiaTheme="minorEastAsia" w:cstheme="minorEastAsia"/>
          <w:b/>
          <w:bCs/>
          <w:spacing w:val="6"/>
          <w:szCs w:val="21"/>
          <w:lang w:val="en-US" w:eastAsia="zh-CN"/>
        </w:rPr>
        <w:t>供应商非所投货物制造商的，还应当提供货物制造商的中小企业声明函，否则在评审时不予考虑。</w:t>
      </w:r>
    </w:p>
    <w:p>
      <w:pPr>
        <w:numPr>
          <w:ilvl w:val="0"/>
          <w:numId w:val="0"/>
        </w:numPr>
        <w:spacing w:line="360" w:lineRule="auto"/>
        <w:ind w:firstLine="444"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lang w:val="en-US" w:eastAsia="zh-CN"/>
        </w:rPr>
        <w:t>备注：未提供证明材料或材料不全的不予折扣。</w:t>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44" w:firstLineChars="200"/>
        <w:rPr>
          <w:rFonts w:hint="eastAsia" w:asciiTheme="minorEastAsia" w:hAnsiTheme="minorEastAsia" w:eastAsiaTheme="minorEastAsia" w:cstheme="minorEastAsia"/>
          <w:spacing w:val="6"/>
          <w:szCs w:val="21"/>
        </w:rPr>
      </w:pPr>
    </w:p>
    <w:p>
      <w:pPr>
        <w:autoSpaceDE w:val="0"/>
        <w:autoSpaceDN w:val="0"/>
        <w:adjustRightInd w:val="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 xml:space="preserve">              </w:t>
      </w:r>
    </w:p>
    <w:bookmarkEnd w:id="121"/>
    <w:bookmarkEnd w:id="122"/>
    <w:bookmarkEnd w:id="123"/>
    <w:bookmarkEnd w:id="124"/>
    <w:p>
      <w:pPr>
        <w:numPr>
          <w:ilvl w:val="0"/>
          <w:numId w:val="0"/>
        </w:numPr>
        <w:adjustRightInd w:val="0"/>
        <w:snapToGrid w:val="0"/>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spacing w:val="6"/>
          <w:szCs w:val="21"/>
        </w:rPr>
        <w:br w:type="page"/>
      </w:r>
      <w:bookmarkStart w:id="271" w:name="_Toc5517"/>
      <w:bookmarkStart w:id="272" w:name="_Toc7229"/>
      <w:bookmarkStart w:id="273" w:name="_Toc30406"/>
      <w:bookmarkStart w:id="274" w:name="_Toc476839034"/>
      <w:bookmarkStart w:id="275" w:name="_Toc479184141"/>
      <w:bookmarkStart w:id="276" w:name="_Toc4320"/>
      <w:r>
        <w:rPr>
          <w:rFonts w:hint="eastAsia" w:asciiTheme="minorEastAsia" w:hAnsiTheme="minorEastAsia" w:eastAsiaTheme="minorEastAsia" w:cstheme="minorEastAsia"/>
          <w:b/>
          <w:bCs/>
          <w:spacing w:val="6"/>
          <w:szCs w:val="21"/>
          <w:lang w:val="en-US" w:eastAsia="zh-CN"/>
        </w:rPr>
        <w:t>十八、</w:t>
      </w:r>
      <w:r>
        <w:rPr>
          <w:rFonts w:hint="eastAsia" w:asciiTheme="minorEastAsia" w:hAnsiTheme="minorEastAsia" w:eastAsiaTheme="minorEastAsia" w:cstheme="minorEastAsia"/>
          <w:b/>
          <w:bCs/>
          <w:lang w:val="zh-CN"/>
        </w:rPr>
        <w:t>监狱企业证</w:t>
      </w:r>
      <w:r>
        <w:rPr>
          <w:rFonts w:hint="eastAsia" w:asciiTheme="minorEastAsia" w:hAnsiTheme="minorEastAsia" w:eastAsiaTheme="minorEastAsia" w:cstheme="minorEastAsia"/>
          <w:b/>
          <w:lang w:val="zh-CN"/>
        </w:rPr>
        <w:t>明文</w:t>
      </w:r>
      <w:r>
        <w:rPr>
          <w:rFonts w:hint="eastAsia" w:asciiTheme="minorEastAsia" w:hAnsiTheme="minorEastAsia" w:eastAsiaTheme="minorEastAsia" w:cstheme="minorEastAsia"/>
          <w:b/>
        </w:rPr>
        <w:t>件</w:t>
      </w:r>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71"/>
    </w:p>
    <w:p>
      <w:pPr>
        <w:numPr>
          <w:ilvl w:val="0"/>
          <w:numId w:val="0"/>
        </w:numPr>
        <w:adjustRightInd w:val="0"/>
        <w:snapToGrid w:val="0"/>
        <w:jc w:val="center"/>
        <w:outlineLvl w:val="9"/>
        <w:rPr>
          <w:rFonts w:hint="eastAsia" w:asciiTheme="minorEastAsia" w:hAnsiTheme="minorEastAsia" w:eastAsiaTheme="minorEastAsia" w:cstheme="minorEastAsia"/>
          <w:spacing w:val="6"/>
          <w:szCs w:val="21"/>
        </w:rPr>
      </w:pPr>
    </w:p>
    <w:p>
      <w:pPr>
        <w:numPr>
          <w:ilvl w:val="0"/>
          <w:numId w:val="0"/>
        </w:numPr>
        <w:spacing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t>供应商如是监狱企业，提供相关证明文件。</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outlineLvl w:val="9"/>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numPr>
          <w:ilvl w:val="0"/>
          <w:numId w:val="0"/>
        </w:numPr>
        <w:adjustRightInd w:val="0"/>
        <w:snapToGrid w:val="0"/>
        <w:jc w:val="both"/>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numPr>
          <w:ilvl w:val="0"/>
          <w:numId w:val="0"/>
        </w:numPr>
        <w:adjustRightInd w:val="0"/>
        <w:snapToGrid w:val="0"/>
        <w:jc w:val="both"/>
        <w:outlineLvl w:val="9"/>
        <w:rPr>
          <w:rFonts w:hint="eastAsia" w:asciiTheme="minorEastAsia" w:hAnsiTheme="minorEastAsia" w:eastAsiaTheme="minorEastAsia" w:cstheme="minorEastAsia"/>
          <w:spacing w:val="6"/>
          <w:szCs w:val="21"/>
        </w:rPr>
      </w:pPr>
    </w:p>
    <w:p>
      <w:pPr>
        <w:numPr>
          <w:ilvl w:val="0"/>
          <w:numId w:val="0"/>
        </w:numPr>
        <w:adjustRightInd w:val="0"/>
        <w:snapToGrid w:val="0"/>
        <w:jc w:val="both"/>
        <w:outlineLvl w:val="9"/>
        <w:rPr>
          <w:rFonts w:hint="eastAsia" w:asciiTheme="minorEastAsia" w:hAnsiTheme="minorEastAsia" w:eastAsiaTheme="minorEastAsia" w:cstheme="minorEastAsia"/>
          <w:spacing w:val="6"/>
          <w:szCs w:val="21"/>
        </w:rPr>
      </w:pPr>
    </w:p>
    <w:p>
      <w:pPr>
        <w:outlineLvl w:val="9"/>
        <w:rPr>
          <w:rFonts w:hint="eastAsia"/>
        </w:rPr>
      </w:pP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p>
    <w:p>
      <w:pPr>
        <w:numPr>
          <w:ilvl w:val="0"/>
          <w:numId w:val="0"/>
        </w:numPr>
        <w:adjustRightInd w:val="0"/>
        <w:snapToGrid w:val="0"/>
        <w:jc w:val="center"/>
        <w:outlineLvl w:val="9"/>
        <w:rPr>
          <w:rFonts w:hint="eastAsia" w:asciiTheme="minorEastAsia" w:hAnsiTheme="minorEastAsia" w:eastAsiaTheme="minorEastAsia" w:cstheme="minorEastAsia"/>
          <w:spacing w:val="6"/>
          <w:szCs w:val="21"/>
        </w:rPr>
      </w:pPr>
      <w:bookmarkStart w:id="277" w:name="_Toc26604"/>
      <w:r>
        <w:rPr>
          <w:rFonts w:hint="eastAsia" w:asciiTheme="minorEastAsia" w:hAnsiTheme="minorEastAsia" w:eastAsiaTheme="minorEastAsia" w:cstheme="minorEastAsia"/>
          <w:spacing w:val="6"/>
          <w:szCs w:val="21"/>
        </w:rPr>
        <w:br w:type="textWrapping"/>
      </w:r>
    </w:p>
    <w:p>
      <w:pPr>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br w:type="page"/>
      </w:r>
    </w:p>
    <w:p>
      <w:pPr>
        <w:numPr>
          <w:ilvl w:val="0"/>
          <w:numId w:val="0"/>
        </w:numPr>
        <w:adjustRightInd w:val="0"/>
        <w:snapToGrid w:val="0"/>
        <w:jc w:val="center"/>
        <w:outlineLvl w:val="1"/>
        <w:rPr>
          <w:rFonts w:hint="eastAsia" w:asciiTheme="minorEastAsia" w:hAnsiTheme="minorEastAsia" w:eastAsiaTheme="minorEastAsia" w:cstheme="minorEastAsia"/>
          <w:b/>
          <w:lang w:val="zh-CN"/>
        </w:rPr>
      </w:pPr>
      <w:r>
        <w:rPr>
          <w:rFonts w:hint="eastAsia" w:asciiTheme="minorEastAsia" w:hAnsiTheme="minorEastAsia" w:eastAsiaTheme="minorEastAsia" w:cstheme="minorEastAsia"/>
          <w:b/>
          <w:lang w:val="en-US" w:eastAsia="zh-CN"/>
        </w:rPr>
        <w:t>十九</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b/>
          <w:lang w:val="zh-CN"/>
        </w:rPr>
        <w:t>残疾人福利性单位声明函（若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77"/>
    </w:p>
    <w:p>
      <w:pPr>
        <w:pStyle w:val="14"/>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4"/>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w:t>
      </w:r>
      <w:r>
        <w:rPr>
          <w:rFonts w:hint="eastAsia" w:asciiTheme="minorEastAsia" w:hAnsiTheme="minorEastAsia" w:eastAsiaTheme="minorEastAsia" w:cstheme="minorEastAsia"/>
          <w:color w:val="auto"/>
          <w:sz w:val="21"/>
          <w:u w:val="single"/>
          <w:lang w:val="en-US" w:eastAsia="zh-CN"/>
        </w:rPr>
        <w:t>供应商</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w:t>
      </w:r>
      <w:r>
        <w:rPr>
          <w:rFonts w:hint="eastAsia" w:asciiTheme="minorEastAsia" w:hAnsiTheme="minorEastAsia" w:eastAsiaTheme="minorEastAsia" w:cstheme="minorEastAsia"/>
          <w:color w:val="auto"/>
          <w:sz w:val="21"/>
          <w:lang w:eastAsia="zh-CN"/>
        </w:rPr>
        <w:t>。或者提供其他残疾人福利性单位制造的货物（不包括使用非残疾人福利性单位注册商标的货物）。</w:t>
      </w:r>
    </w:p>
    <w:p>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本单位对上述声明的真实性负责。如有虚假，将依法承担相应责任。</w:t>
      </w:r>
    </w:p>
    <w:p>
      <w:pPr>
        <w:pStyle w:val="14"/>
        <w:spacing w:line="360" w:lineRule="auto"/>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w:t>
      </w:r>
      <w:r>
        <w:rPr>
          <w:rFonts w:hint="eastAsia" w:asciiTheme="minorEastAsia" w:hAnsiTheme="minorEastAsia" w:eastAsiaTheme="minorEastAsia" w:cstheme="minorEastAsia"/>
          <w:color w:val="auto"/>
          <w:sz w:val="21"/>
          <w:lang w:val="en-US" w:eastAsia="zh-CN"/>
        </w:rPr>
        <w:t>供应商</w:t>
      </w:r>
      <w:r>
        <w:rPr>
          <w:rFonts w:hint="eastAsia" w:asciiTheme="minorEastAsia" w:hAnsiTheme="minorEastAsia" w:eastAsiaTheme="minorEastAsia" w:cstheme="minorEastAsia"/>
          <w:color w:val="auto"/>
          <w:sz w:val="21"/>
        </w:rPr>
        <w:t>所投货物为自己制造的，也应按本声明函格式填写。</w:t>
      </w:r>
    </w:p>
    <w:p>
      <w:pPr>
        <w:pStyle w:val="14"/>
        <w:spacing w:line="360" w:lineRule="auto"/>
        <w:ind w:left="1033" w:leftChars="342" w:hanging="315" w:hangingChars="150"/>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4"/>
        <w:spacing w:line="360" w:lineRule="auto"/>
        <w:ind w:left="1033" w:leftChars="342" w:hanging="315" w:hangingChars="1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制造商法定代表人（签字）：</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时                 间：           年          月          日</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br w:type="textWrapping"/>
      </w:r>
      <w:r>
        <w:rPr>
          <w:rFonts w:hint="eastAsia" w:asciiTheme="minorEastAsia" w:hAnsiTheme="minorEastAsia" w:eastAsiaTheme="minorEastAsia" w:cstheme="minorEastAsia"/>
          <w:b w:val="0"/>
          <w:bCs w:val="0"/>
          <w:szCs w:val="21"/>
          <w:lang w:val="zh-CN"/>
        </w:rPr>
        <w:t>备注：享受政府采购支持政策的残疾人福利性单位应当同时满足以下条件：</w:t>
      </w:r>
    </w:p>
    <w:p>
      <w:pPr>
        <w:numPr>
          <w:ilvl w:val="0"/>
          <w:numId w:val="45"/>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安置的残疾人占本单位在职职工人数的比例不低于 25%（含 25%），并且安置的残疾人人数不少于 10 人（含 10 人）；</w:t>
      </w:r>
    </w:p>
    <w:p>
      <w:pPr>
        <w:numPr>
          <w:ilvl w:val="0"/>
          <w:numId w:val="45"/>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依法与安置的每位残疾人签订了一年以上（含一年）的劳动合同或服务协议；</w:t>
      </w:r>
    </w:p>
    <w:p>
      <w:pPr>
        <w:numPr>
          <w:ilvl w:val="0"/>
          <w:numId w:val="45"/>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为安置的每位残疾人按月足额缴纳了基本养老保险、基本医疗保险、失业保险、工伤保险和生育保险等社会保险费；</w:t>
      </w:r>
    </w:p>
    <w:p>
      <w:pPr>
        <w:numPr>
          <w:ilvl w:val="0"/>
          <w:numId w:val="45"/>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通过银行等金融机构向安置的每位残疾人，按月支付了不低于单位所在区县适用的经省级人民政府批准的月最低工资标准的工资；</w:t>
      </w:r>
    </w:p>
    <w:p>
      <w:pPr>
        <w:numPr>
          <w:ilvl w:val="0"/>
          <w:numId w:val="45"/>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0"/>
        </w:numPr>
        <w:spacing w:before="100" w:beforeAutospacing="1" w:after="100" w:afterAutospacing="1" w:line="360" w:lineRule="auto"/>
        <w:jc w:val="center"/>
        <w:outlineLvl w:val="1"/>
        <w:rPr>
          <w:rFonts w:hint="eastAsia" w:asciiTheme="minorEastAsia" w:hAnsiTheme="minorEastAsia" w:eastAsiaTheme="minorEastAsia" w:cstheme="minorEastAsia"/>
          <w:bCs/>
          <w:szCs w:val="21"/>
          <w:u w:val="single"/>
        </w:rPr>
      </w:pPr>
      <w:bookmarkStart w:id="278" w:name="_Toc31045"/>
      <w:r>
        <w:rPr>
          <w:rFonts w:hint="eastAsia" w:asciiTheme="minorEastAsia" w:hAnsiTheme="minorEastAsia" w:eastAsiaTheme="minorEastAsia" w:cstheme="minorEastAsia"/>
          <w:b/>
          <w:lang w:val="en-US" w:eastAsia="zh-CN"/>
        </w:rPr>
        <w:t>二十、节能环保产品证明材料（若符合）</w:t>
      </w:r>
      <w:bookmarkEnd w:id="278"/>
    </w:p>
    <w:p>
      <w:pPr>
        <w:adjustRightInd w:val="0"/>
        <w:snapToGrid w:val="0"/>
        <w:spacing w:line="24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节能产品：</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设备名称</w:t>
            </w: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品牌</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型号</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数量</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单价（万元）</w:t>
            </w: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总价（万元）</w:t>
            </w: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环保产品：</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设备名称</w:t>
            </w: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品牌</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型号</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数量</w:t>
            </w: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单价（万元）</w:t>
            </w: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lang w:val="en-US" w:eastAsia="zh-CN"/>
        </w:rPr>
        <w:t>注</w:t>
      </w:r>
      <w:r>
        <w:rPr>
          <w:rFonts w:hint="eastAsia" w:asciiTheme="minorEastAsia" w:hAnsiTheme="minorEastAsia" w:eastAsiaTheme="minorEastAsia" w:cstheme="minorEastAsia"/>
          <w:szCs w:val="21"/>
        </w:rPr>
        <w:t>：供应商所提供产品如为节能环保产品，则应按本磋商文件第</w:t>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政策支持</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提供相关证明材料，并将节能、环保产品分别列入上表中，未填写本表或未提供有效认证证书的不给予价格扣除。</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b w:val="0"/>
          <w:bCs w:val="0"/>
          <w:szCs w:val="21"/>
          <w:lang w:val="zh-CN"/>
        </w:rPr>
        <w:t>时                 间：           年          月          日</w:t>
      </w:r>
      <w:r>
        <w:rPr>
          <w:rFonts w:hint="eastAsia" w:asciiTheme="minorEastAsia" w:hAnsiTheme="minorEastAsia" w:eastAsiaTheme="minorEastAsia" w:cstheme="minorEastAsia"/>
          <w:szCs w:val="21"/>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u w:val="single"/>
        </w:rPr>
        <w:br w:type="textWrapping"/>
      </w:r>
      <w:r>
        <w:rPr>
          <w:rFonts w:hint="eastAsia" w:asciiTheme="minorEastAsia" w:hAnsiTheme="minorEastAsia" w:eastAsiaTheme="minorEastAsia" w:cstheme="minorEastAsia"/>
          <w:bCs/>
          <w:szCs w:val="21"/>
          <w:u w:val="single"/>
        </w:rPr>
        <w:t xml:space="preserve"> </w:t>
      </w:r>
    </w:p>
    <w:p>
      <w:pPr>
        <w:adjustRightInd w:val="0"/>
        <w:snapToGrid w:val="0"/>
        <w:spacing w:line="360" w:lineRule="auto"/>
        <w:jc w:val="center"/>
        <w:outlineLvl w:val="1"/>
        <w:rPr>
          <w:rFonts w:hint="eastAsia" w:asciiTheme="minorEastAsia" w:hAnsiTheme="minorEastAsia" w:eastAsiaTheme="minorEastAsia" w:cstheme="minorEastAsia"/>
          <w:b/>
        </w:rPr>
      </w:pPr>
      <w:bookmarkStart w:id="279" w:name="_Toc26379"/>
      <w:r>
        <w:rPr>
          <w:rFonts w:hint="eastAsia" w:asciiTheme="minorEastAsia" w:hAnsiTheme="minorEastAsia" w:eastAsiaTheme="minorEastAsia" w:cstheme="minorEastAsia"/>
          <w:b/>
          <w:bCs/>
          <w:spacing w:val="6"/>
          <w:szCs w:val="21"/>
          <w:lang w:val="en-US" w:eastAsia="zh-CN"/>
        </w:rPr>
        <w:t>二十一</w:t>
      </w:r>
      <w:r>
        <w:rPr>
          <w:rFonts w:hint="eastAsia" w:asciiTheme="minorEastAsia" w:hAnsiTheme="minorEastAsia" w:eastAsiaTheme="minorEastAsia" w:cstheme="minorEastAsia"/>
          <w:b/>
          <w:bCs/>
          <w:spacing w:val="6"/>
          <w:szCs w:val="21"/>
        </w:rPr>
        <w:t>、</w:t>
      </w:r>
      <w:r>
        <w:rPr>
          <w:rFonts w:hint="eastAsia" w:asciiTheme="minorEastAsia" w:hAnsiTheme="minorEastAsia" w:eastAsiaTheme="minorEastAsia" w:cstheme="minorEastAsia"/>
          <w:b/>
        </w:rPr>
        <w:t>无重大违法记录声明</w:t>
      </w:r>
      <w:bookmarkEnd w:id="272"/>
      <w:bookmarkEnd w:id="273"/>
      <w:bookmarkEnd w:id="274"/>
      <w:bookmarkEnd w:id="275"/>
      <w:bookmarkEnd w:id="276"/>
      <w:bookmarkEnd w:id="279"/>
    </w:p>
    <w:p>
      <w:pPr>
        <w:spacing w:line="48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rPr>
        <w:t>磋商供应商应</w:t>
      </w:r>
      <w:r>
        <w:rPr>
          <w:rFonts w:hint="eastAsia" w:asciiTheme="minorEastAsia" w:hAnsiTheme="minorEastAsia" w:eastAsiaTheme="minorEastAsia" w:cstheme="minorEastAsia"/>
          <w:b/>
          <w:bCs/>
          <w:kern w:val="0"/>
          <w:sz w:val="24"/>
          <w:lang w:val="en-US" w:eastAsia="zh-CN"/>
        </w:rPr>
        <w:t>在此基础上，</w:t>
      </w:r>
      <w:r>
        <w:rPr>
          <w:rFonts w:hint="eastAsia" w:asciiTheme="minorEastAsia" w:hAnsiTheme="minorEastAsia" w:eastAsiaTheme="minorEastAsia" w:cstheme="minorEastAsia"/>
          <w:b/>
          <w:bCs/>
          <w:kern w:val="0"/>
          <w:sz w:val="24"/>
        </w:rPr>
        <w:t>根据本单位实际情况进行声明</w:t>
      </w:r>
      <w:r>
        <w:rPr>
          <w:rFonts w:hint="eastAsia" w:asciiTheme="minorEastAsia" w:hAnsiTheme="minorEastAsia" w:eastAsiaTheme="minorEastAsia" w:cstheme="minorEastAsia"/>
          <w:b/>
          <w:bCs/>
          <w:kern w:val="0"/>
          <w:sz w:val="24"/>
          <w:lang w:eastAsia="zh-CN"/>
        </w:rPr>
        <w:t>）</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采购人和采购代理机构：</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我方在此声明，我方在参加本</w:t>
      </w:r>
      <w:r>
        <w:rPr>
          <w:rFonts w:hint="eastAsia" w:asciiTheme="minorEastAsia" w:hAnsiTheme="minorEastAsia" w:eastAsiaTheme="minorEastAsia" w:cstheme="minorEastAsia"/>
          <w:kern w:val="0"/>
          <w:szCs w:val="21"/>
          <w:shd w:val="clear" w:color="auto" w:fill="FFFFFF"/>
        </w:rPr>
        <w:t>次政府采购活动前三年内，在经营活动中没有以下重大违法记录：</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1.我方因违法经营被追究过刑事责任；</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2.我方因违法经营被责令停产停业、吊销许可证或者执照；</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3.我方因违法经营被处以较大数额罚款等行政处罚。</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特此声明！</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val="0"/>
          <w:szCs w:val="21"/>
          <w:lang w:val="zh-CN"/>
        </w:rPr>
        <w:t>时                 间：           年          月          日</w:t>
      </w:r>
      <w:r>
        <w:rPr>
          <w:rFonts w:hint="eastAsia" w:asciiTheme="minorEastAsia" w:hAnsiTheme="minorEastAsia" w:eastAsiaTheme="minorEastAsia" w:cstheme="minorEastAsia"/>
          <w:szCs w:val="21"/>
        </w:rPr>
        <w:t xml:space="preserve"> </w:t>
      </w:r>
    </w:p>
    <w:p>
      <w:pPr>
        <w:jc w:val="center"/>
        <w:outlineLvl w:val="1"/>
        <w:rPr>
          <w:rFonts w:hint="eastAsia" w:asciiTheme="minorEastAsia" w:hAnsiTheme="minorEastAsia" w:eastAsiaTheme="minorEastAsia" w:cstheme="minorEastAsia"/>
          <w:spacing w:val="6"/>
          <w:szCs w:val="21"/>
        </w:rPr>
      </w:pPr>
      <w:bookmarkStart w:id="280" w:name="_Toc32678"/>
      <w:bookmarkStart w:id="281" w:name="_Toc18104"/>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b/>
          <w:bCs/>
          <w:kern w:val="0"/>
          <w:szCs w:val="21"/>
          <w:shd w:val="clear" w:color="auto" w:fill="FFFFFF"/>
          <w:lang w:val="en-US" w:eastAsia="zh-CN"/>
        </w:rPr>
        <w:t>二十二</w:t>
      </w:r>
      <w:r>
        <w:rPr>
          <w:rFonts w:hint="eastAsia" w:asciiTheme="minorEastAsia" w:hAnsiTheme="minorEastAsia" w:eastAsiaTheme="minorEastAsia" w:cstheme="minorEastAsia"/>
          <w:b/>
          <w:bCs/>
          <w:kern w:val="0"/>
          <w:szCs w:val="21"/>
          <w:shd w:val="clear" w:color="auto" w:fill="FFFFFF"/>
        </w:rPr>
        <w:t>、磋商供应商认为应该提交的其它文件（格式自拟）</w:t>
      </w:r>
      <w:bookmarkEnd w:id="280"/>
      <w:bookmarkEnd w:id="281"/>
    </w:p>
    <w:sectPr>
      <w:footerReference r:id="rId7" w:type="default"/>
      <w:type w:val="continuous"/>
      <w:pgSz w:w="11906" w:h="16838"/>
      <w:pgMar w:top="1191" w:right="1417"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0"/>
      </w:rPr>
    </w:pPr>
    <w:r>
      <w:fldChar w:fldCharType="begin"/>
    </w:r>
    <w:r>
      <w:rPr>
        <w:rStyle w:val="30"/>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46</w:t>
    </w:r>
    <w: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9264;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EA7B7"/>
    <w:multiLevelType w:val="singleLevel"/>
    <w:tmpl w:val="C95EA7B7"/>
    <w:lvl w:ilvl="0" w:tentative="0">
      <w:start w:val="1"/>
      <w:numFmt w:val="decimal"/>
      <w:suff w:val="nothing"/>
      <w:lvlText w:val="%1、"/>
      <w:lvlJc w:val="left"/>
    </w:lvl>
  </w:abstractNum>
  <w:abstractNum w:abstractNumId="1">
    <w:nsid w:val="FF4B8943"/>
    <w:multiLevelType w:val="singleLevel"/>
    <w:tmpl w:val="FF4B8943"/>
    <w:lvl w:ilvl="0" w:tentative="0">
      <w:start w:val="1"/>
      <w:numFmt w:val="decimal"/>
      <w:suff w:val="nothing"/>
      <w:lvlText w:val="（%1）"/>
      <w:lvlJc w:val="left"/>
    </w:lvl>
  </w:abstractNum>
  <w:abstractNum w:abstractNumId="2">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
    <w:nsid w:val="044F5BAD"/>
    <w:multiLevelType w:val="singleLevel"/>
    <w:tmpl w:val="044F5BAD"/>
    <w:lvl w:ilvl="0" w:tentative="0">
      <w:start w:val="1"/>
      <w:numFmt w:val="decimal"/>
      <w:suff w:val="nothing"/>
      <w:lvlText w:val="（%1）"/>
      <w:lvlJc w:val="left"/>
    </w:lvl>
  </w:abstractNum>
  <w:abstractNum w:abstractNumId="5">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8">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15907297"/>
    <w:multiLevelType w:val="multilevel"/>
    <w:tmpl w:val="15907297"/>
    <w:lvl w:ilvl="0" w:tentative="0">
      <w:start w:val="1"/>
      <w:numFmt w:val="decimal"/>
      <w:pStyle w:val="79"/>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1"/>
      <w:lvlText w:val="%1.%2.%3"/>
      <w:lvlJc w:val="left"/>
      <w:pPr>
        <w:tabs>
          <w:tab w:val="left" w:pos="720"/>
        </w:tabs>
        <w:ind w:left="720" w:hanging="153"/>
      </w:pPr>
      <w:rPr>
        <w:rFonts w:hint="eastAsia"/>
      </w:rPr>
    </w:lvl>
    <w:lvl w:ilvl="3" w:tentative="0">
      <w:start w:val="1"/>
      <w:numFmt w:val="decimal"/>
      <w:pStyle w:val="78"/>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2">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1E84619A"/>
    <w:multiLevelType w:val="singleLevel"/>
    <w:tmpl w:val="1E84619A"/>
    <w:lvl w:ilvl="0" w:tentative="0">
      <w:start w:val="1"/>
      <w:numFmt w:val="decimal"/>
      <w:suff w:val="nothing"/>
      <w:lvlText w:val="%1、"/>
      <w:lvlJc w:val="left"/>
    </w:lvl>
  </w:abstractNum>
  <w:abstractNum w:abstractNumId="16">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7">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85"/>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8">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9">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1">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23">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4">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5">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6">
    <w:nsid w:val="4B331C36"/>
    <w:multiLevelType w:val="multilevel"/>
    <w:tmpl w:val="4B331C36"/>
    <w:lvl w:ilvl="0" w:tentative="0">
      <w:start w:val="1"/>
      <w:numFmt w:val="japaneseCounting"/>
      <w:pStyle w:val="90"/>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8">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9">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0">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1">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2">
    <w:nsid w:val="5E7F9B9C"/>
    <w:multiLevelType w:val="singleLevel"/>
    <w:tmpl w:val="5E7F9B9C"/>
    <w:lvl w:ilvl="0" w:tentative="0">
      <w:start w:val="1"/>
      <w:numFmt w:val="decimal"/>
      <w:suff w:val="space"/>
      <w:lvlText w:val="%1）"/>
      <w:lvlJc w:val="left"/>
    </w:lvl>
  </w:abstractNum>
  <w:abstractNum w:abstractNumId="33">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4">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5">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6">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7">
    <w:nsid w:val="6CEA2025"/>
    <w:multiLevelType w:val="multilevel"/>
    <w:tmpl w:val="6CEA2025"/>
    <w:lvl w:ilvl="0" w:tentative="0">
      <w:start w:val="1"/>
      <w:numFmt w:val="none"/>
      <w:pStyle w:val="67"/>
      <w:suff w:val="nothing"/>
      <w:lvlText w:val="%1"/>
      <w:lvlJc w:val="left"/>
      <w:pPr>
        <w:ind w:left="0" w:firstLine="0"/>
      </w:pPr>
      <w:rPr>
        <w:rFonts w:hint="default" w:ascii="Times New Roman" w:hAnsi="Times New Roman"/>
        <w:b/>
        <w:i w:val="0"/>
        <w:sz w:val="21"/>
      </w:rPr>
    </w:lvl>
    <w:lvl w:ilvl="1" w:tentative="0">
      <w:start w:val="1"/>
      <w:numFmt w:val="decimal"/>
      <w:pStyle w:val="70"/>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76"/>
      <w:suff w:val="nothing"/>
      <w:lvlText w:val="%1%2.%3　"/>
      <w:lvlJc w:val="left"/>
      <w:pPr>
        <w:ind w:left="720" w:firstLine="0"/>
      </w:pPr>
      <w:rPr>
        <w:rFonts w:hint="eastAsia" w:ascii="黑体" w:hAnsi="Times New Roman" w:eastAsia="黑体"/>
        <w:b w:val="0"/>
        <w:i w:val="0"/>
        <w:sz w:val="21"/>
      </w:rPr>
    </w:lvl>
    <w:lvl w:ilvl="3" w:tentative="0">
      <w:start w:val="1"/>
      <w:numFmt w:val="decimal"/>
      <w:pStyle w:val="75"/>
      <w:suff w:val="nothing"/>
      <w:lvlText w:val="%1%2.4.%4　"/>
      <w:lvlJc w:val="left"/>
      <w:pPr>
        <w:ind w:left="420" w:firstLine="0"/>
      </w:pPr>
      <w:rPr>
        <w:rFonts w:hint="eastAsia" w:ascii="黑体" w:hAnsi="Times New Roman" w:eastAsia="黑体"/>
        <w:b w:val="0"/>
        <w:i w:val="0"/>
        <w:sz w:val="21"/>
      </w:rPr>
    </w:lvl>
    <w:lvl w:ilvl="4" w:tentative="0">
      <w:start w:val="1"/>
      <w:numFmt w:val="decimal"/>
      <w:pStyle w:val="82"/>
      <w:suff w:val="nothing"/>
      <w:lvlText w:val="5.%12.5.%5　"/>
      <w:lvlJc w:val="left"/>
      <w:pPr>
        <w:ind w:left="42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39">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0">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2">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4">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37"/>
  </w:num>
  <w:num w:numId="2">
    <w:abstractNumId w:val="10"/>
  </w:num>
  <w:num w:numId="3">
    <w:abstractNumId w:val="17"/>
  </w:num>
  <w:num w:numId="4">
    <w:abstractNumId w:val="26"/>
  </w:num>
  <w:num w:numId="5">
    <w:abstractNumId w:val="13"/>
  </w:num>
  <w:num w:numId="6">
    <w:abstractNumId w:val="12"/>
  </w:num>
  <w:num w:numId="7">
    <w:abstractNumId w:val="1"/>
  </w:num>
  <w:num w:numId="8">
    <w:abstractNumId w:val="30"/>
  </w:num>
  <w:num w:numId="9">
    <w:abstractNumId w:val="15"/>
  </w:num>
  <w:num w:numId="10">
    <w:abstractNumId w:val="8"/>
  </w:num>
  <w:num w:numId="11">
    <w:abstractNumId w:val="14"/>
  </w:num>
  <w:num w:numId="12">
    <w:abstractNumId w:val="33"/>
  </w:num>
  <w:num w:numId="13">
    <w:abstractNumId w:val="43"/>
  </w:num>
  <w:num w:numId="14">
    <w:abstractNumId w:val="44"/>
  </w:num>
  <w:num w:numId="15">
    <w:abstractNumId w:val="25"/>
  </w:num>
  <w:num w:numId="16">
    <w:abstractNumId w:val="28"/>
  </w:num>
  <w:num w:numId="17">
    <w:abstractNumId w:val="31"/>
  </w:num>
  <w:num w:numId="18">
    <w:abstractNumId w:val="34"/>
  </w:num>
  <w:num w:numId="19">
    <w:abstractNumId w:val="3"/>
  </w:num>
  <w:num w:numId="20">
    <w:abstractNumId w:val="36"/>
  </w:num>
  <w:num w:numId="21">
    <w:abstractNumId w:val="5"/>
  </w:num>
  <w:num w:numId="22">
    <w:abstractNumId w:val="23"/>
  </w:num>
  <w:num w:numId="23">
    <w:abstractNumId w:val="19"/>
  </w:num>
  <w:num w:numId="24">
    <w:abstractNumId w:val="39"/>
  </w:num>
  <w:num w:numId="25">
    <w:abstractNumId w:val="11"/>
  </w:num>
  <w:num w:numId="26">
    <w:abstractNumId w:val="24"/>
  </w:num>
  <w:num w:numId="27">
    <w:abstractNumId w:val="7"/>
  </w:num>
  <w:num w:numId="28">
    <w:abstractNumId w:val="38"/>
  </w:num>
  <w:num w:numId="29">
    <w:abstractNumId w:val="42"/>
  </w:num>
  <w:num w:numId="30">
    <w:abstractNumId w:val="27"/>
  </w:num>
  <w:num w:numId="31">
    <w:abstractNumId w:val="21"/>
  </w:num>
  <w:num w:numId="32">
    <w:abstractNumId w:val="9"/>
  </w:num>
  <w:num w:numId="33">
    <w:abstractNumId w:val="18"/>
  </w:num>
  <w:num w:numId="34">
    <w:abstractNumId w:val="41"/>
  </w:num>
  <w:num w:numId="35">
    <w:abstractNumId w:val="22"/>
  </w:num>
  <w:num w:numId="36">
    <w:abstractNumId w:val="32"/>
  </w:num>
  <w:num w:numId="37">
    <w:abstractNumId w:val="40"/>
  </w:num>
  <w:num w:numId="38">
    <w:abstractNumId w:val="35"/>
  </w:num>
  <w:num w:numId="39">
    <w:abstractNumId w:val="16"/>
  </w:num>
  <w:num w:numId="40">
    <w:abstractNumId w:val="29"/>
  </w:num>
  <w:num w:numId="41">
    <w:abstractNumId w:val="2"/>
  </w:num>
  <w:num w:numId="42">
    <w:abstractNumId w:val="20"/>
  </w:num>
  <w:num w:numId="43">
    <w:abstractNumId w:val="6"/>
  </w:num>
  <w:num w:numId="44">
    <w:abstractNumId w:val="0"/>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719C"/>
    <w:rsid w:val="003278E1"/>
    <w:rsid w:val="00330A2D"/>
    <w:rsid w:val="00330B2E"/>
    <w:rsid w:val="00330B59"/>
    <w:rsid w:val="003328A4"/>
    <w:rsid w:val="00332C49"/>
    <w:rsid w:val="00333FA6"/>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D2108"/>
    <w:rsid w:val="003D3DE1"/>
    <w:rsid w:val="003D43F4"/>
    <w:rsid w:val="003D4CCD"/>
    <w:rsid w:val="003E1DFB"/>
    <w:rsid w:val="003E3023"/>
    <w:rsid w:val="003E434A"/>
    <w:rsid w:val="003E5FD1"/>
    <w:rsid w:val="003F2162"/>
    <w:rsid w:val="003F2483"/>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22F1"/>
    <w:rsid w:val="005535DE"/>
    <w:rsid w:val="005538A7"/>
    <w:rsid w:val="0055465D"/>
    <w:rsid w:val="00554B6C"/>
    <w:rsid w:val="00554CD6"/>
    <w:rsid w:val="00555455"/>
    <w:rsid w:val="00555470"/>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6067"/>
    <w:rsid w:val="006C667E"/>
    <w:rsid w:val="006D001D"/>
    <w:rsid w:val="006D04DA"/>
    <w:rsid w:val="006D171A"/>
    <w:rsid w:val="006D1ABC"/>
    <w:rsid w:val="006D4C38"/>
    <w:rsid w:val="006D65EF"/>
    <w:rsid w:val="006D7C32"/>
    <w:rsid w:val="006E0B77"/>
    <w:rsid w:val="006E2B1D"/>
    <w:rsid w:val="006E3DDC"/>
    <w:rsid w:val="006E4106"/>
    <w:rsid w:val="006E43A8"/>
    <w:rsid w:val="006E506B"/>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3F0C"/>
    <w:rsid w:val="007B3F75"/>
    <w:rsid w:val="007B6DA5"/>
    <w:rsid w:val="007B732F"/>
    <w:rsid w:val="007C0895"/>
    <w:rsid w:val="007C1124"/>
    <w:rsid w:val="007C1383"/>
    <w:rsid w:val="007C1FED"/>
    <w:rsid w:val="007C31C0"/>
    <w:rsid w:val="007C3714"/>
    <w:rsid w:val="007C48B8"/>
    <w:rsid w:val="007C5ABA"/>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6041"/>
    <w:rsid w:val="00877518"/>
    <w:rsid w:val="00880645"/>
    <w:rsid w:val="00880C2C"/>
    <w:rsid w:val="00880D52"/>
    <w:rsid w:val="00883BAD"/>
    <w:rsid w:val="00885A85"/>
    <w:rsid w:val="00886B49"/>
    <w:rsid w:val="00886EA3"/>
    <w:rsid w:val="00887DFA"/>
    <w:rsid w:val="008907B5"/>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70FB"/>
    <w:rsid w:val="00952E9A"/>
    <w:rsid w:val="00954B96"/>
    <w:rsid w:val="0095669C"/>
    <w:rsid w:val="0095783C"/>
    <w:rsid w:val="00961751"/>
    <w:rsid w:val="009636A9"/>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D14"/>
    <w:rsid w:val="00A930B3"/>
    <w:rsid w:val="00A93E19"/>
    <w:rsid w:val="00A9510F"/>
    <w:rsid w:val="00A96B78"/>
    <w:rsid w:val="00AA2694"/>
    <w:rsid w:val="00AA415B"/>
    <w:rsid w:val="00AA4552"/>
    <w:rsid w:val="00AA5C52"/>
    <w:rsid w:val="00AA679C"/>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2D84"/>
    <w:rsid w:val="00CC11C4"/>
    <w:rsid w:val="00CC19CF"/>
    <w:rsid w:val="00CC1D01"/>
    <w:rsid w:val="00CC253A"/>
    <w:rsid w:val="00CC3BB3"/>
    <w:rsid w:val="00CC4DD4"/>
    <w:rsid w:val="00CC4DED"/>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79CB"/>
    <w:rsid w:val="00D25C8B"/>
    <w:rsid w:val="00D26C1D"/>
    <w:rsid w:val="00D27170"/>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4122"/>
    <w:rsid w:val="00EC61CE"/>
    <w:rsid w:val="00EC7ECD"/>
    <w:rsid w:val="00ED18AC"/>
    <w:rsid w:val="00ED298B"/>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74DB"/>
    <w:rsid w:val="00FE7B3D"/>
    <w:rsid w:val="00FF0B24"/>
    <w:rsid w:val="00FF14B0"/>
    <w:rsid w:val="00FF2088"/>
    <w:rsid w:val="00FF2ECB"/>
    <w:rsid w:val="00FF33F6"/>
    <w:rsid w:val="00FF349E"/>
    <w:rsid w:val="00FF3CAB"/>
    <w:rsid w:val="00FF3F80"/>
    <w:rsid w:val="00FF45DF"/>
    <w:rsid w:val="010B1330"/>
    <w:rsid w:val="01461ACD"/>
    <w:rsid w:val="018D0205"/>
    <w:rsid w:val="01C12A88"/>
    <w:rsid w:val="01D07706"/>
    <w:rsid w:val="0221271C"/>
    <w:rsid w:val="022D649C"/>
    <w:rsid w:val="02351774"/>
    <w:rsid w:val="023A6ECB"/>
    <w:rsid w:val="023D7843"/>
    <w:rsid w:val="02420646"/>
    <w:rsid w:val="028223A8"/>
    <w:rsid w:val="02A9706C"/>
    <w:rsid w:val="02EC3ED3"/>
    <w:rsid w:val="030157F5"/>
    <w:rsid w:val="031C67BA"/>
    <w:rsid w:val="03511571"/>
    <w:rsid w:val="035E37BC"/>
    <w:rsid w:val="03A25185"/>
    <w:rsid w:val="03A92E0C"/>
    <w:rsid w:val="03A93F07"/>
    <w:rsid w:val="03D1330D"/>
    <w:rsid w:val="03DD17F0"/>
    <w:rsid w:val="03F730D5"/>
    <w:rsid w:val="040E4213"/>
    <w:rsid w:val="04137380"/>
    <w:rsid w:val="04160294"/>
    <w:rsid w:val="0424709F"/>
    <w:rsid w:val="04273734"/>
    <w:rsid w:val="042C6AE4"/>
    <w:rsid w:val="0439748C"/>
    <w:rsid w:val="04663DEE"/>
    <w:rsid w:val="048B6224"/>
    <w:rsid w:val="049C3EF3"/>
    <w:rsid w:val="04BC1BA0"/>
    <w:rsid w:val="04CC4566"/>
    <w:rsid w:val="04FD23FC"/>
    <w:rsid w:val="05005426"/>
    <w:rsid w:val="05414396"/>
    <w:rsid w:val="055A38B5"/>
    <w:rsid w:val="059C5F8E"/>
    <w:rsid w:val="05AD5736"/>
    <w:rsid w:val="05CA2818"/>
    <w:rsid w:val="05FA06DD"/>
    <w:rsid w:val="06023A8F"/>
    <w:rsid w:val="06056F9D"/>
    <w:rsid w:val="0611621E"/>
    <w:rsid w:val="063F258E"/>
    <w:rsid w:val="065044F8"/>
    <w:rsid w:val="0653482B"/>
    <w:rsid w:val="06B7286F"/>
    <w:rsid w:val="06C116BD"/>
    <w:rsid w:val="06C767F8"/>
    <w:rsid w:val="06EA2FBD"/>
    <w:rsid w:val="06FE4AAE"/>
    <w:rsid w:val="070157D1"/>
    <w:rsid w:val="07117CDC"/>
    <w:rsid w:val="07354BE2"/>
    <w:rsid w:val="07506DDE"/>
    <w:rsid w:val="078360F1"/>
    <w:rsid w:val="079555F7"/>
    <w:rsid w:val="07AA21A6"/>
    <w:rsid w:val="07B323DD"/>
    <w:rsid w:val="07D33E7D"/>
    <w:rsid w:val="07DA2552"/>
    <w:rsid w:val="07E61182"/>
    <w:rsid w:val="07F876CF"/>
    <w:rsid w:val="07FA3FC0"/>
    <w:rsid w:val="08376BE0"/>
    <w:rsid w:val="08483779"/>
    <w:rsid w:val="085D5FC0"/>
    <w:rsid w:val="0886626A"/>
    <w:rsid w:val="08912C45"/>
    <w:rsid w:val="08AD0CF8"/>
    <w:rsid w:val="08AD503B"/>
    <w:rsid w:val="08C76CFD"/>
    <w:rsid w:val="08E340CC"/>
    <w:rsid w:val="08E95B0E"/>
    <w:rsid w:val="090C54BE"/>
    <w:rsid w:val="092936B1"/>
    <w:rsid w:val="096A4BCE"/>
    <w:rsid w:val="098226D8"/>
    <w:rsid w:val="09894939"/>
    <w:rsid w:val="0A165448"/>
    <w:rsid w:val="0A476E51"/>
    <w:rsid w:val="0A502EA2"/>
    <w:rsid w:val="0A5758F7"/>
    <w:rsid w:val="0A67144A"/>
    <w:rsid w:val="0A71618F"/>
    <w:rsid w:val="0A7E1671"/>
    <w:rsid w:val="0AC16F66"/>
    <w:rsid w:val="0B435CD5"/>
    <w:rsid w:val="0B456825"/>
    <w:rsid w:val="0B4B17AC"/>
    <w:rsid w:val="0B4F5787"/>
    <w:rsid w:val="0B625354"/>
    <w:rsid w:val="0B6438A9"/>
    <w:rsid w:val="0BC22757"/>
    <w:rsid w:val="0BD0342B"/>
    <w:rsid w:val="0BE3070D"/>
    <w:rsid w:val="0C367BBD"/>
    <w:rsid w:val="0C3C4113"/>
    <w:rsid w:val="0C4225D4"/>
    <w:rsid w:val="0C49239C"/>
    <w:rsid w:val="0C4E57C8"/>
    <w:rsid w:val="0C7336D0"/>
    <w:rsid w:val="0CC36F40"/>
    <w:rsid w:val="0CF02600"/>
    <w:rsid w:val="0D162766"/>
    <w:rsid w:val="0D165BCA"/>
    <w:rsid w:val="0D50445B"/>
    <w:rsid w:val="0D7807F1"/>
    <w:rsid w:val="0D895A46"/>
    <w:rsid w:val="0D9B67EB"/>
    <w:rsid w:val="0DE86CEC"/>
    <w:rsid w:val="0E0A51BD"/>
    <w:rsid w:val="0E141CA7"/>
    <w:rsid w:val="0E386D2E"/>
    <w:rsid w:val="0E442D5B"/>
    <w:rsid w:val="0E4E7B59"/>
    <w:rsid w:val="0E6E5960"/>
    <w:rsid w:val="0EAE4301"/>
    <w:rsid w:val="0ED27024"/>
    <w:rsid w:val="0ED94F19"/>
    <w:rsid w:val="0EDC5EDB"/>
    <w:rsid w:val="0F1B0DB7"/>
    <w:rsid w:val="0F3425BB"/>
    <w:rsid w:val="0F6C7EA7"/>
    <w:rsid w:val="0FA03F81"/>
    <w:rsid w:val="0FC5121F"/>
    <w:rsid w:val="0FC52200"/>
    <w:rsid w:val="0FC57219"/>
    <w:rsid w:val="0FF11896"/>
    <w:rsid w:val="0FF743B8"/>
    <w:rsid w:val="0FFB02D4"/>
    <w:rsid w:val="104114BC"/>
    <w:rsid w:val="104F21E7"/>
    <w:rsid w:val="10563622"/>
    <w:rsid w:val="10681B45"/>
    <w:rsid w:val="10D545EB"/>
    <w:rsid w:val="10E51E7E"/>
    <w:rsid w:val="1109548A"/>
    <w:rsid w:val="11156035"/>
    <w:rsid w:val="111F2499"/>
    <w:rsid w:val="11296D36"/>
    <w:rsid w:val="1146103D"/>
    <w:rsid w:val="116C7384"/>
    <w:rsid w:val="118359B0"/>
    <w:rsid w:val="12305D0B"/>
    <w:rsid w:val="12595354"/>
    <w:rsid w:val="12676ACE"/>
    <w:rsid w:val="128465F7"/>
    <w:rsid w:val="128C79F5"/>
    <w:rsid w:val="12987FD1"/>
    <w:rsid w:val="12D57C7C"/>
    <w:rsid w:val="12DE2F04"/>
    <w:rsid w:val="12F453F7"/>
    <w:rsid w:val="13355E57"/>
    <w:rsid w:val="135A65CD"/>
    <w:rsid w:val="13681291"/>
    <w:rsid w:val="139A72A6"/>
    <w:rsid w:val="13D75C16"/>
    <w:rsid w:val="14134EE1"/>
    <w:rsid w:val="141A71FC"/>
    <w:rsid w:val="14393E39"/>
    <w:rsid w:val="1439492C"/>
    <w:rsid w:val="144E282E"/>
    <w:rsid w:val="14905D77"/>
    <w:rsid w:val="14C13D98"/>
    <w:rsid w:val="14C818C6"/>
    <w:rsid w:val="14D17473"/>
    <w:rsid w:val="14D2285A"/>
    <w:rsid w:val="14F848F0"/>
    <w:rsid w:val="1533008F"/>
    <w:rsid w:val="153D3401"/>
    <w:rsid w:val="155142E7"/>
    <w:rsid w:val="15855A36"/>
    <w:rsid w:val="158E06A1"/>
    <w:rsid w:val="15932B1E"/>
    <w:rsid w:val="15AF36C0"/>
    <w:rsid w:val="15EE7CEF"/>
    <w:rsid w:val="160D691C"/>
    <w:rsid w:val="16333435"/>
    <w:rsid w:val="16391530"/>
    <w:rsid w:val="166C136C"/>
    <w:rsid w:val="168C0198"/>
    <w:rsid w:val="16C6539F"/>
    <w:rsid w:val="16C83962"/>
    <w:rsid w:val="16ED23AA"/>
    <w:rsid w:val="173E2364"/>
    <w:rsid w:val="1761710C"/>
    <w:rsid w:val="17812612"/>
    <w:rsid w:val="1789592C"/>
    <w:rsid w:val="17933C9F"/>
    <w:rsid w:val="17B13E29"/>
    <w:rsid w:val="17D67A38"/>
    <w:rsid w:val="17DB1463"/>
    <w:rsid w:val="17ED5B45"/>
    <w:rsid w:val="18260DD1"/>
    <w:rsid w:val="182656C2"/>
    <w:rsid w:val="18303541"/>
    <w:rsid w:val="183735E3"/>
    <w:rsid w:val="18744310"/>
    <w:rsid w:val="189F0A2A"/>
    <w:rsid w:val="18A12DFD"/>
    <w:rsid w:val="18A922F3"/>
    <w:rsid w:val="18B137E8"/>
    <w:rsid w:val="18D46399"/>
    <w:rsid w:val="18F56002"/>
    <w:rsid w:val="192F50C9"/>
    <w:rsid w:val="19633F03"/>
    <w:rsid w:val="199E02FC"/>
    <w:rsid w:val="19BA1CE3"/>
    <w:rsid w:val="19C0382B"/>
    <w:rsid w:val="19DF55C2"/>
    <w:rsid w:val="1A0C61A8"/>
    <w:rsid w:val="1A132F57"/>
    <w:rsid w:val="1A192AA9"/>
    <w:rsid w:val="1A300E03"/>
    <w:rsid w:val="1A40469B"/>
    <w:rsid w:val="1A5F760F"/>
    <w:rsid w:val="1A6F3E95"/>
    <w:rsid w:val="1A6F6E85"/>
    <w:rsid w:val="1AD51B88"/>
    <w:rsid w:val="1AF9117E"/>
    <w:rsid w:val="1B2058A0"/>
    <w:rsid w:val="1B566A66"/>
    <w:rsid w:val="1B8565CF"/>
    <w:rsid w:val="1B9104B0"/>
    <w:rsid w:val="1BAC363D"/>
    <w:rsid w:val="1BD60F79"/>
    <w:rsid w:val="1C0C60A0"/>
    <w:rsid w:val="1C41527E"/>
    <w:rsid w:val="1C49412F"/>
    <w:rsid w:val="1C4F5FC4"/>
    <w:rsid w:val="1C64078D"/>
    <w:rsid w:val="1C7D4620"/>
    <w:rsid w:val="1C81524F"/>
    <w:rsid w:val="1CA121A3"/>
    <w:rsid w:val="1CDF257F"/>
    <w:rsid w:val="1CE40841"/>
    <w:rsid w:val="1CF405AE"/>
    <w:rsid w:val="1CFB22F4"/>
    <w:rsid w:val="1D014450"/>
    <w:rsid w:val="1D2A2C86"/>
    <w:rsid w:val="1D2A6659"/>
    <w:rsid w:val="1D41310E"/>
    <w:rsid w:val="1D426DC5"/>
    <w:rsid w:val="1D4377C2"/>
    <w:rsid w:val="1D54682E"/>
    <w:rsid w:val="1D575B51"/>
    <w:rsid w:val="1D9F4A19"/>
    <w:rsid w:val="1DA05599"/>
    <w:rsid w:val="1DAB519B"/>
    <w:rsid w:val="1DC65420"/>
    <w:rsid w:val="1DC94DC3"/>
    <w:rsid w:val="1E0649A4"/>
    <w:rsid w:val="1E474E6F"/>
    <w:rsid w:val="1E6843C7"/>
    <w:rsid w:val="1EA60FCA"/>
    <w:rsid w:val="1EA87417"/>
    <w:rsid w:val="1ED70A99"/>
    <w:rsid w:val="1F35766F"/>
    <w:rsid w:val="1F42381F"/>
    <w:rsid w:val="1F65672E"/>
    <w:rsid w:val="1F6B4880"/>
    <w:rsid w:val="1F6D18D3"/>
    <w:rsid w:val="1F855EC8"/>
    <w:rsid w:val="1F865B87"/>
    <w:rsid w:val="1F8D0E35"/>
    <w:rsid w:val="1FB611E4"/>
    <w:rsid w:val="1FBA2E91"/>
    <w:rsid w:val="1FC02D54"/>
    <w:rsid w:val="1FD92D82"/>
    <w:rsid w:val="1FEE1F52"/>
    <w:rsid w:val="20804FF8"/>
    <w:rsid w:val="20950348"/>
    <w:rsid w:val="20981E88"/>
    <w:rsid w:val="20A10137"/>
    <w:rsid w:val="20B97750"/>
    <w:rsid w:val="20BD2343"/>
    <w:rsid w:val="20C125E5"/>
    <w:rsid w:val="20FE0571"/>
    <w:rsid w:val="212F48FD"/>
    <w:rsid w:val="21B23C30"/>
    <w:rsid w:val="220D5F91"/>
    <w:rsid w:val="220F017A"/>
    <w:rsid w:val="222F6FB1"/>
    <w:rsid w:val="223D6488"/>
    <w:rsid w:val="224F423C"/>
    <w:rsid w:val="227628DE"/>
    <w:rsid w:val="227710AB"/>
    <w:rsid w:val="229B4E78"/>
    <w:rsid w:val="22C77F82"/>
    <w:rsid w:val="22CC3284"/>
    <w:rsid w:val="22E50F21"/>
    <w:rsid w:val="22F562BD"/>
    <w:rsid w:val="231C3AC6"/>
    <w:rsid w:val="23261385"/>
    <w:rsid w:val="233970A1"/>
    <w:rsid w:val="2390118C"/>
    <w:rsid w:val="23995F10"/>
    <w:rsid w:val="23A33225"/>
    <w:rsid w:val="23A3458B"/>
    <w:rsid w:val="23A83880"/>
    <w:rsid w:val="23AC3B0D"/>
    <w:rsid w:val="23AE3EA4"/>
    <w:rsid w:val="23BD797B"/>
    <w:rsid w:val="23CC13DF"/>
    <w:rsid w:val="241374BB"/>
    <w:rsid w:val="24210897"/>
    <w:rsid w:val="24474E0A"/>
    <w:rsid w:val="244E4AD0"/>
    <w:rsid w:val="246B4679"/>
    <w:rsid w:val="249900C5"/>
    <w:rsid w:val="24BF7D42"/>
    <w:rsid w:val="24FB039B"/>
    <w:rsid w:val="255D2F2A"/>
    <w:rsid w:val="256C5A3D"/>
    <w:rsid w:val="257963F1"/>
    <w:rsid w:val="25A7402B"/>
    <w:rsid w:val="25FE15DC"/>
    <w:rsid w:val="26806C09"/>
    <w:rsid w:val="26863962"/>
    <w:rsid w:val="269C66F8"/>
    <w:rsid w:val="26FA6E39"/>
    <w:rsid w:val="271E4603"/>
    <w:rsid w:val="272A0710"/>
    <w:rsid w:val="27555997"/>
    <w:rsid w:val="276E4B45"/>
    <w:rsid w:val="277E0E1B"/>
    <w:rsid w:val="27C13C20"/>
    <w:rsid w:val="27E3360C"/>
    <w:rsid w:val="27E47883"/>
    <w:rsid w:val="28120519"/>
    <w:rsid w:val="281327C3"/>
    <w:rsid w:val="28195AAE"/>
    <w:rsid w:val="28323569"/>
    <w:rsid w:val="28326E12"/>
    <w:rsid w:val="28504863"/>
    <w:rsid w:val="28943CBF"/>
    <w:rsid w:val="28DB50D4"/>
    <w:rsid w:val="28E96526"/>
    <w:rsid w:val="28F77A34"/>
    <w:rsid w:val="29213FAC"/>
    <w:rsid w:val="294019F3"/>
    <w:rsid w:val="295F6F3A"/>
    <w:rsid w:val="298168E8"/>
    <w:rsid w:val="299658C8"/>
    <w:rsid w:val="29C74336"/>
    <w:rsid w:val="2A0C4705"/>
    <w:rsid w:val="2A104C01"/>
    <w:rsid w:val="2A2219FF"/>
    <w:rsid w:val="2A2649D3"/>
    <w:rsid w:val="2A2F0453"/>
    <w:rsid w:val="2A375CB0"/>
    <w:rsid w:val="2A4F7A8E"/>
    <w:rsid w:val="2A5C693A"/>
    <w:rsid w:val="2A9D1044"/>
    <w:rsid w:val="2AA14EFF"/>
    <w:rsid w:val="2AE42B9F"/>
    <w:rsid w:val="2AFA4FF0"/>
    <w:rsid w:val="2AFF35D3"/>
    <w:rsid w:val="2B0A651F"/>
    <w:rsid w:val="2B132D50"/>
    <w:rsid w:val="2B6076B4"/>
    <w:rsid w:val="2B617D56"/>
    <w:rsid w:val="2BEB27E3"/>
    <w:rsid w:val="2BEB2E9D"/>
    <w:rsid w:val="2BF61207"/>
    <w:rsid w:val="2C23157A"/>
    <w:rsid w:val="2C2E6F83"/>
    <w:rsid w:val="2C620007"/>
    <w:rsid w:val="2CAD21AD"/>
    <w:rsid w:val="2CB37806"/>
    <w:rsid w:val="2CD367CC"/>
    <w:rsid w:val="2CDD2B9E"/>
    <w:rsid w:val="2D09394F"/>
    <w:rsid w:val="2D6345E9"/>
    <w:rsid w:val="2D7E4209"/>
    <w:rsid w:val="2D9B288E"/>
    <w:rsid w:val="2DBD42B5"/>
    <w:rsid w:val="2DCB5DC1"/>
    <w:rsid w:val="2DCE5309"/>
    <w:rsid w:val="2DE2242A"/>
    <w:rsid w:val="2E4225F7"/>
    <w:rsid w:val="2E463849"/>
    <w:rsid w:val="2E5A5340"/>
    <w:rsid w:val="2E6E73D5"/>
    <w:rsid w:val="2E81141D"/>
    <w:rsid w:val="2E9A7ADA"/>
    <w:rsid w:val="2F1B0798"/>
    <w:rsid w:val="2F4F0438"/>
    <w:rsid w:val="2F506BFB"/>
    <w:rsid w:val="2F7E2CC0"/>
    <w:rsid w:val="2F921764"/>
    <w:rsid w:val="2F98405A"/>
    <w:rsid w:val="2FD11EB8"/>
    <w:rsid w:val="303D5772"/>
    <w:rsid w:val="306E40F7"/>
    <w:rsid w:val="308E4594"/>
    <w:rsid w:val="30B15581"/>
    <w:rsid w:val="30B93848"/>
    <w:rsid w:val="30BE1DE8"/>
    <w:rsid w:val="31253510"/>
    <w:rsid w:val="313177AD"/>
    <w:rsid w:val="31341EAD"/>
    <w:rsid w:val="31423CC5"/>
    <w:rsid w:val="3157256E"/>
    <w:rsid w:val="31665B97"/>
    <w:rsid w:val="31854B7E"/>
    <w:rsid w:val="31E86EE4"/>
    <w:rsid w:val="31FD6157"/>
    <w:rsid w:val="32171B71"/>
    <w:rsid w:val="322B53E9"/>
    <w:rsid w:val="32915ABA"/>
    <w:rsid w:val="329C1497"/>
    <w:rsid w:val="32D72576"/>
    <w:rsid w:val="32D93319"/>
    <w:rsid w:val="330D0307"/>
    <w:rsid w:val="332C3D97"/>
    <w:rsid w:val="3360351F"/>
    <w:rsid w:val="33620CB2"/>
    <w:rsid w:val="33B17CDB"/>
    <w:rsid w:val="33E04B57"/>
    <w:rsid w:val="33FA7456"/>
    <w:rsid w:val="34024883"/>
    <w:rsid w:val="344F7140"/>
    <w:rsid w:val="34755DB1"/>
    <w:rsid w:val="349E0FB2"/>
    <w:rsid w:val="34A96A1A"/>
    <w:rsid w:val="34B370D1"/>
    <w:rsid w:val="34CA52FD"/>
    <w:rsid w:val="34E622D6"/>
    <w:rsid w:val="3518700F"/>
    <w:rsid w:val="352F2FF3"/>
    <w:rsid w:val="35375748"/>
    <w:rsid w:val="35486C73"/>
    <w:rsid w:val="359E09BB"/>
    <w:rsid w:val="361A4DE1"/>
    <w:rsid w:val="361F592F"/>
    <w:rsid w:val="362F79EA"/>
    <w:rsid w:val="36516B14"/>
    <w:rsid w:val="36556C85"/>
    <w:rsid w:val="3675230B"/>
    <w:rsid w:val="36766F5C"/>
    <w:rsid w:val="36777C43"/>
    <w:rsid w:val="367E7A3F"/>
    <w:rsid w:val="36C1347A"/>
    <w:rsid w:val="36C31B41"/>
    <w:rsid w:val="36C532A1"/>
    <w:rsid w:val="36CE234D"/>
    <w:rsid w:val="36D347D3"/>
    <w:rsid w:val="36DA50A9"/>
    <w:rsid w:val="36E331E3"/>
    <w:rsid w:val="3736228A"/>
    <w:rsid w:val="37671725"/>
    <w:rsid w:val="376B48C3"/>
    <w:rsid w:val="376F122C"/>
    <w:rsid w:val="3798526A"/>
    <w:rsid w:val="37B72EB1"/>
    <w:rsid w:val="37C806F3"/>
    <w:rsid w:val="37C85C3C"/>
    <w:rsid w:val="37CF1603"/>
    <w:rsid w:val="37D172EF"/>
    <w:rsid w:val="38585500"/>
    <w:rsid w:val="385D1C71"/>
    <w:rsid w:val="388E1434"/>
    <w:rsid w:val="38BA5460"/>
    <w:rsid w:val="38C62FF5"/>
    <w:rsid w:val="38D62476"/>
    <w:rsid w:val="38E27127"/>
    <w:rsid w:val="39027E88"/>
    <w:rsid w:val="39075875"/>
    <w:rsid w:val="391904A1"/>
    <w:rsid w:val="391C718D"/>
    <w:rsid w:val="394D30B0"/>
    <w:rsid w:val="39624091"/>
    <w:rsid w:val="397C6037"/>
    <w:rsid w:val="39D43B66"/>
    <w:rsid w:val="39EC03FA"/>
    <w:rsid w:val="3A1E303B"/>
    <w:rsid w:val="3A1F74C9"/>
    <w:rsid w:val="3A2A1F54"/>
    <w:rsid w:val="3A2D40D1"/>
    <w:rsid w:val="3A314B02"/>
    <w:rsid w:val="3A5C2602"/>
    <w:rsid w:val="3A79657B"/>
    <w:rsid w:val="3A8B77C7"/>
    <w:rsid w:val="3A9A32EA"/>
    <w:rsid w:val="3AC637A5"/>
    <w:rsid w:val="3ACD391F"/>
    <w:rsid w:val="3B026D00"/>
    <w:rsid w:val="3B1471CB"/>
    <w:rsid w:val="3B1D7D2D"/>
    <w:rsid w:val="3B655681"/>
    <w:rsid w:val="3B6C4553"/>
    <w:rsid w:val="3B6F3ABC"/>
    <w:rsid w:val="3B7527F4"/>
    <w:rsid w:val="3BAA143A"/>
    <w:rsid w:val="3BC2186F"/>
    <w:rsid w:val="3BC378A6"/>
    <w:rsid w:val="3BDC08FD"/>
    <w:rsid w:val="3BE42ECD"/>
    <w:rsid w:val="3BFE1CAB"/>
    <w:rsid w:val="3C10260E"/>
    <w:rsid w:val="3C1142D8"/>
    <w:rsid w:val="3C145D60"/>
    <w:rsid w:val="3C274A05"/>
    <w:rsid w:val="3C7511AE"/>
    <w:rsid w:val="3CA977D2"/>
    <w:rsid w:val="3CC733AF"/>
    <w:rsid w:val="3CF76813"/>
    <w:rsid w:val="3CFC6063"/>
    <w:rsid w:val="3D1319B5"/>
    <w:rsid w:val="3D260CA6"/>
    <w:rsid w:val="3D520CCB"/>
    <w:rsid w:val="3D5C6974"/>
    <w:rsid w:val="3D6678B0"/>
    <w:rsid w:val="3D772181"/>
    <w:rsid w:val="3D823D30"/>
    <w:rsid w:val="3DCE6FB3"/>
    <w:rsid w:val="3DD16176"/>
    <w:rsid w:val="3E104E3F"/>
    <w:rsid w:val="3E1D6E9C"/>
    <w:rsid w:val="3E4A1BED"/>
    <w:rsid w:val="3E662345"/>
    <w:rsid w:val="3E82228B"/>
    <w:rsid w:val="3E8242C1"/>
    <w:rsid w:val="3EB33AF3"/>
    <w:rsid w:val="3EB4430D"/>
    <w:rsid w:val="3EFD0DF6"/>
    <w:rsid w:val="3EFE49C6"/>
    <w:rsid w:val="3F0A5B5C"/>
    <w:rsid w:val="3F1A0890"/>
    <w:rsid w:val="3F3F5846"/>
    <w:rsid w:val="3F71500B"/>
    <w:rsid w:val="3F801023"/>
    <w:rsid w:val="3F8064EB"/>
    <w:rsid w:val="3F982DCA"/>
    <w:rsid w:val="3FD12D26"/>
    <w:rsid w:val="3FDE4917"/>
    <w:rsid w:val="402F3ADF"/>
    <w:rsid w:val="40306F5A"/>
    <w:rsid w:val="40476BB3"/>
    <w:rsid w:val="40546FB6"/>
    <w:rsid w:val="40554803"/>
    <w:rsid w:val="407A60D5"/>
    <w:rsid w:val="40961808"/>
    <w:rsid w:val="40AB4DEE"/>
    <w:rsid w:val="40D24BBE"/>
    <w:rsid w:val="40EC4043"/>
    <w:rsid w:val="412008E0"/>
    <w:rsid w:val="413A6D3B"/>
    <w:rsid w:val="41515AC7"/>
    <w:rsid w:val="41902B9F"/>
    <w:rsid w:val="41C02331"/>
    <w:rsid w:val="41C13A63"/>
    <w:rsid w:val="41C67037"/>
    <w:rsid w:val="41D229E1"/>
    <w:rsid w:val="41EC6E94"/>
    <w:rsid w:val="41F72149"/>
    <w:rsid w:val="42415ACC"/>
    <w:rsid w:val="4243433E"/>
    <w:rsid w:val="427D539F"/>
    <w:rsid w:val="42991E30"/>
    <w:rsid w:val="42C54A02"/>
    <w:rsid w:val="42CE0B28"/>
    <w:rsid w:val="42CF6367"/>
    <w:rsid w:val="42DE1CCC"/>
    <w:rsid w:val="4308546B"/>
    <w:rsid w:val="43263445"/>
    <w:rsid w:val="434157E3"/>
    <w:rsid w:val="43494860"/>
    <w:rsid w:val="434D380E"/>
    <w:rsid w:val="43934189"/>
    <w:rsid w:val="439D4850"/>
    <w:rsid w:val="43C27232"/>
    <w:rsid w:val="43ED069F"/>
    <w:rsid w:val="442A6E5A"/>
    <w:rsid w:val="445C4B8F"/>
    <w:rsid w:val="44833851"/>
    <w:rsid w:val="44982752"/>
    <w:rsid w:val="44BF6F86"/>
    <w:rsid w:val="44C45031"/>
    <w:rsid w:val="44D53AB2"/>
    <w:rsid w:val="44F27B0D"/>
    <w:rsid w:val="45485BDE"/>
    <w:rsid w:val="45945C30"/>
    <w:rsid w:val="459F2306"/>
    <w:rsid w:val="45A832FE"/>
    <w:rsid w:val="45AB6174"/>
    <w:rsid w:val="45BA63E5"/>
    <w:rsid w:val="45CC5EDC"/>
    <w:rsid w:val="45F73D47"/>
    <w:rsid w:val="462D2575"/>
    <w:rsid w:val="46467FD8"/>
    <w:rsid w:val="46601D33"/>
    <w:rsid w:val="4666746C"/>
    <w:rsid w:val="467505FA"/>
    <w:rsid w:val="468720BA"/>
    <w:rsid w:val="46895AFC"/>
    <w:rsid w:val="46BC623F"/>
    <w:rsid w:val="46D855B9"/>
    <w:rsid w:val="470D2C74"/>
    <w:rsid w:val="4759448D"/>
    <w:rsid w:val="477570F1"/>
    <w:rsid w:val="47B41AAA"/>
    <w:rsid w:val="47CD38AD"/>
    <w:rsid w:val="47DB16D8"/>
    <w:rsid w:val="481A3F29"/>
    <w:rsid w:val="48416760"/>
    <w:rsid w:val="48466F81"/>
    <w:rsid w:val="484D02A2"/>
    <w:rsid w:val="486B647A"/>
    <w:rsid w:val="48896934"/>
    <w:rsid w:val="48C12AEC"/>
    <w:rsid w:val="48D072A1"/>
    <w:rsid w:val="48D1341D"/>
    <w:rsid w:val="48E0279A"/>
    <w:rsid w:val="48E64C8E"/>
    <w:rsid w:val="48FA7B87"/>
    <w:rsid w:val="4919356E"/>
    <w:rsid w:val="492A7740"/>
    <w:rsid w:val="49300AA7"/>
    <w:rsid w:val="49391CB0"/>
    <w:rsid w:val="493C3A20"/>
    <w:rsid w:val="49401E21"/>
    <w:rsid w:val="49526EB9"/>
    <w:rsid w:val="49684311"/>
    <w:rsid w:val="496D00AD"/>
    <w:rsid w:val="49742114"/>
    <w:rsid w:val="49754CB4"/>
    <w:rsid w:val="49921F0F"/>
    <w:rsid w:val="49CE6B8E"/>
    <w:rsid w:val="49D72FF3"/>
    <w:rsid w:val="49E0102B"/>
    <w:rsid w:val="4A2945F2"/>
    <w:rsid w:val="4A615154"/>
    <w:rsid w:val="4A96607C"/>
    <w:rsid w:val="4AB92E92"/>
    <w:rsid w:val="4B2134B8"/>
    <w:rsid w:val="4B24233C"/>
    <w:rsid w:val="4B330A0B"/>
    <w:rsid w:val="4B5E55F9"/>
    <w:rsid w:val="4B685D82"/>
    <w:rsid w:val="4B7B4674"/>
    <w:rsid w:val="4B7C663B"/>
    <w:rsid w:val="4B812078"/>
    <w:rsid w:val="4BF71347"/>
    <w:rsid w:val="4BF97932"/>
    <w:rsid w:val="4C141E75"/>
    <w:rsid w:val="4C2A4039"/>
    <w:rsid w:val="4C83601B"/>
    <w:rsid w:val="4CAE60E3"/>
    <w:rsid w:val="4CEE1D13"/>
    <w:rsid w:val="4D032DA9"/>
    <w:rsid w:val="4D0C6DBE"/>
    <w:rsid w:val="4D25615C"/>
    <w:rsid w:val="4D36054D"/>
    <w:rsid w:val="4D41137F"/>
    <w:rsid w:val="4D524AEA"/>
    <w:rsid w:val="4D5724F7"/>
    <w:rsid w:val="4D757452"/>
    <w:rsid w:val="4D8C3F82"/>
    <w:rsid w:val="4DBC14B8"/>
    <w:rsid w:val="4DE936C7"/>
    <w:rsid w:val="4DF23555"/>
    <w:rsid w:val="4E050D4C"/>
    <w:rsid w:val="4E06569E"/>
    <w:rsid w:val="4E093792"/>
    <w:rsid w:val="4E1D26B7"/>
    <w:rsid w:val="4E1F052C"/>
    <w:rsid w:val="4E451D41"/>
    <w:rsid w:val="4E7A454C"/>
    <w:rsid w:val="4E85341C"/>
    <w:rsid w:val="4E9B7B12"/>
    <w:rsid w:val="4EC47712"/>
    <w:rsid w:val="4EDD3C61"/>
    <w:rsid w:val="4EF1457F"/>
    <w:rsid w:val="4F2C40A0"/>
    <w:rsid w:val="4F2F3B98"/>
    <w:rsid w:val="4F380B7A"/>
    <w:rsid w:val="4F4B0CB3"/>
    <w:rsid w:val="4F4F0EBF"/>
    <w:rsid w:val="4F8C4B40"/>
    <w:rsid w:val="4FAA5CD5"/>
    <w:rsid w:val="4FBD187E"/>
    <w:rsid w:val="4FD11AC0"/>
    <w:rsid w:val="501C6FDB"/>
    <w:rsid w:val="502F75EB"/>
    <w:rsid w:val="50400243"/>
    <w:rsid w:val="50494336"/>
    <w:rsid w:val="50784012"/>
    <w:rsid w:val="50813C12"/>
    <w:rsid w:val="5087463E"/>
    <w:rsid w:val="50A11680"/>
    <w:rsid w:val="50B77550"/>
    <w:rsid w:val="50B93EB6"/>
    <w:rsid w:val="50C773AE"/>
    <w:rsid w:val="50CD6602"/>
    <w:rsid w:val="510D0F23"/>
    <w:rsid w:val="51114BEC"/>
    <w:rsid w:val="51197B59"/>
    <w:rsid w:val="51615030"/>
    <w:rsid w:val="51627812"/>
    <w:rsid w:val="51D33F6D"/>
    <w:rsid w:val="52045DB4"/>
    <w:rsid w:val="522C275E"/>
    <w:rsid w:val="52643689"/>
    <w:rsid w:val="529000F6"/>
    <w:rsid w:val="5296149A"/>
    <w:rsid w:val="52A65672"/>
    <w:rsid w:val="52BA4073"/>
    <w:rsid w:val="52CD7B31"/>
    <w:rsid w:val="52D576F4"/>
    <w:rsid w:val="52DF170A"/>
    <w:rsid w:val="52E25B6D"/>
    <w:rsid w:val="52F362FB"/>
    <w:rsid w:val="52F4161A"/>
    <w:rsid w:val="52F965A5"/>
    <w:rsid w:val="53081AD8"/>
    <w:rsid w:val="53235275"/>
    <w:rsid w:val="53240623"/>
    <w:rsid w:val="53321C03"/>
    <w:rsid w:val="533415F9"/>
    <w:rsid w:val="534823B8"/>
    <w:rsid w:val="535657D0"/>
    <w:rsid w:val="535868CC"/>
    <w:rsid w:val="53597EDB"/>
    <w:rsid w:val="538D066D"/>
    <w:rsid w:val="53934B1D"/>
    <w:rsid w:val="53A2278E"/>
    <w:rsid w:val="53CB788B"/>
    <w:rsid w:val="53E32E36"/>
    <w:rsid w:val="54203B94"/>
    <w:rsid w:val="5424233E"/>
    <w:rsid w:val="542A3DC2"/>
    <w:rsid w:val="542C299E"/>
    <w:rsid w:val="543642C1"/>
    <w:rsid w:val="5461235D"/>
    <w:rsid w:val="54667BA2"/>
    <w:rsid w:val="547E7555"/>
    <w:rsid w:val="54A01FAE"/>
    <w:rsid w:val="54C0256E"/>
    <w:rsid w:val="54C334B7"/>
    <w:rsid w:val="54D4667D"/>
    <w:rsid w:val="54D55C56"/>
    <w:rsid w:val="54E04645"/>
    <w:rsid w:val="54EC389B"/>
    <w:rsid w:val="54F847D9"/>
    <w:rsid w:val="55126190"/>
    <w:rsid w:val="555F3833"/>
    <w:rsid w:val="55667780"/>
    <w:rsid w:val="556E493A"/>
    <w:rsid w:val="55941D63"/>
    <w:rsid w:val="559C0CE1"/>
    <w:rsid w:val="55C37D08"/>
    <w:rsid w:val="55C42CEF"/>
    <w:rsid w:val="55D11119"/>
    <w:rsid w:val="55DB1F79"/>
    <w:rsid w:val="560A42BD"/>
    <w:rsid w:val="560C1D89"/>
    <w:rsid w:val="56353B20"/>
    <w:rsid w:val="56443B98"/>
    <w:rsid w:val="56453A77"/>
    <w:rsid w:val="56757259"/>
    <w:rsid w:val="569C3387"/>
    <w:rsid w:val="56B07FE6"/>
    <w:rsid w:val="56CB4BCB"/>
    <w:rsid w:val="56FE266C"/>
    <w:rsid w:val="57391A95"/>
    <w:rsid w:val="573F3C9E"/>
    <w:rsid w:val="574C52C4"/>
    <w:rsid w:val="57526FDB"/>
    <w:rsid w:val="57572F35"/>
    <w:rsid w:val="575B33A4"/>
    <w:rsid w:val="57674A5D"/>
    <w:rsid w:val="57C90530"/>
    <w:rsid w:val="57CA1770"/>
    <w:rsid w:val="57CE0836"/>
    <w:rsid w:val="582F44F7"/>
    <w:rsid w:val="583F27F2"/>
    <w:rsid w:val="58455B6D"/>
    <w:rsid w:val="584D29B0"/>
    <w:rsid w:val="584F7C49"/>
    <w:rsid w:val="5888302C"/>
    <w:rsid w:val="5889129A"/>
    <w:rsid w:val="58AD528C"/>
    <w:rsid w:val="58B31955"/>
    <w:rsid w:val="58BA45A1"/>
    <w:rsid w:val="594F6915"/>
    <w:rsid w:val="59737A65"/>
    <w:rsid w:val="59842DF4"/>
    <w:rsid w:val="59A0359A"/>
    <w:rsid w:val="59E52D9A"/>
    <w:rsid w:val="5A300449"/>
    <w:rsid w:val="5A482DEE"/>
    <w:rsid w:val="5A55295D"/>
    <w:rsid w:val="5A7E104A"/>
    <w:rsid w:val="5A8208A0"/>
    <w:rsid w:val="5A861FD5"/>
    <w:rsid w:val="5AE3253A"/>
    <w:rsid w:val="5AEA30C9"/>
    <w:rsid w:val="5AEA3475"/>
    <w:rsid w:val="5AF54C6B"/>
    <w:rsid w:val="5B0724B0"/>
    <w:rsid w:val="5B087B94"/>
    <w:rsid w:val="5B0C2FBE"/>
    <w:rsid w:val="5B0E3E89"/>
    <w:rsid w:val="5B124740"/>
    <w:rsid w:val="5B3F66E7"/>
    <w:rsid w:val="5B872AE6"/>
    <w:rsid w:val="5BA77753"/>
    <w:rsid w:val="5BC025EF"/>
    <w:rsid w:val="5C1203C7"/>
    <w:rsid w:val="5C1F35AE"/>
    <w:rsid w:val="5C3905BF"/>
    <w:rsid w:val="5C66397A"/>
    <w:rsid w:val="5C7349B6"/>
    <w:rsid w:val="5C824C05"/>
    <w:rsid w:val="5C8725EE"/>
    <w:rsid w:val="5CB0251A"/>
    <w:rsid w:val="5CB97030"/>
    <w:rsid w:val="5CC97332"/>
    <w:rsid w:val="5D187049"/>
    <w:rsid w:val="5D1D2427"/>
    <w:rsid w:val="5D756277"/>
    <w:rsid w:val="5D955FBD"/>
    <w:rsid w:val="5DA62524"/>
    <w:rsid w:val="5DAC3919"/>
    <w:rsid w:val="5DB36259"/>
    <w:rsid w:val="5DBD33B2"/>
    <w:rsid w:val="5DC223CB"/>
    <w:rsid w:val="5DF66637"/>
    <w:rsid w:val="5DFF6858"/>
    <w:rsid w:val="5E0275DE"/>
    <w:rsid w:val="5E185132"/>
    <w:rsid w:val="5E2A0167"/>
    <w:rsid w:val="5E5D68E8"/>
    <w:rsid w:val="5E9074FF"/>
    <w:rsid w:val="5EB62A77"/>
    <w:rsid w:val="5EB80355"/>
    <w:rsid w:val="5EBB2226"/>
    <w:rsid w:val="5EBE5F24"/>
    <w:rsid w:val="5EF07004"/>
    <w:rsid w:val="5F0E1E9A"/>
    <w:rsid w:val="5F860C23"/>
    <w:rsid w:val="5FC44411"/>
    <w:rsid w:val="605C7AA6"/>
    <w:rsid w:val="605F132B"/>
    <w:rsid w:val="608510A4"/>
    <w:rsid w:val="608762FF"/>
    <w:rsid w:val="608C4544"/>
    <w:rsid w:val="60BD4FD1"/>
    <w:rsid w:val="60D507D0"/>
    <w:rsid w:val="60EA1511"/>
    <w:rsid w:val="60FD5C7B"/>
    <w:rsid w:val="61154980"/>
    <w:rsid w:val="613D7E7B"/>
    <w:rsid w:val="617162E9"/>
    <w:rsid w:val="61A52BAA"/>
    <w:rsid w:val="61CA374D"/>
    <w:rsid w:val="61FA0AE4"/>
    <w:rsid w:val="623438BB"/>
    <w:rsid w:val="624B10F0"/>
    <w:rsid w:val="624F3E48"/>
    <w:rsid w:val="62635981"/>
    <w:rsid w:val="629B3E75"/>
    <w:rsid w:val="629B5D43"/>
    <w:rsid w:val="62A36D1F"/>
    <w:rsid w:val="62A40365"/>
    <w:rsid w:val="62A469A9"/>
    <w:rsid w:val="62B90FFE"/>
    <w:rsid w:val="62D04B5E"/>
    <w:rsid w:val="62F6018D"/>
    <w:rsid w:val="63016E3A"/>
    <w:rsid w:val="63034141"/>
    <w:rsid w:val="63045E00"/>
    <w:rsid w:val="630A731B"/>
    <w:rsid w:val="63386B48"/>
    <w:rsid w:val="633A3FE7"/>
    <w:rsid w:val="63562840"/>
    <w:rsid w:val="637141EC"/>
    <w:rsid w:val="63805B1F"/>
    <w:rsid w:val="63834973"/>
    <w:rsid w:val="638F3DC7"/>
    <w:rsid w:val="6397194C"/>
    <w:rsid w:val="63DA4B5E"/>
    <w:rsid w:val="64055A50"/>
    <w:rsid w:val="64273E62"/>
    <w:rsid w:val="642E2892"/>
    <w:rsid w:val="64AD7C37"/>
    <w:rsid w:val="64B05758"/>
    <w:rsid w:val="64BE4B0D"/>
    <w:rsid w:val="65075A96"/>
    <w:rsid w:val="650E600B"/>
    <w:rsid w:val="650F0C7B"/>
    <w:rsid w:val="65B221E6"/>
    <w:rsid w:val="66426031"/>
    <w:rsid w:val="66593B74"/>
    <w:rsid w:val="66651C8A"/>
    <w:rsid w:val="66675176"/>
    <w:rsid w:val="66783AB9"/>
    <w:rsid w:val="669F2C65"/>
    <w:rsid w:val="66BC6171"/>
    <w:rsid w:val="66BE6B53"/>
    <w:rsid w:val="66C55FD8"/>
    <w:rsid w:val="66D333AF"/>
    <w:rsid w:val="67192A34"/>
    <w:rsid w:val="674A4927"/>
    <w:rsid w:val="677243C5"/>
    <w:rsid w:val="678568CD"/>
    <w:rsid w:val="67A24F14"/>
    <w:rsid w:val="67BB4EAD"/>
    <w:rsid w:val="67E453F6"/>
    <w:rsid w:val="67F130F8"/>
    <w:rsid w:val="67F84AFE"/>
    <w:rsid w:val="680878A3"/>
    <w:rsid w:val="68340476"/>
    <w:rsid w:val="683870E8"/>
    <w:rsid w:val="68457681"/>
    <w:rsid w:val="684977D5"/>
    <w:rsid w:val="68552C50"/>
    <w:rsid w:val="685D34E7"/>
    <w:rsid w:val="68A8123A"/>
    <w:rsid w:val="68B84F4C"/>
    <w:rsid w:val="69055229"/>
    <w:rsid w:val="6929374C"/>
    <w:rsid w:val="692F20BB"/>
    <w:rsid w:val="69467A85"/>
    <w:rsid w:val="69784C3F"/>
    <w:rsid w:val="69C1095D"/>
    <w:rsid w:val="69D7038D"/>
    <w:rsid w:val="6A0138F7"/>
    <w:rsid w:val="6A1E155A"/>
    <w:rsid w:val="6A6D24F2"/>
    <w:rsid w:val="6A7B5447"/>
    <w:rsid w:val="6ADB012D"/>
    <w:rsid w:val="6AE3748E"/>
    <w:rsid w:val="6AF53FAE"/>
    <w:rsid w:val="6B1C3EC6"/>
    <w:rsid w:val="6B5603B2"/>
    <w:rsid w:val="6B574638"/>
    <w:rsid w:val="6B615C8D"/>
    <w:rsid w:val="6B67068F"/>
    <w:rsid w:val="6B6E2E8D"/>
    <w:rsid w:val="6BAB6FBB"/>
    <w:rsid w:val="6BB568D4"/>
    <w:rsid w:val="6BDF79C7"/>
    <w:rsid w:val="6BE146ED"/>
    <w:rsid w:val="6BFD1917"/>
    <w:rsid w:val="6C0B074D"/>
    <w:rsid w:val="6C1458EF"/>
    <w:rsid w:val="6C231806"/>
    <w:rsid w:val="6C275F8B"/>
    <w:rsid w:val="6C3B15FF"/>
    <w:rsid w:val="6C3B431E"/>
    <w:rsid w:val="6C3E5116"/>
    <w:rsid w:val="6C725FD7"/>
    <w:rsid w:val="6C852D02"/>
    <w:rsid w:val="6C880907"/>
    <w:rsid w:val="6CEA2C90"/>
    <w:rsid w:val="6CFA5C74"/>
    <w:rsid w:val="6D2C4A68"/>
    <w:rsid w:val="6D3B2E78"/>
    <w:rsid w:val="6D3C3AC0"/>
    <w:rsid w:val="6D410335"/>
    <w:rsid w:val="6D4305C3"/>
    <w:rsid w:val="6D48445E"/>
    <w:rsid w:val="6D500B73"/>
    <w:rsid w:val="6D666AA6"/>
    <w:rsid w:val="6D687043"/>
    <w:rsid w:val="6D7D6DC8"/>
    <w:rsid w:val="6D885EAB"/>
    <w:rsid w:val="6D953F0C"/>
    <w:rsid w:val="6DB67EBB"/>
    <w:rsid w:val="6DEF52E3"/>
    <w:rsid w:val="6E0E6A1E"/>
    <w:rsid w:val="6E2D763E"/>
    <w:rsid w:val="6E420FB1"/>
    <w:rsid w:val="6E95727F"/>
    <w:rsid w:val="6E95768E"/>
    <w:rsid w:val="6EA14900"/>
    <w:rsid w:val="6EB27AA3"/>
    <w:rsid w:val="6EF9461D"/>
    <w:rsid w:val="6F1348E9"/>
    <w:rsid w:val="6F2A01FE"/>
    <w:rsid w:val="6F2A71A4"/>
    <w:rsid w:val="6F9415EA"/>
    <w:rsid w:val="6FCA5E7C"/>
    <w:rsid w:val="6FE3419F"/>
    <w:rsid w:val="6FF778F1"/>
    <w:rsid w:val="700346D4"/>
    <w:rsid w:val="70287F2C"/>
    <w:rsid w:val="70A36520"/>
    <w:rsid w:val="70AF69EB"/>
    <w:rsid w:val="70F97D93"/>
    <w:rsid w:val="71181113"/>
    <w:rsid w:val="711D7CA6"/>
    <w:rsid w:val="71227E63"/>
    <w:rsid w:val="71614B6B"/>
    <w:rsid w:val="718D2905"/>
    <w:rsid w:val="719909D2"/>
    <w:rsid w:val="719B61D4"/>
    <w:rsid w:val="71A10922"/>
    <w:rsid w:val="71D214DD"/>
    <w:rsid w:val="72091DAA"/>
    <w:rsid w:val="72267D97"/>
    <w:rsid w:val="724E29D1"/>
    <w:rsid w:val="728564F5"/>
    <w:rsid w:val="728B7ACE"/>
    <w:rsid w:val="728E70EC"/>
    <w:rsid w:val="729701CD"/>
    <w:rsid w:val="72AB431D"/>
    <w:rsid w:val="72BB1F74"/>
    <w:rsid w:val="72DA09BB"/>
    <w:rsid w:val="72E745EF"/>
    <w:rsid w:val="730E0485"/>
    <w:rsid w:val="730E4D7D"/>
    <w:rsid w:val="731466EF"/>
    <w:rsid w:val="73212A01"/>
    <w:rsid w:val="73322FF0"/>
    <w:rsid w:val="733712FB"/>
    <w:rsid w:val="73460FB0"/>
    <w:rsid w:val="73513F28"/>
    <w:rsid w:val="735A7119"/>
    <w:rsid w:val="736127BE"/>
    <w:rsid w:val="739E0038"/>
    <w:rsid w:val="73B34591"/>
    <w:rsid w:val="73D850A2"/>
    <w:rsid w:val="73DE7F6C"/>
    <w:rsid w:val="73E365CE"/>
    <w:rsid w:val="73E64B1D"/>
    <w:rsid w:val="740735EA"/>
    <w:rsid w:val="7408106C"/>
    <w:rsid w:val="74BE4E97"/>
    <w:rsid w:val="74D504C8"/>
    <w:rsid w:val="74F679F1"/>
    <w:rsid w:val="74F841F7"/>
    <w:rsid w:val="75003D28"/>
    <w:rsid w:val="750445F2"/>
    <w:rsid w:val="751D637E"/>
    <w:rsid w:val="751F2555"/>
    <w:rsid w:val="753504B8"/>
    <w:rsid w:val="75466A74"/>
    <w:rsid w:val="758418D8"/>
    <w:rsid w:val="75A17528"/>
    <w:rsid w:val="75AA6AC3"/>
    <w:rsid w:val="75B749A9"/>
    <w:rsid w:val="75CD3F16"/>
    <w:rsid w:val="75FE451A"/>
    <w:rsid w:val="76781DCD"/>
    <w:rsid w:val="76D84698"/>
    <w:rsid w:val="775865D7"/>
    <w:rsid w:val="775B4584"/>
    <w:rsid w:val="776234AF"/>
    <w:rsid w:val="776D12AE"/>
    <w:rsid w:val="77AD0FE0"/>
    <w:rsid w:val="77BE7384"/>
    <w:rsid w:val="78821B50"/>
    <w:rsid w:val="788E2A2A"/>
    <w:rsid w:val="78C52EE0"/>
    <w:rsid w:val="78D23C9C"/>
    <w:rsid w:val="7913610A"/>
    <w:rsid w:val="791A167A"/>
    <w:rsid w:val="796B6F7E"/>
    <w:rsid w:val="79935707"/>
    <w:rsid w:val="799A2128"/>
    <w:rsid w:val="79C30D65"/>
    <w:rsid w:val="79CC3295"/>
    <w:rsid w:val="7A0B1561"/>
    <w:rsid w:val="7A25258A"/>
    <w:rsid w:val="7A2C646D"/>
    <w:rsid w:val="7A55546C"/>
    <w:rsid w:val="7A743686"/>
    <w:rsid w:val="7A824E2E"/>
    <w:rsid w:val="7A9E7BE0"/>
    <w:rsid w:val="7AFF6437"/>
    <w:rsid w:val="7B021BF1"/>
    <w:rsid w:val="7B9F2862"/>
    <w:rsid w:val="7BA9751C"/>
    <w:rsid w:val="7BAB44F6"/>
    <w:rsid w:val="7BB856C6"/>
    <w:rsid w:val="7BBB27D3"/>
    <w:rsid w:val="7BC24A45"/>
    <w:rsid w:val="7BD52A90"/>
    <w:rsid w:val="7C076616"/>
    <w:rsid w:val="7C0D60AB"/>
    <w:rsid w:val="7C295DFC"/>
    <w:rsid w:val="7C4B37FA"/>
    <w:rsid w:val="7C58255B"/>
    <w:rsid w:val="7C5B5FF8"/>
    <w:rsid w:val="7C910DB6"/>
    <w:rsid w:val="7CF03F88"/>
    <w:rsid w:val="7CF73786"/>
    <w:rsid w:val="7D5E51C4"/>
    <w:rsid w:val="7D7525FB"/>
    <w:rsid w:val="7DC111D1"/>
    <w:rsid w:val="7DC43A43"/>
    <w:rsid w:val="7DC74225"/>
    <w:rsid w:val="7DDA69EF"/>
    <w:rsid w:val="7E6C26A2"/>
    <w:rsid w:val="7EB35583"/>
    <w:rsid w:val="7EB5276C"/>
    <w:rsid w:val="7EBC57D7"/>
    <w:rsid w:val="7ED0794B"/>
    <w:rsid w:val="7ED70A6F"/>
    <w:rsid w:val="7EE20D78"/>
    <w:rsid w:val="7F216E2F"/>
    <w:rsid w:val="7F3206AA"/>
    <w:rsid w:val="7F5E6382"/>
    <w:rsid w:val="7F5F2553"/>
    <w:rsid w:val="7F89742A"/>
    <w:rsid w:val="7F913259"/>
    <w:rsid w:val="7F9B22D0"/>
    <w:rsid w:val="7F9F74D0"/>
    <w:rsid w:val="7FA200C0"/>
    <w:rsid w:val="7FA23B7F"/>
    <w:rsid w:val="7FBE60DA"/>
    <w:rsid w:val="7FBF3588"/>
    <w:rsid w:val="7FDE4F4F"/>
    <w:rsid w:val="7FFB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5"/>
    <w:qFormat/>
    <w:uiPriority w:val="0"/>
    <w:rPr>
      <w:rFonts w:ascii="宋体" w:hAnsi="Tahoma"/>
      <w:sz w:val="18"/>
      <w:szCs w:val="18"/>
    </w:rPr>
  </w:style>
  <w:style w:type="paragraph" w:styleId="8">
    <w:name w:val="annotation text"/>
    <w:basedOn w:val="1"/>
    <w:link w:val="64"/>
    <w:semiHidden/>
    <w:qFormat/>
    <w:uiPriority w:val="99"/>
    <w:pPr>
      <w:jc w:val="left"/>
    </w:pPr>
    <w:rPr>
      <w:rFonts w:ascii="Tahoma" w:hAnsi="Tahoma"/>
    </w:rPr>
  </w:style>
  <w:style w:type="paragraph" w:styleId="9">
    <w:name w:val="Body Text 3"/>
    <w:basedOn w:val="1"/>
    <w:qFormat/>
    <w:uiPriority w:val="0"/>
    <w:rPr>
      <w:kern w:val="0"/>
      <w:sz w:val="16"/>
      <w:szCs w:val="16"/>
    </w:r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3">
    <w:name w:val="toc 3"/>
    <w:basedOn w:val="1"/>
    <w:next w:val="1"/>
    <w:unhideWhenUsed/>
    <w:qFormat/>
    <w:uiPriority w:val="39"/>
    <w:pPr>
      <w:ind w:left="840" w:leftChars="400"/>
    </w:pPr>
    <w:rPr>
      <w:sz w:val="28"/>
    </w:rPr>
  </w:style>
  <w:style w:type="paragraph" w:styleId="14">
    <w:name w:val="Plain Text"/>
    <w:basedOn w:val="1"/>
    <w:qFormat/>
    <w:uiPriority w:val="0"/>
    <w:rPr>
      <w:rFonts w:ascii="宋体" w:hAnsi="Courier New" w:eastAsia="楷体_GB2312"/>
      <w:snapToGrid w:val="0"/>
      <w:color w:val="000000"/>
      <w:kern w:val="0"/>
      <w:sz w:val="32"/>
      <w:szCs w:val="21"/>
    </w:rPr>
  </w:style>
  <w:style w:type="paragraph" w:styleId="15">
    <w:name w:val="Date"/>
    <w:basedOn w:val="1"/>
    <w:next w:val="1"/>
    <w:qFormat/>
    <w:uiPriority w:val="0"/>
    <w:rPr>
      <w:rFonts w:ascii="楷体_GB2312" w:eastAsia="楷体_GB2312"/>
      <w:color w:val="000000"/>
      <w:kern w:val="0"/>
      <w:sz w:val="32"/>
      <w:szCs w:val="32"/>
    </w:rPr>
  </w:style>
  <w:style w:type="paragraph" w:styleId="16">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7">
    <w:name w:val="Balloon Text"/>
    <w:basedOn w:val="1"/>
    <w:unhideWhenUsed/>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ind w:left="359" w:leftChars="171" w:firstLine="554" w:firstLineChars="198"/>
    </w:pPr>
    <w:rPr>
      <w:sz w:val="28"/>
      <w:szCs w:val="20"/>
    </w:rPr>
  </w:style>
  <w:style w:type="paragraph" w:styleId="22">
    <w:name w:val="toc 2"/>
    <w:basedOn w:val="1"/>
    <w:next w:val="1"/>
    <w:qFormat/>
    <w:uiPriority w:val="39"/>
    <w:pPr>
      <w:ind w:left="420" w:leftChars="200"/>
    </w:pPr>
  </w:style>
  <w:style w:type="paragraph" w:styleId="23">
    <w:name w:val="Body Text 2"/>
    <w:basedOn w:val="1"/>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5">
    <w:name w:val="annotation subject"/>
    <w:basedOn w:val="8"/>
    <w:next w:val="8"/>
    <w:link w:val="62"/>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b/>
      <w:bCs/>
      <w:sz w:val="24"/>
    </w:rPr>
  </w:style>
  <w:style w:type="character" w:styleId="30">
    <w:name w:val="page number"/>
    <w:basedOn w:val="28"/>
    <w:qFormat/>
    <w:uiPriority w:val="0"/>
  </w:style>
  <w:style w:type="character" w:styleId="31">
    <w:name w:val="FollowedHyperlink"/>
    <w:qFormat/>
    <w:uiPriority w:val="0"/>
    <w:rPr>
      <w:rFonts w:ascii="Tahoma" w:hAnsi="Tahoma"/>
      <w:color w:val="000000"/>
      <w:sz w:val="18"/>
      <w:szCs w:val="18"/>
      <w:u w:val="none"/>
    </w:rPr>
  </w:style>
  <w:style w:type="character" w:styleId="32">
    <w:name w:val="Hyperlink"/>
    <w:qFormat/>
    <w:uiPriority w:val="99"/>
    <w:rPr>
      <w:rFonts w:ascii="Tahoma" w:hAnsi="Tahoma"/>
      <w:color w:val="0000FF"/>
      <w:sz w:val="24"/>
      <w:u w:val="single"/>
    </w:rPr>
  </w:style>
  <w:style w:type="character" w:styleId="33">
    <w:name w:val="annotation reference"/>
    <w:unhideWhenUsed/>
    <w:qFormat/>
    <w:uiPriority w:val="99"/>
    <w:rPr>
      <w:rFonts w:ascii="Tahoma" w:hAnsi="Tahoma"/>
      <w:sz w:val="21"/>
      <w:szCs w:val="21"/>
    </w:rPr>
  </w:style>
  <w:style w:type="character" w:customStyle="1" w:styleId="34">
    <w:name w:val="cfdate"/>
    <w:basedOn w:val="28"/>
    <w:qFormat/>
    <w:uiPriority w:val="0"/>
    <w:rPr>
      <w:color w:val="333333"/>
      <w:sz w:val="18"/>
      <w:szCs w:val="18"/>
    </w:rPr>
  </w:style>
  <w:style w:type="character" w:customStyle="1" w:styleId="35">
    <w:name w:val="文档结构图 字符"/>
    <w:link w:val="7"/>
    <w:qFormat/>
    <w:uiPriority w:val="0"/>
    <w:rPr>
      <w:rFonts w:ascii="宋体" w:hAnsi="Tahoma"/>
      <w:kern w:val="2"/>
      <w:sz w:val="18"/>
      <w:szCs w:val="18"/>
    </w:rPr>
  </w:style>
  <w:style w:type="character" w:customStyle="1" w:styleId="36">
    <w:name w:val="copyright"/>
    <w:basedOn w:val="28"/>
    <w:qFormat/>
    <w:uiPriority w:val="0"/>
  </w:style>
  <w:style w:type="character" w:customStyle="1" w:styleId="37">
    <w:name w:val="Char Char6"/>
    <w:qFormat/>
    <w:uiPriority w:val="0"/>
    <w:rPr>
      <w:rFonts w:ascii="Tahoma" w:hAnsi="Tahoma" w:eastAsia="宋体"/>
      <w:b/>
      <w:bCs/>
      <w:kern w:val="2"/>
      <w:sz w:val="32"/>
      <w:szCs w:val="32"/>
      <w:lang w:val="en-US" w:eastAsia="zh-CN" w:bidi="ar-SA"/>
    </w:rPr>
  </w:style>
  <w:style w:type="character" w:customStyle="1" w:styleId="38">
    <w:name w:val="qxdate"/>
    <w:basedOn w:val="28"/>
    <w:qFormat/>
    <w:uiPriority w:val="0"/>
    <w:rPr>
      <w:color w:val="333333"/>
      <w:sz w:val="18"/>
      <w:szCs w:val="18"/>
    </w:rPr>
  </w:style>
  <w:style w:type="character" w:customStyle="1" w:styleId="39">
    <w:name w:val="gjfg"/>
    <w:basedOn w:val="28"/>
    <w:qFormat/>
    <w:uiPriority w:val="0"/>
  </w:style>
  <w:style w:type="character" w:customStyle="1" w:styleId="40">
    <w:name w:val="Char Char3"/>
    <w:semiHidden/>
    <w:qFormat/>
    <w:uiPriority w:val="0"/>
    <w:rPr>
      <w:rFonts w:ascii="Tahoma" w:hAnsi="Tahoma" w:eastAsia="宋体"/>
      <w:kern w:val="2"/>
      <w:sz w:val="18"/>
      <w:szCs w:val="18"/>
      <w:lang w:val="en-US" w:eastAsia="zh-CN" w:bidi="ar-SA"/>
    </w:rPr>
  </w:style>
  <w:style w:type="character" w:customStyle="1" w:styleId="41">
    <w:name w:val="普通文字 Char2"/>
    <w:qFormat/>
    <w:uiPriority w:val="0"/>
    <w:rPr>
      <w:rFonts w:ascii="宋体" w:hAnsi="Courier New" w:eastAsia="楷体_GB2312"/>
      <w:snapToGrid w:val="0"/>
      <w:color w:val="000000"/>
      <w:sz w:val="32"/>
      <w:szCs w:val="21"/>
      <w:lang w:val="en-US" w:eastAsia="zh-CN" w:bidi="ar-SA"/>
    </w:rPr>
  </w:style>
  <w:style w:type="character" w:customStyle="1" w:styleId="42">
    <w:name w:val="Char Char4"/>
    <w:qFormat/>
    <w:uiPriority w:val="0"/>
    <w:rPr>
      <w:rFonts w:ascii="Tahoma" w:hAnsi="Tahoma" w:eastAsia="宋体"/>
      <w:kern w:val="2"/>
      <w:sz w:val="18"/>
      <w:szCs w:val="18"/>
      <w:lang w:val="en-US" w:eastAsia="zh-CN" w:bidi="ar-SA"/>
    </w:rPr>
  </w:style>
  <w:style w:type="character" w:customStyle="1" w:styleId="43">
    <w:name w:val="font51"/>
    <w:qFormat/>
    <w:uiPriority w:val="0"/>
    <w:rPr>
      <w:rFonts w:hint="eastAsia" w:ascii="宋体" w:hAnsi="宋体" w:eastAsia="宋体" w:cs="宋体"/>
      <w:color w:val="000000"/>
      <w:sz w:val="21"/>
      <w:szCs w:val="21"/>
      <w:u w:val="none"/>
    </w:rPr>
  </w:style>
  <w:style w:type="character" w:customStyle="1" w:styleId="44">
    <w:name w:val="Char Char1"/>
    <w:semiHidden/>
    <w:qFormat/>
    <w:uiPriority w:val="0"/>
    <w:rPr>
      <w:rFonts w:ascii="Tahoma" w:hAnsi="Tahoma" w:eastAsia="宋体"/>
      <w:kern w:val="2"/>
      <w:sz w:val="28"/>
      <w:lang w:val="en-US" w:eastAsia="zh-CN" w:bidi="ar-SA"/>
    </w:rPr>
  </w:style>
  <w:style w:type="character" w:customStyle="1" w:styleId="45">
    <w:name w:val="profont1"/>
    <w:qFormat/>
    <w:uiPriority w:val="0"/>
    <w:rPr>
      <w:rFonts w:hint="default" w:ascii="Verdana" w:hAnsi="Verdana"/>
      <w:b/>
      <w:bCs/>
      <w:color w:val="333333"/>
      <w:sz w:val="24"/>
      <w:szCs w:val="24"/>
      <w:u w:val="none"/>
    </w:rPr>
  </w:style>
  <w:style w:type="character" w:customStyle="1" w:styleId="46">
    <w:name w:val="标题 2 Char"/>
    <w:qFormat/>
    <w:uiPriority w:val="0"/>
    <w:rPr>
      <w:rFonts w:ascii="Arial" w:hAnsi="Arial" w:eastAsia="黑体"/>
      <w:b/>
      <w:bCs/>
      <w:kern w:val="2"/>
      <w:sz w:val="32"/>
      <w:szCs w:val="32"/>
      <w:lang w:val="en-US" w:eastAsia="zh-CN" w:bidi="ar-SA"/>
    </w:rPr>
  </w:style>
  <w:style w:type="character" w:customStyle="1" w:styleId="47">
    <w:name w:val="Char Char5"/>
    <w:qFormat/>
    <w:uiPriority w:val="0"/>
    <w:rPr>
      <w:rFonts w:ascii="Tahoma" w:hAnsi="Tahoma" w:eastAsia="宋体"/>
      <w:kern w:val="2"/>
      <w:sz w:val="18"/>
      <w:szCs w:val="18"/>
      <w:lang w:val="en-US" w:eastAsia="zh-CN" w:bidi="ar-SA"/>
    </w:rPr>
  </w:style>
  <w:style w:type="character" w:customStyle="1" w:styleId="48">
    <w:name w:val="标题 1.1 Char1"/>
    <w:qFormat/>
    <w:uiPriority w:val="0"/>
    <w:rPr>
      <w:rFonts w:ascii="Arial" w:hAnsi="Arial" w:eastAsia="黑体"/>
      <w:b/>
      <w:bCs/>
      <w:kern w:val="2"/>
      <w:sz w:val="32"/>
      <w:szCs w:val="32"/>
      <w:lang w:val="en-US" w:eastAsia="zh-CN" w:bidi="ar-SA"/>
    </w:rPr>
  </w:style>
  <w:style w:type="character" w:customStyle="1" w:styleId="49">
    <w:name w:val="font01"/>
    <w:qFormat/>
    <w:uiPriority w:val="0"/>
    <w:rPr>
      <w:rFonts w:hint="eastAsia" w:ascii="宋体" w:hAnsi="宋体" w:eastAsia="宋体" w:cs="宋体"/>
      <w:color w:val="000000"/>
      <w:sz w:val="24"/>
      <w:szCs w:val="24"/>
      <w:u w:val="none"/>
    </w:rPr>
  </w:style>
  <w:style w:type="character" w:customStyle="1" w:styleId="50">
    <w:name w:val="font11"/>
    <w:qFormat/>
    <w:uiPriority w:val="0"/>
    <w:rPr>
      <w:rFonts w:hint="eastAsia" w:ascii="宋体" w:hAnsi="宋体" w:eastAsia="宋体" w:cs="宋体"/>
      <w:b/>
      <w:color w:val="000000"/>
      <w:sz w:val="24"/>
      <w:szCs w:val="24"/>
      <w:u w:val="none"/>
    </w:rPr>
  </w:style>
  <w:style w:type="character" w:customStyle="1" w:styleId="51">
    <w:name w:val="Char Char"/>
    <w:qFormat/>
    <w:uiPriority w:val="0"/>
    <w:rPr>
      <w:rFonts w:ascii="Tahoma" w:hAnsi="Tahoma"/>
      <w:kern w:val="2"/>
      <w:sz w:val="21"/>
      <w:szCs w:val="24"/>
    </w:rPr>
  </w:style>
  <w:style w:type="character" w:customStyle="1" w:styleId="52">
    <w:name w:val="style111"/>
    <w:qFormat/>
    <w:uiPriority w:val="0"/>
    <w:rPr>
      <w:rFonts w:ascii="Tahoma" w:hAnsi="Tahoma"/>
      <w:sz w:val="22"/>
      <w:szCs w:val="22"/>
    </w:rPr>
  </w:style>
  <w:style w:type="character" w:customStyle="1" w:styleId="53">
    <w:name w:val="displayarti"/>
    <w:basedOn w:val="28"/>
    <w:qFormat/>
    <w:uiPriority w:val="0"/>
    <w:rPr>
      <w:color w:val="FFFFFF"/>
      <w:shd w:val="clear" w:color="auto" w:fill="A00000"/>
    </w:rPr>
  </w:style>
  <w:style w:type="character" w:customStyle="1" w:styleId="54">
    <w:name w:val="Char Char7"/>
    <w:qFormat/>
    <w:uiPriority w:val="0"/>
    <w:rPr>
      <w:rFonts w:ascii="Tahoma" w:hAnsi="Tahoma" w:eastAsia="宋体"/>
      <w:b/>
      <w:bCs/>
      <w:kern w:val="44"/>
      <w:sz w:val="44"/>
      <w:szCs w:val="44"/>
      <w:lang w:val="en-US" w:eastAsia="zh-CN" w:bidi="ar-SA"/>
    </w:rPr>
  </w:style>
  <w:style w:type="character" w:customStyle="1" w:styleId="55">
    <w:name w:val="font31"/>
    <w:qFormat/>
    <w:uiPriority w:val="0"/>
    <w:rPr>
      <w:rFonts w:hint="eastAsia" w:ascii="宋体" w:hAnsi="宋体" w:eastAsia="宋体" w:cs="宋体"/>
      <w:color w:val="000000"/>
      <w:sz w:val="21"/>
      <w:szCs w:val="21"/>
      <w:u w:val="none"/>
    </w:rPr>
  </w:style>
  <w:style w:type="character" w:customStyle="1" w:styleId="56">
    <w:name w:val="Char Char2"/>
    <w:qFormat/>
    <w:uiPriority w:val="0"/>
    <w:rPr>
      <w:rFonts w:ascii="华文仿宋" w:hAnsi="华文仿宋" w:eastAsia="华文仿宋"/>
      <w:color w:val="000000"/>
      <w:sz w:val="32"/>
      <w:szCs w:val="32"/>
      <w:lang w:val="en-US" w:eastAsia="zh-CN" w:bidi="ar-SA"/>
    </w:rPr>
  </w:style>
  <w:style w:type="character" w:customStyle="1" w:styleId="57">
    <w:name w:val="style51"/>
    <w:qFormat/>
    <w:uiPriority w:val="0"/>
    <w:rPr>
      <w:rFonts w:ascii="Tahoma" w:hAnsi="Tahoma"/>
      <w:b/>
      <w:bCs/>
      <w:color w:val="814107"/>
      <w:sz w:val="21"/>
      <w:szCs w:val="21"/>
    </w:rPr>
  </w:style>
  <w:style w:type="character" w:customStyle="1" w:styleId="58">
    <w:name w:val="页脚 字符"/>
    <w:link w:val="18"/>
    <w:qFormat/>
    <w:uiPriority w:val="99"/>
    <w:rPr>
      <w:rFonts w:ascii="Tahoma" w:hAnsi="Tahoma"/>
      <w:kern w:val="2"/>
      <w:sz w:val="18"/>
      <w:szCs w:val="18"/>
    </w:rPr>
  </w:style>
  <w:style w:type="character" w:customStyle="1" w:styleId="59">
    <w:name w:val="标题 1.1 Char"/>
    <w:qFormat/>
    <w:uiPriority w:val="0"/>
    <w:rPr>
      <w:rFonts w:ascii="仿宋_GB2312" w:hAnsi="Arial" w:eastAsia="仿宋_GB2312" w:cs="Arial"/>
      <w:b/>
      <w:bCs/>
      <w:kern w:val="2"/>
      <w:sz w:val="24"/>
      <w:szCs w:val="24"/>
      <w:lang w:val="en-US" w:eastAsia="zh-CN" w:bidi="ar-SA"/>
    </w:rPr>
  </w:style>
  <w:style w:type="character" w:customStyle="1" w:styleId="60">
    <w:name w:val="普通文字 Char1"/>
    <w:qFormat/>
    <w:uiPriority w:val="0"/>
    <w:rPr>
      <w:rFonts w:ascii="宋体" w:hAnsi="Courier New" w:eastAsia="宋体"/>
      <w:kern w:val="2"/>
      <w:sz w:val="21"/>
      <w:szCs w:val="21"/>
      <w:lang w:val="en-US" w:eastAsia="zh-CN" w:bidi="ar-SA"/>
    </w:rPr>
  </w:style>
  <w:style w:type="character" w:customStyle="1" w:styleId="61">
    <w:name w:val="font41"/>
    <w:qFormat/>
    <w:uiPriority w:val="0"/>
    <w:rPr>
      <w:rFonts w:ascii="font-weight : 400" w:hAnsi="font-weight : 400" w:eastAsia="font-weight : 400" w:cs="font-weight : 400"/>
      <w:color w:val="000000"/>
      <w:sz w:val="21"/>
      <w:szCs w:val="21"/>
      <w:u w:val="none"/>
    </w:rPr>
  </w:style>
  <w:style w:type="character" w:customStyle="1" w:styleId="62">
    <w:name w:val="批注主题 字符"/>
    <w:link w:val="25"/>
    <w:qFormat/>
    <w:uiPriority w:val="0"/>
    <w:rPr>
      <w:rFonts w:ascii="Tahoma" w:hAnsi="Tahoma"/>
      <w:b/>
      <w:bCs/>
      <w:kern w:val="2"/>
      <w:sz w:val="21"/>
      <w:szCs w:val="24"/>
    </w:rPr>
  </w:style>
  <w:style w:type="character" w:customStyle="1" w:styleId="63">
    <w:name w:val="redfilefwwh"/>
    <w:basedOn w:val="28"/>
    <w:qFormat/>
    <w:uiPriority w:val="0"/>
    <w:rPr>
      <w:color w:val="BA2636"/>
      <w:sz w:val="18"/>
      <w:szCs w:val="18"/>
    </w:rPr>
  </w:style>
  <w:style w:type="character" w:customStyle="1" w:styleId="64">
    <w:name w:val="批注文字 字符"/>
    <w:link w:val="8"/>
    <w:semiHidden/>
    <w:qFormat/>
    <w:uiPriority w:val="99"/>
    <w:rPr>
      <w:rFonts w:ascii="Tahoma" w:hAnsi="Tahoma"/>
      <w:kern w:val="2"/>
      <w:sz w:val="21"/>
      <w:szCs w:val="24"/>
    </w:rPr>
  </w:style>
  <w:style w:type="character" w:customStyle="1" w:styleId="65">
    <w:name w:val="redfilenumber"/>
    <w:basedOn w:val="28"/>
    <w:qFormat/>
    <w:uiPriority w:val="0"/>
    <w:rPr>
      <w:color w:val="BA2636"/>
      <w:sz w:val="18"/>
      <w:szCs w:val="18"/>
    </w:rPr>
  </w:style>
  <w:style w:type="paragraph" w:customStyle="1" w:styleId="66">
    <w:name w:val="Char1 Char Char Char"/>
    <w:basedOn w:val="1"/>
    <w:qFormat/>
    <w:uiPriority w:val="0"/>
    <w:pPr>
      <w:adjustRightInd w:val="0"/>
      <w:spacing w:line="360" w:lineRule="auto"/>
    </w:pPr>
    <w:rPr>
      <w:kern w:val="0"/>
      <w:sz w:val="24"/>
      <w:szCs w:val="20"/>
    </w:rPr>
  </w:style>
  <w:style w:type="paragraph" w:customStyle="1" w:styleId="6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_Style 2"/>
    <w:basedOn w:val="1"/>
    <w:qFormat/>
    <w:uiPriority w:val="34"/>
    <w:pPr>
      <w:ind w:firstLine="420" w:firstLineChars="200"/>
    </w:pPr>
  </w:style>
  <w:style w:type="paragraph" w:customStyle="1" w:styleId="69">
    <w:name w:val="Char Char Char Char Char Char"/>
    <w:basedOn w:val="1"/>
    <w:qFormat/>
    <w:uiPriority w:val="0"/>
    <w:rPr>
      <w:rFonts w:ascii="Tahoma" w:hAnsi="Tahoma"/>
      <w:sz w:val="24"/>
    </w:rPr>
  </w:style>
  <w:style w:type="paragraph" w:customStyle="1" w:styleId="7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1">
    <w:name w:val="Char Char Char"/>
    <w:basedOn w:val="1"/>
    <w:qFormat/>
    <w:uiPriority w:val="0"/>
    <w:rPr>
      <w:rFonts w:ascii="Tahoma" w:hAnsi="Tahoma"/>
      <w:sz w:val="24"/>
      <w:szCs w:val="20"/>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7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二级条标题"/>
    <w:basedOn w:val="76"/>
    <w:next w:val="1"/>
    <w:qFormat/>
    <w:uiPriority w:val="0"/>
    <w:pPr>
      <w:numPr>
        <w:ilvl w:val="3"/>
      </w:numPr>
      <w:outlineLvl w:val="3"/>
    </w:pPr>
  </w:style>
  <w:style w:type="paragraph" w:customStyle="1" w:styleId="76">
    <w:name w:val="一级条标题"/>
    <w:basedOn w:val="70"/>
    <w:next w:val="1"/>
    <w:qFormat/>
    <w:uiPriority w:val="0"/>
    <w:pPr>
      <w:numPr>
        <w:ilvl w:val="2"/>
      </w:numPr>
      <w:spacing w:beforeLines="0" w:afterLines="0"/>
      <w:outlineLvl w:val="2"/>
    </w:pPr>
  </w:style>
  <w:style w:type="paragraph" w:customStyle="1" w:styleId="77">
    <w:name w:val="Char Char Char1"/>
    <w:basedOn w:val="1"/>
    <w:qFormat/>
    <w:uiPriority w:val="0"/>
    <w:rPr>
      <w:rFonts w:ascii="Tahoma" w:hAnsi="Tahoma"/>
      <w:sz w:val="24"/>
      <w:szCs w:val="20"/>
    </w:rPr>
  </w:style>
  <w:style w:type="paragraph" w:customStyle="1" w:styleId="78">
    <w:name w:val="样式5"/>
    <w:basedOn w:val="79"/>
    <w:qFormat/>
    <w:uiPriority w:val="0"/>
    <w:pPr>
      <w:numPr>
        <w:ilvl w:val="3"/>
      </w:numPr>
      <w:tabs>
        <w:tab w:val="left" w:pos="432"/>
      </w:tabs>
      <w:spacing w:before="156"/>
    </w:pPr>
  </w:style>
  <w:style w:type="paragraph" w:customStyle="1" w:styleId="79">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0">
    <w:name w:val="Char"/>
    <w:basedOn w:val="1"/>
    <w:qFormat/>
    <w:uiPriority w:val="0"/>
    <w:pPr>
      <w:adjustRightInd w:val="0"/>
      <w:spacing w:line="360" w:lineRule="auto"/>
    </w:pPr>
    <w:rPr>
      <w:kern w:val="0"/>
      <w:sz w:val="24"/>
      <w:szCs w:val="20"/>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三级条标题"/>
    <w:basedOn w:val="75"/>
    <w:next w:val="1"/>
    <w:qFormat/>
    <w:uiPriority w:val="0"/>
    <w:pPr>
      <w:numPr>
        <w:ilvl w:val="4"/>
      </w:numPr>
      <w:outlineLvl w:val="4"/>
    </w:pPr>
  </w:style>
  <w:style w:type="paragraph" w:customStyle="1" w:styleId="83">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Char Char Char Char Char Char Char"/>
    <w:basedOn w:val="1"/>
    <w:qFormat/>
    <w:uiPriority w:val="0"/>
    <w:rPr>
      <w:rFonts w:ascii="Tahoma" w:hAnsi="Tahoma" w:cs="Arial"/>
      <w:szCs w:val="21"/>
    </w:rPr>
  </w:style>
  <w:style w:type="paragraph" w:customStyle="1" w:styleId="85">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86">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7">
    <w:name w:val="五级条标题"/>
    <w:basedOn w:val="88"/>
    <w:next w:val="1"/>
    <w:qFormat/>
    <w:uiPriority w:val="0"/>
    <w:pPr>
      <w:numPr>
        <w:ilvl w:val="6"/>
      </w:numPr>
      <w:outlineLvl w:val="6"/>
    </w:pPr>
  </w:style>
  <w:style w:type="paragraph" w:customStyle="1" w:styleId="88">
    <w:name w:val="四级条标题"/>
    <w:basedOn w:val="82"/>
    <w:next w:val="1"/>
    <w:qFormat/>
    <w:uiPriority w:val="0"/>
    <w:pPr>
      <w:numPr>
        <w:ilvl w:val="5"/>
      </w:numPr>
      <w:outlineLvl w:val="5"/>
    </w:pPr>
  </w:style>
  <w:style w:type="paragraph" w:customStyle="1" w:styleId="89">
    <w:name w:val="Normal Indent1"/>
    <w:basedOn w:val="1"/>
    <w:qFormat/>
    <w:uiPriority w:val="99"/>
    <w:pPr>
      <w:autoSpaceDE w:val="0"/>
      <w:autoSpaceDN w:val="0"/>
      <w:adjustRightInd w:val="0"/>
      <w:ind w:firstLine="420"/>
    </w:pPr>
    <w:rPr>
      <w:kern w:val="0"/>
      <w:szCs w:val="21"/>
    </w:rPr>
  </w:style>
  <w:style w:type="paragraph" w:customStyle="1" w:styleId="90">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1">
    <w:name w:val="样式6"/>
    <w:basedOn w:val="79"/>
    <w:qFormat/>
    <w:uiPriority w:val="0"/>
    <w:pPr>
      <w:numPr>
        <w:ilvl w:val="2"/>
      </w:numPr>
      <w:tabs>
        <w:tab w:val="clear" w:pos="432"/>
      </w:tabs>
      <w:spacing w:before="156"/>
      <w:outlineLvl w:val="4"/>
    </w:pPr>
    <w:rPr>
      <w:rFonts w:ascii="MS Shell Dlg" w:hAnsi="MS Shell Dlg"/>
    </w:rPr>
  </w:style>
  <w:style w:type="paragraph" w:styleId="92">
    <w:name w:val="List Paragraph"/>
    <w:basedOn w:val="1"/>
    <w:qFormat/>
    <w:uiPriority w:val="34"/>
    <w:pPr>
      <w:ind w:firstLine="420" w:firstLineChars="200"/>
    </w:pPr>
    <w:rPr>
      <w:sz w:val="28"/>
    </w:rPr>
  </w:style>
  <w:style w:type="paragraph" w:customStyle="1" w:styleId="93">
    <w:name w:val="列出段落1"/>
    <w:basedOn w:val="1"/>
    <w:qFormat/>
    <w:uiPriority w:val="0"/>
    <w:pPr>
      <w:ind w:firstLine="420" w:firstLineChars="200"/>
    </w:pPr>
    <w:rPr>
      <w:rFonts w:ascii="Calibri" w:hAnsi="Calibri"/>
      <w:kern w:val="0"/>
      <w:sz w:val="20"/>
      <w:szCs w:val="20"/>
    </w:rPr>
  </w:style>
  <w:style w:type="paragraph" w:customStyle="1" w:styleId="94">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95">
    <w:name w:val="Table Paragraph"/>
    <w:basedOn w:val="1"/>
    <w:unhideWhenUsed/>
    <w:qFormat/>
    <w:uiPriority w:val="1"/>
    <w:rPr>
      <w:rFonts w:hint="eastAsia"/>
      <w:sz w:val="24"/>
    </w:rPr>
  </w:style>
  <w:style w:type="paragraph" w:customStyle="1" w:styleId="96">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97">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9AF57-27B5-49DB-BD11-75B5B17BEB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4469</Words>
  <Characters>25479</Characters>
  <Lines>212</Lines>
  <Paragraphs>59</Paragraphs>
  <TotalTime>10</TotalTime>
  <ScaleCrop>false</ScaleCrop>
  <LinksUpToDate>false</LinksUpToDate>
  <CharactersWithSpaces>29889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2018-07-02T23:53:00Z</dcterms:created>
  <dc:creator>风之客</dc:creator>
  <cp:lastModifiedBy>everything</cp:lastModifiedBy>
  <cp:lastPrinted>2019-09-01T07:55:00Z</cp:lastPrinted>
  <dcterms:modified xsi:type="dcterms:W3CDTF">2020-10-30T03:47:50Z</dcterms:modified>
  <dc:title>湖 北  招 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