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1"/>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jc w:val="center"/>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spacing w:before="2" w:after="1"/>
        <w:rPr>
          <w:rFonts w:hint="eastAsia" w:asciiTheme="minorEastAsia" w:hAnsiTheme="minorEastAsia" w:eastAsiaTheme="minorEastAsia" w:cstheme="minorEastAsia"/>
          <w:color w:val="auto"/>
          <w:sz w:val="11"/>
        </w:rPr>
      </w:pPr>
    </w:p>
    <w:tbl>
      <w:tblPr>
        <w:tblStyle w:val="27"/>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103"/>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103"/>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ZJZB-202010-296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103"/>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103"/>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武汉工程大学一流本科课程建设服务项目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103"/>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103"/>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103"/>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103"/>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服务</w:t>
            </w:r>
          </w:p>
        </w:tc>
      </w:tr>
    </w:tbl>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spacing w:before="4"/>
        <w:rPr>
          <w:rFonts w:hint="eastAsia" w:asciiTheme="minorEastAsia" w:hAnsiTheme="minorEastAsia" w:eastAsiaTheme="minorEastAsia" w:cstheme="minorEastAsia"/>
          <w:color w:val="auto"/>
          <w:sz w:val="20"/>
        </w:rPr>
      </w:pPr>
    </w:p>
    <w:tbl>
      <w:tblPr>
        <w:tblStyle w:val="27"/>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103"/>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103"/>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武汉工程大学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103"/>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103"/>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103"/>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103"/>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2020年10月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1"/>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_Toc16364 </w:instrText>
      </w:r>
      <w:r>
        <w:rPr>
          <w:rFonts w:hint="eastAsia" w:asciiTheme="minorEastAsia" w:hAnsiTheme="minorEastAsia" w:eastAsiaTheme="minorEastAsia" w:cstheme="minorEastAsia"/>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_Toc16364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_Toc18048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一、 项目基本情况</w:t>
      </w:r>
      <w:r>
        <w:tab/>
      </w:r>
      <w:r>
        <w:fldChar w:fldCharType="begin"/>
      </w:r>
      <w:r>
        <w:instrText xml:space="preserve"> PAGEREF _Toc18048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_Toc29871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二、 申请人的资格要求</w:t>
      </w:r>
      <w:r>
        <w:tab/>
      </w:r>
      <w:r>
        <w:fldChar w:fldCharType="begin"/>
      </w:r>
      <w:r>
        <w:instrText xml:space="preserve"> PAGEREF _Toc29871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_Toc24271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三、 获取</w:t>
      </w:r>
      <w:r>
        <w:rPr>
          <w:rFonts w:hint="eastAsia" w:ascii="宋体" w:hAnsi="宋体" w:eastAsia="宋体" w:cs="宋体"/>
          <w:szCs w:val="21"/>
          <w:lang w:eastAsia="zh-CN"/>
        </w:rPr>
        <w:t>采购</w:t>
      </w:r>
      <w:r>
        <w:rPr>
          <w:rFonts w:hint="eastAsia" w:ascii="宋体" w:hAnsi="宋体" w:eastAsia="宋体" w:cs="宋体"/>
          <w:szCs w:val="21"/>
        </w:rPr>
        <w:t>文件</w:t>
      </w:r>
      <w:r>
        <w:tab/>
      </w:r>
      <w:r>
        <w:fldChar w:fldCharType="begin"/>
      </w:r>
      <w:r>
        <w:instrText xml:space="preserve"> PAGEREF _Toc24271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_Toc21272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_Toc21272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_Toc27695 </w:instrText>
      </w:r>
      <w:r>
        <w:rPr>
          <w:rFonts w:hint="eastAsia" w:asciiTheme="minorEastAsia" w:hAnsiTheme="minorEastAsia" w:eastAsiaTheme="minorEastAsia" w:cstheme="minorEastAsia"/>
        </w:rPr>
        <w:fldChar w:fldCharType="separate"/>
      </w: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_Toc27695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_Toc21834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六、 公告期限</w:t>
      </w:r>
      <w:r>
        <w:tab/>
      </w:r>
      <w:r>
        <w:fldChar w:fldCharType="begin"/>
      </w:r>
      <w:r>
        <w:instrText xml:space="preserve"> PAGEREF _Toc21834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_Toc31302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七、 其他补充事宜</w:t>
      </w:r>
      <w:r>
        <w:tab/>
      </w:r>
      <w:r>
        <w:fldChar w:fldCharType="begin"/>
      </w:r>
      <w:r>
        <w:instrText xml:space="preserve"> PAGEREF _Toc31302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_Toc12824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八、 凡对本次采购提出询问，请按以下方式联系</w:t>
      </w:r>
      <w:r>
        <w:tab/>
      </w:r>
      <w:r>
        <w:fldChar w:fldCharType="begin"/>
      </w:r>
      <w:r>
        <w:instrText xml:space="preserve"> PAGEREF _Toc12824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_Toc32576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九、 注意事项</w:t>
      </w:r>
      <w:r>
        <w:tab/>
      </w:r>
      <w:r>
        <w:fldChar w:fldCharType="begin"/>
      </w:r>
      <w:r>
        <w:instrText xml:space="preserve"> PAGEREF _Toc32576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1"/>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_Toc16155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_Toc16155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_Toc14855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_Toc14855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_Toc21328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_Toc21328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_Toc13404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_Toc13404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_Toc24622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_Toc24622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_Toc13704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_Toc13704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_Toc6652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_Toc12871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_Toc12871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_Toc32483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_Toc32483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_Toc25932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_Toc25932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_Toc26439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_Toc26439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_Toc13283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_Toc13283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_Toc16348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_Toc19000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_Toc19000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_Toc21819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_Toc21819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_Toc22301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_Toc22301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_Toc17700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_Toc17700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_Toc19133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_Toc19133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_Toc2772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_Toc22554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_Toc22554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_Toc1819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_Toc14153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_Toc14153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_Toc10777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_Toc10777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_Toc22220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_Toc22220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_Toc21439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_Toc21439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_Toc23671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_Toc23671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_Toc27020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_Toc27020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_Toc6851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_Toc6851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_Toc21289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_Toc21289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_Toc1411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_Toc23748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_Toc23748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_Toc18758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_Toc18758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_Toc13658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_Toc13658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_Toc768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_Toc768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_Toc12377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_Toc16803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_Toc16803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_Toc27960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_Toc27960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_Toc2509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_Toc2509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_Toc23808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_Toc23808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_Toc5059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_Toc5059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_Toc7380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_Toc7380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_Toc32325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_Toc32325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_Toc5623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_Toc17665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_Toc17665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1"/>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_Toc5870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_Toc5870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_Toc32694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_Toc32694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_Toc30372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_Toc30372 </w:instrText>
      </w:r>
      <w:r>
        <w:fldChar w:fldCharType="separate"/>
      </w:r>
      <w:r>
        <w:t>33</w:t>
      </w:r>
      <w:r>
        <w:fldChar w:fldCharType="end"/>
      </w:r>
      <w:r>
        <w:rPr>
          <w:rFonts w:hint="eastAsia" w:asciiTheme="minorEastAsia" w:hAnsiTheme="minorEastAsia" w:eastAsiaTheme="minorEastAsia" w:cstheme="minorEastAsia"/>
        </w:rPr>
        <w:fldChar w:fldCharType="end"/>
      </w:r>
    </w:p>
    <w:p>
      <w:pPr>
        <w:pStyle w:val="21"/>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_Toc22332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_Toc22332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_Toc6587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_Toc6587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_Toc18452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_Toc18452 </w:instrText>
      </w:r>
      <w:r>
        <w:fldChar w:fldCharType="separate"/>
      </w:r>
      <w:r>
        <w:t>37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_Toc13177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_Toc13177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_Toc17963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评定办法</w:t>
      </w:r>
      <w:r>
        <w:tab/>
      </w:r>
      <w:r>
        <w:fldChar w:fldCharType="begin"/>
      </w:r>
      <w:r>
        <w:instrText xml:space="preserve"> PAGEREF _Toc17963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_Toc9958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_Toc9958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1"/>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_Toc13295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_Toc13295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1"/>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_Toc21018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_Toc21018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_Toc28401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一</w:t>
      </w:r>
      <w:r>
        <w:rPr>
          <w:rFonts w:hint="eastAsia" w:ascii="宋体" w:hAnsi="宋体" w:eastAsia="宋体" w:cs="宋体"/>
          <w:szCs w:val="21"/>
          <w:lang w:eastAsia="zh-CN"/>
        </w:rPr>
        <w:t>、</w:t>
      </w:r>
      <w:r>
        <w:rPr>
          <w:rFonts w:hint="eastAsia" w:ascii="宋体" w:hAnsi="宋体" w:eastAsia="宋体" w:cs="宋体"/>
          <w:szCs w:val="21"/>
        </w:rPr>
        <w:t>评分标准索引表</w:t>
      </w:r>
      <w:r>
        <w:tab/>
      </w:r>
      <w:r>
        <w:fldChar w:fldCharType="begin"/>
      </w:r>
      <w:r>
        <w:instrText xml:space="preserve"> PAGEREF _Toc28401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_Toc1699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_Toc1699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_Toc11458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三</w:t>
      </w:r>
      <w:r>
        <w:rPr>
          <w:rFonts w:hint="eastAsia" w:asciiTheme="minorEastAsia" w:hAnsiTheme="minorEastAsia" w:eastAsiaTheme="minorEastAsia" w:cstheme="minorEastAsia"/>
        </w:rPr>
        <w:t>、法定代表人授权书</w:t>
      </w:r>
      <w:r>
        <w:tab/>
      </w:r>
      <w:r>
        <w:fldChar w:fldCharType="begin"/>
      </w:r>
      <w:r>
        <w:instrText xml:space="preserve"> PAGEREF _Toc11458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_Toc5618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_Toc29996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、报价一览表</w:t>
      </w:r>
      <w:r>
        <w:tab/>
      </w:r>
      <w:r>
        <w:fldChar w:fldCharType="begin"/>
      </w:r>
      <w:r>
        <w:instrText xml:space="preserve"> PAGEREF _Toc29996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_Toc16079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_Toc16079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_Toc17635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w:t>
      </w:r>
      <w:r>
        <w:rPr>
          <w:rFonts w:hint="eastAsia" w:asciiTheme="minorEastAsia" w:hAnsiTheme="minorEastAsia" w:eastAsiaTheme="minorEastAsia" w:cstheme="minorEastAsia"/>
          <w:bCs/>
          <w:szCs w:val="21"/>
        </w:rPr>
        <w:t>、耗材清单（如有）</w:t>
      </w:r>
      <w:r>
        <w:tab/>
      </w:r>
      <w:r>
        <w:fldChar w:fldCharType="begin"/>
      </w:r>
      <w:r>
        <w:instrText xml:space="preserve"> PAGEREF _Toc17635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_Toc32484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八、拟投入设备/备件、工具情况（如有）</w:t>
      </w:r>
      <w:r>
        <w:tab/>
      </w:r>
      <w:r>
        <w:fldChar w:fldCharType="begin"/>
      </w:r>
      <w:r>
        <w:instrText xml:space="preserve"> PAGEREF _Toc32484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_Toc19607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_Toc19607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_Toc3848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十</w:t>
      </w:r>
      <w:r>
        <w:rPr>
          <w:rFonts w:hint="eastAsia" w:asciiTheme="minorEastAsia" w:hAnsiTheme="minorEastAsia" w:eastAsiaTheme="minorEastAsia" w:cstheme="minorEastAsia"/>
          <w:bCs/>
          <w:szCs w:val="21"/>
        </w:rPr>
        <w:t>、偏离说明表</w:t>
      </w:r>
      <w:r>
        <w:tab/>
      </w:r>
      <w:r>
        <w:fldChar w:fldCharType="begin"/>
      </w:r>
      <w:r>
        <w:instrText xml:space="preserve"> PAGEREF _Toc3848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_Toc10508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kern w:val="0"/>
          <w:szCs w:val="21"/>
          <w:lang w:eastAsia="zh-CN"/>
        </w:rPr>
        <w:t>一</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_Toc10508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_Toc19241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二</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_Toc19241 </w:instrText>
      </w:r>
      <w:r>
        <w:fldChar w:fldCharType="separate"/>
      </w:r>
      <w:r>
        <w:t>62</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_Toc6084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_Toc6084 </w:instrText>
      </w:r>
      <w:r>
        <w:fldChar w:fldCharType="separate"/>
      </w:r>
      <w:r>
        <w:t>63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_Toc20174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_Toc20174 </w:instrText>
      </w:r>
      <w:r>
        <w:fldChar w:fldCharType="separate"/>
      </w:r>
      <w:r>
        <w:t>64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_Toc29200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六</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_Toc29200 </w:instrText>
      </w:r>
      <w:r>
        <w:fldChar w:fldCharType="separate"/>
      </w:r>
      <w:r>
        <w:t>66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十七、</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_Toc4700 </w:instrText>
      </w:r>
      <w:r>
        <w:fldChar w:fldCharType="separate"/>
      </w:r>
      <w:r>
        <w:t>67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_Toc10672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_Toc10672 </w:instrText>
      </w:r>
      <w:r>
        <w:fldChar w:fldCharType="separate"/>
      </w:r>
      <w:r>
        <w:t>68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_Toc30654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十九、节能环保产品证明材料（若符合）</w:t>
      </w:r>
      <w:r>
        <w:tab/>
      </w:r>
      <w:r>
        <w:fldChar w:fldCharType="begin"/>
      </w:r>
      <w:r>
        <w:instrText xml:space="preserve"> PAGEREF _Toc30654 </w:instrText>
      </w:r>
      <w:r>
        <w:fldChar w:fldCharType="separate"/>
      </w:r>
      <w:r>
        <w:t>69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_Toc7013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_Toc7013 </w:instrText>
      </w:r>
      <w:r>
        <w:fldChar w:fldCharType="separate"/>
      </w:r>
      <w:r>
        <w:t>70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_Toc26922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二十一、磋商供应商认为应该提交的其它文件（格式自拟）</w:t>
      </w:r>
      <w:r>
        <w:tab/>
      </w:r>
      <w:r>
        <w:fldChar w:fldCharType="begin"/>
      </w:r>
      <w:r>
        <w:instrText xml:space="preserve"> PAGEREF _Toc26922 </w:instrText>
      </w:r>
      <w:r>
        <w:fldChar w:fldCharType="separate"/>
      </w:r>
      <w:r>
        <w:t>70</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rFonts w:hint="eastAsia"/>
          <w:b/>
          <w:bCs/>
          <w:sz w:val="24"/>
          <w:szCs w:val="24"/>
        </w:rPr>
      </w:pPr>
      <w:bookmarkStart w:id="0" w:name="_Toc6866"/>
      <w:bookmarkStart w:id="1" w:name="_Toc16364"/>
      <w:r>
        <w:rPr>
          <w:rFonts w:hint="eastAsia" w:ascii="宋体" w:hAnsi="宋体" w:cs="宋体"/>
          <w:b/>
          <w:sz w:val="36"/>
          <w:szCs w:val="36"/>
        </w:rPr>
        <w:t>竞争性磋商公告</w:t>
      </w:r>
      <w:bookmarkEnd w:id="0"/>
      <w:bookmarkEnd w:id="1"/>
      <w:bookmarkStart w:id="2" w:name="_Toc9976"/>
      <w:bookmarkEnd w:id="2"/>
      <w:bookmarkStart w:id="3" w:name="_Toc152042288"/>
      <w:bookmarkEnd w:id="3"/>
      <w:bookmarkStart w:id="4" w:name="_Toc144974480"/>
      <w:bookmarkEnd w:id="4"/>
      <w:bookmarkStart w:id="5" w:name="_Toc524908844"/>
      <w:bookmarkEnd w:id="5"/>
      <w:bookmarkStart w:id="6" w:name="_Toc179632528"/>
      <w:bookmarkEnd w:id="6"/>
      <w:bookmarkStart w:id="7" w:name="_Toc152045512"/>
      <w:bookmarkEnd w:id="7"/>
    </w:p>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rPr>
        <w:t>武汉工程大学一流本科课程建设服务项目</w:t>
      </w:r>
      <w:r>
        <w:rPr>
          <w:rFonts w:hint="eastAsia" w:ascii="宋体" w:hAnsi="宋体" w:eastAsia="宋体" w:cs="宋体"/>
          <w:color w:val="auto"/>
          <w:sz w:val="21"/>
          <w:szCs w:val="21"/>
          <w:u w:val="none"/>
          <w:lang w:val="en-US" w:eastAsia="zh-CN"/>
        </w:rPr>
        <w:t>的潜在供应商应在</w:t>
      </w:r>
      <w:r>
        <w:rPr>
          <w:rFonts w:hint="eastAsia" w:ascii="宋体" w:hAnsi="宋体" w:eastAsia="宋体" w:cs="宋体"/>
          <w:color w:val="000000"/>
          <w:sz w:val="21"/>
          <w:szCs w:val="21"/>
          <w:u w:val="single"/>
        </w:rPr>
        <w:t>中经国际招标集团有限公司</w:t>
      </w:r>
      <w:r>
        <w:rPr>
          <w:rFonts w:hint="eastAsia" w:ascii="宋体" w:hAnsi="宋体" w:eastAsia="宋体" w:cs="宋体"/>
          <w:color w:val="000000"/>
          <w:sz w:val="21"/>
          <w:szCs w:val="21"/>
          <w:u w:val="single"/>
          <w:lang w:eastAsia="zh-CN"/>
        </w:rPr>
        <w:t>（武昌区中北路岳家嘴立交山河企业大厦</w:t>
      </w:r>
      <w:r>
        <w:rPr>
          <w:rFonts w:hint="eastAsia" w:ascii="宋体" w:hAnsi="宋体" w:eastAsia="宋体" w:cs="宋体"/>
          <w:color w:val="000000"/>
          <w:sz w:val="21"/>
          <w:szCs w:val="21"/>
          <w:u w:val="single"/>
          <w:lang w:val="en-US" w:eastAsia="zh-CN"/>
        </w:rPr>
        <w:t>48楼</w:t>
      </w:r>
      <w:r>
        <w:rPr>
          <w:rFonts w:hint="eastAsia" w:ascii="宋体" w:hAnsi="宋体" w:eastAsia="宋体" w:cs="宋体"/>
          <w:color w:val="000000"/>
          <w:sz w:val="21"/>
          <w:szCs w:val="21"/>
          <w:u w:val="single"/>
          <w:lang w:eastAsia="zh-CN"/>
        </w:rPr>
        <w:t>480</w:t>
      </w:r>
      <w:r>
        <w:rPr>
          <w:rFonts w:hint="eastAsia" w:ascii="宋体" w:hAnsi="宋体" w:eastAsia="宋体" w:cs="宋体"/>
          <w:color w:val="auto"/>
          <w:sz w:val="21"/>
          <w:szCs w:val="21"/>
          <w:u w:val="single"/>
          <w:lang w:eastAsia="zh-CN"/>
        </w:rPr>
        <w:t>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000000"/>
          <w:sz w:val="21"/>
          <w:szCs w:val="21"/>
        </w:rPr>
        <w:t>文件，并</w:t>
      </w:r>
      <w:r>
        <w:rPr>
          <w:rFonts w:hint="eastAsia" w:ascii="宋体" w:hAnsi="宋体" w:eastAsia="宋体" w:cs="宋体"/>
          <w:color w:val="auto"/>
          <w:sz w:val="21"/>
          <w:szCs w:val="21"/>
        </w:rPr>
        <w:t>于</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11</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11</w:t>
      </w:r>
      <w:r>
        <w:rPr>
          <w:rFonts w:hint="eastAsia" w:ascii="宋体" w:hAnsi="宋体" w:eastAsia="宋体" w:cs="宋体"/>
          <w:color w:val="auto"/>
          <w:sz w:val="21"/>
          <w:szCs w:val="21"/>
          <w:u w:val="single"/>
        </w:rPr>
        <w:t>日</w:t>
      </w:r>
      <w:r>
        <w:rPr>
          <w:rFonts w:hint="eastAsia" w:ascii="宋体" w:hAnsi="宋体" w:cs="宋体"/>
          <w:color w:val="auto"/>
          <w:sz w:val="21"/>
          <w:szCs w:val="21"/>
          <w:u w:val="single"/>
          <w:lang w:val="en-US" w:eastAsia="zh-CN"/>
        </w:rPr>
        <w:t>10</w:t>
      </w:r>
      <w:r>
        <w:rPr>
          <w:rFonts w:hint="eastAsia" w:ascii="宋体" w:hAnsi="宋体" w:eastAsia="宋体" w:cs="宋体"/>
          <w:color w:val="auto"/>
          <w:sz w:val="21"/>
          <w:szCs w:val="21"/>
          <w:u w:val="single"/>
        </w:rPr>
        <w:t>点</w:t>
      </w:r>
      <w:r>
        <w:rPr>
          <w:rFonts w:hint="eastAsia" w:ascii="宋体" w:hAnsi="宋体" w:cs="宋体"/>
          <w:color w:val="auto"/>
          <w:sz w:val="21"/>
          <w:szCs w:val="21"/>
          <w:u w:val="single"/>
          <w:lang w:val="en-US" w:eastAsia="zh-CN"/>
        </w:rPr>
        <w:t>00</w:t>
      </w:r>
      <w:r>
        <w:rPr>
          <w:rFonts w:hint="eastAsia" w:ascii="宋体" w:hAnsi="宋体" w:eastAsia="宋体" w:cs="宋体"/>
          <w:color w:val="auto"/>
          <w:sz w:val="21"/>
          <w:szCs w:val="21"/>
          <w:u w:val="single"/>
        </w:rPr>
        <w:t>分</w:t>
      </w:r>
      <w:r>
        <w:rPr>
          <w:rFonts w:hint="eastAsia" w:ascii="宋体" w:hAnsi="宋体" w:eastAsia="宋体" w:cs="宋体"/>
          <w:color w:val="000000"/>
          <w:sz w:val="21"/>
          <w:szCs w:val="21"/>
        </w:rPr>
        <w:t>（北京时间）前递交</w:t>
      </w:r>
      <w:r>
        <w:rPr>
          <w:rFonts w:hint="eastAsia" w:ascii="宋体" w:hAnsi="宋体" w:eastAsia="宋体" w:cs="宋体"/>
          <w:color w:val="000000"/>
          <w:sz w:val="21"/>
          <w:szCs w:val="21"/>
          <w:lang w:eastAsia="zh-CN"/>
        </w:rPr>
        <w:t>响应</w:t>
      </w:r>
      <w:r>
        <w:rPr>
          <w:rFonts w:hint="eastAsia" w:ascii="宋体" w:hAnsi="宋体" w:eastAsia="宋体" w:cs="宋体"/>
          <w:color w:val="000000"/>
          <w:sz w:val="21"/>
          <w:szCs w:val="21"/>
        </w:rPr>
        <w:t>文件。</w:t>
      </w:r>
    </w:p>
    <w:p>
      <w:pPr>
        <w:pStyle w:val="4"/>
        <w:numPr>
          <w:ilvl w:val="0"/>
          <w:numId w:val="6"/>
        </w:numPr>
        <w:spacing w:line="360" w:lineRule="auto"/>
        <w:jc w:val="left"/>
        <w:rPr>
          <w:rFonts w:hint="eastAsia" w:ascii="宋体" w:hAnsi="宋体" w:eastAsia="宋体" w:cs="宋体"/>
          <w:color w:val="000000"/>
          <w:sz w:val="21"/>
          <w:szCs w:val="21"/>
        </w:rPr>
      </w:pPr>
      <w:bookmarkStart w:id="8" w:name="_Toc18048"/>
      <w:r>
        <w:rPr>
          <w:rFonts w:hint="eastAsia" w:ascii="宋体" w:hAnsi="宋体" w:eastAsia="宋体" w:cs="宋体"/>
          <w:color w:val="000000"/>
          <w:sz w:val="21"/>
          <w:szCs w:val="21"/>
        </w:rPr>
        <w:t>项目基本情况</w:t>
      </w:r>
      <w:bookmarkEnd w:id="8"/>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1、项目编号：ZJZB-202010-296</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、项目名称：武汉工程大学一流本科课程建设服务项目</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3、采购方式：竞争性磋商</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、预算</w:t>
      </w:r>
      <w:r>
        <w:rPr>
          <w:rFonts w:hint="eastAsia" w:asciiTheme="minorEastAsia" w:hAnsiTheme="minorEastAsia" w:eastAsiaTheme="minorEastAsia" w:cstheme="minorEastAsia"/>
          <w:color w:val="auto"/>
          <w:sz w:val="21"/>
          <w:szCs w:val="21"/>
          <w:lang w:eastAsia="zh-CN"/>
        </w:rPr>
        <w:t>金额</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 xml:space="preserve"> 98 </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val="en-US" w:eastAsia="zh-CN"/>
        </w:rPr>
        <w:t>/年</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5、最高限价：</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 xml:space="preserve"> 98 </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val="en-US" w:eastAsia="zh-CN"/>
        </w:rPr>
        <w:t>/年；</w:t>
      </w:r>
    </w:p>
    <w:p>
      <w:pPr>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采购需求：</w:t>
      </w:r>
      <w:r>
        <w:rPr>
          <w:rFonts w:hint="eastAsia" w:asciiTheme="minorEastAsia" w:hAnsiTheme="minorEastAsia" w:eastAsiaTheme="minorEastAsia" w:cstheme="minorEastAsia"/>
          <w:color w:val="000000"/>
          <w:sz w:val="21"/>
          <w:szCs w:val="21"/>
          <w:u w:val="single"/>
          <w:lang w:val="en-US" w:eastAsia="zh-CN"/>
        </w:rPr>
        <w:t>根据教育部有关文件精神，为建设一批优质的在线开放课程、线上线下混合式课程，推动优质大规模在线开放课程共享、推进以学生为中心的教与学方式方法变革，结合学校课程教学与改革实际需求，武汉工程大学准备建设一批在线开放课程和线上线下混合式课程资源，以推进信息化与课堂教学的融合，加快推进武汉工程大学的教育教学改革。现拟采购一流本科课程拍摄与制作服务</w:t>
      </w:r>
      <w:r>
        <w:rPr>
          <w:rFonts w:hint="eastAsia" w:asciiTheme="minorEastAsia" w:hAnsiTheme="minorEastAsia" w:eastAsiaTheme="minorEastAsia" w:cstheme="minorEastAsia"/>
          <w:color w:val="auto"/>
          <w:sz w:val="21"/>
          <w:szCs w:val="21"/>
        </w:rPr>
        <w:t>(详</w:t>
      </w:r>
      <w:r>
        <w:rPr>
          <w:rFonts w:hint="eastAsia" w:asciiTheme="minorEastAsia" w:hAnsiTheme="minorEastAsia" w:eastAsiaTheme="minorEastAsia" w:cstheme="minorEastAsia"/>
          <w:color w:val="000000"/>
          <w:sz w:val="21"/>
          <w:szCs w:val="21"/>
        </w:rPr>
        <w:t>见采购文件第三章“项目采购需求”）</w:t>
      </w:r>
    </w:p>
    <w:tbl>
      <w:tblPr>
        <w:tblStyle w:val="27"/>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3"/>
        <w:gridCol w:w="4253"/>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17" w:type="dxa"/>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1413" w:type="dxa"/>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形式</w:t>
            </w:r>
          </w:p>
        </w:tc>
        <w:tc>
          <w:tcPr>
            <w:tcW w:w="4253" w:type="dxa"/>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制作形式描述</w:t>
            </w:r>
          </w:p>
        </w:tc>
        <w:tc>
          <w:tcPr>
            <w:tcW w:w="1556" w:type="dxa"/>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单价预算金额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417" w:type="dxa"/>
            <w:vMerge w:val="restar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武汉工程大学在线开放课程或线上线下混合式课程拍摄与制作建设服务项目</w:t>
            </w:r>
          </w:p>
        </w:tc>
        <w:tc>
          <w:tcPr>
            <w:tcW w:w="141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高清大屏</w:t>
            </w:r>
          </w:p>
        </w:tc>
        <w:tc>
          <w:tcPr>
            <w:tcW w:w="4253" w:type="dxa"/>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经过美化设计的PPT在高清交互式大屏幕放映，教师同步讲解，拍摄视频与剪辑包装。</w:t>
            </w:r>
          </w:p>
        </w:tc>
        <w:tc>
          <w:tcPr>
            <w:tcW w:w="1556"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190元/分钟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417" w:type="dxa"/>
            <w:vMerge w:val="continue"/>
            <w:vAlign w:val="center"/>
          </w:tcPr>
          <w:p>
            <w:pPr>
              <w:spacing w:line="360" w:lineRule="auto"/>
              <w:jc w:val="center"/>
              <w:rPr>
                <w:rFonts w:hint="eastAsia" w:ascii="宋体" w:hAnsi="宋体" w:eastAsia="宋体" w:cs="宋体"/>
                <w:sz w:val="21"/>
                <w:szCs w:val="21"/>
              </w:rPr>
            </w:pPr>
          </w:p>
        </w:tc>
        <w:tc>
          <w:tcPr>
            <w:tcW w:w="141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软件录屏</w:t>
            </w:r>
          </w:p>
        </w:tc>
        <w:tc>
          <w:tcPr>
            <w:tcW w:w="4253" w:type="dxa"/>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将教师书写讲解推导过程或操作软件过程与教师声象相结合。</w:t>
            </w:r>
          </w:p>
        </w:tc>
        <w:tc>
          <w:tcPr>
            <w:tcW w:w="1556"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190元/分钟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417" w:type="dxa"/>
            <w:vMerge w:val="continue"/>
            <w:vAlign w:val="center"/>
          </w:tcPr>
          <w:p>
            <w:pPr>
              <w:spacing w:line="360" w:lineRule="auto"/>
              <w:jc w:val="center"/>
              <w:rPr>
                <w:rFonts w:hint="eastAsia" w:ascii="宋体" w:hAnsi="宋体" w:eastAsia="宋体" w:cs="宋体"/>
                <w:sz w:val="21"/>
                <w:szCs w:val="21"/>
              </w:rPr>
            </w:pPr>
          </w:p>
        </w:tc>
        <w:tc>
          <w:tcPr>
            <w:tcW w:w="141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抠像PPT</w:t>
            </w:r>
          </w:p>
        </w:tc>
        <w:tc>
          <w:tcPr>
            <w:tcW w:w="4253" w:type="dxa"/>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将教师在绿幕前拍摄的视频，与经过设计（含内容、界面、动画等）的授课讲稿PPT相结合，经过剪辑包装的视频。</w:t>
            </w:r>
          </w:p>
        </w:tc>
        <w:tc>
          <w:tcPr>
            <w:tcW w:w="1556"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260元/分钟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417" w:type="dxa"/>
            <w:vMerge w:val="continue"/>
            <w:vAlign w:val="center"/>
          </w:tcPr>
          <w:p>
            <w:pPr>
              <w:spacing w:line="360" w:lineRule="auto"/>
              <w:jc w:val="center"/>
              <w:rPr>
                <w:rFonts w:hint="eastAsia" w:ascii="宋体" w:hAnsi="宋体" w:eastAsia="宋体" w:cs="宋体"/>
                <w:sz w:val="21"/>
                <w:szCs w:val="21"/>
              </w:rPr>
            </w:pPr>
          </w:p>
        </w:tc>
        <w:tc>
          <w:tcPr>
            <w:tcW w:w="141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抠像动画</w:t>
            </w:r>
          </w:p>
        </w:tc>
        <w:tc>
          <w:tcPr>
            <w:tcW w:w="4253" w:type="dxa"/>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经过策划，将教师在绿幕前拍摄的视频，与讲解要点内容的图文动画相结合，穿插部分文本动画。</w:t>
            </w:r>
          </w:p>
        </w:tc>
        <w:tc>
          <w:tcPr>
            <w:tcW w:w="1556"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300元/分钟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417" w:type="dxa"/>
            <w:vMerge w:val="continue"/>
            <w:vAlign w:val="center"/>
          </w:tcPr>
          <w:p>
            <w:pPr>
              <w:spacing w:line="360" w:lineRule="auto"/>
              <w:jc w:val="center"/>
              <w:rPr>
                <w:rFonts w:hint="eastAsia" w:ascii="宋体" w:hAnsi="宋体" w:eastAsia="宋体" w:cs="宋体"/>
                <w:sz w:val="21"/>
                <w:szCs w:val="21"/>
              </w:rPr>
            </w:pPr>
          </w:p>
        </w:tc>
        <w:tc>
          <w:tcPr>
            <w:tcW w:w="141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实拍动画</w:t>
            </w:r>
          </w:p>
        </w:tc>
        <w:tc>
          <w:tcPr>
            <w:tcW w:w="4253" w:type="dxa"/>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通过教师在图书馆、阅览室、资料厅、会议室、办公室等与内容契合的场景讲授的实景拍摄，配精美图文动画。</w:t>
            </w:r>
          </w:p>
        </w:tc>
        <w:tc>
          <w:tcPr>
            <w:tcW w:w="1556"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330元/分钟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17" w:type="dxa"/>
            <w:vMerge w:val="continue"/>
            <w:vAlign w:val="center"/>
          </w:tcPr>
          <w:p>
            <w:pPr>
              <w:spacing w:line="360" w:lineRule="auto"/>
              <w:jc w:val="center"/>
              <w:rPr>
                <w:rFonts w:hint="eastAsia" w:ascii="宋体" w:hAnsi="宋体" w:eastAsia="宋体" w:cs="宋体"/>
                <w:sz w:val="21"/>
                <w:szCs w:val="21"/>
              </w:rPr>
            </w:pPr>
          </w:p>
        </w:tc>
        <w:tc>
          <w:tcPr>
            <w:tcW w:w="141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实拍访谈</w:t>
            </w:r>
          </w:p>
        </w:tc>
        <w:tc>
          <w:tcPr>
            <w:tcW w:w="4253" w:type="dxa"/>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通过教师与教师、教师与助教、教师与学生的交流或答疑，讲解重点知识内容，或引发案例讨论等。</w:t>
            </w:r>
          </w:p>
        </w:tc>
        <w:tc>
          <w:tcPr>
            <w:tcW w:w="1556" w:type="dxa"/>
            <w:vAlign w:val="center"/>
          </w:tcPr>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360元/分钟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17" w:type="dxa"/>
            <w:vMerge w:val="continue"/>
            <w:vAlign w:val="center"/>
          </w:tcPr>
          <w:p>
            <w:pPr>
              <w:spacing w:line="360" w:lineRule="auto"/>
              <w:jc w:val="center"/>
              <w:rPr>
                <w:rFonts w:hint="eastAsia" w:ascii="宋体" w:hAnsi="宋体" w:eastAsia="宋体" w:cs="宋体"/>
                <w:sz w:val="21"/>
                <w:szCs w:val="21"/>
              </w:rPr>
            </w:pPr>
          </w:p>
        </w:tc>
        <w:tc>
          <w:tcPr>
            <w:tcW w:w="141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纯动画类</w:t>
            </w:r>
          </w:p>
        </w:tc>
        <w:tc>
          <w:tcPr>
            <w:tcW w:w="4253" w:type="dxa"/>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手绘动画、MG动画、情景动画等。</w:t>
            </w:r>
          </w:p>
        </w:tc>
        <w:tc>
          <w:tcPr>
            <w:tcW w:w="1556" w:type="dxa"/>
            <w:vAlign w:val="center"/>
          </w:tcPr>
          <w:p>
            <w:pPr>
              <w:spacing w:line="360" w:lineRule="auto"/>
              <w:jc w:val="center"/>
              <w:rPr>
                <w:rFonts w:hint="eastAsia" w:ascii="宋体" w:hAnsi="宋体" w:eastAsia="宋体" w:cs="宋体"/>
                <w:sz w:val="21"/>
                <w:szCs w:val="21"/>
              </w:rPr>
            </w:pPr>
            <w:r>
              <w:rPr>
                <w:rFonts w:hint="default" w:ascii="宋体" w:hAnsi="宋体" w:cs="宋体"/>
                <w:sz w:val="21"/>
                <w:szCs w:val="21"/>
              </w:rPr>
              <w:t>4800</w:t>
            </w:r>
            <w:r>
              <w:rPr>
                <w:rFonts w:hint="eastAsia" w:ascii="宋体" w:hAnsi="宋体" w:eastAsia="宋体" w:cs="宋体"/>
                <w:sz w:val="21"/>
                <w:szCs w:val="21"/>
              </w:rPr>
              <w:t>元/</w:t>
            </w:r>
            <w:r>
              <w:t>分钟</w:t>
            </w:r>
          </w:p>
        </w:tc>
      </w:tr>
    </w:tbl>
    <w:p>
      <w:pPr>
        <w:outlineLvl w:val="9"/>
        <w:rPr>
          <w:rFonts w:hint="eastAsia"/>
        </w:rPr>
      </w:pP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rPr>
        <w:t>类</w:t>
      </w:r>
      <w:r>
        <w:rPr>
          <w:rFonts w:hint="eastAsia" w:asciiTheme="minorEastAsia" w:hAnsiTheme="minorEastAsia" w:eastAsiaTheme="minorEastAsia" w:cstheme="minorEastAsia"/>
          <w:color w:val="auto"/>
          <w:sz w:val="21"/>
          <w:szCs w:val="21"/>
        </w:rPr>
        <w:t>别：</w:t>
      </w:r>
      <w:r>
        <w:rPr>
          <w:rFonts w:hint="eastAsia" w:asciiTheme="minorEastAsia" w:hAnsiTheme="minorEastAsia" w:eastAsiaTheme="minorEastAsia" w:cstheme="minorEastAsia"/>
          <w:b w:val="0"/>
          <w:bCs w:val="0"/>
          <w:color w:val="auto"/>
          <w:kern w:val="2"/>
          <w:sz w:val="21"/>
          <w:szCs w:val="21"/>
          <w:lang w:val="en-US" w:eastAsia="zh-CN" w:bidi="ar-SA"/>
        </w:rPr>
        <w:t>服务</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交货期：每次任务下达之后150天</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服务期</w:t>
      </w:r>
      <w:r>
        <w:rPr>
          <w:rFonts w:hint="eastAsia" w:asciiTheme="minorEastAsia" w:hAnsiTheme="minorEastAsia" w:eastAsiaTheme="minorEastAsia" w:cstheme="minorEastAsia"/>
          <w:color w:val="auto"/>
          <w:sz w:val="21"/>
          <w:szCs w:val="21"/>
        </w:rPr>
        <w:t>：合同签订后三年，若政策有调整，按照调整执行</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其他</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参加</w:t>
      </w:r>
      <w:r>
        <w:rPr>
          <w:rFonts w:hint="eastAsia" w:asciiTheme="minorEastAsia" w:hAnsiTheme="minorEastAsia" w:eastAsiaTheme="minorEastAsia" w:cstheme="minorEastAsia"/>
          <w:color w:val="auto"/>
          <w:sz w:val="21"/>
          <w:szCs w:val="21"/>
          <w:lang w:eastAsia="zh-CN"/>
        </w:rPr>
        <w:t>竞标</w:t>
      </w:r>
      <w:r>
        <w:rPr>
          <w:rFonts w:hint="eastAsia" w:asciiTheme="minorEastAsia" w:hAnsiTheme="minorEastAsia" w:eastAsiaTheme="minorEastAsia" w:cstheme="minorEastAsia"/>
          <w:color w:val="auto"/>
          <w:sz w:val="21"/>
          <w:szCs w:val="21"/>
        </w:rPr>
        <w:t>的报价超过该包采购最高限价的，该包</w:t>
      </w:r>
      <w:r>
        <w:rPr>
          <w:rFonts w:hint="eastAsia" w:asciiTheme="minorEastAsia" w:hAnsiTheme="minorEastAsia" w:eastAsiaTheme="minorEastAsia" w:cstheme="minorEastAsia"/>
          <w:color w:val="auto"/>
          <w:sz w:val="21"/>
          <w:szCs w:val="21"/>
          <w:lang w:eastAsia="zh-CN"/>
        </w:rPr>
        <w:t>竞标</w:t>
      </w:r>
      <w:r>
        <w:rPr>
          <w:rFonts w:hint="eastAsia" w:asciiTheme="minorEastAsia" w:hAnsiTheme="minorEastAsia" w:eastAsiaTheme="minorEastAsia" w:cstheme="minorEastAsia"/>
          <w:color w:val="auto"/>
          <w:sz w:val="21"/>
          <w:szCs w:val="21"/>
        </w:rPr>
        <w:t>无效；</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报价须包含该采购</w:t>
      </w:r>
      <w:r>
        <w:rPr>
          <w:rFonts w:hint="eastAsia" w:asciiTheme="minorEastAsia" w:hAnsiTheme="minorEastAsia" w:eastAsiaTheme="minorEastAsia" w:cstheme="minorEastAsia"/>
          <w:color w:val="auto"/>
          <w:sz w:val="21"/>
          <w:szCs w:val="21"/>
          <w:lang w:eastAsia="zh-CN"/>
        </w:rPr>
        <w:t>需求</w:t>
      </w:r>
      <w:r>
        <w:rPr>
          <w:rFonts w:hint="eastAsia" w:asciiTheme="minorEastAsia" w:hAnsiTheme="minorEastAsia" w:eastAsiaTheme="minorEastAsia" w:cstheme="minorEastAsia"/>
          <w:color w:val="auto"/>
          <w:sz w:val="21"/>
          <w:szCs w:val="21"/>
        </w:rPr>
        <w:t>的全部内容。</w:t>
      </w:r>
    </w:p>
    <w:p>
      <w:pPr>
        <w:numPr>
          <w:ilvl w:val="0"/>
          <w:numId w:val="0"/>
        </w:numPr>
        <w:spacing w:line="360" w:lineRule="auto"/>
        <w:jc w:val="left"/>
        <w:rPr>
          <w:rFonts w:hint="eastAsia" w:asciiTheme="minorEastAsia" w:hAnsiTheme="minorEastAsia" w:eastAsiaTheme="minorEastAsia" w:cstheme="minorEastAsia"/>
          <w:strike/>
          <w:dstrike w:val="0"/>
          <w:color w:val="auto"/>
          <w:sz w:val="21"/>
          <w:szCs w:val="21"/>
          <w:lang w:eastAsia="zh-CN"/>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、合同履行期限</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u w:val="single"/>
          <w:lang w:eastAsia="zh-CN"/>
        </w:rPr>
        <w:t xml:space="preserve">见服务期；  </w:t>
      </w:r>
      <w:r>
        <w:rPr>
          <w:rFonts w:hint="eastAsia" w:asciiTheme="minorEastAsia" w:hAnsiTheme="minorEastAsia" w:eastAsiaTheme="minorEastAsia" w:cstheme="minorEastAsia"/>
          <w:color w:val="auto"/>
          <w:sz w:val="21"/>
          <w:szCs w:val="21"/>
          <w:u w:val="single"/>
          <w:lang w:val="en-US" w:eastAsia="zh-CN"/>
        </w:rPr>
        <w:t xml:space="preserve">                 </w:t>
      </w:r>
    </w:p>
    <w:p>
      <w:pPr>
        <w:numPr>
          <w:ilvl w:val="0"/>
          <w:numId w:val="0"/>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8、本项目</w:t>
      </w:r>
      <w:r>
        <w:rPr>
          <w:rFonts w:hint="eastAsia" w:asciiTheme="minorEastAsia" w:hAnsiTheme="minorEastAsia" w:eastAsiaTheme="minorEastAsia" w:cstheme="minorEastAsia"/>
          <w:color w:val="auto"/>
          <w:sz w:val="21"/>
          <w:szCs w:val="21"/>
          <w:u w:val="single"/>
          <w:lang w:val="en-US" w:eastAsia="zh-CN"/>
        </w:rPr>
        <w:t>不接受</w:t>
      </w:r>
      <w:r>
        <w:rPr>
          <w:rFonts w:hint="eastAsia" w:asciiTheme="minorEastAsia" w:hAnsiTheme="minorEastAsia" w:eastAsiaTheme="minorEastAsia" w:cstheme="minorEastAsia"/>
          <w:color w:val="auto"/>
          <w:sz w:val="21"/>
          <w:szCs w:val="21"/>
          <w:lang w:val="en-US" w:eastAsia="zh-CN"/>
        </w:rPr>
        <w:t>联合体竞</w:t>
      </w:r>
      <w:r>
        <w:rPr>
          <w:rFonts w:hint="eastAsia" w:asciiTheme="minorEastAsia" w:hAnsiTheme="minorEastAsia" w:eastAsiaTheme="minorEastAsia" w:cstheme="minorEastAsia"/>
          <w:sz w:val="21"/>
          <w:szCs w:val="21"/>
          <w:lang w:val="en-US" w:eastAsia="zh-CN"/>
        </w:rPr>
        <w:t>标；</w:t>
      </w:r>
    </w:p>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9" w:name="_Toc29871"/>
      <w:r>
        <w:rPr>
          <w:rFonts w:hint="eastAsia" w:asciiTheme="minorEastAsia" w:hAnsiTheme="minorEastAsia" w:eastAsiaTheme="minorEastAsia" w:cstheme="minorEastAsia"/>
          <w:sz w:val="21"/>
          <w:szCs w:val="21"/>
        </w:rPr>
        <w:t>申请人的资格要求</w:t>
      </w:r>
      <w:bookmarkEnd w:id="9"/>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满足《中华人民共和国政府采购法》第二十二条规定；</w:t>
      </w:r>
    </w:p>
    <w:p>
      <w:pPr>
        <w:spacing w:line="360" w:lineRule="auto"/>
        <w:ind w:left="446"/>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1.1具有独立承担民事责任的能力；</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1.2具有良好的商业信誉和健全的财务会计制度；</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1.3具有履行合同所必需的设备和专业技术能力；</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1.4有依法缴纳税收和社会保障资金的良好记录；</w:t>
      </w:r>
    </w:p>
    <w:p>
      <w:pPr>
        <w:spacing w:line="360" w:lineRule="auto"/>
        <w:ind w:left="420" w:firstLine="315" w:firstLineChars="15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1.5参加政府采购活动前三年内，在经营活动中没有重大违法记录</w:t>
      </w:r>
      <w:r>
        <w:rPr>
          <w:rFonts w:hint="eastAsia" w:asciiTheme="minorEastAsia" w:hAnsiTheme="minorEastAsia" w:eastAsiaTheme="minorEastAsia" w:cstheme="minorEastAsia"/>
          <w:color w:val="000000"/>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1.6法律、行政法规规定的其他条件；</w:t>
      </w:r>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单位负责人为同一人或者存在直接控股、管理关系的不同</w:t>
      </w:r>
      <w:r>
        <w:rPr>
          <w:rFonts w:hint="eastAsia" w:asciiTheme="minorEastAsia" w:hAnsiTheme="minorEastAsia" w:eastAsiaTheme="minorEastAsia" w:cstheme="minorEastAsia"/>
          <w:color w:val="000000"/>
          <w:sz w:val="21"/>
          <w:szCs w:val="21"/>
          <w:lang w:eastAsia="zh-CN"/>
        </w:rPr>
        <w:t>供应商</w:t>
      </w:r>
      <w:r>
        <w:rPr>
          <w:rFonts w:hint="eastAsia" w:asciiTheme="minorEastAsia" w:hAnsiTheme="minorEastAsia" w:eastAsiaTheme="minorEastAsia" w:cstheme="minorEastAsia"/>
          <w:color w:val="000000"/>
          <w:sz w:val="21"/>
          <w:szCs w:val="21"/>
        </w:rPr>
        <w:t>，不得参加本项目同一合同项下的政府采购活动。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为本采购项目提供整体设计、规范编制或者项目管理、监理、检测等服务的，不得再参加本项目的其他招标采购活动。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rPr>
        <w:t>未被</w:t>
      </w:r>
      <w:r>
        <w:rPr>
          <w:rFonts w:hint="eastAsia" w:asciiTheme="minorEastAsia" w:hAnsiTheme="minorEastAsia" w:eastAsiaTheme="minorEastAsia" w:cstheme="minorEastAsia"/>
          <w:color w:val="auto"/>
          <w:sz w:val="21"/>
          <w:szCs w:val="21"/>
        </w:rPr>
        <w:t>列入失信被执行人、重大税收违法案件当事人名单，未被列入政府采购严重违法失信行为记录名单。</w:t>
      </w:r>
    </w:p>
    <w:p>
      <w:pPr>
        <w:numPr>
          <w:ilvl w:val="0"/>
          <w:numId w:val="8"/>
        </w:numPr>
        <w:spacing w:line="360" w:lineRule="auto"/>
        <w:ind w:firstLine="420" w:firstLineChars="200"/>
        <w:jc w:val="left"/>
        <w:rPr>
          <w:rFonts w:hint="eastAsia" w:asciiTheme="minorEastAsia" w:hAnsiTheme="minorEastAsia" w:eastAsiaTheme="minorEastAsia" w:cstheme="minorEastAsia"/>
          <w:strike w:val="0"/>
          <w:dstrike w:val="0"/>
          <w:color w:val="auto"/>
          <w:sz w:val="21"/>
          <w:szCs w:val="21"/>
        </w:rPr>
      </w:pPr>
      <w:r>
        <w:rPr>
          <w:rFonts w:hint="eastAsia" w:asciiTheme="minorEastAsia" w:hAnsiTheme="minorEastAsia" w:eastAsiaTheme="minorEastAsia" w:cstheme="minorEastAsia"/>
          <w:color w:val="auto"/>
          <w:sz w:val="21"/>
          <w:szCs w:val="21"/>
        </w:rPr>
        <w:t>落实政府采购政策需满足的资格要求：</w:t>
      </w:r>
      <w:r>
        <w:rPr>
          <w:rFonts w:hint="eastAsia" w:asciiTheme="minorEastAsia" w:hAnsiTheme="minorEastAsia" w:eastAsiaTheme="minorEastAsia" w:cstheme="minorEastAsia"/>
          <w:strike w:val="0"/>
          <w:dstrike w:val="0"/>
          <w:color w:val="auto"/>
          <w:sz w:val="21"/>
          <w:szCs w:val="21"/>
        </w:rPr>
        <w:t>详见</w:t>
      </w:r>
      <w:r>
        <w:rPr>
          <w:rFonts w:hint="eastAsia" w:asciiTheme="minorEastAsia" w:hAnsiTheme="minorEastAsia" w:eastAsiaTheme="minorEastAsia" w:cstheme="minorEastAsia"/>
          <w:strike w:val="0"/>
          <w:dstrike w:val="0"/>
          <w:color w:val="auto"/>
          <w:sz w:val="21"/>
          <w:szCs w:val="21"/>
          <w:lang w:val="en-US" w:eastAsia="zh-CN"/>
        </w:rPr>
        <w:t>采购</w:t>
      </w:r>
      <w:r>
        <w:rPr>
          <w:rFonts w:hint="eastAsia" w:asciiTheme="minorEastAsia" w:hAnsiTheme="minorEastAsia" w:eastAsiaTheme="minorEastAsia" w:cstheme="minorEastAsia"/>
          <w:strike w:val="0"/>
          <w:dstrike w:val="0"/>
          <w:color w:val="auto"/>
          <w:sz w:val="21"/>
          <w:szCs w:val="21"/>
        </w:rPr>
        <w:t>文件；</w:t>
      </w:r>
    </w:p>
    <w:p>
      <w:pPr>
        <w:numPr>
          <w:ilvl w:val="0"/>
          <w:numId w:val="8"/>
        </w:numPr>
        <w:spacing w:line="360" w:lineRule="auto"/>
        <w:ind w:firstLine="422" w:firstLineChars="200"/>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本项目的特定资格要求：</w:t>
      </w:r>
    </w:p>
    <w:p>
      <w:pPr>
        <w:numPr>
          <w:ilvl w:val="0"/>
          <w:numId w:val="0"/>
        </w:numPr>
        <w:spacing w:line="360" w:lineRule="auto"/>
        <w:ind w:firstLine="420" w:firstLineChars="200"/>
        <w:jc w:val="left"/>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auto"/>
          <w:sz w:val="21"/>
          <w:szCs w:val="21"/>
          <w:lang w:val="en-US" w:eastAsia="zh-CN"/>
        </w:rPr>
        <w:t>6.1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 xml:space="preserve">    6.2供应商营业执照的经营范围需满足采购需求；</w:t>
      </w:r>
    </w:p>
    <w:p>
      <w:pPr>
        <w:numPr>
          <w:ilvl w:val="0"/>
          <w:numId w:val="0"/>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u w:val="single"/>
          <w:lang w:val="en-US" w:eastAsia="zh-CN"/>
        </w:rPr>
        <w:t xml:space="preserve">                      </w:t>
      </w:r>
    </w:p>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10" w:name="_Toc24271"/>
      <w:bookmarkStart w:id="11" w:name="_Toc334539185"/>
      <w:r>
        <w:rPr>
          <w:rFonts w:hint="eastAsia" w:asciiTheme="minorEastAsia" w:hAnsiTheme="minorEastAsia" w:eastAsiaTheme="minorEastAsia" w:cstheme="minorEastAsia"/>
          <w:sz w:val="21"/>
          <w:szCs w:val="21"/>
        </w:rPr>
        <w:t>获取</w:t>
      </w:r>
      <w:r>
        <w:rPr>
          <w:rFonts w:hint="eastAsia" w:asciiTheme="minorEastAsia" w:hAnsiTheme="minorEastAsia" w:eastAsiaTheme="minorEastAsia" w:cstheme="minorEastAsia"/>
          <w:sz w:val="21"/>
          <w:szCs w:val="21"/>
          <w:lang w:eastAsia="zh-CN"/>
        </w:rPr>
        <w:t>采购</w:t>
      </w:r>
      <w:r>
        <w:rPr>
          <w:rFonts w:hint="eastAsia" w:asciiTheme="minorEastAsia" w:hAnsiTheme="minorEastAsia" w:eastAsiaTheme="minorEastAsia" w:cstheme="minorEastAsia"/>
          <w:sz w:val="21"/>
          <w:szCs w:val="21"/>
        </w:rPr>
        <w:t>文件</w:t>
      </w:r>
      <w:bookmarkEnd w:id="10"/>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r>
        <w:rPr>
          <w:rFonts w:hint="eastAsia" w:asciiTheme="minorEastAsia" w:hAnsiTheme="minorEastAsia" w:eastAsiaTheme="minorEastAsia" w:cstheme="minorEastAsia"/>
          <w:sz w:val="21"/>
          <w:szCs w:val="21"/>
          <w:u w:val="single"/>
          <w:lang w:val="en-US" w:eastAsia="zh-CN"/>
        </w:rPr>
        <w:t>2020</w:t>
      </w:r>
      <w:r>
        <w:rPr>
          <w:rFonts w:hint="eastAsia" w:asciiTheme="minorEastAsia" w:hAnsiTheme="minorEastAsia" w:eastAsiaTheme="minorEastAsia" w:cstheme="minorEastAsia"/>
          <w:sz w:val="21"/>
          <w:szCs w:val="21"/>
          <w:u w:val="single"/>
        </w:rPr>
        <w:t>年</w:t>
      </w:r>
      <w:r>
        <w:rPr>
          <w:rFonts w:hint="eastAsia" w:asciiTheme="minorEastAsia" w:hAnsiTheme="minorEastAsia" w:eastAsiaTheme="minorEastAsia" w:cstheme="minorEastAsia"/>
          <w:sz w:val="21"/>
          <w:szCs w:val="21"/>
          <w:u w:val="single"/>
          <w:lang w:val="en-US" w:eastAsia="zh-CN"/>
        </w:rPr>
        <w:t>11</w:t>
      </w:r>
      <w:r>
        <w:rPr>
          <w:rFonts w:hint="eastAsia" w:asciiTheme="minorEastAsia" w:hAnsiTheme="minorEastAsia" w:eastAsiaTheme="minorEastAsia" w:cstheme="minorEastAsia"/>
          <w:sz w:val="21"/>
          <w:szCs w:val="21"/>
          <w:u w:val="single"/>
        </w:rPr>
        <w:t>月</w:t>
      </w:r>
      <w:r>
        <w:rPr>
          <w:rFonts w:hint="eastAsia" w:asciiTheme="minorEastAsia" w:hAnsiTheme="minorEastAsia" w:eastAsiaTheme="minorEastAsia" w:cstheme="minorEastAsia"/>
          <w:sz w:val="21"/>
          <w:szCs w:val="21"/>
          <w:u w:val="single"/>
          <w:lang w:val="en-US" w:eastAsia="zh-CN"/>
        </w:rPr>
        <w:t>2</w:t>
      </w:r>
      <w:r>
        <w:rPr>
          <w:rFonts w:hint="eastAsia" w:asciiTheme="minorEastAsia" w:hAnsiTheme="minorEastAsia" w:eastAsiaTheme="minorEastAsia" w:cstheme="minorEastAsia"/>
          <w:sz w:val="21"/>
          <w:szCs w:val="21"/>
          <w:u w:val="single"/>
        </w:rPr>
        <w:t>日至</w:t>
      </w:r>
      <w:r>
        <w:rPr>
          <w:rFonts w:hint="eastAsia" w:asciiTheme="minorEastAsia" w:hAnsiTheme="minorEastAsia" w:eastAsiaTheme="minorEastAsia" w:cstheme="minorEastAsia"/>
          <w:sz w:val="21"/>
          <w:szCs w:val="21"/>
          <w:u w:val="single"/>
          <w:lang w:val="en-US" w:eastAsia="zh-CN"/>
        </w:rPr>
        <w:t>2020</w:t>
      </w:r>
      <w:r>
        <w:rPr>
          <w:rFonts w:hint="eastAsia" w:asciiTheme="minorEastAsia" w:hAnsiTheme="minorEastAsia" w:eastAsiaTheme="minorEastAsia" w:cstheme="minorEastAsia"/>
          <w:sz w:val="21"/>
          <w:szCs w:val="21"/>
          <w:u w:val="single"/>
        </w:rPr>
        <w:t>年</w:t>
      </w:r>
      <w:r>
        <w:rPr>
          <w:rFonts w:hint="eastAsia" w:asciiTheme="minorEastAsia" w:hAnsiTheme="minorEastAsia" w:eastAsiaTheme="minorEastAsia" w:cstheme="minorEastAsia"/>
          <w:sz w:val="21"/>
          <w:szCs w:val="21"/>
          <w:u w:val="single"/>
          <w:lang w:val="en-US" w:eastAsia="zh-CN"/>
        </w:rPr>
        <w:t>11</w:t>
      </w:r>
      <w:r>
        <w:rPr>
          <w:rFonts w:hint="eastAsia" w:asciiTheme="minorEastAsia" w:hAnsiTheme="minorEastAsia" w:eastAsiaTheme="minorEastAsia" w:cstheme="minorEastAsia"/>
          <w:sz w:val="21"/>
          <w:szCs w:val="21"/>
          <w:u w:val="single"/>
        </w:rPr>
        <w:t>月</w:t>
      </w:r>
      <w:r>
        <w:rPr>
          <w:rFonts w:hint="eastAsia" w:asciiTheme="minorEastAsia" w:hAnsiTheme="minorEastAsia" w:eastAsiaTheme="minorEastAsia" w:cstheme="minorEastAsia"/>
          <w:sz w:val="21"/>
          <w:szCs w:val="21"/>
          <w:u w:val="single"/>
          <w:lang w:val="en-US" w:eastAsia="zh-CN"/>
        </w:rPr>
        <w:t>6</w:t>
      </w:r>
      <w:r>
        <w:rPr>
          <w:rFonts w:hint="eastAsia" w:asciiTheme="minorEastAsia" w:hAnsiTheme="minorEastAsia" w:eastAsiaTheme="minorEastAsia" w:cstheme="minorEastAsia"/>
          <w:sz w:val="21"/>
          <w:szCs w:val="21"/>
          <w:u w:val="single"/>
        </w:rPr>
        <w:t>日</w:t>
      </w:r>
      <w:r>
        <w:rPr>
          <w:rFonts w:hint="eastAsia" w:asciiTheme="minorEastAsia" w:hAnsiTheme="minorEastAsia" w:eastAsiaTheme="minorEastAsia" w:cstheme="minorEastAsia"/>
          <w:sz w:val="21"/>
          <w:szCs w:val="21"/>
        </w:rPr>
        <w:t>（提供期限自本公告发布</w:t>
      </w:r>
      <w:r>
        <w:rPr>
          <w:rFonts w:hint="eastAsia" w:asciiTheme="minorEastAsia" w:hAnsiTheme="minorEastAsia" w:eastAsiaTheme="minorEastAsia" w:cstheme="minorEastAsia"/>
          <w:sz w:val="21"/>
          <w:szCs w:val="21"/>
          <w:lang w:eastAsia="zh-CN"/>
        </w:rPr>
        <w:t>之</w:t>
      </w:r>
      <w:r>
        <w:rPr>
          <w:rFonts w:hint="eastAsia" w:asciiTheme="minorEastAsia" w:hAnsiTheme="minorEastAsia" w:eastAsiaTheme="minorEastAsia" w:cstheme="minorEastAsia"/>
          <w:sz w:val="21"/>
          <w:szCs w:val="21"/>
        </w:rPr>
        <w:t>日起</w:t>
      </w:r>
      <w:r>
        <w:rPr>
          <w:rFonts w:hint="eastAsia" w:asciiTheme="minorEastAsia" w:hAnsiTheme="minorEastAsia" w:eastAsiaTheme="minorEastAsia" w:cstheme="minorEastAsia"/>
          <w:sz w:val="21"/>
          <w:szCs w:val="21"/>
          <w:lang w:eastAsia="zh-CN"/>
        </w:rPr>
        <w:t>至少</w:t>
      </w:r>
      <w:r>
        <w:rPr>
          <w:rFonts w:hint="eastAsia" w:asciiTheme="minorEastAsia" w:hAnsiTheme="minorEastAsia" w:eastAsiaTheme="minorEastAsia" w:cstheme="minorEastAsia"/>
          <w:sz w:val="21"/>
          <w:szCs w:val="21"/>
        </w:rPr>
        <w:t>5个工作日），每天上午</w:t>
      </w:r>
      <w:r>
        <w:rPr>
          <w:rFonts w:hint="eastAsia" w:asciiTheme="minorEastAsia" w:hAnsiTheme="minorEastAsia" w:eastAsiaTheme="minorEastAsia" w:cstheme="minorEastAsia"/>
          <w:sz w:val="21"/>
          <w:szCs w:val="21"/>
          <w:lang w:val="en-US" w:eastAsia="zh-CN"/>
        </w:rPr>
        <w:t>09:00</w:t>
      </w:r>
      <w:r>
        <w:rPr>
          <w:rFonts w:hint="eastAsia" w:asciiTheme="minorEastAsia" w:hAnsiTheme="minorEastAsia" w:eastAsiaTheme="minorEastAsia" w:cstheme="minorEastAsia"/>
          <w:sz w:val="21"/>
          <w:szCs w:val="21"/>
        </w:rPr>
        <w:t>至</w:t>
      </w:r>
      <w:r>
        <w:rPr>
          <w:rFonts w:hint="eastAsia" w:asciiTheme="minorEastAsia" w:hAnsiTheme="minorEastAsia" w:eastAsiaTheme="minorEastAsia" w:cstheme="minorEastAsia"/>
          <w:sz w:val="21"/>
          <w:szCs w:val="21"/>
          <w:lang w:val="en-US" w:eastAsia="zh-CN"/>
        </w:rPr>
        <w:t>12:00</w:t>
      </w:r>
      <w:r>
        <w:rPr>
          <w:rFonts w:hint="eastAsia" w:asciiTheme="minorEastAsia" w:hAnsiTheme="minorEastAsia" w:eastAsiaTheme="minorEastAsia" w:cstheme="minorEastAsia"/>
          <w:sz w:val="21"/>
          <w:szCs w:val="21"/>
        </w:rPr>
        <w:t>，下午</w:t>
      </w:r>
      <w:r>
        <w:rPr>
          <w:rFonts w:hint="eastAsia" w:asciiTheme="minorEastAsia" w:hAnsiTheme="minorEastAsia" w:eastAsiaTheme="minorEastAsia" w:cstheme="minorEastAsia"/>
          <w:sz w:val="21"/>
          <w:szCs w:val="21"/>
          <w:lang w:val="en-US" w:eastAsia="zh-CN"/>
        </w:rPr>
        <w:t>14:30</w:t>
      </w:r>
      <w:r>
        <w:rPr>
          <w:rFonts w:hint="eastAsia" w:asciiTheme="minorEastAsia" w:hAnsiTheme="minorEastAsia" w:eastAsiaTheme="minorEastAsia" w:cstheme="minorEastAsia"/>
          <w:sz w:val="21"/>
          <w:szCs w:val="21"/>
        </w:rPr>
        <w:t>至</w:t>
      </w:r>
      <w:r>
        <w:rPr>
          <w:rFonts w:hint="eastAsia" w:asciiTheme="minorEastAsia" w:hAnsiTheme="minorEastAsia" w:eastAsiaTheme="minorEastAsia" w:cstheme="minorEastAsia"/>
          <w:sz w:val="21"/>
          <w:szCs w:val="21"/>
          <w:lang w:val="en-US" w:eastAsia="zh-CN"/>
        </w:rPr>
        <w:t>17:00</w:t>
      </w:r>
      <w:r>
        <w:rPr>
          <w:rFonts w:hint="eastAsia" w:asciiTheme="minorEastAsia" w:hAnsiTheme="minorEastAsia" w:eastAsiaTheme="minorEastAsia" w:cstheme="minorEastAsia"/>
          <w:sz w:val="21"/>
          <w:szCs w:val="21"/>
        </w:rPr>
        <w:t>（北京时间，法定节假日除外）</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地点：武昌区中北路岳家嘴立交山河企业大厦</w:t>
      </w:r>
      <w:r>
        <w:rPr>
          <w:rFonts w:hint="eastAsia" w:asciiTheme="minorEastAsia" w:hAnsiTheme="minorEastAsia" w:eastAsiaTheme="minorEastAsia" w:cstheme="minorEastAsia"/>
          <w:sz w:val="21"/>
          <w:szCs w:val="21"/>
          <w:lang w:val="en-US" w:eastAsia="zh-CN"/>
        </w:rPr>
        <w:t>48楼</w:t>
      </w:r>
      <w:r>
        <w:rPr>
          <w:rFonts w:hint="eastAsia" w:asciiTheme="minorEastAsia" w:hAnsiTheme="minorEastAsia" w:eastAsiaTheme="minorEastAsia" w:cstheme="minorEastAsia"/>
          <w:sz w:val="21"/>
          <w:szCs w:val="21"/>
        </w:rPr>
        <w:t>4805室；</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color w:val="auto"/>
          <w:sz w:val="21"/>
          <w:szCs w:val="21"/>
          <w:lang w:eastAsia="zh-CN"/>
        </w:rPr>
        <w:t>现场获取</w:t>
      </w:r>
      <w:r>
        <w:rPr>
          <w:rFonts w:hint="eastAsia" w:asciiTheme="minorEastAsia" w:hAnsiTheme="minorEastAsia" w:eastAsiaTheme="minorEastAsia" w:cstheme="minorEastAsia"/>
          <w:b w:val="0"/>
          <w:bCs w:val="0"/>
          <w:color w:val="auto"/>
          <w:sz w:val="21"/>
          <w:szCs w:val="21"/>
        </w:rPr>
        <w:t>：</w:t>
      </w:r>
      <w:bookmarkEnd w:id="11"/>
      <w:r>
        <w:rPr>
          <w:rFonts w:hint="eastAsia" w:asciiTheme="minorEastAsia" w:hAnsiTheme="minorEastAsia" w:eastAsiaTheme="minorEastAsia" w:cstheme="minorEastAsia"/>
          <w:b w:val="0"/>
          <w:bCs w:val="0"/>
          <w:color w:val="auto"/>
          <w:sz w:val="21"/>
          <w:szCs w:val="21"/>
        </w:rPr>
        <w:t>1）法定代表人领取的，凭法定代表人身份证明书（格式</w:t>
      </w:r>
      <w:r>
        <w:rPr>
          <w:rFonts w:hint="eastAsia" w:asciiTheme="minorEastAsia" w:hAnsiTheme="minorEastAsia" w:eastAsiaTheme="minorEastAsia" w:cstheme="minorEastAsia"/>
          <w:b w:val="0"/>
          <w:bCs w:val="0"/>
          <w:color w:val="auto"/>
          <w:sz w:val="21"/>
          <w:szCs w:val="21"/>
          <w:lang w:eastAsia="zh-CN"/>
        </w:rPr>
        <w:t>见附件</w:t>
      </w:r>
      <w:r>
        <w:rPr>
          <w:rFonts w:hint="eastAsia" w:asciiTheme="minorEastAsia" w:hAnsiTheme="minorEastAsia" w:eastAsiaTheme="minorEastAsia" w:cstheme="minorEastAsia"/>
          <w:b w:val="0"/>
          <w:bCs w:val="0"/>
          <w:color w:val="auto"/>
          <w:sz w:val="21"/>
          <w:szCs w:val="21"/>
        </w:rPr>
        <w:t>）及法定代表人身份证原件领取；2）法定代表人委托他人领取的，凭法定代表人授权书（格式</w:t>
      </w:r>
      <w:r>
        <w:rPr>
          <w:rFonts w:hint="eastAsia" w:asciiTheme="minorEastAsia" w:hAnsiTheme="minorEastAsia" w:eastAsiaTheme="minorEastAsia" w:cstheme="minorEastAsia"/>
          <w:b w:val="0"/>
          <w:bCs w:val="0"/>
          <w:color w:val="auto"/>
          <w:sz w:val="21"/>
          <w:szCs w:val="21"/>
          <w:lang w:eastAsia="zh-CN"/>
        </w:rPr>
        <w:t>见附件</w:t>
      </w:r>
      <w:r>
        <w:rPr>
          <w:rFonts w:hint="eastAsia" w:asciiTheme="minorEastAsia" w:hAnsiTheme="minorEastAsia" w:eastAsiaTheme="minorEastAsia" w:cstheme="minorEastAsia"/>
          <w:b w:val="0"/>
          <w:bCs w:val="0"/>
          <w:color w:val="auto"/>
          <w:sz w:val="21"/>
          <w:szCs w:val="21"/>
        </w:rPr>
        <w:t>）及受托人身份证原件领取</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rPr>
        <w:t>）加盖</w:t>
      </w:r>
      <w:r>
        <w:rPr>
          <w:rFonts w:hint="eastAsia" w:asciiTheme="minorEastAsia" w:hAnsiTheme="minorEastAsia" w:eastAsiaTheme="minorEastAsia" w:cstheme="minorEastAsia"/>
          <w:b w:val="0"/>
          <w:bCs w:val="0"/>
          <w:color w:val="auto"/>
          <w:sz w:val="21"/>
          <w:szCs w:val="21"/>
          <w:lang w:val="en-US" w:eastAsia="zh-CN"/>
        </w:rPr>
        <w:t>公章</w:t>
      </w:r>
      <w:r>
        <w:rPr>
          <w:rFonts w:hint="eastAsia" w:asciiTheme="minorEastAsia" w:hAnsiTheme="minorEastAsia" w:eastAsiaTheme="minorEastAsia" w:cstheme="minorEastAsia"/>
          <w:b w:val="0"/>
          <w:bCs w:val="0"/>
          <w:color w:val="auto"/>
          <w:sz w:val="21"/>
          <w:szCs w:val="21"/>
        </w:rPr>
        <w:t>的营业执照</w:t>
      </w:r>
      <w:r>
        <w:rPr>
          <w:rFonts w:hint="eastAsia" w:asciiTheme="minorEastAsia" w:hAnsiTheme="minorEastAsia" w:eastAsiaTheme="minorEastAsia" w:cstheme="minorEastAsia"/>
          <w:b w:val="0"/>
          <w:bCs w:val="0"/>
          <w:color w:val="auto"/>
          <w:sz w:val="21"/>
          <w:szCs w:val="21"/>
          <w:lang w:val="en-US" w:eastAsia="zh-CN"/>
        </w:rPr>
        <w:t>真彩扫描件、项目报名表</w:t>
      </w:r>
      <w:r>
        <w:rPr>
          <w:rFonts w:hint="eastAsia" w:asciiTheme="minorEastAsia" w:hAnsiTheme="minorEastAsia" w:eastAsiaTheme="minorEastAsia" w:cstheme="minorEastAsia"/>
          <w:b w:val="0"/>
          <w:bCs w:val="0"/>
          <w:color w:val="auto"/>
          <w:sz w:val="21"/>
          <w:szCs w:val="21"/>
        </w:rPr>
        <w:t>（格式见附件）</w:t>
      </w:r>
      <w:r>
        <w:rPr>
          <w:rFonts w:hint="eastAsia" w:asciiTheme="minorEastAsia" w:hAnsiTheme="minorEastAsia" w:eastAsiaTheme="minorEastAsia" w:cstheme="minorEastAsia"/>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r>
        <w:rPr>
          <w:rFonts w:hint="eastAsia" w:asciiTheme="minorEastAsia" w:hAnsiTheme="minorEastAsia" w:eastAsiaTheme="minorEastAsia" w:cstheme="minorEastAsia"/>
          <w:b w:val="0"/>
          <w:bCs w:val="0"/>
          <w:color w:val="auto"/>
          <w:sz w:val="21"/>
          <w:szCs w:val="21"/>
          <w:lang w:val="en-US" w:eastAsia="zh-CN"/>
        </w:rPr>
        <w:br w:type="textWrapping"/>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sz w:val="21"/>
          <w:szCs w:val="21"/>
          <w:lang w:val="en-US" w:eastAsia="zh-CN"/>
        </w:rPr>
        <w:t>售价：采购文件</w:t>
      </w:r>
      <w:r>
        <w:rPr>
          <w:rFonts w:hint="eastAsia" w:asciiTheme="minorEastAsia" w:hAnsiTheme="minorEastAsia" w:eastAsiaTheme="minorEastAsia" w:cstheme="minorEastAsia"/>
          <w:color w:val="auto"/>
          <w:sz w:val="21"/>
          <w:szCs w:val="21"/>
          <w:lang w:val="en-US" w:eastAsia="zh-CN"/>
        </w:rPr>
        <w:t>人民币400元/本，</w:t>
      </w:r>
      <w:r>
        <w:rPr>
          <w:rFonts w:hint="eastAsia" w:asciiTheme="minorEastAsia" w:hAnsiTheme="minorEastAsia" w:eastAsiaTheme="minorEastAsia" w:cstheme="minorEastAsia"/>
          <w:sz w:val="21"/>
          <w:szCs w:val="21"/>
          <w:lang w:val="en-US" w:eastAsia="zh-CN"/>
        </w:rPr>
        <w:t>售后不退，不办理邮寄；</w:t>
      </w:r>
    </w:p>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12" w:name="_Toc21272"/>
      <w:r>
        <w:rPr>
          <w:rFonts w:hint="eastAsia" w:asciiTheme="minorEastAsia" w:hAnsiTheme="minorEastAsia" w:eastAsiaTheme="minorEastAsia" w:cstheme="minorEastAsia"/>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bookmarkStart w:id="13" w:name="_Toc27695"/>
      <w:r>
        <w:rPr>
          <w:rFonts w:hint="eastAsia" w:asciiTheme="minorEastAsia" w:hAnsiTheme="minorEastAsia" w:eastAsiaTheme="minorEastAsia" w:cstheme="minorEastAsia"/>
          <w:sz w:val="21"/>
          <w:szCs w:val="21"/>
          <w:lang w:val="en-US" w:eastAsia="zh-CN"/>
        </w:rPr>
        <w:t>开始时间：2020年11月11日08点30分（北京时间）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截止时间：2020年11月11日10点00分（北京时间）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地点：武昌区中北路岳家嘴立交山河企业大厦4806室</w:t>
      </w:r>
    </w:p>
    <w:p>
      <w:pPr>
        <w:pStyle w:val="4"/>
        <w:numPr>
          <w:ilvl w:val="0"/>
          <w:numId w:val="6"/>
        </w:numPr>
        <w:spacing w:line="36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开启</w:t>
      </w:r>
      <w:bookmarkEnd w:id="13"/>
    </w:p>
    <w:p>
      <w:pPr>
        <w:numPr>
          <w:ilvl w:val="0"/>
          <w:numId w:val="0"/>
        </w:numPr>
        <w:spacing w:line="360" w:lineRule="auto"/>
        <w:ind w:leftChars="0" w:firstLine="420" w:firstLineChars="200"/>
        <w:jc w:val="lef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时间：2020年11月11日10点00分</w:t>
      </w:r>
      <w:r>
        <w:rPr>
          <w:rFonts w:hint="eastAsia" w:asciiTheme="minorEastAsia" w:hAnsiTheme="minorEastAsia" w:eastAsiaTheme="minorEastAsia" w:cstheme="minorEastAsia"/>
          <w:sz w:val="21"/>
          <w:szCs w:val="21"/>
          <w:lang w:eastAsia="zh-CN"/>
        </w:rPr>
        <w:t>（北京时间）</w:t>
      </w:r>
    </w:p>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14" w:name="_Toc21834"/>
      <w:r>
        <w:rPr>
          <w:rFonts w:hint="eastAsia" w:asciiTheme="minorEastAsia" w:hAnsiTheme="minorEastAsia" w:eastAsiaTheme="minorEastAsia" w:cstheme="minorEastAsia"/>
          <w:sz w:val="21"/>
          <w:szCs w:val="21"/>
        </w:rPr>
        <w:t>公告期限</w:t>
      </w:r>
      <w:bookmarkEnd w:id="14"/>
    </w:p>
    <w:p>
      <w:pPr>
        <w:spacing w:line="360" w:lineRule="auto"/>
        <w:ind w:firstLine="420" w:firstLineChars="200"/>
        <w:jc w:val="left"/>
        <w:rPr>
          <w:rFonts w:hint="eastAsia" w:asciiTheme="minorEastAsia" w:hAnsiTheme="minorEastAsia" w:eastAsiaTheme="minorEastAsia" w:cstheme="minorEastAsia"/>
          <w:sz w:val="21"/>
          <w:szCs w:val="21"/>
          <w:lang w:eastAsia="zh-CN"/>
        </w:rPr>
      </w:pPr>
      <w:bookmarkStart w:id="15" w:name="_Toc334539188"/>
      <w:bookmarkStart w:id="16" w:name="_Toc259607751"/>
      <w:bookmarkStart w:id="17" w:name="_Toc317262251"/>
      <w:bookmarkStart w:id="18" w:name="_Toc276368888"/>
      <w:bookmarkStart w:id="19" w:name="_Toc320898024"/>
      <w:bookmarkStart w:id="20" w:name="_Toc6021"/>
      <w:r>
        <w:rPr>
          <w:rFonts w:hint="eastAsia" w:asciiTheme="minorEastAsia" w:hAnsiTheme="minorEastAsia" w:eastAsiaTheme="minorEastAsia" w:cstheme="minorEastAsia"/>
          <w:sz w:val="21"/>
          <w:szCs w:val="21"/>
          <w:lang w:val="en-US" w:eastAsia="zh-CN"/>
        </w:rPr>
        <w:t>自本公告发布之日起</w:t>
      </w:r>
      <w:r>
        <w:rPr>
          <w:rFonts w:hint="eastAsia" w:asciiTheme="minorEastAsia" w:hAnsiTheme="minorEastAsia" w:eastAsiaTheme="minorEastAsia" w:cstheme="minorEastAsia"/>
          <w:sz w:val="21"/>
          <w:szCs w:val="21"/>
          <w:lang w:eastAsia="zh-CN"/>
        </w:rPr>
        <w:t>至少</w:t>
      </w:r>
      <w:r>
        <w:rPr>
          <w:rFonts w:hint="eastAsia" w:asciiTheme="minorEastAsia" w:hAnsiTheme="minorEastAsia" w:eastAsiaTheme="minorEastAsia" w:cstheme="minorEastAsia"/>
          <w:sz w:val="21"/>
          <w:szCs w:val="21"/>
          <w:lang w:val="en-US" w:eastAsia="zh-CN"/>
        </w:rPr>
        <w:t>5个工作日</w:t>
      </w:r>
      <w:bookmarkEnd w:id="15"/>
      <w:bookmarkEnd w:id="16"/>
      <w:bookmarkEnd w:id="17"/>
      <w:bookmarkEnd w:id="18"/>
      <w:bookmarkEnd w:id="19"/>
      <w:bookmarkEnd w:id="20"/>
    </w:p>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21" w:name="_Toc31302"/>
      <w:r>
        <w:rPr>
          <w:rFonts w:hint="eastAsia" w:asciiTheme="minorEastAsia" w:hAnsiTheme="minorEastAsia" w:eastAsiaTheme="minorEastAsia" w:cstheme="minorEastAsia"/>
          <w:sz w:val="21"/>
          <w:szCs w:val="21"/>
        </w:rPr>
        <w:t>其他补充事宜</w:t>
      </w:r>
      <w:bookmarkEnd w:id="21"/>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lang w:val="en-US" w:eastAsia="zh-CN"/>
        </w:rPr>
      </w:pPr>
      <w:bookmarkStart w:id="22" w:name="_Toc259028279"/>
      <w:r>
        <w:rPr>
          <w:rFonts w:hint="eastAsia" w:asciiTheme="minorEastAsia" w:hAnsiTheme="minorEastAsia" w:eastAsiaTheme="minorEastAsia" w:cstheme="minorEastAsia"/>
          <w:sz w:val="21"/>
          <w:szCs w:val="21"/>
          <w:lang w:val="en-US" w:eastAsia="zh-CN"/>
        </w:rPr>
        <w:t>1.本项目是否专门面向中小企业、监狱企业、残疾人福利</w:t>
      </w:r>
      <w:r>
        <w:rPr>
          <w:rFonts w:hint="eastAsia" w:asciiTheme="minorEastAsia" w:hAnsiTheme="minorEastAsia" w:eastAsiaTheme="minorEastAsia" w:cstheme="minorEastAsia"/>
          <w:color w:val="auto"/>
          <w:sz w:val="21"/>
          <w:szCs w:val="21"/>
          <w:lang w:val="en-US" w:eastAsia="zh-CN"/>
        </w:rPr>
        <w:t>性单位：否</w:t>
      </w:r>
    </w:p>
    <w:p>
      <w:pPr>
        <w:numPr>
          <w:ilvl w:val="0"/>
          <w:numId w:val="0"/>
        </w:numPr>
        <w:spacing w:line="360" w:lineRule="auto"/>
        <w:ind w:firstLine="420" w:firstLineChars="2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lang w:val="en-US" w:eastAsia="zh-CN"/>
        </w:rPr>
        <w:t>2.与采购人存在利害关系可能影响采购公正性的法人、其他组织或者</w:t>
      </w:r>
      <w:r>
        <w:rPr>
          <w:rFonts w:hint="eastAsia" w:asciiTheme="minorEastAsia" w:hAnsiTheme="minorEastAsia" w:eastAsiaTheme="minorEastAsia" w:cstheme="minorEastAsia"/>
          <w:sz w:val="21"/>
          <w:szCs w:val="21"/>
          <w:lang w:val="en-US" w:eastAsia="zh-CN"/>
        </w:rPr>
        <w:t>个人，不得参与本项目；单位负责人为同一人或存在控股、管理关系的不同单位只能有一家单位报名(按在采购代理机构处获取文件登记的先后顺序)。</w:t>
      </w:r>
    </w:p>
    <w:p>
      <w:pPr>
        <w:spacing w:line="360" w:lineRule="auto"/>
        <w:ind w:firstLine="420" w:firstLineChars="200"/>
        <w:jc w:val="left"/>
        <w:rPr>
          <w:rFonts w:hint="eastAsia" w:asciiTheme="minorEastAsia" w:hAnsiTheme="minorEastAsia" w:eastAsiaTheme="minorEastAsia" w:cstheme="minorEastAsia"/>
          <w:sz w:val="21"/>
          <w:szCs w:val="21"/>
          <w:highlight w:val="yellow"/>
          <w:lang w:val="en-US" w:eastAsia="zh-CN"/>
        </w:rPr>
      </w:pPr>
      <w:r>
        <w:rPr>
          <w:rFonts w:hint="eastAsia" w:asciiTheme="minorEastAsia" w:hAnsiTheme="minorEastAsia" w:eastAsiaTheme="minorEastAsia" w:cstheme="minorEastAsia"/>
          <w:sz w:val="21"/>
          <w:szCs w:val="21"/>
          <w:lang w:val="en-US" w:eastAsia="zh-CN"/>
        </w:rPr>
        <w:t>3.供应商如需查询技术要求可直接到我处查阅采购文件第三章相关内容。</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 xml:space="preserve">    4.本项目将在以下网站发布所有信息，请参加本项目竞标的供应商密切关注。</w:t>
      </w:r>
    </w:p>
    <w:p>
      <w:pPr>
        <w:spacing w:line="360" w:lineRule="auto"/>
        <w:ind w:firstLine="420" w:firstLineChars="200"/>
        <w:jc w:val="left"/>
        <w:rPr>
          <w:rFonts w:hint="eastAsia" w:ascii="宋体" w:hAnsi="宋体" w:cs="宋体"/>
          <w:szCs w:val="21"/>
        </w:rPr>
      </w:pPr>
      <w:r>
        <w:rPr>
          <w:rFonts w:hint="eastAsia" w:asciiTheme="minorEastAsia" w:hAnsiTheme="minorEastAsia" w:eastAsiaTheme="minorEastAsia" w:cstheme="minorEastAsia"/>
          <w:sz w:val="21"/>
          <w:szCs w:val="21"/>
          <w:lang w:val="en-US" w:eastAsia="zh-CN"/>
        </w:rPr>
        <w:t>（一）</w:t>
      </w:r>
      <w:r>
        <w:rPr>
          <w:rFonts w:hint="eastAsia" w:ascii="宋体" w:hAnsi="宋体" w:cs="宋体"/>
          <w:szCs w:val="21"/>
        </w:rPr>
        <w:t>《中经国际招标集团有限公司官网》（网址：</w:t>
      </w:r>
      <w:r>
        <w:rPr>
          <w:rFonts w:hint="eastAsia" w:ascii="宋体" w:hAnsi="宋体" w:cs="宋体"/>
          <w:szCs w:val="21"/>
        </w:rPr>
        <w:fldChar w:fldCharType="begin"/>
      </w:r>
      <w:r>
        <w:rPr>
          <w:rFonts w:hint="eastAsia" w:ascii="宋体" w:hAnsi="宋体" w:cs="宋体"/>
          <w:szCs w:val="21"/>
        </w:rPr>
        <w:instrText xml:space="preserve"> HYPERLINK "http://www.ccgp-hubei.gov.cn/）" </w:instrText>
      </w:r>
      <w:r>
        <w:rPr>
          <w:rFonts w:hint="eastAsia" w:ascii="宋体" w:hAnsi="宋体" w:cs="宋体"/>
          <w:szCs w:val="21"/>
        </w:rPr>
        <w:fldChar w:fldCharType="separate"/>
      </w:r>
      <w:r>
        <w:rPr>
          <w:rFonts w:hint="eastAsia" w:ascii="宋体" w:hAnsi="宋体" w:cs="宋体"/>
          <w:szCs w:val="21"/>
        </w:rPr>
        <w:t>http://www.ceitcl.com/）</w:t>
      </w:r>
      <w:r>
        <w:rPr>
          <w:rFonts w:hint="eastAsia" w:ascii="宋体" w:hAnsi="宋体" w:cs="宋体"/>
          <w:szCs w:val="21"/>
        </w:rPr>
        <w:fldChar w:fldCharType="end"/>
      </w:r>
      <w:bookmarkEnd w:id="22"/>
    </w:p>
    <w:p>
      <w:pPr>
        <w:pStyle w:val="2"/>
        <w:rPr>
          <w:rFonts w:hint="default" w:eastAsia="黑体"/>
          <w:lang w:val="en-US" w:eastAsia="zh-CN"/>
        </w:rPr>
      </w:pPr>
      <w:r>
        <w:rPr>
          <w:rFonts w:hint="eastAsia" w:ascii="宋体" w:hAnsi="宋体" w:cs="宋体"/>
          <w:szCs w:val="21"/>
          <w:lang w:val="en-US" w:eastAsia="zh-CN"/>
        </w:rPr>
        <w:t xml:space="preserve">    </w:t>
      </w:r>
      <w:r>
        <w:rPr>
          <w:rFonts w:hint="eastAsia" w:ascii="宋体" w:hAnsi="宋体" w:eastAsia="宋体" w:cs="宋体"/>
          <w:color w:val="auto"/>
          <w:sz w:val="21"/>
          <w:szCs w:val="21"/>
          <w:lang w:val="en-US" w:eastAsia="zh-CN"/>
        </w:rPr>
        <w:t>（二）《中国招标投标公告服务平台》（网址：</w:t>
      </w: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HYPERLINK "http://www.ccgp.gov.cn/）" </w:instrText>
      </w:r>
      <w:r>
        <w:rPr>
          <w:rFonts w:hint="eastAsia" w:ascii="宋体" w:hAnsi="宋体" w:eastAsia="宋体" w:cs="宋体"/>
          <w:color w:val="auto"/>
          <w:sz w:val="21"/>
          <w:szCs w:val="21"/>
          <w:lang w:val="en-US" w:eastAsia="zh-CN"/>
        </w:rPr>
        <w:fldChar w:fldCharType="separate"/>
      </w:r>
      <w:r>
        <w:rPr>
          <w:rFonts w:hint="eastAsia" w:ascii="宋体" w:hAnsi="宋体" w:eastAsia="宋体" w:cs="宋体"/>
          <w:color w:val="auto"/>
          <w:sz w:val="21"/>
          <w:szCs w:val="21"/>
          <w:lang w:val="en-US" w:eastAsia="zh-CN"/>
        </w:rPr>
        <w:t>http://www.cebpubservice.com/）</w:t>
      </w:r>
      <w:r>
        <w:rPr>
          <w:rFonts w:hint="eastAsia" w:ascii="宋体" w:hAnsi="宋体" w:eastAsia="宋体" w:cs="宋体"/>
          <w:color w:val="auto"/>
          <w:sz w:val="21"/>
          <w:szCs w:val="21"/>
          <w:lang w:val="en-US" w:eastAsia="zh-CN"/>
        </w:rPr>
        <w:fldChar w:fldCharType="end"/>
      </w:r>
      <w:bookmarkStart w:id="235" w:name="_GoBack"/>
      <w:bookmarkEnd w:id="235"/>
    </w:p>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23" w:name="_Toc12824"/>
      <w:r>
        <w:rPr>
          <w:rFonts w:hint="eastAsia" w:asciiTheme="minorEastAsia" w:hAnsiTheme="minorEastAsia" w:eastAsiaTheme="minorEastAsia" w:cstheme="minorEastAsia"/>
          <w:sz w:val="21"/>
          <w:szCs w:val="21"/>
        </w:rPr>
        <w:t>凡对本次采购提出询问，请按以下方式联系</w:t>
      </w:r>
      <w:bookmarkEnd w:id="23"/>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z w:val="21"/>
          <w:szCs w:val="21"/>
          <w:lang w:eastAsia="zh-CN"/>
        </w:rPr>
        <w:t>1.采</w:t>
      </w:r>
      <w:r>
        <w:rPr>
          <w:rFonts w:hint="eastAsia" w:asciiTheme="minorEastAsia" w:hAnsiTheme="minorEastAsia" w:eastAsiaTheme="minorEastAsia" w:cstheme="minorEastAsia"/>
          <w:color w:val="auto"/>
          <w:sz w:val="21"/>
          <w:szCs w:val="21"/>
          <w:lang w:eastAsia="zh-CN"/>
        </w:rPr>
        <w:t>购人信息</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名 称：武汉工程大学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lang w:eastAsia="zh-CN"/>
        </w:rPr>
        <w:t>址：武汉市东湖新技术开发区光谷一路206号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 xml:space="preserve">联系方式：段老师、027-81624665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2.采购代理机构信息</w:t>
      </w:r>
    </w:p>
    <w:p>
      <w:pPr>
        <w:spacing w:line="360" w:lineRule="auto"/>
        <w:ind w:firstLine="420" w:firstLineChars="200"/>
        <w:jc w:val="lef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z w:val="21"/>
          <w:szCs w:val="21"/>
          <w:lang w:eastAsia="zh-CN"/>
        </w:rPr>
        <w:t xml:space="preserve">名 </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lang w:eastAsia="zh-CN"/>
        </w:rPr>
        <w:t>称：中经</w:t>
      </w:r>
      <w:r>
        <w:rPr>
          <w:rFonts w:hint="eastAsia" w:asciiTheme="minorEastAsia" w:hAnsiTheme="minorEastAsia" w:eastAsiaTheme="minorEastAsia" w:cstheme="minorEastAsia"/>
          <w:sz w:val="21"/>
          <w:szCs w:val="21"/>
          <w:lang w:eastAsia="zh-CN"/>
        </w:rPr>
        <w:t>国际招标集团有限公司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z w:val="21"/>
          <w:szCs w:val="21"/>
          <w:lang w:eastAsia="zh-CN"/>
        </w:rPr>
        <w:t>地　址：武昌区中</w:t>
      </w:r>
      <w:r>
        <w:rPr>
          <w:rFonts w:hint="eastAsia" w:asciiTheme="minorEastAsia" w:hAnsiTheme="minorEastAsia" w:eastAsiaTheme="minorEastAsia" w:cstheme="minorEastAsia"/>
          <w:color w:val="auto"/>
          <w:sz w:val="21"/>
          <w:szCs w:val="21"/>
          <w:lang w:eastAsia="zh-CN"/>
        </w:rPr>
        <w:t>北路岳家嘴立交山河企业大厦</w:t>
      </w:r>
      <w:r>
        <w:rPr>
          <w:rFonts w:hint="eastAsia" w:asciiTheme="minorEastAsia" w:hAnsiTheme="minorEastAsia" w:eastAsiaTheme="minorEastAsia" w:cstheme="minorEastAsia"/>
          <w:color w:val="auto"/>
          <w:sz w:val="21"/>
          <w:szCs w:val="21"/>
          <w:lang w:val="en-US" w:eastAsia="zh-CN"/>
        </w:rPr>
        <w:t>48楼4805、</w:t>
      </w:r>
      <w:r>
        <w:rPr>
          <w:rFonts w:hint="eastAsia" w:asciiTheme="minorEastAsia" w:hAnsiTheme="minorEastAsia" w:eastAsiaTheme="minorEastAsia" w:cstheme="minorEastAsia"/>
          <w:color w:val="auto"/>
          <w:sz w:val="21"/>
          <w:szCs w:val="21"/>
          <w:lang w:eastAsia="zh-CN"/>
        </w:rPr>
        <w:t>4806室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联系方式：</w:t>
      </w:r>
      <w:r>
        <w:rPr>
          <w:rFonts w:hint="eastAsia" w:asciiTheme="minorEastAsia" w:hAnsiTheme="minorEastAsia" w:eastAsiaTheme="minorEastAsia" w:cstheme="minorEastAsia"/>
          <w:color w:val="auto"/>
          <w:sz w:val="21"/>
          <w:szCs w:val="21"/>
          <w:lang w:val="en-US" w:eastAsia="zh-CN"/>
        </w:rPr>
        <w:t>027-87820788</w:t>
      </w:r>
      <w:r>
        <w:rPr>
          <w:rFonts w:hint="eastAsia" w:asciiTheme="minorEastAsia" w:hAnsiTheme="minorEastAsia" w:eastAsiaTheme="minorEastAsia" w:cstheme="minorEastAsia"/>
          <w:color w:val="auto"/>
          <w:sz w:val="21"/>
          <w:szCs w:val="21"/>
          <w:lang w:eastAsia="zh-CN"/>
        </w:rPr>
        <w:t>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3.项目联系方式</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项目联系人：张梦、方雪菲、吴妍</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21"/>
          <w:szCs w:val="21"/>
          <w:lang w:eastAsia="zh-CN"/>
        </w:rPr>
        <w:t>电</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lang w:eastAsia="zh-CN"/>
        </w:rPr>
        <w:t>　话：</w:t>
      </w:r>
      <w:r>
        <w:rPr>
          <w:rFonts w:hint="eastAsia" w:asciiTheme="minorEastAsia" w:hAnsiTheme="minorEastAsia" w:eastAsiaTheme="minorEastAsia" w:cstheme="minorEastAsia"/>
          <w:color w:val="auto"/>
          <w:sz w:val="21"/>
          <w:szCs w:val="21"/>
          <w:lang w:val="en-US" w:eastAsia="zh-CN"/>
        </w:rPr>
        <w:t>027-87820788</w:t>
      </w:r>
      <w:r>
        <w:rPr>
          <w:rFonts w:hint="eastAsia" w:asciiTheme="minorEastAsia" w:hAnsiTheme="minorEastAsia" w:eastAsiaTheme="minorEastAsia" w:cstheme="minorEastAsia"/>
          <w:color w:val="auto"/>
          <w:sz w:val="21"/>
          <w:szCs w:val="21"/>
          <w:lang w:eastAsia="zh-CN"/>
        </w:rPr>
        <w:t>　　</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24" w:name="_Toc24714"/>
      <w:bookmarkStart w:id="25" w:name="_Toc32576"/>
      <w:r>
        <w:rPr>
          <w:rFonts w:hint="eastAsia" w:asciiTheme="minorEastAsia" w:hAnsiTheme="minorEastAsia" w:eastAsiaTheme="minorEastAsia" w:cstheme="minorEastAsia"/>
          <w:color w:val="auto"/>
          <w:sz w:val="21"/>
          <w:szCs w:val="21"/>
        </w:rPr>
        <w:t>注意事项</w:t>
      </w:r>
      <w:bookmarkEnd w:id="24"/>
      <w:bookmarkEnd w:id="25"/>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color w:val="auto"/>
          <w:szCs w:val="21"/>
          <w:lang w:val="en-US" w:eastAsia="zh-CN"/>
        </w:rPr>
        <w:t>1、供应商在获取本项目竞争性磋商文件前须仔细阅读资格要求内容，并按磋商文件规定要求在响应文件中递交合格有</w:t>
      </w:r>
      <w:r>
        <w:rPr>
          <w:rFonts w:hint="eastAsia" w:asciiTheme="minorEastAsia" w:hAnsiTheme="minorEastAsia" w:eastAsiaTheme="minorEastAsia" w:cstheme="minorEastAsia"/>
          <w:szCs w:val="21"/>
          <w:lang w:val="en-US" w:eastAsia="zh-CN"/>
        </w:rPr>
        <w:t>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日</w:t>
      </w:r>
    </w:p>
    <w:p>
      <w:pPr>
        <w:spacing w:line="360" w:lineRule="auto"/>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21"/>
        <w:rPr>
          <w:rFonts w:hint="eastAsia" w:asciiTheme="minorEastAsia" w:hAnsiTheme="minorEastAsia" w:eastAsiaTheme="minorEastAsia" w:cstheme="minorEastAsia"/>
        </w:rPr>
      </w:pPr>
    </w:p>
    <w:p>
      <w:pPr>
        <w:numPr>
          <w:ilvl w:val="0"/>
          <w:numId w:val="4"/>
        </w:numPr>
        <w:jc w:val="center"/>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2"/>
          <w:szCs w:val="32"/>
        </w:rPr>
      </w:pPr>
      <w:bookmarkStart w:id="26" w:name="_Toc16155"/>
      <w:r>
        <w:rPr>
          <w:rFonts w:hint="eastAsia" w:asciiTheme="minorEastAsia" w:hAnsiTheme="minorEastAsia" w:eastAsiaTheme="minorEastAsia" w:cstheme="minorEastAsia"/>
          <w:sz w:val="36"/>
          <w:szCs w:val="36"/>
        </w:rPr>
        <w:t>供应商须知</w:t>
      </w:r>
      <w:bookmarkEnd w:id="26"/>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27" w:name="_Toc14855"/>
      <w:r>
        <w:rPr>
          <w:rFonts w:hint="eastAsia" w:asciiTheme="minorEastAsia" w:hAnsiTheme="minorEastAsia" w:eastAsiaTheme="minorEastAsia" w:cstheme="minorEastAsia"/>
          <w:b/>
          <w:szCs w:val="21"/>
        </w:rPr>
        <w:t>《供应商须知前附表》</w:t>
      </w:r>
      <w:bookmarkEnd w:id="27"/>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jc w:val="left"/>
              <w:rPr>
                <w:rFonts w:hint="eastAsia" w:asciiTheme="minorEastAsia" w:hAnsiTheme="minorEastAsia" w:eastAsiaTheme="minorEastAsia" w:cstheme="minorEastAsia"/>
                <w:color w:val="auto"/>
                <w:sz w:val="21"/>
                <w:szCs w:val="21"/>
                <w:lang w:val="zh-CN"/>
              </w:rPr>
            </w:pPr>
            <w:r>
              <w:rPr>
                <w:rFonts w:hint="eastAsia" w:ascii="宋体" w:hAnsi="宋体"/>
                <w:color w:val="auto"/>
                <w:szCs w:val="21"/>
                <w:lang w:val="zh-CN"/>
              </w:rPr>
              <w:t>武汉工程大学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5"/>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rPr>
                <w:rFonts w:hint="eastAsia" w:asciiTheme="minorEastAsia" w:hAnsiTheme="minorEastAsia" w:eastAsiaTheme="minorEastAsia" w:cstheme="minorEastAsia"/>
                <w:color w:val="auto"/>
                <w:sz w:val="21"/>
                <w:szCs w:val="21"/>
                <w:lang w:val="zh-CN"/>
              </w:rPr>
            </w:pPr>
            <w:r>
              <w:rPr>
                <w:rFonts w:hint="eastAsia" w:ascii="宋体" w:hAnsi="宋体"/>
                <w:color w:val="auto"/>
                <w:szCs w:val="21"/>
              </w:rPr>
              <w:t>武汉工程大学上级监管机构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根据国家发展与改革委员会办公厅发改办价格【2003】857号文的规定，经与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协商，由</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按国家发展计划委员会计价格【2002】1980号文规定</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取费标准</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lang w:val="en-US" w:eastAsia="zh-CN"/>
              </w:rPr>
              <w:t>61.7%</w:t>
            </w:r>
            <w:r>
              <w:rPr>
                <w:rFonts w:hint="eastAsia" w:asciiTheme="minorEastAsia" w:hAnsiTheme="minorEastAsia" w:eastAsiaTheme="minorEastAsia" w:cstheme="minorEastAsia"/>
                <w:sz w:val="21"/>
                <w:szCs w:val="21"/>
              </w:rPr>
              <w:t>向采</w:t>
            </w:r>
            <w:r>
              <w:rPr>
                <w:rFonts w:hint="eastAsia" w:asciiTheme="minorEastAsia" w:hAnsiTheme="minorEastAsia" w:eastAsiaTheme="minorEastAsia" w:cstheme="minorEastAsia"/>
                <w:color w:val="auto"/>
                <w:sz w:val="21"/>
                <w:szCs w:val="21"/>
              </w:rPr>
              <w:t>购代理机构支付招标代理服务费。招标代理服务费由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在领取成交通知书的同时，向采购代理机构支付。详见成交公告，本项目服务期三年。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napToGrid w:val="0"/>
                <w:kern w:val="0"/>
                <w:sz w:val="21"/>
                <w:szCs w:val="21"/>
                <w:lang w:val="zh-CN"/>
              </w:rPr>
              <w:t>提疑截止时间</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en-US" w:eastAsia="zh-CN"/>
              </w:rPr>
              <w:t>供应商</w:t>
            </w:r>
            <w:r>
              <w:rPr>
                <w:rFonts w:hint="eastAsia" w:asciiTheme="minorEastAsia" w:hAnsiTheme="minorEastAsia" w:eastAsiaTheme="minorEastAsia" w:cstheme="minorEastAsia"/>
                <w:b w:val="0"/>
                <w:bCs w:val="0"/>
                <w:sz w:val="21"/>
                <w:szCs w:val="21"/>
                <w:lang w:val="zh-CN"/>
              </w:rPr>
              <w:t>对</w:t>
            </w:r>
            <w:r>
              <w:rPr>
                <w:rFonts w:hint="eastAsia" w:asciiTheme="minorEastAsia" w:hAnsiTheme="minorEastAsia" w:eastAsiaTheme="minorEastAsia" w:cstheme="minorEastAsia"/>
                <w:b w:val="0"/>
                <w:bCs w:val="0"/>
                <w:sz w:val="21"/>
                <w:szCs w:val="21"/>
                <w:lang w:val="en-US" w:eastAsia="zh-CN"/>
              </w:rPr>
              <w:t>磋商</w:t>
            </w:r>
            <w:r>
              <w:rPr>
                <w:rFonts w:hint="eastAsia" w:asciiTheme="minorEastAsia" w:hAnsiTheme="minorEastAsia" w:eastAsiaTheme="minorEastAsia" w:cstheme="minorEastAsia"/>
                <w:b w:val="0"/>
                <w:bCs w:val="0"/>
                <w:sz w:val="21"/>
                <w:szCs w:val="21"/>
                <w:lang w:val="zh-CN"/>
              </w:rPr>
              <w:t>文件有异议</w:t>
            </w:r>
            <w:r>
              <w:rPr>
                <w:rFonts w:hint="eastAsia" w:asciiTheme="minorEastAsia" w:hAnsiTheme="minorEastAsia" w:eastAsiaTheme="minorEastAsia" w:cstheme="minorEastAsia"/>
                <w:b w:val="0"/>
                <w:bCs w:val="0"/>
                <w:sz w:val="21"/>
                <w:szCs w:val="21"/>
                <w:lang w:val="en-US" w:eastAsia="zh-CN"/>
              </w:rPr>
              <w:t>或疑问</w:t>
            </w:r>
            <w:r>
              <w:rPr>
                <w:rFonts w:hint="eastAsia" w:asciiTheme="minorEastAsia" w:hAnsiTheme="minorEastAsia" w:eastAsiaTheme="minorEastAsia" w:cstheme="minorEastAsia"/>
                <w:b w:val="0"/>
                <w:bCs w:val="0"/>
                <w:sz w:val="21"/>
                <w:szCs w:val="21"/>
                <w:lang w:val="zh-CN"/>
              </w:rPr>
              <w:t>的，均应以书面形式在</w:t>
            </w:r>
          </w:p>
          <w:p>
            <w:pPr>
              <w:pStyle w:val="25"/>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2020年</w:t>
            </w:r>
            <w:r>
              <w:rPr>
                <w:rFonts w:hint="eastAsia" w:asciiTheme="minorEastAsia" w:hAnsiTheme="minorEastAsia" w:eastAsiaTheme="minorEastAsia" w:cstheme="minorEastAsia"/>
                <w:b w:val="0"/>
                <w:bCs w:val="0"/>
                <w:sz w:val="21"/>
                <w:szCs w:val="21"/>
                <w:lang w:val="en-US" w:eastAsia="zh-CN"/>
              </w:rPr>
              <w:t>11</w:t>
            </w:r>
            <w:r>
              <w:rPr>
                <w:rFonts w:hint="eastAsia" w:asciiTheme="minorEastAsia" w:hAnsiTheme="minorEastAsia" w:eastAsiaTheme="minorEastAsia" w:cstheme="minorEastAsia"/>
                <w:b w:val="0"/>
                <w:bCs w:val="0"/>
                <w:sz w:val="21"/>
                <w:szCs w:val="21"/>
                <w:lang w:val="zh-CN"/>
              </w:rPr>
              <w:t>月</w:t>
            </w:r>
            <w:r>
              <w:rPr>
                <w:rFonts w:hint="eastAsia" w:asciiTheme="minorEastAsia" w:hAnsiTheme="minorEastAsia" w:eastAsiaTheme="minorEastAsia" w:cstheme="minorEastAsia"/>
                <w:b w:val="0"/>
                <w:bCs w:val="0"/>
                <w:sz w:val="21"/>
                <w:szCs w:val="21"/>
                <w:lang w:val="en-US" w:eastAsia="zh-CN"/>
              </w:rPr>
              <w:t>9</w:t>
            </w:r>
            <w:r>
              <w:rPr>
                <w:rFonts w:hint="eastAsia" w:asciiTheme="minorEastAsia" w:hAnsiTheme="minorEastAsia" w:eastAsiaTheme="minorEastAsia" w:cstheme="minorEastAsia"/>
                <w:b w:val="0"/>
                <w:bCs w:val="0"/>
                <w:sz w:val="21"/>
                <w:szCs w:val="21"/>
                <w:lang w:val="zh-CN"/>
              </w:rPr>
              <w:t>日</w:t>
            </w:r>
            <w:r>
              <w:rPr>
                <w:rFonts w:hint="eastAsia" w:asciiTheme="minorEastAsia" w:hAnsiTheme="minorEastAsia" w:eastAsiaTheme="minorEastAsia" w:cstheme="minorEastAsia"/>
                <w:b w:val="0"/>
                <w:bCs w:val="0"/>
                <w:sz w:val="21"/>
                <w:szCs w:val="21"/>
                <w:lang w:val="en-US" w:eastAsia="zh-CN"/>
              </w:rPr>
              <w:t>17</w:t>
            </w:r>
            <w:r>
              <w:rPr>
                <w:rFonts w:hint="eastAsia" w:asciiTheme="minorEastAsia" w:hAnsiTheme="minorEastAsia" w:eastAsiaTheme="minorEastAsia" w:cstheme="minorEastAsia"/>
                <w:b w:val="0"/>
                <w:bCs w:val="0"/>
                <w:sz w:val="21"/>
                <w:szCs w:val="21"/>
                <w:lang w:val="zh-CN"/>
              </w:rPr>
              <w:t>:</w:t>
            </w:r>
            <w:r>
              <w:rPr>
                <w:rFonts w:hint="eastAsia" w:asciiTheme="minorEastAsia" w:hAnsiTheme="minorEastAsia" w:eastAsia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时间</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对多</w:t>
            </w:r>
            <w:r>
              <w:rPr>
                <w:rFonts w:hint="eastAsia" w:asciiTheme="minorEastAsia" w:hAnsiTheme="minorEastAsia" w:eastAsiaTheme="minorEastAsia" w:cstheme="minorEastAsia"/>
                <w:snapToGrid w:val="0"/>
                <w:kern w:val="0"/>
                <w:sz w:val="21"/>
                <w:szCs w:val="21"/>
                <w:lang w:val="en-US" w:eastAsia="zh-CN"/>
              </w:rPr>
              <w:t>包</w:t>
            </w:r>
            <w:r>
              <w:rPr>
                <w:rFonts w:hint="eastAsia" w:asciiTheme="minorEastAsia" w:hAnsiTheme="minorEastAsia" w:eastAsiaTheme="minorEastAsia" w:cstheme="minorEastAsia"/>
                <w:snapToGrid w:val="0"/>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详见</w:t>
            </w:r>
            <w:r>
              <w:rPr>
                <w:rFonts w:hint="eastAsia" w:asciiTheme="minorEastAsia" w:hAnsiTheme="minorEastAsia" w:eastAsiaTheme="minorEastAsia" w:cstheme="minorEastAsia"/>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本次采购  </w:t>
            </w:r>
            <w:r>
              <w:rPr>
                <w:rFonts w:hint="eastAsia" w:asciiTheme="minorEastAsia" w:hAnsiTheme="minorEastAsia" w:eastAsiaTheme="minorEastAsia" w:cstheme="minorEastAsia"/>
                <w:sz w:val="21"/>
                <w:szCs w:val="21"/>
                <w:u w:val="single"/>
                <w:lang w:val="zh-CN"/>
              </w:rPr>
              <w:t>不接受</w:t>
            </w:r>
            <w:r>
              <w:rPr>
                <w:rFonts w:hint="eastAsia" w:asciiTheme="minorEastAsia" w:hAnsiTheme="minorEastAsia" w:eastAsiaTheme="minorEastAsia" w:cstheme="minorEastAsia"/>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w:t>
            </w:r>
            <w:r>
              <w:rPr>
                <w:rFonts w:hint="eastAsia" w:asciiTheme="minorEastAsia" w:hAnsiTheme="minorEastAsia" w:eastAsiaTheme="minorEastAsia" w:cstheme="minorEastAsia"/>
                <w:sz w:val="21"/>
                <w:szCs w:val="21"/>
                <w:lang w:val="en-US" w:eastAsia="zh-CN"/>
              </w:rPr>
              <w:t>竞争性磋商</w:t>
            </w:r>
            <w:r>
              <w:rPr>
                <w:rFonts w:hint="eastAsia" w:asciiTheme="minorEastAsia" w:hAnsiTheme="minorEastAsia" w:eastAsiaTheme="minorEastAsia" w:cstheme="minorEastAsia"/>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良好的商业信誉证明材料（自拟），财务会计制度指财务状况报告（供应商是法人的，应提供前一年度经审计的财务报告，或其</w:t>
            </w:r>
            <w:r>
              <w:rPr>
                <w:rFonts w:hint="eastAsia" w:asciiTheme="minorEastAsia" w:hAnsiTheme="minorEastAsia" w:eastAsiaTheme="minorEastAsia" w:cstheme="minorEastAsia"/>
                <w:color w:val="auto"/>
                <w:sz w:val="21"/>
                <w:szCs w:val="21"/>
                <w:lang w:val="zh-CN"/>
              </w:rPr>
              <w:t>基本</w:t>
            </w:r>
            <w:r>
              <w:rPr>
                <w:rFonts w:hint="eastAsia" w:asciiTheme="minorEastAsia" w:hAnsiTheme="minorEastAsia" w:eastAsiaTheme="minorEastAsia" w:cstheme="minorEastAsia"/>
                <w:sz w:val="21"/>
                <w:szCs w:val="21"/>
                <w:lang w:val="zh-CN"/>
              </w:rPr>
              <w:t>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供应商不得存在的其他情形</w:t>
            </w:r>
          </w:p>
        </w:tc>
        <w:tc>
          <w:tcPr>
            <w:tcW w:w="6130" w:type="dxa"/>
            <w:vAlign w:val="center"/>
          </w:tcPr>
          <w:p>
            <w:pPr>
              <w:numPr>
                <w:ilvl w:val="0"/>
                <w:numId w:val="9"/>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与采购人存在利害关系可能影响</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shd w:val="clear" w:color="auto" w:fill="FFFFFF"/>
                <w:lang w:val="en-US" w:eastAsia="zh-CN"/>
              </w:rPr>
              <w:t>WORD</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shd w:val="clear" w:color="auto" w:fill="FFFFFF"/>
                <w:lang w:val="en-US" w:eastAsia="zh-CN"/>
              </w:rPr>
              <w:t>和</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ind w:firstLine="840" w:firstLineChars="400"/>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提供的报价一览表、优惠声明（如有）</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rPr>
              <w:t>本条款细化为：响应文件</w:t>
            </w:r>
            <w:r>
              <w:rPr>
                <w:rFonts w:hint="eastAsia" w:asciiTheme="minorEastAsia" w:hAnsiTheme="minorEastAsia" w:eastAsiaTheme="minorEastAsia" w:cstheme="minorEastAsia"/>
                <w:kern w:val="0"/>
                <w:sz w:val="21"/>
                <w:szCs w:val="21"/>
                <w:lang w:eastAsia="zh-CN"/>
              </w:rPr>
              <w:t>正本</w:t>
            </w:r>
            <w:r>
              <w:rPr>
                <w:rFonts w:hint="eastAsia" w:asciiTheme="minorEastAsia" w:hAnsiTheme="minorEastAsia" w:eastAsiaTheme="minorEastAsia" w:cstheme="minorEastAsia"/>
                <w:kern w:val="0"/>
                <w:sz w:val="21"/>
                <w:szCs w:val="21"/>
              </w:rPr>
              <w:t>需逐页加盖供应商单位公章，不得使用单位其他专用章代替。</w:t>
            </w:r>
            <w:r>
              <w:rPr>
                <w:rFonts w:hint="eastAsia" w:asciiTheme="minorEastAsia" w:hAnsiTheme="minorEastAsia" w:eastAsiaTheme="minorEastAsia" w:cstheme="minorEastAsia"/>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为磋商小组详细介绍供应商公司情况及项目了解情况的</w:t>
            </w:r>
            <w:r>
              <w:rPr>
                <w:rFonts w:hint="eastAsia" w:asciiTheme="minorEastAsia" w:hAnsiTheme="minorEastAsia" w:eastAsiaTheme="minorEastAsia" w:cstheme="minorEastAsia"/>
                <w:b/>
                <w:bCs/>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竞标报价应包括完成该</w:t>
            </w:r>
            <w:r>
              <w:rPr>
                <w:rFonts w:hint="eastAsia" w:asciiTheme="minorEastAsia" w:hAnsiTheme="minorEastAsia" w:eastAsiaTheme="minorEastAsia" w:cstheme="minorEastAsia"/>
                <w:color w:val="auto"/>
                <w:sz w:val="21"/>
                <w:szCs w:val="21"/>
                <w:lang w:val="en-US" w:eastAsia="zh-CN"/>
              </w:rPr>
              <w:t>项目采购范围内的</w:t>
            </w:r>
            <w:r>
              <w:rPr>
                <w:rFonts w:hint="eastAsia" w:asciiTheme="minorEastAsia" w:hAnsiTheme="minorEastAsia" w:eastAsiaTheme="minorEastAsia" w:cstheme="minorEastAsia"/>
                <w:color w:val="auto"/>
                <w:sz w:val="21"/>
                <w:szCs w:val="21"/>
              </w:rPr>
              <w:t>所有费用</w:t>
            </w:r>
            <w:r>
              <w:rPr>
                <w:rFonts w:hint="eastAsia" w:asciiTheme="minorEastAsia" w:hAnsiTheme="minorEastAsia" w:eastAsiaTheme="minorEastAsia" w:cstheme="minorEastAsia"/>
                <w:color w:val="auto"/>
                <w:sz w:val="21"/>
                <w:szCs w:val="21"/>
                <w:lang w:val="zh-CN"/>
              </w:rPr>
              <w:t>及</w:t>
            </w:r>
            <w:r>
              <w:rPr>
                <w:rFonts w:hint="eastAsia" w:asciiTheme="minorEastAsia" w:hAnsiTheme="minorEastAsia" w:eastAsiaTheme="minorEastAsia" w:cstheme="minorEastAsia"/>
                <w:color w:val="auto"/>
                <w:sz w:val="21"/>
                <w:szCs w:val="21"/>
                <w:lang w:val="en-US" w:eastAsia="zh-CN"/>
              </w:rPr>
              <w:t>后期</w:t>
            </w:r>
            <w:r>
              <w:rPr>
                <w:rFonts w:hint="eastAsia" w:asciiTheme="minorEastAsia" w:hAnsiTheme="minorEastAsia" w:eastAsiaTheme="minorEastAsia" w:cstheme="minorEastAsia"/>
                <w:color w:val="auto"/>
                <w:sz w:val="21"/>
                <w:szCs w:val="21"/>
                <w:lang w:val="zh-CN"/>
              </w:rPr>
              <w:t>质保期间等一切服务费用及其他售后服务等全部相关工作</w:t>
            </w:r>
            <w:r>
              <w:rPr>
                <w:rFonts w:hint="eastAsia" w:asciiTheme="minorEastAsia" w:hAnsiTheme="minorEastAsia" w:eastAsiaTheme="minorEastAsia" w:cstheme="minorEastAsia"/>
                <w:color w:val="auto"/>
                <w:sz w:val="21"/>
                <w:szCs w:val="21"/>
                <w:lang w:val="en-US" w:eastAsia="zh-CN"/>
              </w:rPr>
              <w:t>的全费用</w:t>
            </w:r>
            <w:r>
              <w:rPr>
                <w:rFonts w:hint="eastAsia" w:asciiTheme="minorEastAsia" w:hAnsiTheme="minorEastAsia" w:eastAsiaTheme="minorEastAsia" w:cstheme="minorEastAsia"/>
                <w:color w:val="auto"/>
                <w:sz w:val="21"/>
                <w:szCs w:val="21"/>
                <w:lang w:val="zh-CN"/>
              </w:rPr>
              <w:t>。合同签订后采购人未提出增加工作内容的情况下，合同价不得调整。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420" w:firstLineChars="20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bl>
    <w:p>
      <w:pPr>
        <w:rPr>
          <w:rFonts w:hint="eastAsia" w:asciiTheme="minorEastAsia" w:hAnsiTheme="minorEastAsia" w:eastAsiaTheme="minorEastAsia" w:cstheme="minorEastAsia"/>
          <w:b/>
          <w:szCs w:val="21"/>
        </w:rPr>
      </w:pPr>
      <w:bookmarkStart w:id="28" w:name="_Toc21328"/>
      <w:r>
        <w:rPr>
          <w:rFonts w:hint="eastAsia" w:asciiTheme="minorEastAsia" w:hAnsiTheme="minorEastAsia" w:eastAsiaTheme="minorEastAsia" w:cstheme="minorEastAsia"/>
          <w:b/>
          <w:szCs w:val="21"/>
        </w:rPr>
        <w:br w:type="page"/>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供应商须知</w:t>
      </w:r>
      <w:bookmarkEnd w:id="28"/>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29" w:name="_Toc13404"/>
      <w:r>
        <w:rPr>
          <w:rFonts w:hint="eastAsia" w:asciiTheme="minorEastAsia" w:hAnsiTheme="minorEastAsia" w:eastAsiaTheme="minorEastAsia" w:cstheme="minorEastAsia"/>
          <w:b/>
          <w:szCs w:val="21"/>
        </w:rPr>
        <w:t>总则</w:t>
      </w:r>
      <w:bookmarkEnd w:id="29"/>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0" w:name="_Toc24622"/>
      <w:bookmarkStart w:id="31" w:name="_Toc27243"/>
      <w:r>
        <w:rPr>
          <w:rFonts w:hint="eastAsia" w:asciiTheme="minorEastAsia" w:hAnsiTheme="minorEastAsia" w:eastAsiaTheme="minorEastAsia" w:cstheme="minorEastAsia"/>
          <w:b/>
          <w:szCs w:val="21"/>
        </w:rPr>
        <w:t>适用法律及范围</w:t>
      </w:r>
      <w:bookmarkEnd w:id="30"/>
      <w:bookmarkEnd w:id="31"/>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2" w:name="_Toc13704"/>
      <w:bookmarkStart w:id="33" w:name="_Toc30547"/>
      <w:r>
        <w:rPr>
          <w:rFonts w:hint="eastAsia" w:asciiTheme="minorEastAsia" w:hAnsiTheme="minorEastAsia" w:eastAsiaTheme="minorEastAsia" w:cstheme="minorEastAsia"/>
          <w:b/>
          <w:szCs w:val="21"/>
        </w:rPr>
        <w:t>定义</w:t>
      </w:r>
      <w:bookmarkEnd w:id="32"/>
      <w:bookmarkEnd w:id="33"/>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w:t>
      </w:r>
      <w:r>
        <w:rPr>
          <w:rFonts w:hint="eastAsia" w:asciiTheme="minorEastAsia" w:hAnsiTheme="minorEastAsia" w:eastAsiaTheme="minorEastAsia" w:cstheme="minorEastAsia"/>
          <w:snapToGrid w:val="0"/>
          <w:color w:val="auto"/>
          <w:kern w:val="0"/>
          <w:szCs w:val="21"/>
          <w:lang w:val="zh-CN"/>
        </w:rPr>
        <w:t>磋商小组评</w:t>
      </w:r>
      <w:r>
        <w:rPr>
          <w:rFonts w:hint="eastAsia" w:asciiTheme="minorEastAsia" w:hAnsiTheme="minorEastAsia" w:eastAsiaTheme="minorEastAsia" w:cstheme="minorEastAsia"/>
          <w:snapToGrid w:val="0"/>
          <w:kern w:val="0"/>
          <w:szCs w:val="21"/>
          <w:lang w:val="zh-CN"/>
        </w:rPr>
        <w:t>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4" w:name="_Toc6652"/>
      <w:bookmarkStart w:id="35" w:name="_Toc30503"/>
      <w:r>
        <w:rPr>
          <w:rFonts w:hint="eastAsia" w:asciiTheme="minorEastAsia" w:hAnsiTheme="minorEastAsia" w:eastAsiaTheme="minorEastAsia" w:cstheme="minorEastAsia"/>
          <w:b/>
          <w:snapToGrid w:val="0"/>
          <w:kern w:val="0"/>
          <w:szCs w:val="21"/>
          <w:lang w:val="zh-CN"/>
        </w:rPr>
        <w:t>工程、货物及服务</w:t>
      </w:r>
      <w:bookmarkEnd w:id="34"/>
      <w:bookmarkEnd w:id="35"/>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6" w:name="_Toc9974"/>
      <w:bookmarkStart w:id="37" w:name="_Toc12871"/>
      <w:r>
        <w:rPr>
          <w:rFonts w:hint="eastAsia" w:asciiTheme="minorEastAsia" w:hAnsiTheme="minorEastAsia" w:eastAsiaTheme="minorEastAsia" w:cstheme="minorEastAsia"/>
          <w:b/>
          <w:szCs w:val="21"/>
        </w:rPr>
        <w:t>费用</w:t>
      </w:r>
      <w:bookmarkEnd w:id="36"/>
      <w:bookmarkEnd w:id="37"/>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w:t>
      </w:r>
      <w:r>
        <w:rPr>
          <w:rFonts w:hint="eastAsia" w:asciiTheme="minorEastAsia" w:hAnsiTheme="minorEastAsia" w:eastAsiaTheme="minorEastAsia" w:cstheme="minorEastAsia"/>
          <w:color w:val="auto"/>
          <w:szCs w:val="21"/>
        </w:rPr>
        <w:t>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合计收费=179500.000元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38" w:name="_Toc32483"/>
      <w:r>
        <w:rPr>
          <w:rFonts w:hint="eastAsia" w:asciiTheme="minorEastAsia" w:hAnsiTheme="minorEastAsia" w:eastAsiaTheme="minorEastAsia" w:cstheme="minorEastAsia"/>
          <w:b/>
          <w:color w:val="auto"/>
          <w:szCs w:val="21"/>
        </w:rPr>
        <w:t>竞争性磋商采购文件</w:t>
      </w:r>
      <w:bookmarkEnd w:id="38"/>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9" w:name="_Toc4547"/>
      <w:bookmarkStart w:id="40" w:name="_Toc25932"/>
      <w:r>
        <w:rPr>
          <w:rFonts w:hint="eastAsia" w:asciiTheme="minorEastAsia" w:hAnsiTheme="minorEastAsia" w:eastAsiaTheme="minorEastAsia" w:cstheme="minorEastAsia"/>
          <w:b/>
          <w:color w:val="auto"/>
          <w:szCs w:val="21"/>
        </w:rPr>
        <w:t>竞争性磋商采购文件的构成</w:t>
      </w:r>
      <w:bookmarkEnd w:id="39"/>
      <w:bookmarkEnd w:id="40"/>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1" w:name="_Toc29700"/>
      <w:bookmarkStart w:id="42" w:name="_Toc26439"/>
      <w:r>
        <w:rPr>
          <w:rFonts w:hint="eastAsia" w:asciiTheme="minorEastAsia" w:hAnsiTheme="minorEastAsia" w:eastAsiaTheme="minorEastAsia" w:cstheme="minorEastAsia"/>
          <w:b/>
          <w:snapToGrid w:val="0"/>
          <w:color w:val="auto"/>
          <w:kern w:val="0"/>
          <w:szCs w:val="21"/>
          <w:lang w:val="zh-CN"/>
        </w:rPr>
        <w:t>竞争性磋商采购文件的澄清</w:t>
      </w:r>
      <w:bookmarkEnd w:id="41"/>
      <w:bookmarkEnd w:id="42"/>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w:t>
      </w:r>
      <w:r>
        <w:rPr>
          <w:rFonts w:hint="eastAsia" w:asciiTheme="minorEastAsia" w:hAnsiTheme="minorEastAsia" w:eastAsiaTheme="minorEastAsia" w:cstheme="minorEastAsia"/>
          <w:snapToGrid w:val="0"/>
          <w:kern w:val="0"/>
          <w:szCs w:val="21"/>
          <w:lang w:val="zh-CN"/>
        </w:rPr>
        <w:t>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3" w:name="_Toc13283"/>
      <w:bookmarkStart w:id="44" w:name="_Toc31761"/>
      <w:r>
        <w:rPr>
          <w:rFonts w:hint="eastAsia" w:asciiTheme="minorEastAsia" w:hAnsiTheme="minorEastAsia" w:eastAsiaTheme="minorEastAsia" w:cstheme="minorEastAsia"/>
          <w:b/>
          <w:snapToGrid w:val="0"/>
          <w:kern w:val="0"/>
          <w:szCs w:val="21"/>
          <w:lang w:val="zh-CN"/>
        </w:rPr>
        <w:t>竞争性磋商采购文件的修改</w:t>
      </w:r>
      <w:bookmarkEnd w:id="43"/>
      <w:bookmarkEnd w:id="44"/>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5" w:name="_Toc16348"/>
      <w:r>
        <w:rPr>
          <w:rFonts w:hint="eastAsia" w:asciiTheme="minorEastAsia" w:hAnsiTheme="minorEastAsia" w:eastAsiaTheme="minorEastAsia" w:cstheme="minorEastAsia"/>
          <w:b/>
          <w:szCs w:val="21"/>
        </w:rPr>
        <w:t>竞争性磋商响应文件</w:t>
      </w:r>
      <w:bookmarkEnd w:id="45"/>
    </w:p>
    <w:p>
      <w:pPr>
        <w:numPr>
          <w:ilvl w:val="0"/>
          <w:numId w:val="11"/>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46" w:name="_Toc19000"/>
      <w:bookmarkStart w:id="47" w:name="_Toc30987"/>
      <w:r>
        <w:rPr>
          <w:rFonts w:hint="eastAsia" w:asciiTheme="minorEastAsia" w:hAnsiTheme="minorEastAsia" w:eastAsiaTheme="minorEastAsia" w:cstheme="minorEastAsia"/>
          <w:b/>
          <w:snapToGrid w:val="0"/>
          <w:kern w:val="0"/>
          <w:szCs w:val="21"/>
          <w:lang w:val="zh-CN"/>
        </w:rPr>
        <w:t>语言和计量单位</w:t>
      </w:r>
      <w:bookmarkEnd w:id="46"/>
      <w:bookmarkEnd w:id="47"/>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8" w:name="_Toc21819"/>
      <w:bookmarkStart w:id="49" w:name="_Toc32272"/>
      <w:r>
        <w:rPr>
          <w:rFonts w:hint="eastAsia" w:asciiTheme="minorEastAsia" w:hAnsiTheme="minorEastAsia" w:eastAsiaTheme="minorEastAsia" w:cstheme="minorEastAsia"/>
          <w:b/>
          <w:snapToGrid w:val="0"/>
          <w:kern w:val="0"/>
          <w:szCs w:val="21"/>
          <w:lang w:val="zh-CN"/>
        </w:rPr>
        <w:t>竞争性磋商响应文件的构成</w:t>
      </w:r>
      <w:bookmarkEnd w:id="48"/>
      <w:bookmarkEnd w:id="49"/>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0" w:name="_Toc25217"/>
      <w:bookmarkStart w:id="51" w:name="_Toc22301"/>
      <w:r>
        <w:rPr>
          <w:rFonts w:hint="eastAsia" w:asciiTheme="minorEastAsia" w:hAnsiTheme="minorEastAsia" w:eastAsiaTheme="minorEastAsia" w:cstheme="minorEastAsia"/>
          <w:b/>
          <w:snapToGrid w:val="0"/>
          <w:kern w:val="0"/>
          <w:szCs w:val="21"/>
          <w:lang w:val="zh-CN"/>
        </w:rPr>
        <w:t>竞争性磋商响应文件的编制</w:t>
      </w:r>
      <w:bookmarkEnd w:id="50"/>
      <w:bookmarkEnd w:id="51"/>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2" w:name="_Toc17700"/>
      <w:bookmarkStart w:id="53" w:name="_Toc24544"/>
      <w:r>
        <w:rPr>
          <w:rFonts w:hint="eastAsia" w:asciiTheme="minorEastAsia" w:hAnsiTheme="minorEastAsia" w:eastAsiaTheme="minorEastAsia" w:cstheme="minorEastAsia"/>
          <w:b/>
          <w:snapToGrid w:val="0"/>
          <w:kern w:val="0"/>
          <w:szCs w:val="21"/>
          <w:lang w:val="zh-CN"/>
        </w:rPr>
        <w:t>磋商报价</w:t>
      </w:r>
      <w:bookmarkEnd w:id="52"/>
      <w:bookmarkEnd w:id="53"/>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4" w:name="_Toc6176"/>
      <w:bookmarkStart w:id="55" w:name="_Toc19133"/>
      <w:r>
        <w:rPr>
          <w:rFonts w:hint="eastAsia" w:asciiTheme="minorEastAsia" w:hAnsiTheme="minorEastAsia" w:eastAsiaTheme="minorEastAsia" w:cstheme="minorEastAsia"/>
          <w:b/>
          <w:snapToGrid w:val="0"/>
          <w:kern w:val="0"/>
          <w:szCs w:val="21"/>
          <w:lang w:val="zh-CN"/>
        </w:rPr>
        <w:t>备选方案</w:t>
      </w:r>
      <w:bookmarkEnd w:id="54"/>
      <w:bookmarkEnd w:id="55"/>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6" w:name="_Toc3324"/>
      <w:bookmarkStart w:id="57" w:name="_Toc2772"/>
      <w:r>
        <w:rPr>
          <w:rFonts w:hint="eastAsia" w:asciiTheme="minorEastAsia" w:hAnsiTheme="minorEastAsia" w:eastAsiaTheme="minorEastAsia" w:cstheme="minorEastAsia"/>
          <w:b/>
          <w:snapToGrid w:val="0"/>
          <w:kern w:val="0"/>
          <w:szCs w:val="21"/>
          <w:lang w:val="zh-CN"/>
        </w:rPr>
        <w:t>联合体</w:t>
      </w:r>
      <w:bookmarkEnd w:id="56"/>
      <w:bookmarkEnd w:id="57"/>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8" w:name="_Toc2434"/>
      <w:bookmarkStart w:id="59" w:name="_Toc22554"/>
      <w:r>
        <w:rPr>
          <w:rFonts w:hint="eastAsia" w:asciiTheme="minorEastAsia" w:hAnsiTheme="minorEastAsia" w:eastAsiaTheme="minorEastAsia" w:cstheme="minorEastAsia"/>
          <w:b/>
          <w:snapToGrid w:val="0"/>
          <w:kern w:val="0"/>
          <w:szCs w:val="21"/>
          <w:lang w:val="zh-CN"/>
        </w:rPr>
        <w:t>供应商资格证明文件</w:t>
      </w:r>
      <w:bookmarkEnd w:id="58"/>
      <w:bookmarkEnd w:id="59"/>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0" w:name="_Toc1819"/>
      <w:bookmarkStart w:id="61"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60"/>
      <w:bookmarkEnd w:id="61"/>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2" w:name="_Toc27068"/>
      <w:bookmarkStart w:id="63" w:name="_Toc14153"/>
      <w:r>
        <w:rPr>
          <w:rFonts w:hint="eastAsia" w:asciiTheme="minorEastAsia" w:hAnsiTheme="minorEastAsia" w:eastAsiaTheme="minorEastAsia" w:cstheme="minorEastAsia"/>
          <w:b/>
          <w:snapToGrid w:val="0"/>
          <w:color w:val="auto"/>
          <w:kern w:val="0"/>
          <w:szCs w:val="21"/>
          <w:lang w:val="zh-CN"/>
        </w:rPr>
        <w:t>磋商保证金</w:t>
      </w:r>
      <w:bookmarkEnd w:id="62"/>
      <w:bookmarkEnd w:id="63"/>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10777"/>
      <w:bookmarkStart w:id="65" w:name="_Toc5668"/>
      <w:r>
        <w:rPr>
          <w:rFonts w:hint="eastAsia" w:asciiTheme="minorEastAsia" w:hAnsiTheme="minorEastAsia" w:eastAsiaTheme="minorEastAsia" w:cstheme="minorEastAsia"/>
          <w:b/>
          <w:snapToGrid w:val="0"/>
          <w:kern w:val="0"/>
          <w:szCs w:val="21"/>
          <w:lang w:val="zh-CN"/>
        </w:rPr>
        <w:t>磋商有效期</w:t>
      </w:r>
      <w:bookmarkEnd w:id="64"/>
      <w:bookmarkEnd w:id="65"/>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22220"/>
      <w:bookmarkStart w:id="67"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6"/>
      <w:bookmarkEnd w:id="67"/>
    </w:p>
    <w:p>
      <w:pPr>
        <w:numPr>
          <w:ilvl w:val="1"/>
          <w:numId w:val="31"/>
        </w:numPr>
        <w:tabs>
          <w:tab w:val="left" w:pos="525"/>
          <w:tab w:val="clear" w:pos="465"/>
        </w:tabs>
        <w:autoSpaceDE w:val="0"/>
        <w:autoSpaceDN w:val="0"/>
        <w:adjustRightInd w:val="0"/>
        <w:spacing w:line="360" w:lineRule="auto"/>
        <w:ind w:left="540" w:hanging="540"/>
        <w:jc w:val="both"/>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numPr>
          <w:ilvl w:val="1"/>
          <w:numId w:val="31"/>
        </w:numPr>
        <w:tabs>
          <w:tab w:val="left" w:pos="525"/>
          <w:tab w:val="clear" w:pos="465"/>
        </w:tabs>
        <w:autoSpaceDE w:val="0"/>
        <w:autoSpaceDN w:val="0"/>
        <w:adjustRightInd w:val="0"/>
        <w:spacing w:line="360" w:lineRule="auto"/>
        <w:ind w:left="540" w:hanging="540"/>
        <w:jc w:val="both"/>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法定代表人身份证明书）、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8" w:name="_Toc21439"/>
      <w:r>
        <w:rPr>
          <w:rFonts w:hint="eastAsia" w:asciiTheme="minorEastAsia" w:hAnsiTheme="minorEastAsia" w:eastAsiaTheme="minorEastAsia" w:cstheme="minorEastAsia"/>
          <w:b/>
          <w:szCs w:val="21"/>
        </w:rPr>
        <w:t>竞争性磋商响应文件的递交</w:t>
      </w:r>
      <w:bookmarkEnd w:id="68"/>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9" w:name="_Toc27305"/>
      <w:bookmarkStart w:id="70" w:name="_Toc23671"/>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9"/>
      <w:bookmarkEnd w:id="70"/>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1" w:name="_Toc17857"/>
      <w:bookmarkStart w:id="72" w:name="_Toc27020"/>
      <w:r>
        <w:rPr>
          <w:rFonts w:hint="eastAsia" w:asciiTheme="minorEastAsia" w:hAnsiTheme="minorEastAsia" w:eastAsiaTheme="minorEastAsia" w:cstheme="minorEastAsia"/>
          <w:b/>
          <w:snapToGrid w:val="0"/>
          <w:kern w:val="0"/>
          <w:szCs w:val="21"/>
          <w:lang w:val="zh-CN"/>
        </w:rPr>
        <w:t>竞争性磋商响应文件的送达地点及截止时间</w:t>
      </w:r>
      <w:bookmarkEnd w:id="71"/>
      <w:bookmarkEnd w:id="72"/>
    </w:p>
    <w:p>
      <w:pPr>
        <w:keepNext w:val="0"/>
        <w:keepLines w:val="0"/>
        <w:pageBreakBefore w:val="0"/>
        <w:widowControl w:val="0"/>
        <w:numPr>
          <w:ilvl w:val="0"/>
          <w:numId w:val="0"/>
        </w:numPr>
        <w:shd w:val="clear"/>
        <w:tabs>
          <w:tab w:val="left" w:pos="540"/>
        </w:tabs>
        <w:kinsoku/>
        <w:wordWrap/>
        <w:overflowPunct/>
        <w:topLinePunct w:val="0"/>
        <w:autoSpaceDE w:val="0"/>
        <w:autoSpaceDN w:val="0"/>
        <w:bidi w:val="0"/>
        <w:adjustRightInd w:val="0"/>
        <w:snapToGrid/>
        <w:spacing w:line="360" w:lineRule="auto"/>
        <w:ind w:left="617" w:leftChars="0" w:hanging="617" w:hangingChars="294"/>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20.1</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bCs/>
          <w:snapToGrid w:val="0"/>
          <w:kern w:val="0"/>
          <w:szCs w:val="21"/>
          <w:lang w:val="zh-CN"/>
        </w:rPr>
        <w:t>竞争性磋商</w:t>
      </w:r>
      <w:r>
        <w:rPr>
          <w:rFonts w:hint="eastAsia" w:asciiTheme="minorEastAsia" w:hAnsiTheme="minorEastAsia" w:eastAsiaTheme="minorEastAsia" w:cstheme="minorEastAsia"/>
          <w:snapToGrid w:val="0"/>
          <w:kern w:val="0"/>
          <w:szCs w:val="21"/>
          <w:lang w:val="zh-CN"/>
        </w:rPr>
        <w:t>文件中规定的首次送达、提交响应文件的最后时间。本次磋商响应文件的送达地点及截止时间见《供应商须知前附表》。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3" w:name="_Toc31376"/>
      <w:bookmarkStart w:id="74" w:name="_Toc6851"/>
      <w:r>
        <w:rPr>
          <w:rFonts w:hint="eastAsia" w:asciiTheme="minorEastAsia" w:hAnsiTheme="minorEastAsia" w:eastAsiaTheme="minorEastAsia" w:cstheme="minorEastAsia"/>
          <w:b/>
          <w:snapToGrid w:val="0"/>
          <w:kern w:val="0"/>
          <w:szCs w:val="21"/>
          <w:lang w:val="zh-CN"/>
        </w:rPr>
        <w:t>迟交的竞争性磋商响应文件</w:t>
      </w:r>
      <w:bookmarkEnd w:id="73"/>
      <w:bookmarkEnd w:id="74"/>
    </w:p>
    <w:p>
      <w:pPr>
        <w:keepNext w:val="0"/>
        <w:keepLines w:val="0"/>
        <w:pageBreakBefore w:val="0"/>
        <w:widowControl w:val="0"/>
        <w:numPr>
          <w:ilvl w:val="1"/>
          <w:numId w:val="33"/>
        </w:numPr>
        <w:shd w:val="clear"/>
        <w:tabs>
          <w:tab w:val="left" w:pos="540"/>
          <w:tab w:val="clear" w:pos="480"/>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5" w:name="_Toc31760"/>
      <w:bookmarkStart w:id="76" w:name="_Toc21289"/>
      <w:r>
        <w:rPr>
          <w:rFonts w:hint="eastAsia" w:asciiTheme="minorEastAsia" w:hAnsiTheme="minorEastAsia" w:eastAsiaTheme="minorEastAsia" w:cstheme="minorEastAsia"/>
          <w:b/>
          <w:snapToGrid w:val="0"/>
          <w:kern w:val="0"/>
          <w:szCs w:val="21"/>
          <w:lang w:val="zh-CN"/>
        </w:rPr>
        <w:t>竞争性磋商响应文件的补充、修改或者撤回</w:t>
      </w:r>
      <w:bookmarkEnd w:id="75"/>
      <w:bookmarkEnd w:id="76"/>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keepNext w:val="0"/>
        <w:keepLines w:val="0"/>
        <w:pageBreakBefore w:val="0"/>
        <w:widowControl w:val="0"/>
        <w:numPr>
          <w:ilvl w:val="1"/>
          <w:numId w:val="34"/>
        </w:numPr>
        <w:tabs>
          <w:tab w:val="left" w:pos="540"/>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7" w:name="_Toc1411"/>
      <w:r>
        <w:rPr>
          <w:rFonts w:hint="eastAsia" w:asciiTheme="minorEastAsia" w:hAnsiTheme="minorEastAsia" w:eastAsiaTheme="minorEastAsia" w:cstheme="minorEastAsia"/>
          <w:b/>
          <w:szCs w:val="21"/>
        </w:rPr>
        <w:t>磋商程序及步骤</w:t>
      </w:r>
      <w:bookmarkEnd w:id="7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23748"/>
      <w:bookmarkStart w:id="79" w:name="_Toc22624"/>
      <w:r>
        <w:rPr>
          <w:rFonts w:hint="eastAsia" w:asciiTheme="minorEastAsia" w:hAnsiTheme="minorEastAsia" w:eastAsiaTheme="minorEastAsia" w:cstheme="minorEastAsia"/>
          <w:b/>
        </w:rPr>
        <w:t>竞争性磋商小组</w:t>
      </w:r>
      <w:bookmarkEnd w:id="78"/>
      <w:bookmarkEnd w:id="79"/>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23.1  </w:t>
      </w:r>
      <w:r>
        <w:rPr>
          <w:rFonts w:hint="eastAsia" w:asciiTheme="minorEastAsia" w:hAnsiTheme="minorEastAsia" w:eastAsiaTheme="minorEastAsia" w:cstheme="minorEastAsia"/>
          <w:snapToGrid w:val="0"/>
          <w:kern w:val="0"/>
          <w:szCs w:val="21"/>
          <w:lang w:val="zh-CN"/>
        </w:rPr>
        <w:t>采购人依照《中华人民共和国政府采购法》、《中华人民共和国政府采购法实施条例》、《政府采购竞争性磋商采购方式管理暂行办法》及现行法律规定组建磋商小组，磋商小组由采购人代表和评审专家共3人或</w:t>
      </w:r>
      <w:r>
        <w:rPr>
          <w:rFonts w:hint="eastAsia" w:asciiTheme="minorEastAsia" w:hAnsiTheme="minorEastAsia" w:eastAsiaTheme="minorEastAsia" w:cstheme="minorEastAsia"/>
          <w:snapToGrid w:val="0"/>
          <w:kern w:val="0"/>
          <w:szCs w:val="21"/>
          <w:lang w:val="en-US" w:eastAsia="zh-CN"/>
        </w:rPr>
        <w:t>3</w:t>
      </w:r>
      <w:r>
        <w:rPr>
          <w:rFonts w:hint="eastAsia" w:asciiTheme="minorEastAsia" w:hAnsiTheme="minorEastAsia" w:eastAsiaTheme="minorEastAsia" w:cstheme="minorEastAsia"/>
          <w:snapToGrid w:val="0"/>
          <w:kern w:val="0"/>
          <w:szCs w:val="21"/>
          <w:lang w:val="zh-CN"/>
        </w:rPr>
        <w:t>人以上单数组成。磋商小组人数详见《供应商须知前附表》。</w:t>
      </w:r>
    </w:p>
    <w:p>
      <w:pPr>
        <w:numPr>
          <w:ilvl w:val="0"/>
          <w:numId w:val="0"/>
        </w:numPr>
        <w:tabs>
          <w:tab w:val="left" w:pos="540"/>
        </w:tabs>
        <w:autoSpaceDE w:val="0"/>
        <w:autoSpaceDN w:val="0"/>
        <w:adjustRightInd w:val="0"/>
        <w:spacing w:line="360" w:lineRule="auto"/>
        <w:ind w:left="630" w:leftChars="0" w:hanging="630" w:hanging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23.2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 xml:space="preserve">磋商小组中的评审专家人数不少于磋商小组成员总数的2/3。除本采购文件另有规定，评审专家将从政府采购评审专家库中随机抽取。 </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630" w:leftChars="0" w:hanging="630" w:hangingChars="30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23.3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磋商小组所有成员按事先抽取的磋商顺序</w:t>
      </w:r>
      <w:r>
        <w:rPr>
          <w:rFonts w:hint="eastAsia" w:asciiTheme="minorEastAsia" w:hAnsiTheme="minorEastAsia" w:eastAsiaTheme="minorEastAsia" w:cstheme="minorEastAsia"/>
          <w:snapToGrid w:val="0"/>
          <w:kern w:val="0"/>
          <w:szCs w:val="21"/>
          <w:lang w:val="zh-CN" w:eastAsia="zh-CN"/>
        </w:rPr>
        <w:t>，</w:t>
      </w:r>
      <w:r>
        <w:rPr>
          <w:rFonts w:hint="eastAsia" w:asciiTheme="minorEastAsia" w:hAnsiTheme="minorEastAsia" w:eastAsiaTheme="minorEastAsia" w:cstheme="minorEastAsia"/>
          <w:snapToGrid w:val="0"/>
          <w:kern w:val="0"/>
          <w:szCs w:val="21"/>
          <w:lang w:val="zh-CN"/>
        </w:rPr>
        <w:t>集中与单一供应商分别进行磋商，并给予所有参</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0" w:name="_Toc18758"/>
      <w:bookmarkStart w:id="81" w:name="_Toc21483"/>
      <w:r>
        <w:rPr>
          <w:rFonts w:hint="eastAsia" w:asciiTheme="minorEastAsia" w:hAnsiTheme="minorEastAsia" w:eastAsiaTheme="minorEastAsia" w:cstheme="minorEastAsia"/>
          <w:b/>
        </w:rPr>
        <w:t>磋商代表</w:t>
      </w:r>
      <w:bookmarkEnd w:id="80"/>
      <w:bookmarkEnd w:id="81"/>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632" w:hanging="632" w:hangingChars="300"/>
        <w:jc w:val="left"/>
        <w:textAlignment w:val="auto"/>
        <w:rPr>
          <w:rFonts w:hint="eastAsia" w:asciiTheme="minorEastAsia" w:hAnsiTheme="minorEastAsia" w:eastAsiaTheme="minorEastAsia" w:cstheme="minorEastAsia"/>
          <w:szCs w:val="21"/>
          <w:lang w:val="en-US" w:eastAsia="zh-CN"/>
        </w:rPr>
      </w:pPr>
      <w:bookmarkStart w:id="82" w:name="_Toc32662"/>
      <w:bookmarkStart w:id="83"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b/>
          <w:lang w:val="en-US" w:eastAsia="zh-CN"/>
        </w:rPr>
        <w:t xml:space="preserve">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4" w:name="_Toc13658"/>
      <w:r>
        <w:rPr>
          <w:rFonts w:hint="eastAsia" w:asciiTheme="minorEastAsia" w:hAnsiTheme="minorEastAsia" w:eastAsiaTheme="minorEastAsia" w:cstheme="minorEastAsia"/>
          <w:b/>
        </w:rPr>
        <w:t>资格审查和符合性审查</w:t>
      </w:r>
      <w:bookmarkEnd w:id="84"/>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5" w:name="_Toc768"/>
      <w:r>
        <w:rPr>
          <w:rFonts w:hint="eastAsia" w:asciiTheme="minorEastAsia" w:hAnsiTheme="minorEastAsia" w:eastAsiaTheme="minorEastAsia" w:cstheme="minorEastAsia"/>
          <w:b/>
        </w:rPr>
        <w:t>磋商</w:t>
      </w:r>
      <w:bookmarkEnd w:id="85"/>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w:t>
      </w:r>
      <w:r>
        <w:rPr>
          <w:rFonts w:hint="eastAsia" w:asciiTheme="minorEastAsia" w:hAnsiTheme="minorEastAsia" w:eastAsiaTheme="minorEastAsia" w:cstheme="minorEastAsia"/>
          <w:bCs/>
          <w:kern w:val="44"/>
          <w:szCs w:val="21"/>
          <w:lang w:val="en-US" w:eastAsia="zh-CN"/>
        </w:rPr>
        <w:t xml:space="preserve"> </w:t>
      </w:r>
      <w:r>
        <w:rPr>
          <w:rFonts w:hint="eastAsia" w:asciiTheme="minorEastAsia" w:hAnsiTheme="minorEastAsia" w:eastAsiaTheme="minorEastAsia" w:cstheme="minorEastAsia"/>
          <w:bCs/>
          <w:kern w:val="44"/>
          <w:szCs w:val="21"/>
        </w:rPr>
        <w:t>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w:t>
      </w:r>
      <w:r>
        <w:rPr>
          <w:rFonts w:hint="eastAsia" w:asciiTheme="minorEastAsia" w:hAnsiTheme="minorEastAsia" w:eastAsiaTheme="minorEastAsia" w:cstheme="minorEastAsia"/>
          <w:bCs/>
          <w:kern w:val="44"/>
          <w:szCs w:val="21"/>
          <w:lang w:val="en-US" w:eastAsia="zh-CN"/>
        </w:rPr>
        <w:t xml:space="preserve">  </w:t>
      </w:r>
      <w:r>
        <w:rPr>
          <w:rFonts w:hint="eastAsia" w:asciiTheme="minorEastAsia" w:hAnsiTheme="minorEastAsia" w:eastAsiaTheme="minorEastAsia" w:cstheme="minorEastAsia"/>
          <w:bCs/>
          <w:kern w:val="44"/>
          <w:szCs w:val="21"/>
        </w:rPr>
        <w:t>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6" w:name="_Toc12377"/>
      <w:r>
        <w:rPr>
          <w:rFonts w:hint="eastAsia" w:asciiTheme="minorEastAsia" w:hAnsiTheme="minorEastAsia" w:eastAsiaTheme="minorEastAsia" w:cstheme="minorEastAsia"/>
          <w:b/>
          <w:lang w:val="zh-CN"/>
        </w:rPr>
        <w:t>保密</w:t>
      </w:r>
      <w:bookmarkEnd w:id="86"/>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7" w:name="_Toc16803"/>
      <w:r>
        <w:rPr>
          <w:rFonts w:hint="eastAsia" w:asciiTheme="minorEastAsia" w:hAnsiTheme="minorEastAsia" w:eastAsiaTheme="minorEastAsia" w:cstheme="minorEastAsia"/>
          <w:b/>
          <w:szCs w:val="21"/>
        </w:rPr>
        <w:t>成交与签订合同</w:t>
      </w:r>
      <w:bookmarkEnd w:id="8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8" w:name="_Toc27960"/>
      <w:r>
        <w:rPr>
          <w:rFonts w:hint="eastAsia" w:asciiTheme="minorEastAsia" w:hAnsiTheme="minorEastAsia" w:eastAsiaTheme="minorEastAsia" w:cstheme="minorEastAsia"/>
          <w:b/>
          <w:lang w:val="zh-CN"/>
        </w:rPr>
        <w:t>合同授予标准</w:t>
      </w:r>
      <w:bookmarkEnd w:id="88"/>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Cs w:val="21"/>
          <w:lang w:val="zh-CN"/>
        </w:rPr>
        <w:t>28.1</w:t>
      </w:r>
      <w:r>
        <w:rPr>
          <w:rFonts w:hint="eastAsia" w:asciiTheme="minorEastAsia" w:hAnsiTheme="minorEastAsia" w:eastAsiaTheme="minorEastAsia" w:cstheme="minorEastAsia"/>
          <w:iCs/>
          <w:snapToGrid w:val="0"/>
          <w:kern w:val="0"/>
          <w:szCs w:val="21"/>
          <w:lang w:val="en-US" w:eastAsia="zh-CN"/>
        </w:rPr>
        <w:t xml:space="preserve">  </w:t>
      </w:r>
      <w:r>
        <w:rPr>
          <w:rFonts w:hint="eastAsia" w:asciiTheme="minorEastAsia" w:hAnsiTheme="minorEastAsia" w:eastAsiaTheme="minorEastAsia" w:cstheme="minorEastAsia"/>
          <w:iCs/>
          <w:snapToGrid w:val="0"/>
          <w:kern w:val="0"/>
          <w:sz w:val="21"/>
          <w:szCs w:val="21"/>
          <w:lang w:val="zh-CN"/>
        </w:rPr>
        <w:t>采购人将把合同授予排名第一的供应商，特殊情况按本须知29.3的规定执行。</w:t>
      </w:r>
    </w:p>
    <w:p>
      <w:pPr>
        <w:keepNext w:val="0"/>
        <w:keepLines w:val="0"/>
        <w:pageBreakBefore w:val="0"/>
        <w:widowControl w:val="0"/>
        <w:kinsoku/>
        <w:wordWrap/>
        <w:overflowPunct/>
        <w:topLinePunct w:val="0"/>
        <w:bidi w:val="0"/>
        <w:snapToGrid/>
        <w:spacing w:line="360" w:lineRule="auto"/>
        <w:ind w:left="630" w:hanging="630" w:hangingChars="300"/>
        <w:jc w:val="left"/>
        <w:textAlignment w:val="auto"/>
        <w:outlineLvl w:val="9"/>
        <w:rPr>
          <w:rFonts w:ascii="宋体" w:hAnsi="宋体" w:eastAsia="宋体" w:cs="宋体"/>
          <w:sz w:val="21"/>
          <w:szCs w:val="21"/>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2  </w:t>
      </w:r>
      <w:r>
        <w:rPr>
          <w:rFonts w:hint="eastAsia" w:asciiTheme="minorEastAsia" w:hAnsiTheme="minorEastAsia" w:eastAsiaTheme="minorEastAsia" w:cstheme="minorEastAsia"/>
          <w:iCs/>
          <w:snapToGrid w:val="0"/>
          <w:kern w:val="0"/>
          <w:sz w:val="21"/>
          <w:szCs w:val="21"/>
          <w:lang w:val="zh-CN"/>
        </w:rPr>
        <w:t>采购代理机构应当在评审结束后2个工作日内将评审报告送采购人确认。</w:t>
      </w:r>
      <w:r>
        <w:rPr>
          <w:rFonts w:ascii="宋体" w:hAnsi="宋体" w:eastAsia="宋体" w:cs="宋体"/>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3  </w:t>
      </w:r>
      <w:r>
        <w:rPr>
          <w:rFonts w:hint="eastAsia" w:asciiTheme="minorEastAsia" w:hAnsiTheme="minorEastAsia" w:eastAsiaTheme="minorEastAsia" w:cstheme="minorEastAsia"/>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4  </w:t>
      </w:r>
      <w:r>
        <w:rPr>
          <w:rFonts w:hint="eastAsia" w:asciiTheme="minorEastAsia" w:hAnsiTheme="minorEastAsia" w:eastAsiaTheme="minorEastAsia" w:cstheme="minorEastAsia"/>
          <w:iCs/>
          <w:snapToGrid w:val="0"/>
          <w:kern w:val="0"/>
          <w:sz w:val="21"/>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5  </w:t>
      </w:r>
      <w:r>
        <w:rPr>
          <w:rFonts w:hint="eastAsia" w:asciiTheme="minorEastAsia" w:hAnsiTheme="minorEastAsia" w:eastAsiaTheme="minorEastAsia" w:cstheme="minorEastAsia"/>
          <w:iCs/>
          <w:snapToGrid w:val="0"/>
          <w:kern w:val="0"/>
          <w:sz w:val="21"/>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9" w:name="_Toc2509"/>
      <w:r>
        <w:rPr>
          <w:rFonts w:hint="eastAsia" w:asciiTheme="minorEastAsia" w:hAnsiTheme="minorEastAsia" w:eastAsiaTheme="minorEastAsia" w:cstheme="minorEastAsia"/>
          <w:b/>
          <w:lang w:val="zh-CN"/>
        </w:rPr>
        <w:t>签订合同</w:t>
      </w:r>
      <w:bookmarkEnd w:id="89"/>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29.1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 xml:space="preserve">29.2 </w:t>
      </w:r>
      <w:r>
        <w:rPr>
          <w:rFonts w:hint="eastAsia" w:asciiTheme="minorEastAsia" w:hAnsiTheme="minorEastAsia" w:eastAsiaTheme="minorEastAsia" w:cstheme="minorEastAsia"/>
          <w:snapToGrid w:val="0"/>
          <w:szCs w:val="21"/>
          <w:lang w:val="en-US" w:eastAsia="zh-CN"/>
        </w:rPr>
        <w:t xml:space="preserve"> </w:t>
      </w:r>
      <w:r>
        <w:rPr>
          <w:rFonts w:hint="eastAsia" w:asciiTheme="minorEastAsia" w:hAnsiTheme="minorEastAsia" w:eastAsiaTheme="minorEastAsia" w:cstheme="minorEastAsia"/>
          <w:snapToGrid w:val="0"/>
          <w:szCs w:val="21"/>
          <w:lang w:val="zh-CN"/>
        </w:rPr>
        <w:t>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29.5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 xml:space="preserve">29.6 </w:t>
      </w:r>
      <w:r>
        <w:rPr>
          <w:rFonts w:hint="eastAsia" w:asciiTheme="minorEastAsia" w:hAnsiTheme="minorEastAsia" w:eastAsiaTheme="minorEastAsia" w:cstheme="minorEastAsia"/>
          <w:snapToGrid w:val="0"/>
          <w:szCs w:val="21"/>
          <w:lang w:val="en-US" w:eastAsia="zh-CN"/>
        </w:rPr>
        <w:t xml:space="preserve"> </w:t>
      </w:r>
      <w:r>
        <w:rPr>
          <w:rFonts w:hint="eastAsia" w:asciiTheme="minorEastAsia" w:hAnsiTheme="minorEastAsia" w:eastAsiaTheme="minorEastAsia" w:cstheme="minorEastAsia"/>
          <w:snapToGrid w:val="0"/>
          <w:szCs w:val="21"/>
          <w:lang w:val="zh-CN"/>
        </w:rPr>
        <w:t>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keepNext w:val="0"/>
        <w:keepLines w:val="0"/>
        <w:pageBreakBefore w:val="0"/>
        <w:widowControl w:val="0"/>
        <w:numPr>
          <w:ilvl w:val="1"/>
          <w:numId w:val="10"/>
        </w:numPr>
        <w:tabs>
          <w:tab w:val="left" w:pos="540"/>
          <w:tab w:val="clear" w:pos="84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szCs w:val="21"/>
          <w:lang w:val="zh-CN"/>
        </w:rPr>
      </w:pPr>
      <w:bookmarkStart w:id="90" w:name="_Toc13988"/>
      <w:bookmarkStart w:id="91" w:name="_Toc4883"/>
      <w:bookmarkStart w:id="92" w:name="_Toc14510"/>
      <w:r>
        <w:rPr>
          <w:rFonts w:hint="eastAsia" w:asciiTheme="minorEastAsia" w:hAnsiTheme="minorEastAsia" w:eastAsiaTheme="minorEastAsia" w:cstheme="minorEastAsia"/>
          <w:b/>
          <w:szCs w:val="21"/>
          <w:lang w:val="zh-CN"/>
        </w:rPr>
        <w:t>质疑和投诉</w:t>
      </w:r>
      <w:bookmarkEnd w:id="90"/>
      <w:bookmarkEnd w:id="91"/>
      <w:bookmarkEnd w:id="92"/>
    </w:p>
    <w:p>
      <w:pPr>
        <w:keepNext w:val="0"/>
        <w:keepLines w:val="0"/>
        <w:pageBreakBefore w:val="0"/>
        <w:widowControl w:val="0"/>
        <w:numPr>
          <w:ilvl w:val="0"/>
          <w:numId w:val="11"/>
        </w:numPr>
        <w:tabs>
          <w:tab w:val="left" w:pos="864"/>
          <w:tab w:val="left" w:pos="108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lang w:val="zh-CN"/>
        </w:rPr>
      </w:pPr>
      <w:r>
        <w:rPr>
          <w:rFonts w:hint="eastAsia" w:asciiTheme="minorEastAsia" w:hAnsiTheme="minorEastAsia" w:eastAsiaTheme="minorEastAsia" w:cstheme="minorEastAsia"/>
          <w:b/>
          <w:lang w:val="zh-CN"/>
        </w:rPr>
        <w:t>质疑</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质疑书应当包括下列主要内容：</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被质疑人的名称、地址、联系人及联系电话等；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（4）</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（5）</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（6）</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（7）</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3" w:name="_Toc23808"/>
      <w:r>
        <w:rPr>
          <w:rFonts w:hint="eastAsia" w:asciiTheme="minorEastAsia" w:hAnsiTheme="minorEastAsia" w:eastAsiaTheme="minorEastAsia" w:cstheme="minorEastAsia"/>
          <w:b/>
          <w:lang w:val="zh-CN"/>
        </w:rPr>
        <w:t>质疑回复</w:t>
      </w:r>
      <w:bookmarkEnd w:id="93"/>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4" w:name="_Toc5059"/>
      <w:r>
        <w:rPr>
          <w:rFonts w:hint="eastAsia" w:asciiTheme="minorEastAsia" w:hAnsiTheme="minorEastAsia" w:eastAsiaTheme="minorEastAsia" w:cstheme="minorEastAsia"/>
          <w:b/>
          <w:lang w:val="zh-CN"/>
        </w:rPr>
        <w:t>投诉</w:t>
      </w:r>
      <w:bookmarkEnd w:id="94"/>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95" w:name="_Toc5571"/>
      <w:bookmarkStart w:id="96" w:name="_Toc28705"/>
      <w:bookmarkStart w:id="97" w:name="_Toc14767"/>
      <w:bookmarkStart w:id="98" w:name="_Toc7380"/>
      <w:r>
        <w:rPr>
          <w:rFonts w:hint="eastAsia" w:asciiTheme="minorEastAsia" w:hAnsiTheme="minorEastAsia" w:eastAsiaTheme="minorEastAsia" w:cstheme="minorEastAsia"/>
          <w:b/>
          <w:szCs w:val="21"/>
          <w:lang w:val="zh-CN"/>
        </w:rPr>
        <w:t>政策</w:t>
      </w:r>
      <w:bookmarkEnd w:id="95"/>
      <w:bookmarkEnd w:id="96"/>
      <w:bookmarkEnd w:id="97"/>
      <w:bookmarkEnd w:id="98"/>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99" w:name="_Toc32325"/>
      <w:r>
        <w:rPr>
          <w:rFonts w:hint="eastAsia" w:asciiTheme="minorEastAsia" w:hAnsiTheme="minorEastAsia" w:eastAsiaTheme="minorEastAsia" w:cstheme="minorEastAsia"/>
          <w:b/>
          <w:lang w:val="en-US" w:eastAsia="zh-CN"/>
        </w:rPr>
        <w:t>政府采购政策</w:t>
      </w:r>
      <w:bookmarkEnd w:id="99"/>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 xml:space="preserve">6  </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b/>
          <w:bCs/>
          <w:lang w:val="zh-CN"/>
        </w:rPr>
      </w:pPr>
      <w:r>
        <w:rPr>
          <w:rFonts w:hint="eastAsia" w:ascii="宋体" w:hAnsi="宋体" w:cs="宋体"/>
          <w:b/>
          <w:bCs/>
          <w:snapToGrid w:val="0"/>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0" w:name="_Toc5623"/>
      <w:r>
        <w:rPr>
          <w:rFonts w:hint="eastAsia" w:asciiTheme="minorEastAsia" w:hAnsiTheme="minorEastAsia" w:eastAsiaTheme="minorEastAsia" w:cstheme="minorEastAsia"/>
          <w:b/>
          <w:szCs w:val="21"/>
          <w:lang w:val="zh-CN"/>
        </w:rPr>
        <w:t>其他要求</w:t>
      </w:r>
      <w:bookmarkEnd w:id="100"/>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1" w:name="_Toc17665"/>
      <w:r>
        <w:rPr>
          <w:rFonts w:hint="eastAsia" w:asciiTheme="minorEastAsia" w:hAnsiTheme="minorEastAsia" w:eastAsiaTheme="minorEastAsia" w:cstheme="minorEastAsia"/>
          <w:b/>
          <w:szCs w:val="21"/>
          <w:lang w:val="zh-CN"/>
        </w:rPr>
        <w:t>适用法律</w:t>
      </w:r>
      <w:bookmarkEnd w:id="101"/>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630" w:leftChars="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630" w:leftChars="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02" w:name="_Toc5870"/>
      <w:r>
        <w:rPr>
          <w:rFonts w:hint="eastAsia" w:asciiTheme="minorEastAsia" w:hAnsiTheme="minorEastAsia" w:eastAsiaTheme="minorEastAsia" w:cstheme="minorEastAsia"/>
          <w:b/>
          <w:bCs/>
          <w:sz w:val="36"/>
          <w:szCs w:val="36"/>
        </w:rPr>
        <w:t>采购需求</w:t>
      </w:r>
      <w:bookmarkEnd w:id="102"/>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3" w:name="_Toc32694"/>
      <w:r>
        <w:rPr>
          <w:rFonts w:hint="eastAsia" w:asciiTheme="minorEastAsia" w:hAnsiTheme="minorEastAsia" w:eastAsiaTheme="minorEastAsia" w:cstheme="minorEastAsia"/>
          <w:b/>
          <w:bCs/>
          <w:color w:val="auto"/>
          <w:sz w:val="24"/>
          <w:szCs w:val="24"/>
          <w:lang w:val="en-US" w:eastAsia="zh-CN"/>
        </w:rPr>
        <w:t>一、技术需求</w:t>
      </w:r>
      <w:bookmarkEnd w:id="103"/>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项目概况：根据教育部有关文件精神，为建设一批优质的在线开放课程、线上线下混合式课程，推动优质大规模在线开放课程共享、推进以学生为中心的教与学方式方法变革，结合学校课程教学与改革实际需求，武汉工程大学准备建设一批在线开放课程和线上线下混合式课程资源，以推进信息化与课堂教学的融合，加快推进武汉工程大学的教育教学改革。现拟采购一流本科课程拍摄与制作服务</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2、服务内容和要求：</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1</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课程建设总体要求</w:t>
      </w:r>
    </w:p>
    <w:p>
      <w:pPr>
        <w:spacing w:line="360" w:lineRule="auto"/>
        <w:ind w:firstLine="420" w:firstLineChars="200"/>
        <w:rPr>
          <w:rFonts w:hint="eastAsia" w:ascii="宋体" w:hAnsi="宋体" w:eastAsia="宋体" w:cs="宋体"/>
          <w:sz w:val="21"/>
          <w:szCs w:val="21"/>
        </w:rPr>
      </w:pPr>
      <w:r>
        <w:rPr>
          <w:rFonts w:hint="eastAsia" w:ascii="宋体" w:hAnsi="宋体" w:cs="宋体"/>
          <w:color w:val="auto"/>
          <w:sz w:val="21"/>
          <w:szCs w:val="21"/>
          <w:lang w:eastAsia="zh-CN"/>
        </w:rPr>
        <w:t>※</w:t>
      </w:r>
      <w:r>
        <w:rPr>
          <w:rFonts w:hint="eastAsia" w:ascii="宋体" w:hAnsi="宋体" w:eastAsia="宋体" w:cs="宋体"/>
          <w:sz w:val="21"/>
          <w:szCs w:val="21"/>
          <w:lang w:val="en-US" w:eastAsia="zh-CN"/>
        </w:rPr>
        <w:t xml:space="preserve">2.1.1 </w:t>
      </w:r>
      <w:r>
        <w:rPr>
          <w:rFonts w:hint="eastAsia" w:ascii="宋体" w:hAnsi="宋体" w:eastAsia="宋体" w:cs="宋体"/>
          <w:sz w:val="21"/>
          <w:szCs w:val="21"/>
        </w:rPr>
        <w:t>服务</w:t>
      </w:r>
      <w:r>
        <w:rPr>
          <w:rFonts w:hint="eastAsia" w:ascii="宋体" w:hAnsi="宋体" w:eastAsia="宋体" w:cs="宋体"/>
          <w:sz w:val="21"/>
          <w:szCs w:val="21"/>
          <w:lang w:eastAsia="zh-CN"/>
        </w:rPr>
        <w:t>供应商</w:t>
      </w:r>
      <w:r>
        <w:rPr>
          <w:rFonts w:hint="eastAsia" w:ascii="宋体" w:hAnsi="宋体" w:eastAsia="宋体" w:cs="宋体"/>
          <w:sz w:val="21"/>
          <w:szCs w:val="21"/>
        </w:rPr>
        <w:t>对教育及教学工作有深入了解，为该项目配备一支不少于5人的专业课程服务团队，进驻学校进行服务。课程制作团队需配置教学设计、专业摄像、化妆师等岗位，其中教学设计与后期制作人员需具备专业技术能力相关证书。</w:t>
      </w:r>
    </w:p>
    <w:p>
      <w:pPr>
        <w:spacing w:line="360" w:lineRule="auto"/>
        <w:ind w:firstLine="420" w:firstLineChars="200"/>
        <w:rPr>
          <w:rFonts w:hint="eastAsia" w:ascii="宋体" w:hAnsi="宋体" w:eastAsia="宋体" w:cs="宋体"/>
          <w:sz w:val="21"/>
          <w:szCs w:val="21"/>
        </w:rPr>
      </w:pPr>
      <w:r>
        <w:rPr>
          <w:rFonts w:hint="eastAsia" w:ascii="宋体" w:hAnsi="宋体" w:cs="宋体"/>
          <w:color w:val="auto"/>
          <w:sz w:val="21"/>
          <w:szCs w:val="21"/>
          <w:lang w:eastAsia="zh-CN"/>
        </w:rPr>
        <w:t>※</w:t>
      </w:r>
      <w:r>
        <w:rPr>
          <w:rFonts w:hint="eastAsia" w:ascii="宋体" w:hAnsi="宋体" w:eastAsia="宋体" w:cs="宋体"/>
          <w:sz w:val="21"/>
          <w:szCs w:val="21"/>
          <w:lang w:val="en-US" w:eastAsia="zh-CN"/>
        </w:rPr>
        <w:t>2.1.2</w:t>
      </w:r>
      <w:r>
        <w:rPr>
          <w:rFonts w:hint="eastAsia" w:ascii="宋体" w:hAnsi="宋体" w:eastAsia="宋体" w:cs="宋体"/>
          <w:sz w:val="21"/>
          <w:szCs w:val="21"/>
        </w:rPr>
        <w:t>课程制作团队需具备至少10门本校同类项目课程制作经验，需在应标文件中提供项目制作合同。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2.1.3 </w:t>
      </w:r>
      <w:r>
        <w:rPr>
          <w:rFonts w:hint="eastAsia" w:ascii="宋体" w:hAnsi="宋体" w:eastAsia="宋体" w:cs="宋体"/>
          <w:sz w:val="21"/>
          <w:szCs w:val="21"/>
        </w:rPr>
        <w:t>协助课程教师根据课程的教学目标和学科特点，合理、有序的设计知识单元和拆分、配置知识点及技能点，进行课程拍摄规划与制作等，具体要求如下：</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2.1.4 </w:t>
      </w:r>
      <w:r>
        <w:rPr>
          <w:rFonts w:hint="eastAsia" w:ascii="宋体" w:hAnsi="宋体" w:eastAsia="宋体" w:cs="宋体"/>
          <w:sz w:val="21"/>
          <w:szCs w:val="21"/>
        </w:rPr>
        <w:t>协助教师团队分析课程，完成课程标准、课程设计及实施方案。</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2.1.5 </w:t>
      </w:r>
      <w:r>
        <w:rPr>
          <w:rFonts w:hint="eastAsia" w:ascii="宋体" w:hAnsi="宋体" w:eastAsia="宋体" w:cs="宋体"/>
          <w:sz w:val="21"/>
          <w:szCs w:val="21"/>
        </w:rPr>
        <w:t>协助教师团队对课程知识点进行设计，各知识点采用微课视频形式，协助教师团队进行视频脚本设计。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2.1.6 </w:t>
      </w:r>
      <w:r>
        <w:rPr>
          <w:rFonts w:hint="eastAsia" w:ascii="宋体" w:hAnsi="宋体" w:eastAsia="宋体" w:cs="宋体"/>
          <w:sz w:val="21"/>
          <w:szCs w:val="21"/>
        </w:rPr>
        <w:t>协助教师团队完成课程的框架设计、资源的组织与运用。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2.1.7</w:t>
      </w:r>
      <w:r>
        <w:rPr>
          <w:rFonts w:hint="eastAsia" w:ascii="宋体" w:hAnsi="宋体" w:eastAsia="宋体" w:cs="宋体"/>
          <w:sz w:val="21"/>
          <w:szCs w:val="21"/>
        </w:rPr>
        <w:t>协助教师团队制作与课程相关的数字教学资源。包括电子教案、幻灯片、教学大纲、微课视频、课堂笔记、测验题和讨论主题等。能提供与课程制作相关的图书、视频等课程拓展资源,并取得著作人的授权。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2.1.8 </w:t>
      </w:r>
      <w:r>
        <w:rPr>
          <w:rFonts w:hint="eastAsia" w:ascii="宋体" w:hAnsi="宋体" w:eastAsia="宋体" w:cs="宋体"/>
          <w:sz w:val="21"/>
          <w:szCs w:val="21"/>
        </w:rPr>
        <w:t>服务</w:t>
      </w:r>
      <w:r>
        <w:rPr>
          <w:rFonts w:hint="eastAsia" w:ascii="宋体" w:hAnsi="宋体" w:eastAsia="宋体" w:cs="宋体"/>
          <w:sz w:val="21"/>
          <w:szCs w:val="21"/>
          <w:lang w:eastAsia="zh-CN"/>
        </w:rPr>
        <w:t>供应商</w:t>
      </w:r>
      <w:r>
        <w:rPr>
          <w:rFonts w:hint="eastAsia" w:ascii="宋体" w:hAnsi="宋体" w:eastAsia="宋体" w:cs="宋体"/>
          <w:sz w:val="21"/>
          <w:szCs w:val="21"/>
        </w:rPr>
        <w:t>能合法提供与课程制作相关的图书、视频等课程拓展资源以满足学生学习需要。服务</w:t>
      </w:r>
      <w:r>
        <w:rPr>
          <w:rFonts w:hint="eastAsia" w:ascii="宋体" w:hAnsi="宋体" w:eastAsia="宋体" w:cs="宋体"/>
          <w:sz w:val="21"/>
          <w:szCs w:val="21"/>
          <w:lang w:eastAsia="zh-CN"/>
        </w:rPr>
        <w:t>供应商</w:t>
      </w:r>
      <w:r>
        <w:rPr>
          <w:rFonts w:hint="eastAsia" w:ascii="宋体" w:hAnsi="宋体" w:eastAsia="宋体" w:cs="宋体"/>
          <w:sz w:val="21"/>
          <w:szCs w:val="21"/>
        </w:rPr>
        <w:t>应为武汉工程大学在线开放课程建设配备专业化的课程制作团队，包括教学设计、拍摄和后期制作等。团队人员需具备相应专业技术能力，其人员配置应保证满足课程拍摄和制作过程中的各项要求。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2.1.9 </w:t>
      </w:r>
      <w:r>
        <w:rPr>
          <w:rFonts w:hint="eastAsia" w:ascii="宋体" w:hAnsi="宋体" w:eastAsia="宋体" w:cs="宋体"/>
          <w:sz w:val="21"/>
          <w:szCs w:val="21"/>
        </w:rPr>
        <w:t>服务</w:t>
      </w:r>
      <w:r>
        <w:rPr>
          <w:rFonts w:hint="eastAsia" w:ascii="宋体" w:hAnsi="宋体" w:eastAsia="宋体" w:cs="宋体"/>
          <w:sz w:val="21"/>
          <w:szCs w:val="21"/>
          <w:lang w:eastAsia="zh-CN"/>
        </w:rPr>
        <w:t>供应商</w:t>
      </w:r>
      <w:r>
        <w:rPr>
          <w:rFonts w:hint="eastAsia" w:ascii="宋体" w:hAnsi="宋体" w:eastAsia="宋体" w:cs="宋体"/>
          <w:sz w:val="21"/>
          <w:szCs w:val="21"/>
        </w:rPr>
        <w:t>能提供自主课程平台，供课程拍摄制作过程中教师及时将拍摄制作的视频等资源上传平台进行模拟教学等。课程平台同时应支持教师开展混合式教学，移动端教学与学生评教，提供课程在线测验功能，及其他在线开放课程教学和管理活动相关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2.1.10 </w:t>
      </w:r>
      <w:r>
        <w:rPr>
          <w:rFonts w:hint="eastAsia" w:ascii="宋体" w:hAnsi="宋体" w:eastAsia="宋体" w:cs="宋体"/>
          <w:sz w:val="21"/>
          <w:szCs w:val="21"/>
        </w:rPr>
        <w:t>服务</w:t>
      </w:r>
      <w:r>
        <w:rPr>
          <w:rFonts w:hint="eastAsia" w:ascii="宋体" w:hAnsi="宋体" w:eastAsia="宋体" w:cs="宋体"/>
          <w:sz w:val="21"/>
          <w:szCs w:val="21"/>
          <w:lang w:eastAsia="zh-CN"/>
        </w:rPr>
        <w:t>供应商</w:t>
      </w:r>
      <w:r>
        <w:rPr>
          <w:rFonts w:hint="eastAsia" w:ascii="宋体" w:hAnsi="宋体" w:eastAsia="宋体" w:cs="宋体"/>
          <w:sz w:val="21"/>
          <w:szCs w:val="21"/>
        </w:rPr>
        <w:t>应具有在线开放课程课运行推广经验，能提供本地课程顾问来辅助课程团队教师进行在线开放课程课堂教学培训工作，并能在课程制作完成后能帮助采购人在全国范围内推广该课程。</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2.1.11 </w:t>
      </w:r>
      <w:r>
        <w:rPr>
          <w:rFonts w:hint="eastAsia" w:ascii="宋体" w:hAnsi="宋体" w:eastAsia="宋体" w:cs="宋体"/>
          <w:sz w:val="21"/>
          <w:szCs w:val="21"/>
        </w:rPr>
        <w:t>服务</w:t>
      </w:r>
      <w:r>
        <w:rPr>
          <w:rFonts w:hint="eastAsia" w:ascii="宋体" w:hAnsi="宋体" w:eastAsia="宋体" w:cs="宋体"/>
          <w:sz w:val="21"/>
          <w:szCs w:val="21"/>
          <w:lang w:eastAsia="zh-CN"/>
        </w:rPr>
        <w:t>供应商</w:t>
      </w:r>
      <w:r>
        <w:rPr>
          <w:rFonts w:hint="eastAsia" w:ascii="宋体" w:hAnsi="宋体" w:eastAsia="宋体" w:cs="宋体"/>
          <w:sz w:val="21"/>
          <w:szCs w:val="21"/>
        </w:rPr>
        <w:t>应提供所制作在线开放课程的运行报告书，报告书须包含但不限于课程名称、学校名称、课程运行网址，课程主要内容、课程团队、教学安排、教学效果分析、课程评价、课程运行数据等内容。</w:t>
      </w:r>
    </w:p>
    <w:p>
      <w:pPr>
        <w:spacing w:line="360" w:lineRule="auto"/>
        <w:ind w:firstLine="422" w:firstLineChars="200"/>
        <w:rPr>
          <w:rFonts w:hint="eastAsia" w:ascii="宋体" w:hAnsi="宋体" w:eastAsia="宋体" w:cs="宋体"/>
          <w:b/>
          <w:bCs/>
          <w:sz w:val="21"/>
          <w:szCs w:val="21"/>
        </w:rPr>
      </w:pPr>
      <w:bookmarkStart w:id="104" w:name="_Hlk41656837"/>
      <w:r>
        <w:rPr>
          <w:rFonts w:hint="eastAsia" w:ascii="宋体" w:hAnsi="宋体" w:eastAsia="宋体" w:cs="宋体"/>
          <w:b/>
          <w:bCs/>
          <w:sz w:val="21"/>
          <w:szCs w:val="21"/>
          <w:lang w:val="en-US" w:eastAsia="zh-CN"/>
        </w:rPr>
        <w:t>2.</w:t>
      </w:r>
      <w:r>
        <w:rPr>
          <w:rFonts w:hint="eastAsia" w:ascii="宋体" w:hAnsi="宋体" w:eastAsia="宋体" w:cs="宋体"/>
          <w:b/>
          <w:bCs/>
          <w:sz w:val="21"/>
          <w:szCs w:val="21"/>
        </w:rPr>
        <w:t>2</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教学设计要求</w:t>
      </w:r>
    </w:p>
    <w:p>
      <w:pPr>
        <w:spacing w:line="360" w:lineRule="auto"/>
        <w:ind w:firstLine="420" w:firstLineChars="200"/>
        <w:rPr>
          <w:rFonts w:hint="eastAsia" w:ascii="宋体" w:hAnsi="宋体" w:eastAsia="宋体" w:cs="宋体"/>
          <w:sz w:val="21"/>
          <w:szCs w:val="21"/>
        </w:rPr>
      </w:pPr>
      <w:r>
        <w:rPr>
          <w:rFonts w:hint="eastAsia" w:ascii="宋体" w:hAnsi="宋体" w:cs="宋体"/>
          <w:color w:val="auto"/>
          <w:sz w:val="21"/>
          <w:szCs w:val="21"/>
          <w:lang w:eastAsia="zh-CN"/>
        </w:rPr>
        <w:t>※</w:t>
      </w:r>
      <w:r>
        <w:rPr>
          <w:rFonts w:hint="eastAsia" w:ascii="宋体" w:hAnsi="宋体" w:eastAsia="宋体" w:cs="宋体"/>
          <w:sz w:val="21"/>
          <w:szCs w:val="21"/>
          <w:lang w:val="en-US" w:eastAsia="zh-CN"/>
        </w:rPr>
        <w:t xml:space="preserve">2.2.1 </w:t>
      </w:r>
      <w:r>
        <w:rPr>
          <w:rFonts w:hint="eastAsia" w:ascii="宋体" w:hAnsi="宋体" w:eastAsia="宋体" w:cs="宋体"/>
          <w:sz w:val="21"/>
          <w:szCs w:val="21"/>
        </w:rPr>
        <w:t>配置专业的教学设计人员，具备专业技术能力相关证书，能够提供教育技术、现代教育技术专业的硕士毕业证书和学位证书。</w:t>
      </w:r>
    </w:p>
    <w:p>
      <w:pPr>
        <w:spacing w:line="360" w:lineRule="auto"/>
        <w:ind w:firstLine="420" w:firstLineChars="200"/>
        <w:rPr>
          <w:rFonts w:hint="eastAsia" w:ascii="宋体" w:hAnsi="宋体" w:eastAsia="宋体" w:cs="宋体"/>
          <w:sz w:val="21"/>
          <w:szCs w:val="21"/>
        </w:rPr>
      </w:pPr>
      <w:r>
        <w:rPr>
          <w:rFonts w:hint="eastAsia" w:ascii="宋体" w:hAnsi="宋体" w:cs="宋体"/>
          <w:color w:val="auto"/>
          <w:sz w:val="21"/>
          <w:szCs w:val="21"/>
          <w:lang w:eastAsia="zh-CN"/>
        </w:rPr>
        <w:t>※</w:t>
      </w:r>
      <w:r>
        <w:rPr>
          <w:rFonts w:hint="eastAsia" w:ascii="宋体" w:hAnsi="宋体" w:eastAsia="宋体" w:cs="宋体"/>
          <w:sz w:val="21"/>
          <w:szCs w:val="21"/>
          <w:lang w:val="en-US" w:eastAsia="zh-CN"/>
        </w:rPr>
        <w:t xml:space="preserve">2.2.2 </w:t>
      </w:r>
      <w:r>
        <w:rPr>
          <w:rFonts w:hint="eastAsia" w:ascii="宋体" w:hAnsi="宋体" w:eastAsia="宋体" w:cs="宋体"/>
          <w:sz w:val="21"/>
          <w:szCs w:val="21"/>
        </w:rPr>
        <w:t>要配备与学科相关的学科编辑人员，有丰富的相关项目经历。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2.2.3 </w:t>
      </w:r>
      <w:r>
        <w:rPr>
          <w:rFonts w:hint="eastAsia" w:ascii="宋体" w:hAnsi="宋体" w:eastAsia="宋体" w:cs="宋体"/>
          <w:sz w:val="21"/>
          <w:szCs w:val="21"/>
        </w:rPr>
        <w:t>需要从教学设计原则出发，协助教师团队分析课程，完成在线开放课程的整体框架设计、资源的组织与运用，形成完整的课程组织结构，后续支持教师基于平台开展混合式教学，需要提供混合式教学实施方案。</w:t>
      </w:r>
    </w:p>
    <w:p>
      <w:pPr>
        <w:spacing w:line="360" w:lineRule="auto"/>
        <w:ind w:firstLine="420" w:firstLineChars="200"/>
        <w:rPr>
          <w:rFonts w:hint="eastAsia" w:ascii="宋体" w:hAnsi="宋体" w:eastAsia="宋体" w:cs="宋体"/>
          <w:sz w:val="21"/>
          <w:szCs w:val="21"/>
        </w:rPr>
      </w:pPr>
      <w:r>
        <w:rPr>
          <w:rFonts w:hint="eastAsia" w:ascii="宋体" w:hAnsi="宋体" w:cs="宋体"/>
          <w:color w:val="auto"/>
          <w:sz w:val="21"/>
          <w:szCs w:val="21"/>
          <w:lang w:eastAsia="zh-CN"/>
        </w:rPr>
        <w:t>※</w:t>
      </w:r>
      <w:r>
        <w:rPr>
          <w:rFonts w:hint="eastAsia" w:ascii="宋体" w:hAnsi="宋体" w:eastAsia="宋体" w:cs="宋体"/>
          <w:sz w:val="21"/>
          <w:szCs w:val="21"/>
          <w:lang w:val="en-US" w:eastAsia="zh-CN"/>
        </w:rPr>
        <w:t xml:space="preserve">2.2.4 </w:t>
      </w:r>
      <w:r>
        <w:rPr>
          <w:rFonts w:hint="eastAsia" w:ascii="宋体" w:hAnsi="宋体" w:eastAsia="宋体" w:cs="宋体"/>
          <w:sz w:val="21"/>
          <w:szCs w:val="21"/>
        </w:rPr>
        <w:t>够根据讲稿，结合教学目标和教学重难点，制作教学设计脚本，需要提供分镜头脚本、文档类脚本、PPT类脚本样例、情景动画类脚本样例至少各一个。</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2.2.5 </w:t>
      </w:r>
      <w:r>
        <w:rPr>
          <w:rFonts w:hint="eastAsia" w:ascii="宋体" w:hAnsi="宋体" w:eastAsia="宋体" w:cs="宋体"/>
          <w:sz w:val="21"/>
          <w:szCs w:val="21"/>
        </w:rPr>
        <w:t>需协助教师团队制作与课程相关的数字教学资源。包括讲义、幻灯片、教学大纲、微课视频、课堂笔记、测验题和讨论主题等。教学设计师能够根据讲稿对教学用PPT进行重新设计，不仅要对整体模板进行修改、美化，还要能够对内容的结构、重点进行提炼，可以更清晰的表达知识内容。基于学生数字化学习需求，把握课程的交互性、情境性、实用性的特点，设计出适用于学生在线学习的课程。</w:t>
      </w:r>
    </w:p>
    <w:p>
      <w:pPr>
        <w:spacing w:line="360" w:lineRule="auto"/>
        <w:ind w:firstLine="422" w:firstLineChars="200"/>
        <w:rPr>
          <w:rFonts w:hint="eastAsia" w:ascii="宋体" w:hAnsi="宋体" w:eastAsia="宋体" w:cs="宋体"/>
          <w:b/>
          <w:bCs/>
          <w:sz w:val="21"/>
          <w:szCs w:val="21"/>
        </w:rPr>
      </w:pPr>
      <w:bookmarkStart w:id="105" w:name="_Toc10484"/>
      <w:r>
        <w:rPr>
          <w:rFonts w:hint="eastAsia" w:ascii="宋体" w:hAnsi="宋体" w:eastAsia="宋体" w:cs="宋体"/>
          <w:b/>
          <w:bCs/>
          <w:sz w:val="21"/>
          <w:szCs w:val="21"/>
          <w:lang w:val="en-US" w:eastAsia="zh-CN"/>
        </w:rPr>
        <w:t>2.</w:t>
      </w:r>
      <w:r>
        <w:rPr>
          <w:rFonts w:hint="eastAsia" w:ascii="宋体" w:hAnsi="宋体" w:eastAsia="宋体" w:cs="宋体"/>
          <w:b/>
          <w:bCs/>
          <w:sz w:val="21"/>
          <w:szCs w:val="21"/>
        </w:rPr>
        <w:t>3</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拍摄服务要求</w:t>
      </w:r>
      <w:bookmarkEnd w:id="105"/>
    </w:p>
    <w:p>
      <w:pPr>
        <w:spacing w:line="360" w:lineRule="auto"/>
        <w:ind w:firstLine="420" w:firstLineChars="200"/>
        <w:rPr>
          <w:rFonts w:hint="eastAsia" w:ascii="宋体" w:hAnsi="宋体" w:eastAsia="宋体" w:cs="宋体"/>
          <w:sz w:val="21"/>
          <w:szCs w:val="21"/>
        </w:rPr>
      </w:pPr>
      <w:r>
        <w:rPr>
          <w:rFonts w:hint="eastAsia" w:ascii="宋体" w:hAnsi="宋体" w:cs="宋体"/>
          <w:color w:val="auto"/>
          <w:sz w:val="21"/>
          <w:szCs w:val="21"/>
          <w:lang w:eastAsia="zh-CN"/>
        </w:rPr>
        <w:t>※</w:t>
      </w:r>
      <w:r>
        <w:rPr>
          <w:rFonts w:hint="eastAsia" w:ascii="宋体" w:hAnsi="宋体" w:eastAsia="宋体" w:cs="宋体"/>
          <w:sz w:val="21"/>
          <w:szCs w:val="21"/>
          <w:lang w:val="en-US" w:eastAsia="zh-CN"/>
        </w:rPr>
        <w:t>2.3.1</w:t>
      </w:r>
      <w:r>
        <w:rPr>
          <w:rFonts w:hint="eastAsia" w:ascii="宋体" w:hAnsi="宋体" w:eastAsia="宋体" w:cs="宋体"/>
          <w:sz w:val="21"/>
          <w:szCs w:val="21"/>
        </w:rPr>
        <w:t>提供校内的拍摄场地。由中标单位提供，拍摄场地选择在摄影棚、专业录播室、教学触摸一体机、实景场地、休息室或纯色背景前。</w:t>
      </w:r>
    </w:p>
    <w:p>
      <w:pPr>
        <w:spacing w:line="360" w:lineRule="auto"/>
        <w:ind w:firstLine="420" w:firstLineChars="200"/>
        <w:rPr>
          <w:rFonts w:hint="eastAsia" w:ascii="宋体" w:hAnsi="宋体" w:eastAsia="宋体" w:cs="宋体"/>
          <w:sz w:val="21"/>
          <w:szCs w:val="21"/>
        </w:rPr>
      </w:pPr>
      <w:r>
        <w:rPr>
          <w:rFonts w:hint="eastAsia" w:ascii="宋体" w:hAnsi="宋体" w:cs="宋体"/>
          <w:color w:val="auto"/>
          <w:sz w:val="21"/>
          <w:szCs w:val="21"/>
          <w:lang w:eastAsia="zh-CN"/>
        </w:rPr>
        <w:t>※</w:t>
      </w:r>
      <w:r>
        <w:rPr>
          <w:rFonts w:hint="eastAsia" w:ascii="宋体" w:hAnsi="宋体" w:eastAsia="宋体" w:cs="宋体"/>
          <w:sz w:val="21"/>
          <w:szCs w:val="21"/>
          <w:lang w:val="en-US" w:eastAsia="zh-CN"/>
        </w:rPr>
        <w:t>2.3.2</w:t>
      </w:r>
      <w:r>
        <w:rPr>
          <w:rFonts w:hint="eastAsia" w:ascii="宋体" w:hAnsi="宋体" w:eastAsia="宋体" w:cs="宋体"/>
          <w:sz w:val="21"/>
          <w:szCs w:val="21"/>
        </w:rPr>
        <w:t>提供专业的拍摄服务。配备专业摄像2-3人，从业时间5年以上。具体拍摄时间与次序，双方互相协商。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2.3.3</w:t>
      </w:r>
      <w:r>
        <w:rPr>
          <w:rFonts w:hint="eastAsia" w:ascii="宋体" w:hAnsi="宋体" w:eastAsia="宋体" w:cs="宋体"/>
          <w:sz w:val="21"/>
          <w:szCs w:val="21"/>
        </w:rPr>
        <w:t>提供拍摄支持服务。配备化妆师1名，为录课教师提供适合拍摄场景的妆容，并对服装搭配提供合理的建议，保证教师出镜时仪态大方、画面美观。课程团队结合拍摄需要为教师提供必要的服装支持。配备场记1名，对课程的进度进行实时的记录。配备灯光师1名，负责打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2.3.4</w:t>
      </w:r>
      <w:r>
        <w:rPr>
          <w:rFonts w:hint="eastAsia" w:ascii="宋体" w:hAnsi="宋体" w:eastAsia="宋体" w:cs="宋体"/>
          <w:sz w:val="21"/>
          <w:szCs w:val="21"/>
        </w:rPr>
        <w:t>提供拍摄培训服务。辅导老师现场调整拍摄状态、适应镜头拍摄，引导教师拍摄出更为自然、流畅的视频。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2.3.5</w:t>
      </w:r>
      <w:r>
        <w:rPr>
          <w:rFonts w:hint="eastAsia" w:ascii="宋体" w:hAnsi="宋体" w:eastAsia="宋体" w:cs="宋体"/>
          <w:sz w:val="21"/>
          <w:szCs w:val="21"/>
        </w:rPr>
        <w:t>提供后期精剪包装服务。配备专业的视频剪辑人员，穿插图文资源以及相应特效， 确保微课、在线开放课程的视频兼具画面的观赏性与内容的准确性。</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2.3.6</w:t>
      </w:r>
      <w:r>
        <w:rPr>
          <w:rFonts w:hint="eastAsia" w:ascii="宋体" w:hAnsi="宋体" w:eastAsia="宋体" w:cs="宋体"/>
          <w:sz w:val="21"/>
          <w:szCs w:val="21"/>
        </w:rPr>
        <w:t>提供动画制作服务，配套专业的影视动画制作人员，穿插图文动画，保证视频包装效果。</w:t>
      </w:r>
    </w:p>
    <w:p>
      <w:pPr>
        <w:spacing w:beforeLines="50" w:afterLines="50" w:line="360" w:lineRule="auto"/>
        <w:outlineLvl w:val="9"/>
        <w:rPr>
          <w:rFonts w:hint="eastAsia" w:ascii="宋体" w:hAnsi="宋体" w:eastAsia="宋体" w:cs="宋体"/>
          <w:sz w:val="21"/>
          <w:szCs w:val="21"/>
        </w:rPr>
      </w:pPr>
      <w:bookmarkStart w:id="106" w:name="_Toc4300"/>
      <w:r>
        <w:rPr>
          <w:rFonts w:hint="eastAsia" w:ascii="宋体" w:hAnsi="宋体" w:eastAsia="宋体" w:cs="宋体"/>
          <w:sz w:val="21"/>
          <w:szCs w:val="21"/>
          <w:lang w:val="en-US" w:eastAsia="zh-CN"/>
        </w:rPr>
        <w:t xml:space="preserve">2.4 </w:t>
      </w:r>
      <w:r>
        <w:rPr>
          <w:rFonts w:hint="eastAsia" w:ascii="宋体" w:hAnsi="宋体" w:eastAsia="宋体" w:cs="宋体"/>
          <w:sz w:val="21"/>
          <w:szCs w:val="21"/>
        </w:rPr>
        <w:t>课程制作内容及相关技术要求</w:t>
      </w:r>
      <w:bookmarkEnd w:id="106"/>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2.4.1</w:t>
      </w:r>
      <w:r>
        <w:rPr>
          <w:rFonts w:hint="eastAsia" w:ascii="宋体" w:hAnsi="宋体" w:eastAsia="宋体" w:cs="宋体"/>
          <w:b/>
          <w:bCs/>
          <w:sz w:val="21"/>
          <w:szCs w:val="21"/>
        </w:rPr>
        <w:t>课程建设主要内容</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t>（1）电子教案：要求以知识点为单位，提供教师讲稿或者与讲课配套的黑板板书内容(或者投影内容)。电子教案至少应该包括以下内容：</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1 \* GB3</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授课内容：授课内容是指教师讲授课程的媒体形态，以授课视频为主，还包括 PPT+授课录音，PPT+录音等形式。支持通用流媒体视频格式，视频支持 AVI、FLV、mov、mp4 等主流高清格式。</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2 \* GB3</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参考文献：应提供课程的参考文献，提供电子版，学生与教师均可在线打开阅读，支持WORD、PPT 等文档格式在线预览。</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3 \* GB3</w:instrText>
      </w:r>
      <w:r>
        <w:rPr>
          <w:rFonts w:hint="eastAsia" w:ascii="宋体" w:hAnsi="宋体" w:eastAsia="宋体" w:cs="宋体"/>
          <w:sz w:val="21"/>
          <w:szCs w:val="21"/>
        </w:rPr>
        <w:fldChar w:fldCharType="separate"/>
      </w:r>
      <w:r>
        <w:rPr>
          <w:rFonts w:hint="eastAsia" w:ascii="宋体" w:hAnsi="宋体" w:eastAsia="宋体" w:cs="宋体"/>
          <w:sz w:val="21"/>
          <w:szCs w:val="21"/>
        </w:rPr>
        <w:t>③</w:t>
      </w:r>
      <w:r>
        <w:rPr>
          <w:rFonts w:hint="eastAsia" w:ascii="宋体" w:hAnsi="宋体" w:eastAsia="宋体" w:cs="宋体"/>
          <w:sz w:val="21"/>
          <w:szCs w:val="21"/>
        </w:rPr>
        <w:fldChar w:fldCharType="end"/>
      </w:r>
      <w:r>
        <w:rPr>
          <w:rFonts w:hint="eastAsia" w:ascii="宋体" w:hAnsi="宋体" w:eastAsia="宋体" w:cs="宋体"/>
          <w:sz w:val="21"/>
          <w:szCs w:val="21"/>
        </w:rPr>
        <w:t>教学目标：网络课程应提供明确的教学目标。</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4 \* GB3</w:instrText>
      </w:r>
      <w:r>
        <w:rPr>
          <w:rFonts w:hint="eastAsia" w:ascii="宋体" w:hAnsi="宋体" w:eastAsia="宋体" w:cs="宋体"/>
          <w:sz w:val="21"/>
          <w:szCs w:val="21"/>
        </w:rPr>
        <w:fldChar w:fldCharType="separate"/>
      </w:r>
      <w:r>
        <w:rPr>
          <w:rFonts w:hint="eastAsia" w:ascii="宋体" w:hAnsi="宋体" w:eastAsia="宋体" w:cs="宋体"/>
          <w:sz w:val="21"/>
          <w:szCs w:val="21"/>
        </w:rPr>
        <w:t>④</w:t>
      </w:r>
      <w:r>
        <w:rPr>
          <w:rFonts w:hint="eastAsia" w:ascii="宋体" w:hAnsi="宋体" w:eastAsia="宋体" w:cs="宋体"/>
          <w:sz w:val="21"/>
          <w:szCs w:val="21"/>
        </w:rPr>
        <w:fldChar w:fldCharType="end"/>
      </w:r>
      <w:r>
        <w:rPr>
          <w:rFonts w:hint="eastAsia" w:ascii="宋体" w:hAnsi="宋体" w:eastAsia="宋体" w:cs="宋体"/>
          <w:sz w:val="21"/>
          <w:szCs w:val="21"/>
        </w:rPr>
        <w:t>教学大纲：网络课程应提供明确的教学大纲。</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5 \* GB3</w:instrText>
      </w:r>
      <w:r>
        <w:rPr>
          <w:rFonts w:hint="eastAsia" w:ascii="宋体" w:hAnsi="宋体" w:eastAsia="宋体" w:cs="宋体"/>
          <w:sz w:val="21"/>
          <w:szCs w:val="21"/>
        </w:rPr>
        <w:fldChar w:fldCharType="separate"/>
      </w:r>
      <w:r>
        <w:rPr>
          <w:rFonts w:hint="eastAsia" w:ascii="宋体" w:hAnsi="宋体" w:eastAsia="宋体" w:cs="宋体"/>
          <w:sz w:val="21"/>
          <w:szCs w:val="21"/>
        </w:rPr>
        <w:t>⑤</w:t>
      </w:r>
      <w:r>
        <w:rPr>
          <w:rFonts w:hint="eastAsia" w:ascii="宋体" w:hAnsi="宋体" w:eastAsia="宋体" w:cs="宋体"/>
          <w:sz w:val="21"/>
          <w:szCs w:val="21"/>
        </w:rPr>
        <w:fldChar w:fldCharType="end"/>
      </w:r>
      <w:r>
        <w:rPr>
          <w:rFonts w:hint="eastAsia" w:ascii="宋体" w:hAnsi="宋体" w:eastAsia="宋体" w:cs="宋体"/>
          <w:sz w:val="21"/>
          <w:szCs w:val="21"/>
        </w:rPr>
        <w:t>教学任务：应根据教学大纲制定教学任务，可包含授课视频播放、参考资料阅读等各种任务类型，根据需要选择。</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6 \* GB3</w:instrText>
      </w:r>
      <w:r>
        <w:rPr>
          <w:rFonts w:hint="eastAsia" w:ascii="宋体" w:hAnsi="宋体" w:eastAsia="宋体" w:cs="宋体"/>
          <w:sz w:val="21"/>
          <w:szCs w:val="21"/>
        </w:rPr>
        <w:fldChar w:fldCharType="separate"/>
      </w:r>
      <w:r>
        <w:rPr>
          <w:rFonts w:hint="eastAsia" w:ascii="宋体" w:hAnsi="宋体" w:eastAsia="宋体" w:cs="宋体"/>
          <w:sz w:val="21"/>
          <w:szCs w:val="21"/>
        </w:rPr>
        <w:t>⑥</w:t>
      </w:r>
      <w:r>
        <w:rPr>
          <w:rFonts w:hint="eastAsia" w:ascii="宋体" w:hAnsi="宋体" w:eastAsia="宋体" w:cs="宋体"/>
          <w:sz w:val="21"/>
          <w:szCs w:val="21"/>
        </w:rPr>
        <w:fldChar w:fldCharType="end"/>
      </w:r>
      <w:r>
        <w:rPr>
          <w:rFonts w:hint="eastAsia" w:ascii="宋体" w:hAnsi="宋体" w:eastAsia="宋体" w:cs="宋体"/>
          <w:sz w:val="21"/>
          <w:szCs w:val="21"/>
        </w:rPr>
        <w:t>课程素材：课程还应提供文本、音频、视频、动画等课程参考素材，帮助学生理解所学课程内容。</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7 \* GB3</w:instrText>
      </w:r>
      <w:r>
        <w:rPr>
          <w:rFonts w:hint="eastAsia" w:ascii="宋体" w:hAnsi="宋体" w:eastAsia="宋体" w:cs="宋体"/>
          <w:sz w:val="21"/>
          <w:szCs w:val="21"/>
        </w:rPr>
        <w:fldChar w:fldCharType="separate"/>
      </w:r>
      <w:r>
        <w:rPr>
          <w:rFonts w:hint="eastAsia" w:ascii="宋体" w:hAnsi="宋体" w:eastAsia="宋体" w:cs="宋体"/>
          <w:sz w:val="21"/>
          <w:szCs w:val="21"/>
        </w:rPr>
        <w:t>⑦</w:t>
      </w:r>
      <w:r>
        <w:rPr>
          <w:rFonts w:hint="eastAsia" w:ascii="宋体" w:hAnsi="宋体" w:eastAsia="宋体" w:cs="宋体"/>
          <w:sz w:val="21"/>
          <w:szCs w:val="21"/>
        </w:rPr>
        <w:fldChar w:fldCharType="end"/>
      </w:r>
      <w:r>
        <w:rPr>
          <w:rFonts w:hint="eastAsia" w:ascii="宋体" w:hAnsi="宋体" w:eastAsia="宋体" w:cs="宋体"/>
          <w:sz w:val="21"/>
          <w:szCs w:val="21"/>
        </w:rPr>
        <w:t>教学课件：以课时为单位，提供教师用于课堂讲授的完整多媒体课件。一门课程可以提供多位教师的教学课件供学习者自主选择学习。</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8 \* GB3</w:instrText>
      </w:r>
      <w:r>
        <w:rPr>
          <w:rFonts w:hint="eastAsia" w:ascii="宋体" w:hAnsi="宋体" w:eastAsia="宋体" w:cs="宋体"/>
          <w:sz w:val="21"/>
          <w:szCs w:val="21"/>
        </w:rPr>
        <w:fldChar w:fldCharType="separate"/>
      </w:r>
      <w:r>
        <w:rPr>
          <w:rFonts w:hint="eastAsia" w:ascii="宋体" w:hAnsi="宋体" w:eastAsia="宋体" w:cs="宋体"/>
          <w:sz w:val="21"/>
          <w:szCs w:val="21"/>
        </w:rPr>
        <w:t>⑧</w:t>
      </w:r>
      <w:r>
        <w:rPr>
          <w:rFonts w:hint="eastAsia" w:ascii="宋体" w:hAnsi="宋体" w:eastAsia="宋体" w:cs="宋体"/>
          <w:sz w:val="21"/>
          <w:szCs w:val="21"/>
        </w:rPr>
        <w:fldChar w:fldCharType="end"/>
      </w:r>
      <w:r>
        <w:rPr>
          <w:rFonts w:hint="eastAsia" w:ascii="宋体" w:hAnsi="宋体" w:eastAsia="宋体" w:cs="宋体"/>
          <w:sz w:val="21"/>
          <w:szCs w:val="21"/>
        </w:rPr>
        <w:t>教学视频：教学视频拍摄与制作、发布标准见视频技术规格部分要求。</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t>（2）习题：根据教学要求，每一个教学单元均应有配套的习题。体现网络课程的特性以及本科教育的教学特点。每章应该有不少于 1 套习题(每周配套一套习题)；每章(每周)应该有 1 个讨论习题；每章至少布置 1 道思考题；每个课时要有 3 个随堂练习题，用以保证学生的学习效果。</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t>（3）试题库：试题库是网络课程的重要基础之一，自测题与练习题库包括是非题、单选题、多选题、填空题、简答题等多种题型。</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t>（4）课程拓展资源：提供参考资料及课程拓展资源，全面辅助教师教学和学生学习。具体包括课程相关的电子图书、期刊、论文、文档、学术视频等，以章节为单位分别提供参考资料。</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2.4.2 </w:t>
      </w:r>
      <w:r>
        <w:rPr>
          <w:rFonts w:hint="eastAsia" w:ascii="宋体" w:hAnsi="宋体" w:eastAsia="宋体" w:cs="宋体"/>
          <w:b/>
          <w:bCs/>
          <w:sz w:val="21"/>
          <w:szCs w:val="21"/>
        </w:rPr>
        <w:t>视频内容</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t>（1）屏幕图像的构图合理，画面主体突出。人像及肢体动作以及配合讲授选用的板书、画板、教具实物、模型和实验设备等均不能超出镜头所及范围。</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t>（2）授课视频的背景可采用彩色喷绘、电脑虚拟或现场实景等背景。背景的颜色、图案不易过多，应保持静态，画面应简洁、明快，有利于营造学习气氛。</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t>（3）摄像镜头应保持与主讲教师目光平视的角度。主讲教师不应较长时间仰视或俯视。</w:t>
      </w:r>
    </w:p>
    <w:p>
      <w:pPr>
        <w:spacing w:line="360" w:lineRule="auto"/>
        <w:ind w:right="200" w:firstLine="420" w:firstLineChars="200"/>
        <w:rPr>
          <w:rFonts w:hint="eastAsia" w:ascii="宋体" w:hAnsi="宋体" w:eastAsia="宋体" w:cs="宋体"/>
          <w:sz w:val="21"/>
          <w:szCs w:val="21"/>
        </w:rPr>
      </w:pPr>
      <w:r>
        <w:rPr>
          <w:rFonts w:hint="eastAsia" w:ascii="宋体" w:hAnsi="宋体" w:eastAsia="宋体" w:cs="宋体"/>
          <w:sz w:val="21"/>
          <w:szCs w:val="21"/>
        </w:rPr>
        <w:t>（4）使用资料、图片、外景实拍、实验和表演等形象化教学手段，应符合教学内容要求，与讲授内容联系紧密，手段选用恰当。</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（5）选用影视作品或自拍素材，应注明素材来源。影视作品或自拍素材中涉及人物访谈内容时，应加注人物介绍。</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（6）选用的资料、图片等素材画面应清楚，对于历史资料、图片应进行再加工。选用的资料、图片等素材应注明素材来源及原始信息（如字画的作品、生卒年月，影视片断的作品名称、创作年代等信息）。</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（7）二维动画设计制作合理，贴合课程内容表现，根据主讲教师及课程编导人员要求补充动画内容、特效内容及相关素材。课程素材30%，课程动画5%。</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2.4.3 </w:t>
      </w:r>
      <w:r>
        <w:rPr>
          <w:rFonts w:hint="eastAsia" w:ascii="宋体" w:hAnsi="宋体" w:eastAsia="宋体" w:cs="宋体"/>
          <w:b/>
          <w:bCs/>
          <w:sz w:val="21"/>
          <w:szCs w:val="21"/>
        </w:rPr>
        <w:t>视频技术规格</w:t>
      </w:r>
    </w:p>
    <w:p>
      <w:pPr>
        <w:spacing w:line="360" w:lineRule="auto"/>
        <w:ind w:right="108" w:firstLine="420" w:firstLineChars="200"/>
        <w:rPr>
          <w:rFonts w:hint="eastAsia" w:ascii="宋体" w:hAnsi="宋体" w:eastAsia="宋体" w:cs="宋体"/>
          <w:sz w:val="21"/>
          <w:szCs w:val="21"/>
        </w:rPr>
      </w:pPr>
      <w:r>
        <w:rPr>
          <w:rFonts w:hint="eastAsia" w:ascii="宋体" w:hAnsi="宋体" w:eastAsia="宋体" w:cs="宋体"/>
          <w:sz w:val="21"/>
          <w:szCs w:val="21"/>
        </w:rPr>
        <w:t>（1）录制要求：采用至少 2 机位（专业高清摄像机）拍摄,所用摄像机分辨率 1920X1080，录制视频宽高比 16:9，视频帧率为 25 帧/秒。</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（2）后期制作要求：</w:t>
      </w:r>
    </w:p>
    <w:p>
      <w:pPr>
        <w:spacing w:line="360" w:lineRule="auto"/>
        <w:ind w:right="108"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1 \* GB3</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 xml:space="preserve"> 片头与片尾，片头片尾不超过 10 秒，包括:学校 LOGO、课程名称、主讲教师姓名、职务、讲师所获荣誉、单位等信息。</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2 \* GB3</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 xml:space="preserve"> 视频信号源（最大化保证在学校现有设备下可以进行）</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稳定性：全片图像同步性能稳定，无失步现象，CTL 同步控制信号连续；图像无抖动跳跃，色彩无突变，编辑点处图像稳定。</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信噪比：图像信噪比不低于 55dB，无明显杂波。</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色调：白平衡正确，无明显偏色，多机拍摄的镜头衔接处无明显色差。</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视频电平：视频全讯号幅度为 1 Vp-p ，最大不超过 1.1Ⅴp-p。其中，消隐电平为 0V 时，白电平幅度 0.7Ⅴp-p，同步信号-0.3V，色同步信号幅度 0.3Vp-p (以消隐线上下对称)，全篇一致。</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3 \* GB3</w:instrText>
      </w:r>
      <w:r>
        <w:rPr>
          <w:rFonts w:hint="eastAsia" w:ascii="宋体" w:hAnsi="宋体" w:eastAsia="宋体" w:cs="宋体"/>
          <w:sz w:val="21"/>
          <w:szCs w:val="21"/>
        </w:rPr>
        <w:fldChar w:fldCharType="separate"/>
      </w:r>
      <w:r>
        <w:rPr>
          <w:rFonts w:hint="eastAsia" w:ascii="宋体" w:hAnsi="宋体" w:eastAsia="宋体" w:cs="宋体"/>
          <w:sz w:val="21"/>
          <w:szCs w:val="21"/>
        </w:rPr>
        <w:t>③</w:t>
      </w:r>
      <w:r>
        <w:rPr>
          <w:rFonts w:hint="eastAsia" w:ascii="宋体" w:hAnsi="宋体" w:eastAsia="宋体" w:cs="宋体"/>
          <w:sz w:val="21"/>
          <w:szCs w:val="21"/>
        </w:rPr>
        <w:fldChar w:fldCharType="end"/>
      </w:r>
      <w:r>
        <w:rPr>
          <w:rFonts w:hint="eastAsia" w:ascii="宋体" w:hAnsi="宋体" w:eastAsia="宋体" w:cs="宋体"/>
          <w:sz w:val="21"/>
          <w:szCs w:val="21"/>
        </w:rPr>
        <w:t xml:space="preserve"> 音频信号源</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声道：教师讲授内容音频信号记录于第 1 声道，音乐、音效、同期声记录于第 2 声道，若有其他文字解说记录于第 3 声道(如录音设备无第 3 声道,则录于第 2 声道)。</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声音和画面要求同步，无交流声或其他杂音等缺陷。</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伴音清晰、饱满、圆润，无失真、噪声杂音干扰、音量忽大忽小现象。解说声与现场声无明显比例失调，解说声与背景音乐无明显比例失调。</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4 \* GB3</w:instrText>
      </w:r>
      <w:r>
        <w:rPr>
          <w:rFonts w:hint="eastAsia" w:ascii="宋体" w:hAnsi="宋体" w:eastAsia="宋体" w:cs="宋体"/>
          <w:sz w:val="21"/>
          <w:szCs w:val="21"/>
        </w:rPr>
        <w:fldChar w:fldCharType="separate"/>
      </w:r>
      <w:r>
        <w:rPr>
          <w:rFonts w:hint="eastAsia" w:ascii="宋体" w:hAnsi="宋体" w:eastAsia="宋体" w:cs="宋体"/>
          <w:sz w:val="21"/>
          <w:szCs w:val="21"/>
        </w:rPr>
        <w:t>④</w:t>
      </w:r>
      <w:r>
        <w:rPr>
          <w:rFonts w:hint="eastAsia" w:ascii="宋体" w:hAnsi="宋体" w:eastAsia="宋体" w:cs="宋体"/>
          <w:sz w:val="21"/>
          <w:szCs w:val="21"/>
        </w:rPr>
        <w:fldChar w:fldCharType="end"/>
      </w:r>
      <w:r>
        <w:rPr>
          <w:rFonts w:hint="eastAsia" w:ascii="宋体" w:hAnsi="宋体" w:eastAsia="宋体" w:cs="宋体"/>
          <w:sz w:val="21"/>
          <w:szCs w:val="21"/>
        </w:rPr>
        <w:t xml:space="preserve"> 视频压缩格式及技术参数</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视频压缩采用 H.264/AVC(MPEG-4 Part10)编码、使用二次编码、不包含字幕的 MP4 格式。</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视频码流率：动态码流的最低码率不得低于 1024Kb</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视频分辨率：前期采用高清 16:9 拍摄，请设定为 1280×720 或 1920×1080。</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视频画幅宽高比：视频画幅宽高比为 16:9，分辨率设定为 1280×720 或 1920×1080。</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视频帧率为 25 帧/秒。</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扫描方式采用逐行扫描。</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5 \* GB3</w:instrText>
      </w:r>
      <w:r>
        <w:rPr>
          <w:rFonts w:hint="eastAsia" w:ascii="宋体" w:hAnsi="宋体" w:eastAsia="宋体" w:cs="宋体"/>
          <w:sz w:val="21"/>
          <w:szCs w:val="21"/>
        </w:rPr>
        <w:fldChar w:fldCharType="separate"/>
      </w:r>
      <w:r>
        <w:rPr>
          <w:rFonts w:hint="eastAsia" w:ascii="宋体" w:hAnsi="宋体" w:eastAsia="宋体" w:cs="宋体"/>
          <w:sz w:val="21"/>
          <w:szCs w:val="21"/>
        </w:rPr>
        <w:t>⑤</w:t>
      </w:r>
      <w:r>
        <w:rPr>
          <w:rFonts w:hint="eastAsia" w:ascii="宋体" w:hAnsi="宋体" w:eastAsia="宋体" w:cs="宋体"/>
          <w:sz w:val="21"/>
          <w:szCs w:val="21"/>
        </w:rPr>
        <w:fldChar w:fldCharType="end"/>
      </w:r>
      <w:r>
        <w:rPr>
          <w:rFonts w:hint="eastAsia" w:ascii="宋体" w:hAnsi="宋体" w:eastAsia="宋体" w:cs="宋体"/>
          <w:sz w:val="21"/>
          <w:szCs w:val="21"/>
        </w:rPr>
        <w:t xml:space="preserve"> 音频压缩格式及技术参数</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音频压缩采用 AAC(MPEG4 Part3)格式</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采样率 48KHz</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音频码流率 128Kbps(恒定)</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必须是双声道，必须做混音处理。</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6 \* GB3</w:instrText>
      </w:r>
      <w:r>
        <w:rPr>
          <w:rFonts w:hint="eastAsia" w:ascii="宋体" w:hAnsi="宋体" w:eastAsia="宋体" w:cs="宋体"/>
          <w:sz w:val="21"/>
          <w:szCs w:val="21"/>
        </w:rPr>
        <w:fldChar w:fldCharType="separate"/>
      </w:r>
      <w:r>
        <w:rPr>
          <w:rFonts w:hint="eastAsia" w:ascii="宋体" w:hAnsi="宋体" w:eastAsia="宋体" w:cs="宋体"/>
          <w:sz w:val="21"/>
          <w:szCs w:val="21"/>
        </w:rPr>
        <w:t>⑥</w:t>
      </w:r>
      <w:r>
        <w:rPr>
          <w:rFonts w:hint="eastAsia" w:ascii="宋体" w:hAnsi="宋体" w:eastAsia="宋体" w:cs="宋体"/>
          <w:sz w:val="21"/>
          <w:szCs w:val="21"/>
        </w:rPr>
        <w:fldChar w:fldCharType="end"/>
      </w:r>
      <w:r>
        <w:rPr>
          <w:rFonts w:hint="eastAsia" w:ascii="宋体" w:hAnsi="宋体" w:eastAsia="宋体" w:cs="宋体"/>
          <w:sz w:val="21"/>
          <w:szCs w:val="21"/>
        </w:rPr>
        <w:t xml:space="preserve"> 封装</w:t>
      </w:r>
    </w:p>
    <w:p>
      <w:pPr>
        <w:spacing w:line="360" w:lineRule="auto"/>
        <w:ind w:firstLine="1050" w:firstLineChars="500"/>
        <w:rPr>
          <w:rFonts w:hint="eastAsia" w:ascii="宋体" w:hAnsi="宋体" w:eastAsia="宋体" w:cs="宋体"/>
          <w:sz w:val="21"/>
          <w:szCs w:val="21"/>
        </w:rPr>
      </w:pPr>
      <w:r>
        <w:rPr>
          <w:rFonts w:hint="eastAsia" w:ascii="宋体" w:hAnsi="宋体" w:eastAsia="宋体" w:cs="宋体"/>
          <w:sz w:val="21"/>
          <w:szCs w:val="21"/>
        </w:rPr>
        <w:t>视频采用 MP4 封装，单个视频文件小于 200MB。字幕文件采用 SRT 格式，中英文字幕需分成两个SRT 文件。</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2.4.4</w:t>
      </w:r>
      <w:r>
        <w:rPr>
          <w:rFonts w:hint="eastAsia" w:ascii="宋体" w:hAnsi="宋体" w:eastAsia="宋体" w:cs="宋体"/>
          <w:b/>
          <w:bCs/>
          <w:sz w:val="21"/>
          <w:szCs w:val="21"/>
        </w:rPr>
        <w:t>演示文稿（PPT）制作规范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（1）制作原则</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1 \* GB3</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演示文稿（PPT）内容丰富，可集文字、图形、图像、声音以及视频等多种媒体元素于一体。</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2 \* GB3</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页面设置要求符合高清格式比例，幻灯片大小为“全屏显示 16：9”。</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3 \* GB3</w:instrText>
      </w:r>
      <w:r>
        <w:rPr>
          <w:rFonts w:hint="eastAsia" w:ascii="宋体" w:hAnsi="宋体" w:eastAsia="宋体" w:cs="宋体"/>
          <w:sz w:val="21"/>
          <w:szCs w:val="21"/>
        </w:rPr>
        <w:fldChar w:fldCharType="separate"/>
      </w:r>
      <w:r>
        <w:rPr>
          <w:rFonts w:hint="eastAsia" w:ascii="宋体" w:hAnsi="宋体" w:eastAsia="宋体" w:cs="宋体"/>
          <w:sz w:val="21"/>
          <w:szCs w:val="21"/>
        </w:rPr>
        <w:t>③</w:t>
      </w:r>
      <w:r>
        <w:rPr>
          <w:rFonts w:hint="eastAsia" w:ascii="宋体" w:hAnsi="宋体" w:eastAsia="宋体" w:cs="宋体"/>
          <w:sz w:val="21"/>
          <w:szCs w:val="21"/>
        </w:rPr>
        <w:fldChar w:fldCharType="end"/>
      </w:r>
      <w:r>
        <w:rPr>
          <w:rFonts w:hint="eastAsia" w:ascii="宋体" w:hAnsi="宋体" w:eastAsia="宋体" w:cs="宋体"/>
          <w:sz w:val="21"/>
          <w:szCs w:val="21"/>
        </w:rPr>
        <w:t>整体效果应风格统一、色彩协调、美观大方。</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4 \* GB3</w:instrText>
      </w:r>
      <w:r>
        <w:rPr>
          <w:rFonts w:hint="eastAsia" w:ascii="宋体" w:hAnsi="宋体" w:eastAsia="宋体" w:cs="宋体"/>
          <w:sz w:val="21"/>
          <w:szCs w:val="21"/>
        </w:rPr>
        <w:fldChar w:fldCharType="separate"/>
      </w:r>
      <w:r>
        <w:rPr>
          <w:rFonts w:hint="eastAsia" w:ascii="宋体" w:hAnsi="宋体" w:eastAsia="宋体" w:cs="宋体"/>
          <w:sz w:val="21"/>
          <w:szCs w:val="21"/>
        </w:rPr>
        <w:t>④</w:t>
      </w:r>
      <w:r>
        <w:rPr>
          <w:rFonts w:hint="eastAsia" w:ascii="宋体" w:hAnsi="宋体" w:eastAsia="宋体" w:cs="宋体"/>
          <w:sz w:val="21"/>
          <w:szCs w:val="21"/>
        </w:rPr>
        <w:fldChar w:fldCharType="end"/>
      </w:r>
      <w:r>
        <w:rPr>
          <w:rFonts w:hint="eastAsia" w:ascii="宋体" w:hAnsi="宋体" w:eastAsia="宋体" w:cs="宋体"/>
          <w:sz w:val="21"/>
          <w:szCs w:val="21"/>
        </w:rPr>
        <w:t>整体风格突出武汉工程大学特色。</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（2）字体与字号</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字体与字号参照下表：</w:t>
      </w:r>
    </w:p>
    <w:tbl>
      <w:tblPr>
        <w:tblStyle w:val="27"/>
        <w:tblpPr w:vertAnchor="text" w:horzAnchor="margin" w:tblpXSpec="center" w:tblpY="213"/>
        <w:tblW w:w="8835" w:type="dxa"/>
        <w:tblInd w:w="0" w:type="dxa"/>
        <w:tblLayout w:type="fixed"/>
        <w:tblCellMar>
          <w:top w:w="0" w:type="dxa"/>
          <w:left w:w="108" w:type="dxa"/>
          <w:bottom w:w="0" w:type="dxa"/>
          <w:right w:w="108" w:type="dxa"/>
        </w:tblCellMar>
      </w:tblPr>
      <w:tblGrid>
        <w:gridCol w:w="885"/>
        <w:gridCol w:w="1905"/>
        <w:gridCol w:w="1395"/>
        <w:gridCol w:w="1550"/>
        <w:gridCol w:w="1860"/>
        <w:gridCol w:w="1240"/>
      </w:tblGrid>
      <w:tr>
        <w:tblPrEx>
          <w:tblCellMar>
            <w:top w:w="0" w:type="dxa"/>
            <w:left w:w="108" w:type="dxa"/>
            <w:bottom w:w="0" w:type="dxa"/>
            <w:right w:w="108" w:type="dxa"/>
          </w:tblCellMar>
        </w:tblPrEx>
        <w:tc>
          <w:tcPr>
            <w:tcW w:w="8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类型</w:t>
            </w:r>
          </w:p>
        </w:tc>
        <w:tc>
          <w:tcPr>
            <w:tcW w:w="19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大标题</w:t>
            </w:r>
          </w:p>
        </w:tc>
        <w:tc>
          <w:tcPr>
            <w:tcW w:w="13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主讲信息</w:t>
            </w:r>
          </w:p>
        </w:tc>
        <w:tc>
          <w:tcPr>
            <w:tcW w:w="1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一级标题</w:t>
            </w:r>
          </w:p>
        </w:tc>
        <w:tc>
          <w:tcPr>
            <w:tcW w:w="18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正文</w:t>
            </w: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字幕</w:t>
            </w:r>
          </w:p>
        </w:tc>
      </w:tr>
      <w:tr>
        <w:tblPrEx>
          <w:tblCellMar>
            <w:top w:w="0" w:type="dxa"/>
            <w:left w:w="108" w:type="dxa"/>
            <w:bottom w:w="0" w:type="dxa"/>
            <w:right w:w="108" w:type="dxa"/>
          </w:tblCellMar>
        </w:tblPrEx>
        <w:tc>
          <w:tcPr>
            <w:tcW w:w="8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字体</w:t>
            </w:r>
          </w:p>
        </w:tc>
        <w:tc>
          <w:tcPr>
            <w:tcW w:w="795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自定，原则以黑体、宋体、仿宋等为主</w:t>
            </w:r>
          </w:p>
        </w:tc>
      </w:tr>
      <w:tr>
        <w:tblPrEx>
          <w:tblCellMar>
            <w:top w:w="0" w:type="dxa"/>
            <w:left w:w="108" w:type="dxa"/>
            <w:bottom w:w="0" w:type="dxa"/>
            <w:right w:w="108" w:type="dxa"/>
          </w:tblCellMar>
        </w:tblPrEx>
        <w:tc>
          <w:tcPr>
            <w:tcW w:w="8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字号</w:t>
            </w:r>
          </w:p>
        </w:tc>
        <w:tc>
          <w:tcPr>
            <w:tcW w:w="19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50～70磅</w:t>
            </w:r>
          </w:p>
        </w:tc>
        <w:tc>
          <w:tcPr>
            <w:tcW w:w="13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36～40磅</w:t>
            </w:r>
          </w:p>
        </w:tc>
        <w:tc>
          <w:tcPr>
            <w:tcW w:w="1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36～40磅</w:t>
            </w:r>
          </w:p>
        </w:tc>
        <w:tc>
          <w:tcPr>
            <w:tcW w:w="18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24～32磅</w:t>
            </w: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32磅</w:t>
            </w:r>
          </w:p>
        </w:tc>
      </w:tr>
      <w:tr>
        <w:tblPrEx>
          <w:tblCellMar>
            <w:top w:w="0" w:type="dxa"/>
            <w:left w:w="108" w:type="dxa"/>
            <w:bottom w:w="0" w:type="dxa"/>
            <w:right w:w="108" w:type="dxa"/>
          </w:tblCellMar>
        </w:tblPrEx>
        <w:tc>
          <w:tcPr>
            <w:tcW w:w="8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应用</w:t>
            </w:r>
          </w:p>
        </w:tc>
        <w:tc>
          <w:tcPr>
            <w:tcW w:w="19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上下左右居中</w:t>
            </w:r>
          </w:p>
        </w:tc>
        <w:tc>
          <w:tcPr>
            <w:tcW w:w="13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左右居中</w:t>
            </w:r>
          </w:p>
        </w:tc>
        <w:tc>
          <w:tcPr>
            <w:tcW w:w="1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左右居中</w:t>
            </w:r>
          </w:p>
        </w:tc>
        <w:tc>
          <w:tcPr>
            <w:tcW w:w="18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左对齐或居中</w:t>
            </w: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左右居中</w:t>
            </w:r>
          </w:p>
        </w:tc>
      </w:tr>
    </w:tbl>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（3）版心与版式每页四周留出空白，应避免内容顶到页面边缘。</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（4）背景</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1 \* GB3</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背景色以简洁适中饱和度为主（颜色保持在一至两种色系内）；</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2 \* GB3</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背景和场景不宜变化过多；</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3 \* GB3</w:instrText>
      </w:r>
      <w:r>
        <w:rPr>
          <w:rFonts w:hint="eastAsia" w:ascii="宋体" w:hAnsi="宋体" w:eastAsia="宋体" w:cs="宋体"/>
          <w:sz w:val="21"/>
          <w:szCs w:val="21"/>
        </w:rPr>
        <w:fldChar w:fldCharType="separate"/>
      </w:r>
      <w:r>
        <w:rPr>
          <w:rFonts w:hint="eastAsia" w:ascii="宋体" w:hAnsi="宋体" w:eastAsia="宋体" w:cs="宋体"/>
          <w:sz w:val="21"/>
          <w:szCs w:val="21"/>
        </w:rPr>
        <w:t>③</w:t>
      </w:r>
      <w:r>
        <w:rPr>
          <w:rFonts w:hint="eastAsia" w:ascii="宋体" w:hAnsi="宋体" w:eastAsia="宋体" w:cs="宋体"/>
          <w:sz w:val="21"/>
          <w:szCs w:val="21"/>
        </w:rPr>
        <w:fldChar w:fldCharType="end"/>
      </w:r>
      <w:r>
        <w:rPr>
          <w:rFonts w:hint="eastAsia" w:ascii="宋体" w:hAnsi="宋体" w:eastAsia="宋体" w:cs="宋体"/>
          <w:sz w:val="21"/>
          <w:szCs w:val="21"/>
        </w:rPr>
        <w:t>文字、图形等内容应与背景对比醒目。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（5）色调</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1 \* GB3</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色彩的选配应与课程科目相吻合；每一短视频或一系列短视频在配色上应体现出系统性，可选一种主色调再加上一至两种辅助色进行匹配；</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2 \* GB3</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同一屏里文字不宜超出三种颜色。</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（6）字距与行距</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1 \* GB3</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标题：在文字少的情形下，字距放宽一倍体现舒展性；</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2 \* GB3</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正文：行距使用 1 行或 1.5 行，便于阅读。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（7）配图</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1 \* GB3</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图像应清晰并能反映出内容主题思想，分辨率应上 72dpi 以上；</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2 \* GB3</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图片不可加长或压窄，防止变形；</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3 \* GB3</w:instrText>
      </w:r>
      <w:r>
        <w:rPr>
          <w:rFonts w:hint="eastAsia" w:ascii="宋体" w:hAnsi="宋体" w:eastAsia="宋体" w:cs="宋体"/>
          <w:sz w:val="21"/>
          <w:szCs w:val="21"/>
        </w:rPr>
        <w:fldChar w:fldCharType="separate"/>
      </w:r>
      <w:r>
        <w:rPr>
          <w:rFonts w:hint="eastAsia" w:ascii="宋体" w:hAnsi="宋体" w:eastAsia="宋体" w:cs="宋体"/>
          <w:sz w:val="21"/>
          <w:szCs w:val="21"/>
        </w:rPr>
        <w:t>③</w:t>
      </w:r>
      <w:r>
        <w:rPr>
          <w:rFonts w:hint="eastAsia" w:ascii="宋体" w:hAnsi="宋体" w:eastAsia="宋体" w:cs="宋体"/>
          <w:sz w:val="21"/>
          <w:szCs w:val="21"/>
        </w:rPr>
        <w:fldChar w:fldCharType="end"/>
      </w:r>
      <w:r>
        <w:rPr>
          <w:rFonts w:hint="eastAsia" w:ascii="宋体" w:hAnsi="宋体" w:eastAsia="宋体" w:cs="宋体"/>
          <w:sz w:val="21"/>
          <w:szCs w:val="21"/>
        </w:rPr>
        <w:t>图形使用应通俗易懂，便于理解。</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（8）修饰</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1 \* GB3</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细线条的运用比粗线条更显精致；</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2 \* GB3</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扁平式的装饰更接近时代审美；</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3 \* GB3</w:instrText>
      </w:r>
      <w:r>
        <w:rPr>
          <w:rFonts w:hint="eastAsia" w:ascii="宋体" w:hAnsi="宋体" w:eastAsia="宋体" w:cs="宋体"/>
          <w:sz w:val="21"/>
          <w:szCs w:val="21"/>
        </w:rPr>
        <w:fldChar w:fldCharType="separate"/>
      </w:r>
      <w:r>
        <w:rPr>
          <w:rFonts w:hint="eastAsia" w:ascii="宋体" w:hAnsi="宋体" w:eastAsia="宋体" w:cs="宋体"/>
          <w:sz w:val="21"/>
          <w:szCs w:val="21"/>
        </w:rPr>
        <w:t>③</w:t>
      </w:r>
      <w:r>
        <w:rPr>
          <w:rFonts w:hint="eastAsia" w:ascii="宋体" w:hAnsi="宋体" w:eastAsia="宋体" w:cs="宋体"/>
          <w:sz w:val="21"/>
          <w:szCs w:val="21"/>
        </w:rPr>
        <w:fldChar w:fldCharType="end"/>
      </w:r>
      <w:r>
        <w:rPr>
          <w:rFonts w:hint="eastAsia" w:ascii="宋体" w:hAnsi="宋体" w:eastAsia="宋体" w:cs="宋体"/>
          <w:sz w:val="21"/>
          <w:szCs w:val="21"/>
        </w:rPr>
        <w:t>有趣味的装饰通常更能吸引人。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（9）版权来源</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t>素材选用注意版权，涉及版权问题须加入“版权来源”信息。</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2.4.5</w:t>
      </w:r>
      <w:r>
        <w:rPr>
          <w:rFonts w:hint="eastAsia" w:ascii="宋体" w:hAnsi="宋体" w:eastAsia="宋体" w:cs="宋体"/>
          <w:b/>
          <w:bCs/>
          <w:sz w:val="21"/>
          <w:szCs w:val="21"/>
        </w:rPr>
        <w:t>课程运行及推广要求</w:t>
      </w:r>
    </w:p>
    <w:p>
      <w:pPr>
        <w:spacing w:line="360" w:lineRule="auto"/>
        <w:ind w:right="106" w:firstLine="420" w:firstLineChars="200"/>
        <w:rPr>
          <w:rFonts w:hint="eastAsia" w:ascii="宋体" w:hAnsi="宋体" w:eastAsia="宋体" w:cs="宋体"/>
          <w:sz w:val="21"/>
          <w:szCs w:val="21"/>
        </w:rPr>
      </w:pPr>
      <w:r>
        <w:rPr>
          <w:rFonts w:hint="eastAsia" w:ascii="宋体" w:hAnsi="宋体" w:eastAsia="宋体" w:cs="宋体"/>
          <w:sz w:val="21"/>
          <w:szCs w:val="21"/>
        </w:rPr>
        <w:t>（1）供应商能满足采购人的课程制作完成后，负责将该课程在采购人的校内在线课程平台上线并在校内进行 SPOC 教学，且提供相关课程顾问来辅助老师进行翻转课堂教学及培训。上线前平台必须组织审核，保障技术符合约定要求、视频课程适合网络化传播、价值导向正确、无危害国家安全内容等。</w:t>
      </w:r>
    </w:p>
    <w:p>
      <w:pPr>
        <w:spacing w:line="360" w:lineRule="auto"/>
        <w:ind w:right="106" w:firstLine="420" w:firstLineChars="200"/>
        <w:rPr>
          <w:rFonts w:hint="eastAsia" w:ascii="宋体" w:hAnsi="宋体" w:eastAsia="宋体" w:cs="宋体"/>
          <w:sz w:val="21"/>
          <w:szCs w:val="21"/>
        </w:rPr>
      </w:pPr>
      <w:r>
        <w:rPr>
          <w:rFonts w:hint="eastAsia" w:ascii="宋体" w:hAnsi="宋体" w:eastAsia="宋体" w:cs="宋体"/>
          <w:sz w:val="21"/>
          <w:szCs w:val="21"/>
        </w:rPr>
        <w:t>（2）供应商满足采购人在课程制作完成后帮助采购人在全国范围内推广该课程，并且安排足够的工作人员辅助老师平台的使用，及时响应老师需求。供应商随时或定期向学校和教师提供完整的数据服务。供应商在课程每轮开课结束后提供书面课程运行总结报告。</w:t>
      </w:r>
    </w:p>
    <w:p>
      <w:pPr>
        <w:spacing w:line="360" w:lineRule="auto"/>
        <w:ind w:right="106" w:firstLine="420" w:firstLineChars="200"/>
        <w:rPr>
          <w:rFonts w:hint="eastAsia" w:ascii="宋体" w:hAnsi="宋体" w:eastAsia="宋体" w:cs="宋体"/>
          <w:sz w:val="21"/>
          <w:szCs w:val="21"/>
        </w:rPr>
      </w:pPr>
      <w:r>
        <w:rPr>
          <w:rFonts w:hint="eastAsia" w:ascii="宋体" w:hAnsi="宋体" w:eastAsia="宋体" w:cs="宋体"/>
          <w:sz w:val="21"/>
          <w:szCs w:val="21"/>
        </w:rPr>
        <w:t>（3）供应商需要有自有课程平台，并提供 5 个高校在线开放课程或线上线下混合式教学案例，此课程平台需满足国家级在线开放课程验收标准要求的上传、运行、学习过程管理，大数据分析，教学过程管理，后台管理，管理者可以随时通过后台查看教师整堂课的具体上课情况。平台应具备国家政策法规规定的开展在线课程服务和运营相关的许可证书，包括工信部ICP网站备案号、公安机关网站备案号、信息安全三级及以上等级保护证书等。</w:t>
      </w:r>
      <w:bookmarkEnd w:id="104"/>
    </w:p>
    <w:p>
      <w:pPr>
        <w:outlineLvl w:val="9"/>
        <w:rPr>
          <w:rFonts w:hint="eastAsia"/>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 xml:space="preserve"> </w:t>
      </w:r>
      <w:r>
        <w:rPr>
          <w:rFonts w:hint="eastAsia" w:asciiTheme="minorEastAsia" w:hAnsiTheme="minorEastAsia" w:eastAsiaTheme="minorEastAsia" w:cstheme="minorEastAsia"/>
          <w:b/>
          <w:bCs/>
          <w:color w:val="auto"/>
          <w:szCs w:val="21"/>
          <w:lang w:val="en-US" w:eastAsia="zh-CN"/>
        </w:rPr>
        <w:t>2.5 其他</w:t>
      </w:r>
    </w:p>
    <w:p>
      <w:pPr>
        <w:autoSpaceDE w:val="0"/>
        <w:autoSpaceDN w:val="0"/>
        <w:adjustRightInd w:val="0"/>
        <w:spacing w:line="360" w:lineRule="auto"/>
        <w:ind w:firstLine="420" w:firstLineChars="200"/>
        <w:outlineLvl w:val="9"/>
        <w:rPr>
          <w:rFonts w:hint="eastAsia"/>
          <w:lang w:val="en-US" w:eastAsia="zh-CN"/>
        </w:rPr>
      </w:pPr>
      <w:r>
        <w:rPr>
          <w:rFonts w:hint="eastAsia" w:asciiTheme="minorEastAsia" w:hAnsiTheme="minorEastAsia" w:eastAsiaTheme="minorEastAsia" w:cstheme="minorEastAsia"/>
          <w:b w:val="0"/>
          <w:bCs w:val="0"/>
          <w:color w:val="auto"/>
          <w:szCs w:val="21"/>
          <w:lang w:val="en-US" w:eastAsia="zh-CN"/>
        </w:rPr>
        <w:t>为符合采购人拍摄要求，供应商需提供至少2个4K高清摄像机或相机、两组高清镜头、98寸以上4K高清交互大屏、提词器、灯光、斯坦尼康、一体机。</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br w:type="textWrapping"/>
      </w:r>
    </w:p>
    <w:p>
      <w:pPr>
        <w:rPr>
          <w:rFonts w:hint="eastAsia" w:asciiTheme="minorEastAsia" w:hAnsiTheme="minorEastAsia" w:eastAsiaTheme="minorEastAsia" w:cstheme="minorEastAsia"/>
          <w:b/>
          <w:bCs/>
          <w:color w:val="auto"/>
          <w:sz w:val="24"/>
          <w:szCs w:val="24"/>
          <w:lang w:val="en-US" w:eastAsia="zh-CN"/>
        </w:rPr>
      </w:pPr>
      <w:bookmarkStart w:id="107" w:name="_Toc30372"/>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107"/>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 未按期交付的违约责任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如果甲方未按照计划规定时间完成交付任务，交付时间在预定交付时间基础上向后延期相应时间。如果甲方按照计划规定的时间提交内容和完成约定要求，乙方未能按照合同规定的时间按时完成任务（不可抗力除外），按照下述要求执行未按期交货的违约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如果甲方按照计划规定的时间提交内容和完成约定要求，乙方未能按照合同规定的时间按时完成任务（不可抗力除外），在乙方书面同意支付延期违约金的条件下，甲方有权选择同意延长项目工期还是不予延长项目，甲方同意延长项目工期的，延期项目工期由双方另行确定。延期违约金的支付，甲方有权从未付的合同货款中扣除。每逾期1天，乙方应按合同总金额的  0.1 ％向甲方支付逾期的违约金。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 甲方逾期付款（有正当拒付理由的情况除外），应按照逾期金额的每日 0.1  ％支付逾期付款违约金。</w:t>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2、售后服务要求：</w:t>
      </w:r>
    </w:p>
    <w:p>
      <w:pPr>
        <w:pStyle w:val="2"/>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2.1 课程维保期为36个月，在保修期内，成交供应商应提供7*24小时的技术响应服务。保修期内出现的任何与成交供应商课程相关的问题或故障，成交供应商应在接到采购人通知的24小时内免费维修或更换。</w:t>
      </w:r>
    </w:p>
    <w:p>
      <w:pPr>
        <w:pStyle w:val="2"/>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2.2 在维保期内，用户在使用过程中如出现任何对课程使用有疑问的情况，成交供应商必须在接到用户通报后1个工作日内给予明确答复，如有需要，3个工作日内到达现场解决问题，相关差旅、住宿费用自行承担。</w:t>
      </w:r>
    </w:p>
    <w:p>
      <w:pPr>
        <w:pStyle w:val="2"/>
        <w:keepNext w:val="0"/>
        <w:keepLines w:val="0"/>
        <w:pageBreakBefore w:val="0"/>
        <w:widowControl w:val="0"/>
        <w:kinsoku/>
        <w:wordWrap/>
        <w:overflowPunct/>
        <w:topLinePunct w:val="0"/>
        <w:bidi w:val="0"/>
        <w:snapToGrid/>
        <w:spacing w:line="360" w:lineRule="auto"/>
        <w:ind w:firstLine="420" w:firstLineChars="200"/>
        <w:textAlignment w:val="auto"/>
        <w:rPr>
          <w:rFonts w:hint="eastAsia"/>
          <w:color w:val="auto"/>
          <w:lang w:val="en-US" w:eastAsia="zh-CN"/>
        </w:rPr>
      </w:pPr>
      <w:r>
        <w:rPr>
          <w:rFonts w:hint="eastAsia" w:ascii="宋体" w:hAnsi="宋体" w:eastAsia="宋体" w:cs="宋体"/>
          <w:color w:val="auto"/>
          <w:lang w:val="en-US" w:eastAsia="zh-CN"/>
        </w:rPr>
        <w:t>2.3 成交供应商应给出保修期结束之后对所提供的课程的服务支持方式和收费标准。质保期内，提供不少于2次免费修改（总量不超过课程量的15%）。</w:t>
      </w:r>
    </w:p>
    <w:p>
      <w:pPr>
        <w:pStyle w:val="11"/>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3、实施人员要求：成交供应商应免费为学校的管理人员、技术人员、老师进行系统、完善的整体培训及使用方法培训等。制片组为制作要求确定制作形式并评估。</w:t>
      </w:r>
    </w:p>
    <w:p>
      <w:pPr>
        <w:pStyle w:val="11"/>
        <w:keepNext w:val="0"/>
        <w:keepLines w:val="0"/>
        <w:pageBreakBefore w:val="0"/>
        <w:widowControl w:val="0"/>
        <w:kinsoku/>
        <w:wordWrap/>
        <w:overflowPunct/>
        <w:topLinePunct w:val="0"/>
        <w:bidi w:val="0"/>
        <w:snapToGrid/>
        <w:spacing w:after="0" w:line="360" w:lineRule="auto"/>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4、培训要求：</w:t>
      </w:r>
    </w:p>
    <w:p>
      <w:pPr>
        <w:pStyle w:val="11"/>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4.1 须组建专职服务团队，并保证服务团队人员不低于6人，并按项目要求进行相关人员指导培训，提供分层次培训，包括操作用户培训、系统管理员培训。</w:t>
      </w:r>
    </w:p>
    <w:p>
      <w:pPr>
        <w:pStyle w:val="11"/>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4.2 安装调试到位后的课程由中标供应商及采购人共同进行质量验收签字。采购方预先提供验收标准，填写验收报告书，供双方最终确认使用。</w:t>
      </w:r>
    </w:p>
    <w:p>
      <w:pPr>
        <w:pStyle w:val="11"/>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4.3 成交供应商应负责对采购方人员进行专业培训，直至采购方能完全操作。凡采购项目需要培训的应为安装现场培训(如需去厂家培训、考察、验收等异地费用不含在投标总价内，即不列入政府采购费用支出)</w:t>
      </w:r>
    </w:p>
    <w:p>
      <w:pPr>
        <w:autoSpaceDE w:val="0"/>
        <w:autoSpaceDN w:val="0"/>
        <w:adjustRightInd w:val="0"/>
        <w:spacing w:line="360" w:lineRule="auto"/>
        <w:outlineLvl w:val="9"/>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5、知识产权：课程视频制作过程中，供应商保证提供的视频不侵犯任何第三方的专利、商标或版权，否则，供应商须承担对第三方的专利或版权的侵权责任并承担因此而发生的所有费用。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6、服务地点：武汉工程大学</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7、履约保证金：无</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8、付款方式：根据每次委派的任务量，按照成交单价进行据实结算。付款方式以合同签订为准。</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p>
    <w:p>
      <w:pPr>
        <w:outlineLvl w:val="9"/>
        <w:rPr>
          <w:rFonts w:hint="eastAsia"/>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p>
    <w:p>
      <w:pPr>
        <w:pStyle w:val="3"/>
        <w:numPr>
          <w:ilvl w:val="0"/>
          <w:numId w:val="4"/>
        </w:numPr>
        <w:jc w:val="center"/>
        <w:rPr>
          <w:rFonts w:hint="eastAsia" w:asciiTheme="minorEastAsia" w:hAnsiTheme="minorEastAsia" w:eastAsiaTheme="minorEastAsia" w:cstheme="minorEastAsia"/>
          <w:szCs w:val="21"/>
        </w:rPr>
      </w:pPr>
      <w:bookmarkStart w:id="108" w:name="_Toc22332"/>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08"/>
    </w:p>
    <w:p>
      <w:pPr>
        <w:spacing w:line="360" w:lineRule="auto"/>
        <w:outlineLvl w:val="1"/>
        <w:rPr>
          <w:rFonts w:hint="eastAsia" w:asciiTheme="minorEastAsia" w:hAnsiTheme="minorEastAsia" w:eastAsiaTheme="minorEastAsia" w:cstheme="minorEastAsia"/>
          <w:b/>
          <w:szCs w:val="21"/>
        </w:rPr>
      </w:pPr>
      <w:bookmarkStart w:id="109" w:name="_Toc6587"/>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09"/>
    </w:p>
    <w:tbl>
      <w:tblPr>
        <w:tblStyle w:val="27"/>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color w:val="auto"/>
                <w:lang w:val="zh-CN"/>
              </w:rPr>
            </w:pPr>
            <w:r>
              <w:rPr>
                <w:rFonts w:hint="eastAsia"/>
                <w:color w:val="auto"/>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color w:val="auto"/>
                <w:lang w:val="zh-CN"/>
              </w:rPr>
            </w:pPr>
            <w:r>
              <w:rPr>
                <w:rFonts w:hint="eastAsia" w:ascii="Times New Roman" w:hAnsi="Times New Roman" w:cs="Times New Roman"/>
                <w:color w:val="auto"/>
                <w:lang w:val="zh-CN"/>
              </w:rPr>
              <w:t>2、参与本项目采购活动前，已为本项目提供过整体设计、规范编制或者项目管理、监理、检测等服务的供应商。</w:t>
            </w:r>
          </w:p>
          <w:p>
            <w:pPr>
              <w:widowControl/>
              <w:spacing w:line="280" w:lineRule="exact"/>
              <w:jc w:val="left"/>
              <w:rPr>
                <w:rFonts w:hint="eastAsia"/>
                <w:color w:val="auto"/>
                <w:lang w:val="zh-CN"/>
              </w:rPr>
            </w:pPr>
            <w:r>
              <w:rPr>
                <w:rFonts w:hint="eastAsia" w:ascii="Times New Roman" w:hAnsi="Times New Roman" w:cs="Times New Roman"/>
                <w:b w:val="0"/>
                <w:bCs w:val="0"/>
                <w:color w:val="auto"/>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6"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经营范围</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val="en-US" w:eastAsia="zh-CN"/>
              </w:rPr>
              <w:t>未</w:t>
            </w:r>
            <w:r>
              <w:rPr>
                <w:rFonts w:hint="eastAsia" w:asciiTheme="minorEastAsia" w:hAnsiTheme="minorEastAsia" w:eastAsiaTheme="minorEastAsia" w:cstheme="minorEastAsia"/>
                <w:color w:val="auto"/>
                <w:kern w:val="0"/>
                <w:szCs w:val="21"/>
              </w:rPr>
              <w:t>超出经营范围</w:t>
            </w:r>
            <w:r>
              <w:rPr>
                <w:rFonts w:hint="eastAsia" w:asciiTheme="minorEastAsia" w:hAnsiTheme="minorEastAsia" w:eastAsiaTheme="minorEastAsia" w:cstheme="minorEastAsia"/>
                <w:color w:val="auto"/>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商务需求</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10" w:name="_Toc18452"/>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10"/>
    </w:p>
    <w:tbl>
      <w:tblPr>
        <w:tblStyle w:val="27"/>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p>
    <w:p>
      <w:pPr>
        <w:pStyle w:val="21"/>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szCs w:val="21"/>
          <w:lang w:val="en-US" w:eastAsia="zh-CN"/>
        </w:rPr>
      </w:pPr>
      <w:bookmarkStart w:id="111" w:name="_Toc13177"/>
      <w:r>
        <w:rPr>
          <w:rFonts w:hint="eastAsia" w:asciiTheme="minorEastAsia" w:hAnsiTheme="minorEastAsia" w:eastAsiaTheme="minorEastAsia" w:cstheme="minorEastAsia"/>
          <w:b/>
          <w:szCs w:val="21"/>
          <w:lang w:val="en-US" w:eastAsia="zh-CN"/>
        </w:rPr>
        <w:br w:type="page"/>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11"/>
    </w:p>
    <w:tbl>
      <w:tblPr>
        <w:tblStyle w:val="27"/>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216"/>
        <w:gridCol w:w="667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spacing w:line="240" w:lineRule="auto"/>
              <w:jc w:val="center"/>
              <w:rPr>
                <w:rFonts w:hint="eastAsia" w:ascii="宋体" w:hAnsi="宋体" w:eastAsia="宋体" w:cs="宋体"/>
                <w:b/>
                <w:bCs/>
                <w:color w:val="auto"/>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16" w:type="dxa"/>
            <w:tcBorders>
              <w:top w:val="single" w:color="auto" w:sz="12" w:space="0"/>
            </w:tcBorders>
            <w:vAlign w:val="center"/>
          </w:tcPr>
          <w:p>
            <w:pPr>
              <w:spacing w:line="24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6672" w:type="dxa"/>
            <w:tcBorders>
              <w:top w:val="single" w:color="auto" w:sz="12" w:space="0"/>
            </w:tcBorders>
            <w:vAlign w:val="center"/>
          </w:tcPr>
          <w:p>
            <w:pPr>
              <w:spacing w:line="24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664" w:type="dxa"/>
            <w:tcBorders>
              <w:top w:val="single" w:color="auto" w:sz="12" w:space="0"/>
            </w:tcBorders>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240" w:lineRule="auto"/>
              <w:jc w:val="center"/>
              <w:textAlignment w:val="center"/>
              <w:rPr>
                <w:rFonts w:hint="eastAsia" w:ascii="宋体" w:hAnsi="宋体" w:eastAsia="宋体" w:cs="宋体"/>
                <w:color w:val="auto"/>
                <w:spacing w:val="-6"/>
                <w:sz w:val="21"/>
                <w:szCs w:val="21"/>
              </w:rPr>
            </w:pPr>
            <w:r>
              <w:rPr>
                <w:rFonts w:hint="eastAsia" w:ascii="宋体" w:hAnsi="宋体" w:eastAsia="宋体" w:cs="宋体"/>
                <w:color w:val="auto"/>
                <w:kern w:val="0"/>
                <w:szCs w:val="21"/>
                <w:lang w:val="en-US" w:eastAsia="zh-CN" w:bidi="ar"/>
              </w:rPr>
              <w:t>竞标</w:t>
            </w:r>
            <w:r>
              <w:rPr>
                <w:rFonts w:hint="eastAsia" w:ascii="宋体" w:hAnsi="宋体" w:eastAsia="宋体" w:cs="宋体"/>
                <w:color w:val="auto"/>
                <w:kern w:val="0"/>
                <w:szCs w:val="21"/>
                <w:lang w:bidi="ar"/>
              </w:rPr>
              <w:t>报价</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val="en-US" w:eastAsia="zh-CN" w:bidi="ar"/>
              </w:rPr>
              <w:t>10</w:t>
            </w:r>
            <w:r>
              <w:rPr>
                <w:rFonts w:hint="eastAsia" w:ascii="宋体" w:hAnsi="宋体" w:eastAsia="宋体" w:cs="宋体"/>
                <w:color w:val="auto"/>
                <w:kern w:val="0"/>
                <w:szCs w:val="21"/>
                <w:lang w:bidi="ar"/>
              </w:rPr>
              <w:t>分</w:t>
            </w:r>
          </w:p>
        </w:tc>
        <w:tc>
          <w:tcPr>
            <w:tcW w:w="1216" w:type="dxa"/>
            <w:vAlign w:val="center"/>
          </w:tcPr>
          <w:p>
            <w:pPr>
              <w:widowControl/>
              <w:spacing w:line="240" w:lineRule="auto"/>
              <w:jc w:val="center"/>
              <w:textAlignment w:val="center"/>
              <w:rPr>
                <w:rFonts w:hint="eastAsia" w:ascii="宋体" w:hAnsi="宋体" w:eastAsia="宋体" w:cs="宋体"/>
                <w:color w:val="auto"/>
                <w:spacing w:val="-6"/>
                <w:sz w:val="21"/>
                <w:szCs w:val="21"/>
              </w:rPr>
            </w:pPr>
            <w:r>
              <w:rPr>
                <w:rFonts w:hint="eastAsia" w:ascii="宋体" w:hAnsi="宋体" w:eastAsia="宋体" w:cs="宋体"/>
                <w:color w:val="auto"/>
                <w:kern w:val="0"/>
                <w:szCs w:val="21"/>
                <w:lang w:val="en-US" w:eastAsia="zh-CN" w:bidi="ar"/>
              </w:rPr>
              <w:t>最后</w:t>
            </w:r>
            <w:r>
              <w:rPr>
                <w:rFonts w:hint="eastAsia" w:ascii="宋体" w:hAnsi="宋体" w:eastAsia="宋体" w:cs="宋体"/>
                <w:color w:val="auto"/>
                <w:kern w:val="0"/>
                <w:szCs w:val="21"/>
                <w:lang w:bidi="ar"/>
              </w:rPr>
              <w:t>报价</w:t>
            </w:r>
          </w:p>
        </w:tc>
        <w:tc>
          <w:tcPr>
            <w:tcW w:w="6672" w:type="dxa"/>
            <w:vAlign w:val="center"/>
          </w:tcPr>
          <w:p>
            <w:pPr>
              <w:widowControl/>
              <w:spacing w:line="240" w:lineRule="auto"/>
              <w:jc w:val="left"/>
              <w:textAlignment w:val="center"/>
              <w:rPr>
                <w:rFonts w:hint="eastAsia" w:ascii="宋体" w:hAnsi="宋体" w:eastAsia="宋体" w:cs="宋体"/>
                <w:color w:val="auto"/>
                <w:lang w:eastAsia="zh-CN"/>
              </w:rPr>
            </w:pPr>
            <w:r>
              <w:rPr>
                <w:rFonts w:hint="eastAsia" w:ascii="宋体" w:hAnsi="宋体" w:eastAsia="宋体" w:cs="宋体"/>
                <w:color w:val="auto"/>
              </w:rPr>
              <w:t>1、报价采用低价优先法计算，即满足</w:t>
            </w:r>
            <w:r>
              <w:rPr>
                <w:rFonts w:hint="eastAsia" w:ascii="宋体" w:hAnsi="宋体" w:eastAsia="宋体" w:cs="宋体"/>
                <w:color w:val="auto"/>
                <w:lang w:val="en-US" w:eastAsia="zh-CN"/>
              </w:rPr>
              <w:t>磋商</w:t>
            </w:r>
            <w:r>
              <w:rPr>
                <w:rFonts w:hint="eastAsia" w:ascii="宋体" w:hAnsi="宋体" w:eastAsia="宋体" w:cs="宋体"/>
                <w:color w:val="auto"/>
              </w:rPr>
              <w:t>采购文件要求且报价最低的报价为磋商基准价，其报价分为满分</w:t>
            </w:r>
            <w:r>
              <w:rPr>
                <w:rFonts w:hint="eastAsia" w:ascii="宋体" w:hAnsi="宋体" w:eastAsia="宋体" w:cs="宋体"/>
                <w:color w:val="auto"/>
                <w:kern w:val="0"/>
                <w:szCs w:val="21"/>
                <w:lang w:val="en-US" w:eastAsia="zh-CN" w:bidi="ar"/>
              </w:rPr>
              <w:t>10</w:t>
            </w:r>
            <w:r>
              <w:rPr>
                <w:rFonts w:hint="eastAsia" w:ascii="宋体" w:hAnsi="宋体" w:eastAsia="宋体" w:cs="宋体"/>
                <w:color w:val="auto"/>
              </w:rPr>
              <w:t>分</w:t>
            </w:r>
            <w:r>
              <w:rPr>
                <w:rFonts w:hint="eastAsia" w:ascii="宋体" w:hAnsi="宋体" w:eastAsia="宋体" w:cs="宋体"/>
                <w:color w:val="auto"/>
                <w:lang w:eastAsia="zh-CN"/>
              </w:rPr>
              <w:t>；</w:t>
            </w:r>
          </w:p>
          <w:p>
            <w:pPr>
              <w:widowControl/>
              <w:spacing w:line="240" w:lineRule="auto"/>
              <w:jc w:val="left"/>
              <w:textAlignment w:val="center"/>
              <w:rPr>
                <w:rFonts w:hint="eastAsia" w:ascii="宋体" w:hAnsi="宋体" w:eastAsia="宋体" w:cs="宋体"/>
                <w:color w:val="auto"/>
              </w:rPr>
            </w:pPr>
            <w:r>
              <w:rPr>
                <w:rFonts w:hint="eastAsia" w:ascii="宋体" w:hAnsi="宋体" w:eastAsia="宋体" w:cs="宋体"/>
                <w:color w:val="auto"/>
              </w:rPr>
              <w:t>2、其他供应商的报价分按照下列公式计算：</w:t>
            </w:r>
          </w:p>
          <w:p>
            <w:pPr>
              <w:widowControl/>
              <w:spacing w:line="240" w:lineRule="auto"/>
              <w:jc w:val="left"/>
              <w:textAlignment w:val="center"/>
              <w:rPr>
                <w:rFonts w:hint="eastAsia" w:ascii="宋体" w:hAnsi="宋体" w:eastAsia="宋体" w:cs="宋体"/>
                <w:color w:val="auto"/>
                <w:lang w:val="en-US" w:eastAsia="zh-CN"/>
              </w:rPr>
            </w:pPr>
            <w:r>
              <w:rPr>
                <w:rFonts w:hint="eastAsia" w:ascii="宋体" w:hAnsi="宋体" w:eastAsia="宋体" w:cs="宋体"/>
                <w:color w:val="auto"/>
              </w:rPr>
              <w:t>报价分=（磋商基准价/磋商报价）×</w:t>
            </w:r>
            <w:r>
              <w:rPr>
                <w:rFonts w:hint="eastAsia" w:ascii="宋体" w:hAnsi="宋体" w:eastAsia="宋体" w:cs="宋体"/>
                <w:color w:val="auto"/>
                <w:kern w:val="0"/>
                <w:szCs w:val="21"/>
                <w:lang w:val="en-US" w:eastAsia="zh-CN" w:bidi="ar"/>
              </w:rPr>
              <w:t>10</w:t>
            </w:r>
          </w:p>
          <w:p>
            <w:pPr>
              <w:widowControl/>
              <w:spacing w:line="240" w:lineRule="auto"/>
              <w:jc w:val="left"/>
              <w:textAlignment w:val="center"/>
              <w:rPr>
                <w:rFonts w:hint="eastAsia" w:ascii="宋体" w:hAnsi="宋体" w:eastAsia="宋体" w:cs="宋体"/>
                <w:b/>
                <w:bCs/>
                <w:color w:val="auto"/>
              </w:rPr>
            </w:pPr>
            <w:r>
              <w:rPr>
                <w:rFonts w:hint="eastAsia" w:ascii="宋体" w:hAnsi="宋体" w:eastAsia="宋体" w:cs="宋体"/>
                <w:b/>
                <w:bCs/>
                <w:color w:val="auto"/>
              </w:rPr>
              <w:t>备注：</w:t>
            </w:r>
            <w:r>
              <w:rPr>
                <w:rFonts w:hint="eastAsia" w:ascii="宋体" w:hAnsi="宋体" w:eastAsia="宋体" w:cs="宋体"/>
                <w:b/>
                <w:bCs/>
                <w:color w:val="auto"/>
                <w:lang w:val="en-US" w:eastAsia="zh-CN"/>
              </w:rPr>
              <w:t>1、</w:t>
            </w:r>
            <w:r>
              <w:rPr>
                <w:rFonts w:hint="eastAsia" w:ascii="宋体" w:hAnsi="宋体" w:eastAsia="宋体" w:cs="宋体"/>
                <w:b/>
                <w:bCs/>
                <w:color w:val="auto"/>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40" w:lineRule="auto"/>
              <w:jc w:val="left"/>
              <w:textAlignment w:val="center"/>
              <w:rPr>
                <w:rFonts w:hint="eastAsia" w:ascii="宋体" w:hAnsi="宋体" w:eastAsia="宋体" w:cs="宋体"/>
                <w:color w:val="auto"/>
              </w:rPr>
            </w:pPr>
            <w:r>
              <w:rPr>
                <w:rFonts w:hint="eastAsia" w:ascii="宋体" w:hAnsi="宋体" w:eastAsia="宋体" w:cs="宋体"/>
                <w:b/>
                <w:bCs/>
                <w:color w:val="auto"/>
                <w:lang w:val="en-US" w:eastAsia="zh-CN"/>
              </w:rPr>
              <w:t>2、</w:t>
            </w:r>
            <w:r>
              <w:rPr>
                <w:rFonts w:hint="eastAsia" w:ascii="宋体" w:hAnsi="宋体" w:eastAsia="宋体" w:cs="宋体"/>
                <w:b/>
                <w:bCs/>
                <w:color w:val="auto"/>
              </w:rPr>
              <w:t>符合本磋商文件第</w:t>
            </w:r>
            <w:r>
              <w:rPr>
                <w:rFonts w:hint="eastAsia" w:ascii="宋体" w:hAnsi="宋体" w:eastAsia="宋体" w:cs="宋体"/>
                <w:b/>
                <w:bCs/>
                <w:color w:val="auto"/>
                <w:lang w:val="en-US" w:eastAsia="zh-CN"/>
              </w:rPr>
              <w:t>四</w:t>
            </w:r>
            <w:r>
              <w:rPr>
                <w:rFonts w:hint="eastAsia" w:ascii="宋体" w:hAnsi="宋体" w:eastAsia="宋体" w:cs="宋体"/>
                <w:b/>
                <w:bCs/>
                <w:color w:val="auto"/>
              </w:rPr>
              <w:t>章“政策支持”</w:t>
            </w:r>
            <w:r>
              <w:rPr>
                <w:rFonts w:hint="eastAsia" w:ascii="宋体" w:hAnsi="宋体" w:eastAsia="宋体" w:cs="宋体"/>
                <w:b/>
                <w:bCs/>
                <w:color w:val="auto"/>
                <w:lang w:val="en-US" w:eastAsia="zh-CN"/>
              </w:rPr>
              <w:t>条件</w:t>
            </w:r>
            <w:r>
              <w:rPr>
                <w:rFonts w:hint="eastAsia" w:ascii="宋体" w:hAnsi="宋体" w:eastAsia="宋体" w:cs="宋体"/>
                <w:b/>
                <w:bCs/>
                <w:color w:val="auto"/>
              </w:rPr>
              <w:t>的，在评审时予以价格扣除，用扣除后的价格参与评审。</w:t>
            </w:r>
          </w:p>
        </w:tc>
        <w:tc>
          <w:tcPr>
            <w:tcW w:w="664" w:type="dxa"/>
            <w:vAlign w:val="center"/>
          </w:tcPr>
          <w:p>
            <w:pPr>
              <w:widowControl/>
              <w:spacing w:line="240" w:lineRule="auto"/>
              <w:jc w:val="center"/>
              <w:textAlignment w:val="center"/>
              <w:rPr>
                <w:rFonts w:hint="eastAsia" w:ascii="宋体" w:hAnsi="宋体" w:eastAsia="宋体" w:cs="宋体"/>
                <w:color w:val="auto"/>
              </w:rPr>
            </w:pPr>
            <w:r>
              <w:rPr>
                <w:rFonts w:hint="eastAsia" w:ascii="宋体" w:hAnsi="宋体" w:eastAsia="宋体" w:cs="宋体"/>
                <w:color w:val="auto"/>
                <w:kern w:val="0"/>
                <w:szCs w:val="21"/>
                <w:lang w:val="en-US" w:eastAsia="zh-CN" w:bidi="ar"/>
              </w:rPr>
              <w:t>10</w:t>
            </w:r>
            <w:r>
              <w:rPr>
                <w:rFonts w:hint="eastAsia" w:ascii="宋体" w:hAnsi="宋体" w:eastAsia="宋体" w:cs="宋体"/>
                <w:color w:val="auto"/>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商务</w:t>
            </w:r>
            <w:r>
              <w:rPr>
                <w:rFonts w:hint="eastAsia" w:ascii="宋体" w:hAnsi="宋体" w:eastAsia="宋体" w:cs="宋体"/>
                <w:color w:val="auto"/>
                <w:spacing w:val="-6"/>
                <w:sz w:val="21"/>
                <w:szCs w:val="21"/>
                <w:lang w:val="en-US" w:eastAsia="zh-CN"/>
              </w:rPr>
              <w:t>40</w:t>
            </w:r>
            <w:r>
              <w:rPr>
                <w:rFonts w:hint="eastAsia" w:ascii="宋体" w:hAnsi="宋体" w:eastAsia="宋体" w:cs="宋体"/>
                <w:color w:val="auto"/>
                <w:spacing w:val="-6"/>
                <w:sz w:val="21"/>
                <w:szCs w:val="21"/>
              </w:rPr>
              <w:t>分</w:t>
            </w:r>
          </w:p>
        </w:tc>
        <w:tc>
          <w:tcPr>
            <w:tcW w:w="1216" w:type="dxa"/>
            <w:vAlign w:val="center"/>
          </w:tcPr>
          <w:p>
            <w:pPr>
              <w:spacing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类似业绩</w:t>
            </w:r>
          </w:p>
        </w:tc>
        <w:tc>
          <w:tcPr>
            <w:tcW w:w="6672" w:type="dxa"/>
            <w:vAlign w:val="center"/>
          </w:tcPr>
          <w:p>
            <w:pPr>
              <w:rPr>
                <w:rFonts w:hint="eastAsia" w:ascii="宋体" w:hAnsi="宋体" w:eastAsia="宋体" w:cs="宋体"/>
                <w:color w:val="auto"/>
                <w:lang w:val="en-US" w:eastAsia="zh-CN"/>
              </w:rPr>
            </w:pPr>
            <w:r>
              <w:rPr>
                <w:rFonts w:hint="eastAsia" w:ascii="宋体" w:hAnsi="宋体" w:eastAsia="宋体" w:cs="宋体"/>
                <w:color w:val="auto"/>
              </w:rPr>
              <w:t>近三年（</w:t>
            </w:r>
            <w:r>
              <w:rPr>
                <w:rFonts w:hint="eastAsia" w:ascii="宋体" w:hAnsi="宋体" w:eastAsia="宋体" w:cs="宋体"/>
                <w:color w:val="auto"/>
                <w:lang w:eastAsia="zh-CN"/>
              </w:rPr>
              <w:t>磋商</w:t>
            </w:r>
            <w:r>
              <w:rPr>
                <w:rFonts w:hint="eastAsia" w:ascii="宋体" w:hAnsi="宋体" w:eastAsia="宋体" w:cs="宋体"/>
                <w:color w:val="auto"/>
              </w:rPr>
              <w:t>截止时间往前推算36个月）具有类似</w:t>
            </w:r>
            <w:r>
              <w:rPr>
                <w:rFonts w:hint="eastAsia" w:ascii="宋体" w:hAnsi="宋体" w:eastAsia="宋体" w:cs="宋体"/>
                <w:color w:val="auto"/>
                <w:lang w:eastAsia="zh-CN"/>
              </w:rPr>
              <w:t>服务</w:t>
            </w:r>
            <w:r>
              <w:rPr>
                <w:rFonts w:hint="eastAsia" w:ascii="宋体" w:hAnsi="宋体" w:eastAsia="宋体" w:cs="宋体"/>
                <w:color w:val="auto"/>
              </w:rPr>
              <w:t>业绩的，每个得</w:t>
            </w:r>
            <w:r>
              <w:rPr>
                <w:rFonts w:hint="eastAsia" w:ascii="宋体" w:hAnsi="宋体" w:eastAsia="宋体" w:cs="宋体"/>
                <w:color w:val="auto"/>
                <w:lang w:val="en-US" w:eastAsia="zh-CN"/>
              </w:rPr>
              <w:t>2</w:t>
            </w:r>
            <w:r>
              <w:rPr>
                <w:rFonts w:hint="eastAsia" w:ascii="宋体" w:hAnsi="宋体" w:eastAsia="宋体" w:cs="宋体"/>
                <w:color w:val="auto"/>
              </w:rPr>
              <w:t>分，最多得</w:t>
            </w:r>
            <w:r>
              <w:rPr>
                <w:rFonts w:hint="eastAsia" w:ascii="宋体" w:hAnsi="宋体" w:eastAsia="宋体" w:cs="宋体"/>
                <w:color w:val="auto"/>
                <w:lang w:eastAsia="zh-CN"/>
              </w:rPr>
              <w:t>6</w:t>
            </w:r>
            <w:r>
              <w:rPr>
                <w:rFonts w:hint="eastAsia" w:ascii="宋体" w:hAnsi="宋体" w:eastAsia="宋体" w:cs="宋体"/>
                <w:color w:val="auto"/>
              </w:rPr>
              <w:t>分；（需提供合同真彩扫描件并加盖公章，未提供不得分）</w:t>
            </w:r>
          </w:p>
        </w:tc>
        <w:tc>
          <w:tcPr>
            <w:tcW w:w="664" w:type="dxa"/>
            <w:vAlign w:val="center"/>
          </w:tcPr>
          <w:p>
            <w:pPr>
              <w:spacing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jc w:val="center"/>
              <w:rPr>
                <w:rFonts w:hint="eastAsia" w:ascii="宋体" w:hAnsi="宋体" w:eastAsia="宋体" w:cs="宋体"/>
                <w:color w:val="auto"/>
                <w:spacing w:val="-6"/>
                <w:sz w:val="21"/>
                <w:szCs w:val="21"/>
              </w:rPr>
            </w:pPr>
          </w:p>
        </w:tc>
        <w:tc>
          <w:tcPr>
            <w:tcW w:w="1216" w:type="dxa"/>
            <w:vAlign w:val="center"/>
          </w:tcPr>
          <w:p>
            <w:pPr>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用户评价</w:t>
            </w:r>
          </w:p>
        </w:tc>
        <w:tc>
          <w:tcPr>
            <w:tcW w:w="6672" w:type="dxa"/>
            <w:vAlign w:val="center"/>
          </w:tcPr>
          <w:p>
            <w:pPr>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提供近三年（</w:t>
            </w:r>
            <w:r>
              <w:rPr>
                <w:rFonts w:hint="eastAsia" w:ascii="宋体" w:hAnsi="宋体" w:eastAsia="宋体" w:cs="宋体"/>
                <w:color w:val="auto"/>
                <w:sz w:val="21"/>
                <w:szCs w:val="21"/>
                <w:lang w:eastAsia="zh-CN"/>
              </w:rPr>
              <w:t>磋商</w:t>
            </w:r>
            <w:r>
              <w:rPr>
                <w:rFonts w:hint="eastAsia" w:ascii="宋体" w:hAnsi="宋体" w:eastAsia="宋体" w:cs="宋体"/>
                <w:color w:val="auto"/>
                <w:sz w:val="21"/>
                <w:szCs w:val="21"/>
              </w:rPr>
              <w:t>截止时间往前推算36个月）用户出具的满意评价证明（课程负责人签字），每提供一个得0.5分，最高得3分。（需提供课程负责人签字的满意评价证明）</w:t>
            </w:r>
          </w:p>
        </w:tc>
        <w:tc>
          <w:tcPr>
            <w:tcW w:w="664" w:type="dxa"/>
            <w:vAlign w:val="center"/>
          </w:tcPr>
          <w:p>
            <w:pPr>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Align w:val="center"/>
          </w:tcPr>
          <w:p>
            <w:pPr>
              <w:spacing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财务状况</w:t>
            </w:r>
          </w:p>
        </w:tc>
        <w:tc>
          <w:tcPr>
            <w:tcW w:w="6672" w:type="dxa"/>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根据</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提供的近三年（2017、2018、2019）财务报告，能提供则得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分，不能提供不得分。</w:t>
            </w:r>
          </w:p>
          <w:p>
            <w:pPr>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（成立不足三年的按公司成立时间起算）</w:t>
            </w:r>
          </w:p>
        </w:tc>
        <w:tc>
          <w:tcPr>
            <w:tcW w:w="664" w:type="dxa"/>
            <w:vAlign w:val="center"/>
          </w:tcPr>
          <w:p>
            <w:pPr>
              <w:spacing w:line="240" w:lineRule="auto"/>
              <w:jc w:val="left"/>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Merge w:val="restart"/>
            <w:vAlign w:val="center"/>
          </w:tcPr>
          <w:p>
            <w:pPr>
              <w:widowControl/>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企业综合实力</w:t>
            </w:r>
          </w:p>
          <w:p>
            <w:pPr>
              <w:spacing w:line="240" w:lineRule="auto"/>
              <w:rPr>
                <w:rFonts w:hint="eastAsia" w:ascii="宋体" w:hAnsi="宋体" w:eastAsia="宋体" w:cs="宋体"/>
                <w:color w:val="auto"/>
                <w:spacing w:val="-6"/>
                <w:kern w:val="2"/>
                <w:sz w:val="21"/>
                <w:szCs w:val="21"/>
                <w:lang w:val="en-US" w:eastAsia="zh-CN" w:bidi="ar-SA"/>
              </w:rPr>
            </w:pPr>
          </w:p>
        </w:tc>
        <w:tc>
          <w:tcPr>
            <w:tcW w:w="6672" w:type="dxa"/>
            <w:vAlign w:val="center"/>
          </w:tcPr>
          <w:p>
            <w:pPr>
              <w:widowControl/>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eastAsia="zh-CN"/>
              </w:rPr>
              <w:t>提供含</w:t>
            </w:r>
            <w:r>
              <w:rPr>
                <w:rFonts w:hint="eastAsia" w:ascii="宋体" w:hAnsi="宋体" w:eastAsia="宋体" w:cs="宋体"/>
                <w:color w:val="auto"/>
                <w:szCs w:val="21"/>
              </w:rPr>
              <w:t>有“课件编辑”字样的计算机软件著作权登记证</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2分，</w:t>
            </w:r>
            <w:r>
              <w:rPr>
                <w:rFonts w:hint="eastAsia" w:ascii="宋体" w:hAnsi="宋体" w:eastAsia="宋体" w:cs="宋体"/>
                <w:color w:val="auto"/>
                <w:sz w:val="21"/>
                <w:szCs w:val="21"/>
              </w:rPr>
              <w:t>不提供的不得分</w:t>
            </w:r>
            <w:r>
              <w:rPr>
                <w:rFonts w:hint="eastAsia" w:ascii="宋体" w:hAnsi="宋体" w:eastAsia="宋体" w:cs="宋体"/>
                <w:color w:val="auto"/>
                <w:szCs w:val="21"/>
              </w:rPr>
              <w:t>；</w:t>
            </w:r>
          </w:p>
        </w:tc>
        <w:tc>
          <w:tcPr>
            <w:tcW w:w="664" w:type="dxa"/>
            <w:vAlign w:val="center"/>
          </w:tcPr>
          <w:p>
            <w:pPr>
              <w:widowControl/>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widowControl/>
              <w:spacing w:line="240" w:lineRule="auto"/>
              <w:jc w:val="left"/>
              <w:textAlignment w:val="center"/>
              <w:rPr>
                <w:rFonts w:hint="eastAsia" w:ascii="宋体" w:hAnsi="宋体" w:eastAsia="宋体" w:cs="宋体"/>
                <w:color w:val="auto"/>
              </w:rPr>
            </w:pPr>
          </w:p>
        </w:tc>
        <w:tc>
          <w:tcPr>
            <w:tcW w:w="1216" w:type="dxa"/>
            <w:vMerge w:val="continue"/>
            <w:vAlign w:val="center"/>
          </w:tcPr>
          <w:p>
            <w:pPr>
              <w:widowControl/>
              <w:spacing w:line="240" w:lineRule="auto"/>
              <w:jc w:val="left"/>
              <w:textAlignment w:val="center"/>
              <w:rPr>
                <w:rFonts w:hint="eastAsia" w:ascii="宋体" w:hAnsi="宋体" w:eastAsia="宋体" w:cs="宋体"/>
                <w:color w:val="auto"/>
              </w:rPr>
            </w:pPr>
          </w:p>
        </w:tc>
        <w:tc>
          <w:tcPr>
            <w:tcW w:w="6672" w:type="dxa"/>
            <w:vAlign w:val="center"/>
          </w:tcPr>
          <w:p>
            <w:pPr>
              <w:widowControl/>
              <w:spacing w:line="240" w:lineRule="auto"/>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Cs w:val="21"/>
                <w:lang w:eastAsia="zh-CN"/>
              </w:rPr>
              <w:t>提供含</w:t>
            </w:r>
            <w:r>
              <w:rPr>
                <w:rFonts w:hint="eastAsia" w:ascii="宋体" w:hAnsi="宋体" w:eastAsia="宋体" w:cs="宋体"/>
                <w:color w:val="auto"/>
                <w:szCs w:val="21"/>
              </w:rPr>
              <w:t>有“教学内容分发”字样的计算机软件著作权登记证</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2分，</w:t>
            </w:r>
            <w:r>
              <w:rPr>
                <w:rFonts w:hint="eastAsia" w:ascii="宋体" w:hAnsi="宋体" w:eastAsia="宋体" w:cs="宋体"/>
                <w:color w:val="auto"/>
                <w:sz w:val="21"/>
                <w:szCs w:val="21"/>
              </w:rPr>
              <w:t>不提供的不得分</w:t>
            </w:r>
            <w:r>
              <w:rPr>
                <w:rFonts w:hint="eastAsia" w:ascii="宋体" w:hAnsi="宋体" w:eastAsia="宋体" w:cs="宋体"/>
                <w:color w:val="auto"/>
                <w:szCs w:val="21"/>
                <w:lang w:val="en-US" w:eastAsia="zh-CN"/>
              </w:rPr>
              <w:t>；</w:t>
            </w:r>
          </w:p>
        </w:tc>
        <w:tc>
          <w:tcPr>
            <w:tcW w:w="664"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121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6672"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Cs w:val="21"/>
                <w:lang w:eastAsia="zh-CN"/>
              </w:rPr>
              <w:t>提供含</w:t>
            </w:r>
            <w:r>
              <w:rPr>
                <w:rFonts w:hint="eastAsia" w:ascii="宋体" w:hAnsi="宋体" w:eastAsia="宋体" w:cs="宋体"/>
                <w:color w:val="auto"/>
                <w:szCs w:val="21"/>
              </w:rPr>
              <w:t>有“社会学习平台”字样的计算机软件著作权登记证书</w:t>
            </w:r>
            <w:r>
              <w:rPr>
                <w:rFonts w:hint="eastAsia" w:ascii="宋体" w:hAnsi="宋体" w:eastAsia="宋体" w:cs="宋体"/>
                <w:color w:val="auto"/>
                <w:szCs w:val="21"/>
                <w:lang w:eastAsia="zh-CN"/>
              </w:rPr>
              <w:t>得2</w:t>
            </w:r>
            <w:r>
              <w:rPr>
                <w:rFonts w:hint="eastAsia" w:ascii="宋体" w:hAnsi="宋体" w:eastAsia="宋体" w:cs="宋体"/>
                <w:color w:val="auto"/>
                <w:szCs w:val="21"/>
                <w:lang w:val="en-US" w:eastAsia="zh-CN"/>
              </w:rPr>
              <w:t>分，</w:t>
            </w:r>
            <w:r>
              <w:rPr>
                <w:rFonts w:hint="eastAsia" w:ascii="宋体" w:hAnsi="宋体" w:eastAsia="宋体" w:cs="宋体"/>
                <w:color w:val="auto"/>
                <w:sz w:val="21"/>
                <w:szCs w:val="21"/>
              </w:rPr>
              <w:t>不提供的不得分</w:t>
            </w:r>
            <w:r>
              <w:rPr>
                <w:rFonts w:hint="eastAsia" w:ascii="宋体" w:hAnsi="宋体" w:eastAsia="宋体" w:cs="宋体"/>
                <w:color w:val="auto"/>
                <w:szCs w:val="21"/>
              </w:rPr>
              <w:t>；</w:t>
            </w:r>
          </w:p>
        </w:tc>
        <w:tc>
          <w:tcPr>
            <w:tcW w:w="664"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eastAsia="zh-CN"/>
              </w:rPr>
              <w:t>2</w:t>
            </w:r>
            <w:r>
              <w:rPr>
                <w:rFonts w:hint="eastAsia" w:ascii="宋体" w:hAnsi="宋体" w:eastAsia="宋体" w:cs="宋体"/>
                <w:color w:val="auto"/>
                <w:kern w:val="0"/>
                <w:szCs w:val="21"/>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121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6672"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Cs w:val="21"/>
                <w:lang w:eastAsia="zh-CN"/>
              </w:rPr>
              <w:t>提供</w:t>
            </w:r>
            <w:r>
              <w:rPr>
                <w:rFonts w:hint="eastAsia" w:ascii="宋体" w:hAnsi="宋体" w:eastAsia="宋体" w:cs="宋体"/>
                <w:color w:val="auto"/>
                <w:szCs w:val="21"/>
              </w:rPr>
              <w:t>网络出版服务许可证</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1分，</w:t>
            </w:r>
            <w:r>
              <w:rPr>
                <w:rFonts w:hint="eastAsia" w:ascii="宋体" w:hAnsi="宋体" w:eastAsia="宋体" w:cs="宋体"/>
                <w:color w:val="auto"/>
                <w:sz w:val="21"/>
                <w:szCs w:val="21"/>
              </w:rPr>
              <w:t>不提供的不得分</w:t>
            </w:r>
            <w:r>
              <w:rPr>
                <w:rFonts w:hint="eastAsia" w:ascii="宋体" w:hAnsi="宋体" w:eastAsia="宋体" w:cs="宋体"/>
                <w:color w:val="auto"/>
                <w:szCs w:val="21"/>
                <w:lang w:eastAsia="zh-CN"/>
              </w:rPr>
              <w:t>；</w:t>
            </w:r>
          </w:p>
        </w:tc>
        <w:tc>
          <w:tcPr>
            <w:tcW w:w="664"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121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6672"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Cs w:val="21"/>
                <w:lang w:eastAsia="zh-CN"/>
              </w:rPr>
              <w:t>提供</w:t>
            </w:r>
            <w:r>
              <w:rPr>
                <w:rFonts w:hint="eastAsia" w:ascii="宋体" w:hAnsi="宋体" w:eastAsia="宋体" w:cs="宋体"/>
                <w:color w:val="auto"/>
                <w:szCs w:val="21"/>
              </w:rPr>
              <w:t>出版物经营许可证</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1分，</w:t>
            </w:r>
            <w:r>
              <w:rPr>
                <w:rFonts w:hint="eastAsia" w:ascii="宋体" w:hAnsi="宋体" w:eastAsia="宋体" w:cs="宋体"/>
                <w:color w:val="auto"/>
                <w:sz w:val="21"/>
                <w:szCs w:val="21"/>
              </w:rPr>
              <w:t>不提供的不得分</w:t>
            </w:r>
            <w:r>
              <w:rPr>
                <w:rFonts w:hint="eastAsia" w:ascii="宋体" w:hAnsi="宋体" w:eastAsia="宋体" w:cs="宋体"/>
                <w:color w:val="auto"/>
                <w:szCs w:val="21"/>
                <w:lang w:eastAsia="zh-CN"/>
              </w:rPr>
              <w:t>；</w:t>
            </w:r>
          </w:p>
        </w:tc>
        <w:tc>
          <w:tcPr>
            <w:tcW w:w="664"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121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6672"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Cs w:val="21"/>
                <w:lang w:eastAsia="zh-CN"/>
              </w:rPr>
              <w:t>提供</w:t>
            </w:r>
            <w:r>
              <w:rPr>
                <w:rFonts w:hint="eastAsia" w:ascii="宋体" w:hAnsi="宋体" w:eastAsia="宋体" w:cs="宋体"/>
                <w:color w:val="auto"/>
                <w:szCs w:val="21"/>
              </w:rPr>
              <w:t>信用评级机构出具的信用评级报告为AAA级证书</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3分，AA</w:t>
            </w:r>
            <w:r>
              <w:rPr>
                <w:rFonts w:hint="eastAsia" w:ascii="宋体" w:hAnsi="宋体" w:eastAsia="宋体" w:cs="宋体"/>
                <w:color w:val="auto"/>
                <w:szCs w:val="21"/>
              </w:rPr>
              <w:t>级证书</w:t>
            </w:r>
            <w:r>
              <w:rPr>
                <w:rFonts w:hint="eastAsia" w:ascii="宋体" w:hAnsi="宋体" w:eastAsia="宋体" w:cs="宋体"/>
                <w:color w:val="auto"/>
                <w:szCs w:val="21"/>
                <w:lang w:val="en-US" w:eastAsia="zh-CN"/>
              </w:rPr>
              <w:t>得2分，A</w:t>
            </w:r>
            <w:r>
              <w:rPr>
                <w:rFonts w:hint="eastAsia" w:ascii="宋体" w:hAnsi="宋体" w:eastAsia="宋体" w:cs="宋体"/>
                <w:color w:val="auto"/>
                <w:szCs w:val="21"/>
              </w:rPr>
              <w:t>级证书</w:t>
            </w:r>
            <w:r>
              <w:rPr>
                <w:rFonts w:hint="eastAsia" w:ascii="宋体" w:hAnsi="宋体" w:eastAsia="宋体" w:cs="宋体"/>
                <w:color w:val="auto"/>
                <w:szCs w:val="21"/>
                <w:lang w:val="en-US" w:eastAsia="zh-CN"/>
              </w:rPr>
              <w:t>得1分其他或</w:t>
            </w:r>
            <w:r>
              <w:rPr>
                <w:rFonts w:hint="eastAsia" w:ascii="宋体" w:hAnsi="宋体" w:eastAsia="宋体" w:cs="宋体"/>
                <w:color w:val="auto"/>
                <w:sz w:val="21"/>
                <w:szCs w:val="21"/>
              </w:rPr>
              <w:t>不提供的不得分</w:t>
            </w:r>
            <w:r>
              <w:rPr>
                <w:rFonts w:hint="eastAsia" w:ascii="宋体" w:hAnsi="宋体" w:eastAsia="宋体" w:cs="宋体"/>
                <w:color w:val="auto"/>
                <w:szCs w:val="21"/>
                <w:lang w:eastAsia="zh-CN"/>
              </w:rPr>
              <w:t>；</w:t>
            </w:r>
          </w:p>
        </w:tc>
        <w:tc>
          <w:tcPr>
            <w:tcW w:w="664"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121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6672"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eastAsia="zh-CN"/>
              </w:rPr>
              <w:t>提供</w:t>
            </w:r>
            <w:r>
              <w:rPr>
                <w:rFonts w:hint="eastAsia" w:ascii="宋体" w:hAnsi="宋体" w:eastAsia="宋体" w:cs="宋体"/>
                <w:color w:val="auto"/>
                <w:kern w:val="0"/>
                <w:szCs w:val="21"/>
              </w:rPr>
              <w:t>软件企业认定证书</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1分，</w:t>
            </w:r>
            <w:r>
              <w:rPr>
                <w:rFonts w:hint="eastAsia" w:ascii="宋体" w:hAnsi="宋体" w:eastAsia="宋体" w:cs="宋体"/>
                <w:color w:val="auto"/>
                <w:sz w:val="21"/>
                <w:szCs w:val="21"/>
              </w:rPr>
              <w:t>不提供的不得分</w:t>
            </w:r>
            <w:r>
              <w:rPr>
                <w:rFonts w:hint="eastAsia" w:ascii="宋体" w:hAnsi="宋体" w:eastAsia="宋体" w:cs="宋体"/>
                <w:color w:val="auto"/>
                <w:kern w:val="0"/>
                <w:szCs w:val="21"/>
                <w:lang w:eastAsia="zh-CN"/>
              </w:rPr>
              <w:t>；</w:t>
            </w:r>
          </w:p>
        </w:tc>
        <w:tc>
          <w:tcPr>
            <w:tcW w:w="664"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121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6672"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eastAsia="zh-CN"/>
              </w:rPr>
              <w:t>提供</w:t>
            </w:r>
            <w:r>
              <w:rPr>
                <w:rFonts w:hint="eastAsia" w:ascii="宋体" w:hAnsi="宋体" w:eastAsia="宋体" w:cs="宋体"/>
                <w:color w:val="auto"/>
                <w:kern w:val="0"/>
                <w:szCs w:val="21"/>
              </w:rPr>
              <w:t>国家权威部门颁发的高新企业认定证书</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1分，</w:t>
            </w:r>
            <w:r>
              <w:rPr>
                <w:rFonts w:hint="eastAsia" w:ascii="宋体" w:hAnsi="宋体" w:eastAsia="宋体" w:cs="宋体"/>
                <w:color w:val="auto"/>
                <w:sz w:val="21"/>
                <w:szCs w:val="21"/>
              </w:rPr>
              <w:t>不提供的不得分</w:t>
            </w:r>
            <w:r>
              <w:rPr>
                <w:rFonts w:hint="eastAsia" w:ascii="宋体" w:hAnsi="宋体" w:eastAsia="宋体" w:cs="宋体"/>
                <w:color w:val="auto"/>
                <w:kern w:val="0"/>
                <w:szCs w:val="21"/>
                <w:lang w:eastAsia="zh-CN"/>
              </w:rPr>
              <w:t>；</w:t>
            </w:r>
          </w:p>
        </w:tc>
        <w:tc>
          <w:tcPr>
            <w:tcW w:w="664"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121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6672"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eastAsia="zh-CN"/>
              </w:rPr>
              <w:t>提供教育部高等学校教学指导委员会</w:t>
            </w:r>
            <w:r>
              <w:rPr>
                <w:rFonts w:hint="eastAsia" w:ascii="宋体" w:hAnsi="宋体" w:eastAsia="宋体" w:cs="宋体"/>
                <w:color w:val="auto"/>
                <w:kern w:val="0"/>
                <w:szCs w:val="21"/>
              </w:rPr>
              <w:t>或教育部教育管理信息中心认定或认证证明</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1分，</w:t>
            </w:r>
            <w:r>
              <w:rPr>
                <w:rFonts w:hint="eastAsia" w:ascii="宋体" w:hAnsi="宋体" w:eastAsia="宋体" w:cs="宋体"/>
                <w:color w:val="auto"/>
                <w:sz w:val="21"/>
                <w:szCs w:val="21"/>
              </w:rPr>
              <w:t>不提供的不得分</w:t>
            </w:r>
            <w:r>
              <w:rPr>
                <w:rFonts w:hint="eastAsia" w:ascii="宋体" w:hAnsi="宋体" w:eastAsia="宋体" w:cs="宋体"/>
                <w:color w:val="auto"/>
                <w:kern w:val="0"/>
                <w:szCs w:val="21"/>
                <w:lang w:eastAsia="zh-CN"/>
              </w:rPr>
              <w:t>；</w:t>
            </w:r>
          </w:p>
        </w:tc>
        <w:tc>
          <w:tcPr>
            <w:tcW w:w="664"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121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6672"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eastAsia="zh-CN"/>
              </w:rPr>
              <w:t>提供</w:t>
            </w:r>
            <w:r>
              <w:rPr>
                <w:rFonts w:hint="eastAsia" w:ascii="宋体" w:hAnsi="宋体" w:eastAsia="宋体" w:cs="宋体"/>
                <w:color w:val="auto"/>
                <w:kern w:val="0"/>
                <w:szCs w:val="21"/>
              </w:rPr>
              <w:t>质量管理体系认证</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1分，</w:t>
            </w:r>
            <w:r>
              <w:rPr>
                <w:rFonts w:hint="eastAsia" w:ascii="宋体" w:hAnsi="宋体" w:eastAsia="宋体" w:cs="宋体"/>
                <w:color w:val="auto"/>
                <w:sz w:val="21"/>
                <w:szCs w:val="21"/>
              </w:rPr>
              <w:t>不提供的不得分</w:t>
            </w:r>
            <w:r>
              <w:rPr>
                <w:rFonts w:hint="eastAsia" w:ascii="宋体" w:hAnsi="宋体" w:eastAsia="宋体" w:cs="宋体"/>
                <w:color w:val="auto"/>
                <w:kern w:val="0"/>
                <w:szCs w:val="21"/>
                <w:lang w:eastAsia="zh-CN"/>
              </w:rPr>
              <w:t>；</w:t>
            </w:r>
          </w:p>
        </w:tc>
        <w:tc>
          <w:tcPr>
            <w:tcW w:w="664"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121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6672"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eastAsia="zh-CN"/>
              </w:rPr>
              <w:t>提供</w:t>
            </w:r>
            <w:r>
              <w:rPr>
                <w:rFonts w:hint="eastAsia" w:ascii="宋体" w:hAnsi="宋体" w:eastAsia="宋体" w:cs="宋体"/>
                <w:color w:val="auto"/>
                <w:kern w:val="0"/>
                <w:szCs w:val="21"/>
              </w:rPr>
              <w:t>信息安全体系认证</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1分，</w:t>
            </w:r>
            <w:r>
              <w:rPr>
                <w:rFonts w:hint="eastAsia" w:ascii="宋体" w:hAnsi="宋体" w:eastAsia="宋体" w:cs="宋体"/>
                <w:color w:val="auto"/>
                <w:sz w:val="21"/>
                <w:szCs w:val="21"/>
              </w:rPr>
              <w:t>不提供的不得分</w:t>
            </w:r>
            <w:r>
              <w:rPr>
                <w:rFonts w:hint="eastAsia" w:ascii="宋体" w:hAnsi="宋体" w:eastAsia="宋体" w:cs="宋体"/>
                <w:color w:val="auto"/>
                <w:kern w:val="0"/>
                <w:szCs w:val="21"/>
                <w:lang w:eastAsia="zh-CN"/>
              </w:rPr>
              <w:t>；</w:t>
            </w:r>
          </w:p>
        </w:tc>
        <w:tc>
          <w:tcPr>
            <w:tcW w:w="664"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3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1216" w:type="dxa"/>
            <w:vMerge w:val="continue"/>
            <w:vAlign w:val="center"/>
          </w:tcPr>
          <w:p>
            <w:pPr>
              <w:widowControl/>
              <w:spacing w:line="240" w:lineRule="auto"/>
              <w:jc w:val="left"/>
              <w:textAlignment w:val="center"/>
              <w:rPr>
                <w:rFonts w:hint="eastAsia" w:ascii="宋体" w:hAnsi="宋体" w:eastAsia="宋体" w:cs="宋体"/>
                <w:color w:val="auto"/>
                <w:sz w:val="21"/>
                <w:szCs w:val="21"/>
              </w:rPr>
            </w:pPr>
          </w:p>
        </w:tc>
        <w:tc>
          <w:tcPr>
            <w:tcW w:w="6672"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Cs w:val="21"/>
                <w:lang w:eastAsia="zh-CN"/>
              </w:rPr>
              <w:t>提供</w:t>
            </w:r>
            <w:r>
              <w:rPr>
                <w:rFonts w:hint="eastAsia" w:ascii="宋体" w:hAnsi="宋体" w:eastAsia="宋体" w:cs="宋体"/>
                <w:color w:val="auto"/>
                <w:szCs w:val="21"/>
              </w:rPr>
              <w:t>音像制品制作许可证</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1分，</w:t>
            </w:r>
            <w:r>
              <w:rPr>
                <w:rFonts w:hint="eastAsia" w:ascii="宋体" w:hAnsi="宋体" w:eastAsia="宋体" w:cs="宋体"/>
                <w:color w:val="auto"/>
                <w:sz w:val="21"/>
                <w:szCs w:val="21"/>
              </w:rPr>
              <w:t>不提供的不得分</w:t>
            </w:r>
            <w:r>
              <w:rPr>
                <w:rFonts w:hint="eastAsia" w:ascii="宋体" w:hAnsi="宋体" w:eastAsia="宋体" w:cs="宋体"/>
                <w:color w:val="auto"/>
                <w:szCs w:val="21"/>
                <w:lang w:eastAsia="zh-CN"/>
              </w:rPr>
              <w:t>；</w:t>
            </w:r>
          </w:p>
        </w:tc>
        <w:tc>
          <w:tcPr>
            <w:tcW w:w="664" w:type="dxa"/>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Merge w:val="continue"/>
            <w:vAlign w:val="center"/>
          </w:tcPr>
          <w:p>
            <w:pPr>
              <w:spacing w:line="240" w:lineRule="auto"/>
              <w:rPr>
                <w:rFonts w:hint="eastAsia" w:ascii="宋体" w:hAnsi="宋体" w:eastAsia="宋体" w:cs="宋体"/>
                <w:color w:val="auto"/>
                <w:spacing w:val="-6"/>
                <w:kern w:val="2"/>
                <w:sz w:val="21"/>
                <w:szCs w:val="21"/>
                <w:lang w:val="en-US" w:eastAsia="zh-CN" w:bidi="ar-SA"/>
              </w:rPr>
            </w:pPr>
          </w:p>
        </w:tc>
        <w:tc>
          <w:tcPr>
            <w:tcW w:w="6672" w:type="dxa"/>
            <w:vAlign w:val="top"/>
          </w:tcPr>
          <w:p>
            <w:pPr>
              <w:widowControl/>
              <w:spacing w:line="240" w:lineRule="auto"/>
              <w:jc w:val="left"/>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Cs w:val="21"/>
                <w:lang w:eastAsia="zh-CN"/>
              </w:rPr>
              <w:t>供应商拟投入人员</w:t>
            </w:r>
            <w:r>
              <w:rPr>
                <w:rFonts w:hint="eastAsia" w:ascii="宋体" w:hAnsi="宋体" w:eastAsia="宋体" w:cs="宋体"/>
                <w:color w:val="auto"/>
                <w:szCs w:val="21"/>
              </w:rPr>
              <w:t>具有央媒颁发的互联网内容风控培训证书，提供一个得3分，需提供</w:t>
            </w:r>
            <w:r>
              <w:rPr>
                <w:rFonts w:hint="eastAsia" w:ascii="宋体" w:hAnsi="宋体" w:eastAsia="宋体" w:cs="宋体"/>
                <w:color w:val="auto"/>
                <w:szCs w:val="21"/>
                <w:lang w:eastAsia="zh-CN"/>
              </w:rPr>
              <w:t>人员</w:t>
            </w:r>
            <w:r>
              <w:rPr>
                <w:rFonts w:hint="eastAsia" w:ascii="宋体" w:hAnsi="宋体" w:eastAsia="宋体" w:cs="宋体"/>
                <w:color w:val="auto"/>
                <w:szCs w:val="21"/>
              </w:rPr>
              <w:t>身份证</w:t>
            </w:r>
            <w:r>
              <w:rPr>
                <w:rFonts w:hint="eastAsia" w:ascii="宋体" w:hAnsi="宋体" w:eastAsia="宋体" w:cs="宋体"/>
                <w:color w:val="auto"/>
                <w:szCs w:val="21"/>
                <w:lang w:eastAsia="zh-CN"/>
              </w:rPr>
              <w:t>及</w:t>
            </w:r>
            <w:r>
              <w:rPr>
                <w:rFonts w:hint="eastAsia" w:ascii="宋体" w:hAnsi="宋体" w:eastAsia="宋体" w:cs="宋体"/>
                <w:color w:val="auto"/>
                <w:szCs w:val="21"/>
              </w:rPr>
              <w:t>劳动合同</w:t>
            </w:r>
            <w:r>
              <w:rPr>
                <w:rFonts w:hint="eastAsia" w:ascii="宋体" w:hAnsi="宋体" w:eastAsia="宋体" w:cs="宋体"/>
                <w:color w:val="auto"/>
                <w:szCs w:val="21"/>
                <w:lang w:eastAsia="zh-CN"/>
              </w:rPr>
              <w:t>等</w:t>
            </w:r>
            <w:r>
              <w:rPr>
                <w:rFonts w:hint="eastAsia" w:ascii="宋体" w:hAnsi="宋体" w:eastAsia="宋体" w:cs="宋体"/>
                <w:color w:val="auto"/>
                <w:szCs w:val="21"/>
              </w:rPr>
              <w:t>证明</w:t>
            </w:r>
            <w:r>
              <w:rPr>
                <w:rFonts w:hint="eastAsia" w:ascii="宋体" w:hAnsi="宋体" w:eastAsia="宋体" w:cs="宋体"/>
                <w:color w:val="auto"/>
                <w:szCs w:val="21"/>
                <w:lang w:eastAsia="zh-CN"/>
              </w:rPr>
              <w:t>材料</w:t>
            </w:r>
            <w:r>
              <w:rPr>
                <w:rFonts w:hint="eastAsia" w:ascii="宋体" w:hAnsi="宋体" w:eastAsia="宋体" w:cs="宋体"/>
                <w:color w:val="auto"/>
                <w:szCs w:val="21"/>
              </w:rPr>
              <w:t>，不提供不得分，</w:t>
            </w:r>
            <w:r>
              <w:rPr>
                <w:rFonts w:hint="eastAsia" w:ascii="宋体" w:hAnsi="宋体" w:eastAsia="宋体" w:cs="宋体"/>
                <w:color w:val="auto"/>
                <w:szCs w:val="21"/>
                <w:lang w:eastAsia="zh-CN"/>
              </w:rPr>
              <w:t>最多得</w:t>
            </w:r>
            <w:r>
              <w:rPr>
                <w:rFonts w:hint="eastAsia" w:ascii="宋体" w:hAnsi="宋体" w:eastAsia="宋体" w:cs="宋体"/>
                <w:color w:val="auto"/>
                <w:szCs w:val="21"/>
              </w:rPr>
              <w:t>6分。</w:t>
            </w:r>
          </w:p>
        </w:tc>
        <w:tc>
          <w:tcPr>
            <w:tcW w:w="664" w:type="dxa"/>
            <w:vAlign w:val="center"/>
          </w:tcPr>
          <w:p>
            <w:pPr>
              <w:widowControl/>
              <w:spacing w:line="240"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6</w:t>
            </w:r>
            <w:r>
              <w:rPr>
                <w:rFonts w:hint="eastAsia" w:ascii="宋体" w:hAnsi="宋体" w:eastAsia="宋体" w:cs="宋体"/>
                <w:color w:val="auto"/>
                <w:kern w:val="0"/>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Merge w:val="continue"/>
            <w:vAlign w:val="center"/>
          </w:tcPr>
          <w:p>
            <w:pPr>
              <w:spacing w:line="240" w:lineRule="auto"/>
              <w:rPr>
                <w:rFonts w:hint="eastAsia" w:ascii="宋体" w:hAnsi="宋体" w:eastAsia="宋体" w:cs="宋体"/>
                <w:color w:val="auto"/>
                <w:spacing w:val="-6"/>
                <w:kern w:val="0"/>
                <w:sz w:val="21"/>
                <w:szCs w:val="21"/>
              </w:rPr>
            </w:pPr>
          </w:p>
        </w:tc>
        <w:tc>
          <w:tcPr>
            <w:tcW w:w="6672" w:type="dxa"/>
            <w:tcBorders>
              <w:bottom w:val="single" w:color="auto" w:sz="4" w:space="0"/>
            </w:tcBorders>
            <w:vAlign w:val="top"/>
          </w:tcPr>
          <w:p>
            <w:pPr>
              <w:widowControl/>
              <w:spacing w:line="240" w:lineRule="auto"/>
              <w:jc w:val="left"/>
              <w:textAlignment w:val="top"/>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eastAsia="zh-CN"/>
              </w:rPr>
              <w:t>供应商</w:t>
            </w:r>
            <w:r>
              <w:rPr>
                <w:rFonts w:hint="eastAsia" w:ascii="宋体" w:hAnsi="宋体" w:eastAsia="宋体" w:cs="宋体"/>
                <w:color w:val="auto"/>
                <w:szCs w:val="21"/>
              </w:rPr>
              <w:t>自有知识产权平台具有信息系统安全等级保护备案证明三级及以上得3分，二级得2分，其他不得分。</w:t>
            </w:r>
          </w:p>
        </w:tc>
        <w:tc>
          <w:tcPr>
            <w:tcW w:w="664" w:type="dxa"/>
            <w:vAlign w:val="center"/>
          </w:tcPr>
          <w:p>
            <w:pPr>
              <w:widowControl/>
              <w:spacing w:line="240"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bidi="ar-SA"/>
              </w:rPr>
              <w:t>3</w:t>
            </w:r>
            <w:r>
              <w:rPr>
                <w:rFonts w:hint="eastAsia" w:ascii="宋体" w:hAnsi="宋体" w:eastAsia="宋体" w:cs="宋体"/>
                <w:color w:val="auto"/>
                <w:kern w:val="0"/>
                <w:sz w:val="21"/>
                <w:szCs w:val="21"/>
                <w:lang w:val="en-US" w:eastAsia="zh-CN" w:bidi="ar-SA"/>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atLeast"/>
        </w:trPr>
        <w:tc>
          <w:tcPr>
            <w:tcW w:w="736" w:type="dxa"/>
            <w:vMerge w:val="continue"/>
            <w:vAlign w:val="center"/>
          </w:tcPr>
          <w:p>
            <w:pPr>
              <w:widowControl/>
              <w:spacing w:line="240" w:lineRule="auto"/>
              <w:jc w:val="left"/>
              <w:textAlignment w:val="top"/>
              <w:rPr>
                <w:rFonts w:hint="eastAsia" w:ascii="宋体" w:hAnsi="宋体" w:eastAsia="宋体" w:cs="宋体"/>
                <w:color w:val="auto"/>
              </w:rPr>
            </w:pPr>
          </w:p>
        </w:tc>
        <w:tc>
          <w:tcPr>
            <w:tcW w:w="1216" w:type="dxa"/>
            <w:vMerge w:val="continue"/>
            <w:vAlign w:val="center"/>
          </w:tcPr>
          <w:p>
            <w:pPr>
              <w:widowControl/>
              <w:spacing w:line="240" w:lineRule="auto"/>
              <w:jc w:val="left"/>
              <w:textAlignment w:val="top"/>
              <w:rPr>
                <w:rFonts w:hint="eastAsia" w:ascii="宋体" w:hAnsi="宋体" w:eastAsia="宋体" w:cs="宋体"/>
                <w:color w:val="auto"/>
              </w:rPr>
            </w:pPr>
          </w:p>
        </w:tc>
        <w:tc>
          <w:tcPr>
            <w:tcW w:w="6672" w:type="dxa"/>
            <w:tcBorders>
              <w:bottom w:val="single" w:color="auto" w:sz="4" w:space="0"/>
            </w:tcBorders>
            <w:vAlign w:val="top"/>
          </w:tcPr>
          <w:p>
            <w:pPr>
              <w:widowControl/>
              <w:spacing w:line="240" w:lineRule="auto"/>
              <w:jc w:val="left"/>
              <w:textAlignment w:val="top"/>
              <w:rPr>
                <w:rFonts w:hint="eastAsia" w:ascii="宋体" w:hAnsi="宋体" w:eastAsia="宋体" w:cs="宋体"/>
                <w:color w:val="auto"/>
                <w:szCs w:val="21"/>
              </w:rPr>
            </w:pPr>
            <w:r>
              <w:rPr>
                <w:rFonts w:hint="eastAsia" w:ascii="宋体" w:hAnsi="宋体" w:eastAsia="宋体" w:cs="宋体"/>
                <w:color w:val="auto"/>
                <w:szCs w:val="21"/>
                <w:lang w:eastAsia="zh-CN"/>
              </w:rPr>
              <w:t>供应商</w:t>
            </w:r>
            <w:r>
              <w:rPr>
                <w:rFonts w:hint="eastAsia" w:ascii="宋体" w:hAnsi="宋体" w:eastAsia="宋体" w:cs="宋体"/>
                <w:color w:val="auto"/>
                <w:szCs w:val="21"/>
              </w:rPr>
              <w:t>自有知识产权平台APP具有信息系统安全等级保护备案证明三级及以上得3分，二级得2分，其他不得分。</w:t>
            </w:r>
          </w:p>
        </w:tc>
        <w:tc>
          <w:tcPr>
            <w:tcW w:w="664" w:type="dxa"/>
            <w:tcBorders>
              <w:bottom w:val="single" w:color="auto" w:sz="4" w:space="0"/>
            </w:tcBorders>
            <w:vAlign w:val="center"/>
          </w:tcPr>
          <w:p>
            <w:pPr>
              <w:widowControl/>
              <w:spacing w:line="240" w:lineRule="auto"/>
              <w:jc w:val="center"/>
              <w:textAlignment w:val="top"/>
              <w:rPr>
                <w:rFonts w:hint="eastAsia" w:ascii="宋体" w:hAnsi="宋体" w:eastAsia="宋体" w:cs="宋体"/>
                <w:color w:val="auto"/>
                <w:szCs w:val="21"/>
                <w:lang w:val="en-US" w:eastAsia="zh-CN"/>
              </w:rPr>
            </w:pPr>
            <w:r>
              <w:rPr>
                <w:rFonts w:hint="eastAsia" w:ascii="宋体" w:hAnsi="宋体" w:eastAsia="宋体" w:cs="宋体"/>
                <w:color w:val="auto"/>
                <w:szCs w:val="21"/>
                <w:lang w:eastAsia="zh-CN"/>
              </w:rPr>
              <w:t>3</w:t>
            </w:r>
            <w:r>
              <w:rPr>
                <w:rFonts w:hint="eastAsia" w:ascii="宋体" w:hAnsi="宋体" w:eastAsia="宋体" w:cs="宋体"/>
                <w:color w:val="auto"/>
                <w:szCs w:val="21"/>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技术服务</w:t>
            </w:r>
            <w:r>
              <w:rPr>
                <w:rFonts w:hint="eastAsia" w:ascii="宋体" w:hAnsi="宋体" w:eastAsia="宋体" w:cs="宋体"/>
                <w:color w:val="auto"/>
                <w:spacing w:val="-6"/>
                <w:sz w:val="21"/>
                <w:szCs w:val="21"/>
                <w:lang w:val="en-US" w:eastAsia="zh-CN"/>
              </w:rPr>
              <w:t>50</w:t>
            </w:r>
            <w:r>
              <w:rPr>
                <w:rFonts w:hint="eastAsia" w:ascii="宋体" w:hAnsi="宋体" w:eastAsia="宋体" w:cs="宋体"/>
                <w:color w:val="auto"/>
                <w:spacing w:val="-6"/>
                <w:sz w:val="21"/>
                <w:szCs w:val="21"/>
              </w:rPr>
              <w:t>分</w:t>
            </w:r>
          </w:p>
        </w:tc>
        <w:tc>
          <w:tcPr>
            <w:tcW w:w="1216" w:type="dxa"/>
            <w:vAlign w:val="center"/>
          </w:tcPr>
          <w:p>
            <w:pPr>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技术响应</w:t>
            </w:r>
          </w:p>
        </w:tc>
        <w:tc>
          <w:tcPr>
            <w:tcW w:w="6672" w:type="dxa"/>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所投产品技术参数响应情况占</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分，具体由</w:t>
            </w:r>
            <w:r>
              <w:rPr>
                <w:rFonts w:hint="eastAsia" w:ascii="宋体" w:hAnsi="宋体" w:eastAsia="宋体" w:cs="宋体"/>
                <w:color w:val="auto"/>
                <w:sz w:val="21"/>
                <w:szCs w:val="21"/>
                <w:lang w:eastAsia="zh-CN"/>
              </w:rPr>
              <w:t>磋商小组</w:t>
            </w:r>
            <w:r>
              <w:rPr>
                <w:rFonts w:hint="eastAsia" w:ascii="宋体" w:hAnsi="宋体" w:eastAsia="宋体" w:cs="宋体"/>
                <w:color w:val="auto"/>
                <w:sz w:val="21"/>
                <w:szCs w:val="21"/>
              </w:rPr>
              <w:t>根据</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的</w:t>
            </w:r>
            <w:r>
              <w:rPr>
                <w:rFonts w:hint="eastAsia" w:ascii="宋体" w:hAnsi="宋体" w:eastAsia="宋体" w:cs="宋体"/>
                <w:color w:val="auto"/>
                <w:sz w:val="21"/>
                <w:szCs w:val="21"/>
                <w:lang w:eastAsia="zh-CN"/>
              </w:rPr>
              <w:t>响应文件</w:t>
            </w:r>
            <w:r>
              <w:rPr>
                <w:rFonts w:hint="eastAsia" w:ascii="宋体" w:hAnsi="宋体" w:eastAsia="宋体" w:cs="宋体"/>
                <w:color w:val="auto"/>
                <w:sz w:val="21"/>
                <w:szCs w:val="21"/>
              </w:rPr>
              <w:t>中产品情况、《技术响应、偏离说明表》等有关资料打分。</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其中：完全满足</w:t>
            </w:r>
            <w:r>
              <w:rPr>
                <w:rFonts w:hint="eastAsia" w:ascii="宋体" w:hAnsi="宋体" w:eastAsia="宋体" w:cs="宋体"/>
                <w:color w:val="auto"/>
                <w:sz w:val="21"/>
                <w:szCs w:val="21"/>
                <w:lang w:eastAsia="zh-CN"/>
              </w:rPr>
              <w:t>磋商文件</w:t>
            </w:r>
            <w:r>
              <w:rPr>
                <w:rFonts w:hint="eastAsia" w:ascii="宋体" w:hAnsi="宋体" w:eastAsia="宋体" w:cs="宋体"/>
                <w:color w:val="auto"/>
                <w:sz w:val="21"/>
                <w:szCs w:val="21"/>
              </w:rPr>
              <w:t>技术参数要求的得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分；在此基础上</w:t>
            </w:r>
            <w:r>
              <w:rPr>
                <w:rFonts w:hint="eastAsia" w:ascii="宋体" w:hAnsi="宋体" w:eastAsia="宋体" w:cs="宋体"/>
                <w:color w:val="auto"/>
                <w:sz w:val="21"/>
                <w:szCs w:val="21"/>
                <w:lang w:eastAsia="zh-CN"/>
              </w:rPr>
              <w:t>磋商文件</w:t>
            </w:r>
            <w:r>
              <w:rPr>
                <w:rFonts w:hint="eastAsia" w:ascii="宋体" w:hAnsi="宋体" w:eastAsia="宋体" w:cs="宋体"/>
                <w:color w:val="auto"/>
                <w:sz w:val="21"/>
                <w:szCs w:val="21"/>
              </w:rPr>
              <w:t>中标注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”的内容为</w:t>
            </w:r>
            <w:r>
              <w:rPr>
                <w:rFonts w:hint="eastAsia" w:ascii="宋体" w:hAnsi="宋体" w:eastAsia="宋体" w:cs="宋体"/>
                <w:color w:val="auto"/>
                <w:sz w:val="21"/>
                <w:szCs w:val="21"/>
                <w:lang w:eastAsia="zh-CN"/>
              </w:rPr>
              <w:t>关键性</w:t>
            </w:r>
            <w:r>
              <w:rPr>
                <w:rFonts w:hint="eastAsia" w:ascii="宋体" w:hAnsi="宋体" w:eastAsia="宋体" w:cs="宋体"/>
                <w:color w:val="auto"/>
                <w:sz w:val="21"/>
                <w:szCs w:val="21"/>
              </w:rPr>
              <w:t>条款，则每项扣</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分；无标注“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”的内容有一项不符合的则每项扣</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分扣完为止。</w:t>
            </w:r>
          </w:p>
          <w:p>
            <w:pPr>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备注：复制</w:t>
            </w:r>
            <w:r>
              <w:rPr>
                <w:rFonts w:hint="eastAsia" w:ascii="宋体" w:hAnsi="宋体" w:eastAsia="宋体" w:cs="宋体"/>
                <w:color w:val="auto"/>
                <w:sz w:val="21"/>
                <w:szCs w:val="21"/>
                <w:lang w:eastAsia="zh-CN"/>
              </w:rPr>
              <w:t>磋商文件</w:t>
            </w:r>
            <w:r>
              <w:rPr>
                <w:rFonts w:hint="eastAsia" w:ascii="宋体" w:hAnsi="宋体" w:eastAsia="宋体" w:cs="宋体"/>
                <w:color w:val="auto"/>
                <w:sz w:val="21"/>
                <w:szCs w:val="21"/>
              </w:rPr>
              <w:t>技术要求作为实际响应数据或投标响应数据无对应支持文件的，其技术响应将可能按负偏离处理。</w:t>
            </w:r>
          </w:p>
        </w:tc>
        <w:tc>
          <w:tcPr>
            <w:tcW w:w="664" w:type="dxa"/>
            <w:vAlign w:val="center"/>
          </w:tcPr>
          <w:p>
            <w:pPr>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ind w:left="-4" w:leftChars="-2" w:firstLine="2" w:firstLineChars="1"/>
              <w:rPr>
                <w:rFonts w:hint="eastAsia" w:ascii="宋体" w:hAnsi="宋体" w:eastAsia="宋体" w:cs="宋体"/>
                <w:color w:val="auto"/>
                <w:sz w:val="21"/>
                <w:szCs w:val="21"/>
              </w:rPr>
            </w:pPr>
          </w:p>
        </w:tc>
        <w:tc>
          <w:tcPr>
            <w:tcW w:w="1216" w:type="dxa"/>
            <w:vAlign w:val="center"/>
          </w:tcPr>
          <w:p>
            <w:pPr>
              <w:widowControl/>
              <w:spacing w:line="240" w:lineRule="auto"/>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rPr>
              <w:t>对项目</w:t>
            </w:r>
            <w:r>
              <w:rPr>
                <w:rFonts w:hint="eastAsia" w:ascii="宋体" w:hAnsi="宋体" w:eastAsia="宋体" w:cs="宋体"/>
                <w:color w:val="auto"/>
                <w:kern w:val="0"/>
                <w:szCs w:val="21"/>
                <w:lang w:eastAsia="zh-CN"/>
              </w:rPr>
              <w:t>特点</w:t>
            </w:r>
            <w:r>
              <w:rPr>
                <w:rFonts w:hint="eastAsia" w:ascii="宋体" w:hAnsi="宋体" w:eastAsia="宋体" w:cs="宋体"/>
                <w:color w:val="auto"/>
                <w:kern w:val="0"/>
                <w:szCs w:val="21"/>
              </w:rPr>
              <w:t>的理解</w:t>
            </w:r>
            <w:r>
              <w:rPr>
                <w:rFonts w:hint="eastAsia" w:ascii="宋体" w:hAnsi="宋体" w:eastAsia="宋体" w:cs="宋体"/>
                <w:color w:val="auto"/>
                <w:kern w:val="0"/>
                <w:szCs w:val="21"/>
                <w:lang w:eastAsia="zh-CN"/>
              </w:rPr>
              <w:t>及整体解决方案</w:t>
            </w:r>
          </w:p>
        </w:tc>
        <w:tc>
          <w:tcPr>
            <w:tcW w:w="6672" w:type="dxa"/>
            <w:vAlign w:val="center"/>
          </w:tcPr>
          <w:p>
            <w:pPr>
              <w:widowControl/>
              <w:spacing w:line="240" w:lineRule="auto"/>
              <w:textAlignment w:val="center"/>
              <w:rPr>
                <w:rFonts w:hint="eastAsia" w:ascii="宋体" w:hAnsi="宋体" w:eastAsia="宋体" w:cs="宋体"/>
                <w:color w:val="auto"/>
                <w:lang w:eastAsia="zh-CN"/>
              </w:rPr>
            </w:pPr>
            <w:r>
              <w:rPr>
                <w:rFonts w:hint="eastAsia" w:ascii="宋体" w:hAnsi="宋体" w:eastAsia="宋体" w:cs="宋体"/>
                <w:color w:val="auto"/>
              </w:rPr>
              <w:t>根据</w:t>
            </w:r>
            <w:r>
              <w:rPr>
                <w:rFonts w:hint="eastAsia" w:ascii="宋体" w:hAnsi="宋体" w:eastAsia="宋体" w:cs="宋体"/>
                <w:color w:val="auto"/>
                <w:lang w:eastAsia="zh-CN"/>
              </w:rPr>
              <w:t>供应商</w:t>
            </w:r>
            <w:r>
              <w:rPr>
                <w:rFonts w:hint="eastAsia" w:ascii="宋体" w:hAnsi="宋体" w:eastAsia="宋体" w:cs="宋体"/>
                <w:color w:val="auto"/>
              </w:rPr>
              <w:t>对当前在线课程的趋势、面临的问题、项目的需求、项目的难点有深度的认识，并能提出整体解决方案。根据设计情况</w:t>
            </w:r>
            <w:r>
              <w:rPr>
                <w:rFonts w:hint="eastAsia" w:ascii="宋体" w:hAnsi="宋体" w:eastAsia="宋体" w:cs="宋体"/>
                <w:color w:val="auto"/>
                <w:lang w:eastAsia="zh-CN"/>
              </w:rPr>
              <w:t>进行综合评分</w:t>
            </w:r>
          </w:p>
          <w:p>
            <w:pPr>
              <w:spacing w:line="240" w:lineRule="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科学、合理，针对性强，3分；</w:t>
            </w:r>
          </w:p>
          <w:p>
            <w:pPr>
              <w:spacing w:line="240" w:lineRule="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合理，可行，2分；</w:t>
            </w:r>
          </w:p>
          <w:p>
            <w:pPr>
              <w:spacing w:line="240" w:lineRule="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欠合理，基本可行，1分；</w:t>
            </w:r>
          </w:p>
          <w:p>
            <w:pPr>
              <w:spacing w:line="240" w:lineRule="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不可行，0 分。</w:t>
            </w:r>
          </w:p>
        </w:tc>
        <w:tc>
          <w:tcPr>
            <w:tcW w:w="664" w:type="dxa"/>
            <w:vAlign w:val="center"/>
          </w:tcPr>
          <w:p>
            <w:pPr>
              <w:widowControl/>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55"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Merge w:val="restart"/>
            <w:vAlign w:val="center"/>
          </w:tcPr>
          <w:p>
            <w:pPr>
              <w:widowControl/>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eastAsia="zh-CN"/>
              </w:rPr>
              <w:t>拟投入人员</w:t>
            </w:r>
            <w:r>
              <w:rPr>
                <w:rFonts w:hint="eastAsia" w:ascii="宋体" w:hAnsi="宋体" w:eastAsia="宋体" w:cs="宋体"/>
                <w:color w:val="auto"/>
                <w:kern w:val="0"/>
                <w:szCs w:val="21"/>
              </w:rPr>
              <w:t>人员及物资装备</w:t>
            </w:r>
          </w:p>
          <w:p>
            <w:pPr>
              <w:spacing w:line="240" w:lineRule="auto"/>
              <w:rPr>
                <w:rFonts w:hint="eastAsia" w:ascii="宋体" w:hAnsi="宋体" w:eastAsia="宋体" w:cs="宋体"/>
                <w:color w:val="auto"/>
                <w:spacing w:val="-6"/>
                <w:kern w:val="0"/>
                <w:sz w:val="21"/>
                <w:szCs w:val="21"/>
              </w:rPr>
            </w:pPr>
          </w:p>
        </w:tc>
        <w:tc>
          <w:tcPr>
            <w:tcW w:w="6672" w:type="dxa"/>
            <w:vAlign w:val="center"/>
          </w:tcPr>
          <w:p>
            <w:pPr>
              <w:widowControl/>
              <w:spacing w:line="240" w:lineRule="auto"/>
              <w:textAlignment w:val="center"/>
              <w:rPr>
                <w:rFonts w:hint="eastAsia" w:ascii="宋体" w:hAnsi="宋体" w:eastAsia="宋体" w:cs="宋体"/>
                <w:color w:val="auto"/>
                <w:kern w:val="0"/>
                <w:szCs w:val="21"/>
              </w:rPr>
            </w:pPr>
            <w:r>
              <w:rPr>
                <w:rFonts w:hint="eastAsia" w:ascii="宋体" w:hAnsi="宋体" w:eastAsia="宋体" w:cs="宋体"/>
                <w:color w:val="auto"/>
                <w:szCs w:val="21"/>
                <w:lang w:eastAsia="zh-CN"/>
              </w:rPr>
              <w:t>供应商</w:t>
            </w:r>
            <w:r>
              <w:rPr>
                <w:rFonts w:hint="eastAsia" w:ascii="宋体" w:hAnsi="宋体" w:eastAsia="宋体" w:cs="宋体"/>
                <w:color w:val="auto"/>
                <w:szCs w:val="21"/>
              </w:rPr>
              <w:t>为该项目配备人员合理，证书资质齐全，符合教育部在线开放课程管理办法要求，配备教育技术人员，提供相关学历证明文件，要求提供教育技术专业</w:t>
            </w:r>
            <w:r>
              <w:rPr>
                <w:rFonts w:hint="eastAsia" w:ascii="宋体" w:hAnsi="宋体" w:eastAsia="宋体" w:cs="宋体"/>
                <w:color w:val="auto"/>
                <w:szCs w:val="21"/>
                <w:lang w:eastAsia="zh-CN"/>
              </w:rPr>
              <w:t>本科</w:t>
            </w:r>
            <w:r>
              <w:rPr>
                <w:rFonts w:hint="eastAsia" w:ascii="宋体" w:hAnsi="宋体" w:eastAsia="宋体" w:cs="宋体"/>
                <w:color w:val="auto"/>
                <w:szCs w:val="21"/>
              </w:rPr>
              <w:t>毕业证书，985高校一个得1分，其他高校一个得0.5分，最高</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p>
          <w:p>
            <w:pPr>
              <w:widowControl/>
              <w:spacing w:line="240" w:lineRule="auto"/>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eastAsia="zh-CN"/>
              </w:rPr>
              <w:t>需提供配备人员</w:t>
            </w:r>
            <w:r>
              <w:rPr>
                <w:rFonts w:hint="eastAsia" w:ascii="宋体" w:hAnsi="宋体" w:eastAsia="宋体" w:cs="宋体"/>
                <w:color w:val="auto"/>
                <w:kern w:val="0"/>
                <w:szCs w:val="21"/>
              </w:rPr>
              <w:t>身份证、资格证、劳动合同</w:t>
            </w:r>
            <w:r>
              <w:rPr>
                <w:rFonts w:hint="eastAsia" w:ascii="宋体" w:hAnsi="宋体" w:eastAsia="宋体" w:cs="宋体"/>
                <w:color w:val="auto"/>
                <w:kern w:val="0"/>
                <w:szCs w:val="21"/>
                <w:lang w:eastAsia="zh-CN"/>
              </w:rPr>
              <w:t>等证明材料</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未提供不得分</w:t>
            </w:r>
            <w:r>
              <w:rPr>
                <w:rFonts w:hint="eastAsia" w:ascii="宋体" w:hAnsi="宋体" w:eastAsia="宋体" w:cs="宋体"/>
                <w:color w:val="auto"/>
                <w:kern w:val="0"/>
                <w:szCs w:val="21"/>
              </w:rPr>
              <w:t>。</w:t>
            </w:r>
          </w:p>
        </w:tc>
        <w:tc>
          <w:tcPr>
            <w:tcW w:w="664" w:type="dxa"/>
            <w:vAlign w:val="center"/>
          </w:tcPr>
          <w:p>
            <w:pPr>
              <w:widowControl/>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2</w:t>
            </w:r>
            <w:r>
              <w:rPr>
                <w:rFonts w:hint="eastAsia" w:ascii="宋体" w:hAnsi="宋体" w:eastAsia="宋体" w:cs="宋体"/>
                <w:color w:val="auto"/>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5" w:hRule="atLeast"/>
        </w:trPr>
        <w:tc>
          <w:tcPr>
            <w:tcW w:w="736" w:type="dxa"/>
            <w:vMerge w:val="continue"/>
            <w:vAlign w:val="center"/>
          </w:tcPr>
          <w:p>
            <w:pPr>
              <w:widowControl/>
              <w:spacing w:line="240" w:lineRule="auto"/>
              <w:textAlignment w:val="center"/>
              <w:rPr>
                <w:rFonts w:hint="eastAsia" w:ascii="宋体" w:hAnsi="宋体" w:eastAsia="宋体" w:cs="宋体"/>
                <w:color w:val="auto"/>
              </w:rPr>
            </w:pPr>
          </w:p>
        </w:tc>
        <w:tc>
          <w:tcPr>
            <w:tcW w:w="1216" w:type="dxa"/>
            <w:vMerge w:val="continue"/>
            <w:vAlign w:val="center"/>
          </w:tcPr>
          <w:p>
            <w:pPr>
              <w:widowControl/>
              <w:spacing w:line="240" w:lineRule="auto"/>
              <w:textAlignment w:val="center"/>
              <w:rPr>
                <w:rFonts w:hint="eastAsia" w:ascii="宋体" w:hAnsi="宋体" w:eastAsia="宋体" w:cs="宋体"/>
                <w:color w:val="auto"/>
              </w:rPr>
            </w:pPr>
          </w:p>
        </w:tc>
        <w:tc>
          <w:tcPr>
            <w:tcW w:w="6672" w:type="dxa"/>
            <w:vAlign w:val="center"/>
          </w:tcPr>
          <w:p>
            <w:pPr>
              <w:widowControl/>
              <w:spacing w:line="240" w:lineRule="auto"/>
              <w:textAlignment w:val="center"/>
              <w:rPr>
                <w:rFonts w:hint="eastAsia" w:ascii="宋体" w:hAnsi="宋体" w:eastAsia="宋体" w:cs="宋体"/>
                <w:color w:val="auto"/>
              </w:rPr>
            </w:pPr>
            <w:r>
              <w:rPr>
                <w:rFonts w:hint="eastAsia" w:ascii="宋体" w:hAnsi="宋体" w:eastAsia="宋体" w:cs="宋体"/>
                <w:color w:val="auto"/>
                <w:lang w:eastAsia="zh-CN"/>
              </w:rPr>
              <w:t>供应商</w:t>
            </w:r>
            <w:r>
              <w:rPr>
                <w:rFonts w:hint="eastAsia" w:ascii="宋体" w:hAnsi="宋体" w:eastAsia="宋体" w:cs="宋体"/>
                <w:color w:val="auto"/>
              </w:rPr>
              <w:t>为该项目配备人员比较合理，证书资质齐全，课程编辑人员具有出版专业执业资格证，中级及以上的一人得0.5分，最高1分；</w:t>
            </w:r>
          </w:p>
          <w:p>
            <w:pPr>
              <w:spacing w:line="240" w:lineRule="auto"/>
              <w:outlineLvl w:val="9"/>
              <w:rPr>
                <w:rFonts w:hint="eastAsia" w:ascii="宋体" w:hAnsi="宋体" w:eastAsia="宋体" w:cs="宋体"/>
                <w:color w:val="auto"/>
                <w:lang w:eastAsia="zh-CN"/>
              </w:rPr>
            </w:pPr>
            <w:r>
              <w:rPr>
                <w:rFonts w:hint="eastAsia" w:ascii="宋体" w:hAnsi="宋体" w:eastAsia="宋体" w:cs="宋体"/>
                <w:color w:val="auto"/>
                <w:kern w:val="0"/>
                <w:szCs w:val="21"/>
                <w:lang w:eastAsia="zh-CN"/>
              </w:rPr>
              <w:t>需提供配备人员</w:t>
            </w:r>
            <w:r>
              <w:rPr>
                <w:rFonts w:hint="eastAsia" w:ascii="宋体" w:hAnsi="宋体" w:eastAsia="宋体" w:cs="宋体"/>
                <w:color w:val="auto"/>
                <w:kern w:val="0"/>
                <w:szCs w:val="21"/>
              </w:rPr>
              <w:t>身份证、资格证、劳动合同</w:t>
            </w:r>
            <w:r>
              <w:rPr>
                <w:rFonts w:hint="eastAsia" w:ascii="宋体" w:hAnsi="宋体" w:eastAsia="宋体" w:cs="宋体"/>
                <w:color w:val="auto"/>
                <w:kern w:val="0"/>
                <w:szCs w:val="21"/>
                <w:lang w:eastAsia="zh-CN"/>
              </w:rPr>
              <w:t>等证明材料</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未提供不得分</w:t>
            </w:r>
            <w:r>
              <w:rPr>
                <w:rFonts w:hint="eastAsia" w:ascii="宋体" w:hAnsi="宋体" w:eastAsia="宋体" w:cs="宋体"/>
                <w:color w:val="auto"/>
                <w:kern w:val="0"/>
                <w:szCs w:val="21"/>
              </w:rPr>
              <w:t>。</w:t>
            </w:r>
          </w:p>
        </w:tc>
        <w:tc>
          <w:tcPr>
            <w:tcW w:w="664" w:type="dxa"/>
            <w:vAlign w:val="center"/>
          </w:tcPr>
          <w:p>
            <w:pPr>
              <w:widowControl/>
              <w:spacing w:line="240" w:lineRule="auto"/>
              <w:jc w:val="center"/>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25" w:hRule="atLeast"/>
        </w:trPr>
        <w:tc>
          <w:tcPr>
            <w:tcW w:w="736" w:type="dxa"/>
            <w:vMerge w:val="continue"/>
            <w:vAlign w:val="center"/>
          </w:tcPr>
          <w:p>
            <w:pPr>
              <w:widowControl/>
              <w:spacing w:line="240" w:lineRule="auto"/>
              <w:textAlignment w:val="center"/>
              <w:rPr>
                <w:rFonts w:hint="eastAsia" w:ascii="宋体" w:hAnsi="宋体" w:eastAsia="宋体" w:cs="宋体"/>
                <w:color w:val="auto"/>
                <w:kern w:val="0"/>
                <w:szCs w:val="21"/>
                <w:lang w:eastAsia="zh-CN"/>
              </w:rPr>
            </w:pPr>
          </w:p>
        </w:tc>
        <w:tc>
          <w:tcPr>
            <w:tcW w:w="1216" w:type="dxa"/>
            <w:vMerge w:val="continue"/>
            <w:vAlign w:val="center"/>
          </w:tcPr>
          <w:p>
            <w:pPr>
              <w:widowControl/>
              <w:spacing w:line="240" w:lineRule="auto"/>
              <w:textAlignment w:val="center"/>
              <w:rPr>
                <w:rFonts w:hint="eastAsia" w:ascii="宋体" w:hAnsi="宋体" w:eastAsia="宋体" w:cs="宋体"/>
                <w:color w:val="auto"/>
                <w:kern w:val="0"/>
                <w:szCs w:val="21"/>
                <w:lang w:eastAsia="zh-CN"/>
              </w:rPr>
            </w:pPr>
          </w:p>
        </w:tc>
        <w:tc>
          <w:tcPr>
            <w:tcW w:w="6672" w:type="dxa"/>
            <w:vAlign w:val="center"/>
          </w:tcPr>
          <w:p>
            <w:pPr>
              <w:widowControl/>
              <w:spacing w:line="240" w:lineRule="auto"/>
              <w:textAlignment w:val="center"/>
              <w:rPr>
                <w:rFonts w:hint="eastAsia" w:ascii="宋体" w:hAnsi="宋体" w:eastAsia="宋体" w:cs="宋体"/>
                <w:color w:val="auto"/>
              </w:rPr>
            </w:pPr>
            <w:r>
              <w:rPr>
                <w:rFonts w:hint="eastAsia" w:ascii="宋体" w:hAnsi="宋体" w:eastAsia="宋体" w:cs="宋体"/>
                <w:color w:val="auto"/>
              </w:rPr>
              <w:t>动画人员或三维动画人员具有三维动画设计证的一人得0.5分，最高1分；摄像人员具有摄影师证的一人得1分，最高1分；</w:t>
            </w:r>
          </w:p>
          <w:p>
            <w:pPr>
              <w:spacing w:line="240" w:lineRule="auto"/>
              <w:outlineLvl w:val="9"/>
              <w:rPr>
                <w:rFonts w:hint="eastAsia" w:ascii="宋体" w:hAnsi="宋体" w:eastAsia="宋体" w:cs="宋体"/>
                <w:color w:val="auto"/>
                <w:lang w:eastAsia="zh-CN"/>
              </w:rPr>
            </w:pPr>
            <w:r>
              <w:rPr>
                <w:rFonts w:hint="eastAsia" w:ascii="宋体" w:hAnsi="宋体" w:eastAsia="宋体" w:cs="宋体"/>
                <w:color w:val="auto"/>
                <w:kern w:val="0"/>
                <w:szCs w:val="21"/>
                <w:lang w:eastAsia="zh-CN"/>
              </w:rPr>
              <w:t>需提供配备人员</w:t>
            </w:r>
            <w:r>
              <w:rPr>
                <w:rFonts w:hint="eastAsia" w:ascii="宋体" w:hAnsi="宋体" w:eastAsia="宋体" w:cs="宋体"/>
                <w:color w:val="auto"/>
                <w:kern w:val="0"/>
                <w:szCs w:val="21"/>
              </w:rPr>
              <w:t>身份证、资格证、劳动合同</w:t>
            </w:r>
            <w:r>
              <w:rPr>
                <w:rFonts w:hint="eastAsia" w:ascii="宋体" w:hAnsi="宋体" w:eastAsia="宋体" w:cs="宋体"/>
                <w:color w:val="auto"/>
                <w:kern w:val="0"/>
                <w:szCs w:val="21"/>
                <w:lang w:eastAsia="zh-CN"/>
              </w:rPr>
              <w:t>等证明材料</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未提供不得分</w:t>
            </w:r>
            <w:r>
              <w:rPr>
                <w:rFonts w:hint="eastAsia" w:ascii="宋体" w:hAnsi="宋体" w:eastAsia="宋体" w:cs="宋体"/>
                <w:color w:val="auto"/>
                <w:kern w:val="0"/>
                <w:szCs w:val="21"/>
              </w:rPr>
              <w:t>。</w:t>
            </w:r>
          </w:p>
        </w:tc>
        <w:tc>
          <w:tcPr>
            <w:tcW w:w="664" w:type="dxa"/>
            <w:vAlign w:val="center"/>
          </w:tcPr>
          <w:p>
            <w:pPr>
              <w:widowControl/>
              <w:spacing w:line="240" w:lineRule="auto"/>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8" w:hRule="atLeast"/>
        </w:trPr>
        <w:tc>
          <w:tcPr>
            <w:tcW w:w="736" w:type="dxa"/>
            <w:vMerge w:val="continue"/>
            <w:vAlign w:val="center"/>
          </w:tcPr>
          <w:p>
            <w:pPr>
              <w:autoSpaceDE w:val="0"/>
              <w:autoSpaceDN w:val="0"/>
              <w:adjustRightInd w:val="0"/>
              <w:spacing w:line="240" w:lineRule="auto"/>
              <w:rPr>
                <w:rFonts w:hint="eastAsia" w:ascii="宋体" w:hAnsi="宋体" w:eastAsia="宋体" w:cs="宋体"/>
                <w:color w:val="auto"/>
                <w:spacing w:val="-6"/>
                <w:kern w:val="0"/>
                <w:sz w:val="21"/>
                <w:szCs w:val="21"/>
              </w:rPr>
            </w:pPr>
          </w:p>
        </w:tc>
        <w:tc>
          <w:tcPr>
            <w:tcW w:w="1216" w:type="dxa"/>
            <w:vMerge w:val="continue"/>
            <w:vAlign w:val="center"/>
          </w:tcPr>
          <w:p>
            <w:pPr>
              <w:autoSpaceDE w:val="0"/>
              <w:autoSpaceDN w:val="0"/>
              <w:adjustRightInd w:val="0"/>
              <w:spacing w:line="240" w:lineRule="auto"/>
              <w:rPr>
                <w:rFonts w:hint="eastAsia" w:ascii="宋体" w:hAnsi="宋体" w:eastAsia="宋体" w:cs="宋体"/>
                <w:color w:val="auto"/>
                <w:spacing w:val="-6"/>
                <w:kern w:val="0"/>
                <w:sz w:val="21"/>
                <w:szCs w:val="21"/>
              </w:rPr>
            </w:pPr>
          </w:p>
        </w:tc>
        <w:tc>
          <w:tcPr>
            <w:tcW w:w="6672" w:type="dxa"/>
            <w:vAlign w:val="center"/>
          </w:tcPr>
          <w:p>
            <w:pPr>
              <w:widowControl/>
              <w:spacing w:line="240" w:lineRule="auto"/>
              <w:textAlignment w:val="center"/>
              <w:rPr>
                <w:rFonts w:hint="eastAsia" w:ascii="宋体" w:hAnsi="宋体" w:eastAsia="宋体" w:cs="宋体"/>
                <w:color w:val="auto"/>
              </w:rPr>
            </w:pPr>
            <w:r>
              <w:rPr>
                <w:rFonts w:hint="eastAsia" w:ascii="宋体" w:hAnsi="宋体" w:eastAsia="宋体" w:cs="宋体"/>
                <w:color w:val="auto"/>
              </w:rPr>
              <w:t>有近三年内的课程思政教师培训经历，有省属</w:t>
            </w:r>
            <w:r>
              <w:rPr>
                <w:rFonts w:hint="eastAsia" w:ascii="宋体" w:hAnsi="宋体" w:eastAsia="宋体" w:cs="宋体"/>
                <w:color w:val="auto"/>
                <w:lang w:val="en-US" w:eastAsia="zh-CN"/>
              </w:rPr>
              <w:t>/</w:t>
            </w:r>
            <w:r>
              <w:rPr>
                <w:rFonts w:hint="eastAsia" w:ascii="宋体" w:hAnsi="宋体" w:eastAsia="宋体" w:cs="宋体"/>
                <w:color w:val="auto"/>
              </w:rPr>
              <w:t>直辖市属高等学校师资培训中心提供的课程思政培训讲师证书，证书持有人为</w:t>
            </w:r>
            <w:r>
              <w:rPr>
                <w:rFonts w:hint="eastAsia" w:ascii="宋体" w:hAnsi="宋体" w:eastAsia="宋体" w:cs="宋体"/>
                <w:color w:val="auto"/>
                <w:lang w:eastAsia="zh-CN"/>
              </w:rPr>
              <w:t>供应商</w:t>
            </w:r>
            <w:r>
              <w:rPr>
                <w:rFonts w:hint="eastAsia" w:ascii="宋体" w:hAnsi="宋体" w:eastAsia="宋体" w:cs="宋体"/>
                <w:color w:val="auto"/>
              </w:rPr>
              <w:t>的正式、稳定员工，提供有“课程思政”、日期、讲座主题的证书</w:t>
            </w:r>
            <w:r>
              <w:rPr>
                <w:rFonts w:hint="eastAsia" w:ascii="宋体" w:hAnsi="宋体" w:eastAsia="宋体" w:cs="宋体"/>
                <w:color w:val="auto"/>
                <w:lang w:eastAsia="zh-CN"/>
              </w:rPr>
              <w:t>等</w:t>
            </w:r>
            <w:r>
              <w:rPr>
                <w:rFonts w:hint="eastAsia" w:ascii="宋体" w:hAnsi="宋体" w:eastAsia="宋体" w:cs="宋体"/>
                <w:color w:val="auto"/>
              </w:rPr>
              <w:t>一份完整文件。文件</w:t>
            </w:r>
            <w:r>
              <w:rPr>
                <w:rFonts w:hint="eastAsia" w:ascii="宋体" w:hAnsi="宋体" w:eastAsia="宋体" w:cs="宋体"/>
                <w:color w:val="auto"/>
                <w:lang w:eastAsia="zh-CN"/>
              </w:rPr>
              <w:t>内容完整</w:t>
            </w:r>
            <w:r>
              <w:rPr>
                <w:rFonts w:hint="eastAsia" w:ascii="宋体" w:hAnsi="宋体" w:eastAsia="宋体" w:cs="宋体"/>
                <w:color w:val="auto"/>
              </w:rPr>
              <w:t>得</w:t>
            </w:r>
            <w:r>
              <w:rPr>
                <w:rFonts w:hint="eastAsia" w:ascii="宋体" w:hAnsi="宋体" w:eastAsia="宋体" w:cs="宋体"/>
                <w:color w:val="auto"/>
                <w:lang w:val="en-US" w:eastAsia="zh-CN"/>
              </w:rPr>
              <w:t>3</w:t>
            </w:r>
            <w:r>
              <w:rPr>
                <w:rFonts w:hint="eastAsia" w:ascii="宋体" w:hAnsi="宋体" w:eastAsia="宋体" w:cs="宋体"/>
                <w:color w:val="auto"/>
              </w:rPr>
              <w:t>分</w:t>
            </w:r>
            <w:r>
              <w:rPr>
                <w:rFonts w:hint="eastAsia" w:ascii="宋体" w:hAnsi="宋体" w:eastAsia="宋体" w:cs="宋体"/>
                <w:color w:val="auto"/>
                <w:lang w:eastAsia="zh-CN"/>
              </w:rPr>
              <w:t>，其他则本项不得分</w:t>
            </w:r>
            <w:r>
              <w:rPr>
                <w:rFonts w:hint="eastAsia" w:ascii="宋体" w:hAnsi="宋体" w:eastAsia="宋体" w:cs="宋体"/>
                <w:color w:val="auto"/>
              </w:rPr>
              <w:t>。</w:t>
            </w:r>
          </w:p>
          <w:p>
            <w:pPr>
              <w:pStyle w:val="2"/>
              <w:rPr>
                <w:rFonts w:hint="eastAsia" w:ascii="宋体" w:hAnsi="宋体" w:eastAsia="宋体" w:cs="宋体"/>
                <w:color w:val="auto"/>
                <w:lang w:val="en-US" w:eastAsia="zh-CN"/>
              </w:rPr>
            </w:pPr>
            <w:r>
              <w:rPr>
                <w:rFonts w:hint="eastAsia" w:ascii="宋体" w:hAnsi="宋体" w:eastAsia="宋体" w:cs="宋体"/>
                <w:color w:val="auto"/>
                <w:kern w:val="0"/>
                <w:szCs w:val="21"/>
                <w:lang w:eastAsia="zh-CN"/>
              </w:rPr>
              <w:t>需提供证书持有人</w:t>
            </w:r>
            <w:r>
              <w:rPr>
                <w:rFonts w:hint="eastAsia" w:ascii="宋体" w:hAnsi="宋体" w:eastAsia="宋体" w:cs="宋体"/>
                <w:color w:val="auto"/>
                <w:kern w:val="0"/>
                <w:szCs w:val="21"/>
              </w:rPr>
              <w:t>劳动合同</w:t>
            </w:r>
            <w:r>
              <w:rPr>
                <w:rFonts w:hint="eastAsia" w:ascii="宋体" w:hAnsi="宋体" w:eastAsia="宋体" w:cs="宋体"/>
                <w:color w:val="auto"/>
                <w:kern w:val="0"/>
                <w:szCs w:val="21"/>
                <w:lang w:eastAsia="zh-CN"/>
              </w:rPr>
              <w:t>、连续六个月缴纳社保证明等材料</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未提供不得分</w:t>
            </w:r>
            <w:r>
              <w:rPr>
                <w:rFonts w:hint="eastAsia" w:ascii="宋体" w:hAnsi="宋体" w:eastAsia="宋体" w:cs="宋体"/>
                <w:color w:val="auto"/>
                <w:kern w:val="0"/>
                <w:szCs w:val="21"/>
              </w:rPr>
              <w:t>。</w:t>
            </w:r>
          </w:p>
        </w:tc>
        <w:tc>
          <w:tcPr>
            <w:tcW w:w="664" w:type="dxa"/>
            <w:vAlign w:val="center"/>
          </w:tcPr>
          <w:p>
            <w:pPr>
              <w:widowControl/>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40"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Merge w:val="restart"/>
            <w:vAlign w:val="center"/>
          </w:tcPr>
          <w:p>
            <w:pPr>
              <w:spacing w:line="24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标准化服务</w:t>
            </w:r>
          </w:p>
        </w:tc>
        <w:tc>
          <w:tcPr>
            <w:tcW w:w="6672" w:type="dxa"/>
            <w:vAlign w:val="center"/>
          </w:tcPr>
          <w:p>
            <w:pPr>
              <w:widowControl/>
              <w:spacing w:line="240" w:lineRule="auto"/>
              <w:textAlignment w:val="center"/>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提供标准化服务方案，方案需包含</w:t>
            </w:r>
            <w:r>
              <w:rPr>
                <w:rFonts w:hint="eastAsia" w:ascii="宋体" w:hAnsi="宋体" w:eastAsia="宋体" w:cs="宋体"/>
                <w:bCs/>
                <w:color w:val="auto"/>
                <w:szCs w:val="21"/>
              </w:rPr>
              <w:t>明确的服务流程和服务标准，保障在线开放课程制作的质量。</w:t>
            </w:r>
            <w:r>
              <w:rPr>
                <w:rFonts w:hint="eastAsia" w:ascii="宋体" w:hAnsi="宋体" w:eastAsia="宋体" w:cs="宋体"/>
                <w:bCs/>
                <w:color w:val="auto"/>
                <w:szCs w:val="21"/>
                <w:lang w:eastAsia="zh-CN"/>
              </w:rPr>
              <w:t>根据服务方案进行综合评分：</w:t>
            </w:r>
          </w:p>
          <w:p>
            <w:pPr>
              <w:spacing w:line="240" w:lineRule="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科学、合理，针对性强，4分；</w:t>
            </w:r>
          </w:p>
          <w:p>
            <w:pPr>
              <w:spacing w:line="240" w:lineRule="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合理，可行，2分；</w:t>
            </w:r>
          </w:p>
          <w:p>
            <w:pPr>
              <w:spacing w:line="240" w:lineRule="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欠合理，基本可行，1分；</w:t>
            </w:r>
          </w:p>
          <w:p>
            <w:pPr>
              <w:widowControl/>
              <w:spacing w:line="240" w:lineRule="auto"/>
              <w:textAlignment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lang w:val="en-US" w:eastAsia="zh-CN"/>
              </w:rPr>
              <w:t>不可行，0 分。</w:t>
            </w:r>
          </w:p>
        </w:tc>
        <w:tc>
          <w:tcPr>
            <w:tcW w:w="664" w:type="dxa"/>
            <w:vAlign w:val="center"/>
          </w:tcPr>
          <w:p>
            <w:pPr>
              <w:widowControl/>
              <w:spacing w:line="240"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4</w:t>
            </w:r>
            <w:r>
              <w:rPr>
                <w:rFonts w:hint="eastAsia" w:ascii="宋体" w:hAnsi="宋体" w:eastAsia="宋体" w:cs="宋体"/>
                <w:color w:val="auto"/>
                <w:kern w:val="0"/>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3" w:hRule="atLeast"/>
        </w:trPr>
        <w:tc>
          <w:tcPr>
            <w:tcW w:w="736" w:type="dxa"/>
            <w:vMerge w:val="continue"/>
            <w:vAlign w:val="center"/>
          </w:tcPr>
          <w:p>
            <w:pPr>
              <w:widowControl/>
              <w:spacing w:line="240" w:lineRule="auto"/>
              <w:textAlignment w:val="center"/>
              <w:rPr>
                <w:rFonts w:hint="eastAsia" w:ascii="宋体" w:hAnsi="宋体" w:eastAsia="宋体" w:cs="宋体"/>
                <w:color w:val="auto"/>
              </w:rPr>
            </w:pPr>
          </w:p>
        </w:tc>
        <w:tc>
          <w:tcPr>
            <w:tcW w:w="1216" w:type="dxa"/>
            <w:vMerge w:val="continue"/>
            <w:vAlign w:val="center"/>
          </w:tcPr>
          <w:p>
            <w:pPr>
              <w:widowControl/>
              <w:spacing w:line="240" w:lineRule="auto"/>
              <w:textAlignment w:val="center"/>
              <w:rPr>
                <w:rFonts w:hint="eastAsia" w:ascii="宋体" w:hAnsi="宋体" w:eastAsia="宋体" w:cs="宋体"/>
                <w:color w:val="auto"/>
              </w:rPr>
            </w:pPr>
          </w:p>
        </w:tc>
        <w:tc>
          <w:tcPr>
            <w:tcW w:w="6672" w:type="dxa"/>
            <w:vAlign w:val="center"/>
          </w:tcPr>
          <w:p>
            <w:pPr>
              <w:widowControl/>
              <w:spacing w:line="240" w:lineRule="auto"/>
              <w:textAlignment w:val="center"/>
              <w:rPr>
                <w:rFonts w:hint="eastAsia" w:ascii="宋体" w:hAnsi="宋体" w:eastAsia="宋体" w:cs="宋体"/>
                <w:bCs/>
                <w:color w:val="auto"/>
                <w:szCs w:val="21"/>
              </w:rPr>
            </w:pPr>
            <w:r>
              <w:rPr>
                <w:rFonts w:hint="eastAsia" w:ascii="宋体" w:hAnsi="宋体" w:eastAsia="宋体" w:cs="宋体"/>
                <w:bCs/>
                <w:color w:val="auto"/>
                <w:szCs w:val="21"/>
                <w:lang w:eastAsia="zh-CN"/>
              </w:rPr>
              <w:t>供应商</w:t>
            </w:r>
            <w:r>
              <w:rPr>
                <w:rFonts w:hint="eastAsia" w:ascii="宋体" w:hAnsi="宋体" w:eastAsia="宋体" w:cs="宋体"/>
                <w:bCs/>
                <w:color w:val="auto"/>
                <w:szCs w:val="21"/>
              </w:rPr>
              <w:t>需提供在线开放课程开发环节的分镜头脚本1个、文档类脚本1个、PPT类脚本样例1个、情景动画类脚本样例1个，每提供1</w:t>
            </w:r>
            <w:r>
              <w:rPr>
                <w:rFonts w:hint="eastAsia" w:ascii="宋体" w:hAnsi="宋体" w:eastAsia="宋体" w:cs="宋体"/>
                <w:bCs/>
                <w:color w:val="auto"/>
                <w:szCs w:val="21"/>
                <w:lang w:eastAsia="zh-CN"/>
              </w:rPr>
              <w:t>项</w:t>
            </w:r>
            <w:r>
              <w:rPr>
                <w:rFonts w:hint="eastAsia" w:ascii="宋体" w:hAnsi="宋体" w:eastAsia="宋体" w:cs="宋体"/>
                <w:bCs/>
                <w:color w:val="auto"/>
                <w:szCs w:val="21"/>
              </w:rPr>
              <w:t>得0.5分，满分2分，未提供或不符合要求不得分。</w:t>
            </w:r>
          </w:p>
        </w:tc>
        <w:tc>
          <w:tcPr>
            <w:tcW w:w="664" w:type="dxa"/>
            <w:vAlign w:val="center"/>
          </w:tcPr>
          <w:p>
            <w:pPr>
              <w:widowControl/>
              <w:spacing w:line="240" w:lineRule="auto"/>
              <w:jc w:val="center"/>
              <w:textAlignment w:val="center"/>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Align w:val="center"/>
          </w:tcPr>
          <w:p>
            <w:pPr>
              <w:widowControl/>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rPr>
              <w:t>现场演示</w:t>
            </w:r>
          </w:p>
        </w:tc>
        <w:tc>
          <w:tcPr>
            <w:tcW w:w="6672" w:type="dxa"/>
            <w:vAlign w:val="center"/>
          </w:tcPr>
          <w:p>
            <w:pPr>
              <w:widowControl/>
              <w:snapToGrid w:val="0"/>
              <w:spacing w:line="240" w:lineRule="auto"/>
              <w:rPr>
                <w:rFonts w:hint="eastAsia" w:ascii="宋体" w:hAnsi="宋体" w:eastAsia="宋体" w:cs="宋体"/>
                <w:b/>
                <w:color w:val="auto"/>
                <w:szCs w:val="21"/>
              </w:rPr>
            </w:pPr>
            <w:r>
              <w:rPr>
                <w:rFonts w:hint="eastAsia" w:ascii="宋体" w:hAnsi="宋体" w:eastAsia="宋体" w:cs="宋体"/>
                <w:b/>
                <w:color w:val="auto"/>
                <w:szCs w:val="21"/>
              </w:rPr>
              <w:t>拍摄种类演示</w:t>
            </w:r>
          </w:p>
          <w:p>
            <w:pPr>
              <w:widowControl/>
              <w:snapToGrid w:val="0"/>
              <w:spacing w:line="240" w:lineRule="auto"/>
              <w:jc w:val="left"/>
              <w:rPr>
                <w:rFonts w:hint="eastAsia" w:ascii="宋体" w:hAnsi="宋体" w:eastAsia="宋体" w:cs="宋体"/>
                <w:color w:val="auto"/>
                <w:szCs w:val="21"/>
              </w:rPr>
            </w:pPr>
            <w:r>
              <w:rPr>
                <w:rFonts w:hint="eastAsia" w:ascii="宋体" w:hAnsi="宋体" w:eastAsia="宋体" w:cs="宋体"/>
                <w:color w:val="auto"/>
                <w:szCs w:val="21"/>
              </w:rPr>
              <w:t>演示在线开放课程不同拍摄手法，例如高清大屏、实拍实验、情景剧、布景实拍、公开讲堂、录课笔、手绘动画、3D动画、情景动画等，提供视频5分钟内完全体现以上表现手法的得3分；</w:t>
            </w:r>
          </w:p>
          <w:p>
            <w:pPr>
              <w:widowControl/>
              <w:snapToGrid w:val="0"/>
              <w:spacing w:line="240" w:lineRule="auto"/>
              <w:jc w:val="left"/>
              <w:rPr>
                <w:rFonts w:hint="eastAsia" w:ascii="宋体" w:hAnsi="宋体" w:eastAsia="宋体" w:cs="宋体"/>
                <w:color w:val="auto"/>
                <w:szCs w:val="21"/>
                <w:lang w:val="en-US" w:eastAsia="zh-CN"/>
              </w:rPr>
            </w:pPr>
            <w:r>
              <w:rPr>
                <w:rFonts w:hint="eastAsia" w:ascii="宋体" w:hAnsi="宋体" w:eastAsia="宋体" w:cs="宋体"/>
                <w:color w:val="auto"/>
                <w:szCs w:val="21"/>
              </w:rPr>
              <w:t>提供视频5分钟内拍摄表现手法超出以上列出形式的，每增加一种表现形式得0.5分，</w:t>
            </w:r>
            <w:r>
              <w:rPr>
                <w:rFonts w:hint="eastAsia" w:ascii="宋体" w:hAnsi="宋体" w:eastAsia="宋体" w:cs="宋体"/>
                <w:color w:val="auto"/>
                <w:szCs w:val="21"/>
                <w:lang w:eastAsia="zh-CN"/>
              </w:rPr>
              <w:t>最多得</w:t>
            </w:r>
            <w:r>
              <w:rPr>
                <w:rFonts w:hint="eastAsia" w:ascii="宋体" w:hAnsi="宋体" w:eastAsia="宋体" w:cs="宋体"/>
                <w:color w:val="auto"/>
                <w:szCs w:val="21"/>
                <w:lang w:val="en-US" w:eastAsia="zh-CN"/>
              </w:rPr>
              <w:t>2分；</w:t>
            </w:r>
          </w:p>
          <w:p>
            <w:pPr>
              <w:widowControl/>
              <w:snapToGrid w:val="0"/>
              <w:spacing w:line="240" w:lineRule="auto"/>
              <w:jc w:val="left"/>
              <w:rPr>
                <w:rFonts w:hint="eastAsia" w:ascii="宋体" w:hAnsi="宋体" w:eastAsia="宋体" w:cs="宋体"/>
                <w:color w:val="auto"/>
                <w:szCs w:val="21"/>
              </w:rPr>
            </w:pPr>
            <w:r>
              <w:rPr>
                <w:rFonts w:hint="eastAsia" w:ascii="宋体" w:hAnsi="宋体" w:eastAsia="宋体" w:cs="宋体"/>
                <w:color w:val="auto"/>
                <w:szCs w:val="21"/>
              </w:rPr>
              <w:t>本项</w:t>
            </w:r>
            <w:r>
              <w:rPr>
                <w:rFonts w:hint="eastAsia" w:ascii="宋体" w:hAnsi="宋体" w:eastAsia="宋体" w:cs="宋体"/>
                <w:color w:val="auto"/>
                <w:szCs w:val="21"/>
                <w:lang w:eastAsia="zh-CN"/>
              </w:rPr>
              <w:t>满分</w:t>
            </w:r>
            <w:r>
              <w:rPr>
                <w:rFonts w:hint="eastAsia" w:ascii="宋体" w:hAnsi="宋体" w:eastAsia="宋体" w:cs="宋体"/>
                <w:color w:val="auto"/>
                <w:szCs w:val="21"/>
              </w:rPr>
              <w:t>5分，未按要求提供视频展示的不得分。</w:t>
            </w:r>
          </w:p>
          <w:p>
            <w:pPr>
              <w:widowControl/>
              <w:snapToGrid w:val="0"/>
              <w:spacing w:line="240" w:lineRule="auto"/>
              <w:jc w:val="left"/>
              <w:rPr>
                <w:rFonts w:hint="eastAsia" w:ascii="宋体" w:hAnsi="宋体" w:eastAsia="宋体" w:cs="宋体"/>
                <w:b/>
                <w:color w:val="auto"/>
                <w:szCs w:val="21"/>
              </w:rPr>
            </w:pPr>
            <w:r>
              <w:rPr>
                <w:rFonts w:hint="eastAsia" w:ascii="宋体" w:hAnsi="宋体" w:eastAsia="宋体" w:cs="宋体"/>
                <w:b/>
                <w:color w:val="auto"/>
                <w:szCs w:val="21"/>
              </w:rPr>
              <w:t>限时答题</w:t>
            </w:r>
          </w:p>
          <w:p>
            <w:pPr>
              <w:widowControl/>
              <w:snapToGrid w:val="0"/>
              <w:spacing w:line="240" w:lineRule="auto"/>
              <w:jc w:val="left"/>
              <w:rPr>
                <w:rFonts w:hint="eastAsia" w:ascii="宋体" w:hAnsi="宋体" w:eastAsia="宋体" w:cs="宋体"/>
                <w:color w:val="auto"/>
                <w:szCs w:val="21"/>
              </w:rPr>
            </w:pPr>
            <w:r>
              <w:rPr>
                <w:rFonts w:hint="eastAsia" w:ascii="宋体" w:hAnsi="宋体" w:eastAsia="宋体" w:cs="宋体"/>
                <w:color w:val="auto"/>
                <w:szCs w:val="21"/>
              </w:rPr>
              <w:t>教师可以从题库中选择试题，并设置限制答题时长，学生在规定的时间内完成练习,超过时间后自动提交。（满足</w:t>
            </w:r>
            <w:r>
              <w:rPr>
                <w:rFonts w:hint="eastAsia" w:ascii="宋体" w:hAnsi="宋体" w:eastAsia="宋体" w:cs="宋体"/>
                <w:color w:val="auto"/>
                <w:szCs w:val="21"/>
                <w:lang w:eastAsia="zh-CN"/>
              </w:rPr>
              <w:t>要求内容得</w:t>
            </w:r>
            <w:r>
              <w:rPr>
                <w:rFonts w:hint="eastAsia" w:ascii="宋体" w:hAnsi="宋体" w:eastAsia="宋体" w:cs="宋体"/>
                <w:color w:val="auto"/>
                <w:szCs w:val="21"/>
              </w:rPr>
              <w:t>1分</w:t>
            </w:r>
            <w:r>
              <w:rPr>
                <w:rFonts w:hint="eastAsia" w:ascii="宋体" w:hAnsi="宋体" w:eastAsia="宋体" w:cs="宋体"/>
                <w:color w:val="auto"/>
                <w:szCs w:val="21"/>
                <w:lang w:eastAsia="zh-CN"/>
              </w:rPr>
              <w:t>，不提供则不得分</w:t>
            </w:r>
            <w:r>
              <w:rPr>
                <w:rFonts w:hint="eastAsia" w:ascii="宋体" w:hAnsi="宋体" w:eastAsia="宋体" w:cs="宋体"/>
                <w:color w:val="auto"/>
                <w:szCs w:val="21"/>
              </w:rPr>
              <w:t>）</w:t>
            </w:r>
          </w:p>
          <w:p>
            <w:pPr>
              <w:widowControl/>
              <w:snapToGrid w:val="0"/>
              <w:spacing w:line="240" w:lineRule="auto"/>
              <w:jc w:val="left"/>
              <w:rPr>
                <w:rFonts w:hint="eastAsia" w:ascii="宋体" w:hAnsi="宋体" w:eastAsia="宋体" w:cs="宋体"/>
                <w:b/>
                <w:color w:val="auto"/>
                <w:szCs w:val="21"/>
              </w:rPr>
            </w:pPr>
            <w:r>
              <w:rPr>
                <w:rFonts w:hint="eastAsia" w:ascii="宋体" w:hAnsi="宋体" w:eastAsia="宋体" w:cs="宋体"/>
                <w:b/>
                <w:color w:val="auto"/>
                <w:szCs w:val="21"/>
              </w:rPr>
              <w:t>考核策略</w:t>
            </w:r>
          </w:p>
          <w:p>
            <w:pPr>
              <w:widowControl/>
              <w:spacing w:line="240" w:lineRule="auto"/>
              <w:textAlignment w:val="center"/>
              <w:rPr>
                <w:rFonts w:hint="eastAsia" w:ascii="宋体" w:hAnsi="宋体" w:eastAsia="宋体" w:cs="宋体"/>
                <w:color w:val="auto"/>
                <w:szCs w:val="21"/>
              </w:rPr>
            </w:pPr>
            <w:r>
              <w:rPr>
                <w:rFonts w:hint="eastAsia" w:ascii="宋体" w:hAnsi="宋体" w:eastAsia="宋体" w:cs="宋体"/>
                <w:color w:val="auto"/>
                <w:szCs w:val="21"/>
              </w:rPr>
              <w:t>过程性评估与终结性评估中，支持通过课程的</w:t>
            </w:r>
            <w:r>
              <w:rPr>
                <w:rFonts w:hint="eastAsia" w:ascii="宋体" w:hAnsi="宋体" w:eastAsia="宋体" w:cs="宋体"/>
                <w:b/>
                <w:bCs/>
                <w:color w:val="auto"/>
                <w:szCs w:val="21"/>
              </w:rPr>
              <w:t>学习时长、学习进度、学习成绩、作业、考试、讨论</w:t>
            </w:r>
            <w:r>
              <w:rPr>
                <w:rFonts w:hint="eastAsia" w:ascii="宋体" w:hAnsi="宋体" w:eastAsia="宋体" w:cs="宋体"/>
                <w:color w:val="auto"/>
                <w:szCs w:val="21"/>
              </w:rPr>
              <w:t>等维度评分，教师可通过自定义选择积分章节、权重。（满足</w:t>
            </w:r>
            <w:r>
              <w:rPr>
                <w:rFonts w:hint="eastAsia" w:ascii="宋体" w:hAnsi="宋体" w:eastAsia="宋体" w:cs="宋体"/>
                <w:color w:val="auto"/>
                <w:szCs w:val="21"/>
                <w:lang w:eastAsia="zh-CN"/>
              </w:rPr>
              <w:t>要求内容得</w:t>
            </w:r>
            <w:r>
              <w:rPr>
                <w:rFonts w:hint="eastAsia" w:ascii="宋体" w:hAnsi="宋体" w:eastAsia="宋体" w:cs="宋体"/>
                <w:color w:val="auto"/>
                <w:szCs w:val="21"/>
              </w:rPr>
              <w:t>1分</w:t>
            </w:r>
            <w:r>
              <w:rPr>
                <w:rFonts w:hint="eastAsia" w:ascii="宋体" w:hAnsi="宋体" w:eastAsia="宋体" w:cs="宋体"/>
                <w:color w:val="auto"/>
                <w:szCs w:val="21"/>
                <w:lang w:eastAsia="zh-CN"/>
              </w:rPr>
              <w:t>，不提供则不得分</w:t>
            </w:r>
            <w:r>
              <w:rPr>
                <w:rFonts w:hint="eastAsia" w:ascii="宋体" w:hAnsi="宋体" w:eastAsia="宋体" w:cs="宋体"/>
                <w:color w:val="auto"/>
                <w:szCs w:val="21"/>
              </w:rPr>
              <w:t>）</w:t>
            </w:r>
          </w:p>
          <w:p>
            <w:pPr>
              <w:widowControl/>
              <w:spacing w:line="240" w:lineRule="auto"/>
              <w:textAlignment w:val="center"/>
              <w:rPr>
                <w:rFonts w:hint="eastAsia" w:ascii="宋体" w:hAnsi="宋体" w:eastAsia="宋体" w:cs="宋体"/>
                <w:b/>
                <w:bCs/>
                <w:color w:val="auto"/>
                <w:kern w:val="0"/>
              </w:rPr>
            </w:pPr>
            <w:r>
              <w:rPr>
                <w:rFonts w:hint="eastAsia" w:ascii="宋体" w:hAnsi="宋体" w:eastAsia="宋体" w:cs="宋体"/>
                <w:b/>
                <w:bCs/>
                <w:color w:val="auto"/>
                <w:kern w:val="0"/>
              </w:rPr>
              <w:t>课程管理。</w:t>
            </w:r>
          </w:p>
          <w:p>
            <w:pPr>
              <w:widowControl/>
              <w:spacing w:line="240" w:lineRule="auto"/>
              <w:textAlignment w:val="center"/>
              <w:rPr>
                <w:rFonts w:hint="eastAsia" w:ascii="宋体" w:hAnsi="宋体" w:eastAsia="宋体" w:cs="宋体"/>
                <w:color w:val="auto"/>
                <w:kern w:val="0"/>
              </w:rPr>
            </w:pPr>
            <w:r>
              <w:rPr>
                <w:rFonts w:hint="eastAsia" w:ascii="宋体" w:hAnsi="宋体" w:eastAsia="宋体" w:cs="宋体"/>
                <w:color w:val="auto"/>
                <w:kern w:val="0"/>
              </w:rPr>
              <w:t>督导查看本校所有SPOC课程和开放课程，支持一键进入课程和查看课程数据分析，便于督导检查各院系课程建设情况和教学实施过程。</w:t>
            </w:r>
            <w:r>
              <w:rPr>
                <w:rFonts w:hint="eastAsia" w:ascii="宋体" w:hAnsi="宋体" w:eastAsia="宋体" w:cs="宋体"/>
                <w:color w:val="auto"/>
                <w:szCs w:val="21"/>
              </w:rPr>
              <w:t>（满足</w:t>
            </w:r>
            <w:r>
              <w:rPr>
                <w:rFonts w:hint="eastAsia" w:ascii="宋体" w:hAnsi="宋体" w:eastAsia="宋体" w:cs="宋体"/>
                <w:color w:val="auto"/>
                <w:szCs w:val="21"/>
                <w:lang w:eastAsia="zh-CN"/>
              </w:rPr>
              <w:t>要求内容得</w:t>
            </w:r>
            <w:r>
              <w:rPr>
                <w:rFonts w:hint="eastAsia" w:ascii="宋体" w:hAnsi="宋体" w:eastAsia="宋体" w:cs="宋体"/>
                <w:color w:val="auto"/>
                <w:szCs w:val="21"/>
              </w:rPr>
              <w:t>1分</w:t>
            </w:r>
            <w:r>
              <w:rPr>
                <w:rFonts w:hint="eastAsia" w:ascii="宋体" w:hAnsi="宋体" w:eastAsia="宋体" w:cs="宋体"/>
                <w:color w:val="auto"/>
                <w:szCs w:val="21"/>
                <w:lang w:eastAsia="zh-CN"/>
              </w:rPr>
              <w:t>，不提供则不得分</w:t>
            </w:r>
            <w:r>
              <w:rPr>
                <w:rFonts w:hint="eastAsia" w:ascii="宋体" w:hAnsi="宋体" w:eastAsia="宋体" w:cs="宋体"/>
                <w:color w:val="auto"/>
                <w:szCs w:val="21"/>
              </w:rPr>
              <w:t>）</w:t>
            </w:r>
          </w:p>
          <w:p>
            <w:pPr>
              <w:widowControl/>
              <w:spacing w:line="240" w:lineRule="auto"/>
              <w:textAlignment w:val="center"/>
              <w:rPr>
                <w:rFonts w:hint="eastAsia" w:ascii="宋体" w:hAnsi="宋体" w:eastAsia="宋体" w:cs="宋体"/>
                <w:b/>
                <w:bCs/>
                <w:color w:val="auto"/>
              </w:rPr>
            </w:pPr>
            <w:r>
              <w:rPr>
                <w:rFonts w:hint="eastAsia" w:ascii="宋体" w:hAnsi="宋体" w:eastAsia="宋体" w:cs="宋体"/>
                <w:b/>
                <w:bCs/>
                <w:color w:val="auto"/>
              </w:rPr>
              <w:t>课程菜单管理。</w:t>
            </w:r>
          </w:p>
          <w:p>
            <w:pPr>
              <w:widowControl/>
              <w:spacing w:line="240" w:lineRule="auto"/>
              <w:textAlignment w:val="center"/>
              <w:rPr>
                <w:rFonts w:hint="eastAsia" w:ascii="宋体" w:hAnsi="宋体" w:eastAsia="宋体" w:cs="宋体"/>
                <w:color w:val="auto"/>
              </w:rPr>
            </w:pPr>
            <w:r>
              <w:rPr>
                <w:rFonts w:hint="eastAsia" w:ascii="宋体" w:hAnsi="宋体" w:eastAsia="宋体" w:cs="宋体"/>
                <w:color w:val="auto"/>
              </w:rPr>
              <w:t>课程管理员可进行课程菜单管理，支持将菜单设置为课程首页，电脑端进入课程时默认打开该菜单页面。支持菜单隐藏和开启。</w:t>
            </w:r>
            <w:r>
              <w:rPr>
                <w:rFonts w:hint="eastAsia" w:ascii="宋体" w:hAnsi="宋体" w:eastAsia="宋体" w:cs="宋体"/>
                <w:color w:val="auto"/>
                <w:szCs w:val="21"/>
              </w:rPr>
              <w:t>（满足</w:t>
            </w:r>
            <w:r>
              <w:rPr>
                <w:rFonts w:hint="eastAsia" w:ascii="宋体" w:hAnsi="宋体" w:eastAsia="宋体" w:cs="宋体"/>
                <w:color w:val="auto"/>
                <w:szCs w:val="21"/>
                <w:lang w:eastAsia="zh-CN"/>
              </w:rPr>
              <w:t>要求内容得</w:t>
            </w:r>
            <w:r>
              <w:rPr>
                <w:rFonts w:hint="eastAsia" w:ascii="宋体" w:hAnsi="宋体" w:eastAsia="宋体" w:cs="宋体"/>
                <w:color w:val="auto"/>
                <w:szCs w:val="21"/>
              </w:rPr>
              <w:t>1分</w:t>
            </w:r>
            <w:r>
              <w:rPr>
                <w:rFonts w:hint="eastAsia" w:ascii="宋体" w:hAnsi="宋体" w:eastAsia="宋体" w:cs="宋体"/>
                <w:color w:val="auto"/>
                <w:szCs w:val="21"/>
                <w:lang w:eastAsia="zh-CN"/>
              </w:rPr>
              <w:t>，不提供则不得分</w:t>
            </w:r>
            <w:r>
              <w:rPr>
                <w:rFonts w:hint="eastAsia" w:ascii="宋体" w:hAnsi="宋体" w:eastAsia="宋体" w:cs="宋体"/>
                <w:color w:val="auto"/>
                <w:szCs w:val="21"/>
              </w:rPr>
              <w:t>）</w:t>
            </w:r>
          </w:p>
          <w:p>
            <w:pPr>
              <w:widowControl/>
              <w:spacing w:line="240" w:lineRule="auto"/>
              <w:textAlignment w:val="center"/>
              <w:rPr>
                <w:rFonts w:hint="eastAsia" w:ascii="宋体" w:hAnsi="宋体" w:eastAsia="宋体" w:cs="宋体"/>
                <w:b/>
                <w:bCs/>
                <w:color w:val="auto"/>
              </w:rPr>
            </w:pPr>
            <w:r>
              <w:rPr>
                <w:rFonts w:hint="eastAsia" w:ascii="宋体" w:hAnsi="宋体" w:eastAsia="宋体" w:cs="宋体"/>
                <w:b/>
                <w:bCs/>
                <w:color w:val="auto"/>
              </w:rPr>
              <w:t>外部课件引用。</w:t>
            </w:r>
          </w:p>
          <w:p>
            <w:pPr>
              <w:widowControl/>
              <w:spacing w:line="240" w:lineRule="auto"/>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rPr>
              <w:t>支持对接并引入第三方在线教学平台的课件内容。</w:t>
            </w:r>
            <w:r>
              <w:rPr>
                <w:rFonts w:hint="eastAsia" w:ascii="宋体" w:hAnsi="宋体" w:eastAsia="宋体" w:cs="宋体"/>
                <w:color w:val="auto"/>
                <w:szCs w:val="21"/>
              </w:rPr>
              <w:t>（满足</w:t>
            </w:r>
            <w:r>
              <w:rPr>
                <w:rFonts w:hint="eastAsia" w:ascii="宋体" w:hAnsi="宋体" w:eastAsia="宋体" w:cs="宋体"/>
                <w:color w:val="auto"/>
                <w:szCs w:val="21"/>
                <w:lang w:eastAsia="zh-CN"/>
              </w:rPr>
              <w:t>要求内容得</w:t>
            </w:r>
            <w:r>
              <w:rPr>
                <w:rFonts w:hint="eastAsia" w:ascii="宋体" w:hAnsi="宋体" w:eastAsia="宋体" w:cs="宋体"/>
                <w:color w:val="auto"/>
                <w:szCs w:val="21"/>
              </w:rPr>
              <w:t>1分</w:t>
            </w:r>
            <w:r>
              <w:rPr>
                <w:rFonts w:hint="eastAsia" w:ascii="宋体" w:hAnsi="宋体" w:eastAsia="宋体" w:cs="宋体"/>
                <w:color w:val="auto"/>
                <w:szCs w:val="21"/>
                <w:lang w:eastAsia="zh-CN"/>
              </w:rPr>
              <w:t>，不提供则不得分</w:t>
            </w:r>
            <w:r>
              <w:rPr>
                <w:rFonts w:hint="eastAsia" w:ascii="宋体" w:hAnsi="宋体" w:eastAsia="宋体" w:cs="宋体"/>
                <w:color w:val="auto"/>
                <w:szCs w:val="21"/>
              </w:rPr>
              <w:t>）</w:t>
            </w:r>
            <w:r>
              <w:rPr>
                <w:rFonts w:hint="eastAsia" w:ascii="宋体" w:hAnsi="宋体" w:eastAsia="宋体" w:cs="宋体"/>
                <w:color w:val="auto"/>
              </w:rPr>
              <w:br w:type="textWrapping"/>
            </w:r>
            <w:r>
              <w:rPr>
                <w:rFonts w:hint="eastAsia" w:ascii="宋体" w:hAnsi="宋体" w:eastAsia="宋体" w:cs="宋体"/>
                <w:b/>
                <w:bCs/>
                <w:color w:val="auto"/>
                <w:lang w:eastAsia="zh-CN"/>
              </w:rPr>
              <w:t>注：供应商所提供现场演示时长不得超过</w:t>
            </w:r>
            <w:r>
              <w:rPr>
                <w:rFonts w:hint="eastAsia" w:ascii="宋体" w:hAnsi="宋体" w:eastAsia="宋体" w:cs="宋体"/>
                <w:b/>
                <w:bCs/>
                <w:color w:val="auto"/>
                <w:lang w:val="en-US" w:eastAsia="zh-CN"/>
              </w:rPr>
              <w:t>10分钟。</w:t>
            </w:r>
          </w:p>
        </w:tc>
        <w:tc>
          <w:tcPr>
            <w:tcW w:w="664" w:type="dxa"/>
            <w:vAlign w:val="center"/>
          </w:tcPr>
          <w:p>
            <w:pPr>
              <w:widowControl/>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0</w:t>
            </w:r>
            <w:r>
              <w:rPr>
                <w:rFonts w:hint="eastAsia" w:ascii="宋体" w:hAnsi="宋体" w:eastAsia="宋体" w:cs="宋体"/>
                <w:color w:val="auto"/>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Align w:val="center"/>
          </w:tcPr>
          <w:p>
            <w:pPr>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售后服务方案</w:t>
            </w:r>
          </w:p>
        </w:tc>
        <w:tc>
          <w:tcPr>
            <w:tcW w:w="6672" w:type="dxa"/>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提供售后服务方案，根据售后服务方案设计的完整性、可行性等进行评分，</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科学、合理，针对性强，</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合理，可行，</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欠合理，基本可行，</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w:t>
            </w:r>
          </w:p>
          <w:p>
            <w:pPr>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不可行，0 分。</w:t>
            </w:r>
          </w:p>
        </w:tc>
        <w:tc>
          <w:tcPr>
            <w:tcW w:w="664" w:type="dxa"/>
            <w:vAlign w:val="center"/>
          </w:tcPr>
          <w:p>
            <w:pPr>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Merge w:val="restart"/>
            <w:vAlign w:val="center"/>
          </w:tcPr>
          <w:p>
            <w:pPr>
              <w:widowControl/>
              <w:spacing w:line="240" w:lineRule="auto"/>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rPr>
              <w:t>课程宣传推广</w:t>
            </w:r>
          </w:p>
        </w:tc>
        <w:tc>
          <w:tcPr>
            <w:tcW w:w="6672" w:type="dxa"/>
            <w:vAlign w:val="center"/>
          </w:tcPr>
          <w:p>
            <w:pPr>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供应商需</w:t>
            </w:r>
            <w:r>
              <w:rPr>
                <w:rFonts w:hint="eastAsia" w:ascii="宋体" w:hAnsi="宋体" w:eastAsia="宋体" w:cs="宋体"/>
                <w:color w:val="auto"/>
                <w:sz w:val="21"/>
                <w:szCs w:val="21"/>
              </w:rPr>
              <w:t>提供在国内权威机构运行的，面向公众开放的公众平台上发布和推广服务，提供域名或相关授权协议证明得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tc>
        <w:tc>
          <w:tcPr>
            <w:tcW w:w="664" w:type="dxa"/>
            <w:vAlign w:val="center"/>
          </w:tcPr>
          <w:p>
            <w:pPr>
              <w:widowControl/>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val="en-US" w:eastAsia="zh-CN"/>
              </w:rPr>
              <w:t>2</w:t>
            </w:r>
            <w:r>
              <w:rPr>
                <w:rFonts w:hint="eastAsia" w:ascii="宋体" w:hAnsi="宋体" w:eastAsia="宋体" w:cs="宋体"/>
                <w:color w:val="auto"/>
                <w:kern w:val="0"/>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Merge w:val="continue"/>
            <w:vAlign w:val="center"/>
          </w:tcPr>
          <w:p>
            <w:pPr>
              <w:spacing w:line="240" w:lineRule="auto"/>
              <w:rPr>
                <w:rFonts w:hint="eastAsia" w:ascii="宋体" w:hAnsi="宋体" w:eastAsia="宋体" w:cs="宋体"/>
                <w:color w:val="auto"/>
                <w:spacing w:val="-6"/>
                <w:sz w:val="21"/>
                <w:szCs w:val="21"/>
              </w:rPr>
            </w:pPr>
          </w:p>
        </w:tc>
        <w:tc>
          <w:tcPr>
            <w:tcW w:w="6672" w:type="dxa"/>
            <w:vAlign w:val="center"/>
          </w:tcPr>
          <w:p>
            <w:pPr>
              <w:spacing w:line="240" w:lineRule="auto"/>
              <w:rPr>
                <w:rFonts w:hint="eastAsia" w:ascii="宋体" w:hAnsi="宋体" w:eastAsia="宋体" w:cs="宋体"/>
                <w:color w:val="auto"/>
                <w:spacing w:val="-6"/>
                <w:sz w:val="21"/>
                <w:szCs w:val="21"/>
              </w:rPr>
            </w:pPr>
            <w:r>
              <w:rPr>
                <w:rFonts w:hint="eastAsia" w:ascii="宋体" w:hAnsi="宋体" w:eastAsia="宋体" w:cs="宋体"/>
                <w:color w:val="auto"/>
                <w:sz w:val="21"/>
                <w:szCs w:val="21"/>
                <w:lang w:eastAsia="zh-CN"/>
              </w:rPr>
              <w:t>供应商需</w:t>
            </w:r>
            <w:r>
              <w:rPr>
                <w:rFonts w:hint="eastAsia" w:ascii="宋体" w:hAnsi="宋体" w:eastAsia="宋体" w:cs="宋体"/>
                <w:color w:val="auto"/>
                <w:sz w:val="21"/>
                <w:szCs w:val="21"/>
              </w:rPr>
              <w:t>提供在公开平台运营课程的案例，提供2门超过100000人选修的案例，同时提供微信或网站对该课程的推广案例，每</w:t>
            </w:r>
            <w:r>
              <w:rPr>
                <w:rFonts w:hint="eastAsia" w:ascii="宋体" w:hAnsi="宋体" w:eastAsia="宋体" w:cs="宋体"/>
                <w:color w:val="auto"/>
                <w:sz w:val="21"/>
                <w:szCs w:val="21"/>
                <w:lang w:eastAsia="zh-CN"/>
              </w:rPr>
              <w:t>提供一个且案例内容</w:t>
            </w:r>
            <w:r>
              <w:rPr>
                <w:rFonts w:hint="eastAsia" w:ascii="宋体" w:hAnsi="宋体" w:eastAsia="宋体" w:cs="宋体"/>
                <w:color w:val="auto"/>
                <w:sz w:val="21"/>
                <w:szCs w:val="21"/>
              </w:rPr>
              <w:t>完整得1分，最高2分。</w:t>
            </w:r>
          </w:p>
        </w:tc>
        <w:tc>
          <w:tcPr>
            <w:tcW w:w="664" w:type="dxa"/>
            <w:vAlign w:val="center"/>
          </w:tcPr>
          <w:p>
            <w:pPr>
              <w:spacing w:line="240" w:lineRule="auto"/>
              <w:rPr>
                <w:rFonts w:hint="eastAsia" w:ascii="宋体" w:hAnsi="宋体" w:eastAsia="宋体" w:cs="宋体"/>
                <w:color w:val="auto"/>
                <w:spacing w:val="-6"/>
                <w:sz w:val="21"/>
                <w:szCs w:val="21"/>
                <w:lang w:val="en-US" w:eastAsia="zh-CN"/>
              </w:rPr>
            </w:pPr>
            <w:r>
              <w:rPr>
                <w:rFonts w:hint="eastAsia" w:ascii="宋体" w:hAnsi="宋体" w:eastAsia="宋体" w:cs="宋体"/>
                <w:color w:val="auto"/>
                <w:spacing w:val="-6"/>
                <w:sz w:val="21"/>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Merge w:val="restart"/>
            <w:vAlign w:val="center"/>
          </w:tcPr>
          <w:p>
            <w:pPr>
              <w:widowControl/>
              <w:spacing w:line="240" w:lineRule="auto"/>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获奖作品</w:t>
            </w:r>
          </w:p>
          <w:p>
            <w:pPr>
              <w:spacing w:line="240" w:lineRule="auto"/>
              <w:rPr>
                <w:rFonts w:hint="eastAsia" w:ascii="宋体" w:hAnsi="宋体" w:eastAsia="宋体" w:cs="宋体"/>
                <w:color w:val="auto"/>
                <w:spacing w:val="-6"/>
                <w:sz w:val="21"/>
                <w:szCs w:val="21"/>
              </w:rPr>
            </w:pPr>
          </w:p>
        </w:tc>
        <w:tc>
          <w:tcPr>
            <w:tcW w:w="6672" w:type="dxa"/>
            <w:vAlign w:val="center"/>
          </w:tcPr>
          <w:p>
            <w:pPr>
              <w:widowControl/>
              <w:spacing w:line="240" w:lineRule="auto"/>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eastAsia="zh-CN"/>
              </w:rPr>
              <w:t>供应商</w:t>
            </w:r>
            <w:r>
              <w:rPr>
                <w:rFonts w:hint="eastAsia" w:ascii="宋体" w:hAnsi="宋体" w:eastAsia="宋体" w:cs="宋体"/>
                <w:color w:val="auto"/>
                <w:kern w:val="0"/>
                <w:szCs w:val="21"/>
              </w:rPr>
              <w:t>有能力制作国家精品在线开放课程，需要提供课程对应合同扫描件、国家精品在线开放课程获奖证书扫描件、课程首页截图、网址，为一份完整材料，</w:t>
            </w:r>
            <w:r>
              <w:rPr>
                <w:rFonts w:hint="eastAsia" w:ascii="宋体" w:hAnsi="宋体" w:eastAsia="宋体" w:cs="宋体"/>
                <w:color w:val="auto"/>
                <w:kern w:val="0"/>
                <w:szCs w:val="21"/>
                <w:lang w:eastAsia="zh-CN"/>
              </w:rPr>
              <w:t>每提供</w:t>
            </w:r>
            <w:r>
              <w:rPr>
                <w:rFonts w:hint="eastAsia" w:ascii="宋体" w:hAnsi="宋体" w:eastAsia="宋体" w:cs="宋体"/>
                <w:color w:val="auto"/>
                <w:kern w:val="0"/>
                <w:szCs w:val="21"/>
              </w:rPr>
              <w:t>1份完整材料得0.5分，最高</w:t>
            </w:r>
            <w:r>
              <w:rPr>
                <w:rFonts w:hint="eastAsia" w:ascii="宋体" w:hAnsi="宋体" w:eastAsia="宋体" w:cs="宋体"/>
                <w:color w:val="auto"/>
                <w:kern w:val="0"/>
                <w:szCs w:val="21"/>
                <w:lang w:val="en-US" w:eastAsia="zh-CN"/>
              </w:rPr>
              <w:t>2</w:t>
            </w:r>
            <w:r>
              <w:rPr>
                <w:rFonts w:hint="eastAsia" w:ascii="宋体" w:hAnsi="宋体" w:eastAsia="宋体" w:cs="宋体"/>
                <w:color w:val="auto"/>
                <w:kern w:val="0"/>
                <w:szCs w:val="21"/>
              </w:rPr>
              <w:t>分。</w:t>
            </w:r>
          </w:p>
        </w:tc>
        <w:tc>
          <w:tcPr>
            <w:tcW w:w="664" w:type="dxa"/>
            <w:vAlign w:val="center"/>
          </w:tcPr>
          <w:p>
            <w:pPr>
              <w:widowControl/>
              <w:spacing w:line="240"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2</w:t>
            </w:r>
            <w:r>
              <w:rPr>
                <w:rFonts w:hint="eastAsia" w:ascii="宋体" w:hAnsi="宋体" w:eastAsia="宋体" w:cs="宋体"/>
                <w:color w:val="auto"/>
                <w:kern w:val="0"/>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宋体" w:hAnsi="宋体" w:eastAsia="宋体" w:cs="宋体"/>
                <w:color w:val="auto"/>
                <w:sz w:val="21"/>
                <w:szCs w:val="21"/>
              </w:rPr>
            </w:pPr>
          </w:p>
        </w:tc>
        <w:tc>
          <w:tcPr>
            <w:tcW w:w="1216" w:type="dxa"/>
            <w:vMerge w:val="continue"/>
            <w:vAlign w:val="center"/>
          </w:tcPr>
          <w:p>
            <w:pPr>
              <w:spacing w:line="240" w:lineRule="auto"/>
              <w:rPr>
                <w:rFonts w:hint="eastAsia" w:ascii="宋体" w:hAnsi="宋体" w:eastAsia="宋体" w:cs="宋体"/>
                <w:color w:val="auto"/>
                <w:spacing w:val="-6"/>
                <w:sz w:val="21"/>
                <w:szCs w:val="21"/>
              </w:rPr>
            </w:pPr>
          </w:p>
        </w:tc>
        <w:tc>
          <w:tcPr>
            <w:tcW w:w="6672" w:type="dxa"/>
            <w:vAlign w:val="center"/>
          </w:tcPr>
          <w:p>
            <w:pPr>
              <w:widowControl/>
              <w:spacing w:line="240" w:lineRule="auto"/>
              <w:textAlignment w:val="center"/>
              <w:rPr>
                <w:rFonts w:hint="eastAsia" w:ascii="宋体" w:hAnsi="宋体" w:eastAsia="宋体" w:cs="宋体"/>
                <w:color w:val="auto"/>
              </w:rPr>
            </w:pPr>
            <w:r>
              <w:rPr>
                <w:rFonts w:hint="eastAsia" w:ascii="宋体" w:hAnsi="宋体" w:eastAsia="宋体" w:cs="宋体"/>
                <w:color w:val="auto"/>
              </w:rPr>
              <w:t>有支持高等院校获得省级以上教学成果奖的经历，提供的教学成果奖获奖证书文件中完成单位需包含投保人名称，获奖者需包含</w:t>
            </w:r>
            <w:r>
              <w:rPr>
                <w:rFonts w:hint="eastAsia" w:ascii="宋体" w:hAnsi="宋体" w:eastAsia="宋体" w:cs="宋体"/>
                <w:color w:val="auto"/>
                <w:lang w:eastAsia="zh-CN"/>
              </w:rPr>
              <w:t>供应商</w:t>
            </w:r>
            <w:r>
              <w:rPr>
                <w:rFonts w:hint="eastAsia" w:ascii="宋体" w:hAnsi="宋体" w:eastAsia="宋体" w:cs="宋体"/>
                <w:color w:val="auto"/>
              </w:rPr>
              <w:t>的正式员工</w:t>
            </w:r>
            <w:r>
              <w:rPr>
                <w:rFonts w:hint="eastAsia" w:ascii="宋体" w:hAnsi="宋体" w:eastAsia="宋体" w:cs="宋体"/>
                <w:color w:val="auto"/>
                <w:lang w:eastAsia="zh-CN"/>
              </w:rPr>
              <w:t>等</w:t>
            </w:r>
            <w:r>
              <w:rPr>
                <w:rFonts w:hint="eastAsia" w:ascii="宋体" w:hAnsi="宋体" w:eastAsia="宋体" w:cs="宋体"/>
                <w:color w:val="auto"/>
              </w:rPr>
              <w:t>。文件</w:t>
            </w:r>
            <w:r>
              <w:rPr>
                <w:rFonts w:hint="eastAsia" w:ascii="宋体" w:hAnsi="宋体" w:eastAsia="宋体" w:cs="宋体"/>
                <w:color w:val="auto"/>
                <w:lang w:eastAsia="zh-CN"/>
              </w:rPr>
              <w:t>内容完整</w:t>
            </w:r>
            <w:r>
              <w:rPr>
                <w:rFonts w:hint="eastAsia" w:ascii="宋体" w:hAnsi="宋体" w:eastAsia="宋体" w:cs="宋体"/>
                <w:color w:val="auto"/>
              </w:rPr>
              <w:t>得</w:t>
            </w:r>
            <w:r>
              <w:rPr>
                <w:rFonts w:hint="eastAsia" w:ascii="宋体" w:hAnsi="宋体" w:eastAsia="宋体" w:cs="宋体"/>
                <w:color w:val="auto"/>
                <w:lang w:val="en-US" w:eastAsia="zh-CN"/>
              </w:rPr>
              <w:t>3</w:t>
            </w:r>
            <w:r>
              <w:rPr>
                <w:rFonts w:hint="eastAsia" w:ascii="宋体" w:hAnsi="宋体" w:eastAsia="宋体" w:cs="宋体"/>
                <w:color w:val="auto"/>
              </w:rPr>
              <w:t>分</w:t>
            </w:r>
            <w:r>
              <w:rPr>
                <w:rFonts w:hint="eastAsia" w:ascii="宋体" w:hAnsi="宋体" w:eastAsia="宋体" w:cs="宋体"/>
                <w:color w:val="auto"/>
                <w:lang w:eastAsia="zh-CN"/>
              </w:rPr>
              <w:t>，其他则本项不得分</w:t>
            </w:r>
            <w:r>
              <w:rPr>
                <w:rFonts w:hint="eastAsia" w:ascii="宋体" w:hAnsi="宋体" w:eastAsia="宋体" w:cs="宋体"/>
                <w:color w:val="auto"/>
              </w:rPr>
              <w:t>。</w:t>
            </w:r>
          </w:p>
          <w:p>
            <w:pPr>
              <w:pStyle w:val="2"/>
              <w:rPr>
                <w:rFonts w:hint="eastAsia" w:ascii="宋体" w:hAnsi="宋体" w:eastAsia="宋体" w:cs="宋体"/>
                <w:color w:val="auto"/>
                <w:lang w:val="en-US" w:eastAsia="zh-CN"/>
              </w:rPr>
            </w:pPr>
            <w:r>
              <w:rPr>
                <w:rFonts w:hint="eastAsia" w:ascii="宋体" w:hAnsi="宋体" w:eastAsia="宋体" w:cs="宋体"/>
                <w:color w:val="auto"/>
                <w:kern w:val="0"/>
                <w:szCs w:val="21"/>
                <w:lang w:eastAsia="zh-CN"/>
              </w:rPr>
              <w:t>需提供人员</w:t>
            </w:r>
            <w:r>
              <w:rPr>
                <w:rFonts w:hint="eastAsia" w:ascii="宋体" w:hAnsi="宋体" w:eastAsia="宋体" w:cs="宋体"/>
                <w:color w:val="auto"/>
                <w:kern w:val="0"/>
                <w:szCs w:val="21"/>
              </w:rPr>
              <w:t>劳动合同</w:t>
            </w:r>
            <w:r>
              <w:rPr>
                <w:rFonts w:hint="eastAsia" w:ascii="宋体" w:hAnsi="宋体" w:eastAsia="宋体" w:cs="宋体"/>
                <w:color w:val="auto"/>
                <w:kern w:val="0"/>
                <w:szCs w:val="21"/>
                <w:lang w:eastAsia="zh-CN"/>
              </w:rPr>
              <w:t>、连续六个月缴纳社保证明等材料</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未提供不得分</w:t>
            </w:r>
            <w:r>
              <w:rPr>
                <w:rFonts w:hint="eastAsia" w:ascii="宋体" w:hAnsi="宋体" w:eastAsia="宋体" w:cs="宋体"/>
                <w:color w:val="auto"/>
                <w:kern w:val="0"/>
                <w:szCs w:val="21"/>
              </w:rPr>
              <w:t>。</w:t>
            </w:r>
          </w:p>
        </w:tc>
        <w:tc>
          <w:tcPr>
            <w:tcW w:w="664" w:type="dxa"/>
            <w:vAlign w:val="center"/>
          </w:tcPr>
          <w:p>
            <w:pPr>
              <w:widowControl/>
              <w:spacing w:line="240"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3</w:t>
            </w:r>
            <w:r>
              <w:rPr>
                <w:rFonts w:hint="eastAsia" w:ascii="宋体" w:hAnsi="宋体" w:eastAsia="宋体" w:cs="宋体"/>
                <w:color w:val="auto"/>
                <w:kern w:val="0"/>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总分</w:t>
            </w:r>
          </w:p>
        </w:tc>
        <w:tc>
          <w:tcPr>
            <w:tcW w:w="8552" w:type="dxa"/>
            <w:gridSpan w:val="3"/>
            <w:vAlign w:val="center"/>
          </w:tcPr>
          <w:p>
            <w:pPr>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szCs w:val="21"/>
        </w:rPr>
      </w:pPr>
      <w:bookmarkStart w:id="112" w:name="_Toc17963"/>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12"/>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13" w:name="_Toc9958"/>
      <w:r>
        <w:rPr>
          <w:rFonts w:hint="eastAsia" w:asciiTheme="minorEastAsia" w:hAnsiTheme="minorEastAsia" w:eastAsiaTheme="minorEastAsia" w:cstheme="minorEastAsia"/>
          <w:b/>
          <w:szCs w:val="21"/>
          <w:lang w:val="en-US" w:eastAsia="zh-CN"/>
        </w:rPr>
        <w:t>五、磋商及评审步骤</w:t>
      </w:r>
      <w:bookmarkEnd w:id="113"/>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hint="eastAsia" w:asciiTheme="minorEastAsia" w:hAnsiTheme="minorEastAsia" w:eastAsiaTheme="minorEastAsia" w:cstheme="minorEastAsia"/>
          <w:b w:val="0"/>
          <w:kern w:val="0"/>
          <w:szCs w:val="21"/>
        </w:rPr>
      </w:pPr>
      <w:bookmarkStart w:id="114" w:name="_Toc318643471"/>
      <w:bookmarkStart w:id="115" w:name="_Toc211783328"/>
      <w:bookmarkStart w:id="116" w:name="_Toc13295"/>
      <w:r>
        <w:rPr>
          <w:rFonts w:hint="eastAsia" w:asciiTheme="minorEastAsia" w:hAnsiTheme="minorEastAsia" w:eastAsiaTheme="minorEastAsia" w:cstheme="minorEastAsia"/>
          <w:sz w:val="36"/>
          <w:szCs w:val="36"/>
        </w:rPr>
        <w:br w:type="page"/>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r>
        <w:rPr>
          <w:rFonts w:hint="eastAsia" w:asciiTheme="minorEastAsia" w:hAnsiTheme="minorEastAsia" w:eastAsiaTheme="minorEastAsia" w:cstheme="minorEastAsia"/>
          <w:sz w:val="36"/>
          <w:szCs w:val="36"/>
        </w:rPr>
        <w:t>合同书</w:t>
      </w:r>
      <w:bookmarkEnd w:id="114"/>
      <w:bookmarkEnd w:id="115"/>
      <w:r>
        <w:rPr>
          <w:rFonts w:hint="eastAsia" w:asciiTheme="minorEastAsia" w:hAnsiTheme="minorEastAsia" w:eastAsiaTheme="minorEastAsia" w:cstheme="minorEastAsia"/>
          <w:sz w:val="36"/>
          <w:szCs w:val="36"/>
          <w:lang w:val="en-US" w:eastAsia="zh-CN"/>
        </w:rPr>
        <w:t>格式</w:t>
      </w:r>
      <w:bookmarkEnd w:id="116"/>
    </w:p>
    <w:p>
      <w:pPr>
        <w:spacing w:after="312" w:afterLines="100" w:line="360" w:lineRule="auto"/>
        <w:jc w:val="center"/>
        <w:rPr>
          <w:rFonts w:hint="eastAsia" w:ascii="宋体" w:hAnsi="宋体" w:eastAsia="宋体" w:cs="宋体"/>
          <w:b/>
          <w:bCs/>
          <w:color w:val="000000"/>
          <w:sz w:val="32"/>
          <w:szCs w:val="32"/>
        </w:rPr>
      </w:pPr>
      <w:bookmarkStart w:id="117" w:name="_Toc21018"/>
      <w:r>
        <w:rPr>
          <w:rFonts w:hint="eastAsia" w:ascii="宋体" w:hAnsi="宋体" w:eastAsia="宋体" w:cs="宋体"/>
          <w:b/>
          <w:bCs/>
          <w:color w:val="000000"/>
          <w:sz w:val="32"/>
          <w:szCs w:val="32"/>
        </w:rPr>
        <w:t>服务合同</w:t>
      </w:r>
    </w:p>
    <w:p>
      <w:pPr>
        <w:autoSpaceDE w:val="0"/>
        <w:autoSpaceDN w:val="0"/>
        <w:adjustRightInd w:val="0"/>
        <w:spacing w:line="360" w:lineRule="auto"/>
        <w:jc w:val="left"/>
        <w:rPr>
          <w:rFonts w:hint="eastAsia" w:ascii="宋体" w:hAnsi="宋体" w:eastAsia="宋体" w:cs="宋体"/>
          <w:color w:val="000000"/>
          <w:sz w:val="21"/>
          <w:szCs w:val="21"/>
        </w:rPr>
      </w:pPr>
      <w:r>
        <w:rPr>
          <w:rFonts w:hint="eastAsia" w:ascii="宋体" w:hAnsi="宋体" w:eastAsia="宋体" w:cs="宋体"/>
          <w:b/>
          <w:color w:val="000000"/>
          <w:sz w:val="21"/>
          <w:szCs w:val="21"/>
        </w:rPr>
        <w:t>项目名称：</w:t>
      </w:r>
    </w:p>
    <w:p>
      <w:pPr>
        <w:autoSpaceDE w:val="0"/>
        <w:autoSpaceDN w:val="0"/>
        <w:adjustRightInd w:val="0"/>
        <w:spacing w:line="360" w:lineRule="auto"/>
        <w:jc w:val="left"/>
        <w:rPr>
          <w:rFonts w:hint="eastAsia" w:ascii="宋体" w:hAnsi="宋体" w:eastAsia="宋体" w:cs="宋体"/>
          <w:color w:val="000000"/>
          <w:sz w:val="21"/>
          <w:szCs w:val="21"/>
        </w:rPr>
      </w:pPr>
      <w:r>
        <w:rPr>
          <w:rFonts w:hint="eastAsia" w:ascii="宋体" w:hAnsi="宋体" w:eastAsia="宋体" w:cs="宋体"/>
          <w:b/>
          <w:color w:val="000000"/>
          <w:sz w:val="21"/>
          <w:szCs w:val="21"/>
        </w:rPr>
        <w:t>合同编号：</w:t>
      </w:r>
    </w:p>
    <w:p>
      <w:pPr>
        <w:autoSpaceDE w:val="0"/>
        <w:autoSpaceDN w:val="0"/>
        <w:adjustRightInd w:val="0"/>
        <w:spacing w:line="360" w:lineRule="auto"/>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签订日期：</w:t>
      </w:r>
    </w:p>
    <w:p>
      <w:pPr>
        <w:autoSpaceDE w:val="0"/>
        <w:autoSpaceDN w:val="0"/>
        <w:adjustRightInd w:val="0"/>
        <w:spacing w:line="36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签订合同地点：</w:t>
      </w:r>
    </w:p>
    <w:p>
      <w:pPr>
        <w:spacing w:line="360" w:lineRule="auto"/>
        <w:rPr>
          <w:rFonts w:hint="eastAsia" w:ascii="宋体" w:hAnsi="宋体" w:eastAsia="宋体" w:cs="宋体"/>
          <w:b/>
          <w:bCs/>
          <w:color w:val="000000"/>
          <w:sz w:val="21"/>
          <w:szCs w:val="21"/>
        </w:rPr>
      </w:pPr>
    </w:p>
    <w:p>
      <w:pPr>
        <w:spacing w:line="36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甲    方</w:t>
      </w:r>
      <w:r>
        <w:rPr>
          <w:rFonts w:hint="eastAsia" w:ascii="宋体" w:hAnsi="宋体" w:eastAsia="宋体" w:cs="宋体"/>
          <w:color w:val="000000"/>
          <w:sz w:val="21"/>
          <w:szCs w:val="21"/>
        </w:rPr>
        <w:t>：</w:t>
      </w:r>
    </w:p>
    <w:p>
      <w:pPr>
        <w:spacing w:line="36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地    址</w:t>
      </w:r>
      <w:r>
        <w:rPr>
          <w:rFonts w:hint="eastAsia" w:ascii="宋体" w:hAnsi="宋体" w:eastAsia="宋体" w:cs="宋体"/>
          <w:color w:val="000000"/>
          <w:sz w:val="21"/>
          <w:szCs w:val="21"/>
        </w:rPr>
        <w:t>：</w:t>
      </w:r>
    </w:p>
    <w:p>
      <w:pPr>
        <w:spacing w:line="36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邮    编</w:t>
      </w:r>
      <w:r>
        <w:rPr>
          <w:rFonts w:hint="eastAsia" w:ascii="宋体" w:hAnsi="宋体" w:eastAsia="宋体" w:cs="宋体"/>
          <w:color w:val="000000"/>
          <w:sz w:val="21"/>
          <w:szCs w:val="21"/>
        </w:rPr>
        <w:t>：</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联 系 人：</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电    话：</w:t>
      </w:r>
    </w:p>
    <w:p>
      <w:pPr>
        <w:spacing w:line="360" w:lineRule="auto"/>
        <w:rPr>
          <w:rFonts w:hint="eastAsia" w:ascii="宋体" w:hAnsi="宋体" w:eastAsia="宋体" w:cs="宋体"/>
          <w:b/>
          <w:bCs/>
          <w:color w:val="000000"/>
          <w:sz w:val="21"/>
          <w:szCs w:val="21"/>
        </w:rPr>
      </w:pPr>
    </w:p>
    <w:p>
      <w:pPr>
        <w:spacing w:line="36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乙    方</w:t>
      </w:r>
      <w:r>
        <w:rPr>
          <w:rFonts w:hint="eastAsia" w:ascii="宋体" w:hAnsi="宋体" w:eastAsia="宋体" w:cs="宋体"/>
          <w:color w:val="000000"/>
          <w:sz w:val="21"/>
          <w:szCs w:val="21"/>
        </w:rPr>
        <w:t>：</w:t>
      </w:r>
    </w:p>
    <w:p>
      <w:pPr>
        <w:spacing w:line="36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地    址</w:t>
      </w:r>
      <w:r>
        <w:rPr>
          <w:rFonts w:hint="eastAsia" w:ascii="宋体" w:hAnsi="宋体" w:eastAsia="宋体" w:cs="宋体"/>
          <w:color w:val="000000"/>
          <w:sz w:val="21"/>
          <w:szCs w:val="21"/>
        </w:rPr>
        <w:t>：</w:t>
      </w:r>
    </w:p>
    <w:p>
      <w:pPr>
        <w:spacing w:line="36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邮    编</w:t>
      </w:r>
      <w:r>
        <w:rPr>
          <w:rFonts w:hint="eastAsia" w:ascii="宋体" w:hAnsi="宋体" w:eastAsia="宋体" w:cs="宋体"/>
          <w:color w:val="000000"/>
          <w:sz w:val="21"/>
          <w:szCs w:val="21"/>
        </w:rPr>
        <w:t>：</w:t>
      </w:r>
    </w:p>
    <w:p>
      <w:pPr>
        <w:spacing w:line="36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联 系 人</w:t>
      </w:r>
      <w:r>
        <w:rPr>
          <w:rFonts w:hint="eastAsia" w:ascii="宋体" w:hAnsi="宋体" w:eastAsia="宋体" w:cs="宋体"/>
          <w:color w:val="000000"/>
          <w:sz w:val="21"/>
          <w:szCs w:val="21"/>
        </w:rPr>
        <w:t>：</w:t>
      </w:r>
    </w:p>
    <w:p>
      <w:pPr>
        <w:spacing w:line="36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电    话</w:t>
      </w:r>
      <w:r>
        <w:rPr>
          <w:rFonts w:hint="eastAsia" w:ascii="宋体" w:hAnsi="宋体" w:eastAsia="宋体" w:cs="宋体"/>
          <w:color w:val="000000"/>
          <w:sz w:val="21"/>
          <w:szCs w:val="21"/>
        </w:rPr>
        <w:t>：</w:t>
      </w:r>
    </w:p>
    <w:p>
      <w:pPr>
        <w:pStyle w:val="2"/>
        <w:spacing w:line="360" w:lineRule="auto"/>
        <w:rPr>
          <w:rFonts w:hint="eastAsia" w:ascii="宋体" w:hAnsi="宋体" w:eastAsia="宋体" w:cs="宋体"/>
          <w:color w:val="000000"/>
          <w:sz w:val="21"/>
          <w:szCs w:val="21"/>
        </w:rPr>
      </w:pPr>
    </w:p>
    <w:p>
      <w:pPr>
        <w:pStyle w:val="2"/>
        <w:spacing w:line="360" w:lineRule="auto"/>
        <w:ind w:firstLine="420" w:firstLineChars="20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本合同由 武汉工程大学（以下简称“甲方”）与XXX（以下简称“乙方”）签订。</w:t>
      </w:r>
    </w:p>
    <w:p>
      <w:pPr>
        <w:pStyle w:val="2"/>
        <w:spacing w:line="360" w:lineRule="auto"/>
        <w:ind w:firstLine="420" w:firstLineChars="20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乙方以总金额</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元人民币向甲方提供如下服务：</w:t>
      </w:r>
    </w:p>
    <w:p>
      <w:pPr>
        <w:tabs>
          <w:tab w:val="left" w:pos="426"/>
          <w:tab w:val="left" w:pos="709"/>
          <w:tab w:val="left" w:pos="851"/>
          <w:tab w:val="left" w:pos="993"/>
        </w:tabs>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第一章 合作内容</w:t>
      </w:r>
    </w:p>
    <w:p>
      <w:pPr>
        <w:spacing w:line="360" w:lineRule="auto"/>
        <w:ind w:left="239" w:leftChars="114"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依托乙方的教学设计和媒体团队，甲方向乙方购买一流课程建设服务，包括</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门在线开放课程建设服务、线上线下混合式课程建设服务。</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1.1在线开放课程建设服务。配合甲方课程综合改革的需要，乙方结合甲方各学院学科特点，与甲方教师团队共同实现课程设计、拍摄、后期制作、课程运营等，制作成用于开展混合式教学的在线开放课程。</w:t>
      </w:r>
    </w:p>
    <w:p>
      <w:pPr>
        <w:pStyle w:val="2"/>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kern w:val="2"/>
          <w:sz w:val="21"/>
          <w:szCs w:val="21"/>
        </w:rPr>
        <w:t>1.1.1一门课程视频个数不超过</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个，一个视频时长5-15分钟。</w:t>
      </w:r>
    </w:p>
    <w:p>
      <w:pPr>
        <w:pStyle w:val="2"/>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1.1.2课程设计包括：乙方依托丰富的服务经验和成熟的流程管理，结合甲方教师提供的脚本和PPT及媒体素材，实现对课程混合式教学方案、课程内容呈现的设计，知识点拆分建议、教学设计脚本撰写。</w:t>
      </w:r>
    </w:p>
    <w:p>
      <w:pPr>
        <w:pStyle w:val="2"/>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课程拍摄包括：运用专业高清摄像机根据课程知识点需要采用高清大屏、实景、抠像等多种场景来完成课程视频的拍摄。</w:t>
      </w:r>
    </w:p>
    <w:p>
      <w:pPr>
        <w:pStyle w:val="2"/>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1.1.3课程后期制作包括：课程拍摄完成之后，乙方会安排专业视频后期剪辑人员利用现代信息技术将视频素材按照教学设计脚本剪辑制作完成。</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1.1.4课程运营包括：慕课式课程线上发布与应用、支持课程更新、海量备课资源库、大数据统计与评价，支持自主学习、在线开放、翻转课堂、混合式教学等多种教学模式。</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1.2线上线下混合式课程建设服务。乙方在课程平台上发布制作的在线开放课程，推动师生开展混合式教学实践，全面支持甲方进行基于智慧教学云平台的教、学、管、考、评、研的工作。</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 课程运行及推广要求：课程制作完成后，乙方负责将该课程在课程平台上线并在校内进行 SPOC 教学，且提供相关课程经理来辅助老师进行翻转课堂教学及培训。上线前平台组织审核，保障技术符合约定要求、视频课程适合网络化传播、价值导向正确、无危害国家安全内容等。</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第二章 合同金额</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2.1课程制作形式选择：</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结合甲方实际需求另行确定；单价参照投标文件；</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2.2合同总金额含税价人民币</w:t>
      </w:r>
      <w:bookmarkStart w:id="118" w:name="_Hlk516146040"/>
      <w:bookmarkStart w:id="119" w:name="_Hlk516146573"/>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元整（</w:t>
      </w:r>
      <w:r>
        <w:rPr>
          <w:rFonts w:hint="eastAsia" w:ascii="宋体" w:hAnsi="宋体" w:eastAsia="宋体" w:cs="宋体"/>
          <w:color w:val="000000"/>
          <w:sz w:val="21"/>
          <w:szCs w:val="21"/>
          <w:u w:val="single"/>
        </w:rPr>
        <w:t xml:space="preserve">大写       </w:t>
      </w:r>
      <w:r>
        <w:rPr>
          <w:rFonts w:hint="eastAsia" w:ascii="宋体" w:hAnsi="宋体" w:eastAsia="宋体" w:cs="宋体"/>
          <w:color w:val="000000"/>
          <w:sz w:val="21"/>
          <w:szCs w:val="21"/>
        </w:rPr>
        <w:t>）</w:t>
      </w:r>
      <w:bookmarkEnd w:id="118"/>
      <w:bookmarkEnd w:id="119"/>
      <w:r>
        <w:rPr>
          <w:rFonts w:hint="eastAsia" w:ascii="宋体" w:hAnsi="宋体" w:eastAsia="宋体" w:cs="宋体"/>
          <w:color w:val="000000"/>
          <w:sz w:val="21"/>
          <w:szCs w:val="21"/>
        </w:rPr>
        <w:t>。</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第三章 付款条件</w:t>
      </w:r>
    </w:p>
    <w:p>
      <w:pPr>
        <w:spacing w:line="360" w:lineRule="auto"/>
        <w:ind w:left="210" w:leftChars="100"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3.1甲方于合同签订后</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个工作日内支付合同款项的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，人民币</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元整（大写：   ），本协议生效之日起于</w:t>
      </w:r>
      <w:r>
        <w:rPr>
          <w:rFonts w:hint="eastAsia" w:ascii="宋体" w:hAnsi="宋体" w:eastAsia="宋体" w:cs="宋体"/>
          <w:color w:val="000000"/>
          <w:sz w:val="21"/>
          <w:szCs w:val="21"/>
          <w:u w:val="single"/>
        </w:rPr>
        <w:t xml:space="preserve">     年   月    日</w:t>
      </w:r>
      <w:r>
        <w:rPr>
          <w:rFonts w:hint="eastAsia" w:ascii="宋体" w:hAnsi="宋体" w:eastAsia="宋体" w:cs="宋体"/>
          <w:color w:val="000000"/>
          <w:sz w:val="21"/>
          <w:szCs w:val="21"/>
        </w:rPr>
        <w:t>前，甲方向乙方支付全部的合同金额，乙方须为甲方开具正规发票。</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 乙方银行资料如下：</w:t>
      </w:r>
    </w:p>
    <w:p>
      <w:pPr>
        <w:spacing w:line="36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公司名称：</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开户银行：</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账    号：</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第四章 甲方的权利和义务</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4.1 甲方应按照本合同及时向乙方付款，乙方应及时向甲方交付服务。</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4.2 甲方享有对所有视频的内容审核权，乙方应在课程发布前交予甲方进行文字和视频内容的审核。甲方有权要求乙方对成品视频进行修改。</w:t>
      </w:r>
    </w:p>
    <w:p>
      <w:pPr>
        <w:pStyle w:val="2"/>
        <w:spacing w:line="360" w:lineRule="auto"/>
        <w:ind w:firstLine="420" w:firstLineChars="20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4.3 甲方应按照在线开放课程要求将课程知识点进行碎片化，提出课程知识点展现形式，并在课程开拍之前将方案提交给乙方。</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4.4 甲方应积极配合乙方协调相关老师组建授课团队，由授课团队在拍摄前提供乙方制作课程所需教学资料，包括教学大纲、教学素材（课件、讲稿、与课程相关的图文影音资料、作业题、测试题）和参考书目录等。</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4.5甲方享有该课程的著作权。</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4.6甲方如需修改最终制作完成的内容可在成品课程的基础上享受两次免费修改，超出修改次数需额外支付乙方费用（每次修改支付总费用的10%）。审核的时限可根据内容的复杂程度和数量具体协商，如届时没有返回修改意见，即视为甲方认可乙方制作的该课程内容。修改的内容如果是由乙方导致则甲方不受该条限制。如课程已经上线课程平台后发现有问题需要修改，甲方可享受三次免费修改服务。</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第五章、乙方权利与义务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5.1乙方组建专业制作团队，在甲方课程团队的指导下，按照甲方要求制作在线开放化的教学视频，完成课程设计，完善课程脚本，实现课程知识点展现形式，添加富媒体教学资源、参考书、作业测验等。课程制作完成后发布课程并协助甲方组织教学，辅助学校进行教学改革和教学模式创新。</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5.2 .乙方应在合同规定的期限内负责完成货物的安装、调试、培训等工作，并及时约请甲方验收。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5.3提供4种常规技术服务方式，电话支持、BBS在线支持、电子邮件支持、远程维护支持。如果以上方式均无法解决问题，可由乙方安排技术工程师上门服务。以上技术服务方式均免费。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5.4乙方可优先代理甲方课程进行市场推广、运营等，具体合作事宜另行协商。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5.5 乙方须配合甲方将所有完成的在线开放课程上传到乙方在线课程平台。</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5.6 乙方保证甲方在使用由乙方提供的课程及服务不受第三方关于侵犯其所有权、知识产权等方面的指控。</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第六章 交付时间地点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6.1交付时间：每次任务下达之后150天。</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6.2 交付地点：武汉工程大学</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第七章 违约责任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7.1 未按期交付的违约责任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如果甲方未按照计划规定时间完成交付任务，交付时间在预定交付时间基础上向后延期相应时间。如果甲方按照计划规定的时间提交内容和完成约定要求，乙方未能按照合同规定的时间按时完成任务（不可抗力除外），按照下述要求执行未按期交货的违约责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如果甲方按照计划规定的时间提交内容和完成约定要求，乙方未能按照合同规定的时间按时完成任务（不可抗力除外），在乙方书面同意支付延期违约金的条件下，甲方有权选择同意延长项目工期还是不予延长项目，甲方同意延长项目工期的，延期项目工期由双方另行确定。延期违约金的支付，甲方有权从未付的合同货款中扣除。每逾期1天，乙方应按合同总金额的  0.1 ％向甲方支付逾期的违约金。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7.2甲方逾期付款（有正当拒付理由的情况除外），应按照逾期金额的每日 0.1  ％支付逾期付款违约金。</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第八章 免责申明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8.1 甲方或乙方若遇不可抗力情况，造成当事人一方无法执行合同，免除事故责任方</w:t>
      </w:r>
    </w:p>
    <w:p>
      <w:pPr>
        <w:spacing w:line="360" w:lineRule="auto"/>
        <w:rPr>
          <w:rFonts w:hint="eastAsia" w:ascii="宋体" w:hAnsi="宋体" w:eastAsia="宋体" w:cs="宋体"/>
          <w:sz w:val="21"/>
          <w:szCs w:val="21"/>
        </w:rPr>
      </w:pPr>
      <w:r>
        <w:rPr>
          <w:rFonts w:hint="eastAsia" w:ascii="宋体" w:hAnsi="宋体" w:eastAsia="宋体" w:cs="宋体"/>
          <w:sz w:val="21"/>
          <w:szCs w:val="21"/>
        </w:rPr>
        <w:t>相关部分或全部责任。按照事故对本合同的影响程度，双方协商是否终止本合同，或部分免除本合同的义务，或延期履行本合同。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8.2 甲方或乙方若遇不可抗力情况而经协商延期履行合同时，其延长的期限应相当于事故所影响的时间。</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第九章 知识产权申明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9.1 双方共同拥有合作开发的数字课程资源所有权，如涉及甲方校内外范围的收费使用，参考教材同类出版物作者与出版社版本合作模式，乙方向甲方或甲方的课程教师团队支付版税，双方另行协商细节。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9.2 在甲乙双方合作之前的技术成果归各方所有。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9.3 甲方拥有该产品的使用权。</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第十章 保密条款</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10.1 除非另有规定，甲乙双方不得将与本合同有关的商业和技术秘密泄露给与本合同无关的任何单位和个人。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10.2除现在或日后非由于违反合同而进入公共领域的信息外，乙方对甲方提供给它的与项目有关的信息、数据和文件应严加保密，不允许泄露给任何与本项目无关的第三方。上述信息、数据和文件只允许在执行本合同中使用，不得在其它项目中使用。甲方不得翻译、解密乙方提供的软件系统或从事反编译、反汇编或其它试图从乙方提供的软件系统中导出源代码的行为。甲方不得将乙方提供的软件系统向第三方提供、销售、出租、出借、转让或提供分许可、转许可、通过信息网络传播或以其它形式供他人利用。</w:t>
      </w:r>
    </w:p>
    <w:p>
      <w:pPr>
        <w:spacing w:line="360" w:lineRule="auto"/>
        <w:ind w:firstLine="525" w:firstLineChars="250"/>
        <w:rPr>
          <w:rFonts w:hint="eastAsia" w:ascii="宋体" w:hAnsi="宋体" w:eastAsia="宋体" w:cs="宋体"/>
          <w:sz w:val="21"/>
          <w:szCs w:val="21"/>
        </w:rPr>
      </w:pPr>
      <w:r>
        <w:rPr>
          <w:rFonts w:hint="eastAsia" w:ascii="宋体" w:hAnsi="宋体" w:eastAsia="宋体" w:cs="宋体"/>
          <w:sz w:val="21"/>
          <w:szCs w:val="21"/>
        </w:rPr>
        <w:t>10.3 乙方不得将甲方自主构建的资源供给或转让第三方使用。</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第十一章 合同生效及其它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11.1本合同原本为中文本，一式陆份，甲方执肆份；乙方执贰份。本合同在甲乙双方签字盖章后即正式生效。</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11.2在未得到本合同对方的书面认可前，任何一方都不可将合同的权力及义务转移到任何第三方。如因执行合同需对本合同内容做修改或补充，则须由甲乙双方指定的全权代表签订书面文件方可成立。</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11.3 乙方保证本合同中甲方所享有的一切权利，并保证甲方不受第三方指控。如发生第三方指控甲方购买的软件有侵权问题，甲方对此不负任何法律和经济责任，乙方应负责与第三方进行交涉及进行诉讼，并承担由此而产生的责任后果。</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11.4 其它未尽事宜，请参考本项目竞争性磋商采购文件及乙方成交的竞争性磋商响应文件。</w:t>
      </w:r>
    </w:p>
    <w:p>
      <w:pPr>
        <w:pStyle w:val="2"/>
        <w:spacing w:line="360" w:lineRule="auto"/>
        <w:rPr>
          <w:rFonts w:hint="eastAsia" w:ascii="宋体" w:hAnsi="宋体" w:eastAsia="宋体" w:cs="宋体"/>
          <w:sz w:val="21"/>
          <w:szCs w:val="21"/>
        </w:rPr>
      </w:pPr>
    </w:p>
    <w:p>
      <w:pPr>
        <w:pStyle w:val="2"/>
        <w:spacing w:line="360" w:lineRule="auto"/>
        <w:rPr>
          <w:rFonts w:hint="eastAsia" w:ascii="宋体" w:hAnsi="宋体" w:eastAsia="宋体" w:cs="宋体"/>
          <w:sz w:val="21"/>
          <w:szCs w:val="21"/>
        </w:rPr>
      </w:pPr>
    </w:p>
    <w:p>
      <w:pPr>
        <w:spacing w:line="360" w:lineRule="auto"/>
        <w:ind w:left="6960" w:hanging="6090" w:hangingChars="2900"/>
        <w:rPr>
          <w:rFonts w:hint="eastAsia" w:ascii="宋体" w:hAnsi="宋体" w:eastAsia="宋体" w:cs="宋体"/>
          <w:sz w:val="21"/>
          <w:szCs w:val="21"/>
        </w:rPr>
      </w:pPr>
      <w:r>
        <w:rPr>
          <w:rFonts w:hint="eastAsia" w:ascii="宋体" w:hAnsi="宋体" w:eastAsia="宋体" w:cs="宋体"/>
          <w:sz w:val="21"/>
          <w:szCs w:val="21"/>
        </w:rPr>
        <w:t>甲方：                          乙方：</w:t>
      </w:r>
    </w:p>
    <w:p>
      <w:pPr>
        <w:spacing w:before="312" w:beforeLines="100" w:after="312" w:afterLines="100" w:line="360" w:lineRule="auto"/>
        <w:rPr>
          <w:rFonts w:hint="eastAsia" w:ascii="宋体" w:hAnsi="宋体" w:eastAsia="宋体" w:cs="宋体"/>
          <w:sz w:val="21"/>
          <w:szCs w:val="21"/>
        </w:rPr>
      </w:pPr>
      <w:r>
        <w:rPr>
          <w:rFonts w:hint="eastAsia" w:ascii="宋体" w:hAnsi="宋体" w:eastAsia="宋体" w:cs="宋体"/>
          <w:sz w:val="21"/>
          <w:szCs w:val="21"/>
        </w:rPr>
        <w:t>（签章）</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（签章）</w:t>
      </w:r>
    </w:p>
    <w:p>
      <w:pPr>
        <w:spacing w:line="360" w:lineRule="auto"/>
        <w:rPr>
          <w:rFonts w:hint="eastAsia" w:ascii="宋体" w:hAnsi="宋体" w:eastAsia="宋体" w:cs="宋体"/>
          <w:sz w:val="21"/>
          <w:szCs w:val="21"/>
        </w:rPr>
      </w:pPr>
      <w:r>
        <w:rPr>
          <w:rFonts w:hint="eastAsia" w:ascii="宋体" w:hAnsi="宋体" w:eastAsia="宋体" w:cs="宋体"/>
          <w:sz w:val="21"/>
          <w:szCs w:val="21"/>
        </w:rPr>
        <w:t>委托经办人：______________</w:t>
      </w:r>
      <w:r>
        <w:rPr>
          <w:rFonts w:hint="eastAsia" w:ascii="宋体" w:hAnsi="宋体" w:eastAsia="宋体" w:cs="宋体"/>
          <w:sz w:val="21"/>
          <w:szCs w:val="21"/>
        </w:rPr>
        <w:tab/>
      </w:r>
      <w:r>
        <w:rPr>
          <w:rFonts w:hint="eastAsia" w:ascii="宋体" w:hAnsi="宋体" w:eastAsia="宋体" w:cs="宋体"/>
          <w:sz w:val="21"/>
          <w:szCs w:val="21"/>
        </w:rPr>
        <w:t xml:space="preserve">     委托经办人：________________</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日期：  年  月  日               日期：   年  月  日</w:t>
      </w:r>
    </w:p>
    <w:p>
      <w:pPr>
        <w:spacing w:line="360" w:lineRule="auto"/>
        <w:rPr>
          <w:rFonts w:hint="eastAsia" w:ascii="宋体" w:hAnsi="宋体" w:eastAsia="宋体" w:cs="宋体"/>
          <w:sz w:val="21"/>
          <w:szCs w:val="21"/>
        </w:rPr>
      </w:pPr>
    </w:p>
    <w:p/>
    <w:p>
      <w:pP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竞争性磋商响应文件格式</w:t>
      </w:r>
      <w:bookmarkEnd w:id="117"/>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20" w:name="_Toc5751"/>
      <w:bookmarkStart w:id="121"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bookmarkEnd w:id="120"/>
      <w:bookmarkEnd w:id="121"/>
    </w:p>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22" w:name="_Toc360174584"/>
      <w:bookmarkStart w:id="123" w:name="_Toc264644272"/>
      <w:bookmarkStart w:id="124" w:name="_Toc211783342"/>
      <w:bookmarkStart w:id="125" w:name="_Toc11320441"/>
      <w:bookmarkStart w:id="126" w:name="_Toc533331084"/>
      <w:bookmarkStart w:id="127" w:name="_Toc533330957"/>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22"/>
      <w:bookmarkEnd w:id="123"/>
    </w:p>
    <w:p>
      <w:pPr>
        <w:autoSpaceDE w:val="0"/>
        <w:autoSpaceDN w:val="0"/>
        <w:adjustRightInd w:val="0"/>
        <w:rPr>
          <w:rFonts w:hint="eastAsia" w:asciiTheme="minorEastAsia" w:hAnsiTheme="minorEastAsia" w:eastAsiaTheme="minorEastAsia" w:cstheme="minorEastAsia"/>
          <w:b/>
          <w:bCs/>
          <w:szCs w:val="21"/>
        </w:rPr>
      </w:pPr>
    </w:p>
    <w:p>
      <w:pPr>
        <w:autoSpaceDE w:val="0"/>
        <w:autoSpaceDN w:val="0"/>
        <w:adjustRightInd w:val="0"/>
        <w:spacing w:line="360" w:lineRule="auto"/>
        <w:outlineLvl w:val="9"/>
        <w:rPr>
          <w:rFonts w:hint="eastAsia" w:ascii="宋体" w:hAnsi="宋体" w:eastAsia="宋体" w:cs="宋体"/>
          <w:b/>
          <w:sz w:val="21"/>
          <w:szCs w:val="21"/>
        </w:rPr>
      </w:pPr>
      <w:r>
        <w:rPr>
          <w:rFonts w:hint="eastAsia" w:ascii="宋体" w:hAnsi="宋体" w:eastAsia="宋体" w:cs="宋体"/>
          <w:b/>
          <w:sz w:val="21"/>
          <w:szCs w:val="21"/>
        </w:rPr>
        <w:t>注：</w:t>
      </w:r>
      <w:r>
        <w:rPr>
          <w:rFonts w:hint="eastAsia" w:ascii="宋体" w:hAnsi="宋体" w:eastAsia="宋体" w:cs="宋体"/>
          <w:b/>
          <w:sz w:val="21"/>
          <w:szCs w:val="21"/>
          <w:lang w:val="en-US" w:eastAsia="zh-CN"/>
        </w:rPr>
        <w:t>投标</w:t>
      </w:r>
      <w:r>
        <w:rPr>
          <w:rFonts w:hint="eastAsia" w:ascii="宋体" w:hAnsi="宋体" w:eastAsia="宋体" w:cs="宋体"/>
          <w:b/>
          <w:sz w:val="21"/>
          <w:szCs w:val="21"/>
        </w:rPr>
        <w:t>文件目录及内容每页须顺序编写页码。</w:t>
      </w:r>
    </w:p>
    <w:p>
      <w:pPr>
        <w:autoSpaceDE w:val="0"/>
        <w:autoSpaceDN w:val="0"/>
        <w:adjustRightInd w:val="0"/>
        <w:spacing w:line="360" w:lineRule="auto"/>
        <w:jc w:val="center"/>
        <w:outlineLvl w:val="1"/>
        <w:rPr>
          <w:rFonts w:hint="eastAsia" w:ascii="宋体" w:hAnsi="宋体" w:eastAsia="宋体" w:cs="宋体"/>
          <w:b/>
          <w:sz w:val="21"/>
          <w:szCs w:val="21"/>
        </w:rPr>
      </w:pPr>
      <w:bookmarkStart w:id="128" w:name="_Toc28401"/>
      <w:r>
        <w:rPr>
          <w:rFonts w:hint="eastAsia" w:ascii="宋体" w:hAnsi="宋体" w:eastAsia="宋体" w:cs="宋体"/>
          <w:b/>
          <w:sz w:val="21"/>
          <w:szCs w:val="21"/>
        </w:rPr>
        <w:br w:type="textWrapping"/>
      </w:r>
      <w:r>
        <w:rPr>
          <w:rFonts w:hint="eastAsia" w:ascii="宋体" w:hAnsi="宋体" w:eastAsia="宋体" w:cs="宋体"/>
          <w:b/>
          <w:sz w:val="21"/>
          <w:szCs w:val="21"/>
        </w:rPr>
        <w:t>一</w:t>
      </w:r>
      <w:r>
        <w:rPr>
          <w:rFonts w:hint="eastAsia" w:ascii="宋体" w:hAnsi="宋体" w:eastAsia="宋体" w:cs="宋体"/>
          <w:b/>
          <w:sz w:val="21"/>
          <w:szCs w:val="21"/>
          <w:lang w:eastAsia="zh-CN"/>
        </w:rPr>
        <w:t>、</w:t>
      </w:r>
      <w:r>
        <w:rPr>
          <w:rFonts w:hint="eastAsia" w:ascii="宋体" w:hAnsi="宋体" w:eastAsia="宋体" w:cs="宋体"/>
          <w:b/>
          <w:sz w:val="21"/>
          <w:szCs w:val="21"/>
        </w:rPr>
        <w:t>评分标准索引表</w:t>
      </w:r>
      <w:bookmarkEnd w:id="128"/>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color w:val="000000"/>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rPr>
      </w:pPr>
    </w:p>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29" w:name="_Toc479184125"/>
      <w:bookmarkStart w:id="130" w:name="_Toc30144"/>
      <w:bookmarkStart w:id="131" w:name="_Toc1699"/>
      <w:bookmarkStart w:id="132" w:name="_Toc15789"/>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29"/>
      <w:bookmarkEnd w:id="130"/>
      <w:bookmarkEnd w:id="131"/>
      <w:bookmarkEnd w:id="132"/>
    </w:p>
    <w:p>
      <w:pPr>
        <w:pStyle w:val="21"/>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服务</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33" w:name="_Toc479184126"/>
      <w:bookmarkStart w:id="134" w:name="_Toc13969"/>
      <w:bookmarkStart w:id="135" w:name="_Toc11458"/>
      <w:bookmarkStart w:id="136" w:name="_Toc24205"/>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33"/>
      <w:bookmarkEnd w:id="134"/>
      <w:bookmarkEnd w:id="135"/>
      <w:bookmarkEnd w:id="136"/>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37" w:name="_Toc29904"/>
      <w:bookmarkStart w:id="138" w:name="_Toc432149008"/>
      <w:bookmarkStart w:id="139" w:name="_Toc5618"/>
      <w:bookmarkStart w:id="140" w:name="_Toc12123"/>
      <w:bookmarkStart w:id="141" w:name="_Toc479184127"/>
      <w:bookmarkStart w:id="142" w:name="_Toc424832832"/>
      <w:bookmarkStart w:id="143" w:name="_Toc360120184"/>
      <w:bookmarkStart w:id="144" w:name="_Toc30245"/>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37"/>
      <w:bookmarkEnd w:id="138"/>
      <w:bookmarkEnd w:id="139"/>
      <w:bookmarkEnd w:id="140"/>
      <w:bookmarkEnd w:id="141"/>
      <w:bookmarkEnd w:id="142"/>
      <w:bookmarkEnd w:id="143"/>
      <w:bookmarkEnd w:id="144"/>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5" w:name="_Toc422466732"/>
      <w:bookmarkStart w:id="146" w:name="_Toc432149006"/>
      <w:r>
        <w:rPr>
          <w:rFonts w:hint="eastAsia" w:asciiTheme="minorEastAsia" w:hAnsiTheme="minorEastAsia" w:eastAsiaTheme="minorEastAsia" w:cstheme="minorEastAsia"/>
          <w:b/>
          <w:bCs/>
          <w:sz w:val="24"/>
        </w:rPr>
        <w:br w:type="page"/>
      </w:r>
      <w:bookmarkStart w:id="147" w:name="_Toc4741"/>
      <w:bookmarkStart w:id="148" w:name="_Toc29996"/>
      <w:bookmarkStart w:id="149" w:name="_Toc479184128"/>
      <w:bookmarkStart w:id="150" w:name="_Toc4301"/>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、报价一览表</w:t>
      </w:r>
      <w:bookmarkEnd w:id="145"/>
      <w:bookmarkEnd w:id="146"/>
      <w:bookmarkEnd w:id="147"/>
      <w:bookmarkEnd w:id="148"/>
      <w:bookmarkEnd w:id="149"/>
      <w:bookmarkEnd w:id="150"/>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7"/>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br w:type="textWrapping"/>
            </w:r>
          </w:p>
          <w:tbl>
            <w:tblPr>
              <w:tblStyle w:val="2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3498"/>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62" w:type="dxa"/>
                  <w:vAlign w:val="center"/>
                </w:tcPr>
                <w:p>
                  <w:pPr>
                    <w:spacing w:line="360" w:lineRule="auto"/>
                    <w:jc w:val="center"/>
                    <w:rPr>
                      <w:rFonts w:hint="eastAsia" w:ascii="宋体" w:hAnsi="宋体" w:cs="宋体"/>
                      <w:sz w:val="21"/>
                      <w:szCs w:val="21"/>
                      <w:lang w:eastAsia="zh-CN"/>
                    </w:rPr>
                  </w:pPr>
                  <w:r>
                    <w:rPr>
                      <w:rFonts w:hint="eastAsia" w:ascii="宋体" w:hAnsi="宋体" w:cs="宋体"/>
                      <w:sz w:val="21"/>
                      <w:szCs w:val="21"/>
                      <w:lang w:eastAsia="zh-CN"/>
                    </w:rPr>
                    <w:t>形式</w:t>
                  </w:r>
                </w:p>
              </w:tc>
              <w:tc>
                <w:tcPr>
                  <w:tcW w:w="3498" w:type="dxa"/>
                  <w:vAlign w:val="center"/>
                </w:tcPr>
                <w:p>
                  <w:pPr>
                    <w:spacing w:line="360" w:lineRule="auto"/>
                    <w:jc w:val="center"/>
                    <w:rPr>
                      <w:rFonts w:hint="eastAsia" w:ascii="宋体" w:hAnsi="宋体" w:cs="宋体"/>
                      <w:sz w:val="21"/>
                      <w:szCs w:val="21"/>
                      <w:lang w:eastAsia="zh-CN"/>
                    </w:rPr>
                  </w:pPr>
                  <w:r>
                    <w:rPr>
                      <w:rFonts w:hint="eastAsia" w:ascii="宋体" w:hAnsi="宋体" w:cs="宋体"/>
                      <w:sz w:val="21"/>
                      <w:szCs w:val="21"/>
                      <w:lang w:eastAsia="zh-CN"/>
                    </w:rPr>
                    <w:t>制作形式描述</w:t>
                  </w:r>
                </w:p>
              </w:tc>
              <w:tc>
                <w:tcPr>
                  <w:tcW w:w="1076" w:type="pct"/>
                  <w:vAlign w:val="center"/>
                </w:tcPr>
                <w:p>
                  <w:pPr>
                    <w:spacing w:line="360" w:lineRule="auto"/>
                    <w:jc w:val="center"/>
                    <w:rPr>
                      <w:rFonts w:hint="eastAsia" w:ascii="宋体" w:hAnsi="宋体" w:eastAsia="宋体" w:cs="宋体"/>
                      <w:sz w:val="21"/>
                      <w:szCs w:val="21"/>
                      <w:lang w:eastAsia="zh-CN"/>
                    </w:rPr>
                  </w:pPr>
                  <w:r>
                    <w:rPr>
                      <w:rFonts w:hint="eastAsia" w:ascii="宋体" w:hAnsi="宋体" w:cs="宋体"/>
                      <w:sz w:val="21"/>
                      <w:szCs w:val="21"/>
                      <w:lang w:eastAsia="zh-CN"/>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8"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高清大屏</w:t>
                  </w:r>
                </w:p>
              </w:tc>
              <w:tc>
                <w:tcPr>
                  <w:tcW w:w="2944" w:type="pct"/>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经过美化设计的PPT在高清交互式大屏幕放映，教师同步讲解，拍摄视频与剪辑包装。</w:t>
                  </w:r>
                </w:p>
              </w:tc>
              <w:tc>
                <w:tcPr>
                  <w:tcW w:w="1076" w:type="pct"/>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8"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软件录屏</w:t>
                  </w:r>
                </w:p>
              </w:tc>
              <w:tc>
                <w:tcPr>
                  <w:tcW w:w="2944" w:type="pct"/>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将教师书写讲解推导过程或操作软件过程与教师声象相结合。</w:t>
                  </w:r>
                </w:p>
              </w:tc>
              <w:tc>
                <w:tcPr>
                  <w:tcW w:w="1076" w:type="pct"/>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8"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抠像PPT</w:t>
                  </w:r>
                </w:p>
              </w:tc>
              <w:tc>
                <w:tcPr>
                  <w:tcW w:w="2944" w:type="pct"/>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将教师在绿幕前拍摄的视频，与经过设计（含内容、界面、动画等）的授课讲稿PPT相结合，经过剪辑包装的视频。</w:t>
                  </w:r>
                </w:p>
              </w:tc>
              <w:tc>
                <w:tcPr>
                  <w:tcW w:w="1076" w:type="pct"/>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8"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抠像动画</w:t>
                  </w:r>
                </w:p>
              </w:tc>
              <w:tc>
                <w:tcPr>
                  <w:tcW w:w="2944" w:type="pct"/>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经过策划，将教师在绿幕前拍摄的视频，与讲解要点内容的图文动画相结合，穿插部分文本动画。</w:t>
                  </w:r>
                </w:p>
              </w:tc>
              <w:tc>
                <w:tcPr>
                  <w:tcW w:w="1076" w:type="pct"/>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8"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实拍动画</w:t>
                  </w:r>
                </w:p>
              </w:tc>
              <w:tc>
                <w:tcPr>
                  <w:tcW w:w="2944" w:type="pct"/>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通过教师在图书馆、阅览室、资料厅、会议室、办公室等与内容契合的场景讲授的实景拍摄，配精美图文动画。</w:t>
                  </w:r>
                </w:p>
              </w:tc>
              <w:tc>
                <w:tcPr>
                  <w:tcW w:w="1076" w:type="pct"/>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78"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实拍访谈</w:t>
                  </w:r>
                </w:p>
              </w:tc>
              <w:tc>
                <w:tcPr>
                  <w:tcW w:w="2944" w:type="pct"/>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通过教师与教师、教师与助教、教师与学生的交流或答疑，讲解重点知识内容，或引发案例讨论等。</w:t>
                  </w:r>
                </w:p>
              </w:tc>
              <w:tc>
                <w:tcPr>
                  <w:tcW w:w="1076" w:type="pct"/>
                  <w:vAlign w:val="center"/>
                </w:tcPr>
                <w:p>
                  <w:pPr>
                    <w:spacing w:line="360" w:lineRule="auto"/>
                    <w:ind w:firstLine="210" w:firstLineChars="10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78"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纯动画类</w:t>
                  </w:r>
                </w:p>
              </w:tc>
              <w:tc>
                <w:tcPr>
                  <w:tcW w:w="2944" w:type="pct"/>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手绘动画、MG动画、情景动画等。</w:t>
                  </w:r>
                </w:p>
              </w:tc>
              <w:tc>
                <w:tcPr>
                  <w:tcW w:w="1076" w:type="pct"/>
                  <w:vAlign w:val="center"/>
                </w:tcPr>
                <w:p>
                  <w:pPr>
                    <w:spacing w:line="360" w:lineRule="auto"/>
                    <w:jc w:val="center"/>
                    <w:rPr>
                      <w:rFonts w:hint="eastAsia" w:ascii="宋体" w:hAnsi="宋体" w:eastAsia="宋体" w:cs="宋体"/>
                      <w:sz w:val="21"/>
                      <w:szCs w:val="21"/>
                    </w:rPr>
                  </w:pPr>
                </w:p>
              </w:tc>
            </w:tr>
          </w:tbl>
          <w:p>
            <w:pPr>
              <w:jc w:val="left"/>
              <w:rPr>
                <w:rFonts w:hint="eastAsia" w:asciiTheme="minorEastAsia" w:hAnsiTheme="minorEastAsia" w:eastAsiaTheme="minorEastAsia" w:cstheme="minorEastAsia"/>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51" w:name="_Toc460258117"/>
      <w:bookmarkStart w:id="152" w:name="_Toc259028723"/>
      <w:bookmarkStart w:id="153" w:name="_Toc432149007"/>
      <w:bookmarkStart w:id="154" w:name="_Toc424832831"/>
      <w:r>
        <w:rPr>
          <w:rFonts w:hint="eastAsia" w:asciiTheme="minorEastAsia" w:hAnsiTheme="minorEastAsia" w:eastAsiaTheme="minorEastAsia" w:cstheme="minorEastAsia"/>
          <w:b/>
          <w:bCs/>
          <w:sz w:val="24"/>
        </w:rPr>
        <w:br w:type="page"/>
      </w:r>
      <w:bookmarkStart w:id="155" w:name="_Toc479184129"/>
      <w:bookmarkStart w:id="156" w:name="_Toc1079"/>
      <w:bookmarkStart w:id="157" w:name="_Toc18559"/>
      <w:bookmarkStart w:id="158" w:name="_Toc16079"/>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w:t>
      </w:r>
      <w:bookmarkEnd w:id="151"/>
      <w:bookmarkEnd w:id="152"/>
      <w:bookmarkEnd w:id="155"/>
      <w:bookmarkEnd w:id="156"/>
      <w:bookmarkEnd w:id="157"/>
      <w:r>
        <w:rPr>
          <w:rFonts w:hint="eastAsia" w:asciiTheme="minorEastAsia" w:hAnsiTheme="minorEastAsia" w:eastAsiaTheme="minorEastAsia" w:cstheme="minorEastAsia"/>
          <w:b/>
          <w:bCs/>
          <w:szCs w:val="21"/>
          <w:lang w:eastAsia="zh-CN"/>
        </w:rPr>
        <w:t>报价费用构成表</w:t>
      </w:r>
      <w:bookmarkEnd w:id="158"/>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2"/>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2"/>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2"/>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9" w:name="_Toc28656"/>
      <w:bookmarkStart w:id="160" w:name="_Toc479184130"/>
      <w:bookmarkStart w:id="161" w:name="_Toc26825"/>
      <w:bookmarkStart w:id="162" w:name="_Toc17635"/>
      <w:r>
        <w:rPr>
          <w:rFonts w:hint="eastAsia" w:asciiTheme="minorEastAsia" w:hAnsiTheme="minorEastAsia" w:eastAsiaTheme="minorEastAsia" w:cstheme="minorEastAsia"/>
          <w:b/>
          <w:bCs/>
          <w:szCs w:val="21"/>
          <w:lang w:val="en-US" w:eastAsia="zh-CN"/>
        </w:rPr>
        <w:t>七</w:t>
      </w:r>
      <w:r>
        <w:rPr>
          <w:rFonts w:hint="eastAsia" w:asciiTheme="minorEastAsia" w:hAnsiTheme="minorEastAsia" w:eastAsiaTheme="minorEastAsia" w:cstheme="minorEastAsia"/>
          <w:b/>
          <w:bCs/>
          <w:szCs w:val="21"/>
        </w:rPr>
        <w:t>、耗材清单</w:t>
      </w:r>
      <w:bookmarkEnd w:id="159"/>
      <w:bookmarkEnd w:id="160"/>
      <w:bookmarkEnd w:id="161"/>
      <w:r>
        <w:rPr>
          <w:rFonts w:hint="eastAsia" w:asciiTheme="minorEastAsia" w:hAnsiTheme="minorEastAsia" w:eastAsiaTheme="minorEastAsia" w:cstheme="minorEastAsia"/>
          <w:b/>
          <w:bCs/>
          <w:szCs w:val="21"/>
        </w:rPr>
        <w:t>（如有）</w:t>
      </w:r>
      <w:bookmarkEnd w:id="162"/>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3" w:name="_Toc479184131"/>
      <w:bookmarkStart w:id="164" w:name="_Toc32726"/>
      <w:bookmarkStart w:id="165" w:name="_Toc7535"/>
      <w:bookmarkStart w:id="166" w:name="_Toc32484"/>
      <w:r>
        <w:rPr>
          <w:rFonts w:hint="eastAsia" w:asciiTheme="minorEastAsia" w:hAnsiTheme="minorEastAsia" w:eastAsiaTheme="minorEastAsia" w:cstheme="minorEastAsia"/>
          <w:b/>
          <w:bCs/>
          <w:szCs w:val="21"/>
          <w:lang w:val="en-US" w:eastAsia="zh-CN"/>
        </w:rPr>
        <w:t>八、拟投入设备/备件、工具情况</w:t>
      </w:r>
      <w:bookmarkEnd w:id="163"/>
      <w:bookmarkEnd w:id="164"/>
      <w:bookmarkEnd w:id="165"/>
      <w:r>
        <w:rPr>
          <w:rFonts w:hint="eastAsia" w:asciiTheme="minorEastAsia" w:hAnsiTheme="minorEastAsia" w:eastAsiaTheme="minorEastAsia" w:cstheme="minorEastAsia"/>
          <w:b/>
          <w:bCs/>
          <w:szCs w:val="21"/>
          <w:lang w:val="en-US" w:eastAsia="zh-CN"/>
        </w:rPr>
        <w:t>（如有）</w:t>
      </w:r>
      <w:bookmarkEnd w:id="166"/>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67" w:name="_Toc479184132"/>
      <w:bookmarkStart w:id="168" w:name="_Toc27053"/>
      <w:bookmarkStart w:id="169" w:name="_Toc450827818"/>
      <w:bookmarkStart w:id="170" w:name="_Toc10449"/>
      <w:bookmarkStart w:id="171" w:name="_Toc19607"/>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67"/>
      <w:bookmarkEnd w:id="168"/>
      <w:bookmarkEnd w:id="169"/>
      <w:bookmarkEnd w:id="170"/>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71"/>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bookmarkEnd w:id="153"/>
      <w:bookmarkEnd w:id="154"/>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72" w:name="_Toc28200"/>
      <w:bookmarkStart w:id="173" w:name="_Toc3848"/>
      <w:bookmarkStart w:id="174" w:name="_Toc422466736"/>
      <w:bookmarkStart w:id="175" w:name="_Toc479184133"/>
      <w:bookmarkStart w:id="176" w:name="_Toc1591"/>
      <w:bookmarkStart w:id="177" w:name="_Toc432149012"/>
      <w:r>
        <w:rPr>
          <w:rFonts w:hint="eastAsia" w:asciiTheme="minorEastAsia" w:hAnsiTheme="minorEastAsia" w:eastAsiaTheme="minorEastAsia" w:cstheme="minorEastAsia"/>
          <w:b/>
          <w:bCs/>
          <w:szCs w:val="21"/>
          <w:lang w:val="en-US" w:eastAsia="zh-CN"/>
        </w:rPr>
        <w:t>十</w:t>
      </w:r>
      <w:r>
        <w:rPr>
          <w:rFonts w:hint="eastAsia" w:asciiTheme="minorEastAsia" w:hAnsiTheme="minorEastAsia" w:eastAsiaTheme="minorEastAsia" w:cstheme="minorEastAsia"/>
          <w:b/>
          <w:bCs/>
          <w:szCs w:val="21"/>
        </w:rPr>
        <w:t>、偏离说明表</w:t>
      </w:r>
      <w:bookmarkEnd w:id="172"/>
      <w:bookmarkEnd w:id="173"/>
      <w:bookmarkEnd w:id="174"/>
      <w:bookmarkEnd w:id="175"/>
      <w:bookmarkEnd w:id="176"/>
      <w:bookmarkEnd w:id="177"/>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技术</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商务</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3"/>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3"/>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8" w:name="_Toc362935521"/>
      <w:bookmarkStart w:id="179" w:name="_Toc32060"/>
      <w:bookmarkStart w:id="180" w:name="_Toc432149013"/>
      <w:bookmarkStart w:id="181" w:name="_Toc479184134"/>
      <w:bookmarkStart w:id="182" w:name="_Toc28283"/>
      <w:bookmarkStart w:id="183" w:name="_Toc10508"/>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kern w:val="0"/>
          <w:szCs w:val="21"/>
          <w:lang w:eastAsia="zh-CN"/>
        </w:rPr>
        <w:t>一</w:t>
      </w:r>
      <w:r>
        <w:rPr>
          <w:rFonts w:hint="eastAsia" w:asciiTheme="minorEastAsia" w:hAnsiTheme="minorEastAsia" w:eastAsiaTheme="minorEastAsia" w:cstheme="minorEastAsia"/>
          <w:b/>
          <w:kern w:val="0"/>
          <w:szCs w:val="21"/>
        </w:rPr>
        <w:t>、</w:t>
      </w:r>
      <w:r>
        <w:rPr>
          <w:rFonts w:hint="eastAsia" w:asciiTheme="minorEastAsia" w:hAnsiTheme="minorEastAsia" w:eastAsiaTheme="minorEastAsia" w:cstheme="minorEastAsia"/>
          <w:b/>
          <w:bCs/>
          <w:szCs w:val="21"/>
        </w:rPr>
        <w:t>类似业绩一览表</w:t>
      </w:r>
      <w:bookmarkEnd w:id="178"/>
      <w:bookmarkEnd w:id="179"/>
      <w:bookmarkEnd w:id="180"/>
      <w:bookmarkEnd w:id="181"/>
      <w:bookmarkEnd w:id="182"/>
      <w:r>
        <w:rPr>
          <w:rFonts w:hint="eastAsia" w:asciiTheme="minorEastAsia" w:hAnsiTheme="minorEastAsia" w:eastAsiaTheme="minorEastAsia" w:cstheme="minorEastAsia"/>
          <w:b/>
          <w:bCs/>
          <w:szCs w:val="21"/>
        </w:rPr>
        <w:br w:type="textWrapping"/>
      </w:r>
      <w:bookmarkEnd w:id="183"/>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7"/>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84" w:name="_Toc460258118"/>
      <w:bookmarkStart w:id="185"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6" w:name="_Toc479184135"/>
      <w:bookmarkStart w:id="187" w:name="_Toc4834"/>
      <w:bookmarkStart w:id="188" w:name="_Toc30455"/>
      <w:bookmarkStart w:id="189" w:name="_Toc19241"/>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二</w:t>
      </w:r>
      <w:r>
        <w:rPr>
          <w:rFonts w:hint="eastAsia" w:asciiTheme="minorEastAsia" w:hAnsiTheme="minorEastAsia" w:eastAsiaTheme="minorEastAsia" w:cstheme="minorEastAsia"/>
          <w:b/>
          <w:bCs/>
          <w:szCs w:val="21"/>
        </w:rPr>
        <w:t>、拟投入项目组人员一览表</w:t>
      </w:r>
      <w:bookmarkEnd w:id="184"/>
      <w:bookmarkEnd w:id="185"/>
      <w:bookmarkEnd w:id="186"/>
      <w:bookmarkEnd w:id="187"/>
      <w:bookmarkEnd w:id="188"/>
      <w:bookmarkEnd w:id="189"/>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7"/>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0" w:name="_Toc432149014"/>
      <w:bookmarkStart w:id="191" w:name="_Toc26838"/>
      <w:bookmarkStart w:id="192" w:name="_Toc479184136"/>
      <w:bookmarkStart w:id="193" w:name="_Toc10429"/>
      <w:bookmarkStart w:id="194" w:name="_Toc422466737"/>
      <w:bookmarkStart w:id="195" w:name="_Toc6084"/>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90"/>
      <w:bookmarkEnd w:id="191"/>
      <w:bookmarkEnd w:id="192"/>
      <w:bookmarkEnd w:id="193"/>
      <w:bookmarkEnd w:id="194"/>
      <w:bookmarkEnd w:id="195"/>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6" w:name="_Toc259028731"/>
      <w:bookmarkStart w:id="197" w:name="_Toc17331"/>
      <w:bookmarkStart w:id="198" w:name="_Toc479184137"/>
      <w:bookmarkStart w:id="199" w:name="_Toc450827823"/>
      <w:bookmarkStart w:id="200" w:name="_Toc17527"/>
      <w:bookmarkStart w:id="201" w:name="_Toc20174"/>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196"/>
      <w:bookmarkEnd w:id="197"/>
      <w:bookmarkEnd w:id="198"/>
      <w:bookmarkEnd w:id="199"/>
      <w:bookmarkEnd w:id="200"/>
      <w:bookmarkEnd w:id="201"/>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02" w:name="_Toc18555"/>
      <w:bookmarkStart w:id="203" w:name="_Toc290207179"/>
      <w:bookmarkStart w:id="204" w:name="_Toc364868916"/>
      <w:bookmarkStart w:id="205" w:name="_Toc32187"/>
      <w:bookmarkStart w:id="206" w:name="_Toc427239751"/>
      <w:bookmarkStart w:id="207" w:name="_Toc358447587"/>
      <w:bookmarkStart w:id="208" w:name="_Toc5793"/>
      <w:r>
        <w:rPr>
          <w:rFonts w:hint="eastAsia" w:asciiTheme="minorEastAsia" w:hAnsiTheme="minorEastAsia" w:eastAsiaTheme="minorEastAsia" w:cstheme="minorEastAsia"/>
          <w:b/>
          <w:bCs/>
          <w:kern w:val="0"/>
          <w:szCs w:val="21"/>
          <w:lang w:val="en-US" w:eastAsia="zh-CN"/>
        </w:rPr>
        <w:t>十五、</w:t>
      </w:r>
      <w:bookmarkEnd w:id="202"/>
      <w:bookmarkEnd w:id="203"/>
      <w:bookmarkEnd w:id="204"/>
      <w:bookmarkEnd w:id="205"/>
      <w:bookmarkEnd w:id="206"/>
      <w:bookmarkEnd w:id="207"/>
      <w:bookmarkEnd w:id="208"/>
      <w:bookmarkStart w:id="209" w:name="_Toc27229"/>
      <w:bookmarkStart w:id="210" w:name="_Toc479184138"/>
      <w:bookmarkStart w:id="211" w:name="_Toc460258123"/>
      <w:bookmarkStart w:id="212" w:name="_Toc29785"/>
      <w:r>
        <w:rPr>
          <w:rFonts w:hint="eastAsia" w:asciiTheme="minorEastAsia" w:hAnsiTheme="minorEastAsia" w:eastAsiaTheme="minorEastAsia" w:cstheme="minorEastAsia"/>
          <w:b/>
        </w:rPr>
        <w:t>报价技术文件</w:t>
      </w:r>
      <w:bookmarkEnd w:id="209"/>
      <w:bookmarkEnd w:id="210"/>
      <w:bookmarkEnd w:id="211"/>
      <w:bookmarkEnd w:id="212"/>
    </w:p>
    <w:p>
      <w:pPr>
        <w:rPr>
          <w:rFonts w:hint="eastAsia" w:asciiTheme="minorEastAsia" w:hAnsiTheme="minorEastAsia" w:eastAsiaTheme="minorEastAsia" w:cstheme="minorEastAsia"/>
          <w:szCs w:val="21"/>
        </w:rPr>
      </w:pPr>
    </w:p>
    <w:p>
      <w:pPr>
        <w:pStyle w:val="105"/>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13" w:name="_Toc2101"/>
      <w:bookmarkStart w:id="214" w:name="_Toc356836516"/>
      <w:bookmarkStart w:id="215" w:name="_Toc479184140"/>
      <w:bookmarkStart w:id="216" w:name="_Toc22465"/>
      <w:bookmarkStart w:id="217" w:name="_Toc8098"/>
      <w:bookmarkStart w:id="218" w:name="_Toc422466739"/>
      <w:bookmarkStart w:id="219" w:name="_Toc355802499"/>
      <w:bookmarkStart w:id="220" w:name="_Toc12119"/>
      <w:bookmarkStart w:id="221" w:name="_Toc432149016"/>
      <w:bookmarkStart w:id="222" w:name="_Toc29200"/>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六</w:t>
      </w:r>
      <w:r>
        <w:rPr>
          <w:rFonts w:hint="eastAsia" w:asciiTheme="minorEastAsia" w:hAnsiTheme="minorEastAsia" w:eastAsiaTheme="minorEastAsia" w:cstheme="minorEastAsia"/>
          <w:b/>
        </w:rPr>
        <w:t>、中小企业声明函</w:t>
      </w:r>
      <w:bookmarkEnd w:id="213"/>
      <w:bookmarkEnd w:id="214"/>
      <w:bookmarkEnd w:id="215"/>
      <w:bookmarkEnd w:id="216"/>
      <w:bookmarkEnd w:id="217"/>
      <w:bookmarkEnd w:id="218"/>
      <w:bookmarkEnd w:id="219"/>
      <w:bookmarkEnd w:id="220"/>
      <w:bookmarkEnd w:id="221"/>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22"/>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23" w:name="OLE_LINK5"/>
      <w:r>
        <w:rPr>
          <w:rFonts w:hint="eastAsia" w:asciiTheme="minorEastAsia" w:hAnsiTheme="minorEastAsia" w:eastAsiaTheme="minorEastAsia" w:cstheme="minorEastAsia"/>
          <w:spacing w:val="6"/>
          <w:szCs w:val="21"/>
        </w:rPr>
        <w:t>______（请填写：中型、小型、微型）企业</w:t>
      </w:r>
      <w:bookmarkEnd w:id="223"/>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5"/>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5"/>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bookmarkEnd w:id="124"/>
      <w:bookmarkEnd w:id="125"/>
      <w:bookmarkEnd w:id="126"/>
      <w:bookmarkEnd w:id="127"/>
    </w:p>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24" w:name="_Toc4700"/>
      <w:bookmarkStart w:id="225" w:name="_Toc7229"/>
      <w:bookmarkStart w:id="226" w:name="_Toc479184141"/>
      <w:bookmarkStart w:id="227" w:name="_Toc30406"/>
      <w:bookmarkStart w:id="228" w:name="_Toc476839034"/>
      <w:bookmarkStart w:id="229" w:name="_Toc4320"/>
      <w:r>
        <w:rPr>
          <w:rFonts w:hint="eastAsia" w:asciiTheme="minorEastAsia" w:hAnsiTheme="minorEastAsia" w:eastAsiaTheme="minorEastAsia" w:cstheme="minorEastAsia"/>
          <w:b/>
          <w:bCs/>
          <w:spacing w:val="6"/>
          <w:szCs w:val="21"/>
          <w:lang w:val="en-US" w:eastAsia="zh-CN"/>
        </w:rPr>
        <w:t>十七、</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24"/>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30" w:name="_Toc10672"/>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十八</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0"/>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5"/>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5"/>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5"/>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31" w:name="_Toc30654"/>
      <w:r>
        <w:rPr>
          <w:rFonts w:hint="eastAsia" w:asciiTheme="minorEastAsia" w:hAnsiTheme="minorEastAsia" w:eastAsiaTheme="minorEastAsia" w:cstheme="minorEastAsia"/>
          <w:b/>
          <w:lang w:val="en-US" w:eastAsia="zh-CN"/>
        </w:rPr>
        <w:t>十九、节能环保产品证明材料（若符合）</w:t>
      </w:r>
      <w:bookmarkEnd w:id="231"/>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7"/>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32" w:name="_Toc7013"/>
      <w:r>
        <w:rPr>
          <w:rFonts w:hint="eastAsia" w:asciiTheme="minorEastAsia" w:hAnsiTheme="minorEastAsia" w:eastAsiaTheme="minorEastAsia" w:cstheme="minorEastAsia"/>
          <w:b/>
          <w:bCs/>
          <w:spacing w:val="6"/>
          <w:szCs w:val="21"/>
          <w:lang w:val="en-US" w:eastAsia="zh-CN"/>
        </w:rPr>
        <w:t>二十</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25"/>
      <w:bookmarkEnd w:id="226"/>
      <w:bookmarkEnd w:id="227"/>
      <w:bookmarkEnd w:id="228"/>
      <w:bookmarkEnd w:id="229"/>
      <w:bookmarkEnd w:id="232"/>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ind w:firstLine="420" w:firstLineChars="200"/>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ind w:firstLine="420" w:firstLineChars="200"/>
        <w:jc w:val="center"/>
        <w:outlineLvl w:val="1"/>
        <w:rPr>
          <w:rFonts w:hint="eastAsia" w:asciiTheme="minorEastAsia" w:hAnsiTheme="minorEastAsia" w:eastAsiaTheme="minorEastAsia" w:cstheme="minorEastAsia"/>
          <w:b/>
          <w:bCs/>
          <w:spacing w:val="6"/>
          <w:szCs w:val="21"/>
          <w:lang w:val="en-US" w:eastAsia="zh-CN"/>
        </w:rPr>
      </w:pPr>
      <w:bookmarkStart w:id="233" w:name="_Toc5812"/>
      <w:bookmarkStart w:id="234" w:name="_Toc26922"/>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spacing w:val="6"/>
          <w:szCs w:val="21"/>
          <w:lang w:val="en-US" w:eastAsia="zh-CN"/>
        </w:rPr>
        <w:t>二十一、磋商供应商认为应该提交的其它文件（格式自拟）</w:t>
      </w:r>
      <w:bookmarkEnd w:id="233"/>
      <w:bookmarkEnd w:id="234"/>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font-weight : 400">
    <w:altName w:val="hakuyoxingshu7000"/>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hakuyoxingshu7000">
    <w:panose1 w:val="02000600000000000000"/>
    <w:charset w:val="86"/>
    <w:family w:val="auto"/>
    <w:pitch w:val="default"/>
    <w:sig w:usb0="FFFFFFFF" w:usb1="E9FFFFFF" w:usb2="0000003F" w:usb3="00000000" w:csb0="603F00FF" w:csb1="FFFF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1"/>
      </w:rPr>
    </w:pPr>
    <w:r>
      <w:fldChar w:fldCharType="begin"/>
    </w:r>
    <w:r>
      <w:rPr>
        <w:rStyle w:val="31"/>
      </w:rPr>
      <w:instrText xml:space="preserve">PAGE  </w:instrTex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46</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87"/>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9"/>
      <w:lvlText w:val="%1.%2.%3"/>
      <w:lvlJc w:val="left"/>
      <w:pPr>
        <w:tabs>
          <w:tab w:val="left" w:pos="720"/>
        </w:tabs>
        <w:ind w:left="720" w:hanging="153"/>
      </w:pPr>
      <w:rPr>
        <w:rFonts w:hint="eastAsia"/>
      </w:rPr>
    </w:lvl>
    <w:lvl w:ilvl="3" w:tentative="0">
      <w:start w:val="1"/>
      <w:numFmt w:val="decimal"/>
      <w:pStyle w:val="86"/>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0BA2AF0"/>
    <w:multiLevelType w:val="singleLevel"/>
    <w:tmpl w:val="20BA2AF0"/>
    <w:lvl w:ilvl="0" w:tentative="0">
      <w:start w:val="1"/>
      <w:numFmt w:val="decimal"/>
      <w:suff w:val="space"/>
      <w:lvlText w:val="%1）"/>
      <w:lvlJc w:val="left"/>
    </w:lvl>
  </w:abstractNum>
  <w:abstractNum w:abstractNumId="17">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8">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9">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93"/>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0">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5">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7">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8">
    <w:nsid w:val="4B331C36"/>
    <w:multiLevelType w:val="multilevel"/>
    <w:tmpl w:val="4B331C36"/>
    <w:lvl w:ilvl="0" w:tentative="0">
      <w:start w:val="1"/>
      <w:numFmt w:val="japaneseCounting"/>
      <w:pStyle w:val="98"/>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0">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2">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3">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CEA2025"/>
    <w:multiLevelType w:val="multilevel"/>
    <w:tmpl w:val="6CEA2025"/>
    <w:lvl w:ilvl="0" w:tentative="0">
      <w:start w:val="1"/>
      <w:numFmt w:val="none"/>
      <w:pStyle w:val="75"/>
      <w:suff w:val="nothing"/>
      <w:lvlText w:val="%1"/>
      <w:lvlJc w:val="left"/>
      <w:pPr>
        <w:ind w:left="0" w:firstLine="0"/>
      </w:pPr>
      <w:rPr>
        <w:rFonts w:hint="default" w:ascii="Times New Roman" w:hAnsi="Times New Roman"/>
        <w:b/>
        <w:i w:val="0"/>
        <w:sz w:val="21"/>
      </w:rPr>
    </w:lvl>
    <w:lvl w:ilvl="1" w:tentative="0">
      <w:start w:val="1"/>
      <w:numFmt w:val="decimal"/>
      <w:pStyle w:val="78"/>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84"/>
      <w:suff w:val="nothing"/>
      <w:lvlText w:val="%1%2.%3　"/>
      <w:lvlJc w:val="left"/>
      <w:pPr>
        <w:ind w:left="720" w:firstLine="0"/>
      </w:pPr>
      <w:rPr>
        <w:rFonts w:hint="eastAsia" w:ascii="黑体" w:hAnsi="Times New Roman" w:eastAsia="黑体"/>
        <w:b w:val="0"/>
        <w:i w:val="0"/>
        <w:sz w:val="21"/>
      </w:rPr>
    </w:lvl>
    <w:lvl w:ilvl="3" w:tentative="0">
      <w:start w:val="1"/>
      <w:numFmt w:val="decimal"/>
      <w:pStyle w:val="83"/>
      <w:suff w:val="nothing"/>
      <w:lvlText w:val="%1%2.4.%4　"/>
      <w:lvlJc w:val="left"/>
      <w:pPr>
        <w:ind w:left="420" w:firstLine="0"/>
      </w:pPr>
      <w:rPr>
        <w:rFonts w:hint="eastAsia" w:ascii="黑体" w:hAnsi="Times New Roman" w:eastAsia="黑体"/>
        <w:b w:val="0"/>
        <w:i w:val="0"/>
        <w:sz w:val="21"/>
      </w:rPr>
    </w:lvl>
    <w:lvl w:ilvl="4" w:tentative="0">
      <w:start w:val="1"/>
      <w:numFmt w:val="decimal"/>
      <w:pStyle w:val="90"/>
      <w:suff w:val="nothing"/>
      <w:lvlText w:val="5.%12.5.%5　"/>
      <w:lvlJc w:val="left"/>
      <w:pPr>
        <w:ind w:left="42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9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0">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3">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5">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8"/>
  </w:num>
  <w:num w:numId="2">
    <w:abstractNumId w:val="10"/>
  </w:num>
  <w:num w:numId="3">
    <w:abstractNumId w:val="19"/>
  </w:num>
  <w:num w:numId="4">
    <w:abstractNumId w:val="28"/>
  </w:num>
  <w:num w:numId="5">
    <w:abstractNumId w:val="13"/>
  </w:num>
  <w:num w:numId="6">
    <w:abstractNumId w:val="12"/>
  </w:num>
  <w:num w:numId="7">
    <w:abstractNumId w:val="1"/>
  </w:num>
  <w:num w:numId="8">
    <w:abstractNumId w:val="32"/>
  </w:num>
  <w:num w:numId="9">
    <w:abstractNumId w:val="15"/>
  </w:num>
  <w:num w:numId="10">
    <w:abstractNumId w:val="8"/>
  </w:num>
  <w:num w:numId="11">
    <w:abstractNumId w:val="14"/>
  </w:num>
  <w:num w:numId="12">
    <w:abstractNumId w:val="34"/>
  </w:num>
  <w:num w:numId="13">
    <w:abstractNumId w:val="44"/>
  </w:num>
  <w:num w:numId="14">
    <w:abstractNumId w:val="45"/>
  </w:num>
  <w:num w:numId="15">
    <w:abstractNumId w:val="27"/>
  </w:num>
  <w:num w:numId="16">
    <w:abstractNumId w:val="30"/>
  </w:num>
  <w:num w:numId="17">
    <w:abstractNumId w:val="33"/>
  </w:num>
  <w:num w:numId="18">
    <w:abstractNumId w:val="35"/>
  </w:num>
  <w:num w:numId="19">
    <w:abstractNumId w:val="3"/>
  </w:num>
  <w:num w:numId="20">
    <w:abstractNumId w:val="37"/>
  </w:num>
  <w:num w:numId="21">
    <w:abstractNumId w:val="5"/>
  </w:num>
  <w:num w:numId="22">
    <w:abstractNumId w:val="25"/>
  </w:num>
  <w:num w:numId="23">
    <w:abstractNumId w:val="21"/>
  </w:num>
  <w:num w:numId="24">
    <w:abstractNumId w:val="40"/>
  </w:num>
  <w:num w:numId="25">
    <w:abstractNumId w:val="11"/>
  </w:num>
  <w:num w:numId="26">
    <w:abstractNumId w:val="26"/>
  </w:num>
  <w:num w:numId="27">
    <w:abstractNumId w:val="7"/>
  </w:num>
  <w:num w:numId="28">
    <w:abstractNumId w:val="39"/>
  </w:num>
  <w:num w:numId="29">
    <w:abstractNumId w:val="43"/>
  </w:num>
  <w:num w:numId="30">
    <w:abstractNumId w:val="29"/>
  </w:num>
  <w:num w:numId="31">
    <w:abstractNumId w:val="23"/>
  </w:num>
  <w:num w:numId="32">
    <w:abstractNumId w:val="9"/>
  </w:num>
  <w:num w:numId="33">
    <w:abstractNumId w:val="20"/>
  </w:num>
  <w:num w:numId="34">
    <w:abstractNumId w:val="42"/>
  </w:num>
  <w:num w:numId="35">
    <w:abstractNumId w:val="24"/>
  </w:num>
  <w:num w:numId="36">
    <w:abstractNumId w:val="16"/>
  </w:num>
  <w:num w:numId="37">
    <w:abstractNumId w:val="41"/>
  </w:num>
  <w:num w:numId="38">
    <w:abstractNumId w:val="36"/>
  </w:num>
  <w:num w:numId="39">
    <w:abstractNumId w:val="17"/>
  </w:num>
  <w:num w:numId="40">
    <w:abstractNumId w:val="31"/>
  </w:num>
  <w:num w:numId="41">
    <w:abstractNumId w:val="2"/>
  </w:num>
  <w:num w:numId="42">
    <w:abstractNumId w:val="18"/>
  </w:num>
  <w:num w:numId="43">
    <w:abstractNumId w:val="22"/>
  </w:num>
  <w:num w:numId="44">
    <w:abstractNumId w:val="6"/>
  </w:num>
  <w:num w:numId="45">
    <w:abstractNumId w:val="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D649C"/>
    <w:rsid w:val="02351774"/>
    <w:rsid w:val="023A6ECB"/>
    <w:rsid w:val="02420646"/>
    <w:rsid w:val="028223A8"/>
    <w:rsid w:val="029D4FA6"/>
    <w:rsid w:val="02A9706C"/>
    <w:rsid w:val="02D90C51"/>
    <w:rsid w:val="02DE374B"/>
    <w:rsid w:val="031C10FC"/>
    <w:rsid w:val="031C67BA"/>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585481"/>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2A049B"/>
    <w:rsid w:val="092B3782"/>
    <w:rsid w:val="096A4BCE"/>
    <w:rsid w:val="098226D8"/>
    <w:rsid w:val="09894939"/>
    <w:rsid w:val="09A02CD8"/>
    <w:rsid w:val="09E54A14"/>
    <w:rsid w:val="09F4276E"/>
    <w:rsid w:val="0A165448"/>
    <w:rsid w:val="0A502EA2"/>
    <w:rsid w:val="0A5758F7"/>
    <w:rsid w:val="0A67144A"/>
    <w:rsid w:val="0A71618F"/>
    <w:rsid w:val="0A7E1671"/>
    <w:rsid w:val="0AA37590"/>
    <w:rsid w:val="0AC16F66"/>
    <w:rsid w:val="0B1111D6"/>
    <w:rsid w:val="0B435CD5"/>
    <w:rsid w:val="0B456825"/>
    <w:rsid w:val="0B4B17AC"/>
    <w:rsid w:val="0B4F5787"/>
    <w:rsid w:val="0B625354"/>
    <w:rsid w:val="0B6438A9"/>
    <w:rsid w:val="0BC22757"/>
    <w:rsid w:val="0BCE3B70"/>
    <w:rsid w:val="0BD0342B"/>
    <w:rsid w:val="0BE3070D"/>
    <w:rsid w:val="0C367BBD"/>
    <w:rsid w:val="0C3C4113"/>
    <w:rsid w:val="0C4225D4"/>
    <w:rsid w:val="0C49239C"/>
    <w:rsid w:val="0C4E57C8"/>
    <w:rsid w:val="0C7336D0"/>
    <w:rsid w:val="0CC36F40"/>
    <w:rsid w:val="0CF02600"/>
    <w:rsid w:val="0D162766"/>
    <w:rsid w:val="0D41682C"/>
    <w:rsid w:val="0D50445B"/>
    <w:rsid w:val="0D7807F1"/>
    <w:rsid w:val="0D8100E4"/>
    <w:rsid w:val="0D895A46"/>
    <w:rsid w:val="0D9B67EB"/>
    <w:rsid w:val="0DB362DD"/>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A32A0E"/>
    <w:rsid w:val="0FC5121F"/>
    <w:rsid w:val="0FC52200"/>
    <w:rsid w:val="0FC57219"/>
    <w:rsid w:val="0FF11896"/>
    <w:rsid w:val="0FF743B8"/>
    <w:rsid w:val="104114BC"/>
    <w:rsid w:val="104F21E7"/>
    <w:rsid w:val="10681B45"/>
    <w:rsid w:val="10D545EB"/>
    <w:rsid w:val="10E51E7E"/>
    <w:rsid w:val="1109548A"/>
    <w:rsid w:val="11156035"/>
    <w:rsid w:val="111F2499"/>
    <w:rsid w:val="11296D36"/>
    <w:rsid w:val="1146103D"/>
    <w:rsid w:val="116C7384"/>
    <w:rsid w:val="11A20E56"/>
    <w:rsid w:val="12305D0B"/>
    <w:rsid w:val="12595354"/>
    <w:rsid w:val="12676ACE"/>
    <w:rsid w:val="128C79F5"/>
    <w:rsid w:val="12987FD1"/>
    <w:rsid w:val="12D57C7C"/>
    <w:rsid w:val="12DE2F04"/>
    <w:rsid w:val="12E1444B"/>
    <w:rsid w:val="12F453F7"/>
    <w:rsid w:val="13424AAD"/>
    <w:rsid w:val="135A65CD"/>
    <w:rsid w:val="13681291"/>
    <w:rsid w:val="139A72A6"/>
    <w:rsid w:val="13D75C16"/>
    <w:rsid w:val="14171AEC"/>
    <w:rsid w:val="141A71FC"/>
    <w:rsid w:val="14393E39"/>
    <w:rsid w:val="1439492C"/>
    <w:rsid w:val="144E282E"/>
    <w:rsid w:val="14905D77"/>
    <w:rsid w:val="14C13D98"/>
    <w:rsid w:val="14C818C6"/>
    <w:rsid w:val="14D17473"/>
    <w:rsid w:val="14D2285A"/>
    <w:rsid w:val="14E779E2"/>
    <w:rsid w:val="14F848F0"/>
    <w:rsid w:val="1533008F"/>
    <w:rsid w:val="153D3401"/>
    <w:rsid w:val="155142E7"/>
    <w:rsid w:val="15855A36"/>
    <w:rsid w:val="158E06A1"/>
    <w:rsid w:val="15932B1E"/>
    <w:rsid w:val="15AF36C0"/>
    <w:rsid w:val="15EE7CEF"/>
    <w:rsid w:val="160D691C"/>
    <w:rsid w:val="16333435"/>
    <w:rsid w:val="16391530"/>
    <w:rsid w:val="166C136C"/>
    <w:rsid w:val="168C0198"/>
    <w:rsid w:val="16C6539F"/>
    <w:rsid w:val="16C83962"/>
    <w:rsid w:val="16ED23AA"/>
    <w:rsid w:val="1730286B"/>
    <w:rsid w:val="173E2364"/>
    <w:rsid w:val="1761710C"/>
    <w:rsid w:val="17812612"/>
    <w:rsid w:val="17871823"/>
    <w:rsid w:val="1789592C"/>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F50C9"/>
    <w:rsid w:val="19633F03"/>
    <w:rsid w:val="199C3850"/>
    <w:rsid w:val="199E02FC"/>
    <w:rsid w:val="19BA1CE3"/>
    <w:rsid w:val="19DF55C2"/>
    <w:rsid w:val="19FA7D22"/>
    <w:rsid w:val="1A0C61A8"/>
    <w:rsid w:val="1A132F57"/>
    <w:rsid w:val="1A300E03"/>
    <w:rsid w:val="1A5F760F"/>
    <w:rsid w:val="1A6F3E95"/>
    <w:rsid w:val="1A6F6E85"/>
    <w:rsid w:val="1AB70FFB"/>
    <w:rsid w:val="1AD51B88"/>
    <w:rsid w:val="1B2058A0"/>
    <w:rsid w:val="1B566A66"/>
    <w:rsid w:val="1B8565CF"/>
    <w:rsid w:val="1B9104B0"/>
    <w:rsid w:val="1BAC363D"/>
    <w:rsid w:val="1BD60F79"/>
    <w:rsid w:val="1BD96570"/>
    <w:rsid w:val="1C0C60A0"/>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9F4A19"/>
    <w:rsid w:val="1DA05599"/>
    <w:rsid w:val="1DAB519B"/>
    <w:rsid w:val="1DC65420"/>
    <w:rsid w:val="1DC94DC3"/>
    <w:rsid w:val="1E0649A4"/>
    <w:rsid w:val="1E316CE9"/>
    <w:rsid w:val="1E474E6F"/>
    <w:rsid w:val="1E4D30A6"/>
    <w:rsid w:val="1E6843C7"/>
    <w:rsid w:val="1EA60FCA"/>
    <w:rsid w:val="1EA87417"/>
    <w:rsid w:val="1ED70A99"/>
    <w:rsid w:val="1F353005"/>
    <w:rsid w:val="1F35766F"/>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97750"/>
    <w:rsid w:val="20BD2343"/>
    <w:rsid w:val="20C125E5"/>
    <w:rsid w:val="20F77EBA"/>
    <w:rsid w:val="20FE0571"/>
    <w:rsid w:val="212F48FD"/>
    <w:rsid w:val="21B23C30"/>
    <w:rsid w:val="21D5663A"/>
    <w:rsid w:val="21DE0782"/>
    <w:rsid w:val="220D5F91"/>
    <w:rsid w:val="220F017A"/>
    <w:rsid w:val="22120332"/>
    <w:rsid w:val="223D6488"/>
    <w:rsid w:val="224F423C"/>
    <w:rsid w:val="227710AB"/>
    <w:rsid w:val="229B4E78"/>
    <w:rsid w:val="22C77F82"/>
    <w:rsid w:val="22D6265F"/>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BF7D42"/>
    <w:rsid w:val="255D2F2A"/>
    <w:rsid w:val="256C5A3D"/>
    <w:rsid w:val="257963F1"/>
    <w:rsid w:val="25A7402B"/>
    <w:rsid w:val="25FE15DC"/>
    <w:rsid w:val="26806C09"/>
    <w:rsid w:val="26863962"/>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6F3A"/>
    <w:rsid w:val="298168E8"/>
    <w:rsid w:val="29880DC9"/>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EB27E3"/>
    <w:rsid w:val="2BEB2E9D"/>
    <w:rsid w:val="2BF61207"/>
    <w:rsid w:val="2C2E6F83"/>
    <w:rsid w:val="2C620007"/>
    <w:rsid w:val="2C642E45"/>
    <w:rsid w:val="2CD367CC"/>
    <w:rsid w:val="2CDD2B9E"/>
    <w:rsid w:val="2D09394F"/>
    <w:rsid w:val="2D6345E9"/>
    <w:rsid w:val="2D7E4209"/>
    <w:rsid w:val="2D9B288E"/>
    <w:rsid w:val="2DBD42B5"/>
    <w:rsid w:val="2DCB5DC1"/>
    <w:rsid w:val="2DCE5309"/>
    <w:rsid w:val="2DE2242A"/>
    <w:rsid w:val="2E4225F7"/>
    <w:rsid w:val="2E463849"/>
    <w:rsid w:val="2E522374"/>
    <w:rsid w:val="2E5A5340"/>
    <w:rsid w:val="2E677780"/>
    <w:rsid w:val="2E6E73D5"/>
    <w:rsid w:val="2E81141D"/>
    <w:rsid w:val="2E9A7ADA"/>
    <w:rsid w:val="2EC304B4"/>
    <w:rsid w:val="2F1B0798"/>
    <w:rsid w:val="2F235807"/>
    <w:rsid w:val="2F4F0438"/>
    <w:rsid w:val="2F506BFB"/>
    <w:rsid w:val="2F7E2CC0"/>
    <w:rsid w:val="2F921764"/>
    <w:rsid w:val="2F98405A"/>
    <w:rsid w:val="2FD11EB8"/>
    <w:rsid w:val="303D5772"/>
    <w:rsid w:val="306E40F7"/>
    <w:rsid w:val="30B15581"/>
    <w:rsid w:val="30B337EA"/>
    <w:rsid w:val="30B93848"/>
    <w:rsid w:val="30BE1DE8"/>
    <w:rsid w:val="31253510"/>
    <w:rsid w:val="313177AD"/>
    <w:rsid w:val="31341EAD"/>
    <w:rsid w:val="31423CC5"/>
    <w:rsid w:val="3157256E"/>
    <w:rsid w:val="31665B97"/>
    <w:rsid w:val="31854B7E"/>
    <w:rsid w:val="31931C04"/>
    <w:rsid w:val="31E86EE4"/>
    <w:rsid w:val="31FD6157"/>
    <w:rsid w:val="32171B71"/>
    <w:rsid w:val="322B53E9"/>
    <w:rsid w:val="32651BE8"/>
    <w:rsid w:val="32915ABA"/>
    <w:rsid w:val="329C1497"/>
    <w:rsid w:val="32C8479B"/>
    <w:rsid w:val="32D72576"/>
    <w:rsid w:val="32D93319"/>
    <w:rsid w:val="330D0307"/>
    <w:rsid w:val="332C3D97"/>
    <w:rsid w:val="335C422F"/>
    <w:rsid w:val="3360351F"/>
    <w:rsid w:val="33620CB2"/>
    <w:rsid w:val="33B17CDB"/>
    <w:rsid w:val="33E04B57"/>
    <w:rsid w:val="33FA7456"/>
    <w:rsid w:val="34024883"/>
    <w:rsid w:val="342C6E98"/>
    <w:rsid w:val="343E2F3B"/>
    <w:rsid w:val="344F7140"/>
    <w:rsid w:val="34755DB1"/>
    <w:rsid w:val="349E0FB2"/>
    <w:rsid w:val="34A96A1A"/>
    <w:rsid w:val="34B370D1"/>
    <w:rsid w:val="34CA52FD"/>
    <w:rsid w:val="34E622D6"/>
    <w:rsid w:val="34F95068"/>
    <w:rsid w:val="3518700F"/>
    <w:rsid w:val="352F2FF3"/>
    <w:rsid w:val="35375748"/>
    <w:rsid w:val="35486C73"/>
    <w:rsid w:val="359E09BB"/>
    <w:rsid w:val="3600191D"/>
    <w:rsid w:val="361A4DE1"/>
    <w:rsid w:val="361F592F"/>
    <w:rsid w:val="362F79EA"/>
    <w:rsid w:val="364416D7"/>
    <w:rsid w:val="36516B14"/>
    <w:rsid w:val="36556C85"/>
    <w:rsid w:val="36660F9E"/>
    <w:rsid w:val="3675230B"/>
    <w:rsid w:val="36766F5C"/>
    <w:rsid w:val="36777C43"/>
    <w:rsid w:val="367E7A3F"/>
    <w:rsid w:val="36C1347A"/>
    <w:rsid w:val="36C31B41"/>
    <w:rsid w:val="36C532A1"/>
    <w:rsid w:val="36CE234D"/>
    <w:rsid w:val="36D347D3"/>
    <w:rsid w:val="36DA50A9"/>
    <w:rsid w:val="3736228A"/>
    <w:rsid w:val="37671725"/>
    <w:rsid w:val="376F122C"/>
    <w:rsid w:val="3798526A"/>
    <w:rsid w:val="37B72EB1"/>
    <w:rsid w:val="37C806F3"/>
    <w:rsid w:val="37C85C3C"/>
    <w:rsid w:val="37CF1603"/>
    <w:rsid w:val="38585500"/>
    <w:rsid w:val="385D1C71"/>
    <w:rsid w:val="388E1434"/>
    <w:rsid w:val="38BA5460"/>
    <w:rsid w:val="38C62FF5"/>
    <w:rsid w:val="38D62476"/>
    <w:rsid w:val="38E27127"/>
    <w:rsid w:val="38FD4116"/>
    <w:rsid w:val="39027E88"/>
    <w:rsid w:val="39075875"/>
    <w:rsid w:val="391904A1"/>
    <w:rsid w:val="391C718D"/>
    <w:rsid w:val="394D30B0"/>
    <w:rsid w:val="39624091"/>
    <w:rsid w:val="397C6037"/>
    <w:rsid w:val="39D43B66"/>
    <w:rsid w:val="39EC03FA"/>
    <w:rsid w:val="3A1E303B"/>
    <w:rsid w:val="3A1F74C9"/>
    <w:rsid w:val="3A2A1F54"/>
    <w:rsid w:val="3A2D40D1"/>
    <w:rsid w:val="3A314B02"/>
    <w:rsid w:val="3A5C2602"/>
    <w:rsid w:val="3A5E6F34"/>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F76813"/>
    <w:rsid w:val="3CFC6063"/>
    <w:rsid w:val="3D1319B5"/>
    <w:rsid w:val="3D260CA6"/>
    <w:rsid w:val="3D520CCB"/>
    <w:rsid w:val="3D5C6974"/>
    <w:rsid w:val="3D6678B0"/>
    <w:rsid w:val="3D772181"/>
    <w:rsid w:val="3D823D30"/>
    <w:rsid w:val="3DCE6FB3"/>
    <w:rsid w:val="3DD16176"/>
    <w:rsid w:val="3DD4564A"/>
    <w:rsid w:val="3E0D7410"/>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D6DE9"/>
    <w:rsid w:val="3FDE4917"/>
    <w:rsid w:val="402F3ADF"/>
    <w:rsid w:val="40306F5A"/>
    <w:rsid w:val="40476BB3"/>
    <w:rsid w:val="40546FB6"/>
    <w:rsid w:val="40554803"/>
    <w:rsid w:val="407A60D5"/>
    <w:rsid w:val="40961808"/>
    <w:rsid w:val="40AB4DEE"/>
    <w:rsid w:val="40D24BBE"/>
    <w:rsid w:val="40EC4043"/>
    <w:rsid w:val="412008E0"/>
    <w:rsid w:val="413A6D3B"/>
    <w:rsid w:val="41515AC7"/>
    <w:rsid w:val="41902B9F"/>
    <w:rsid w:val="41C02331"/>
    <w:rsid w:val="41C13A63"/>
    <w:rsid w:val="41C67037"/>
    <w:rsid w:val="41D229E1"/>
    <w:rsid w:val="41EC6E94"/>
    <w:rsid w:val="41F72149"/>
    <w:rsid w:val="42415ACC"/>
    <w:rsid w:val="427D539F"/>
    <w:rsid w:val="42991E30"/>
    <w:rsid w:val="42CE0B28"/>
    <w:rsid w:val="42CF6367"/>
    <w:rsid w:val="42DE1CCC"/>
    <w:rsid w:val="42FC0B99"/>
    <w:rsid w:val="4308546B"/>
    <w:rsid w:val="43263445"/>
    <w:rsid w:val="434157E3"/>
    <w:rsid w:val="43494860"/>
    <w:rsid w:val="434D380E"/>
    <w:rsid w:val="43934189"/>
    <w:rsid w:val="439D4850"/>
    <w:rsid w:val="43C27232"/>
    <w:rsid w:val="43ED069F"/>
    <w:rsid w:val="442A6E5A"/>
    <w:rsid w:val="445C4B8F"/>
    <w:rsid w:val="44796121"/>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8720BA"/>
    <w:rsid w:val="46895AFC"/>
    <w:rsid w:val="46BC623F"/>
    <w:rsid w:val="46D855B9"/>
    <w:rsid w:val="470D2C74"/>
    <w:rsid w:val="477570F1"/>
    <w:rsid w:val="47B41AAA"/>
    <w:rsid w:val="47CD38AD"/>
    <w:rsid w:val="47DB16D8"/>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87B2C"/>
    <w:rsid w:val="49CE6B8E"/>
    <w:rsid w:val="49D72FF3"/>
    <w:rsid w:val="49E0102B"/>
    <w:rsid w:val="4A2945F2"/>
    <w:rsid w:val="4A29762E"/>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20D1A"/>
    <w:rsid w:val="4F4B0CB3"/>
    <w:rsid w:val="4F4F0EBF"/>
    <w:rsid w:val="4F8C4B40"/>
    <w:rsid w:val="4FAA5CD5"/>
    <w:rsid w:val="4FBABFDD"/>
    <w:rsid w:val="4FBD187E"/>
    <w:rsid w:val="4FD11AC0"/>
    <w:rsid w:val="4FFFFE96"/>
    <w:rsid w:val="502F75EB"/>
    <w:rsid w:val="50400243"/>
    <w:rsid w:val="50494336"/>
    <w:rsid w:val="50784012"/>
    <w:rsid w:val="50813C12"/>
    <w:rsid w:val="5087463E"/>
    <w:rsid w:val="50A11680"/>
    <w:rsid w:val="50B77550"/>
    <w:rsid w:val="50C773AE"/>
    <w:rsid w:val="50CD6602"/>
    <w:rsid w:val="510D0F23"/>
    <w:rsid w:val="51197B59"/>
    <w:rsid w:val="51215D4C"/>
    <w:rsid w:val="51615030"/>
    <w:rsid w:val="51627812"/>
    <w:rsid w:val="51D33F6D"/>
    <w:rsid w:val="52045DB4"/>
    <w:rsid w:val="522C275E"/>
    <w:rsid w:val="529000F6"/>
    <w:rsid w:val="5296149A"/>
    <w:rsid w:val="52A65672"/>
    <w:rsid w:val="52BA4073"/>
    <w:rsid w:val="52CD7B31"/>
    <w:rsid w:val="52D576F4"/>
    <w:rsid w:val="52DF170A"/>
    <w:rsid w:val="52E25B6D"/>
    <w:rsid w:val="52F362FB"/>
    <w:rsid w:val="52F4161A"/>
    <w:rsid w:val="52F965A5"/>
    <w:rsid w:val="53081AD8"/>
    <w:rsid w:val="530E6DD1"/>
    <w:rsid w:val="53235275"/>
    <w:rsid w:val="53240623"/>
    <w:rsid w:val="53321C03"/>
    <w:rsid w:val="533415F9"/>
    <w:rsid w:val="534823B8"/>
    <w:rsid w:val="535657D0"/>
    <w:rsid w:val="535868CC"/>
    <w:rsid w:val="53597EDB"/>
    <w:rsid w:val="538D066D"/>
    <w:rsid w:val="53934B1D"/>
    <w:rsid w:val="53A2278E"/>
    <w:rsid w:val="53CB788B"/>
    <w:rsid w:val="53E32E36"/>
    <w:rsid w:val="540B15AC"/>
    <w:rsid w:val="54203B94"/>
    <w:rsid w:val="5424233E"/>
    <w:rsid w:val="542A3DC2"/>
    <w:rsid w:val="542C299E"/>
    <w:rsid w:val="543642C1"/>
    <w:rsid w:val="5461235D"/>
    <w:rsid w:val="54667BA2"/>
    <w:rsid w:val="547E7555"/>
    <w:rsid w:val="54A01FAE"/>
    <w:rsid w:val="54A1363F"/>
    <w:rsid w:val="54C0256E"/>
    <w:rsid w:val="54C334B7"/>
    <w:rsid w:val="54D4667D"/>
    <w:rsid w:val="54D55C56"/>
    <w:rsid w:val="54EC389B"/>
    <w:rsid w:val="54F847D9"/>
    <w:rsid w:val="55126190"/>
    <w:rsid w:val="553D1731"/>
    <w:rsid w:val="555F3833"/>
    <w:rsid w:val="55667780"/>
    <w:rsid w:val="556E493A"/>
    <w:rsid w:val="55941D63"/>
    <w:rsid w:val="559C0CE1"/>
    <w:rsid w:val="55D11119"/>
    <w:rsid w:val="55DB1F79"/>
    <w:rsid w:val="560A42BD"/>
    <w:rsid w:val="560C1D89"/>
    <w:rsid w:val="56353B20"/>
    <w:rsid w:val="56443B98"/>
    <w:rsid w:val="56453A77"/>
    <w:rsid w:val="56757259"/>
    <w:rsid w:val="56CB4BCB"/>
    <w:rsid w:val="57391A95"/>
    <w:rsid w:val="57395545"/>
    <w:rsid w:val="573F3C9E"/>
    <w:rsid w:val="574C52C4"/>
    <w:rsid w:val="57526FDB"/>
    <w:rsid w:val="57572F35"/>
    <w:rsid w:val="575B33A4"/>
    <w:rsid w:val="57674A5D"/>
    <w:rsid w:val="57B25019"/>
    <w:rsid w:val="57BB6F5D"/>
    <w:rsid w:val="57C90530"/>
    <w:rsid w:val="57CE0836"/>
    <w:rsid w:val="57DF729E"/>
    <w:rsid w:val="57FB6CB9"/>
    <w:rsid w:val="582F44F7"/>
    <w:rsid w:val="583F27F2"/>
    <w:rsid w:val="58455B6D"/>
    <w:rsid w:val="584D29B0"/>
    <w:rsid w:val="584F7C49"/>
    <w:rsid w:val="5888302C"/>
    <w:rsid w:val="5889129A"/>
    <w:rsid w:val="58AD528C"/>
    <w:rsid w:val="58B31955"/>
    <w:rsid w:val="58BA1500"/>
    <w:rsid w:val="58BA45A1"/>
    <w:rsid w:val="594F6915"/>
    <w:rsid w:val="59737A65"/>
    <w:rsid w:val="59842DF4"/>
    <w:rsid w:val="59A0359A"/>
    <w:rsid w:val="59E52D9A"/>
    <w:rsid w:val="5A300449"/>
    <w:rsid w:val="5A482DEE"/>
    <w:rsid w:val="5A55295D"/>
    <w:rsid w:val="5A7E104A"/>
    <w:rsid w:val="5A8208A0"/>
    <w:rsid w:val="5A861FD5"/>
    <w:rsid w:val="5ADE2E08"/>
    <w:rsid w:val="5AE3253A"/>
    <w:rsid w:val="5AEA30C9"/>
    <w:rsid w:val="5AEA3475"/>
    <w:rsid w:val="5AF54C6B"/>
    <w:rsid w:val="5B087B94"/>
    <w:rsid w:val="5B0C2FBE"/>
    <w:rsid w:val="5B0E3E89"/>
    <w:rsid w:val="5B124740"/>
    <w:rsid w:val="5B3E7FCE"/>
    <w:rsid w:val="5B3F66E7"/>
    <w:rsid w:val="5B872AE6"/>
    <w:rsid w:val="5BA77753"/>
    <w:rsid w:val="5BC025EF"/>
    <w:rsid w:val="5C1203C7"/>
    <w:rsid w:val="5C1F35AE"/>
    <w:rsid w:val="5C3905BF"/>
    <w:rsid w:val="5C66397A"/>
    <w:rsid w:val="5C7349B6"/>
    <w:rsid w:val="5C824C05"/>
    <w:rsid w:val="5C8723CB"/>
    <w:rsid w:val="5C8725EE"/>
    <w:rsid w:val="5C9125C3"/>
    <w:rsid w:val="5CB0251A"/>
    <w:rsid w:val="5CB97030"/>
    <w:rsid w:val="5CC97332"/>
    <w:rsid w:val="5D187049"/>
    <w:rsid w:val="5D1D2427"/>
    <w:rsid w:val="5D6C3EA2"/>
    <w:rsid w:val="5D756277"/>
    <w:rsid w:val="5D955FBD"/>
    <w:rsid w:val="5DA62524"/>
    <w:rsid w:val="5DAC3919"/>
    <w:rsid w:val="5DB36259"/>
    <w:rsid w:val="5DBD33B2"/>
    <w:rsid w:val="5DC223CB"/>
    <w:rsid w:val="5DF66637"/>
    <w:rsid w:val="5DFF6858"/>
    <w:rsid w:val="5E185132"/>
    <w:rsid w:val="5E272402"/>
    <w:rsid w:val="5E2A0167"/>
    <w:rsid w:val="5E5D68E8"/>
    <w:rsid w:val="5E802A96"/>
    <w:rsid w:val="5E9074FF"/>
    <w:rsid w:val="5EB62A77"/>
    <w:rsid w:val="5EB80355"/>
    <w:rsid w:val="5EBB2226"/>
    <w:rsid w:val="5EBE5F24"/>
    <w:rsid w:val="5EF07004"/>
    <w:rsid w:val="5EFF4842"/>
    <w:rsid w:val="5F0E1E9A"/>
    <w:rsid w:val="5F860C23"/>
    <w:rsid w:val="5FC44411"/>
    <w:rsid w:val="605C7AA6"/>
    <w:rsid w:val="605F132B"/>
    <w:rsid w:val="605F50CE"/>
    <w:rsid w:val="608510A4"/>
    <w:rsid w:val="608762FF"/>
    <w:rsid w:val="609E1C45"/>
    <w:rsid w:val="60BD4FD1"/>
    <w:rsid w:val="60D507D0"/>
    <w:rsid w:val="60EA1511"/>
    <w:rsid w:val="60EB6C34"/>
    <w:rsid w:val="60FD5C7B"/>
    <w:rsid w:val="613D7E7B"/>
    <w:rsid w:val="617162E9"/>
    <w:rsid w:val="61A52BAA"/>
    <w:rsid w:val="61B160E0"/>
    <w:rsid w:val="61FA0AE4"/>
    <w:rsid w:val="623438BB"/>
    <w:rsid w:val="62343AB5"/>
    <w:rsid w:val="624B10F0"/>
    <w:rsid w:val="624F3E48"/>
    <w:rsid w:val="62635981"/>
    <w:rsid w:val="628B066D"/>
    <w:rsid w:val="629B3E75"/>
    <w:rsid w:val="629B5D43"/>
    <w:rsid w:val="62A36D1F"/>
    <w:rsid w:val="62A40365"/>
    <w:rsid w:val="62A469A9"/>
    <w:rsid w:val="62A92FF1"/>
    <w:rsid w:val="62B90FFE"/>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AD7C37"/>
    <w:rsid w:val="64B05758"/>
    <w:rsid w:val="64BE4B0D"/>
    <w:rsid w:val="65075A96"/>
    <w:rsid w:val="650E600B"/>
    <w:rsid w:val="650F0C7B"/>
    <w:rsid w:val="65B221E6"/>
    <w:rsid w:val="65F63744"/>
    <w:rsid w:val="66426031"/>
    <w:rsid w:val="665809FD"/>
    <w:rsid w:val="66593B74"/>
    <w:rsid w:val="66651C8A"/>
    <w:rsid w:val="66675176"/>
    <w:rsid w:val="669F2C65"/>
    <w:rsid w:val="66B94751"/>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29374C"/>
    <w:rsid w:val="692F20BB"/>
    <w:rsid w:val="69784C3F"/>
    <w:rsid w:val="69C1095D"/>
    <w:rsid w:val="6A0138F7"/>
    <w:rsid w:val="6A1E155A"/>
    <w:rsid w:val="6A7B5447"/>
    <w:rsid w:val="6ADB012D"/>
    <w:rsid w:val="6AE3748E"/>
    <w:rsid w:val="6AF53FAE"/>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852D02"/>
    <w:rsid w:val="6CC0649B"/>
    <w:rsid w:val="6CEA2C90"/>
    <w:rsid w:val="6CFA5C74"/>
    <w:rsid w:val="6D2C4A68"/>
    <w:rsid w:val="6D3B2E78"/>
    <w:rsid w:val="6D3C3AC0"/>
    <w:rsid w:val="6D410335"/>
    <w:rsid w:val="6D4305C3"/>
    <w:rsid w:val="6D48445E"/>
    <w:rsid w:val="6D500B73"/>
    <w:rsid w:val="6D666AA6"/>
    <w:rsid w:val="6D687043"/>
    <w:rsid w:val="6D7D6DC8"/>
    <w:rsid w:val="6D885EAB"/>
    <w:rsid w:val="6D953F0C"/>
    <w:rsid w:val="6DAB044E"/>
    <w:rsid w:val="6DB67EBB"/>
    <w:rsid w:val="6DED758E"/>
    <w:rsid w:val="6DEF52E3"/>
    <w:rsid w:val="6E0E6A1E"/>
    <w:rsid w:val="6E2D763E"/>
    <w:rsid w:val="6E420FB1"/>
    <w:rsid w:val="6E95768E"/>
    <w:rsid w:val="6EA14900"/>
    <w:rsid w:val="6EB27AA3"/>
    <w:rsid w:val="6EF9461D"/>
    <w:rsid w:val="6F1348E9"/>
    <w:rsid w:val="6F2A01FE"/>
    <w:rsid w:val="6F2A71A4"/>
    <w:rsid w:val="6F487F58"/>
    <w:rsid w:val="6F9415EA"/>
    <w:rsid w:val="6F9E0A8F"/>
    <w:rsid w:val="6FB72F84"/>
    <w:rsid w:val="6FCA5E7C"/>
    <w:rsid w:val="6FE3419F"/>
    <w:rsid w:val="6FF778F1"/>
    <w:rsid w:val="700346D4"/>
    <w:rsid w:val="700706FE"/>
    <w:rsid w:val="70287F2C"/>
    <w:rsid w:val="709A492D"/>
    <w:rsid w:val="70AF69EB"/>
    <w:rsid w:val="70F97D93"/>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2F95434"/>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90659B"/>
    <w:rsid w:val="749E2818"/>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D3F16"/>
    <w:rsid w:val="76781DCD"/>
    <w:rsid w:val="76D84698"/>
    <w:rsid w:val="775865D7"/>
    <w:rsid w:val="775B4584"/>
    <w:rsid w:val="776234AF"/>
    <w:rsid w:val="776D12AE"/>
    <w:rsid w:val="77AD0FE0"/>
    <w:rsid w:val="77BE7384"/>
    <w:rsid w:val="78821B50"/>
    <w:rsid w:val="788E2A2A"/>
    <w:rsid w:val="78BC088E"/>
    <w:rsid w:val="78C52EE0"/>
    <w:rsid w:val="78D23C9C"/>
    <w:rsid w:val="7913610A"/>
    <w:rsid w:val="791A167A"/>
    <w:rsid w:val="796B6F7E"/>
    <w:rsid w:val="79935707"/>
    <w:rsid w:val="799A2128"/>
    <w:rsid w:val="79C30D65"/>
    <w:rsid w:val="79CC3295"/>
    <w:rsid w:val="7A0B1561"/>
    <w:rsid w:val="7A25258A"/>
    <w:rsid w:val="7A2C646D"/>
    <w:rsid w:val="7A55546C"/>
    <w:rsid w:val="7A743686"/>
    <w:rsid w:val="7A824E2E"/>
    <w:rsid w:val="7A93705D"/>
    <w:rsid w:val="7A9E7BE0"/>
    <w:rsid w:val="7AFF6437"/>
    <w:rsid w:val="7B021BF1"/>
    <w:rsid w:val="7B583BC8"/>
    <w:rsid w:val="7B9F2862"/>
    <w:rsid w:val="7BA9751C"/>
    <w:rsid w:val="7BAB44F6"/>
    <w:rsid w:val="7BB856C6"/>
    <w:rsid w:val="7BBB27D3"/>
    <w:rsid w:val="7BC24A45"/>
    <w:rsid w:val="7BD52A90"/>
    <w:rsid w:val="7C076616"/>
    <w:rsid w:val="7C0D60AB"/>
    <w:rsid w:val="7C295DFC"/>
    <w:rsid w:val="7C3248CE"/>
    <w:rsid w:val="7C4B37FA"/>
    <w:rsid w:val="7C58255B"/>
    <w:rsid w:val="7C5B5FF8"/>
    <w:rsid w:val="7C910DB6"/>
    <w:rsid w:val="7CBA649A"/>
    <w:rsid w:val="7CF03F88"/>
    <w:rsid w:val="7CF73786"/>
    <w:rsid w:val="7D5E51C4"/>
    <w:rsid w:val="7D7525FB"/>
    <w:rsid w:val="7DC111D1"/>
    <w:rsid w:val="7DC43A43"/>
    <w:rsid w:val="7DC74225"/>
    <w:rsid w:val="7DDA69EF"/>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 w:val="7FFED145"/>
    <w:rsid w:val="7FFEF30F"/>
    <w:rsid w:val="DFBFB2EB"/>
    <w:rsid w:val="EFEBCEE2"/>
    <w:rsid w:val="FFF98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6"/>
    <w:pPr>
      <w:widowControl w:val="0"/>
      <w:autoSpaceDE w:val="0"/>
      <w:autoSpaceDN w:val="0"/>
      <w:adjustRightInd w:val="0"/>
    </w:pPr>
    <w:rPr>
      <w:rFonts w:ascii="黑体" w:hAnsi="Times New Roman" w:eastAsia="黑体" w:cs="Times New Roman"/>
      <w:sz w:val="21"/>
      <w:szCs w:val="22"/>
      <w:lang w:val="en-US" w:eastAsia="zh-CN" w:bidi="ar-SA"/>
    </w:rPr>
  </w:style>
  <w:style w:type="paragraph" w:styleId="7">
    <w:name w:val="Normal Indent"/>
    <w:basedOn w:val="1"/>
    <w:qFormat/>
    <w:uiPriority w:val="0"/>
    <w:pPr>
      <w:ind w:firstLine="420"/>
    </w:pPr>
    <w:rPr>
      <w:szCs w:val="20"/>
    </w:rPr>
  </w:style>
  <w:style w:type="paragraph" w:styleId="8">
    <w:name w:val="Document Map"/>
    <w:basedOn w:val="1"/>
    <w:link w:val="43"/>
    <w:qFormat/>
    <w:uiPriority w:val="0"/>
    <w:rPr>
      <w:rFonts w:ascii="宋体" w:hAnsi="Tahoma"/>
      <w:sz w:val="18"/>
      <w:szCs w:val="18"/>
    </w:rPr>
  </w:style>
  <w:style w:type="paragraph" w:styleId="9">
    <w:name w:val="annotation text"/>
    <w:basedOn w:val="1"/>
    <w:link w:val="72"/>
    <w:semiHidden/>
    <w:qFormat/>
    <w:uiPriority w:val="99"/>
    <w:pPr>
      <w:jc w:val="left"/>
    </w:pPr>
    <w:rPr>
      <w:rFonts w:ascii="Tahoma" w:hAnsi="Tahoma"/>
    </w:rPr>
  </w:style>
  <w:style w:type="paragraph" w:styleId="10">
    <w:name w:val="Body Text 3"/>
    <w:basedOn w:val="1"/>
    <w:qFormat/>
    <w:uiPriority w:val="0"/>
    <w:rPr>
      <w:kern w:val="0"/>
      <w:sz w:val="16"/>
      <w:szCs w:val="16"/>
    </w:rPr>
  </w:style>
  <w:style w:type="paragraph" w:styleId="11">
    <w:name w:val="Body Text"/>
    <w:basedOn w:val="1"/>
    <w:qFormat/>
    <w:uiPriority w:val="0"/>
    <w:pPr>
      <w:spacing w:after="120"/>
    </w:pPr>
  </w:style>
  <w:style w:type="paragraph" w:styleId="12">
    <w:name w:val="Body Text Indent"/>
    <w:basedOn w:val="1"/>
    <w:qFormat/>
    <w:uiPriority w:val="0"/>
    <w:pPr>
      <w:spacing w:after="120"/>
      <w:ind w:left="420" w:leftChars="200"/>
    </w:pPr>
  </w:style>
  <w:style w:type="paragraph" w:styleId="13">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4">
    <w:name w:val="toc 3"/>
    <w:basedOn w:val="1"/>
    <w:next w:val="1"/>
    <w:unhideWhenUsed/>
    <w:qFormat/>
    <w:uiPriority w:val="39"/>
    <w:pPr>
      <w:ind w:left="840" w:leftChars="400"/>
    </w:pPr>
    <w:rPr>
      <w:sz w:val="28"/>
    </w:rPr>
  </w:style>
  <w:style w:type="paragraph" w:styleId="15">
    <w:name w:val="Plain Text"/>
    <w:basedOn w:val="1"/>
    <w:qFormat/>
    <w:uiPriority w:val="0"/>
    <w:rPr>
      <w:rFonts w:ascii="宋体" w:hAnsi="Courier New" w:eastAsia="楷体_GB2312"/>
      <w:snapToGrid w:val="0"/>
      <w:color w:val="000000"/>
      <w:kern w:val="0"/>
      <w:sz w:val="32"/>
      <w:szCs w:val="21"/>
    </w:rPr>
  </w:style>
  <w:style w:type="paragraph" w:styleId="16">
    <w:name w:val="Date"/>
    <w:basedOn w:val="1"/>
    <w:next w:val="1"/>
    <w:qFormat/>
    <w:uiPriority w:val="0"/>
    <w:rPr>
      <w:rFonts w:ascii="楷体_GB2312" w:eastAsia="楷体_GB2312"/>
      <w:color w:val="000000"/>
      <w:kern w:val="0"/>
      <w:sz w:val="32"/>
      <w:szCs w:val="32"/>
    </w:rPr>
  </w:style>
  <w:style w:type="paragraph" w:styleId="17">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8">
    <w:name w:val="Balloon Text"/>
    <w:basedOn w:val="1"/>
    <w:unhideWhenUsed/>
    <w:qFormat/>
    <w:uiPriority w:val="0"/>
    <w:rPr>
      <w:sz w:val="18"/>
      <w:szCs w:val="18"/>
    </w:rPr>
  </w:style>
  <w:style w:type="paragraph" w:styleId="19">
    <w:name w:val="footer"/>
    <w:basedOn w:val="1"/>
    <w:link w:val="66"/>
    <w:qFormat/>
    <w:uiPriority w:val="99"/>
    <w:pPr>
      <w:tabs>
        <w:tab w:val="center" w:pos="4153"/>
        <w:tab w:val="right" w:pos="8306"/>
      </w:tabs>
      <w:snapToGrid w:val="0"/>
      <w:jc w:val="left"/>
    </w:pPr>
    <w:rPr>
      <w:rFonts w:ascii="Tahoma" w:hAnsi="Tahoma"/>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Body Text Indent 3"/>
    <w:basedOn w:val="1"/>
    <w:qFormat/>
    <w:uiPriority w:val="0"/>
    <w:pPr>
      <w:ind w:left="359" w:leftChars="171" w:firstLine="554" w:firstLineChars="198"/>
    </w:pPr>
    <w:rPr>
      <w:sz w:val="28"/>
      <w:szCs w:val="20"/>
    </w:rPr>
  </w:style>
  <w:style w:type="paragraph" w:styleId="23">
    <w:name w:val="toc 2"/>
    <w:basedOn w:val="1"/>
    <w:next w:val="1"/>
    <w:qFormat/>
    <w:uiPriority w:val="39"/>
    <w:pPr>
      <w:ind w:left="420" w:leftChars="200"/>
    </w:pPr>
  </w:style>
  <w:style w:type="paragraph" w:styleId="24">
    <w:name w:val="Body Text 2"/>
    <w:basedOn w:val="1"/>
    <w:qFormat/>
    <w:uiPriority w:val="0"/>
    <w:pPr>
      <w:spacing w:after="120" w:line="480" w:lineRule="auto"/>
    </w:pPr>
  </w:style>
  <w:style w:type="paragraph" w:styleId="25">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6">
    <w:name w:val="annotation subject"/>
    <w:basedOn w:val="9"/>
    <w:next w:val="9"/>
    <w:link w:val="70"/>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rFonts w:ascii="Tahoma" w:hAnsi="Tahoma"/>
      <w:b/>
      <w:bCs/>
      <w:sz w:val="24"/>
    </w:rPr>
  </w:style>
  <w:style w:type="character" w:styleId="31">
    <w:name w:val="page number"/>
    <w:basedOn w:val="29"/>
    <w:qFormat/>
    <w:uiPriority w:val="0"/>
  </w:style>
  <w:style w:type="character" w:styleId="32">
    <w:name w:val="FollowedHyperlink"/>
    <w:qFormat/>
    <w:uiPriority w:val="0"/>
    <w:rPr>
      <w:rFonts w:ascii="Tahoma" w:hAnsi="Tahoma"/>
      <w:color w:val="000000"/>
      <w:sz w:val="18"/>
      <w:szCs w:val="18"/>
      <w:u w:val="none"/>
    </w:rPr>
  </w:style>
  <w:style w:type="character" w:styleId="33">
    <w:name w:val="Emphasis"/>
    <w:basedOn w:val="29"/>
    <w:qFormat/>
    <w:uiPriority w:val="0"/>
  </w:style>
  <w:style w:type="character" w:styleId="34">
    <w:name w:val="HTML Definition"/>
    <w:basedOn w:val="29"/>
    <w:qFormat/>
    <w:uiPriority w:val="0"/>
  </w:style>
  <w:style w:type="character" w:styleId="35">
    <w:name w:val="HTML Variable"/>
    <w:basedOn w:val="29"/>
    <w:qFormat/>
    <w:uiPriority w:val="0"/>
  </w:style>
  <w:style w:type="character" w:styleId="36">
    <w:name w:val="Hyperlink"/>
    <w:qFormat/>
    <w:uiPriority w:val="99"/>
    <w:rPr>
      <w:rFonts w:ascii="Tahoma" w:hAnsi="Tahoma"/>
      <w:color w:val="0000FF"/>
      <w:sz w:val="24"/>
      <w:u w:val="single"/>
    </w:rPr>
  </w:style>
  <w:style w:type="character" w:styleId="37">
    <w:name w:val="HTML Code"/>
    <w:basedOn w:val="29"/>
    <w:qFormat/>
    <w:uiPriority w:val="0"/>
    <w:rPr>
      <w:rFonts w:ascii="serif" w:hAnsi="serif" w:eastAsia="serif" w:cs="serif"/>
      <w:sz w:val="21"/>
      <w:szCs w:val="21"/>
    </w:rPr>
  </w:style>
  <w:style w:type="character" w:styleId="38">
    <w:name w:val="annotation reference"/>
    <w:unhideWhenUsed/>
    <w:qFormat/>
    <w:uiPriority w:val="99"/>
    <w:rPr>
      <w:rFonts w:ascii="Tahoma" w:hAnsi="Tahoma"/>
      <w:sz w:val="21"/>
      <w:szCs w:val="21"/>
    </w:rPr>
  </w:style>
  <w:style w:type="character" w:styleId="39">
    <w:name w:val="HTML Cite"/>
    <w:basedOn w:val="29"/>
    <w:qFormat/>
    <w:uiPriority w:val="0"/>
  </w:style>
  <w:style w:type="character" w:styleId="40">
    <w:name w:val="HTML Keyboard"/>
    <w:basedOn w:val="29"/>
    <w:qFormat/>
    <w:uiPriority w:val="0"/>
    <w:rPr>
      <w:rFonts w:hint="default" w:ascii="serif" w:hAnsi="serif" w:eastAsia="serif" w:cs="serif"/>
      <w:sz w:val="21"/>
      <w:szCs w:val="21"/>
    </w:rPr>
  </w:style>
  <w:style w:type="character" w:styleId="41">
    <w:name w:val="HTML Sample"/>
    <w:basedOn w:val="29"/>
    <w:qFormat/>
    <w:uiPriority w:val="0"/>
    <w:rPr>
      <w:rFonts w:hint="default" w:ascii="serif" w:hAnsi="serif" w:eastAsia="serif" w:cs="serif"/>
      <w:sz w:val="21"/>
      <w:szCs w:val="21"/>
    </w:rPr>
  </w:style>
  <w:style w:type="character" w:customStyle="1" w:styleId="42">
    <w:name w:val="cfdate"/>
    <w:basedOn w:val="29"/>
    <w:qFormat/>
    <w:uiPriority w:val="0"/>
    <w:rPr>
      <w:color w:val="333333"/>
      <w:sz w:val="18"/>
      <w:szCs w:val="18"/>
    </w:rPr>
  </w:style>
  <w:style w:type="character" w:customStyle="1" w:styleId="43">
    <w:name w:val="文档结构图 字符"/>
    <w:link w:val="8"/>
    <w:qFormat/>
    <w:uiPriority w:val="0"/>
    <w:rPr>
      <w:rFonts w:ascii="宋体" w:hAnsi="Tahoma"/>
      <w:kern w:val="2"/>
      <w:sz w:val="18"/>
      <w:szCs w:val="18"/>
    </w:rPr>
  </w:style>
  <w:style w:type="character" w:customStyle="1" w:styleId="44">
    <w:name w:val="copyright"/>
    <w:basedOn w:val="29"/>
    <w:qFormat/>
    <w:uiPriority w:val="0"/>
  </w:style>
  <w:style w:type="character" w:customStyle="1" w:styleId="45">
    <w:name w:val="Char Char6"/>
    <w:qFormat/>
    <w:uiPriority w:val="0"/>
    <w:rPr>
      <w:rFonts w:ascii="Tahoma" w:hAnsi="Tahoma" w:eastAsia="宋体"/>
      <w:b/>
      <w:bCs/>
      <w:kern w:val="2"/>
      <w:sz w:val="32"/>
      <w:szCs w:val="32"/>
      <w:lang w:val="en-US" w:eastAsia="zh-CN" w:bidi="ar-SA"/>
    </w:rPr>
  </w:style>
  <w:style w:type="character" w:customStyle="1" w:styleId="46">
    <w:name w:val="qxdate"/>
    <w:basedOn w:val="29"/>
    <w:qFormat/>
    <w:uiPriority w:val="0"/>
    <w:rPr>
      <w:color w:val="333333"/>
      <w:sz w:val="18"/>
      <w:szCs w:val="18"/>
    </w:rPr>
  </w:style>
  <w:style w:type="character" w:customStyle="1" w:styleId="47">
    <w:name w:val="gjfg"/>
    <w:basedOn w:val="29"/>
    <w:qFormat/>
    <w:uiPriority w:val="0"/>
  </w:style>
  <w:style w:type="character" w:customStyle="1" w:styleId="48">
    <w:name w:val="Char Char3"/>
    <w:semiHidden/>
    <w:qFormat/>
    <w:uiPriority w:val="0"/>
    <w:rPr>
      <w:rFonts w:ascii="Tahoma" w:hAnsi="Tahoma" w:eastAsia="宋体"/>
      <w:kern w:val="2"/>
      <w:sz w:val="18"/>
      <w:szCs w:val="18"/>
      <w:lang w:val="en-US" w:eastAsia="zh-CN" w:bidi="ar-SA"/>
    </w:rPr>
  </w:style>
  <w:style w:type="character" w:customStyle="1" w:styleId="49">
    <w:name w:val="普通文字 Char2"/>
    <w:qFormat/>
    <w:uiPriority w:val="0"/>
    <w:rPr>
      <w:rFonts w:ascii="宋体" w:hAnsi="Courier New" w:eastAsia="楷体_GB2312"/>
      <w:snapToGrid w:val="0"/>
      <w:color w:val="000000"/>
      <w:sz w:val="32"/>
      <w:szCs w:val="21"/>
      <w:lang w:val="en-US" w:eastAsia="zh-CN" w:bidi="ar-SA"/>
    </w:rPr>
  </w:style>
  <w:style w:type="character" w:customStyle="1" w:styleId="50">
    <w:name w:val="Char Char4"/>
    <w:qFormat/>
    <w:uiPriority w:val="0"/>
    <w:rPr>
      <w:rFonts w:ascii="Tahoma" w:hAnsi="Tahoma" w:eastAsia="宋体"/>
      <w:kern w:val="2"/>
      <w:sz w:val="18"/>
      <w:szCs w:val="18"/>
      <w:lang w:val="en-US" w:eastAsia="zh-CN" w:bidi="ar-SA"/>
    </w:rPr>
  </w:style>
  <w:style w:type="character" w:customStyle="1" w:styleId="51">
    <w:name w:val="font51"/>
    <w:qFormat/>
    <w:uiPriority w:val="0"/>
    <w:rPr>
      <w:rFonts w:hint="eastAsia" w:ascii="宋体" w:hAnsi="宋体" w:eastAsia="宋体" w:cs="宋体"/>
      <w:color w:val="000000"/>
      <w:sz w:val="21"/>
      <w:szCs w:val="21"/>
      <w:u w:val="none"/>
    </w:rPr>
  </w:style>
  <w:style w:type="character" w:customStyle="1" w:styleId="52">
    <w:name w:val="Char Char1"/>
    <w:semiHidden/>
    <w:qFormat/>
    <w:uiPriority w:val="0"/>
    <w:rPr>
      <w:rFonts w:ascii="Tahoma" w:hAnsi="Tahoma" w:eastAsia="宋体"/>
      <w:kern w:val="2"/>
      <w:sz w:val="28"/>
      <w:lang w:val="en-US" w:eastAsia="zh-CN" w:bidi="ar-SA"/>
    </w:rPr>
  </w:style>
  <w:style w:type="character" w:customStyle="1" w:styleId="53">
    <w:name w:val="profont1"/>
    <w:qFormat/>
    <w:uiPriority w:val="0"/>
    <w:rPr>
      <w:rFonts w:hint="default" w:ascii="Verdana" w:hAnsi="Verdana"/>
      <w:b/>
      <w:bCs/>
      <w:color w:val="333333"/>
      <w:sz w:val="24"/>
      <w:szCs w:val="24"/>
      <w:u w:val="none"/>
    </w:rPr>
  </w:style>
  <w:style w:type="character" w:customStyle="1" w:styleId="54">
    <w:name w:val="标题 2 Char"/>
    <w:qFormat/>
    <w:uiPriority w:val="0"/>
    <w:rPr>
      <w:rFonts w:ascii="Arial" w:hAnsi="Arial" w:eastAsia="黑体"/>
      <w:b/>
      <w:bCs/>
      <w:kern w:val="2"/>
      <w:sz w:val="32"/>
      <w:szCs w:val="32"/>
      <w:lang w:val="en-US" w:eastAsia="zh-CN" w:bidi="ar-SA"/>
    </w:rPr>
  </w:style>
  <w:style w:type="character" w:customStyle="1" w:styleId="55">
    <w:name w:val="Char Char5"/>
    <w:qFormat/>
    <w:uiPriority w:val="0"/>
    <w:rPr>
      <w:rFonts w:ascii="Tahoma" w:hAnsi="Tahoma" w:eastAsia="宋体"/>
      <w:kern w:val="2"/>
      <w:sz w:val="18"/>
      <w:szCs w:val="18"/>
      <w:lang w:val="en-US" w:eastAsia="zh-CN" w:bidi="ar-SA"/>
    </w:rPr>
  </w:style>
  <w:style w:type="character" w:customStyle="1" w:styleId="56">
    <w:name w:val="标题 1.1 Char1"/>
    <w:qFormat/>
    <w:uiPriority w:val="0"/>
    <w:rPr>
      <w:rFonts w:ascii="Arial" w:hAnsi="Arial" w:eastAsia="黑体"/>
      <w:b/>
      <w:bCs/>
      <w:kern w:val="2"/>
      <w:sz w:val="32"/>
      <w:szCs w:val="32"/>
      <w:lang w:val="en-US" w:eastAsia="zh-CN" w:bidi="ar-SA"/>
    </w:rPr>
  </w:style>
  <w:style w:type="character" w:customStyle="1" w:styleId="57">
    <w:name w:val="font01"/>
    <w:qFormat/>
    <w:uiPriority w:val="0"/>
    <w:rPr>
      <w:rFonts w:hint="eastAsia" w:ascii="宋体" w:hAnsi="宋体" w:eastAsia="宋体" w:cs="宋体"/>
      <w:color w:val="000000"/>
      <w:sz w:val="24"/>
      <w:szCs w:val="24"/>
      <w:u w:val="none"/>
    </w:rPr>
  </w:style>
  <w:style w:type="character" w:customStyle="1" w:styleId="58">
    <w:name w:val="font11"/>
    <w:qFormat/>
    <w:uiPriority w:val="0"/>
    <w:rPr>
      <w:rFonts w:hint="eastAsia" w:ascii="宋体" w:hAnsi="宋体" w:eastAsia="宋体" w:cs="宋体"/>
      <w:b/>
      <w:color w:val="000000"/>
      <w:sz w:val="24"/>
      <w:szCs w:val="24"/>
      <w:u w:val="none"/>
    </w:rPr>
  </w:style>
  <w:style w:type="character" w:customStyle="1" w:styleId="59">
    <w:name w:val="Char Char"/>
    <w:qFormat/>
    <w:uiPriority w:val="0"/>
    <w:rPr>
      <w:rFonts w:ascii="Tahoma" w:hAnsi="Tahoma"/>
      <w:kern w:val="2"/>
      <w:sz w:val="21"/>
      <w:szCs w:val="24"/>
    </w:rPr>
  </w:style>
  <w:style w:type="character" w:customStyle="1" w:styleId="60">
    <w:name w:val="style111"/>
    <w:qFormat/>
    <w:uiPriority w:val="0"/>
    <w:rPr>
      <w:rFonts w:ascii="Tahoma" w:hAnsi="Tahoma"/>
      <w:sz w:val="22"/>
      <w:szCs w:val="22"/>
    </w:rPr>
  </w:style>
  <w:style w:type="character" w:customStyle="1" w:styleId="61">
    <w:name w:val="displayarti"/>
    <w:basedOn w:val="29"/>
    <w:qFormat/>
    <w:uiPriority w:val="0"/>
    <w:rPr>
      <w:color w:val="FFFFFF"/>
      <w:shd w:val="clear" w:color="auto" w:fill="A00000"/>
    </w:rPr>
  </w:style>
  <w:style w:type="character" w:customStyle="1" w:styleId="62">
    <w:name w:val="Char Char7"/>
    <w:qFormat/>
    <w:uiPriority w:val="0"/>
    <w:rPr>
      <w:rFonts w:ascii="Tahoma" w:hAnsi="Tahoma" w:eastAsia="宋体"/>
      <w:b/>
      <w:bCs/>
      <w:kern w:val="44"/>
      <w:sz w:val="44"/>
      <w:szCs w:val="44"/>
      <w:lang w:val="en-US" w:eastAsia="zh-CN" w:bidi="ar-SA"/>
    </w:rPr>
  </w:style>
  <w:style w:type="character" w:customStyle="1" w:styleId="63">
    <w:name w:val="font31"/>
    <w:qFormat/>
    <w:uiPriority w:val="0"/>
    <w:rPr>
      <w:rFonts w:hint="eastAsia" w:ascii="宋体" w:hAnsi="宋体" w:eastAsia="宋体" w:cs="宋体"/>
      <w:color w:val="000000"/>
      <w:sz w:val="21"/>
      <w:szCs w:val="21"/>
      <w:u w:val="none"/>
    </w:rPr>
  </w:style>
  <w:style w:type="character" w:customStyle="1" w:styleId="64">
    <w:name w:val="Char Char2"/>
    <w:qFormat/>
    <w:uiPriority w:val="0"/>
    <w:rPr>
      <w:rFonts w:ascii="华文仿宋" w:hAnsi="华文仿宋" w:eastAsia="华文仿宋"/>
      <w:color w:val="000000"/>
      <w:sz w:val="32"/>
      <w:szCs w:val="32"/>
      <w:lang w:val="en-US" w:eastAsia="zh-CN" w:bidi="ar-SA"/>
    </w:rPr>
  </w:style>
  <w:style w:type="character" w:customStyle="1" w:styleId="65">
    <w:name w:val="style51"/>
    <w:qFormat/>
    <w:uiPriority w:val="0"/>
    <w:rPr>
      <w:rFonts w:ascii="Tahoma" w:hAnsi="Tahoma"/>
      <w:b/>
      <w:bCs/>
      <w:color w:val="814107"/>
      <w:sz w:val="21"/>
      <w:szCs w:val="21"/>
    </w:rPr>
  </w:style>
  <w:style w:type="character" w:customStyle="1" w:styleId="66">
    <w:name w:val="页脚 字符"/>
    <w:link w:val="19"/>
    <w:qFormat/>
    <w:uiPriority w:val="99"/>
    <w:rPr>
      <w:rFonts w:ascii="Tahoma" w:hAnsi="Tahoma"/>
      <w:kern w:val="2"/>
      <w:sz w:val="18"/>
      <w:szCs w:val="18"/>
    </w:rPr>
  </w:style>
  <w:style w:type="character" w:customStyle="1" w:styleId="67">
    <w:name w:val="标题 1.1 Char"/>
    <w:qFormat/>
    <w:uiPriority w:val="0"/>
    <w:rPr>
      <w:rFonts w:ascii="仿宋_GB2312" w:hAnsi="Arial" w:eastAsia="仿宋_GB2312" w:cs="Arial"/>
      <w:b/>
      <w:bCs/>
      <w:kern w:val="2"/>
      <w:sz w:val="24"/>
      <w:szCs w:val="24"/>
      <w:lang w:val="en-US" w:eastAsia="zh-CN" w:bidi="ar-SA"/>
    </w:rPr>
  </w:style>
  <w:style w:type="character" w:customStyle="1" w:styleId="68">
    <w:name w:val="普通文字 Char1"/>
    <w:qFormat/>
    <w:uiPriority w:val="0"/>
    <w:rPr>
      <w:rFonts w:ascii="宋体" w:hAnsi="Courier New" w:eastAsia="宋体"/>
      <w:kern w:val="2"/>
      <w:sz w:val="21"/>
      <w:szCs w:val="21"/>
      <w:lang w:val="en-US" w:eastAsia="zh-CN" w:bidi="ar-SA"/>
    </w:rPr>
  </w:style>
  <w:style w:type="character" w:customStyle="1" w:styleId="69">
    <w:name w:val="font41"/>
    <w:qFormat/>
    <w:uiPriority w:val="0"/>
    <w:rPr>
      <w:rFonts w:ascii="font-weight : 400" w:hAnsi="font-weight : 400" w:eastAsia="font-weight : 400" w:cs="font-weight : 400"/>
      <w:color w:val="000000"/>
      <w:sz w:val="21"/>
      <w:szCs w:val="21"/>
      <w:u w:val="none"/>
    </w:rPr>
  </w:style>
  <w:style w:type="character" w:customStyle="1" w:styleId="70">
    <w:name w:val="批注主题 字符"/>
    <w:link w:val="26"/>
    <w:qFormat/>
    <w:uiPriority w:val="0"/>
    <w:rPr>
      <w:rFonts w:ascii="Tahoma" w:hAnsi="Tahoma"/>
      <w:b/>
      <w:bCs/>
      <w:kern w:val="2"/>
      <w:sz w:val="21"/>
      <w:szCs w:val="24"/>
    </w:rPr>
  </w:style>
  <w:style w:type="character" w:customStyle="1" w:styleId="71">
    <w:name w:val="redfilefwwh"/>
    <w:basedOn w:val="29"/>
    <w:qFormat/>
    <w:uiPriority w:val="0"/>
    <w:rPr>
      <w:color w:val="BA2636"/>
      <w:sz w:val="18"/>
      <w:szCs w:val="18"/>
    </w:rPr>
  </w:style>
  <w:style w:type="character" w:customStyle="1" w:styleId="72">
    <w:name w:val="批注文字 字符"/>
    <w:link w:val="9"/>
    <w:semiHidden/>
    <w:qFormat/>
    <w:uiPriority w:val="99"/>
    <w:rPr>
      <w:rFonts w:ascii="Tahoma" w:hAnsi="Tahoma"/>
      <w:kern w:val="2"/>
      <w:sz w:val="21"/>
      <w:szCs w:val="24"/>
    </w:rPr>
  </w:style>
  <w:style w:type="character" w:customStyle="1" w:styleId="73">
    <w:name w:val="redfilenumber"/>
    <w:basedOn w:val="29"/>
    <w:qFormat/>
    <w:uiPriority w:val="0"/>
    <w:rPr>
      <w:color w:val="BA2636"/>
      <w:sz w:val="18"/>
      <w:szCs w:val="18"/>
    </w:rPr>
  </w:style>
  <w:style w:type="paragraph" w:customStyle="1" w:styleId="74">
    <w:name w:val="Char1 Char Char Char"/>
    <w:basedOn w:val="1"/>
    <w:qFormat/>
    <w:uiPriority w:val="0"/>
    <w:pPr>
      <w:adjustRightInd w:val="0"/>
      <w:spacing w:line="360" w:lineRule="auto"/>
    </w:pPr>
    <w:rPr>
      <w:kern w:val="0"/>
      <w:sz w:val="24"/>
      <w:szCs w:val="20"/>
    </w:rPr>
  </w:style>
  <w:style w:type="paragraph" w:customStyle="1" w:styleId="7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6">
    <w:name w:val="_Style 2"/>
    <w:basedOn w:val="1"/>
    <w:qFormat/>
    <w:uiPriority w:val="34"/>
    <w:pPr>
      <w:ind w:firstLine="420" w:firstLineChars="200"/>
    </w:pPr>
  </w:style>
  <w:style w:type="paragraph" w:customStyle="1" w:styleId="77">
    <w:name w:val="Char Char Char Char Char Char"/>
    <w:basedOn w:val="1"/>
    <w:qFormat/>
    <w:uiPriority w:val="0"/>
    <w:rPr>
      <w:rFonts w:ascii="Tahoma" w:hAnsi="Tahoma"/>
      <w:sz w:val="24"/>
    </w:rPr>
  </w:style>
  <w:style w:type="paragraph" w:customStyle="1" w:styleId="78">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9">
    <w:name w:val="Char Char Char"/>
    <w:basedOn w:val="1"/>
    <w:qFormat/>
    <w:uiPriority w:val="0"/>
    <w:rPr>
      <w:rFonts w:ascii="Tahoma" w:hAnsi="Tahoma"/>
      <w:sz w:val="24"/>
      <w:szCs w:val="20"/>
    </w:rPr>
  </w:style>
  <w:style w:type="paragraph" w:customStyle="1" w:styleId="8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1">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8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3">
    <w:name w:val="二级条标题"/>
    <w:basedOn w:val="84"/>
    <w:next w:val="1"/>
    <w:qFormat/>
    <w:uiPriority w:val="0"/>
    <w:pPr>
      <w:numPr>
        <w:ilvl w:val="3"/>
      </w:numPr>
      <w:outlineLvl w:val="3"/>
    </w:pPr>
  </w:style>
  <w:style w:type="paragraph" w:customStyle="1" w:styleId="84">
    <w:name w:val="一级条标题"/>
    <w:basedOn w:val="78"/>
    <w:next w:val="1"/>
    <w:qFormat/>
    <w:uiPriority w:val="0"/>
    <w:pPr>
      <w:numPr>
        <w:ilvl w:val="2"/>
      </w:numPr>
      <w:spacing w:beforeLines="0" w:afterLines="0"/>
      <w:outlineLvl w:val="2"/>
    </w:pPr>
  </w:style>
  <w:style w:type="paragraph" w:customStyle="1" w:styleId="85">
    <w:name w:val="Char Char Char1"/>
    <w:basedOn w:val="1"/>
    <w:qFormat/>
    <w:uiPriority w:val="0"/>
    <w:rPr>
      <w:rFonts w:ascii="Tahoma" w:hAnsi="Tahoma"/>
      <w:sz w:val="24"/>
      <w:szCs w:val="20"/>
    </w:rPr>
  </w:style>
  <w:style w:type="paragraph" w:customStyle="1" w:styleId="86">
    <w:name w:val="样式5"/>
    <w:basedOn w:val="87"/>
    <w:qFormat/>
    <w:uiPriority w:val="0"/>
    <w:pPr>
      <w:numPr>
        <w:ilvl w:val="3"/>
      </w:numPr>
      <w:tabs>
        <w:tab w:val="left" w:pos="432"/>
      </w:tabs>
      <w:spacing w:before="156"/>
    </w:pPr>
  </w:style>
  <w:style w:type="paragraph" w:customStyle="1" w:styleId="87">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8">
    <w:name w:val="Char"/>
    <w:basedOn w:val="1"/>
    <w:qFormat/>
    <w:uiPriority w:val="0"/>
    <w:pPr>
      <w:adjustRightInd w:val="0"/>
      <w:spacing w:line="360" w:lineRule="auto"/>
    </w:pPr>
    <w:rPr>
      <w:kern w:val="0"/>
      <w:sz w:val="24"/>
      <w:szCs w:val="20"/>
    </w:rPr>
  </w:style>
  <w:style w:type="paragraph" w:customStyle="1" w:styleId="89">
    <w:name w:val="Char1"/>
    <w:basedOn w:val="1"/>
    <w:qFormat/>
    <w:uiPriority w:val="0"/>
    <w:pPr>
      <w:adjustRightInd w:val="0"/>
      <w:spacing w:line="360" w:lineRule="auto"/>
    </w:pPr>
    <w:rPr>
      <w:kern w:val="0"/>
      <w:sz w:val="24"/>
      <w:szCs w:val="20"/>
    </w:rPr>
  </w:style>
  <w:style w:type="paragraph" w:customStyle="1" w:styleId="90">
    <w:name w:val="三级条标题"/>
    <w:basedOn w:val="83"/>
    <w:next w:val="1"/>
    <w:qFormat/>
    <w:uiPriority w:val="0"/>
    <w:pPr>
      <w:numPr>
        <w:ilvl w:val="4"/>
      </w:numPr>
      <w:outlineLvl w:val="4"/>
    </w:pPr>
  </w:style>
  <w:style w:type="paragraph" w:customStyle="1" w:styleId="91">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Char Char Char Char Char Char Char"/>
    <w:basedOn w:val="1"/>
    <w:qFormat/>
    <w:uiPriority w:val="0"/>
    <w:rPr>
      <w:rFonts w:ascii="Tahoma" w:hAnsi="Tahoma" w:cs="Arial"/>
      <w:szCs w:val="21"/>
    </w:rPr>
  </w:style>
  <w:style w:type="paragraph" w:customStyle="1" w:styleId="93">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94">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5">
    <w:name w:val="五级条标题"/>
    <w:basedOn w:val="96"/>
    <w:next w:val="1"/>
    <w:qFormat/>
    <w:uiPriority w:val="0"/>
    <w:pPr>
      <w:numPr>
        <w:ilvl w:val="6"/>
      </w:numPr>
      <w:outlineLvl w:val="6"/>
    </w:pPr>
  </w:style>
  <w:style w:type="paragraph" w:customStyle="1" w:styleId="96">
    <w:name w:val="四级条标题"/>
    <w:basedOn w:val="90"/>
    <w:next w:val="1"/>
    <w:qFormat/>
    <w:uiPriority w:val="0"/>
    <w:pPr>
      <w:numPr>
        <w:ilvl w:val="5"/>
      </w:numPr>
      <w:outlineLvl w:val="5"/>
    </w:pPr>
  </w:style>
  <w:style w:type="paragraph" w:customStyle="1" w:styleId="97">
    <w:name w:val="Normal Indent1"/>
    <w:basedOn w:val="1"/>
    <w:qFormat/>
    <w:uiPriority w:val="99"/>
    <w:pPr>
      <w:autoSpaceDE w:val="0"/>
      <w:autoSpaceDN w:val="0"/>
      <w:adjustRightInd w:val="0"/>
      <w:ind w:firstLine="420"/>
    </w:pPr>
    <w:rPr>
      <w:kern w:val="0"/>
      <w:szCs w:val="21"/>
    </w:rPr>
  </w:style>
  <w:style w:type="paragraph" w:customStyle="1" w:styleId="98">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9">
    <w:name w:val="样式6"/>
    <w:basedOn w:val="87"/>
    <w:qFormat/>
    <w:uiPriority w:val="0"/>
    <w:pPr>
      <w:numPr>
        <w:ilvl w:val="2"/>
      </w:numPr>
      <w:tabs>
        <w:tab w:val="clear" w:pos="432"/>
      </w:tabs>
      <w:spacing w:before="156"/>
      <w:outlineLvl w:val="4"/>
    </w:pPr>
    <w:rPr>
      <w:rFonts w:ascii="MS Shell Dlg" w:hAnsi="MS Shell Dlg"/>
    </w:rPr>
  </w:style>
  <w:style w:type="paragraph" w:customStyle="1" w:styleId="100">
    <w:name w:val="List Paragraph"/>
    <w:basedOn w:val="1"/>
    <w:qFormat/>
    <w:uiPriority w:val="34"/>
    <w:pPr>
      <w:ind w:firstLine="420" w:firstLineChars="200"/>
    </w:pPr>
    <w:rPr>
      <w:sz w:val="28"/>
    </w:rPr>
  </w:style>
  <w:style w:type="paragraph" w:customStyle="1" w:styleId="101">
    <w:name w:val="列出段落1"/>
    <w:basedOn w:val="1"/>
    <w:qFormat/>
    <w:uiPriority w:val="0"/>
    <w:pPr>
      <w:ind w:firstLine="420" w:firstLineChars="200"/>
    </w:pPr>
    <w:rPr>
      <w:rFonts w:ascii="Calibri" w:hAnsi="Calibri"/>
      <w:kern w:val="0"/>
      <w:sz w:val="20"/>
      <w:szCs w:val="20"/>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Table Paragraph"/>
    <w:basedOn w:val="1"/>
    <w:unhideWhenUsed/>
    <w:qFormat/>
    <w:uiPriority w:val="1"/>
    <w:rPr>
      <w:rFonts w:hint="eastAsia"/>
      <w:sz w:val="24"/>
    </w:rPr>
  </w:style>
  <w:style w:type="paragraph" w:customStyle="1" w:styleId="104">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105">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6">
    <w:name w:val="fontstrikethrough"/>
    <w:basedOn w:val="29"/>
    <w:qFormat/>
    <w:uiPriority w:val="0"/>
    <w:rPr>
      <w:strike/>
    </w:rPr>
  </w:style>
  <w:style w:type="paragraph" w:customStyle="1" w:styleId="107">
    <w:name w:val="lemmawgt-lemmatitle-title"/>
    <w:basedOn w:val="1"/>
    <w:qFormat/>
    <w:uiPriority w:val="0"/>
    <w:pPr>
      <w:spacing w:before="0" w:beforeAutospacing="0" w:after="75" w:afterAutospacing="0" w:line="585" w:lineRule="atLeast"/>
      <w:ind w:left="0" w:right="0"/>
      <w:jc w:val="left"/>
    </w:pPr>
    <w:rPr>
      <w:kern w:val="0"/>
      <w:lang w:val="en-US" w:eastAsia="zh-CN" w:bidi="ar"/>
    </w:rPr>
  </w:style>
  <w:style w:type="character" w:customStyle="1" w:styleId="108">
    <w:name w:val="fontborder"/>
    <w:basedOn w:val="29"/>
    <w:qFormat/>
    <w:uiPriority w:val="0"/>
    <w:rPr>
      <w:bdr w:val="single" w:color="000000" w:sz="6" w:space="0"/>
    </w:rPr>
  </w:style>
  <w:style w:type="character" w:customStyle="1" w:styleId="109">
    <w:name w:val="lemmawgt-lemmatitle-title1"/>
    <w:basedOn w:val="2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0</TotalTime>
  <ScaleCrop>false</ScaleCrop>
  <LinksUpToDate>false</LinksUpToDate>
  <CharactersWithSpaces>29889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2018-07-03T23:53:00Z</dcterms:created>
  <dc:creator>风之客</dc:creator>
  <cp:lastModifiedBy>everything</cp:lastModifiedBy>
  <cp:lastPrinted>2020-10-31T01:53:00Z</cp:lastPrinted>
  <dcterms:modified xsi:type="dcterms:W3CDTF">2020-11-02T02:41:58Z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