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sz w:val="30"/>
          <w:szCs w:val="30"/>
        </w:rPr>
        <w:drawing>
          <wp:anchor distT="0" distB="0" distL="114300" distR="114300" simplePos="0" relativeHeight="251678720" behindDoc="0" locked="0" layoutInCell="1" allowOverlap="1">
            <wp:simplePos x="0" y="0"/>
            <wp:positionH relativeFrom="column">
              <wp:posOffset>11430</wp:posOffset>
            </wp:positionH>
            <wp:positionV relativeFrom="paragraph">
              <wp:posOffset>62865</wp:posOffset>
            </wp:positionV>
            <wp:extent cx="1222375" cy="784860"/>
            <wp:effectExtent l="0" t="0" r="12065" b="762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9"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br w:type="textWrapping"/>
      </w:r>
      <w:r>
        <w:rPr>
          <w:rFonts w:hint="eastAsia" w:asciiTheme="minorEastAsia" w:hAnsiTheme="minorEastAsia" w:eastAsiaTheme="minorEastAsia" w:cstheme="minorEastAsia"/>
          <w:color w:val="auto"/>
          <w:sz w:val="28"/>
        </w:rPr>
        <w:br w:type="textWrapping"/>
      </w:r>
    </w:p>
    <w:p>
      <w:pPr>
        <w:pStyle w:val="11"/>
        <w:kinsoku w:val="0"/>
        <w:overflowPunct w:val="0"/>
        <w:spacing w:before="194"/>
        <w:jc w:val="center"/>
        <w:rPr>
          <w:rFonts w:hint="eastAsia" w:asciiTheme="minorEastAsia" w:hAnsiTheme="minorEastAsia" w:eastAsiaTheme="minorEastAsia" w:cstheme="minorEastAsia"/>
          <w:color w:val="auto"/>
          <w:sz w:val="92"/>
        </w:rPr>
      </w:pP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竞争性</w:t>
      </w:r>
      <w:r>
        <w:rPr>
          <w:rFonts w:hint="eastAsia" w:asciiTheme="minorEastAsia" w:hAnsiTheme="minorEastAsia" w:eastAsiaTheme="minorEastAsia" w:cstheme="minorEastAsia"/>
          <w:color w:val="auto"/>
          <w:sz w:val="92"/>
          <w:lang w:val="en-US" w:eastAsia="zh-CN"/>
          <w14:shadow w14:blurRad="50800" w14:dist="38100" w14:dir="2700000" w14:sx="100000" w14:sy="100000" w14:kx="0" w14:ky="0" w14:algn="tl">
            <w14:srgbClr w14:val="000000">
              <w14:alpha w14:val="60000"/>
            </w14:srgbClr>
          </w14:shadow>
        </w:rPr>
        <w:t>磋商</w:t>
      </w: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采购文件</w:t>
      </w: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jc w:val="center"/>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spacing w:before="2" w:after="1"/>
        <w:rPr>
          <w:rFonts w:hint="eastAsia" w:asciiTheme="minorEastAsia" w:hAnsiTheme="minorEastAsia" w:eastAsiaTheme="minorEastAsia" w:cstheme="minorEastAsia"/>
          <w:color w:val="auto"/>
          <w:sz w:val="11"/>
        </w:rPr>
      </w:pPr>
    </w:p>
    <w:tbl>
      <w:tblPr>
        <w:tblStyle w:val="27"/>
        <w:tblW w:w="8146"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3"/>
        <w:gridCol w:w="6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103"/>
              <w:kinsoku w:val="0"/>
              <w:overflowPunct w:val="0"/>
              <w:spacing w:before="122"/>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编</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号：</w:t>
            </w:r>
          </w:p>
        </w:tc>
        <w:tc>
          <w:tcPr>
            <w:tcW w:w="6053" w:type="dxa"/>
            <w:tcBorders>
              <w:top w:val="nil"/>
              <w:left w:val="nil"/>
              <w:bottom w:val="nil"/>
              <w:right w:val="nil"/>
              <w:tl2br w:val="nil"/>
              <w:tr2bl w:val="nil"/>
            </w:tcBorders>
            <w:vAlign w:val="center"/>
          </w:tcPr>
          <w:p>
            <w:pPr>
              <w:pStyle w:val="103"/>
              <w:kinsoku w:val="0"/>
              <w:overflowPunct w:val="0"/>
              <w:spacing w:before="122"/>
              <w:ind w:left="55"/>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ZJZB-202010-296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103"/>
              <w:kinsoku w:val="0"/>
              <w:overflowPunct w:val="0"/>
              <w:spacing w:before="123"/>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名</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称：</w:t>
            </w:r>
          </w:p>
        </w:tc>
        <w:tc>
          <w:tcPr>
            <w:tcW w:w="6053" w:type="dxa"/>
            <w:tcBorders>
              <w:top w:val="nil"/>
              <w:left w:val="nil"/>
              <w:bottom w:val="nil"/>
              <w:right w:val="nil"/>
              <w:tl2br w:val="nil"/>
              <w:tr2bl w:val="nil"/>
            </w:tcBorders>
            <w:vAlign w:val="center"/>
          </w:tcPr>
          <w:p>
            <w:pPr>
              <w:pStyle w:val="103"/>
              <w:kinsoku w:val="0"/>
              <w:overflowPunct w:val="0"/>
              <w:spacing w:before="123" w:line="242" w:lineRule="auto"/>
              <w:ind w:left="55" w:right="136"/>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武汉工程大学一流本科课程建设服务项目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103"/>
              <w:kinsoku w:val="0"/>
              <w:overflowPunct w:val="0"/>
              <w:spacing w:before="122" w:line="299" w:lineRule="exact"/>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购</w:t>
            </w:r>
            <w:r>
              <w:rPr>
                <w:rFonts w:hint="eastAsia" w:asciiTheme="minorEastAsia" w:hAnsiTheme="minorEastAsia" w:eastAsiaTheme="minorEastAsia" w:cstheme="minorEastAsia"/>
                <w:b/>
                <w:color w:val="auto"/>
                <w:sz w:val="28"/>
                <w:lang w:val="en-US" w:eastAsia="zh-CN"/>
              </w:rPr>
              <w:t xml:space="preserve">  方 式</w:t>
            </w:r>
            <w:r>
              <w:rPr>
                <w:rFonts w:hint="eastAsia" w:asciiTheme="minorEastAsia" w:hAnsiTheme="minorEastAsia" w:eastAsiaTheme="minorEastAsia" w:cstheme="minorEastAsia"/>
                <w:b/>
                <w:color w:val="auto"/>
                <w:sz w:val="28"/>
              </w:rPr>
              <w:t>：</w:t>
            </w:r>
          </w:p>
        </w:tc>
        <w:tc>
          <w:tcPr>
            <w:tcW w:w="6053" w:type="dxa"/>
            <w:tcBorders>
              <w:top w:val="nil"/>
              <w:left w:val="nil"/>
              <w:bottom w:val="nil"/>
              <w:right w:val="nil"/>
              <w:tl2br w:val="nil"/>
              <w:tr2bl w:val="nil"/>
            </w:tcBorders>
            <w:vAlign w:val="center"/>
          </w:tcPr>
          <w:p>
            <w:pPr>
              <w:pStyle w:val="103"/>
              <w:kinsoku w:val="0"/>
              <w:overflowPunct w:val="0"/>
              <w:spacing w:before="122" w:line="299" w:lineRule="exact"/>
              <w:ind w:left="55"/>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103"/>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类 别：</w:t>
            </w:r>
          </w:p>
        </w:tc>
        <w:tc>
          <w:tcPr>
            <w:tcW w:w="6053" w:type="dxa"/>
            <w:tcBorders>
              <w:top w:val="nil"/>
              <w:left w:val="nil"/>
              <w:bottom w:val="nil"/>
              <w:right w:val="nil"/>
              <w:tl2br w:val="nil"/>
              <w:tr2bl w:val="nil"/>
            </w:tcBorders>
            <w:vAlign w:val="center"/>
          </w:tcPr>
          <w:p>
            <w:pPr>
              <w:pStyle w:val="103"/>
              <w:kinsoku w:val="0"/>
              <w:overflowPunct w:val="0"/>
              <w:spacing w:before="122" w:line="299" w:lineRule="exact"/>
              <w:ind w:left="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服务</w:t>
            </w:r>
          </w:p>
        </w:tc>
      </w:tr>
    </w:tbl>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spacing w:before="4"/>
        <w:rPr>
          <w:rFonts w:hint="eastAsia" w:asciiTheme="minorEastAsia" w:hAnsiTheme="minorEastAsia" w:eastAsiaTheme="minorEastAsia" w:cstheme="minorEastAsia"/>
          <w:color w:val="auto"/>
          <w:sz w:val="20"/>
        </w:rPr>
      </w:pPr>
    </w:p>
    <w:tbl>
      <w:tblPr>
        <w:tblStyle w:val="27"/>
        <w:tblW w:w="8123"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41"/>
        <w:gridCol w:w="6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041" w:type="dxa"/>
            <w:tcBorders>
              <w:top w:val="nil"/>
              <w:left w:val="nil"/>
              <w:bottom w:val="nil"/>
              <w:right w:val="nil"/>
              <w:tl2br w:val="nil"/>
              <w:tr2bl w:val="nil"/>
            </w:tcBorders>
            <w:vAlign w:val="center"/>
          </w:tcPr>
          <w:p>
            <w:pPr>
              <w:pStyle w:val="103"/>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人：</w:t>
            </w:r>
          </w:p>
        </w:tc>
        <w:tc>
          <w:tcPr>
            <w:tcW w:w="6082" w:type="dxa"/>
            <w:tcBorders>
              <w:top w:val="nil"/>
              <w:left w:val="nil"/>
              <w:bottom w:val="nil"/>
              <w:right w:val="nil"/>
              <w:tl2br w:val="nil"/>
              <w:tr2bl w:val="nil"/>
            </w:tcBorders>
            <w:vAlign w:val="center"/>
          </w:tcPr>
          <w:p>
            <w:pPr>
              <w:pStyle w:val="103"/>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武汉工程大学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2041" w:type="dxa"/>
            <w:tcBorders>
              <w:top w:val="nil"/>
              <w:left w:val="nil"/>
              <w:bottom w:val="nil"/>
              <w:right w:val="nil"/>
              <w:tl2br w:val="nil"/>
              <w:tr2bl w:val="nil"/>
            </w:tcBorders>
            <w:vAlign w:val="center"/>
          </w:tcPr>
          <w:p>
            <w:pPr>
              <w:pStyle w:val="103"/>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采购代理机构：</w:t>
            </w:r>
          </w:p>
        </w:tc>
        <w:tc>
          <w:tcPr>
            <w:tcW w:w="6082" w:type="dxa"/>
            <w:tcBorders>
              <w:top w:val="nil"/>
              <w:left w:val="nil"/>
              <w:bottom w:val="nil"/>
              <w:right w:val="nil"/>
              <w:tl2br w:val="nil"/>
              <w:tr2bl w:val="nil"/>
            </w:tcBorders>
            <w:vAlign w:val="center"/>
          </w:tcPr>
          <w:p>
            <w:pPr>
              <w:pStyle w:val="103"/>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中经国际招标集团有限公司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041" w:type="dxa"/>
            <w:tcBorders>
              <w:top w:val="nil"/>
              <w:left w:val="nil"/>
              <w:bottom w:val="nil"/>
              <w:right w:val="nil"/>
              <w:tl2br w:val="nil"/>
              <w:tr2bl w:val="nil"/>
            </w:tcBorders>
            <w:vAlign w:val="center"/>
          </w:tcPr>
          <w:p>
            <w:pPr>
              <w:pStyle w:val="103"/>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编 制 时 间 ：</w:t>
            </w:r>
          </w:p>
        </w:tc>
        <w:tc>
          <w:tcPr>
            <w:tcW w:w="6082" w:type="dxa"/>
            <w:tcBorders>
              <w:top w:val="nil"/>
              <w:left w:val="nil"/>
              <w:bottom w:val="nil"/>
              <w:right w:val="nil"/>
              <w:tl2br w:val="nil"/>
              <w:tr2bl w:val="nil"/>
            </w:tcBorders>
            <w:vAlign w:val="center"/>
          </w:tcPr>
          <w:p>
            <w:pPr>
              <w:pStyle w:val="103"/>
              <w:kinsoku w:val="0"/>
              <w:overflowPunct w:val="0"/>
              <w:spacing w:before="122" w:line="299" w:lineRule="exact"/>
              <w:ind w:right="53"/>
              <w:jc w:val="both"/>
              <w:rPr>
                <w:rFonts w:hint="default"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2020年10月</w:t>
            </w:r>
          </w:p>
        </w:tc>
      </w:tr>
    </w:tbl>
    <w:p>
      <w:pPr>
        <w:rPr>
          <w:rFonts w:hint="eastAsia" w:asciiTheme="minorEastAsia" w:hAnsiTheme="minorEastAsia" w:eastAsiaTheme="minorEastAsia" w:cstheme="minorEastAsia"/>
          <w:color w:val="auto"/>
          <w:sz w:val="20"/>
        </w:rPr>
        <w:sectPr>
          <w:type w:val="continuous"/>
          <w:pgSz w:w="11910" w:h="16840"/>
          <w:pgMar w:top="1400" w:right="1200" w:bottom="280" w:left="1200" w:header="720" w:footer="720" w:gutter="0"/>
          <w:lnNumType w:countBy="0" w:distance="360"/>
          <w:cols w:space="720" w:num="1"/>
        </w:sectPr>
      </w:pPr>
    </w:p>
    <w:p>
      <w:pPr>
        <w:jc w:val="center"/>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目  录</w:t>
      </w:r>
    </w:p>
    <w:p>
      <w:pPr>
        <w:jc w:val="center"/>
        <w:rPr>
          <w:rFonts w:hint="eastAsia" w:asciiTheme="minorEastAsia" w:hAnsiTheme="minorEastAsia" w:eastAsiaTheme="minorEastAsia" w:cstheme="minorEastAsia"/>
          <w:b/>
          <w:bCs/>
          <w:szCs w:val="21"/>
          <w:lang w:val="zh-CN"/>
        </w:rPr>
      </w:pPr>
    </w:p>
    <w:p>
      <w:pPr>
        <w:pStyle w:val="21"/>
        <w:tabs>
          <w:tab w:val="right" w:leader="dot" w:pos="9072"/>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TOC \o "1-3" \h \z \u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_Toc16364 </w:instrText>
      </w:r>
      <w:r>
        <w:rPr>
          <w:rFonts w:hint="eastAsia" w:asciiTheme="minorEastAsia" w:hAnsiTheme="minorEastAsia" w:eastAsiaTheme="minorEastAsia" w:cstheme="minorEastAsia"/>
        </w:rPr>
        <w:fldChar w:fldCharType="separate"/>
      </w:r>
      <w:r>
        <w:rPr>
          <w:rFonts w:hint="default"/>
          <w:bCs/>
          <w:szCs w:val="36"/>
        </w:rPr>
        <w:t xml:space="preserve">第一章 </w:t>
      </w:r>
      <w:r>
        <w:rPr>
          <w:rFonts w:hint="eastAsia" w:ascii="宋体" w:hAnsi="宋体" w:cs="宋体"/>
          <w:szCs w:val="36"/>
        </w:rPr>
        <w:t>竞争性磋商公告</w:t>
      </w:r>
      <w:r>
        <w:tab/>
      </w:r>
      <w:r>
        <w:fldChar w:fldCharType="begin"/>
      </w:r>
      <w:r>
        <w:instrText xml:space="preserve"> PAGEREF _Toc16364 </w:instrText>
      </w:r>
      <w:r>
        <w:fldChar w:fldCharType="separate"/>
      </w:r>
      <w:r>
        <w:t>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_Toc18048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一、 项目基本情况</w:t>
      </w:r>
      <w:r>
        <w:tab/>
      </w:r>
      <w:r>
        <w:fldChar w:fldCharType="begin"/>
      </w:r>
      <w:r>
        <w:instrText xml:space="preserve"> PAGEREF _Toc18048 </w:instrText>
      </w:r>
      <w:r>
        <w:fldChar w:fldCharType="separate"/>
      </w:r>
      <w:r>
        <w:t>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_Toc29871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二、 申请人的资格要求</w:t>
      </w:r>
      <w:r>
        <w:tab/>
      </w:r>
      <w:r>
        <w:fldChar w:fldCharType="begin"/>
      </w:r>
      <w:r>
        <w:instrText xml:space="preserve"> PAGEREF _Toc29871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_Toc24271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三、 获取</w:t>
      </w:r>
      <w:r>
        <w:rPr>
          <w:rFonts w:hint="eastAsia" w:ascii="宋体" w:hAnsi="宋体" w:eastAsia="宋体" w:cs="宋体"/>
          <w:szCs w:val="21"/>
          <w:lang w:eastAsia="zh-CN"/>
        </w:rPr>
        <w:t>采购</w:t>
      </w:r>
      <w:r>
        <w:rPr>
          <w:rFonts w:hint="eastAsia" w:ascii="宋体" w:hAnsi="宋体" w:eastAsia="宋体" w:cs="宋体"/>
          <w:szCs w:val="21"/>
        </w:rPr>
        <w:t>文件</w:t>
      </w:r>
      <w:r>
        <w:tab/>
      </w:r>
      <w:r>
        <w:fldChar w:fldCharType="begin"/>
      </w:r>
      <w:r>
        <w:instrText xml:space="preserve"> PAGEREF _Toc24271 </w:instrText>
      </w:r>
      <w:r>
        <w:fldChar w:fldCharType="separate"/>
      </w:r>
      <w:r>
        <w:t>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_Toc21272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 xml:space="preserve">四、 </w:t>
      </w:r>
      <w:r>
        <w:rPr>
          <w:rFonts w:hint="eastAsia" w:ascii="宋体" w:hAnsi="宋体" w:eastAsia="宋体" w:cs="宋体"/>
          <w:szCs w:val="21"/>
          <w:lang w:eastAsia="zh-CN"/>
        </w:rPr>
        <w:t>响应文件提交</w:t>
      </w:r>
      <w:r>
        <w:tab/>
      </w:r>
      <w:r>
        <w:fldChar w:fldCharType="begin"/>
      </w:r>
      <w:r>
        <w:instrText xml:space="preserve"> PAGEREF _Toc21272 </w:instrText>
      </w:r>
      <w:r>
        <w:fldChar w:fldCharType="separate"/>
      </w:r>
      <w:r>
        <w:t>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_Toc27695 </w:instrText>
      </w:r>
      <w:r>
        <w:rPr>
          <w:rFonts w:hint="eastAsia" w:asciiTheme="minorEastAsia" w:hAnsiTheme="minorEastAsia" w:eastAsiaTheme="minorEastAsia" w:cstheme="minorEastAsia"/>
        </w:rPr>
        <w:fldChar w:fldCharType="separate"/>
      </w:r>
      <w:r>
        <w:rPr>
          <w:rFonts w:hint="eastAsia" w:eastAsia="宋体"/>
          <w:szCs w:val="21"/>
          <w:lang w:eastAsia="zh-CN"/>
        </w:rPr>
        <w:t xml:space="preserve">五、 </w:t>
      </w:r>
      <w:r>
        <w:rPr>
          <w:rFonts w:hint="eastAsia" w:ascii="宋体" w:hAnsi="宋体" w:eastAsia="宋体" w:cs="宋体"/>
          <w:szCs w:val="21"/>
          <w:lang w:eastAsia="zh-CN"/>
        </w:rPr>
        <w:t>开启</w:t>
      </w:r>
      <w:r>
        <w:tab/>
      </w:r>
      <w:r>
        <w:fldChar w:fldCharType="begin"/>
      </w:r>
      <w:r>
        <w:instrText xml:space="preserve"> PAGEREF _Toc27695 </w:instrText>
      </w:r>
      <w:r>
        <w:fldChar w:fldCharType="separate"/>
      </w:r>
      <w:r>
        <w:t>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_Toc21834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六、 公告期限</w:t>
      </w:r>
      <w:r>
        <w:tab/>
      </w:r>
      <w:r>
        <w:fldChar w:fldCharType="begin"/>
      </w:r>
      <w:r>
        <w:instrText xml:space="preserve"> PAGEREF _Toc21834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_Toc31302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七、 其他补充事宜</w:t>
      </w:r>
      <w:r>
        <w:tab/>
      </w:r>
      <w:r>
        <w:fldChar w:fldCharType="begin"/>
      </w:r>
      <w:r>
        <w:instrText xml:space="preserve"> PAGEREF _Toc31302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_Toc12824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八、 凡对本次采购提出询问，请按以下方式联系</w:t>
      </w:r>
      <w:r>
        <w:tab/>
      </w:r>
      <w:r>
        <w:fldChar w:fldCharType="begin"/>
      </w:r>
      <w:r>
        <w:instrText xml:space="preserve"> PAGEREF _Toc12824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_Toc32576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九、 注意事项</w:t>
      </w:r>
      <w:r>
        <w:tab/>
      </w:r>
      <w:r>
        <w:fldChar w:fldCharType="begin"/>
      </w:r>
      <w:r>
        <w:instrText xml:space="preserve"> PAGEREF _Toc32576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1"/>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_Toc16155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第二章 </w:t>
      </w:r>
      <w:r>
        <w:rPr>
          <w:rFonts w:hint="eastAsia" w:asciiTheme="minorEastAsia" w:hAnsiTheme="minorEastAsia" w:eastAsiaTheme="minorEastAsia" w:cstheme="minorEastAsia"/>
          <w:szCs w:val="36"/>
        </w:rPr>
        <w:t>供应商须知</w:t>
      </w:r>
      <w:r>
        <w:tab/>
      </w:r>
      <w:r>
        <w:fldChar w:fldCharType="begin"/>
      </w:r>
      <w:r>
        <w:instrText xml:space="preserve"> PAGEREF _Toc16155 </w:instrText>
      </w:r>
      <w:r>
        <w:fldChar w:fldCharType="separate"/>
      </w:r>
      <w:r>
        <w:t>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_Toc14855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《供应商须知前附表》</w:t>
      </w:r>
      <w:r>
        <w:tab/>
      </w:r>
      <w:r>
        <w:fldChar w:fldCharType="begin"/>
      </w:r>
      <w:r>
        <w:instrText xml:space="preserve"> PAGEREF _Toc14855 </w:instrText>
      </w:r>
      <w:r>
        <w:fldChar w:fldCharType="separate"/>
      </w:r>
      <w:r>
        <w:t>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_Toc21328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供应商须知</w:t>
      </w:r>
      <w:r>
        <w:tab/>
      </w:r>
      <w:r>
        <w:fldChar w:fldCharType="begin"/>
      </w:r>
      <w:r>
        <w:instrText xml:space="preserve"> PAGEREF _Toc21328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_Toc13404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一、 </w:t>
      </w:r>
      <w:r>
        <w:rPr>
          <w:rFonts w:hint="eastAsia" w:asciiTheme="minorEastAsia" w:hAnsiTheme="minorEastAsia" w:eastAsiaTheme="minorEastAsia" w:cstheme="minorEastAsia"/>
          <w:szCs w:val="21"/>
        </w:rPr>
        <w:t>总则</w:t>
      </w:r>
      <w:r>
        <w:tab/>
      </w:r>
      <w:r>
        <w:fldChar w:fldCharType="begin"/>
      </w:r>
      <w:r>
        <w:instrText xml:space="preserve"> PAGEREF _Toc13404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_Toc24622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适用法律及范围</w:t>
      </w:r>
      <w:r>
        <w:tab/>
      </w:r>
      <w:r>
        <w:fldChar w:fldCharType="begin"/>
      </w:r>
      <w:r>
        <w:instrText xml:space="preserve"> PAGEREF _Toc24622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_Toc13704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定义</w:t>
      </w:r>
      <w:r>
        <w:tab/>
      </w:r>
      <w:r>
        <w:fldChar w:fldCharType="begin"/>
      </w:r>
      <w:r>
        <w:instrText xml:space="preserve"> PAGEREF _Toc13704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_Toc6652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3、 </w:t>
      </w:r>
      <w:r>
        <w:rPr>
          <w:rFonts w:hint="eastAsia" w:asciiTheme="minorEastAsia" w:hAnsiTheme="minorEastAsia" w:eastAsiaTheme="minorEastAsia" w:cstheme="minorEastAsia"/>
          <w:snapToGrid w:val="0"/>
          <w:kern w:val="0"/>
          <w:szCs w:val="21"/>
          <w:lang w:val="zh-CN"/>
        </w:rPr>
        <w:t>工程、货物及服务</w:t>
      </w:r>
      <w:r>
        <w:tab/>
      </w:r>
      <w:r>
        <w:fldChar w:fldCharType="begin"/>
      </w:r>
      <w:r>
        <w:instrText xml:space="preserve"> PAGEREF _Toc6652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_Toc12871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rPr>
        <w:t>费用</w:t>
      </w:r>
      <w:r>
        <w:tab/>
      </w:r>
      <w:r>
        <w:fldChar w:fldCharType="begin"/>
      </w:r>
      <w:r>
        <w:instrText xml:space="preserve"> PAGEREF _Toc12871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_Toc32483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二、 </w:t>
      </w:r>
      <w:r>
        <w:rPr>
          <w:rFonts w:hint="eastAsia" w:asciiTheme="minorEastAsia" w:hAnsiTheme="minorEastAsia" w:eastAsiaTheme="minorEastAsia" w:cstheme="minorEastAsia"/>
          <w:szCs w:val="21"/>
        </w:rPr>
        <w:t>竞争性磋商采购文件</w:t>
      </w:r>
      <w:r>
        <w:tab/>
      </w:r>
      <w:r>
        <w:fldChar w:fldCharType="begin"/>
      </w:r>
      <w:r>
        <w:instrText xml:space="preserve"> PAGEREF _Toc32483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_Toc25932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rPr>
        <w:t>竞争性磋商采购文件的构成</w:t>
      </w:r>
      <w:r>
        <w:tab/>
      </w:r>
      <w:r>
        <w:fldChar w:fldCharType="begin"/>
      </w:r>
      <w:r>
        <w:instrText xml:space="preserve"> PAGEREF _Toc25932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_Toc26439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6、 </w:t>
      </w:r>
      <w:r>
        <w:rPr>
          <w:rFonts w:hint="eastAsia" w:asciiTheme="minorEastAsia" w:hAnsiTheme="minorEastAsia" w:eastAsiaTheme="minorEastAsia" w:cstheme="minorEastAsia"/>
          <w:snapToGrid w:val="0"/>
          <w:kern w:val="0"/>
          <w:szCs w:val="21"/>
          <w:lang w:val="zh-CN"/>
        </w:rPr>
        <w:t>竞争性磋商采购文件的澄清</w:t>
      </w:r>
      <w:r>
        <w:tab/>
      </w:r>
      <w:r>
        <w:fldChar w:fldCharType="begin"/>
      </w:r>
      <w:r>
        <w:instrText xml:space="preserve"> PAGEREF _Toc26439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_Toc13283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7、 </w:t>
      </w:r>
      <w:r>
        <w:rPr>
          <w:rFonts w:hint="eastAsia" w:asciiTheme="minorEastAsia" w:hAnsiTheme="minorEastAsia" w:eastAsiaTheme="minorEastAsia" w:cstheme="minorEastAsia"/>
          <w:snapToGrid w:val="0"/>
          <w:kern w:val="0"/>
          <w:szCs w:val="21"/>
          <w:lang w:val="zh-CN"/>
        </w:rPr>
        <w:t>竞争性磋商采购文件的修改</w:t>
      </w:r>
      <w:r>
        <w:tab/>
      </w:r>
      <w:r>
        <w:fldChar w:fldCharType="begin"/>
      </w:r>
      <w:r>
        <w:instrText xml:space="preserve"> PAGEREF _Toc13283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_Toc16348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三、 </w:t>
      </w:r>
      <w:r>
        <w:rPr>
          <w:rFonts w:hint="eastAsia" w:asciiTheme="minorEastAsia" w:hAnsiTheme="minorEastAsia" w:eastAsiaTheme="minorEastAsia" w:cstheme="minorEastAsia"/>
          <w:szCs w:val="21"/>
        </w:rPr>
        <w:t>竞争性磋商响应文件</w:t>
      </w:r>
      <w:r>
        <w:tab/>
      </w:r>
      <w:r>
        <w:fldChar w:fldCharType="begin"/>
      </w:r>
      <w:r>
        <w:instrText xml:space="preserve"> PAGEREF _Toc16348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_Toc19000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8、 </w:t>
      </w:r>
      <w:r>
        <w:rPr>
          <w:rFonts w:hint="eastAsia" w:asciiTheme="minorEastAsia" w:hAnsiTheme="minorEastAsia" w:eastAsiaTheme="minorEastAsia" w:cstheme="minorEastAsia"/>
          <w:snapToGrid w:val="0"/>
          <w:kern w:val="0"/>
          <w:szCs w:val="21"/>
          <w:lang w:val="zh-CN"/>
        </w:rPr>
        <w:t>语言和计量单位</w:t>
      </w:r>
      <w:r>
        <w:tab/>
      </w:r>
      <w:r>
        <w:fldChar w:fldCharType="begin"/>
      </w:r>
      <w:r>
        <w:instrText xml:space="preserve"> PAGEREF _Toc19000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_Toc21819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9、 </w:t>
      </w:r>
      <w:r>
        <w:rPr>
          <w:rFonts w:hint="eastAsia" w:asciiTheme="minorEastAsia" w:hAnsiTheme="minorEastAsia" w:eastAsiaTheme="minorEastAsia" w:cstheme="minorEastAsia"/>
          <w:snapToGrid w:val="0"/>
          <w:kern w:val="0"/>
          <w:szCs w:val="21"/>
          <w:lang w:val="zh-CN"/>
        </w:rPr>
        <w:t>竞争性磋商响应文件的构成</w:t>
      </w:r>
      <w:r>
        <w:tab/>
      </w:r>
      <w:r>
        <w:fldChar w:fldCharType="begin"/>
      </w:r>
      <w:r>
        <w:instrText xml:space="preserve"> PAGEREF _Toc21819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_Toc22301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10、 </w:t>
      </w:r>
      <w:r>
        <w:rPr>
          <w:rFonts w:hint="eastAsia" w:asciiTheme="minorEastAsia" w:hAnsiTheme="minorEastAsia" w:eastAsiaTheme="minorEastAsia" w:cstheme="minorEastAsia"/>
          <w:snapToGrid w:val="0"/>
          <w:kern w:val="0"/>
          <w:szCs w:val="21"/>
          <w:lang w:val="zh-CN"/>
        </w:rPr>
        <w:t>竞争性磋商响应文件的编制</w:t>
      </w:r>
      <w:r>
        <w:tab/>
      </w:r>
      <w:r>
        <w:fldChar w:fldCharType="begin"/>
      </w:r>
      <w:r>
        <w:instrText xml:space="preserve"> PAGEREF _Toc22301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_Toc17700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11、 </w:t>
      </w:r>
      <w:r>
        <w:rPr>
          <w:rFonts w:hint="eastAsia" w:asciiTheme="minorEastAsia" w:hAnsiTheme="minorEastAsia" w:eastAsiaTheme="minorEastAsia" w:cstheme="minorEastAsia"/>
          <w:snapToGrid w:val="0"/>
          <w:kern w:val="0"/>
          <w:szCs w:val="21"/>
          <w:lang w:val="zh-CN"/>
        </w:rPr>
        <w:t>磋商报价</w:t>
      </w:r>
      <w:r>
        <w:tab/>
      </w:r>
      <w:r>
        <w:fldChar w:fldCharType="begin"/>
      </w:r>
      <w:r>
        <w:instrText xml:space="preserve"> PAGEREF _Toc17700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_Toc19133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12、 </w:t>
      </w:r>
      <w:r>
        <w:rPr>
          <w:rFonts w:hint="eastAsia" w:asciiTheme="minorEastAsia" w:hAnsiTheme="minorEastAsia" w:eastAsiaTheme="minorEastAsia" w:cstheme="minorEastAsia"/>
          <w:snapToGrid w:val="0"/>
          <w:kern w:val="0"/>
          <w:szCs w:val="21"/>
          <w:lang w:val="zh-CN"/>
        </w:rPr>
        <w:t>备选方案</w:t>
      </w:r>
      <w:r>
        <w:tab/>
      </w:r>
      <w:r>
        <w:fldChar w:fldCharType="begin"/>
      </w:r>
      <w:r>
        <w:instrText xml:space="preserve"> PAGEREF _Toc19133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_Toc2772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13、 </w:t>
      </w:r>
      <w:r>
        <w:rPr>
          <w:rFonts w:hint="eastAsia" w:asciiTheme="minorEastAsia" w:hAnsiTheme="minorEastAsia" w:eastAsiaTheme="minorEastAsia" w:cstheme="minorEastAsia"/>
          <w:snapToGrid w:val="0"/>
          <w:kern w:val="0"/>
          <w:szCs w:val="21"/>
          <w:lang w:val="zh-CN"/>
        </w:rPr>
        <w:t>联合体</w:t>
      </w:r>
      <w:r>
        <w:tab/>
      </w:r>
      <w:r>
        <w:fldChar w:fldCharType="begin"/>
      </w:r>
      <w:r>
        <w:instrText xml:space="preserve"> PAGEREF _Toc2772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_Toc22554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14、 </w:t>
      </w:r>
      <w:r>
        <w:rPr>
          <w:rFonts w:hint="eastAsia" w:asciiTheme="minorEastAsia" w:hAnsiTheme="minorEastAsia" w:eastAsiaTheme="minorEastAsia" w:cstheme="minorEastAsia"/>
          <w:snapToGrid w:val="0"/>
          <w:kern w:val="0"/>
          <w:szCs w:val="21"/>
          <w:lang w:val="zh-CN"/>
        </w:rPr>
        <w:t>供应商资格证明文件</w:t>
      </w:r>
      <w:r>
        <w:tab/>
      </w:r>
      <w:r>
        <w:fldChar w:fldCharType="begin"/>
      </w:r>
      <w:r>
        <w:instrText xml:space="preserve"> PAGEREF _Toc22554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_Toc1819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15、 </w:t>
      </w:r>
      <w:r>
        <w:rPr>
          <w:rFonts w:hint="eastAsia" w:asciiTheme="minorEastAsia" w:hAnsiTheme="minorEastAsia" w:eastAsiaTheme="minorEastAsia" w:cstheme="minorEastAsia"/>
          <w:snapToGrid w:val="0"/>
          <w:kern w:val="0"/>
          <w:szCs w:val="21"/>
          <w:lang w:val="zh-CN"/>
        </w:rPr>
        <w:t>证明报价内容、服务合格性和符合竞争性磋商采购文件规定的文件</w:t>
      </w:r>
      <w:r>
        <w:tab/>
      </w:r>
      <w:r>
        <w:fldChar w:fldCharType="begin"/>
      </w:r>
      <w:r>
        <w:instrText xml:space="preserve"> PAGEREF _Toc1819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_Toc14153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16、 </w:t>
      </w:r>
      <w:r>
        <w:rPr>
          <w:rFonts w:hint="eastAsia" w:asciiTheme="minorEastAsia" w:hAnsiTheme="minorEastAsia" w:eastAsiaTheme="minorEastAsia" w:cstheme="minorEastAsia"/>
          <w:snapToGrid w:val="0"/>
          <w:kern w:val="0"/>
          <w:szCs w:val="21"/>
          <w:lang w:val="zh-CN"/>
        </w:rPr>
        <w:t>磋商保证金</w:t>
      </w:r>
      <w:r>
        <w:tab/>
      </w:r>
      <w:r>
        <w:fldChar w:fldCharType="begin"/>
      </w:r>
      <w:r>
        <w:instrText xml:space="preserve"> PAGEREF _Toc14153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_Toc10777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17、 </w:t>
      </w:r>
      <w:r>
        <w:rPr>
          <w:rFonts w:hint="eastAsia" w:asciiTheme="minorEastAsia" w:hAnsiTheme="minorEastAsia" w:eastAsiaTheme="minorEastAsia" w:cstheme="minorEastAsia"/>
          <w:snapToGrid w:val="0"/>
          <w:kern w:val="0"/>
          <w:szCs w:val="21"/>
          <w:lang w:val="zh-CN"/>
        </w:rPr>
        <w:t>磋商有效期</w:t>
      </w:r>
      <w:r>
        <w:tab/>
      </w:r>
      <w:r>
        <w:fldChar w:fldCharType="begin"/>
      </w:r>
      <w:r>
        <w:instrText xml:space="preserve"> PAGEREF _Toc10777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_Toc22220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18、 </w:t>
      </w:r>
      <w:r>
        <w:rPr>
          <w:rFonts w:hint="eastAsia" w:asciiTheme="minorEastAsia" w:hAnsiTheme="minorEastAsia" w:eastAsiaTheme="minorEastAsia" w:cstheme="minorEastAsia"/>
          <w:snapToGrid w:val="0"/>
          <w:kern w:val="0"/>
          <w:szCs w:val="21"/>
          <w:lang w:val="zh-CN"/>
        </w:rPr>
        <w:t>竞争性磋商响应文件的装订、签署和数量</w:t>
      </w:r>
      <w:r>
        <w:tab/>
      </w:r>
      <w:r>
        <w:fldChar w:fldCharType="begin"/>
      </w:r>
      <w:r>
        <w:instrText xml:space="preserve"> PAGEREF _Toc22220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_Toc21439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四、 </w:t>
      </w:r>
      <w:r>
        <w:rPr>
          <w:rFonts w:hint="eastAsia" w:asciiTheme="minorEastAsia" w:hAnsiTheme="minorEastAsia" w:eastAsiaTheme="minorEastAsia" w:cstheme="minorEastAsia"/>
          <w:szCs w:val="21"/>
        </w:rPr>
        <w:t>竞争性磋商响应文件的递交</w:t>
      </w:r>
      <w:r>
        <w:tab/>
      </w:r>
      <w:r>
        <w:fldChar w:fldCharType="begin"/>
      </w:r>
      <w:r>
        <w:instrText xml:space="preserve"> PAGEREF _Toc21439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_Toc23671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19、 </w:t>
      </w:r>
      <w:r>
        <w:rPr>
          <w:rFonts w:hint="eastAsia" w:asciiTheme="minorEastAsia" w:hAnsiTheme="minorEastAsia" w:eastAsiaTheme="minorEastAsia" w:cstheme="minorEastAsia"/>
          <w:szCs w:val="21"/>
        </w:rPr>
        <w:t>竞争性磋商响应文件</w:t>
      </w:r>
      <w:r>
        <w:rPr>
          <w:rFonts w:hint="eastAsia" w:asciiTheme="minorEastAsia" w:hAnsiTheme="minorEastAsia" w:eastAsiaTheme="minorEastAsia" w:cstheme="minorEastAsia"/>
          <w:snapToGrid w:val="0"/>
          <w:kern w:val="0"/>
          <w:szCs w:val="21"/>
          <w:lang w:val="zh-CN"/>
        </w:rPr>
        <w:t>的密封和标记</w:t>
      </w:r>
      <w:r>
        <w:tab/>
      </w:r>
      <w:r>
        <w:fldChar w:fldCharType="begin"/>
      </w:r>
      <w:r>
        <w:instrText xml:space="preserve"> PAGEREF _Toc23671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_Toc27020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20、 </w:t>
      </w:r>
      <w:r>
        <w:rPr>
          <w:rFonts w:hint="eastAsia" w:asciiTheme="minorEastAsia" w:hAnsiTheme="minorEastAsia" w:eastAsiaTheme="minorEastAsia" w:cstheme="minorEastAsia"/>
          <w:snapToGrid w:val="0"/>
          <w:kern w:val="0"/>
          <w:szCs w:val="21"/>
          <w:lang w:val="zh-CN"/>
        </w:rPr>
        <w:t>竞争性磋商响应文件的送达地点及截止时间</w:t>
      </w:r>
      <w:r>
        <w:tab/>
      </w:r>
      <w:r>
        <w:fldChar w:fldCharType="begin"/>
      </w:r>
      <w:r>
        <w:instrText xml:space="preserve"> PAGEREF _Toc27020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_Toc6851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21、 </w:t>
      </w:r>
      <w:r>
        <w:rPr>
          <w:rFonts w:hint="eastAsia" w:asciiTheme="minorEastAsia" w:hAnsiTheme="minorEastAsia" w:eastAsiaTheme="minorEastAsia" w:cstheme="minorEastAsia"/>
          <w:snapToGrid w:val="0"/>
          <w:kern w:val="0"/>
          <w:szCs w:val="21"/>
          <w:lang w:val="zh-CN"/>
        </w:rPr>
        <w:t>迟交的竞争性磋商响应文件</w:t>
      </w:r>
      <w:r>
        <w:tab/>
      </w:r>
      <w:r>
        <w:fldChar w:fldCharType="begin"/>
      </w:r>
      <w:r>
        <w:instrText xml:space="preserve"> PAGEREF _Toc6851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_Toc21289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22、 </w:t>
      </w:r>
      <w:r>
        <w:rPr>
          <w:rFonts w:hint="eastAsia" w:asciiTheme="minorEastAsia" w:hAnsiTheme="minorEastAsia" w:eastAsiaTheme="minorEastAsia" w:cstheme="minorEastAsia"/>
          <w:snapToGrid w:val="0"/>
          <w:kern w:val="0"/>
          <w:szCs w:val="21"/>
          <w:lang w:val="zh-CN"/>
        </w:rPr>
        <w:t>竞争性磋商响应文件的补充、修改或者撤回</w:t>
      </w:r>
      <w:r>
        <w:tab/>
      </w:r>
      <w:r>
        <w:fldChar w:fldCharType="begin"/>
      </w:r>
      <w:r>
        <w:instrText xml:space="preserve"> PAGEREF _Toc21289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_Toc1411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五、 </w:t>
      </w:r>
      <w:r>
        <w:rPr>
          <w:rFonts w:hint="eastAsia" w:asciiTheme="minorEastAsia" w:hAnsiTheme="minorEastAsia" w:eastAsiaTheme="minorEastAsia" w:cstheme="minorEastAsia"/>
          <w:szCs w:val="21"/>
        </w:rPr>
        <w:t>磋商程序及步骤</w:t>
      </w:r>
      <w:r>
        <w:tab/>
      </w:r>
      <w:r>
        <w:fldChar w:fldCharType="begin"/>
      </w:r>
      <w:r>
        <w:instrText xml:space="preserve"> PAGEREF _Toc1411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_Toc23748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23、 </w:t>
      </w:r>
      <w:r>
        <w:rPr>
          <w:rFonts w:hint="eastAsia" w:asciiTheme="minorEastAsia" w:hAnsiTheme="minorEastAsia" w:eastAsiaTheme="minorEastAsia" w:cstheme="minorEastAsia"/>
        </w:rPr>
        <w:t>竞争性磋商小组</w:t>
      </w:r>
      <w:r>
        <w:tab/>
      </w:r>
      <w:r>
        <w:fldChar w:fldCharType="begin"/>
      </w:r>
      <w:r>
        <w:instrText xml:space="preserve"> PAGEREF _Toc23748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_Toc18758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24、 </w:t>
      </w:r>
      <w:r>
        <w:rPr>
          <w:rFonts w:hint="eastAsia" w:asciiTheme="minorEastAsia" w:hAnsiTheme="minorEastAsia" w:eastAsiaTheme="minorEastAsia" w:cstheme="minorEastAsia"/>
        </w:rPr>
        <w:t>磋商代表</w:t>
      </w:r>
      <w:r>
        <w:tab/>
      </w:r>
      <w:r>
        <w:fldChar w:fldCharType="begin"/>
      </w:r>
      <w:r>
        <w:instrText xml:space="preserve"> PAGEREF _Toc18758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_Toc13658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25、 </w:t>
      </w:r>
      <w:r>
        <w:rPr>
          <w:rFonts w:hint="eastAsia" w:asciiTheme="minorEastAsia" w:hAnsiTheme="minorEastAsia" w:eastAsiaTheme="minorEastAsia" w:cstheme="minorEastAsia"/>
        </w:rPr>
        <w:t>资格审查和符合性审查</w:t>
      </w:r>
      <w:r>
        <w:tab/>
      </w:r>
      <w:r>
        <w:fldChar w:fldCharType="begin"/>
      </w:r>
      <w:r>
        <w:instrText xml:space="preserve"> PAGEREF _Toc13658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_Toc768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26、 </w:t>
      </w:r>
      <w:r>
        <w:rPr>
          <w:rFonts w:hint="eastAsia" w:asciiTheme="minorEastAsia" w:hAnsiTheme="minorEastAsia" w:eastAsiaTheme="minorEastAsia" w:cstheme="minorEastAsia"/>
        </w:rPr>
        <w:t>磋商</w:t>
      </w:r>
      <w:r>
        <w:tab/>
      </w:r>
      <w:r>
        <w:fldChar w:fldCharType="begin"/>
      </w:r>
      <w:r>
        <w:instrText xml:space="preserve"> PAGEREF _Toc768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_Toc12377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27、 </w:t>
      </w:r>
      <w:r>
        <w:rPr>
          <w:rFonts w:hint="eastAsia" w:asciiTheme="minorEastAsia" w:hAnsiTheme="minorEastAsia" w:eastAsiaTheme="minorEastAsia" w:cstheme="minorEastAsia"/>
          <w:lang w:val="zh-CN"/>
        </w:rPr>
        <w:t>保密</w:t>
      </w:r>
      <w:r>
        <w:tab/>
      </w:r>
      <w:r>
        <w:fldChar w:fldCharType="begin"/>
      </w:r>
      <w:r>
        <w:instrText xml:space="preserve"> PAGEREF _Toc12377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_Toc16803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六、 </w:t>
      </w:r>
      <w:r>
        <w:rPr>
          <w:rFonts w:hint="eastAsia" w:asciiTheme="minorEastAsia" w:hAnsiTheme="minorEastAsia" w:eastAsiaTheme="minorEastAsia" w:cstheme="minorEastAsia"/>
          <w:szCs w:val="21"/>
        </w:rPr>
        <w:t>成交与签订合同</w:t>
      </w:r>
      <w:r>
        <w:tab/>
      </w:r>
      <w:r>
        <w:fldChar w:fldCharType="begin"/>
      </w:r>
      <w:r>
        <w:instrText xml:space="preserve"> PAGEREF _Toc16803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_Toc27960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28、 </w:t>
      </w:r>
      <w:r>
        <w:rPr>
          <w:rFonts w:hint="eastAsia" w:asciiTheme="minorEastAsia" w:hAnsiTheme="minorEastAsia" w:eastAsiaTheme="minorEastAsia" w:cstheme="minorEastAsia"/>
          <w:lang w:val="zh-CN"/>
        </w:rPr>
        <w:t>合同授予标准</w:t>
      </w:r>
      <w:r>
        <w:tab/>
      </w:r>
      <w:r>
        <w:fldChar w:fldCharType="begin"/>
      </w:r>
      <w:r>
        <w:instrText xml:space="preserve"> PAGEREF _Toc27960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_Toc2509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29、 </w:t>
      </w:r>
      <w:r>
        <w:rPr>
          <w:rFonts w:hint="eastAsia" w:asciiTheme="minorEastAsia" w:hAnsiTheme="minorEastAsia" w:eastAsiaTheme="minorEastAsia" w:cstheme="minorEastAsia"/>
          <w:lang w:val="zh-CN"/>
        </w:rPr>
        <w:t>签订合同</w:t>
      </w:r>
      <w:r>
        <w:tab/>
      </w:r>
      <w:r>
        <w:fldChar w:fldCharType="begin"/>
      </w:r>
      <w:r>
        <w:instrText xml:space="preserve"> PAGEREF _Toc2509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_Toc23808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31、 </w:t>
      </w:r>
      <w:r>
        <w:rPr>
          <w:rFonts w:hint="eastAsia" w:asciiTheme="minorEastAsia" w:hAnsiTheme="minorEastAsia" w:eastAsiaTheme="minorEastAsia" w:cstheme="minorEastAsia"/>
          <w:lang w:val="zh-CN"/>
        </w:rPr>
        <w:t>质疑回复</w:t>
      </w:r>
      <w:r>
        <w:tab/>
      </w:r>
      <w:r>
        <w:fldChar w:fldCharType="begin"/>
      </w:r>
      <w:r>
        <w:instrText xml:space="preserve"> PAGEREF _Toc23808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_Toc5059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32、 </w:t>
      </w:r>
      <w:r>
        <w:rPr>
          <w:rFonts w:hint="eastAsia" w:asciiTheme="minorEastAsia" w:hAnsiTheme="minorEastAsia" w:eastAsiaTheme="minorEastAsia" w:cstheme="minorEastAsia"/>
          <w:lang w:val="zh-CN"/>
        </w:rPr>
        <w:t>投诉</w:t>
      </w:r>
      <w:r>
        <w:tab/>
      </w:r>
      <w:r>
        <w:fldChar w:fldCharType="begin"/>
      </w:r>
      <w:r>
        <w:instrText xml:space="preserve"> PAGEREF _Toc5059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_Toc7380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八、 </w:t>
      </w:r>
      <w:r>
        <w:rPr>
          <w:rFonts w:hint="eastAsia" w:asciiTheme="minorEastAsia" w:hAnsiTheme="minorEastAsia" w:eastAsiaTheme="minorEastAsia" w:cstheme="minorEastAsia"/>
          <w:szCs w:val="21"/>
          <w:lang w:val="zh-CN"/>
        </w:rPr>
        <w:t>政策</w:t>
      </w:r>
      <w:r>
        <w:tab/>
      </w:r>
      <w:r>
        <w:fldChar w:fldCharType="begin"/>
      </w:r>
      <w:r>
        <w:instrText xml:space="preserve"> PAGEREF _Toc7380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_Toc32325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en-US" w:eastAsia="zh-CN"/>
        </w:rPr>
        <w:t xml:space="preserve">33、 </w:t>
      </w:r>
      <w:r>
        <w:rPr>
          <w:rFonts w:hint="eastAsia" w:asciiTheme="minorEastAsia" w:hAnsiTheme="minorEastAsia" w:eastAsiaTheme="minorEastAsia" w:cstheme="minorEastAsia"/>
          <w:lang w:val="en-US" w:eastAsia="zh-CN"/>
        </w:rPr>
        <w:t>政府采购政策</w:t>
      </w:r>
      <w:r>
        <w:tab/>
      </w:r>
      <w:r>
        <w:fldChar w:fldCharType="begin"/>
      </w:r>
      <w:r>
        <w:instrText xml:space="preserve"> PAGEREF _Toc32325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_Toc5623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九、 </w:t>
      </w:r>
      <w:r>
        <w:rPr>
          <w:rFonts w:hint="eastAsia" w:asciiTheme="minorEastAsia" w:hAnsiTheme="minorEastAsia" w:eastAsiaTheme="minorEastAsia" w:cstheme="minorEastAsia"/>
          <w:szCs w:val="21"/>
          <w:lang w:val="zh-CN"/>
        </w:rPr>
        <w:t>其他要求</w:t>
      </w:r>
      <w:r>
        <w:tab/>
      </w:r>
      <w:r>
        <w:fldChar w:fldCharType="begin"/>
      </w:r>
      <w:r>
        <w:instrText xml:space="preserve"> PAGEREF _Toc5623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_Toc17665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十、 </w:t>
      </w:r>
      <w:r>
        <w:rPr>
          <w:rFonts w:hint="eastAsia" w:asciiTheme="minorEastAsia" w:hAnsiTheme="minorEastAsia" w:eastAsiaTheme="minorEastAsia" w:cstheme="minorEastAsia"/>
          <w:szCs w:val="21"/>
          <w:lang w:val="zh-CN"/>
        </w:rPr>
        <w:t>适用法律</w:t>
      </w:r>
      <w:r>
        <w:tab/>
      </w:r>
      <w:r>
        <w:fldChar w:fldCharType="begin"/>
      </w:r>
      <w:r>
        <w:instrText xml:space="preserve"> PAGEREF _Toc17665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1"/>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_Toc5870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bCs/>
          <w:szCs w:val="36"/>
        </w:rPr>
        <w:t>采购需求</w:t>
      </w:r>
      <w:r>
        <w:tab/>
      </w:r>
      <w:r>
        <w:fldChar w:fldCharType="begin"/>
      </w:r>
      <w:r>
        <w:instrText xml:space="preserve"> PAGEREF _Toc5870 </w:instrText>
      </w:r>
      <w:r>
        <w:fldChar w:fldCharType="separate"/>
      </w:r>
      <w:r>
        <w:t>26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_Toc32694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lang w:val="en-US" w:eastAsia="zh-CN"/>
        </w:rPr>
        <w:t>一、技术需求</w:t>
      </w:r>
      <w:r>
        <w:tab/>
      </w:r>
      <w:r>
        <w:fldChar w:fldCharType="begin"/>
      </w:r>
      <w:r>
        <w:instrText xml:space="preserve"> PAGEREF _Toc32694 </w:instrText>
      </w:r>
      <w:r>
        <w:fldChar w:fldCharType="separate"/>
      </w:r>
      <w:r>
        <w:t>26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_Toc30372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lang w:val="en-US" w:eastAsia="zh-CN"/>
        </w:rPr>
        <w:t>二、商务需求</w:t>
      </w:r>
      <w:r>
        <w:tab/>
      </w:r>
      <w:r>
        <w:fldChar w:fldCharType="begin"/>
      </w:r>
      <w:r>
        <w:instrText xml:space="preserve"> PAGEREF _Toc30372 </w:instrText>
      </w:r>
      <w:r>
        <w:fldChar w:fldCharType="separate"/>
      </w:r>
      <w:r>
        <w:t>33</w:t>
      </w:r>
      <w:r>
        <w:fldChar w:fldCharType="end"/>
      </w:r>
      <w:r>
        <w:rPr>
          <w:rFonts w:hint="eastAsia" w:asciiTheme="minorEastAsia" w:hAnsiTheme="minorEastAsia" w:eastAsiaTheme="minorEastAsia" w:cstheme="minorEastAsia"/>
        </w:rPr>
        <w:fldChar w:fldCharType="end"/>
      </w:r>
    </w:p>
    <w:p>
      <w:pPr>
        <w:pStyle w:val="21"/>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_Toc22332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lang w:val="en-US" w:eastAsia="zh-CN"/>
        </w:rPr>
        <w:t>竞争性磋商采购</w:t>
      </w:r>
      <w:r>
        <w:rPr>
          <w:rFonts w:hint="eastAsia" w:asciiTheme="minorEastAsia" w:hAnsiTheme="minorEastAsia" w:eastAsiaTheme="minorEastAsia" w:cstheme="minorEastAsia"/>
          <w:szCs w:val="36"/>
        </w:rPr>
        <w:t>评定办法</w:t>
      </w:r>
      <w:r>
        <w:tab/>
      </w:r>
      <w:r>
        <w:fldChar w:fldCharType="begin"/>
      </w:r>
      <w:r>
        <w:instrText xml:space="preserve"> PAGEREF _Toc22332 </w:instrText>
      </w:r>
      <w:r>
        <w:fldChar w:fldCharType="separate"/>
      </w:r>
      <w:r>
        <w:t>35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_Toc6587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评定办法前附表</w:t>
      </w:r>
      <w:r>
        <w:tab/>
      </w:r>
      <w:r>
        <w:fldChar w:fldCharType="begin"/>
      </w:r>
      <w:r>
        <w:instrText xml:space="preserve"> PAGEREF _Toc6587 </w:instrText>
      </w:r>
      <w:r>
        <w:fldChar w:fldCharType="separate"/>
      </w:r>
      <w:r>
        <w:t>35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_Toc18452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计算办法</w:t>
      </w:r>
      <w:r>
        <w:tab/>
      </w:r>
      <w:r>
        <w:fldChar w:fldCharType="begin"/>
      </w:r>
      <w:r>
        <w:instrText xml:space="preserve"> PAGEREF _Toc18452 </w:instrText>
      </w:r>
      <w:r>
        <w:fldChar w:fldCharType="separate"/>
      </w:r>
      <w:r>
        <w:t>37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_Toc13177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评分细则</w:t>
      </w:r>
      <w:r>
        <w:tab/>
      </w:r>
      <w:r>
        <w:fldChar w:fldCharType="begin"/>
      </w:r>
      <w:r>
        <w:instrText xml:space="preserve"> PAGEREF _Toc13177 </w:instrText>
      </w:r>
      <w:r>
        <w:fldChar w:fldCharType="separate"/>
      </w:r>
      <w:r>
        <w:t>38</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_Toc17963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评定办法</w:t>
      </w:r>
      <w:r>
        <w:tab/>
      </w:r>
      <w:r>
        <w:fldChar w:fldCharType="begin"/>
      </w:r>
      <w:r>
        <w:instrText xml:space="preserve"> PAGEREF _Toc17963 </w:instrText>
      </w:r>
      <w:r>
        <w:fldChar w:fldCharType="separate"/>
      </w:r>
      <w:r>
        <w:t>41</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_Toc9958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五、磋商及评审步骤</w:t>
      </w:r>
      <w:r>
        <w:tab/>
      </w:r>
      <w:r>
        <w:fldChar w:fldCharType="begin"/>
      </w:r>
      <w:r>
        <w:instrText xml:space="preserve"> PAGEREF _Toc9958 </w:instrText>
      </w:r>
      <w:r>
        <w:fldChar w:fldCharType="separate"/>
      </w:r>
      <w:r>
        <w:t>42</w:t>
      </w:r>
      <w:r>
        <w:fldChar w:fldCharType="end"/>
      </w:r>
      <w:r>
        <w:rPr>
          <w:rFonts w:hint="eastAsia" w:asciiTheme="minorEastAsia" w:hAnsiTheme="minorEastAsia" w:eastAsiaTheme="minorEastAsia" w:cstheme="minorEastAsia"/>
        </w:rPr>
        <w:fldChar w:fldCharType="end"/>
      </w:r>
    </w:p>
    <w:p>
      <w:pPr>
        <w:pStyle w:val="21"/>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_Toc13295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kern w:val="0"/>
          <w:szCs w:val="36"/>
        </w:rPr>
        <w:t xml:space="preserve">第五章 </w:t>
      </w:r>
      <w:r>
        <w:rPr>
          <w:rFonts w:hint="eastAsia" w:asciiTheme="minorEastAsia" w:hAnsiTheme="minorEastAsia" w:eastAsiaTheme="minorEastAsia" w:cstheme="minorEastAsia"/>
          <w:szCs w:val="36"/>
        </w:rPr>
        <w:t>合同书</w:t>
      </w:r>
      <w:r>
        <w:rPr>
          <w:rFonts w:hint="eastAsia" w:asciiTheme="minorEastAsia" w:hAnsiTheme="minorEastAsia" w:eastAsiaTheme="minorEastAsia" w:cstheme="minorEastAsia"/>
          <w:szCs w:val="36"/>
          <w:lang w:val="en-US" w:eastAsia="zh-CN"/>
        </w:rPr>
        <w:t>格式</w:t>
      </w:r>
      <w:r>
        <w:tab/>
      </w:r>
      <w:r>
        <w:fldChar w:fldCharType="begin"/>
      </w:r>
      <w:r>
        <w:instrText xml:space="preserve"> PAGEREF _Toc13295 </w:instrText>
      </w:r>
      <w:r>
        <w:fldChar w:fldCharType="separate"/>
      </w:r>
      <w:r>
        <w:t>45</w:t>
      </w:r>
      <w:r>
        <w:fldChar w:fldCharType="end"/>
      </w:r>
      <w:r>
        <w:rPr>
          <w:rFonts w:hint="eastAsia" w:asciiTheme="minorEastAsia" w:hAnsiTheme="minorEastAsia" w:eastAsiaTheme="minorEastAsia" w:cstheme="minorEastAsia"/>
        </w:rPr>
        <w:fldChar w:fldCharType="end"/>
      </w:r>
    </w:p>
    <w:p>
      <w:pPr>
        <w:pStyle w:val="21"/>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_Toc21018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第六章 </w:t>
      </w:r>
      <w:r>
        <w:rPr>
          <w:rFonts w:hint="eastAsia" w:asciiTheme="minorEastAsia" w:hAnsiTheme="minorEastAsia" w:eastAsiaTheme="minorEastAsia" w:cstheme="minorEastAsia"/>
          <w:szCs w:val="36"/>
        </w:rPr>
        <w:t>竞争性磋商响应文件格式</w:t>
      </w:r>
      <w:r>
        <w:tab/>
      </w:r>
      <w:r>
        <w:fldChar w:fldCharType="begin"/>
      </w:r>
      <w:r>
        <w:instrText xml:space="preserve"> PAGEREF _Toc21018 </w:instrText>
      </w:r>
      <w:r>
        <w:fldChar w:fldCharType="separate"/>
      </w:r>
      <w:r>
        <w:t>45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_Toc28401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一</w:t>
      </w:r>
      <w:r>
        <w:rPr>
          <w:rFonts w:hint="eastAsia" w:ascii="宋体" w:hAnsi="宋体" w:eastAsia="宋体" w:cs="宋体"/>
          <w:szCs w:val="21"/>
          <w:lang w:eastAsia="zh-CN"/>
        </w:rPr>
        <w:t>、</w:t>
      </w:r>
      <w:r>
        <w:rPr>
          <w:rFonts w:hint="eastAsia" w:ascii="宋体" w:hAnsi="宋体" w:eastAsia="宋体" w:cs="宋体"/>
          <w:szCs w:val="21"/>
        </w:rPr>
        <w:t>评分标准索引表</w:t>
      </w:r>
      <w:r>
        <w:tab/>
      </w:r>
      <w:r>
        <w:fldChar w:fldCharType="begin"/>
      </w:r>
      <w:r>
        <w:instrText xml:space="preserve"> PAGEREF _Toc28401 </w:instrText>
      </w:r>
      <w:r>
        <w:fldChar w:fldCharType="separate"/>
      </w:r>
      <w:r>
        <w:t>51</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_Toc1699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、磋商书</w:t>
      </w:r>
      <w:r>
        <w:tab/>
      </w:r>
      <w:r>
        <w:fldChar w:fldCharType="begin"/>
      </w:r>
      <w:r>
        <w:instrText xml:space="preserve"> PAGEREF _Toc1699 </w:instrText>
      </w:r>
      <w:r>
        <w:fldChar w:fldCharType="separate"/>
      </w:r>
      <w:r>
        <w:t>52</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_Toc11458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t>、法定代表人授权书</w:t>
      </w:r>
      <w:r>
        <w:tab/>
      </w:r>
      <w:r>
        <w:fldChar w:fldCharType="begin"/>
      </w:r>
      <w:r>
        <w:instrText xml:space="preserve"> PAGEREF _Toc11458 </w:instrText>
      </w:r>
      <w:r>
        <w:fldChar w:fldCharType="separate"/>
      </w:r>
      <w:r>
        <w:t>53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_Toc5618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lang w:val="en-US" w:eastAsia="zh-CN"/>
        </w:rPr>
        <w:t>四</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法定代表人身份证明书</w:t>
      </w:r>
      <w:r>
        <w:tab/>
      </w:r>
      <w:r>
        <w:fldChar w:fldCharType="begin"/>
      </w:r>
      <w:r>
        <w:instrText xml:space="preserve"> PAGEREF _Toc5618 </w:instrText>
      </w:r>
      <w:r>
        <w:fldChar w:fldCharType="separate"/>
      </w:r>
      <w:r>
        <w:t>54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_Toc29996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五</w:t>
      </w:r>
      <w:r>
        <w:rPr>
          <w:rFonts w:hint="eastAsia" w:asciiTheme="minorEastAsia" w:hAnsiTheme="minorEastAsia" w:eastAsiaTheme="minorEastAsia" w:cstheme="minorEastAsia"/>
          <w:bCs/>
          <w:szCs w:val="21"/>
        </w:rPr>
        <w:t>、报价一览表</w:t>
      </w:r>
      <w:r>
        <w:tab/>
      </w:r>
      <w:r>
        <w:fldChar w:fldCharType="begin"/>
      </w:r>
      <w:r>
        <w:instrText xml:space="preserve"> PAGEREF _Toc29996 </w:instrText>
      </w:r>
      <w:r>
        <w:fldChar w:fldCharType="separate"/>
      </w:r>
      <w:r>
        <w:t>55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_Toc16079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六</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报价费用构成表</w:t>
      </w:r>
      <w:r>
        <w:tab/>
      </w:r>
      <w:r>
        <w:fldChar w:fldCharType="begin"/>
      </w:r>
      <w:r>
        <w:instrText xml:space="preserve"> PAGEREF _Toc16079 </w:instrText>
      </w:r>
      <w:r>
        <w:fldChar w:fldCharType="separate"/>
      </w:r>
      <w:r>
        <w:t>56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_Toc17635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七</w:t>
      </w:r>
      <w:r>
        <w:rPr>
          <w:rFonts w:hint="eastAsia" w:asciiTheme="minorEastAsia" w:hAnsiTheme="minorEastAsia" w:eastAsiaTheme="minorEastAsia" w:cstheme="minorEastAsia"/>
          <w:bCs/>
          <w:szCs w:val="21"/>
        </w:rPr>
        <w:t>、耗材清单（如有）</w:t>
      </w:r>
      <w:r>
        <w:tab/>
      </w:r>
      <w:r>
        <w:fldChar w:fldCharType="begin"/>
      </w:r>
      <w:r>
        <w:instrText xml:space="preserve"> PAGEREF _Toc17635 </w:instrText>
      </w:r>
      <w:r>
        <w:fldChar w:fldCharType="separate"/>
      </w:r>
      <w:r>
        <w:t>57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_Toc32484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八、拟投入设备/备件、工具情况（如有）</w:t>
      </w:r>
      <w:r>
        <w:tab/>
      </w:r>
      <w:r>
        <w:fldChar w:fldCharType="begin"/>
      </w:r>
      <w:r>
        <w:instrText xml:space="preserve"> PAGEREF _Toc32484 </w:instrText>
      </w:r>
      <w:r>
        <w:fldChar w:fldCharType="separate"/>
      </w:r>
      <w:r>
        <w:t>58</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_Toc19607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九</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缴纳</w:t>
      </w:r>
      <w:r>
        <w:rPr>
          <w:rFonts w:hint="eastAsia" w:asciiTheme="minorEastAsia" w:hAnsiTheme="minorEastAsia" w:eastAsiaTheme="minorEastAsia" w:cstheme="minorEastAsia"/>
          <w:bCs/>
          <w:szCs w:val="21"/>
        </w:rPr>
        <w:t>保证金的银行凭证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如有</w:t>
      </w:r>
      <w:r>
        <w:rPr>
          <w:rFonts w:hint="eastAsia" w:asciiTheme="minorEastAsia" w:hAnsiTheme="minorEastAsia" w:eastAsiaTheme="minorEastAsia" w:cstheme="minorEastAsia"/>
          <w:bCs/>
          <w:szCs w:val="21"/>
          <w:lang w:eastAsia="zh-CN"/>
        </w:rPr>
        <w:t>）</w:t>
      </w:r>
      <w:r>
        <w:tab/>
      </w:r>
      <w:r>
        <w:fldChar w:fldCharType="begin"/>
      </w:r>
      <w:r>
        <w:instrText xml:space="preserve"> PAGEREF _Toc19607 </w:instrText>
      </w:r>
      <w:r>
        <w:fldChar w:fldCharType="separate"/>
      </w:r>
      <w:r>
        <w:t>59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_Toc3848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十</w:t>
      </w:r>
      <w:r>
        <w:rPr>
          <w:rFonts w:hint="eastAsia" w:asciiTheme="minorEastAsia" w:hAnsiTheme="minorEastAsia" w:eastAsiaTheme="minorEastAsia" w:cstheme="minorEastAsia"/>
          <w:bCs/>
          <w:szCs w:val="21"/>
        </w:rPr>
        <w:t>、偏离说明表</w:t>
      </w:r>
      <w:r>
        <w:tab/>
      </w:r>
      <w:r>
        <w:fldChar w:fldCharType="begin"/>
      </w:r>
      <w:r>
        <w:instrText xml:space="preserve"> PAGEREF _Toc3848 </w:instrText>
      </w:r>
      <w:r>
        <w:fldChar w:fldCharType="separate"/>
      </w:r>
      <w:r>
        <w:t>60</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_Toc10508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十</w:t>
      </w:r>
      <w:r>
        <w:rPr>
          <w:rFonts w:hint="eastAsia" w:asciiTheme="minorEastAsia" w:hAnsiTheme="minorEastAsia" w:eastAsiaTheme="minorEastAsia" w:cstheme="minorEastAsia"/>
          <w:kern w:val="0"/>
          <w:szCs w:val="21"/>
          <w:lang w:eastAsia="zh-CN"/>
        </w:rPr>
        <w:t>一</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bCs/>
          <w:szCs w:val="21"/>
        </w:rPr>
        <w:t xml:space="preserve">类似业绩一览表 </w:t>
      </w:r>
      <w:r>
        <w:tab/>
      </w:r>
      <w:r>
        <w:fldChar w:fldCharType="begin"/>
      </w:r>
      <w:r>
        <w:instrText xml:space="preserve"> PAGEREF _Toc10508 </w:instrText>
      </w:r>
      <w:r>
        <w:fldChar w:fldCharType="separate"/>
      </w:r>
      <w:r>
        <w:t>61</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_Toc19241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rPr>
        <w:t>十</w:t>
      </w:r>
      <w:r>
        <w:rPr>
          <w:rFonts w:hint="eastAsia" w:asciiTheme="minorEastAsia" w:hAnsiTheme="minorEastAsia" w:eastAsiaTheme="minorEastAsia" w:cstheme="minorEastAsia"/>
          <w:bCs/>
          <w:szCs w:val="21"/>
          <w:lang w:val="en-US" w:eastAsia="zh-CN"/>
        </w:rPr>
        <w:t>二</w:t>
      </w:r>
      <w:r>
        <w:rPr>
          <w:rFonts w:hint="eastAsia" w:asciiTheme="minorEastAsia" w:hAnsiTheme="minorEastAsia" w:eastAsiaTheme="minorEastAsia" w:cstheme="minorEastAsia"/>
          <w:bCs/>
          <w:szCs w:val="21"/>
        </w:rPr>
        <w:t>、拟投入项目组人员一览表</w:t>
      </w:r>
      <w:r>
        <w:tab/>
      </w:r>
      <w:r>
        <w:fldChar w:fldCharType="begin"/>
      </w:r>
      <w:r>
        <w:instrText xml:space="preserve"> PAGEREF _Toc19241 </w:instrText>
      </w:r>
      <w:r>
        <w:fldChar w:fldCharType="separate"/>
      </w:r>
      <w:r>
        <w:t>62</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_Toc6084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三</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供应商的资格声明</w:t>
      </w:r>
      <w:r>
        <w:tab/>
      </w:r>
      <w:r>
        <w:fldChar w:fldCharType="begin"/>
      </w:r>
      <w:r>
        <w:instrText xml:space="preserve"> PAGEREF _Toc6084 </w:instrText>
      </w:r>
      <w:r>
        <w:fldChar w:fldCharType="separate"/>
      </w:r>
      <w:r>
        <w:t>63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_Toc20174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四</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资格证明文件</w:t>
      </w:r>
      <w:r>
        <w:tab/>
      </w:r>
      <w:r>
        <w:fldChar w:fldCharType="begin"/>
      </w:r>
      <w:r>
        <w:instrText xml:space="preserve"> PAGEREF _Toc20174 </w:instrText>
      </w:r>
      <w:r>
        <w:fldChar w:fldCharType="separate"/>
      </w:r>
      <w:r>
        <w:t>64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_Toc29200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十</w:t>
      </w: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、中小企业声明函</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_Toc29200 </w:instrText>
      </w:r>
      <w:r>
        <w:fldChar w:fldCharType="separate"/>
      </w:r>
      <w:r>
        <w:t>66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_Toc4700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十七、</w:t>
      </w:r>
      <w:r>
        <w:rPr>
          <w:rFonts w:hint="eastAsia" w:asciiTheme="minorEastAsia" w:hAnsiTheme="minorEastAsia" w:eastAsiaTheme="minorEastAsia" w:cstheme="minorEastAsia"/>
          <w:bCs/>
          <w:lang w:val="zh-CN"/>
        </w:rPr>
        <w:t>监狱企业证</w:t>
      </w:r>
      <w:r>
        <w:rPr>
          <w:rFonts w:hint="eastAsia" w:asciiTheme="minorEastAsia" w:hAnsiTheme="minorEastAsia" w:eastAsiaTheme="minorEastAsia" w:cstheme="minorEastAsia"/>
          <w:lang w:val="zh-CN"/>
        </w:rPr>
        <w:t>明文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_Toc4700 </w:instrText>
      </w:r>
      <w:r>
        <w:fldChar w:fldCharType="separate"/>
      </w:r>
      <w:r>
        <w:t>67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_Toc10672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十八</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残疾人福利性单位声明函（若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_Toc10672 </w:instrText>
      </w:r>
      <w:r>
        <w:fldChar w:fldCharType="separate"/>
      </w:r>
      <w:r>
        <w:t>68</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_Toc30654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十九、节能环保产品证明材料（若符合）</w:t>
      </w:r>
      <w:r>
        <w:tab/>
      </w:r>
      <w:r>
        <w:fldChar w:fldCharType="begin"/>
      </w:r>
      <w:r>
        <w:instrText xml:space="preserve"> PAGEREF _Toc30654 </w:instrText>
      </w:r>
      <w:r>
        <w:fldChar w:fldCharType="separate"/>
      </w:r>
      <w:r>
        <w:t>69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_Toc7013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二十</w:t>
      </w:r>
      <w:r>
        <w:rPr>
          <w:rFonts w:hint="eastAsia" w:asciiTheme="minorEastAsia" w:hAnsiTheme="minorEastAsia" w:eastAsiaTheme="minorEastAsia" w:cstheme="minorEastAsia"/>
          <w:bCs/>
          <w:spacing w:val="6"/>
          <w:szCs w:val="21"/>
        </w:rPr>
        <w:t>、</w:t>
      </w:r>
      <w:r>
        <w:rPr>
          <w:rFonts w:hint="eastAsia" w:asciiTheme="minorEastAsia" w:hAnsiTheme="minorEastAsia" w:eastAsiaTheme="minorEastAsia" w:cstheme="minorEastAsia"/>
        </w:rPr>
        <w:t>无重大违法记录声明</w:t>
      </w:r>
      <w:r>
        <w:tab/>
      </w:r>
      <w:r>
        <w:fldChar w:fldCharType="begin"/>
      </w:r>
      <w:r>
        <w:instrText xml:space="preserve"> PAGEREF _Toc7013 </w:instrText>
      </w:r>
      <w:r>
        <w:fldChar w:fldCharType="separate"/>
      </w:r>
      <w:r>
        <w:t>70</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_Toc26922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二十一、磋商供应商认为应该提交的其它文件（格式自拟）</w:t>
      </w:r>
      <w:r>
        <w:tab/>
      </w:r>
      <w:r>
        <w:fldChar w:fldCharType="begin"/>
      </w:r>
      <w:r>
        <w:instrText xml:space="preserve"> PAGEREF _Toc26922 </w:instrText>
      </w:r>
      <w:r>
        <w:fldChar w:fldCharType="separate"/>
      </w:r>
      <w:r>
        <w:t>70</w:t>
      </w:r>
      <w:r>
        <w:fldChar w:fldCharType="end"/>
      </w:r>
      <w:r>
        <w:rPr>
          <w:rFonts w:hint="eastAsia" w:asciiTheme="minorEastAsia" w:hAnsiTheme="minorEastAsia" w:eastAsiaTheme="minorEastAsia" w:cstheme="minorEastAsia"/>
        </w:rPr>
        <w:fldChar w:fldCharType="end"/>
      </w:r>
    </w:p>
    <w:p>
      <w:pPr>
        <w:jc w:val="left"/>
        <w:rPr>
          <w:rFonts w:hint="eastAsia" w:asciiTheme="minorEastAsia" w:hAnsiTheme="minorEastAsia" w:eastAsiaTheme="minorEastAsia" w:cstheme="minorEastAsia"/>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rPr>
        <w:fldChar w:fldCharType="end"/>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36"/>
          <w:szCs w:val="36"/>
        </w:rPr>
        <w:br w:type="page"/>
      </w:r>
    </w:p>
    <w:p>
      <w:pPr>
        <w:numPr>
          <w:ilvl w:val="0"/>
          <w:numId w:val="5"/>
        </w:numPr>
        <w:spacing w:line="360" w:lineRule="auto"/>
        <w:jc w:val="center"/>
        <w:outlineLvl w:val="0"/>
        <w:rPr>
          <w:rFonts w:hint="eastAsia"/>
          <w:b/>
          <w:bCs/>
          <w:sz w:val="24"/>
          <w:szCs w:val="24"/>
        </w:rPr>
      </w:pPr>
      <w:bookmarkStart w:id="0" w:name="_Toc6866"/>
      <w:bookmarkStart w:id="1" w:name="_Toc16364"/>
      <w:r>
        <w:rPr>
          <w:rFonts w:hint="eastAsia" w:ascii="宋体" w:hAnsi="宋体" w:cs="宋体"/>
          <w:b/>
          <w:sz w:val="36"/>
          <w:szCs w:val="36"/>
        </w:rPr>
        <w:t>竞争性磋商公告</w:t>
      </w:r>
      <w:bookmarkEnd w:id="0"/>
      <w:bookmarkEnd w:id="1"/>
      <w:bookmarkStart w:id="2" w:name="_Toc9976"/>
      <w:bookmarkEnd w:id="2"/>
      <w:bookmarkStart w:id="3" w:name="_Toc152042288"/>
      <w:bookmarkEnd w:id="3"/>
      <w:bookmarkStart w:id="4" w:name="_Toc144974480"/>
      <w:bookmarkEnd w:id="4"/>
      <w:bookmarkStart w:id="5" w:name="_Toc524908844"/>
      <w:bookmarkEnd w:id="5"/>
      <w:bookmarkStart w:id="6" w:name="_Toc179632528"/>
      <w:bookmarkEnd w:id="6"/>
      <w:bookmarkStart w:id="7" w:name="_Toc152045512"/>
      <w:bookmarkEnd w:id="7"/>
    </w:p>
    <w:p>
      <w:pPr>
        <w:pBdr>
          <w:top w:val="single" w:color="auto" w:sz="4" w:space="1"/>
          <w:left w:val="single" w:color="auto" w:sz="4" w:space="4"/>
          <w:bottom w:val="single" w:color="auto" w:sz="4" w:space="1"/>
          <w:right w:val="single" w:color="auto" w:sz="4" w:space="4"/>
        </w:pBdr>
        <w:spacing w:line="360" w:lineRule="auto"/>
        <w:jc w:val="left"/>
        <w:rPr>
          <w:rFonts w:hint="eastAsia" w:ascii="宋体" w:hAnsi="宋体" w:eastAsia="宋体" w:cs="宋体"/>
          <w:color w:val="000000"/>
          <w:sz w:val="21"/>
          <w:szCs w:val="21"/>
        </w:rPr>
      </w:pPr>
      <w:r>
        <w:rPr>
          <w:rFonts w:hint="eastAsia" w:ascii="宋体" w:hAnsi="宋体" w:eastAsia="宋体" w:cs="宋体"/>
          <w:b/>
          <w:bCs/>
          <w:color w:val="000000"/>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武汉工程大学一流本科课程建设服务项目</w:t>
      </w:r>
      <w:r>
        <w:rPr>
          <w:rFonts w:hint="eastAsia" w:ascii="宋体" w:hAnsi="宋体" w:eastAsia="宋体" w:cs="宋体"/>
          <w:color w:val="auto"/>
          <w:sz w:val="21"/>
          <w:szCs w:val="21"/>
          <w:u w:val="none"/>
          <w:lang w:val="en-US" w:eastAsia="zh-CN"/>
        </w:rPr>
        <w:t>的潜在供应商应在</w:t>
      </w:r>
      <w:r>
        <w:rPr>
          <w:rFonts w:hint="eastAsia" w:ascii="宋体" w:hAnsi="宋体" w:eastAsia="宋体" w:cs="宋体"/>
          <w:color w:val="000000"/>
          <w:sz w:val="21"/>
          <w:szCs w:val="21"/>
          <w:u w:val="single"/>
        </w:rPr>
        <w:t>中经国际招标集团有限公司</w:t>
      </w:r>
      <w:r>
        <w:rPr>
          <w:rFonts w:hint="eastAsia" w:ascii="宋体" w:hAnsi="宋体" w:eastAsia="宋体" w:cs="宋体"/>
          <w:color w:val="000000"/>
          <w:sz w:val="21"/>
          <w:szCs w:val="21"/>
          <w:u w:val="single"/>
          <w:lang w:eastAsia="zh-CN"/>
        </w:rPr>
        <w:t>（武昌区中北路岳家嘴立交山河企业大厦</w:t>
      </w:r>
      <w:r>
        <w:rPr>
          <w:rFonts w:hint="eastAsia" w:ascii="宋体" w:hAnsi="宋体" w:eastAsia="宋体" w:cs="宋体"/>
          <w:color w:val="000000"/>
          <w:sz w:val="21"/>
          <w:szCs w:val="21"/>
          <w:u w:val="single"/>
          <w:lang w:val="en-US" w:eastAsia="zh-CN"/>
        </w:rPr>
        <w:t>48楼</w:t>
      </w:r>
      <w:r>
        <w:rPr>
          <w:rFonts w:hint="eastAsia" w:ascii="宋体" w:hAnsi="宋体" w:eastAsia="宋体" w:cs="宋体"/>
          <w:color w:val="000000"/>
          <w:sz w:val="21"/>
          <w:szCs w:val="21"/>
          <w:u w:val="single"/>
          <w:lang w:eastAsia="zh-CN"/>
        </w:rPr>
        <w:t>480</w:t>
      </w:r>
      <w:r>
        <w:rPr>
          <w:rFonts w:hint="eastAsia" w:ascii="宋体" w:hAnsi="宋体" w:eastAsia="宋体" w:cs="宋体"/>
          <w:color w:val="auto"/>
          <w:sz w:val="21"/>
          <w:szCs w:val="21"/>
          <w:u w:val="single"/>
          <w:lang w:eastAsia="zh-CN"/>
        </w:rPr>
        <w:t>5室）</w:t>
      </w:r>
      <w:r>
        <w:rPr>
          <w:rFonts w:hint="eastAsia" w:ascii="宋体" w:hAnsi="宋体" w:eastAsia="宋体" w:cs="宋体"/>
          <w:color w:val="auto"/>
          <w:sz w:val="21"/>
          <w:szCs w:val="21"/>
        </w:rPr>
        <w:t>获取</w:t>
      </w:r>
      <w:r>
        <w:rPr>
          <w:rFonts w:hint="eastAsia" w:ascii="宋体" w:hAnsi="宋体" w:eastAsia="宋体" w:cs="宋体"/>
          <w:color w:val="auto"/>
          <w:sz w:val="21"/>
          <w:szCs w:val="21"/>
          <w:lang w:eastAsia="zh-CN"/>
        </w:rPr>
        <w:t>采购</w:t>
      </w:r>
      <w:r>
        <w:rPr>
          <w:rFonts w:hint="eastAsia" w:ascii="宋体" w:hAnsi="宋体" w:eastAsia="宋体" w:cs="宋体"/>
          <w:color w:val="000000"/>
          <w:sz w:val="21"/>
          <w:szCs w:val="21"/>
        </w:rPr>
        <w:t>文件，并</w:t>
      </w:r>
      <w:r>
        <w:rPr>
          <w:rFonts w:hint="eastAsia" w:ascii="宋体" w:hAnsi="宋体" w:eastAsia="宋体" w:cs="宋体"/>
          <w:color w:val="auto"/>
          <w:sz w:val="21"/>
          <w:szCs w:val="21"/>
        </w:rPr>
        <w:t>于</w:t>
      </w:r>
      <w:r>
        <w:rPr>
          <w:rFonts w:hint="eastAsia" w:ascii="宋体" w:hAnsi="宋体" w:eastAsia="宋体" w:cs="宋体"/>
          <w:color w:val="auto"/>
          <w:sz w:val="21"/>
          <w:szCs w:val="21"/>
          <w:u w:val="single"/>
          <w:lang w:val="en-US" w:eastAsia="zh-CN"/>
        </w:rPr>
        <w:t>2020</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11</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11</w:t>
      </w:r>
      <w:r>
        <w:rPr>
          <w:rFonts w:hint="eastAsia" w:ascii="宋体" w:hAnsi="宋体" w:eastAsia="宋体" w:cs="宋体"/>
          <w:color w:val="auto"/>
          <w:sz w:val="21"/>
          <w:szCs w:val="21"/>
          <w:u w:val="single"/>
        </w:rPr>
        <w:t>日</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rPr>
        <w:t>点</w:t>
      </w:r>
      <w:r>
        <w:rPr>
          <w:rFonts w:hint="eastAsia" w:ascii="宋体" w:hAnsi="宋体" w:cs="宋体"/>
          <w:color w:val="auto"/>
          <w:sz w:val="21"/>
          <w:szCs w:val="21"/>
          <w:u w:val="single"/>
          <w:lang w:val="en-US" w:eastAsia="zh-CN"/>
        </w:rPr>
        <w:t>00</w:t>
      </w:r>
      <w:r>
        <w:rPr>
          <w:rFonts w:hint="eastAsia" w:ascii="宋体" w:hAnsi="宋体" w:eastAsia="宋体" w:cs="宋体"/>
          <w:color w:val="auto"/>
          <w:sz w:val="21"/>
          <w:szCs w:val="21"/>
          <w:u w:val="single"/>
        </w:rPr>
        <w:t>分</w:t>
      </w:r>
      <w:r>
        <w:rPr>
          <w:rFonts w:hint="eastAsia" w:ascii="宋体" w:hAnsi="宋体" w:eastAsia="宋体" w:cs="宋体"/>
          <w:color w:val="000000"/>
          <w:sz w:val="21"/>
          <w:szCs w:val="21"/>
        </w:rPr>
        <w:t>（北京时间）前递交</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文件。</w:t>
      </w:r>
    </w:p>
    <w:p>
      <w:pPr>
        <w:pStyle w:val="4"/>
        <w:numPr>
          <w:ilvl w:val="0"/>
          <w:numId w:val="6"/>
        </w:numPr>
        <w:spacing w:line="360" w:lineRule="auto"/>
        <w:jc w:val="left"/>
        <w:rPr>
          <w:rFonts w:hint="eastAsia" w:ascii="宋体" w:hAnsi="宋体" w:eastAsia="宋体" w:cs="宋体"/>
          <w:color w:val="000000"/>
          <w:sz w:val="21"/>
          <w:szCs w:val="21"/>
        </w:rPr>
      </w:pPr>
      <w:bookmarkStart w:id="8" w:name="_Toc18048"/>
      <w:r>
        <w:rPr>
          <w:rFonts w:hint="eastAsia" w:ascii="宋体" w:hAnsi="宋体" w:eastAsia="宋体" w:cs="宋体"/>
          <w:color w:val="000000"/>
          <w:sz w:val="21"/>
          <w:szCs w:val="21"/>
        </w:rPr>
        <w:t>项目基本情况</w:t>
      </w:r>
      <w:bookmarkEnd w:id="8"/>
    </w:p>
    <w:p>
      <w:pPr>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1、项目编号：ZJZB-202010-296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、项目名称：武汉工程大学一流本科课程建设服务项目</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lang w:val="en-US" w:eastAsia="zh-CN"/>
        </w:rPr>
        <w:t>3、采购方式：竞争性磋商</w:t>
      </w:r>
    </w:p>
    <w:p>
      <w:pPr>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、预算</w:t>
      </w:r>
      <w:r>
        <w:rPr>
          <w:rFonts w:hint="eastAsia" w:asciiTheme="minorEastAsia" w:hAnsiTheme="minorEastAsia" w:eastAsiaTheme="minorEastAsia" w:cstheme="minorEastAsia"/>
          <w:color w:val="auto"/>
          <w:sz w:val="21"/>
          <w:szCs w:val="21"/>
          <w:lang w:eastAsia="zh-CN"/>
        </w:rPr>
        <w:t>金额</w:t>
      </w:r>
      <w:r>
        <w:rPr>
          <w:rFonts w:hint="eastAsia" w:asciiTheme="minorEastAsia" w:hAnsiTheme="minorEastAsia" w:eastAsiaTheme="minorEastAsia" w:cstheme="minorEastAsia"/>
          <w:color w:val="auto"/>
          <w:sz w:val="21"/>
          <w:szCs w:val="21"/>
        </w:rPr>
        <w:t>：人民币</w:t>
      </w:r>
      <w:r>
        <w:rPr>
          <w:rFonts w:hint="eastAsia" w:asciiTheme="minorEastAsia" w:hAnsiTheme="minorEastAsia" w:eastAsiaTheme="minorEastAsia" w:cstheme="minorEastAsia"/>
          <w:color w:val="auto"/>
          <w:sz w:val="21"/>
          <w:szCs w:val="21"/>
          <w:u w:val="single"/>
          <w:lang w:val="en-US" w:eastAsia="zh-CN"/>
        </w:rPr>
        <w:t xml:space="preserve"> 98 </w:t>
      </w:r>
      <w:r>
        <w:rPr>
          <w:rFonts w:hint="eastAsia" w:asciiTheme="minorEastAsia" w:hAnsiTheme="minorEastAsia" w:eastAsiaTheme="minorEastAsia" w:cstheme="minorEastAsia"/>
          <w:color w:val="auto"/>
          <w:sz w:val="21"/>
          <w:szCs w:val="21"/>
        </w:rPr>
        <w:t>万元</w:t>
      </w:r>
      <w:r>
        <w:rPr>
          <w:rFonts w:hint="eastAsia" w:asciiTheme="minorEastAsia" w:hAnsiTheme="minorEastAsia" w:eastAsiaTheme="minorEastAsia" w:cstheme="minorEastAsia"/>
          <w:color w:val="auto"/>
          <w:sz w:val="21"/>
          <w:szCs w:val="21"/>
          <w:lang w:val="en-US" w:eastAsia="zh-CN"/>
        </w:rPr>
        <w:t>/年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lang w:val="en-US" w:eastAsia="zh-CN"/>
        </w:rPr>
        <w:t>5、最高限价：</w:t>
      </w:r>
      <w:r>
        <w:rPr>
          <w:rFonts w:hint="eastAsia" w:asciiTheme="minorEastAsia" w:hAnsiTheme="minorEastAsia" w:eastAsiaTheme="minorEastAsia" w:cstheme="minorEastAsia"/>
          <w:color w:val="auto"/>
          <w:sz w:val="21"/>
          <w:szCs w:val="21"/>
        </w:rPr>
        <w:t>人民币</w:t>
      </w:r>
      <w:r>
        <w:rPr>
          <w:rFonts w:hint="eastAsia" w:asciiTheme="minorEastAsia" w:hAnsiTheme="minorEastAsia" w:eastAsiaTheme="minorEastAsia" w:cstheme="minorEastAsia"/>
          <w:color w:val="auto"/>
          <w:sz w:val="21"/>
          <w:szCs w:val="21"/>
          <w:u w:val="single"/>
          <w:lang w:val="en-US" w:eastAsia="zh-CN"/>
        </w:rPr>
        <w:t xml:space="preserve"> 98 </w:t>
      </w:r>
      <w:r>
        <w:rPr>
          <w:rFonts w:hint="eastAsia" w:asciiTheme="minorEastAsia" w:hAnsiTheme="minorEastAsia" w:eastAsiaTheme="minorEastAsia" w:cstheme="minorEastAsia"/>
          <w:color w:val="auto"/>
          <w:sz w:val="21"/>
          <w:szCs w:val="21"/>
        </w:rPr>
        <w:t>万元</w:t>
      </w:r>
      <w:r>
        <w:rPr>
          <w:rFonts w:hint="eastAsia" w:asciiTheme="minorEastAsia" w:hAnsiTheme="minorEastAsia" w:eastAsiaTheme="minorEastAsia" w:cstheme="minorEastAsia"/>
          <w:color w:val="auto"/>
          <w:sz w:val="21"/>
          <w:szCs w:val="21"/>
          <w:lang w:val="en-US" w:eastAsia="zh-CN"/>
        </w:rPr>
        <w:t>/年；</w:t>
      </w:r>
    </w:p>
    <w:p>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采购需求：</w:t>
      </w:r>
      <w:r>
        <w:rPr>
          <w:rFonts w:hint="eastAsia" w:asciiTheme="minorEastAsia" w:hAnsiTheme="minorEastAsia" w:eastAsiaTheme="minorEastAsia" w:cstheme="minorEastAsia"/>
          <w:color w:val="000000"/>
          <w:sz w:val="21"/>
          <w:szCs w:val="21"/>
          <w:u w:val="single"/>
          <w:lang w:val="en-US" w:eastAsia="zh-CN"/>
        </w:rPr>
        <w:t>根据教育部有关文件精神，为建设一批优质的在线开放课程、线上线下混合式课程，推动优质大规模在线开放课程共享、推进以学生为中心的教与学方式方法变革，结合学校课程教学与改革实际需求，武汉工程大学准备建设一批在线开放课程和线上线下混合式课程资源，以推进信息化与课堂教学的融合，加快推进武汉工程大学的教育教学改革。现拟采购一流本科课程拍摄与制作服务</w:t>
      </w:r>
      <w:r>
        <w:rPr>
          <w:rFonts w:hint="eastAsia" w:asciiTheme="minorEastAsia" w:hAnsiTheme="minorEastAsia" w:eastAsiaTheme="minorEastAsia" w:cstheme="minorEastAsia"/>
          <w:color w:val="auto"/>
          <w:sz w:val="21"/>
          <w:szCs w:val="21"/>
        </w:rPr>
        <w:t>(详</w:t>
      </w:r>
      <w:r>
        <w:rPr>
          <w:rFonts w:hint="eastAsia" w:asciiTheme="minorEastAsia" w:hAnsiTheme="minorEastAsia" w:eastAsiaTheme="minorEastAsia" w:cstheme="minorEastAsia"/>
          <w:color w:val="000000"/>
          <w:sz w:val="21"/>
          <w:szCs w:val="21"/>
        </w:rPr>
        <w:t>见采购文件第三章“项目采购需求”）</w:t>
      </w:r>
    </w:p>
    <w:tbl>
      <w:tblPr>
        <w:tblStyle w:val="27"/>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3"/>
        <w:gridCol w:w="4253"/>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17" w:type="dxa"/>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w:t>
            </w:r>
          </w:p>
        </w:tc>
        <w:tc>
          <w:tcPr>
            <w:tcW w:w="1413" w:type="dxa"/>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形式</w:t>
            </w:r>
          </w:p>
        </w:tc>
        <w:tc>
          <w:tcPr>
            <w:tcW w:w="4253" w:type="dxa"/>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制作形式描述</w:t>
            </w:r>
          </w:p>
        </w:tc>
        <w:tc>
          <w:tcPr>
            <w:tcW w:w="1556" w:type="dxa"/>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17"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武汉工程大学在线开放课程或线上线下混合式课程拍摄与制作建设服务项目</w:t>
            </w:r>
          </w:p>
        </w:tc>
        <w:tc>
          <w:tcPr>
            <w:tcW w:w="141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高清大屏</w:t>
            </w:r>
          </w:p>
        </w:tc>
        <w:tc>
          <w:tcPr>
            <w:tcW w:w="4253" w:type="dxa"/>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经过美化设计的PPT在高清交互式大屏幕放映，教师同步讲解，拍摄视频与剪辑包装。</w:t>
            </w:r>
          </w:p>
        </w:tc>
        <w:tc>
          <w:tcPr>
            <w:tcW w:w="155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190元/分钟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17" w:type="dxa"/>
            <w:vMerge w:val="continue"/>
            <w:vAlign w:val="center"/>
          </w:tcPr>
          <w:p>
            <w:pPr>
              <w:spacing w:line="360" w:lineRule="auto"/>
              <w:jc w:val="center"/>
              <w:rPr>
                <w:rFonts w:hint="eastAsia" w:ascii="宋体" w:hAnsi="宋体" w:eastAsia="宋体" w:cs="宋体"/>
                <w:sz w:val="21"/>
                <w:szCs w:val="21"/>
              </w:rPr>
            </w:pPr>
          </w:p>
        </w:tc>
        <w:tc>
          <w:tcPr>
            <w:tcW w:w="141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软件录屏</w:t>
            </w:r>
          </w:p>
        </w:tc>
        <w:tc>
          <w:tcPr>
            <w:tcW w:w="4253" w:type="dxa"/>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将教师书写讲解推导过程或操作软件过程与教师声象相结合。</w:t>
            </w:r>
          </w:p>
        </w:tc>
        <w:tc>
          <w:tcPr>
            <w:tcW w:w="155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190元/分钟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17" w:type="dxa"/>
            <w:vMerge w:val="continue"/>
            <w:vAlign w:val="center"/>
          </w:tcPr>
          <w:p>
            <w:pPr>
              <w:spacing w:line="360" w:lineRule="auto"/>
              <w:jc w:val="center"/>
              <w:rPr>
                <w:rFonts w:hint="eastAsia" w:ascii="宋体" w:hAnsi="宋体" w:eastAsia="宋体" w:cs="宋体"/>
                <w:sz w:val="21"/>
                <w:szCs w:val="21"/>
              </w:rPr>
            </w:pPr>
          </w:p>
        </w:tc>
        <w:tc>
          <w:tcPr>
            <w:tcW w:w="141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抠像PPT</w:t>
            </w:r>
          </w:p>
        </w:tc>
        <w:tc>
          <w:tcPr>
            <w:tcW w:w="4253" w:type="dxa"/>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将教师在绿幕前拍摄的视频，与经过设计（含内容、界面、动画等）的授课讲稿PPT相结合，经过剪辑包装的视频。</w:t>
            </w:r>
          </w:p>
        </w:tc>
        <w:tc>
          <w:tcPr>
            <w:tcW w:w="155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260元/分钟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17" w:type="dxa"/>
            <w:vMerge w:val="continue"/>
            <w:vAlign w:val="center"/>
          </w:tcPr>
          <w:p>
            <w:pPr>
              <w:spacing w:line="360" w:lineRule="auto"/>
              <w:jc w:val="center"/>
              <w:rPr>
                <w:rFonts w:hint="eastAsia" w:ascii="宋体" w:hAnsi="宋体" w:eastAsia="宋体" w:cs="宋体"/>
                <w:sz w:val="21"/>
                <w:szCs w:val="21"/>
              </w:rPr>
            </w:pPr>
          </w:p>
        </w:tc>
        <w:tc>
          <w:tcPr>
            <w:tcW w:w="141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抠像动画</w:t>
            </w:r>
          </w:p>
        </w:tc>
        <w:tc>
          <w:tcPr>
            <w:tcW w:w="4253" w:type="dxa"/>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经过策划，将教师在绿幕前拍摄的视频，与讲解要点内容的图文动画相结合，穿插部分文本动画。</w:t>
            </w:r>
          </w:p>
        </w:tc>
        <w:tc>
          <w:tcPr>
            <w:tcW w:w="155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300元/分钟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17" w:type="dxa"/>
            <w:vMerge w:val="continue"/>
            <w:vAlign w:val="center"/>
          </w:tcPr>
          <w:p>
            <w:pPr>
              <w:spacing w:line="360" w:lineRule="auto"/>
              <w:jc w:val="center"/>
              <w:rPr>
                <w:rFonts w:hint="eastAsia" w:ascii="宋体" w:hAnsi="宋体" w:eastAsia="宋体" w:cs="宋体"/>
                <w:sz w:val="21"/>
                <w:szCs w:val="21"/>
              </w:rPr>
            </w:pPr>
          </w:p>
        </w:tc>
        <w:tc>
          <w:tcPr>
            <w:tcW w:w="141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实拍动画</w:t>
            </w:r>
          </w:p>
        </w:tc>
        <w:tc>
          <w:tcPr>
            <w:tcW w:w="4253" w:type="dxa"/>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通过教师在图书馆、阅览室、资料厅、会议室、办公室等与内容契合的场景讲授的实景拍摄，配精美图文动画。</w:t>
            </w:r>
          </w:p>
        </w:tc>
        <w:tc>
          <w:tcPr>
            <w:tcW w:w="155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330元/分钟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17" w:type="dxa"/>
            <w:vMerge w:val="continue"/>
            <w:vAlign w:val="center"/>
          </w:tcPr>
          <w:p>
            <w:pPr>
              <w:spacing w:line="360" w:lineRule="auto"/>
              <w:jc w:val="center"/>
              <w:rPr>
                <w:rFonts w:hint="eastAsia" w:ascii="宋体" w:hAnsi="宋体" w:eastAsia="宋体" w:cs="宋体"/>
                <w:sz w:val="21"/>
                <w:szCs w:val="21"/>
              </w:rPr>
            </w:pPr>
          </w:p>
        </w:tc>
        <w:tc>
          <w:tcPr>
            <w:tcW w:w="141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实拍访谈</w:t>
            </w:r>
          </w:p>
        </w:tc>
        <w:tc>
          <w:tcPr>
            <w:tcW w:w="4253" w:type="dxa"/>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通过教师与教师、教师与助教、教师与学生的交流或答疑，讲解重点知识内容，或引发案例讨论等。</w:t>
            </w:r>
          </w:p>
        </w:tc>
        <w:tc>
          <w:tcPr>
            <w:tcW w:w="1556" w:type="dxa"/>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360元/分钟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17" w:type="dxa"/>
            <w:vMerge w:val="continue"/>
            <w:vAlign w:val="center"/>
          </w:tcPr>
          <w:p>
            <w:pPr>
              <w:spacing w:line="360" w:lineRule="auto"/>
              <w:jc w:val="center"/>
              <w:rPr>
                <w:rFonts w:hint="eastAsia" w:ascii="宋体" w:hAnsi="宋体" w:eastAsia="宋体" w:cs="宋体"/>
                <w:sz w:val="21"/>
                <w:szCs w:val="21"/>
              </w:rPr>
            </w:pPr>
          </w:p>
        </w:tc>
        <w:tc>
          <w:tcPr>
            <w:tcW w:w="141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纯动画类</w:t>
            </w:r>
          </w:p>
        </w:tc>
        <w:tc>
          <w:tcPr>
            <w:tcW w:w="4253" w:type="dxa"/>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手绘动画、MG动画、情景动画等。</w:t>
            </w:r>
          </w:p>
        </w:tc>
        <w:tc>
          <w:tcPr>
            <w:tcW w:w="1556" w:type="dxa"/>
            <w:vAlign w:val="center"/>
          </w:tcPr>
          <w:p>
            <w:pPr>
              <w:spacing w:line="360" w:lineRule="auto"/>
              <w:jc w:val="center"/>
              <w:rPr>
                <w:rFonts w:hint="eastAsia" w:ascii="宋体" w:hAnsi="宋体" w:eastAsia="宋体" w:cs="宋体"/>
                <w:sz w:val="21"/>
                <w:szCs w:val="21"/>
              </w:rPr>
            </w:pPr>
            <w:r>
              <w:rPr>
                <w:rFonts w:hint="default" w:ascii="宋体" w:hAnsi="宋体" w:cs="宋体"/>
                <w:sz w:val="21"/>
                <w:szCs w:val="21"/>
              </w:rPr>
              <w:t>4800</w:t>
            </w:r>
            <w:r>
              <w:rPr>
                <w:rFonts w:hint="eastAsia" w:ascii="宋体" w:hAnsi="宋体" w:eastAsia="宋体" w:cs="宋体"/>
                <w:sz w:val="21"/>
                <w:szCs w:val="21"/>
              </w:rPr>
              <w:t>元/</w:t>
            </w:r>
            <w:r>
              <w:t>分钟</w:t>
            </w:r>
          </w:p>
        </w:tc>
      </w:tr>
    </w:tbl>
    <w:p>
      <w:pPr>
        <w:outlineLvl w:val="9"/>
        <w:rPr>
          <w:rFonts w:hint="eastAsia"/>
        </w:rPr>
      </w:pPr>
    </w:p>
    <w:p>
      <w:pPr>
        <w:numPr>
          <w:ilvl w:val="0"/>
          <w:numId w:val="7"/>
        </w:numPr>
        <w:spacing w:line="360" w:lineRule="auto"/>
        <w:ind w:left="420" w:left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rPr>
        <w:t>类</w:t>
      </w:r>
      <w:r>
        <w:rPr>
          <w:rFonts w:hint="eastAsia" w:asciiTheme="minorEastAsia" w:hAnsiTheme="minorEastAsia" w:eastAsiaTheme="minorEastAsia" w:cstheme="minorEastAsia"/>
          <w:color w:val="auto"/>
          <w:sz w:val="21"/>
          <w:szCs w:val="21"/>
        </w:rPr>
        <w:t>别：</w:t>
      </w:r>
      <w:r>
        <w:rPr>
          <w:rFonts w:hint="eastAsia" w:asciiTheme="minorEastAsia" w:hAnsiTheme="minorEastAsia" w:eastAsiaTheme="minorEastAsia" w:cstheme="minorEastAsia"/>
          <w:b w:val="0"/>
          <w:bCs w:val="0"/>
          <w:color w:val="auto"/>
          <w:kern w:val="2"/>
          <w:sz w:val="21"/>
          <w:szCs w:val="21"/>
          <w:lang w:val="en-US" w:eastAsia="zh-CN" w:bidi="ar-SA"/>
        </w:rPr>
        <w:t>服务</w:t>
      </w:r>
    </w:p>
    <w:p>
      <w:pPr>
        <w:numPr>
          <w:ilvl w:val="0"/>
          <w:numId w:val="7"/>
        </w:numPr>
        <w:spacing w:line="360" w:lineRule="auto"/>
        <w:ind w:left="420" w:left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交货期：每次任务下达之后150天</w:t>
      </w:r>
    </w:p>
    <w:p>
      <w:pPr>
        <w:numPr>
          <w:ilvl w:val="0"/>
          <w:numId w:val="7"/>
        </w:numPr>
        <w:spacing w:line="360" w:lineRule="auto"/>
        <w:ind w:left="420" w:left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服务期</w:t>
      </w:r>
      <w:r>
        <w:rPr>
          <w:rFonts w:hint="eastAsia" w:asciiTheme="minorEastAsia" w:hAnsiTheme="minorEastAsia" w:eastAsiaTheme="minorEastAsia" w:cstheme="minorEastAsia"/>
          <w:color w:val="auto"/>
          <w:sz w:val="21"/>
          <w:szCs w:val="21"/>
        </w:rPr>
        <w:t>：合同签订后三年，若政策有调整，按照调整执行</w:t>
      </w:r>
    </w:p>
    <w:p>
      <w:pPr>
        <w:numPr>
          <w:ilvl w:val="0"/>
          <w:numId w:val="7"/>
        </w:numPr>
        <w:spacing w:line="360" w:lineRule="auto"/>
        <w:ind w:left="420" w:left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其他</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参加</w:t>
      </w:r>
      <w:r>
        <w:rPr>
          <w:rFonts w:hint="eastAsia" w:asciiTheme="minorEastAsia" w:hAnsiTheme="minorEastAsia" w:eastAsiaTheme="minorEastAsia" w:cstheme="minorEastAsia"/>
          <w:color w:val="auto"/>
          <w:sz w:val="21"/>
          <w:szCs w:val="21"/>
          <w:lang w:eastAsia="zh-CN"/>
        </w:rPr>
        <w:t>竞标</w:t>
      </w:r>
      <w:r>
        <w:rPr>
          <w:rFonts w:hint="eastAsia" w:asciiTheme="minorEastAsia" w:hAnsiTheme="minorEastAsia" w:eastAsiaTheme="minorEastAsia" w:cstheme="minorEastAsia"/>
          <w:color w:val="auto"/>
          <w:sz w:val="21"/>
          <w:szCs w:val="21"/>
        </w:rPr>
        <w:t>的报价超过该包采购最高限价的，该包</w:t>
      </w:r>
      <w:r>
        <w:rPr>
          <w:rFonts w:hint="eastAsia" w:asciiTheme="minorEastAsia" w:hAnsiTheme="minorEastAsia" w:eastAsiaTheme="minorEastAsia" w:cstheme="minorEastAsia"/>
          <w:color w:val="auto"/>
          <w:sz w:val="21"/>
          <w:szCs w:val="21"/>
          <w:lang w:eastAsia="zh-CN"/>
        </w:rPr>
        <w:t>竞标</w:t>
      </w:r>
      <w:r>
        <w:rPr>
          <w:rFonts w:hint="eastAsia" w:asciiTheme="minorEastAsia" w:hAnsiTheme="minorEastAsia" w:eastAsiaTheme="minorEastAsia" w:cstheme="minorEastAsia"/>
          <w:color w:val="auto"/>
          <w:sz w:val="21"/>
          <w:szCs w:val="21"/>
        </w:rPr>
        <w:t>无效；</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报价须包含该采购</w:t>
      </w:r>
      <w:r>
        <w:rPr>
          <w:rFonts w:hint="eastAsia" w:asciiTheme="minorEastAsia" w:hAnsiTheme="minorEastAsia" w:eastAsiaTheme="minorEastAsia" w:cstheme="minorEastAsia"/>
          <w:color w:val="auto"/>
          <w:sz w:val="21"/>
          <w:szCs w:val="21"/>
          <w:lang w:eastAsia="zh-CN"/>
        </w:rPr>
        <w:t>需求</w:t>
      </w:r>
      <w:r>
        <w:rPr>
          <w:rFonts w:hint="eastAsia" w:asciiTheme="minorEastAsia" w:hAnsiTheme="minorEastAsia" w:eastAsiaTheme="minorEastAsia" w:cstheme="minorEastAsia"/>
          <w:color w:val="auto"/>
          <w:sz w:val="21"/>
          <w:szCs w:val="21"/>
        </w:rPr>
        <w:t>的全部内容。</w:t>
      </w:r>
    </w:p>
    <w:p>
      <w:pPr>
        <w:numPr>
          <w:ilvl w:val="0"/>
          <w:numId w:val="0"/>
        </w:numPr>
        <w:spacing w:line="360" w:lineRule="auto"/>
        <w:jc w:val="left"/>
        <w:rPr>
          <w:rFonts w:hint="eastAsia" w:asciiTheme="minorEastAsia" w:hAnsiTheme="minorEastAsia" w:eastAsiaTheme="minorEastAsia" w:cstheme="minorEastAsia"/>
          <w:strike/>
          <w:dstrike w:val="0"/>
          <w:color w:val="auto"/>
          <w:sz w:val="21"/>
          <w:szCs w:val="21"/>
          <w:lang w:eastAsia="zh-CN"/>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、合同履行期限</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eastAsia="zh-CN"/>
        </w:rPr>
        <w:t xml:space="preserve">见服务期；  </w:t>
      </w:r>
      <w:r>
        <w:rPr>
          <w:rFonts w:hint="eastAsia" w:asciiTheme="minorEastAsia" w:hAnsiTheme="minorEastAsia" w:eastAsiaTheme="minorEastAsia" w:cstheme="minorEastAsia"/>
          <w:color w:val="auto"/>
          <w:sz w:val="21"/>
          <w:szCs w:val="21"/>
          <w:u w:val="single"/>
          <w:lang w:val="en-US" w:eastAsia="zh-CN"/>
        </w:rPr>
        <w:t xml:space="preserve">                 </w:t>
      </w:r>
    </w:p>
    <w:p>
      <w:pPr>
        <w:numPr>
          <w:ilvl w:val="0"/>
          <w:numId w:val="0"/>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8、本项目</w:t>
      </w:r>
      <w:r>
        <w:rPr>
          <w:rFonts w:hint="eastAsia" w:asciiTheme="minorEastAsia" w:hAnsiTheme="minorEastAsia" w:eastAsiaTheme="minorEastAsia" w:cstheme="minorEastAsia"/>
          <w:color w:val="auto"/>
          <w:sz w:val="21"/>
          <w:szCs w:val="21"/>
          <w:u w:val="single"/>
          <w:lang w:val="en-US" w:eastAsia="zh-CN"/>
        </w:rPr>
        <w:t>不接受</w:t>
      </w:r>
      <w:r>
        <w:rPr>
          <w:rFonts w:hint="eastAsia" w:asciiTheme="minorEastAsia" w:hAnsiTheme="minorEastAsia" w:eastAsiaTheme="minorEastAsia" w:cstheme="minorEastAsia"/>
          <w:color w:val="auto"/>
          <w:sz w:val="21"/>
          <w:szCs w:val="21"/>
          <w:lang w:val="en-US" w:eastAsia="zh-CN"/>
        </w:rPr>
        <w:t>联合体竞</w:t>
      </w:r>
      <w:r>
        <w:rPr>
          <w:rFonts w:hint="eastAsia" w:asciiTheme="minorEastAsia" w:hAnsiTheme="minorEastAsia" w:eastAsiaTheme="minorEastAsia" w:cstheme="minorEastAsia"/>
          <w:sz w:val="21"/>
          <w:szCs w:val="21"/>
          <w:lang w:val="en-US" w:eastAsia="zh-CN"/>
        </w:rPr>
        <w:t>标；</w:t>
      </w:r>
    </w:p>
    <w:p>
      <w:pPr>
        <w:pStyle w:val="4"/>
        <w:numPr>
          <w:ilvl w:val="0"/>
          <w:numId w:val="6"/>
        </w:numPr>
        <w:spacing w:line="360" w:lineRule="auto"/>
        <w:jc w:val="left"/>
        <w:rPr>
          <w:rFonts w:hint="eastAsia" w:asciiTheme="minorEastAsia" w:hAnsiTheme="minorEastAsia" w:eastAsiaTheme="minorEastAsia" w:cstheme="minorEastAsia"/>
          <w:sz w:val="21"/>
          <w:szCs w:val="21"/>
        </w:rPr>
      </w:pPr>
      <w:bookmarkStart w:id="9" w:name="_Toc29871"/>
      <w:r>
        <w:rPr>
          <w:rFonts w:hint="eastAsia" w:asciiTheme="minorEastAsia" w:hAnsiTheme="minorEastAsia" w:eastAsiaTheme="minorEastAsia" w:cstheme="minorEastAsia"/>
          <w:sz w:val="21"/>
          <w:szCs w:val="21"/>
        </w:rPr>
        <w:t>申请人的资格要求</w:t>
      </w:r>
      <w:bookmarkEnd w:id="9"/>
    </w:p>
    <w:p>
      <w:pPr>
        <w:numPr>
          <w:ilvl w:val="0"/>
          <w:numId w:val="8"/>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满足《中华人民共和国政府采购法》第二十二条规定；</w:t>
      </w:r>
    </w:p>
    <w:p>
      <w:pPr>
        <w:spacing w:line="360" w:lineRule="auto"/>
        <w:ind w:left="446"/>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1.1具有独立承担民事责任的能力；</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1.2具有良好的商业信誉和健全的财务会计制度；</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1.3具有履行合同所必需的设备和专业技术能力；</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1.4有依法缴纳税收和社会保障资金的良好记录；</w:t>
      </w:r>
    </w:p>
    <w:p>
      <w:pPr>
        <w:spacing w:line="360" w:lineRule="auto"/>
        <w:ind w:left="420" w:firstLine="315" w:firstLineChars="150"/>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1.5参加政府采购活动前三年内，在经营活动中没有重大违法记录</w:t>
      </w:r>
      <w:r>
        <w:rPr>
          <w:rFonts w:hint="eastAsia" w:asciiTheme="minorEastAsia" w:hAnsiTheme="minorEastAsia" w:eastAsiaTheme="minorEastAsia" w:cstheme="minorEastAsia"/>
          <w:color w:val="000000"/>
          <w:sz w:val="21"/>
          <w:szCs w:val="21"/>
          <w:lang w:eastAsia="zh-CN"/>
        </w:rPr>
        <w:t>；（重大违法记录是指供应商因违法经营受到刑事处罚或者责令停产停业、吊销许可证或者执照、较大数额罚款等行政处罚）</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1.6法律、行政法规规定的其他条件；</w:t>
      </w:r>
    </w:p>
    <w:p>
      <w:pPr>
        <w:numPr>
          <w:ilvl w:val="0"/>
          <w:numId w:val="8"/>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单位负责人为同一人或者存在直接控股、管理关系的不同</w:t>
      </w:r>
      <w:r>
        <w:rPr>
          <w:rFonts w:hint="eastAsia" w:asciiTheme="minorEastAsia" w:hAnsiTheme="minorEastAsia" w:eastAsiaTheme="minorEastAsia" w:cstheme="minorEastAsia"/>
          <w:color w:val="000000"/>
          <w:sz w:val="21"/>
          <w:szCs w:val="21"/>
          <w:lang w:eastAsia="zh-CN"/>
        </w:rPr>
        <w:t>供应商</w:t>
      </w:r>
      <w:r>
        <w:rPr>
          <w:rFonts w:hint="eastAsia" w:asciiTheme="minorEastAsia" w:hAnsiTheme="minorEastAsia" w:eastAsiaTheme="minorEastAsia" w:cstheme="minorEastAsia"/>
          <w:color w:val="000000"/>
          <w:sz w:val="21"/>
          <w:szCs w:val="21"/>
        </w:rPr>
        <w:t>，不得参加本项目同一合同项下的政府采购活动。</w:t>
      </w:r>
    </w:p>
    <w:p>
      <w:pPr>
        <w:numPr>
          <w:ilvl w:val="0"/>
          <w:numId w:val="8"/>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为本采购项目提供整体设计、规范编制或者项目管理、监理、检测等服务的，不得再参加本项目的其他招标采购活动。</w:t>
      </w:r>
    </w:p>
    <w:p>
      <w:pPr>
        <w:numPr>
          <w:ilvl w:val="0"/>
          <w:numId w:val="8"/>
        </w:num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rPr>
        <w:t>未被</w:t>
      </w:r>
      <w:r>
        <w:rPr>
          <w:rFonts w:hint="eastAsia" w:asciiTheme="minorEastAsia" w:hAnsiTheme="minorEastAsia" w:eastAsiaTheme="minorEastAsia" w:cstheme="minorEastAsia"/>
          <w:color w:val="auto"/>
          <w:sz w:val="21"/>
          <w:szCs w:val="21"/>
        </w:rPr>
        <w:t>列入失信被执行人、重大税收违法案件当事人名单，未被列入政府采购严重违法失信行为记录名单。</w:t>
      </w:r>
    </w:p>
    <w:p>
      <w:pPr>
        <w:numPr>
          <w:ilvl w:val="0"/>
          <w:numId w:val="8"/>
        </w:numPr>
        <w:spacing w:line="360" w:lineRule="auto"/>
        <w:ind w:firstLine="420" w:firstLineChars="200"/>
        <w:jc w:val="left"/>
        <w:rPr>
          <w:rFonts w:hint="eastAsia" w:asciiTheme="minorEastAsia" w:hAnsiTheme="minorEastAsia" w:eastAsiaTheme="minorEastAsia" w:cstheme="minorEastAsia"/>
          <w:strike w:val="0"/>
          <w:dstrike w:val="0"/>
          <w:color w:val="auto"/>
          <w:sz w:val="21"/>
          <w:szCs w:val="21"/>
        </w:rPr>
      </w:pPr>
      <w:r>
        <w:rPr>
          <w:rFonts w:hint="eastAsia" w:asciiTheme="minorEastAsia" w:hAnsiTheme="minorEastAsia" w:eastAsiaTheme="minorEastAsia" w:cstheme="minorEastAsia"/>
          <w:color w:val="auto"/>
          <w:sz w:val="21"/>
          <w:szCs w:val="21"/>
        </w:rPr>
        <w:t>落实政府采购政策需满足的资格要求：</w:t>
      </w:r>
      <w:r>
        <w:rPr>
          <w:rFonts w:hint="eastAsia" w:asciiTheme="minorEastAsia" w:hAnsiTheme="minorEastAsia" w:eastAsiaTheme="minorEastAsia" w:cstheme="minorEastAsia"/>
          <w:strike w:val="0"/>
          <w:dstrike w:val="0"/>
          <w:color w:val="auto"/>
          <w:sz w:val="21"/>
          <w:szCs w:val="21"/>
        </w:rPr>
        <w:t>详见</w:t>
      </w:r>
      <w:r>
        <w:rPr>
          <w:rFonts w:hint="eastAsia" w:asciiTheme="minorEastAsia" w:hAnsiTheme="minorEastAsia" w:eastAsiaTheme="minorEastAsia" w:cstheme="minorEastAsia"/>
          <w:strike w:val="0"/>
          <w:dstrike w:val="0"/>
          <w:color w:val="auto"/>
          <w:sz w:val="21"/>
          <w:szCs w:val="21"/>
          <w:lang w:val="en-US" w:eastAsia="zh-CN"/>
        </w:rPr>
        <w:t>采购</w:t>
      </w:r>
      <w:r>
        <w:rPr>
          <w:rFonts w:hint="eastAsia" w:asciiTheme="minorEastAsia" w:hAnsiTheme="minorEastAsia" w:eastAsiaTheme="minorEastAsia" w:cstheme="minorEastAsia"/>
          <w:strike w:val="0"/>
          <w:dstrike w:val="0"/>
          <w:color w:val="auto"/>
          <w:sz w:val="21"/>
          <w:szCs w:val="21"/>
        </w:rPr>
        <w:t>文件；</w:t>
      </w:r>
    </w:p>
    <w:p>
      <w:pPr>
        <w:numPr>
          <w:ilvl w:val="0"/>
          <w:numId w:val="8"/>
        </w:numPr>
        <w:spacing w:line="360" w:lineRule="auto"/>
        <w:ind w:firstLine="422" w:firstLineChars="200"/>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本项目的特定资格要求：</w:t>
      </w:r>
    </w:p>
    <w:p>
      <w:pPr>
        <w:numPr>
          <w:ilvl w:val="0"/>
          <w:numId w:val="0"/>
        </w:numPr>
        <w:spacing w:line="360" w:lineRule="auto"/>
        <w:ind w:firstLine="420" w:firstLineChars="200"/>
        <w:jc w:val="left"/>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auto"/>
          <w:sz w:val="21"/>
          <w:szCs w:val="21"/>
          <w:lang w:val="en-US" w:eastAsia="zh-CN"/>
        </w:rPr>
        <w:t>6.1供应商未被列入“信用中国”网站(www.creditchina.gov.cn)失信被执行人、重大税收违法案件当事人、政府采购严重违法失信行为记录名单和“中国政府采购”网站（www.ccgp.gov.cn）政府采购严重违法失信行为记录名单（评审时以采购代理机构现场查询结果为准）；</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 xml:space="preserve">    6.2供应商营业执照的经营范围需满足采购需求；</w:t>
      </w:r>
    </w:p>
    <w:p>
      <w:pPr>
        <w:numPr>
          <w:ilvl w:val="0"/>
          <w:numId w:val="0"/>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FF0000"/>
          <w:sz w:val="21"/>
          <w:szCs w:val="21"/>
          <w:u w:val="single"/>
          <w:lang w:val="en-US" w:eastAsia="zh-CN"/>
        </w:rPr>
        <w:t xml:space="preserve">                      </w:t>
      </w:r>
    </w:p>
    <w:p>
      <w:pPr>
        <w:pStyle w:val="4"/>
        <w:numPr>
          <w:ilvl w:val="0"/>
          <w:numId w:val="6"/>
        </w:numPr>
        <w:spacing w:line="360" w:lineRule="auto"/>
        <w:jc w:val="left"/>
        <w:rPr>
          <w:rFonts w:hint="eastAsia" w:asciiTheme="minorEastAsia" w:hAnsiTheme="minorEastAsia" w:eastAsiaTheme="minorEastAsia" w:cstheme="minorEastAsia"/>
          <w:sz w:val="21"/>
          <w:szCs w:val="21"/>
        </w:rPr>
      </w:pPr>
      <w:bookmarkStart w:id="10" w:name="_Toc24271"/>
      <w:bookmarkStart w:id="11" w:name="_Toc334539185"/>
      <w:r>
        <w:rPr>
          <w:rFonts w:hint="eastAsia" w:asciiTheme="minorEastAsia" w:hAnsiTheme="minorEastAsia" w:eastAsiaTheme="minorEastAsia" w:cstheme="minorEastAsia"/>
          <w:sz w:val="21"/>
          <w:szCs w:val="21"/>
        </w:rPr>
        <w:t>获取</w:t>
      </w: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w:t>
      </w:r>
      <w:bookmarkEnd w:id="10"/>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w:t>
      </w:r>
      <w:r>
        <w:rPr>
          <w:rFonts w:hint="eastAsia" w:asciiTheme="minorEastAsia" w:hAnsiTheme="minorEastAsia" w:eastAsiaTheme="minorEastAsia" w:cstheme="minorEastAsia"/>
          <w:sz w:val="21"/>
          <w:szCs w:val="21"/>
          <w:u w:val="single"/>
          <w:lang w:val="en-US" w:eastAsia="zh-CN"/>
        </w:rPr>
        <w:t>2020</w:t>
      </w:r>
      <w:r>
        <w:rPr>
          <w:rFonts w:hint="eastAsia" w:asciiTheme="minorEastAsia" w:hAnsiTheme="minorEastAsia" w:eastAsiaTheme="minorEastAsia" w:cstheme="minorEastAsia"/>
          <w:sz w:val="21"/>
          <w:szCs w:val="21"/>
          <w:u w:val="single"/>
        </w:rPr>
        <w:t>年</w:t>
      </w:r>
      <w:r>
        <w:rPr>
          <w:rFonts w:hint="eastAsia" w:asciiTheme="minorEastAsia" w:hAnsiTheme="minorEastAsia" w:eastAsiaTheme="minorEastAsia" w:cstheme="minorEastAsia"/>
          <w:sz w:val="21"/>
          <w:szCs w:val="21"/>
          <w:u w:val="single"/>
          <w:lang w:val="en-US" w:eastAsia="zh-CN"/>
        </w:rPr>
        <w:t>11</w:t>
      </w:r>
      <w:r>
        <w:rPr>
          <w:rFonts w:hint="eastAsia" w:asciiTheme="minorEastAsia" w:hAnsiTheme="minorEastAsia" w:eastAsiaTheme="minorEastAsia" w:cstheme="minorEastAsia"/>
          <w:sz w:val="21"/>
          <w:szCs w:val="21"/>
          <w:u w:val="single"/>
        </w:rPr>
        <w:t>月</w:t>
      </w:r>
      <w:r>
        <w:rPr>
          <w:rFonts w:hint="eastAsia" w:asciiTheme="minorEastAsia" w:hAnsiTheme="minorEastAsia" w:eastAsiaTheme="minorEastAsia" w:cstheme="minorEastAsia"/>
          <w:sz w:val="21"/>
          <w:szCs w:val="21"/>
          <w:u w:val="single"/>
          <w:lang w:val="en-US" w:eastAsia="zh-CN"/>
        </w:rPr>
        <w:t>2</w:t>
      </w:r>
      <w:r>
        <w:rPr>
          <w:rFonts w:hint="eastAsia" w:asciiTheme="minorEastAsia" w:hAnsiTheme="minorEastAsia" w:eastAsiaTheme="minorEastAsia" w:cstheme="minorEastAsia"/>
          <w:sz w:val="21"/>
          <w:szCs w:val="21"/>
          <w:u w:val="single"/>
        </w:rPr>
        <w:t>日至</w:t>
      </w:r>
      <w:r>
        <w:rPr>
          <w:rFonts w:hint="eastAsia" w:asciiTheme="minorEastAsia" w:hAnsiTheme="minorEastAsia" w:eastAsiaTheme="minorEastAsia" w:cstheme="minorEastAsia"/>
          <w:sz w:val="21"/>
          <w:szCs w:val="21"/>
          <w:u w:val="single"/>
          <w:lang w:val="en-US" w:eastAsia="zh-CN"/>
        </w:rPr>
        <w:t>2020</w:t>
      </w:r>
      <w:r>
        <w:rPr>
          <w:rFonts w:hint="eastAsia" w:asciiTheme="minorEastAsia" w:hAnsiTheme="minorEastAsia" w:eastAsiaTheme="minorEastAsia" w:cstheme="minorEastAsia"/>
          <w:sz w:val="21"/>
          <w:szCs w:val="21"/>
          <w:u w:val="single"/>
        </w:rPr>
        <w:t>年</w:t>
      </w:r>
      <w:r>
        <w:rPr>
          <w:rFonts w:hint="eastAsia" w:asciiTheme="minorEastAsia" w:hAnsiTheme="minorEastAsia" w:eastAsiaTheme="minorEastAsia" w:cstheme="minorEastAsia"/>
          <w:sz w:val="21"/>
          <w:szCs w:val="21"/>
          <w:u w:val="single"/>
          <w:lang w:val="en-US" w:eastAsia="zh-CN"/>
        </w:rPr>
        <w:t>11</w:t>
      </w:r>
      <w:r>
        <w:rPr>
          <w:rFonts w:hint="eastAsia" w:asciiTheme="minorEastAsia" w:hAnsiTheme="minorEastAsia" w:eastAsiaTheme="minorEastAsia" w:cstheme="minorEastAsia"/>
          <w:sz w:val="21"/>
          <w:szCs w:val="21"/>
          <w:u w:val="single"/>
        </w:rPr>
        <w:t>月</w:t>
      </w:r>
      <w:r>
        <w:rPr>
          <w:rFonts w:hint="eastAsia" w:asciiTheme="minorEastAsia" w:hAnsiTheme="minorEastAsia" w:eastAsiaTheme="minorEastAsia" w:cstheme="minorEastAsia"/>
          <w:sz w:val="21"/>
          <w:szCs w:val="21"/>
          <w:u w:val="single"/>
          <w:lang w:val="en-US" w:eastAsia="zh-CN"/>
        </w:rPr>
        <w:t>6</w:t>
      </w:r>
      <w:r>
        <w:rPr>
          <w:rFonts w:hint="eastAsia" w:asciiTheme="minorEastAsia" w:hAnsiTheme="minorEastAsia" w:eastAsiaTheme="minorEastAsia" w:cstheme="minorEastAsia"/>
          <w:sz w:val="21"/>
          <w:szCs w:val="21"/>
          <w:u w:val="single"/>
        </w:rPr>
        <w:t>日</w:t>
      </w:r>
      <w:r>
        <w:rPr>
          <w:rFonts w:hint="eastAsia" w:asciiTheme="minorEastAsia" w:hAnsiTheme="minorEastAsia" w:eastAsiaTheme="minorEastAsia" w:cstheme="minorEastAsia"/>
          <w:sz w:val="21"/>
          <w:szCs w:val="21"/>
        </w:rPr>
        <w:t>（提供期限自本公告发布</w:t>
      </w:r>
      <w:r>
        <w:rPr>
          <w:rFonts w:hint="eastAsia" w:asciiTheme="minorEastAsia" w:hAnsiTheme="minorEastAsia" w:eastAsiaTheme="minorEastAsia" w:cstheme="minorEastAsia"/>
          <w:sz w:val="21"/>
          <w:szCs w:val="21"/>
          <w:lang w:eastAsia="zh-CN"/>
        </w:rPr>
        <w:t>之</w:t>
      </w:r>
      <w:r>
        <w:rPr>
          <w:rFonts w:hint="eastAsia" w:asciiTheme="minorEastAsia" w:hAnsiTheme="minorEastAsia" w:eastAsiaTheme="minorEastAsia" w:cstheme="minorEastAsia"/>
          <w:sz w:val="21"/>
          <w:szCs w:val="21"/>
        </w:rPr>
        <w:t>日起</w:t>
      </w:r>
      <w:r>
        <w:rPr>
          <w:rFonts w:hint="eastAsia" w:asciiTheme="minorEastAsia" w:hAnsiTheme="minorEastAsia" w:eastAsiaTheme="minorEastAsia" w:cstheme="minorEastAsia"/>
          <w:sz w:val="21"/>
          <w:szCs w:val="21"/>
          <w:lang w:eastAsia="zh-CN"/>
        </w:rPr>
        <w:t>至少</w:t>
      </w:r>
      <w:r>
        <w:rPr>
          <w:rFonts w:hint="eastAsia" w:asciiTheme="minorEastAsia" w:hAnsiTheme="minorEastAsia" w:eastAsiaTheme="minorEastAsia" w:cstheme="minorEastAsia"/>
          <w:sz w:val="21"/>
          <w:szCs w:val="21"/>
        </w:rPr>
        <w:t>5个工作日），每天上午</w:t>
      </w:r>
      <w:r>
        <w:rPr>
          <w:rFonts w:hint="eastAsia" w:asciiTheme="minorEastAsia" w:hAnsiTheme="minorEastAsia" w:eastAsiaTheme="minorEastAsia" w:cstheme="minorEastAsia"/>
          <w:sz w:val="21"/>
          <w:szCs w:val="21"/>
          <w:lang w:val="en-US" w:eastAsia="zh-CN"/>
        </w:rPr>
        <w:t>09:00</w:t>
      </w:r>
      <w:r>
        <w:rPr>
          <w:rFonts w:hint="eastAsia" w:asciiTheme="minorEastAsia" w:hAnsiTheme="minorEastAsia" w:eastAsiaTheme="minorEastAsia" w:cstheme="minorEastAsia"/>
          <w:sz w:val="21"/>
          <w:szCs w:val="21"/>
        </w:rPr>
        <w:t>至</w:t>
      </w:r>
      <w:r>
        <w:rPr>
          <w:rFonts w:hint="eastAsia" w:asciiTheme="minorEastAsia" w:hAnsiTheme="minorEastAsia" w:eastAsiaTheme="minorEastAsia" w:cstheme="minorEastAsia"/>
          <w:sz w:val="21"/>
          <w:szCs w:val="21"/>
          <w:lang w:val="en-US" w:eastAsia="zh-CN"/>
        </w:rPr>
        <w:t>12:00</w:t>
      </w:r>
      <w:r>
        <w:rPr>
          <w:rFonts w:hint="eastAsia" w:asciiTheme="minorEastAsia" w:hAnsiTheme="minorEastAsia" w:eastAsiaTheme="minorEastAsia" w:cstheme="minorEastAsia"/>
          <w:sz w:val="21"/>
          <w:szCs w:val="21"/>
        </w:rPr>
        <w:t>，下午</w:t>
      </w:r>
      <w:r>
        <w:rPr>
          <w:rFonts w:hint="eastAsia" w:asciiTheme="minorEastAsia" w:hAnsiTheme="minorEastAsia" w:eastAsiaTheme="minorEastAsia" w:cstheme="minorEastAsia"/>
          <w:sz w:val="21"/>
          <w:szCs w:val="21"/>
          <w:lang w:val="en-US" w:eastAsia="zh-CN"/>
        </w:rPr>
        <w:t>14:30</w:t>
      </w:r>
      <w:r>
        <w:rPr>
          <w:rFonts w:hint="eastAsia" w:asciiTheme="minorEastAsia" w:hAnsiTheme="minorEastAsia" w:eastAsiaTheme="minorEastAsia" w:cstheme="minorEastAsia"/>
          <w:sz w:val="21"/>
          <w:szCs w:val="21"/>
        </w:rPr>
        <w:t>至</w:t>
      </w:r>
      <w:r>
        <w:rPr>
          <w:rFonts w:hint="eastAsia" w:asciiTheme="minorEastAsia" w:hAnsiTheme="minorEastAsia" w:eastAsiaTheme="minorEastAsia" w:cstheme="minorEastAsia"/>
          <w:sz w:val="21"/>
          <w:szCs w:val="21"/>
          <w:lang w:val="en-US" w:eastAsia="zh-CN"/>
        </w:rPr>
        <w:t>17:00</w:t>
      </w:r>
      <w:r>
        <w:rPr>
          <w:rFonts w:hint="eastAsia" w:asciiTheme="minorEastAsia" w:hAnsiTheme="minorEastAsia" w:eastAsiaTheme="minorEastAsia" w:cstheme="minorEastAsia"/>
          <w:sz w:val="21"/>
          <w:szCs w:val="21"/>
        </w:rPr>
        <w:t>（北京时间，法定节假日除外）</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地点：武昌区中北路岳家嘴立交山河企业大厦</w:t>
      </w:r>
      <w:r>
        <w:rPr>
          <w:rFonts w:hint="eastAsia" w:asciiTheme="minorEastAsia" w:hAnsiTheme="minorEastAsia" w:eastAsiaTheme="minorEastAsia" w:cstheme="minorEastAsia"/>
          <w:sz w:val="21"/>
          <w:szCs w:val="21"/>
          <w:lang w:val="en-US" w:eastAsia="zh-CN"/>
        </w:rPr>
        <w:t>48楼</w:t>
      </w:r>
      <w:r>
        <w:rPr>
          <w:rFonts w:hint="eastAsia" w:asciiTheme="minorEastAsia" w:hAnsiTheme="minorEastAsia" w:eastAsiaTheme="minorEastAsia" w:cstheme="minorEastAsia"/>
          <w:sz w:val="21"/>
          <w:szCs w:val="21"/>
        </w:rPr>
        <w:t>4805室；</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auto"/>
          <w:sz w:val="21"/>
          <w:szCs w:val="21"/>
          <w:lang w:eastAsia="zh-CN"/>
        </w:rPr>
        <w:t>现场获取</w:t>
      </w:r>
      <w:r>
        <w:rPr>
          <w:rFonts w:hint="eastAsia" w:asciiTheme="minorEastAsia" w:hAnsiTheme="minorEastAsia" w:eastAsiaTheme="minorEastAsia" w:cstheme="minorEastAsia"/>
          <w:b w:val="0"/>
          <w:bCs w:val="0"/>
          <w:color w:val="auto"/>
          <w:sz w:val="21"/>
          <w:szCs w:val="21"/>
        </w:rPr>
        <w:t>：</w:t>
      </w:r>
      <w:bookmarkEnd w:id="11"/>
      <w:r>
        <w:rPr>
          <w:rFonts w:hint="eastAsia" w:asciiTheme="minorEastAsia" w:hAnsiTheme="minorEastAsia" w:eastAsiaTheme="minorEastAsia" w:cstheme="minorEastAsia"/>
          <w:b w:val="0"/>
          <w:bCs w:val="0"/>
          <w:color w:val="auto"/>
          <w:sz w:val="21"/>
          <w:szCs w:val="21"/>
        </w:rPr>
        <w:t>1）法定代表人领取的，凭法定代表人身份证明书（格式</w:t>
      </w:r>
      <w:r>
        <w:rPr>
          <w:rFonts w:hint="eastAsia" w:asciiTheme="minorEastAsia" w:hAnsiTheme="minorEastAsia" w:eastAsiaTheme="minorEastAsia" w:cstheme="minorEastAsia"/>
          <w:b w:val="0"/>
          <w:bCs w:val="0"/>
          <w:color w:val="auto"/>
          <w:sz w:val="21"/>
          <w:szCs w:val="21"/>
          <w:lang w:eastAsia="zh-CN"/>
        </w:rPr>
        <w:t>见附件</w:t>
      </w:r>
      <w:r>
        <w:rPr>
          <w:rFonts w:hint="eastAsia" w:asciiTheme="minorEastAsia" w:hAnsiTheme="minorEastAsia" w:eastAsiaTheme="minorEastAsia" w:cstheme="minorEastAsia"/>
          <w:b w:val="0"/>
          <w:bCs w:val="0"/>
          <w:color w:val="auto"/>
          <w:sz w:val="21"/>
          <w:szCs w:val="21"/>
        </w:rPr>
        <w:t>）及法定代表人身份证原件领取；2）法定代表人委托他人领取的，凭法定代表人授权书（格式</w:t>
      </w:r>
      <w:r>
        <w:rPr>
          <w:rFonts w:hint="eastAsia" w:asciiTheme="minorEastAsia" w:hAnsiTheme="minorEastAsia" w:eastAsiaTheme="minorEastAsia" w:cstheme="minorEastAsia"/>
          <w:b w:val="0"/>
          <w:bCs w:val="0"/>
          <w:color w:val="auto"/>
          <w:sz w:val="21"/>
          <w:szCs w:val="21"/>
          <w:lang w:eastAsia="zh-CN"/>
        </w:rPr>
        <w:t>见附件</w:t>
      </w:r>
      <w:r>
        <w:rPr>
          <w:rFonts w:hint="eastAsia" w:asciiTheme="minorEastAsia" w:hAnsiTheme="minorEastAsia" w:eastAsiaTheme="minorEastAsia" w:cstheme="minorEastAsia"/>
          <w:b w:val="0"/>
          <w:bCs w:val="0"/>
          <w:color w:val="auto"/>
          <w:sz w:val="21"/>
          <w:szCs w:val="21"/>
        </w:rPr>
        <w:t>）及受托人身份证原件领取</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3</w:t>
      </w:r>
      <w:r>
        <w:rPr>
          <w:rFonts w:hint="eastAsia" w:asciiTheme="minorEastAsia" w:hAnsiTheme="minorEastAsia" w:eastAsiaTheme="minorEastAsia" w:cstheme="minorEastAsia"/>
          <w:b w:val="0"/>
          <w:bCs w:val="0"/>
          <w:color w:val="auto"/>
          <w:sz w:val="21"/>
          <w:szCs w:val="21"/>
        </w:rPr>
        <w:t>）加盖</w:t>
      </w:r>
      <w:r>
        <w:rPr>
          <w:rFonts w:hint="eastAsia" w:asciiTheme="minorEastAsia" w:hAnsiTheme="minorEastAsia" w:eastAsiaTheme="minorEastAsia" w:cstheme="minorEastAsia"/>
          <w:b w:val="0"/>
          <w:bCs w:val="0"/>
          <w:color w:val="auto"/>
          <w:sz w:val="21"/>
          <w:szCs w:val="21"/>
          <w:lang w:val="en-US" w:eastAsia="zh-CN"/>
        </w:rPr>
        <w:t>公章</w:t>
      </w:r>
      <w:r>
        <w:rPr>
          <w:rFonts w:hint="eastAsia" w:asciiTheme="minorEastAsia" w:hAnsiTheme="minorEastAsia" w:eastAsiaTheme="minorEastAsia" w:cstheme="minorEastAsia"/>
          <w:b w:val="0"/>
          <w:bCs w:val="0"/>
          <w:color w:val="auto"/>
          <w:sz w:val="21"/>
          <w:szCs w:val="21"/>
        </w:rPr>
        <w:t>的营业执照</w:t>
      </w:r>
      <w:r>
        <w:rPr>
          <w:rFonts w:hint="eastAsia" w:asciiTheme="minorEastAsia" w:hAnsiTheme="minorEastAsia" w:eastAsiaTheme="minorEastAsia" w:cstheme="minorEastAsia"/>
          <w:b w:val="0"/>
          <w:bCs w:val="0"/>
          <w:color w:val="auto"/>
          <w:sz w:val="21"/>
          <w:szCs w:val="21"/>
          <w:lang w:val="en-US" w:eastAsia="zh-CN"/>
        </w:rPr>
        <w:t>真彩扫描件、项目报名表</w:t>
      </w:r>
      <w:r>
        <w:rPr>
          <w:rFonts w:hint="eastAsia" w:asciiTheme="minorEastAsia" w:hAnsiTheme="minorEastAsia" w:eastAsiaTheme="minorEastAsia" w:cstheme="minorEastAsia"/>
          <w:b w:val="0"/>
          <w:bCs w:val="0"/>
          <w:color w:val="auto"/>
          <w:sz w:val="21"/>
          <w:szCs w:val="21"/>
        </w:rPr>
        <w:t>（格式见附件）</w:t>
      </w:r>
      <w:r>
        <w:rPr>
          <w:rFonts w:hint="eastAsia" w:asciiTheme="minorEastAsia" w:hAnsiTheme="minorEastAsia" w:eastAsiaTheme="minorEastAsia" w:cstheme="minorEastAsia"/>
          <w:b w:val="0"/>
          <w:bCs w:val="0"/>
          <w:color w:val="auto"/>
          <w:sz w:val="21"/>
          <w:szCs w:val="21"/>
          <w:lang w:val="en-US" w:eastAsia="zh-CN"/>
        </w:rPr>
        <w:t>、供应商信用承诺书（格式见附件）、《中小企业声明函》扫描件，格式详见《政府采购促进中小企业发展暂行办法》(财库【2011】181号)（如项目非专门面向中小微企业，则不需要中小企业声明函）；</w:t>
      </w:r>
      <w:r>
        <w:rPr>
          <w:rFonts w:hint="eastAsia" w:asciiTheme="minorEastAsia" w:hAnsiTheme="minorEastAsia" w:eastAsiaTheme="minorEastAsia" w:cstheme="minorEastAsia"/>
          <w:b w:val="0"/>
          <w:bCs w:val="0"/>
          <w:color w:val="auto"/>
          <w:sz w:val="21"/>
          <w:szCs w:val="21"/>
          <w:lang w:val="en-US" w:eastAsia="zh-CN"/>
        </w:rPr>
        <w:br w:type="textWrapping"/>
      </w: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sz w:val="21"/>
          <w:szCs w:val="21"/>
          <w:lang w:val="en-US" w:eastAsia="zh-CN"/>
        </w:rPr>
        <w:t>售价：采购文件</w:t>
      </w:r>
      <w:r>
        <w:rPr>
          <w:rFonts w:hint="eastAsia" w:asciiTheme="minorEastAsia" w:hAnsiTheme="minorEastAsia" w:eastAsiaTheme="minorEastAsia" w:cstheme="minorEastAsia"/>
          <w:color w:val="auto"/>
          <w:sz w:val="21"/>
          <w:szCs w:val="21"/>
          <w:lang w:val="en-US" w:eastAsia="zh-CN"/>
        </w:rPr>
        <w:t>人民币400元/本，</w:t>
      </w:r>
      <w:r>
        <w:rPr>
          <w:rFonts w:hint="eastAsia" w:asciiTheme="minorEastAsia" w:hAnsiTheme="minorEastAsia" w:eastAsiaTheme="minorEastAsia" w:cstheme="minorEastAsia"/>
          <w:sz w:val="21"/>
          <w:szCs w:val="21"/>
          <w:lang w:val="en-US" w:eastAsia="zh-CN"/>
        </w:rPr>
        <w:t>售后不退，不办理邮寄；</w:t>
      </w:r>
    </w:p>
    <w:p>
      <w:pPr>
        <w:pStyle w:val="4"/>
        <w:numPr>
          <w:ilvl w:val="0"/>
          <w:numId w:val="6"/>
        </w:numPr>
        <w:spacing w:line="360" w:lineRule="auto"/>
        <w:jc w:val="left"/>
        <w:rPr>
          <w:rFonts w:hint="eastAsia" w:asciiTheme="minorEastAsia" w:hAnsiTheme="minorEastAsia" w:eastAsiaTheme="minorEastAsia" w:cstheme="minorEastAsia"/>
          <w:sz w:val="21"/>
          <w:szCs w:val="21"/>
        </w:rPr>
      </w:pPr>
      <w:bookmarkStart w:id="12" w:name="_Toc21272"/>
      <w:r>
        <w:rPr>
          <w:rFonts w:hint="eastAsia" w:asciiTheme="minorEastAsia" w:hAnsiTheme="minorEastAsia" w:eastAsiaTheme="minorEastAsia" w:cstheme="minorEastAsia"/>
          <w:sz w:val="21"/>
          <w:szCs w:val="21"/>
          <w:lang w:eastAsia="zh-CN"/>
        </w:rPr>
        <w:t>响应文件提交</w:t>
      </w:r>
      <w:bookmarkEnd w:id="12"/>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sz w:val="21"/>
          <w:szCs w:val="21"/>
          <w:lang w:val="en-US" w:eastAsia="zh-CN"/>
        </w:rPr>
      </w:pPr>
      <w:bookmarkStart w:id="13" w:name="_Toc27695"/>
      <w:r>
        <w:rPr>
          <w:rFonts w:hint="eastAsia" w:asciiTheme="minorEastAsia" w:hAnsiTheme="minorEastAsia" w:eastAsiaTheme="minorEastAsia" w:cstheme="minorEastAsia"/>
          <w:sz w:val="21"/>
          <w:szCs w:val="21"/>
          <w:lang w:val="en-US" w:eastAsia="zh-CN"/>
        </w:rPr>
        <w:t>开始时间：2020年11月11日08点30分（北京时间）</w:t>
      </w:r>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截止时间：2020年11月11日10点00分（北京时间）</w:t>
      </w:r>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地点：武昌区中北路岳家嘴立交山河企业大厦4806室</w:t>
      </w:r>
    </w:p>
    <w:p>
      <w:pPr>
        <w:pStyle w:val="4"/>
        <w:numPr>
          <w:ilvl w:val="0"/>
          <w:numId w:val="6"/>
        </w:numPr>
        <w:spacing w:line="36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开启</w:t>
      </w:r>
      <w:bookmarkEnd w:id="13"/>
    </w:p>
    <w:p>
      <w:pPr>
        <w:numPr>
          <w:ilvl w:val="0"/>
          <w:numId w:val="0"/>
        </w:numPr>
        <w:spacing w:line="360" w:lineRule="auto"/>
        <w:ind w:leftChars="0" w:firstLine="420" w:firstLineChars="200"/>
        <w:jc w:val="left"/>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时间：2020年11月11日10点00分</w:t>
      </w:r>
      <w:r>
        <w:rPr>
          <w:rFonts w:hint="eastAsia" w:asciiTheme="minorEastAsia" w:hAnsiTheme="minorEastAsia" w:eastAsiaTheme="minorEastAsia" w:cstheme="minorEastAsia"/>
          <w:sz w:val="21"/>
          <w:szCs w:val="21"/>
          <w:lang w:eastAsia="zh-CN"/>
        </w:rPr>
        <w:t>（北京时间）</w:t>
      </w:r>
    </w:p>
    <w:p>
      <w:pPr>
        <w:pStyle w:val="4"/>
        <w:numPr>
          <w:ilvl w:val="0"/>
          <w:numId w:val="6"/>
        </w:numPr>
        <w:spacing w:line="360" w:lineRule="auto"/>
        <w:jc w:val="left"/>
        <w:rPr>
          <w:rFonts w:hint="eastAsia" w:asciiTheme="minorEastAsia" w:hAnsiTheme="minorEastAsia" w:eastAsiaTheme="minorEastAsia" w:cstheme="minorEastAsia"/>
          <w:sz w:val="21"/>
          <w:szCs w:val="21"/>
        </w:rPr>
      </w:pPr>
      <w:bookmarkStart w:id="14" w:name="_Toc21834"/>
      <w:r>
        <w:rPr>
          <w:rFonts w:hint="eastAsia" w:asciiTheme="minorEastAsia" w:hAnsiTheme="minorEastAsia" w:eastAsiaTheme="minorEastAsia" w:cstheme="minorEastAsia"/>
          <w:sz w:val="21"/>
          <w:szCs w:val="21"/>
        </w:rPr>
        <w:t>公告期限</w:t>
      </w:r>
      <w:bookmarkEnd w:id="14"/>
    </w:p>
    <w:p>
      <w:pPr>
        <w:spacing w:line="360" w:lineRule="auto"/>
        <w:ind w:firstLine="420" w:firstLineChars="200"/>
        <w:jc w:val="left"/>
        <w:rPr>
          <w:rFonts w:hint="eastAsia" w:asciiTheme="minorEastAsia" w:hAnsiTheme="minorEastAsia" w:eastAsiaTheme="minorEastAsia" w:cstheme="minorEastAsia"/>
          <w:sz w:val="21"/>
          <w:szCs w:val="21"/>
          <w:lang w:eastAsia="zh-CN"/>
        </w:rPr>
      </w:pPr>
      <w:bookmarkStart w:id="15" w:name="_Toc334539188"/>
      <w:bookmarkStart w:id="16" w:name="_Toc259607751"/>
      <w:bookmarkStart w:id="17" w:name="_Toc317262251"/>
      <w:bookmarkStart w:id="18" w:name="_Toc276368888"/>
      <w:bookmarkStart w:id="19" w:name="_Toc320898024"/>
      <w:bookmarkStart w:id="20" w:name="_Toc6021"/>
      <w:r>
        <w:rPr>
          <w:rFonts w:hint="eastAsia" w:asciiTheme="minorEastAsia" w:hAnsiTheme="minorEastAsia" w:eastAsiaTheme="minorEastAsia" w:cstheme="minorEastAsia"/>
          <w:sz w:val="21"/>
          <w:szCs w:val="21"/>
          <w:lang w:val="en-US" w:eastAsia="zh-CN"/>
        </w:rPr>
        <w:t>自本公告发布之日起</w:t>
      </w:r>
      <w:r>
        <w:rPr>
          <w:rFonts w:hint="eastAsia" w:asciiTheme="minorEastAsia" w:hAnsiTheme="minorEastAsia" w:eastAsiaTheme="minorEastAsia" w:cstheme="minorEastAsia"/>
          <w:sz w:val="21"/>
          <w:szCs w:val="21"/>
          <w:lang w:eastAsia="zh-CN"/>
        </w:rPr>
        <w:t>至少</w:t>
      </w:r>
      <w:r>
        <w:rPr>
          <w:rFonts w:hint="eastAsia" w:asciiTheme="minorEastAsia" w:hAnsiTheme="minorEastAsia" w:eastAsiaTheme="minorEastAsia" w:cstheme="minorEastAsia"/>
          <w:sz w:val="21"/>
          <w:szCs w:val="21"/>
          <w:lang w:val="en-US" w:eastAsia="zh-CN"/>
        </w:rPr>
        <w:t>5个工作日</w:t>
      </w:r>
      <w:bookmarkEnd w:id="15"/>
      <w:bookmarkEnd w:id="16"/>
      <w:bookmarkEnd w:id="17"/>
      <w:bookmarkEnd w:id="18"/>
      <w:bookmarkEnd w:id="19"/>
      <w:bookmarkEnd w:id="20"/>
    </w:p>
    <w:p>
      <w:pPr>
        <w:pStyle w:val="4"/>
        <w:numPr>
          <w:ilvl w:val="0"/>
          <w:numId w:val="6"/>
        </w:numPr>
        <w:spacing w:line="360" w:lineRule="auto"/>
        <w:jc w:val="left"/>
        <w:rPr>
          <w:rFonts w:hint="eastAsia" w:asciiTheme="minorEastAsia" w:hAnsiTheme="minorEastAsia" w:eastAsiaTheme="minorEastAsia" w:cstheme="minorEastAsia"/>
          <w:sz w:val="21"/>
          <w:szCs w:val="21"/>
        </w:rPr>
      </w:pPr>
      <w:bookmarkStart w:id="21" w:name="_Toc31302"/>
      <w:r>
        <w:rPr>
          <w:rFonts w:hint="eastAsia" w:asciiTheme="minorEastAsia" w:hAnsiTheme="minorEastAsia" w:eastAsiaTheme="minorEastAsia" w:cstheme="minorEastAsia"/>
          <w:sz w:val="21"/>
          <w:szCs w:val="21"/>
        </w:rPr>
        <w:t>其他补充事宜</w:t>
      </w:r>
      <w:bookmarkEnd w:id="21"/>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bookmarkStart w:id="22" w:name="_Toc259028279"/>
      <w:r>
        <w:rPr>
          <w:rFonts w:hint="eastAsia" w:asciiTheme="minorEastAsia" w:hAnsiTheme="minorEastAsia" w:eastAsiaTheme="minorEastAsia" w:cstheme="minorEastAsia"/>
          <w:sz w:val="21"/>
          <w:szCs w:val="21"/>
          <w:lang w:val="en-US" w:eastAsia="zh-CN"/>
        </w:rPr>
        <w:t>1.本项目是否专门面向中小企业、监狱企业、残疾人福利</w:t>
      </w:r>
      <w:r>
        <w:rPr>
          <w:rFonts w:hint="eastAsia" w:asciiTheme="minorEastAsia" w:hAnsiTheme="minorEastAsia" w:eastAsiaTheme="minorEastAsia" w:cstheme="minorEastAsia"/>
          <w:color w:val="auto"/>
          <w:sz w:val="21"/>
          <w:szCs w:val="21"/>
          <w:lang w:val="en-US" w:eastAsia="zh-CN"/>
        </w:rPr>
        <w:t>性单位：否</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2.与采购人存在利害关系可能影响采购公正性的法人、其他组织或者</w:t>
      </w:r>
      <w:r>
        <w:rPr>
          <w:rFonts w:hint="eastAsia" w:asciiTheme="minorEastAsia" w:hAnsiTheme="minorEastAsia" w:eastAsiaTheme="minorEastAsia" w:cstheme="minorEastAsia"/>
          <w:sz w:val="21"/>
          <w:szCs w:val="21"/>
          <w:lang w:val="en-US" w:eastAsia="zh-CN"/>
        </w:rPr>
        <w:t>个人，不得参与本项目；单位负责人为同一人或存在控股、管理关系的不同单位只能有一家单位报名(按在采购代理机构处获取文件登记的先后顺序)。</w:t>
      </w:r>
    </w:p>
    <w:p>
      <w:pPr>
        <w:spacing w:line="360" w:lineRule="auto"/>
        <w:ind w:firstLine="420" w:firstLineChars="200"/>
        <w:jc w:val="left"/>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lang w:val="en-US" w:eastAsia="zh-CN"/>
        </w:rPr>
        <w:t>3.供应商如需查询技术要求可直接到我处查阅采购文件第三章相关内容。</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    4.本项目将在以下网站发布所有信息，请参加本项目竞标的供应商密切关注。</w:t>
      </w:r>
    </w:p>
    <w:p>
      <w:pPr>
        <w:spacing w:line="360" w:lineRule="auto"/>
        <w:ind w:firstLine="420" w:firstLineChars="200"/>
        <w:jc w:val="left"/>
        <w:rPr>
          <w:rFonts w:hint="eastAsia" w:ascii="宋体" w:hAnsi="宋体" w:cs="宋体"/>
          <w:szCs w:val="21"/>
        </w:rPr>
      </w:pPr>
      <w:r>
        <w:rPr>
          <w:rFonts w:hint="eastAsia" w:asciiTheme="minorEastAsia" w:hAnsiTheme="minorEastAsia" w:eastAsiaTheme="minorEastAsia" w:cstheme="minorEastAsia"/>
          <w:sz w:val="21"/>
          <w:szCs w:val="21"/>
          <w:lang w:val="en-US" w:eastAsia="zh-CN"/>
        </w:rPr>
        <w:t>（一）</w:t>
      </w:r>
      <w:r>
        <w:rPr>
          <w:rFonts w:hint="eastAsia" w:ascii="宋体" w:hAnsi="宋体" w:cs="宋体"/>
          <w:szCs w:val="21"/>
        </w:rPr>
        <w:t>《中经国际招标集团有限公司官网》（网址：</w:t>
      </w:r>
      <w:r>
        <w:rPr>
          <w:rFonts w:hint="eastAsia" w:ascii="宋体" w:hAnsi="宋体" w:cs="宋体"/>
          <w:szCs w:val="21"/>
        </w:rPr>
        <w:fldChar w:fldCharType="begin"/>
      </w:r>
      <w:r>
        <w:rPr>
          <w:rFonts w:hint="eastAsia" w:ascii="宋体" w:hAnsi="宋体" w:cs="宋体"/>
          <w:szCs w:val="21"/>
        </w:rPr>
        <w:instrText xml:space="preserve"> HYPERLINK "http://www.ccgp-hubei.gov.cn/）" </w:instrText>
      </w:r>
      <w:r>
        <w:rPr>
          <w:rFonts w:hint="eastAsia" w:ascii="宋体" w:hAnsi="宋体" w:cs="宋体"/>
          <w:szCs w:val="21"/>
        </w:rPr>
        <w:fldChar w:fldCharType="separate"/>
      </w:r>
      <w:r>
        <w:rPr>
          <w:rFonts w:hint="eastAsia" w:ascii="宋体" w:hAnsi="宋体" w:cs="宋体"/>
          <w:szCs w:val="21"/>
        </w:rPr>
        <w:t>http://www.ceitcl.com/）</w:t>
      </w:r>
      <w:r>
        <w:rPr>
          <w:rFonts w:hint="eastAsia" w:ascii="宋体" w:hAnsi="宋体" w:cs="宋体"/>
          <w:szCs w:val="21"/>
        </w:rPr>
        <w:fldChar w:fldCharType="end"/>
      </w:r>
      <w:bookmarkEnd w:id="22"/>
    </w:p>
    <w:p>
      <w:pPr>
        <w:pStyle w:val="2"/>
        <w:rPr>
          <w:rFonts w:hint="default" w:eastAsia="黑体"/>
          <w:lang w:val="en-US" w:eastAsia="zh-CN"/>
        </w:rPr>
      </w:pPr>
      <w:r>
        <w:rPr>
          <w:rFonts w:hint="eastAsia" w:ascii="宋体" w:hAnsi="宋体" w:cs="宋体"/>
          <w:szCs w:val="21"/>
          <w:lang w:val="en-US" w:eastAsia="zh-CN"/>
        </w:rPr>
        <w:t xml:space="preserve">    </w:t>
      </w:r>
      <w:r>
        <w:rPr>
          <w:rFonts w:hint="eastAsia" w:ascii="宋体" w:hAnsi="宋体" w:eastAsia="宋体" w:cs="宋体"/>
          <w:color w:val="auto"/>
          <w:sz w:val="21"/>
          <w:szCs w:val="21"/>
          <w:lang w:val="en-US" w:eastAsia="zh-CN"/>
        </w:rPr>
        <w:t>（二）《中国招标投标公告服务平台》（网址：</w:t>
      </w: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HYPERLINK "http://www.ccgp.gov.cn/）" </w:instrText>
      </w:r>
      <w:r>
        <w:rPr>
          <w:rFonts w:hint="eastAsia" w:ascii="宋体" w:hAnsi="宋体" w:eastAsia="宋体" w:cs="宋体"/>
          <w:color w:val="auto"/>
          <w:sz w:val="21"/>
          <w:szCs w:val="21"/>
          <w:lang w:val="en-US" w:eastAsia="zh-CN"/>
        </w:rPr>
        <w:fldChar w:fldCharType="separate"/>
      </w:r>
      <w:r>
        <w:rPr>
          <w:rFonts w:hint="eastAsia" w:ascii="宋体" w:hAnsi="宋体" w:eastAsia="宋体" w:cs="宋体"/>
          <w:color w:val="auto"/>
          <w:sz w:val="21"/>
          <w:szCs w:val="21"/>
          <w:lang w:val="en-US" w:eastAsia="zh-CN"/>
        </w:rPr>
        <w:t>http://www.cebpubservice.com/）</w:t>
      </w:r>
      <w:r>
        <w:rPr>
          <w:rFonts w:hint="eastAsia" w:ascii="宋体" w:hAnsi="宋体" w:eastAsia="宋体" w:cs="宋体"/>
          <w:color w:val="auto"/>
          <w:sz w:val="21"/>
          <w:szCs w:val="21"/>
          <w:lang w:val="en-US" w:eastAsia="zh-CN"/>
        </w:rPr>
        <w:fldChar w:fldCharType="end"/>
      </w:r>
      <w:bookmarkStart w:id="235" w:name="_GoBack"/>
      <w:bookmarkEnd w:id="235"/>
    </w:p>
    <w:p>
      <w:pPr>
        <w:pStyle w:val="4"/>
        <w:numPr>
          <w:ilvl w:val="0"/>
          <w:numId w:val="6"/>
        </w:numPr>
        <w:spacing w:line="360" w:lineRule="auto"/>
        <w:jc w:val="left"/>
        <w:rPr>
          <w:rFonts w:hint="eastAsia" w:asciiTheme="minorEastAsia" w:hAnsiTheme="minorEastAsia" w:eastAsiaTheme="minorEastAsia" w:cstheme="minorEastAsia"/>
          <w:sz w:val="21"/>
          <w:szCs w:val="21"/>
        </w:rPr>
      </w:pPr>
      <w:bookmarkStart w:id="23" w:name="_Toc12824"/>
      <w:r>
        <w:rPr>
          <w:rFonts w:hint="eastAsia" w:asciiTheme="minorEastAsia" w:hAnsiTheme="minorEastAsia" w:eastAsiaTheme="minorEastAsia" w:cstheme="minorEastAsia"/>
          <w:sz w:val="21"/>
          <w:szCs w:val="21"/>
        </w:rPr>
        <w:t>凡对本次采购提出询问，请按以下方式联系</w:t>
      </w:r>
      <w:bookmarkEnd w:id="23"/>
    </w:p>
    <w:p>
      <w:pPr>
        <w:spacing w:line="360" w:lineRule="auto"/>
        <w:ind w:firstLine="420" w:firstLineChars="200"/>
        <w:jc w:val="left"/>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lang w:eastAsia="zh-CN"/>
        </w:rPr>
        <w:t>1.采</w:t>
      </w:r>
      <w:r>
        <w:rPr>
          <w:rFonts w:hint="eastAsia" w:asciiTheme="minorEastAsia" w:hAnsiTheme="minorEastAsia" w:eastAsiaTheme="minorEastAsia" w:cstheme="minorEastAsia"/>
          <w:color w:val="auto"/>
          <w:sz w:val="21"/>
          <w:szCs w:val="21"/>
          <w:lang w:eastAsia="zh-CN"/>
        </w:rPr>
        <w:t>购人信息</w:t>
      </w:r>
    </w:p>
    <w:p>
      <w:pPr>
        <w:spacing w:line="360" w:lineRule="auto"/>
        <w:ind w:firstLine="420" w:firstLineChars="200"/>
        <w:jc w:val="left"/>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名 称：武汉工程大学　　　　　　　　　　　　</w:t>
      </w:r>
    </w:p>
    <w:p>
      <w:pPr>
        <w:spacing w:line="360" w:lineRule="auto"/>
        <w:ind w:firstLine="420" w:firstLineChars="200"/>
        <w:jc w:val="left"/>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址：武汉市东湖新技术开发区光谷一路206号　　　　　　　　　　　　</w:t>
      </w:r>
    </w:p>
    <w:p>
      <w:pPr>
        <w:spacing w:line="360" w:lineRule="auto"/>
        <w:ind w:firstLine="420" w:firstLineChars="200"/>
        <w:jc w:val="left"/>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联系方式：段老师、027-81624665　　　　　　　　　　　 </w:t>
      </w:r>
    </w:p>
    <w:p>
      <w:pPr>
        <w:spacing w:line="360" w:lineRule="auto"/>
        <w:ind w:firstLine="420" w:firstLineChars="200"/>
        <w:jc w:val="left"/>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2.采购代理机构信息</w:t>
      </w:r>
    </w:p>
    <w:p>
      <w:pPr>
        <w:spacing w:line="360" w:lineRule="auto"/>
        <w:ind w:firstLine="420" w:firstLineChars="200"/>
        <w:jc w:val="left"/>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lang w:eastAsia="zh-CN"/>
        </w:rPr>
        <w:t xml:space="preserve">名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称：中经</w:t>
      </w:r>
      <w:r>
        <w:rPr>
          <w:rFonts w:hint="eastAsia" w:asciiTheme="minorEastAsia" w:hAnsiTheme="minorEastAsia" w:eastAsiaTheme="minorEastAsia" w:cstheme="minorEastAsia"/>
          <w:sz w:val="21"/>
          <w:szCs w:val="21"/>
          <w:lang w:eastAsia="zh-CN"/>
        </w:rPr>
        <w:t>国际招标集团有限公司　　　　　　　　　　　　</w:t>
      </w:r>
    </w:p>
    <w:p>
      <w:pPr>
        <w:spacing w:line="360" w:lineRule="auto"/>
        <w:ind w:firstLine="420" w:firstLineChars="200"/>
        <w:jc w:val="left"/>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lang w:eastAsia="zh-CN"/>
        </w:rPr>
        <w:t>地　址：武昌区中</w:t>
      </w:r>
      <w:r>
        <w:rPr>
          <w:rFonts w:hint="eastAsia" w:asciiTheme="minorEastAsia" w:hAnsiTheme="minorEastAsia" w:eastAsiaTheme="minorEastAsia" w:cstheme="minorEastAsia"/>
          <w:color w:val="auto"/>
          <w:sz w:val="21"/>
          <w:szCs w:val="21"/>
          <w:lang w:eastAsia="zh-CN"/>
        </w:rPr>
        <w:t>北路岳家嘴立交山河企业大厦</w:t>
      </w:r>
      <w:r>
        <w:rPr>
          <w:rFonts w:hint="eastAsia" w:asciiTheme="minorEastAsia" w:hAnsiTheme="minorEastAsia" w:eastAsiaTheme="minorEastAsia" w:cstheme="minorEastAsia"/>
          <w:color w:val="auto"/>
          <w:sz w:val="21"/>
          <w:szCs w:val="21"/>
          <w:lang w:val="en-US" w:eastAsia="zh-CN"/>
        </w:rPr>
        <w:t>48楼4805、</w:t>
      </w:r>
      <w:r>
        <w:rPr>
          <w:rFonts w:hint="eastAsia" w:asciiTheme="minorEastAsia" w:hAnsiTheme="minorEastAsia" w:eastAsiaTheme="minorEastAsia" w:cstheme="minorEastAsia"/>
          <w:color w:val="auto"/>
          <w:sz w:val="21"/>
          <w:szCs w:val="21"/>
          <w:lang w:eastAsia="zh-CN"/>
        </w:rPr>
        <w:t>4806室　　　　　　　　　　　　</w:t>
      </w:r>
    </w:p>
    <w:p>
      <w:pPr>
        <w:spacing w:line="360" w:lineRule="auto"/>
        <w:ind w:firstLine="420" w:firstLineChars="200"/>
        <w:jc w:val="left"/>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w:t>
      </w:r>
      <w:r>
        <w:rPr>
          <w:rFonts w:hint="eastAsia" w:asciiTheme="minorEastAsia" w:hAnsiTheme="minorEastAsia" w:eastAsiaTheme="minorEastAsia" w:cstheme="minorEastAsia"/>
          <w:color w:val="auto"/>
          <w:sz w:val="21"/>
          <w:szCs w:val="21"/>
          <w:lang w:val="en-US" w:eastAsia="zh-CN"/>
        </w:rPr>
        <w:t>027-87820788</w:t>
      </w:r>
      <w:r>
        <w:rPr>
          <w:rFonts w:hint="eastAsia" w:asciiTheme="minorEastAsia" w:hAnsiTheme="minorEastAsia" w:eastAsiaTheme="minorEastAsia" w:cstheme="minorEastAsia"/>
          <w:color w:val="auto"/>
          <w:sz w:val="21"/>
          <w:szCs w:val="21"/>
          <w:lang w:eastAsia="zh-CN"/>
        </w:rPr>
        <w:t>　　　　　　　　　　　　</w:t>
      </w:r>
    </w:p>
    <w:p>
      <w:pPr>
        <w:spacing w:line="360" w:lineRule="auto"/>
        <w:ind w:firstLine="420" w:firstLineChars="200"/>
        <w:jc w:val="left"/>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3.项目联系方式</w:t>
      </w:r>
    </w:p>
    <w:p>
      <w:pPr>
        <w:spacing w:line="360" w:lineRule="auto"/>
        <w:ind w:firstLine="420" w:firstLineChars="200"/>
        <w:jc w:val="left"/>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项目联系人：张梦、方雪菲、吴妍</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lang w:eastAsia="zh-CN"/>
        </w:rPr>
        <w:t>电</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　话：</w:t>
      </w:r>
      <w:r>
        <w:rPr>
          <w:rFonts w:hint="eastAsia" w:asciiTheme="minorEastAsia" w:hAnsiTheme="minorEastAsia" w:eastAsiaTheme="minorEastAsia" w:cstheme="minorEastAsia"/>
          <w:color w:val="auto"/>
          <w:sz w:val="21"/>
          <w:szCs w:val="21"/>
          <w:lang w:val="en-US" w:eastAsia="zh-CN"/>
        </w:rPr>
        <w:t>027-87820788</w:t>
      </w:r>
      <w:r>
        <w:rPr>
          <w:rFonts w:hint="eastAsia" w:asciiTheme="minorEastAsia" w:hAnsiTheme="minorEastAsia" w:eastAsiaTheme="minorEastAsia" w:cstheme="minorEastAsia"/>
          <w:color w:val="auto"/>
          <w:sz w:val="21"/>
          <w:szCs w:val="21"/>
          <w:lang w:eastAsia="zh-CN"/>
        </w:rPr>
        <w:t>　　</w:t>
      </w:r>
    </w:p>
    <w:p>
      <w:pPr>
        <w:pStyle w:val="4"/>
        <w:numPr>
          <w:ilvl w:val="0"/>
          <w:numId w:val="6"/>
        </w:num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bookmarkStart w:id="24" w:name="_Toc24714"/>
      <w:bookmarkStart w:id="25" w:name="_Toc32576"/>
      <w:r>
        <w:rPr>
          <w:rFonts w:hint="eastAsia" w:asciiTheme="minorEastAsia" w:hAnsiTheme="minorEastAsia" w:eastAsiaTheme="minorEastAsia" w:cstheme="minorEastAsia"/>
          <w:color w:val="auto"/>
          <w:sz w:val="21"/>
          <w:szCs w:val="21"/>
        </w:rPr>
        <w:t>注意事项</w:t>
      </w:r>
      <w:bookmarkEnd w:id="24"/>
      <w:bookmarkEnd w:id="25"/>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color w:val="auto"/>
          <w:szCs w:val="21"/>
          <w:lang w:val="en-US" w:eastAsia="zh-CN"/>
        </w:rPr>
        <w:t>1、供应商在获取本项目竞争性磋商文件前须仔细阅读资格要求内容，并按磋商文件规定要求在响应文件中递交合格有</w:t>
      </w:r>
      <w:r>
        <w:rPr>
          <w:rFonts w:hint="eastAsia" w:asciiTheme="minorEastAsia" w:hAnsiTheme="minorEastAsia" w:eastAsiaTheme="minorEastAsia" w:cstheme="minorEastAsia"/>
          <w:szCs w:val="21"/>
          <w:lang w:val="en-US" w:eastAsia="zh-CN"/>
        </w:rPr>
        <w:t>效的资格证明文件，资格审查不合格将导致竞标失败。</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供应商对自己所提供的资格证明材料的真实性负责，无论何时，如发现供应商提供虚假的材料，将按照《中华人民共和国政府采购法》及本项目竞争性磋商文件的有关规定进行严肃处理，并在相关网站上进行通报。</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请供应商仔细阅读本磋商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关于本项目磋商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spacing w:line="360" w:lineRule="auto"/>
        <w:rPr>
          <w:rFonts w:hint="eastAsia" w:asciiTheme="minorEastAsia" w:hAnsiTheme="minorEastAsia" w:eastAsiaTheme="minorEastAsia" w:cstheme="minorEastAsia"/>
        </w:rPr>
      </w:pP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中经国际招标集团有限公司</w:t>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日</w:t>
      </w:r>
    </w:p>
    <w:p>
      <w:pPr>
        <w:spacing w:line="360" w:lineRule="auto"/>
        <w:outlineLvl w:val="9"/>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pStyle w:val="21"/>
        <w:rPr>
          <w:rFonts w:hint="eastAsia" w:asciiTheme="minorEastAsia" w:hAnsiTheme="minorEastAsia" w:eastAsiaTheme="minorEastAsia" w:cstheme="minorEastAsia"/>
        </w:rPr>
      </w:pPr>
    </w:p>
    <w:p>
      <w:pPr>
        <w:numPr>
          <w:ilvl w:val="0"/>
          <w:numId w:val="4"/>
        </w:numPr>
        <w:jc w:val="center"/>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hint="eastAsia" w:asciiTheme="minorEastAsia" w:hAnsiTheme="minorEastAsia" w:eastAsiaTheme="minorEastAsia" w:cstheme="minorEastAsia"/>
          <w:sz w:val="32"/>
          <w:szCs w:val="32"/>
        </w:rPr>
      </w:pPr>
      <w:bookmarkStart w:id="26" w:name="_Toc16155"/>
      <w:r>
        <w:rPr>
          <w:rFonts w:hint="eastAsia" w:asciiTheme="minorEastAsia" w:hAnsiTheme="minorEastAsia" w:eastAsiaTheme="minorEastAsia" w:cstheme="minorEastAsia"/>
          <w:sz w:val="36"/>
          <w:szCs w:val="36"/>
        </w:rPr>
        <w:t>供应商须知</w:t>
      </w:r>
      <w:bookmarkEnd w:id="26"/>
    </w:p>
    <w:p>
      <w:pPr>
        <w:autoSpaceDE w:val="0"/>
        <w:autoSpaceDN w:val="0"/>
        <w:adjustRightInd w:val="0"/>
        <w:spacing w:line="360" w:lineRule="auto"/>
        <w:jc w:val="center"/>
        <w:outlineLvl w:val="1"/>
        <w:rPr>
          <w:rFonts w:hint="eastAsia" w:asciiTheme="minorEastAsia" w:hAnsiTheme="minorEastAsia" w:eastAsiaTheme="minorEastAsia" w:cstheme="minorEastAsia"/>
          <w:b/>
          <w:szCs w:val="21"/>
          <w:lang w:val="zh-CN"/>
        </w:rPr>
      </w:pPr>
      <w:bookmarkStart w:id="27" w:name="_Toc14855"/>
      <w:r>
        <w:rPr>
          <w:rFonts w:hint="eastAsia" w:asciiTheme="minorEastAsia" w:hAnsiTheme="minorEastAsia" w:eastAsiaTheme="minorEastAsia" w:cstheme="minorEastAsia"/>
          <w:b/>
          <w:szCs w:val="21"/>
        </w:rPr>
        <w:t>《供应商须知前附表》</w:t>
      </w:r>
      <w:bookmarkEnd w:id="27"/>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磋商供应商应仔细阅读竞争性磋商采购文件的第二章“供应商须知”，下面所列资料是对“供应商须知”的具体补充和说明。</w:t>
      </w:r>
      <w:r>
        <w:rPr>
          <w:rFonts w:hint="eastAsia" w:asciiTheme="minorEastAsia" w:hAnsiTheme="minorEastAsia" w:eastAsiaTheme="minorEastAsia" w:cstheme="minorEastAsia"/>
          <w:szCs w:val="21"/>
          <w:lang w:val="zh-CN"/>
        </w:rPr>
        <w:t>如有矛盾，应以本表为准。</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4"/>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814"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条款号</w:t>
            </w:r>
          </w:p>
        </w:tc>
        <w:tc>
          <w:tcPr>
            <w:tcW w:w="2127"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条款名称</w:t>
            </w:r>
          </w:p>
        </w:tc>
        <w:tc>
          <w:tcPr>
            <w:tcW w:w="6130"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2.1</w:t>
            </w:r>
          </w:p>
        </w:tc>
        <w:tc>
          <w:tcPr>
            <w:tcW w:w="212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采购人</w:t>
            </w:r>
          </w:p>
        </w:tc>
        <w:tc>
          <w:tcPr>
            <w:tcW w:w="6130" w:type="dxa"/>
            <w:vAlign w:val="center"/>
          </w:tcPr>
          <w:p>
            <w:pPr>
              <w:jc w:val="left"/>
              <w:rPr>
                <w:rFonts w:hint="eastAsia" w:asciiTheme="minorEastAsia" w:hAnsiTheme="minorEastAsia" w:eastAsiaTheme="minorEastAsia" w:cstheme="minorEastAsia"/>
                <w:color w:val="auto"/>
                <w:sz w:val="21"/>
                <w:szCs w:val="21"/>
                <w:lang w:val="zh-CN"/>
              </w:rPr>
            </w:pPr>
            <w:r>
              <w:rPr>
                <w:rFonts w:hint="eastAsia" w:ascii="宋体" w:hAnsi="宋体"/>
                <w:color w:val="auto"/>
                <w:szCs w:val="21"/>
                <w:lang w:val="zh-CN"/>
              </w:rPr>
              <w:t>武汉工程大学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2127" w:type="dxa"/>
            <w:vAlign w:val="center"/>
          </w:tcPr>
          <w:p>
            <w:pPr>
              <w:pStyle w:val="25"/>
              <w:widowControl w:val="0"/>
              <w:autoSpaceDE w:val="0"/>
              <w:autoSpaceDN w:val="0"/>
              <w:adjustRightInd w:val="0"/>
              <w:spacing w:before="0" w:beforeAutospacing="0" w:after="0" w:afterAutospacing="0" w:line="240" w:lineRule="auto"/>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监管部门</w:t>
            </w:r>
          </w:p>
        </w:tc>
        <w:tc>
          <w:tcPr>
            <w:tcW w:w="6130" w:type="dxa"/>
            <w:vAlign w:val="center"/>
          </w:tcPr>
          <w:p>
            <w:pPr>
              <w:autoSpaceDE w:val="0"/>
              <w:autoSpaceDN w:val="0"/>
              <w:adjustRightInd w:val="0"/>
              <w:rPr>
                <w:rFonts w:hint="eastAsia" w:asciiTheme="minorEastAsia" w:hAnsiTheme="minorEastAsia" w:eastAsiaTheme="minorEastAsia" w:cstheme="minorEastAsia"/>
                <w:color w:val="auto"/>
                <w:sz w:val="21"/>
                <w:szCs w:val="21"/>
                <w:lang w:val="zh-CN"/>
              </w:rPr>
            </w:pPr>
            <w:r>
              <w:rPr>
                <w:rFonts w:hint="eastAsia" w:ascii="宋体" w:hAnsi="宋体"/>
                <w:color w:val="auto"/>
                <w:szCs w:val="21"/>
              </w:rPr>
              <w:t>武汉工程大学上级监管机构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212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采购代理机构</w:t>
            </w:r>
          </w:p>
        </w:tc>
        <w:tc>
          <w:tcPr>
            <w:tcW w:w="6130"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left"/>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2.5</w:t>
            </w:r>
          </w:p>
        </w:tc>
        <w:tc>
          <w:tcPr>
            <w:tcW w:w="212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磋商供应商</w:t>
            </w:r>
          </w:p>
        </w:tc>
        <w:tc>
          <w:tcPr>
            <w:tcW w:w="6130" w:type="dxa"/>
            <w:vAlign w:val="center"/>
          </w:tcPr>
          <w:p>
            <w:pPr>
              <w:pStyle w:val="25"/>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sz w:val="21"/>
                <w:szCs w:val="21"/>
                <w:lang w:val="zh-CN"/>
              </w:rPr>
              <w:t>详见</w:t>
            </w:r>
            <w:r>
              <w:rPr>
                <w:rFonts w:hint="eastAsia" w:asciiTheme="minorEastAsia" w:hAnsiTheme="minorEastAsia" w:eastAsiaTheme="minorEastAsia" w:cstheme="minorEastAsia"/>
                <w:sz w:val="21"/>
                <w:szCs w:val="21"/>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4.2</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rPr>
              <w:t>招标代理服务费</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根据国家发展与改革委员会办公厅发改办价格【2003】857号文的规定，经与</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协商，由</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按国家发展计划委员会计价格【2002】1980号文规定</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取费标准</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lang w:val="en-US" w:eastAsia="zh-CN"/>
              </w:rPr>
              <w:t>61.7%</w:t>
            </w:r>
            <w:r>
              <w:rPr>
                <w:rFonts w:hint="eastAsia" w:asciiTheme="minorEastAsia" w:hAnsiTheme="minorEastAsia" w:eastAsiaTheme="minorEastAsia" w:cstheme="minorEastAsia"/>
                <w:sz w:val="21"/>
                <w:szCs w:val="21"/>
              </w:rPr>
              <w:t>向采</w:t>
            </w:r>
            <w:r>
              <w:rPr>
                <w:rFonts w:hint="eastAsia" w:asciiTheme="minorEastAsia" w:hAnsiTheme="minorEastAsia" w:eastAsiaTheme="minorEastAsia" w:cstheme="minorEastAsia"/>
                <w:color w:val="auto"/>
                <w:sz w:val="21"/>
                <w:szCs w:val="21"/>
              </w:rPr>
              <w:t>购代理机构支付招标代理服务费。招标代理服务费由</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在领取成交通知书的同时，向采购代理机构支付。详见成交公告，本项目服务期三年。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6.2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napToGrid w:val="0"/>
                <w:kern w:val="0"/>
                <w:sz w:val="21"/>
                <w:szCs w:val="21"/>
                <w:lang w:val="zh-CN"/>
              </w:rPr>
              <w:t>提疑截止时间</w:t>
            </w:r>
          </w:p>
        </w:tc>
        <w:tc>
          <w:tcPr>
            <w:tcW w:w="6130" w:type="dxa"/>
            <w:vAlign w:val="center"/>
          </w:tcPr>
          <w:p>
            <w:pPr>
              <w:pStyle w:val="25"/>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en-US" w:eastAsia="zh-CN"/>
              </w:rPr>
              <w:t>供应商</w:t>
            </w:r>
            <w:r>
              <w:rPr>
                <w:rFonts w:hint="eastAsia" w:asciiTheme="minorEastAsia" w:hAnsiTheme="minorEastAsia" w:eastAsiaTheme="minorEastAsia" w:cstheme="minorEastAsia"/>
                <w:b w:val="0"/>
                <w:bCs w:val="0"/>
                <w:sz w:val="21"/>
                <w:szCs w:val="21"/>
                <w:lang w:val="zh-CN"/>
              </w:rPr>
              <w:t>对</w:t>
            </w:r>
            <w:r>
              <w:rPr>
                <w:rFonts w:hint="eastAsia" w:asciiTheme="minorEastAsia" w:hAnsiTheme="minorEastAsia" w:eastAsiaTheme="minorEastAsia" w:cstheme="minorEastAsia"/>
                <w:b w:val="0"/>
                <w:bCs w:val="0"/>
                <w:sz w:val="21"/>
                <w:szCs w:val="21"/>
                <w:lang w:val="en-US" w:eastAsia="zh-CN"/>
              </w:rPr>
              <w:t>磋商</w:t>
            </w:r>
            <w:r>
              <w:rPr>
                <w:rFonts w:hint="eastAsia" w:asciiTheme="minorEastAsia" w:hAnsiTheme="minorEastAsia" w:eastAsiaTheme="minorEastAsia" w:cstheme="minorEastAsia"/>
                <w:b w:val="0"/>
                <w:bCs w:val="0"/>
                <w:sz w:val="21"/>
                <w:szCs w:val="21"/>
                <w:lang w:val="zh-CN"/>
              </w:rPr>
              <w:t>文件有异议</w:t>
            </w:r>
            <w:r>
              <w:rPr>
                <w:rFonts w:hint="eastAsia" w:asciiTheme="minorEastAsia" w:hAnsiTheme="minorEastAsia" w:eastAsiaTheme="minorEastAsia" w:cstheme="minorEastAsia"/>
                <w:b w:val="0"/>
                <w:bCs w:val="0"/>
                <w:sz w:val="21"/>
                <w:szCs w:val="21"/>
                <w:lang w:val="en-US" w:eastAsia="zh-CN"/>
              </w:rPr>
              <w:t>或疑问</w:t>
            </w:r>
            <w:r>
              <w:rPr>
                <w:rFonts w:hint="eastAsia" w:asciiTheme="minorEastAsia" w:hAnsiTheme="minorEastAsia" w:eastAsiaTheme="minorEastAsia" w:cstheme="minorEastAsia"/>
                <w:b w:val="0"/>
                <w:bCs w:val="0"/>
                <w:sz w:val="21"/>
                <w:szCs w:val="21"/>
                <w:lang w:val="zh-CN"/>
              </w:rPr>
              <w:t>的，均应以书面形式在</w:t>
            </w:r>
          </w:p>
          <w:p>
            <w:pPr>
              <w:pStyle w:val="25"/>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2020年</w:t>
            </w:r>
            <w:r>
              <w:rPr>
                <w:rFonts w:hint="eastAsia" w:asciiTheme="minorEastAsia" w:hAnsiTheme="minorEastAsia" w:eastAsiaTheme="minorEastAsia" w:cstheme="minorEastAsia"/>
                <w:b w:val="0"/>
                <w:bCs w:val="0"/>
                <w:sz w:val="21"/>
                <w:szCs w:val="21"/>
                <w:lang w:val="en-US" w:eastAsia="zh-CN"/>
              </w:rPr>
              <w:t>11</w:t>
            </w:r>
            <w:r>
              <w:rPr>
                <w:rFonts w:hint="eastAsia" w:asciiTheme="minorEastAsia" w:hAnsiTheme="minorEastAsia" w:eastAsiaTheme="minorEastAsia" w:cstheme="minorEastAsia"/>
                <w:b w:val="0"/>
                <w:bCs w:val="0"/>
                <w:sz w:val="21"/>
                <w:szCs w:val="21"/>
                <w:lang w:val="zh-CN"/>
              </w:rPr>
              <w:t>月</w:t>
            </w:r>
            <w:r>
              <w:rPr>
                <w:rFonts w:hint="eastAsia" w:asciiTheme="minorEastAsia" w:hAnsiTheme="minorEastAsia" w:eastAsiaTheme="minorEastAsia" w:cstheme="minorEastAsia"/>
                <w:b w:val="0"/>
                <w:bCs w:val="0"/>
                <w:sz w:val="21"/>
                <w:szCs w:val="21"/>
                <w:lang w:val="en-US" w:eastAsia="zh-CN"/>
              </w:rPr>
              <w:t>9</w:t>
            </w:r>
            <w:r>
              <w:rPr>
                <w:rFonts w:hint="eastAsia" w:asciiTheme="minorEastAsia" w:hAnsiTheme="minorEastAsia" w:eastAsiaTheme="minorEastAsia" w:cstheme="minorEastAsia"/>
                <w:b w:val="0"/>
                <w:bCs w:val="0"/>
                <w:sz w:val="21"/>
                <w:szCs w:val="21"/>
                <w:lang w:val="zh-CN"/>
              </w:rPr>
              <w:t>日</w:t>
            </w:r>
            <w:r>
              <w:rPr>
                <w:rFonts w:hint="eastAsia" w:asciiTheme="minorEastAsia" w:hAnsiTheme="minorEastAsia" w:eastAsiaTheme="minorEastAsia" w:cstheme="minorEastAsia"/>
                <w:b w:val="0"/>
                <w:bCs w:val="0"/>
                <w:sz w:val="21"/>
                <w:szCs w:val="21"/>
                <w:lang w:val="en-US" w:eastAsia="zh-CN"/>
              </w:rPr>
              <w:t>17</w:t>
            </w:r>
            <w:r>
              <w:rPr>
                <w:rFonts w:hint="eastAsia" w:asciiTheme="minorEastAsia" w:hAnsiTheme="minorEastAsia" w:eastAsiaTheme="minorEastAsia" w:cstheme="minorEastAsia"/>
                <w:b w:val="0"/>
                <w:bCs w:val="0"/>
                <w:sz w:val="21"/>
                <w:szCs w:val="21"/>
                <w:lang w:val="zh-CN"/>
              </w:rPr>
              <w:t>:</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lang w:val="zh-CN"/>
              </w:rPr>
              <w:t>0时前（北京时间），通知采购代理机构。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7.1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供应商确认收到磋商</w:t>
            </w:r>
          </w:p>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文件澄清或者修改的</w:t>
            </w:r>
          </w:p>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时间</w:t>
            </w:r>
          </w:p>
        </w:tc>
        <w:tc>
          <w:tcPr>
            <w:tcW w:w="6130" w:type="dxa"/>
            <w:vAlign w:val="center"/>
          </w:tcPr>
          <w:p>
            <w:pPr>
              <w:pStyle w:val="25"/>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对多</w:t>
            </w:r>
            <w:r>
              <w:rPr>
                <w:rFonts w:hint="eastAsia" w:asciiTheme="minorEastAsia" w:hAnsiTheme="minorEastAsia" w:eastAsiaTheme="minorEastAsia" w:cstheme="minorEastAsia"/>
                <w:snapToGrid w:val="0"/>
                <w:kern w:val="0"/>
                <w:sz w:val="21"/>
                <w:szCs w:val="21"/>
                <w:lang w:val="en-US" w:eastAsia="zh-CN"/>
              </w:rPr>
              <w:t>包</w:t>
            </w:r>
            <w:r>
              <w:rPr>
                <w:rFonts w:hint="eastAsia" w:asciiTheme="minorEastAsia" w:hAnsiTheme="minorEastAsia" w:eastAsiaTheme="minorEastAsia" w:cstheme="minorEastAsia"/>
                <w:snapToGrid w:val="0"/>
                <w:kern w:val="0"/>
                <w:sz w:val="21"/>
                <w:szCs w:val="21"/>
                <w:lang w:val="zh-CN"/>
              </w:rPr>
              <w:t>采购的规定</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详见</w:t>
            </w:r>
            <w:r>
              <w:rPr>
                <w:rFonts w:hint="eastAsia" w:asciiTheme="minorEastAsia" w:hAnsiTheme="minorEastAsia" w:eastAsiaTheme="minorEastAsia" w:cstheme="minorEastAsia"/>
                <w:sz w:val="21"/>
                <w:szCs w:val="21"/>
                <w:lang w:val="en-US" w:eastAsia="zh-CN"/>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12.1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备选方案</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本次采购  </w:t>
            </w:r>
            <w:r>
              <w:rPr>
                <w:rFonts w:hint="eastAsia" w:asciiTheme="minorEastAsia" w:hAnsiTheme="minorEastAsia" w:eastAsiaTheme="minorEastAsia" w:cstheme="minorEastAsia"/>
                <w:sz w:val="21"/>
                <w:szCs w:val="21"/>
                <w:u w:val="single"/>
                <w:lang w:val="zh-CN"/>
              </w:rPr>
              <w:t>不接受</w:t>
            </w:r>
            <w:r>
              <w:rPr>
                <w:rFonts w:hint="eastAsia" w:asciiTheme="minorEastAsia" w:hAnsiTheme="minorEastAsia" w:eastAsiaTheme="minorEastAsia" w:cstheme="minorEastAsia"/>
                <w:sz w:val="21"/>
                <w:szCs w:val="21"/>
                <w:lang w:val="zh-CN"/>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联合体磋商</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本次采购  </w:t>
            </w:r>
            <w:r>
              <w:rPr>
                <w:rFonts w:hint="eastAsia" w:asciiTheme="minorEastAsia" w:hAnsiTheme="minorEastAsia" w:eastAsiaTheme="minorEastAsia" w:cstheme="minorEastAsia"/>
                <w:color w:val="auto"/>
                <w:sz w:val="21"/>
                <w:szCs w:val="21"/>
                <w:u w:val="single"/>
                <w:lang w:val="zh-CN"/>
              </w:rPr>
              <w:t>不接受</w:t>
            </w:r>
            <w:r>
              <w:rPr>
                <w:rFonts w:hint="eastAsia" w:asciiTheme="minorEastAsia" w:hAnsiTheme="minorEastAsia" w:eastAsiaTheme="minorEastAsia" w:cstheme="minorEastAsia"/>
                <w:color w:val="auto"/>
                <w:sz w:val="21"/>
                <w:szCs w:val="21"/>
                <w:lang w:val="zh-CN"/>
              </w:rPr>
              <w:t xml:space="preserve"> 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bCs/>
                <w:sz w:val="21"/>
                <w:szCs w:val="21"/>
                <w:lang w:val="zh-CN"/>
              </w:rPr>
              <w:t>应提交的其它资格证明文件（实质性要求）</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详见第一章《</w:t>
            </w:r>
            <w:r>
              <w:rPr>
                <w:rFonts w:hint="eastAsia" w:asciiTheme="minorEastAsia" w:hAnsiTheme="minorEastAsia" w:eastAsiaTheme="minorEastAsia" w:cstheme="minorEastAsia"/>
                <w:sz w:val="21"/>
                <w:szCs w:val="21"/>
                <w:lang w:val="en-US" w:eastAsia="zh-CN"/>
              </w:rPr>
              <w:t>竞争性磋商</w:t>
            </w:r>
            <w:r>
              <w:rPr>
                <w:rFonts w:hint="eastAsia" w:asciiTheme="minorEastAsia" w:hAnsiTheme="minorEastAsia" w:eastAsiaTheme="minorEastAsia" w:cstheme="minorEastAsia"/>
                <w:sz w:val="21"/>
                <w:szCs w:val="21"/>
                <w:lang w:val="zh-CN"/>
              </w:rPr>
              <w:t>公告》第二款“资格要求”，须提供的证明文件包括但不限于：</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1、具有独立承担民事责任的能力（经营范围需满足采购需求）；</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营业执照等证明文件或自然人的身份证明（如供应商是企业 （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2、具有良好的商业信誉和健全的财务会计制度；</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良好的商业信誉证明材料（自拟），财务会计制度指财务状况报告（供应商是法人的，应提供前一年度经审计的财务报告，或其</w:t>
            </w:r>
            <w:r>
              <w:rPr>
                <w:rFonts w:hint="eastAsia" w:asciiTheme="minorEastAsia" w:hAnsiTheme="minorEastAsia" w:eastAsiaTheme="minorEastAsia" w:cstheme="minorEastAsia"/>
                <w:color w:val="auto"/>
                <w:sz w:val="21"/>
                <w:szCs w:val="21"/>
                <w:lang w:val="zh-CN"/>
              </w:rPr>
              <w:t>基本</w:t>
            </w:r>
            <w:r>
              <w:rPr>
                <w:rFonts w:hint="eastAsia" w:asciiTheme="minorEastAsia" w:hAnsiTheme="minorEastAsia" w:eastAsiaTheme="minorEastAsia" w:cstheme="minorEastAsia"/>
                <w:sz w:val="21"/>
                <w:szCs w:val="21"/>
                <w:lang w:val="zh-CN"/>
              </w:rPr>
              <w:t>开户银行出具的资信证明（银行资信证明应能说明该供应商与银行之间业务往来正常，企业信誉良好等。银行出具的单纯的存款证明不能视作银行资信证明。下同），其他组织和自然人，没有经审计的财务报告，提供银行出具的资信证明。由财政部门认可的政府采购专业担保机构对供应商进行资信审查后出具投标担保函的，可以不用提供经审计的财务报告和银行资信证明文件。）</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3、具有履行合同所必需的设备和专业技术能力的证明材料；（自拟）</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4、具有依法缴纳税收和社会保障资金的良好记录：（1）供应商依法缴纳税收的证明材料：投标截止时间往前推算连续六个月（至少三个月）缴纳税收的凭据（完税证明、缴款书、银行代扣（代缴）转账凭证等均可）；（2）供应商依法缴纳社会保障资金的证明材料：投标截止时间往前推算连续六个月（至少三个月）缴纳社会保险的凭据（专用发票或社会保险缴纳清单）；（3）供应商为其他组织或自然人的，也需要按此项规定提供缴纳税收的凭据和缴纳社会保险的凭据；（4）递交投标文件截止时间当月成立但因税务机关原因导致其尚未依法缴纳税收的供应商，提供依法缴纳税收承诺书原件（格式自拟），该承诺书视同税收缴纳凭据。（5）递交投标文件截止时间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缴纳社会保障资金。</w:t>
            </w:r>
          </w:p>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5、参加政府采购活动前三年内，在经营活动中没有重大违法记录；（提供书面声明）（重大违法记录是指供应商因违法经营受到刑事处罚或者责令停产停业、吊销许可证或者执照、较大数额罚款等行政处罚）</w:t>
            </w:r>
          </w:p>
          <w:p>
            <w:pPr>
              <w:autoSpaceDE w:val="0"/>
              <w:autoSpaceDN w:val="0"/>
              <w:adjustRightInd w:val="0"/>
              <w:spacing w:line="240" w:lineRule="auto"/>
              <w:jc w:val="lef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6、符合本文件第一章第二款资格要求的所有证明资料。</w:t>
            </w:r>
          </w:p>
          <w:p>
            <w:pPr>
              <w:autoSpaceDE w:val="0"/>
              <w:autoSpaceDN w:val="0"/>
              <w:adjustRightInd w:val="0"/>
              <w:spacing w:line="240" w:lineRule="auto"/>
              <w:jc w:val="left"/>
              <w:rPr>
                <w:rFonts w:hint="eastAsia"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b/>
                <w:bCs/>
                <w:sz w:val="21"/>
                <w:szCs w:val="21"/>
                <w:lang w:val="zh-CN"/>
              </w:rPr>
              <w:t>注：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投标单位本身，参股或控股单位及独立法人子公司的材料不能作为证明材料，但投标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14.4</w:t>
            </w:r>
          </w:p>
        </w:tc>
        <w:tc>
          <w:tcPr>
            <w:tcW w:w="2127"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供应商不得存在的其他情形</w:t>
            </w:r>
          </w:p>
        </w:tc>
        <w:tc>
          <w:tcPr>
            <w:tcW w:w="6130" w:type="dxa"/>
            <w:vAlign w:val="center"/>
          </w:tcPr>
          <w:p>
            <w:pPr>
              <w:numPr>
                <w:ilvl w:val="0"/>
                <w:numId w:val="9"/>
              </w:num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与采购人存在利害关系可能影响</w:t>
            </w:r>
            <w:r>
              <w:rPr>
                <w:rFonts w:hint="eastAsia" w:asciiTheme="minorEastAsia" w:hAnsiTheme="minorEastAsia" w:eastAsiaTheme="minorEastAsia" w:cstheme="minorEastAsia"/>
                <w:sz w:val="21"/>
                <w:szCs w:val="21"/>
                <w:lang w:val="en-US" w:eastAsia="zh-CN"/>
              </w:rPr>
              <w:t>采购</w:t>
            </w:r>
            <w:r>
              <w:rPr>
                <w:rFonts w:hint="eastAsia" w:asciiTheme="minorEastAsia" w:hAnsiTheme="minorEastAsia" w:eastAsiaTheme="minorEastAsia" w:cstheme="minorEastAsia"/>
                <w:sz w:val="21"/>
                <w:szCs w:val="21"/>
              </w:rPr>
              <w:t>公正性的法人、其他组织或者个人，不得参与本项目；单位负责人为同一人或存在控股、管理关系的不同单位只能有一家单位报名(按在采购代理机构处获取文件登记的先后顺序)。</w:t>
            </w:r>
          </w:p>
          <w:p>
            <w:pPr>
              <w:numPr>
                <w:ilvl w:val="0"/>
                <w:numId w:val="9"/>
              </w:numPr>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参与本项目采购活动前，已为本项目提供过整体设计、规范编制或者项目管理、监理、检测等服务的供应商。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15.1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lang w:val="zh-CN"/>
              </w:rPr>
              <w:t>证明响应内容符合竞争性磋商采购文件要求的文件和竞争性磋商采购文件规定的其他资料</w:t>
            </w:r>
          </w:p>
        </w:tc>
        <w:tc>
          <w:tcPr>
            <w:tcW w:w="6130" w:type="dxa"/>
            <w:vAlign w:val="center"/>
          </w:tcPr>
          <w:p>
            <w:pPr>
              <w:numPr>
                <w:ilvl w:val="0"/>
                <w:numId w:val="0"/>
              </w:num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16.1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磋商保证金金额、递交方式、时间及接受磋商保证金的帐户信息</w:t>
            </w:r>
            <w:r>
              <w:rPr>
                <w:rFonts w:hint="eastAsia" w:asciiTheme="minorEastAsia" w:hAnsiTheme="minorEastAsia" w:eastAsiaTheme="minorEastAsia" w:cstheme="minorEastAsia"/>
                <w:b/>
                <w:bCs/>
                <w:snapToGrid w:val="0"/>
                <w:color w:val="auto"/>
                <w:kern w:val="0"/>
                <w:sz w:val="21"/>
                <w:szCs w:val="21"/>
                <w:lang w:val="zh-CN"/>
              </w:rPr>
              <w:t>（</w:t>
            </w:r>
            <w:r>
              <w:rPr>
                <w:rFonts w:hint="eastAsia" w:asciiTheme="minorEastAsia" w:hAnsiTheme="minorEastAsia" w:eastAsiaTheme="minorEastAsia" w:cstheme="minorEastAsia"/>
                <w:b/>
                <w:bCs/>
                <w:snapToGrid w:val="0"/>
                <w:color w:val="auto"/>
                <w:kern w:val="0"/>
                <w:sz w:val="21"/>
                <w:szCs w:val="21"/>
                <w:lang w:val="en-US" w:eastAsia="zh-CN"/>
              </w:rPr>
              <w:t>本项目不适用</w:t>
            </w:r>
            <w:r>
              <w:rPr>
                <w:rFonts w:hint="eastAsia" w:asciiTheme="minorEastAsia" w:hAnsiTheme="minorEastAsia" w:eastAsiaTheme="minorEastAsia" w:cstheme="minorEastAsia"/>
                <w:b/>
                <w:bCs/>
                <w:snapToGrid w:val="0"/>
                <w:color w:val="auto"/>
                <w:kern w:val="0"/>
                <w:sz w:val="21"/>
                <w:szCs w:val="21"/>
                <w:lang w:val="zh-CN"/>
              </w:rPr>
              <w:t>）</w:t>
            </w:r>
          </w:p>
        </w:tc>
        <w:tc>
          <w:tcPr>
            <w:tcW w:w="6130" w:type="dxa"/>
            <w:vAlign w:val="center"/>
          </w:tcPr>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    额：</w:t>
            </w:r>
            <w:r>
              <w:rPr>
                <w:rFonts w:hint="eastAsia" w:asciiTheme="minorEastAsia" w:hAnsiTheme="minorEastAsia" w:eastAsiaTheme="minorEastAsia" w:cstheme="minorEastAsia"/>
                <w:color w:val="auto"/>
                <w:sz w:val="21"/>
                <w:szCs w:val="21"/>
                <w:lang w:val="en-US" w:eastAsia="zh-CN"/>
              </w:rPr>
              <w:t>/</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户    名：中经国际招标集团有限公司湖北分公司</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开户银行：中国农业银行股份有限公司武汉岳家嘴支行</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帐    号：17053001040009288</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lang w:eastAsia="zh-CN"/>
              </w:rPr>
              <w:t>缴纳</w:t>
            </w:r>
            <w:r>
              <w:rPr>
                <w:rFonts w:hint="eastAsia" w:asciiTheme="minorEastAsia" w:hAnsiTheme="minorEastAsia" w:eastAsiaTheme="minorEastAsia" w:cstheme="minorEastAsia"/>
                <w:color w:val="auto"/>
                <w:sz w:val="21"/>
                <w:szCs w:val="21"/>
              </w:rPr>
              <w:t>投标保证金必须从</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的基本帐户以支票、汇票、本票、电汇或者金融机构、担保机构出具的保函等非现金形式一次性汇至中经国际招标集团有限公司湖北分公司专用账户,截止时间为</w:t>
            </w:r>
            <w:r>
              <w:rPr>
                <w:rFonts w:hint="eastAsia" w:asciiTheme="minorEastAsia" w:hAnsiTheme="minorEastAsia" w:eastAsiaTheme="minorEastAsia" w:cstheme="minorEastAsia"/>
                <w:color w:val="auto"/>
                <w:sz w:val="21"/>
                <w:szCs w:val="21"/>
                <w:lang w:val="en-US" w:eastAsia="zh-CN"/>
              </w:rPr>
              <w:t>递交响应文件截止时间，以采购代理公司银行到账信息为准。</w:t>
            </w:r>
            <w:r>
              <w:rPr>
                <w:rFonts w:hint="eastAsia" w:asciiTheme="minorEastAsia" w:hAnsiTheme="minorEastAsia" w:eastAsiaTheme="minorEastAsia" w:cstheme="minorEastAsia"/>
                <w:color w:val="auto"/>
                <w:sz w:val="21"/>
                <w:szCs w:val="21"/>
              </w:rPr>
              <w:t>成交</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签订合同后须将合同扫描件（PDF版）发送至2102252595@qq.com邮箱备案后方可退还保证金。</w:t>
            </w:r>
            <w:r>
              <w:rPr>
                <w:rFonts w:hint="eastAsia" w:asciiTheme="minorEastAsia" w:hAnsiTheme="minorEastAsia" w:eastAsiaTheme="minorEastAsia" w:cstheme="minorEastAsia"/>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17.1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磋商有效期</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0"/>
                <w:sz w:val="21"/>
                <w:szCs w:val="21"/>
              </w:rPr>
              <w:t>自磋商截止时间起共</w:t>
            </w:r>
            <w:r>
              <w:rPr>
                <w:rFonts w:hint="eastAsia" w:asciiTheme="minorEastAsia" w:hAnsiTheme="minorEastAsia" w:eastAsiaTheme="minorEastAsia" w:cstheme="minorEastAsia"/>
                <w:kern w:val="0"/>
                <w:sz w:val="21"/>
                <w:szCs w:val="21"/>
                <w:u w:val="single"/>
                <w:lang w:val="en-US" w:eastAsia="zh-CN"/>
              </w:rPr>
              <w:t xml:space="preserve"> 90 </w:t>
            </w:r>
            <w:r>
              <w:rPr>
                <w:rFonts w:hint="eastAsia" w:asciiTheme="minorEastAsia" w:hAnsiTheme="minorEastAsia" w:eastAsiaTheme="minorEastAsia" w:cstheme="minorEastAsia"/>
                <w:kern w:val="0"/>
                <w:sz w:val="21"/>
                <w:szCs w:val="21"/>
              </w:rPr>
              <w:t>日历天</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18.1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竞争性磋商响应文件正、副本数量</w:t>
            </w:r>
          </w:p>
        </w:tc>
        <w:tc>
          <w:tcPr>
            <w:tcW w:w="6130" w:type="dxa"/>
            <w:vAlign w:val="center"/>
          </w:tcPr>
          <w:p>
            <w:pPr>
              <w:autoSpaceDE w:val="0"/>
              <w:autoSpaceDN w:val="0"/>
              <w:snapToGrid w:val="0"/>
              <w:spacing w:line="24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投标文件纸质版：正本一份（需为</w:t>
            </w:r>
            <w:r>
              <w:rPr>
                <w:rFonts w:hint="eastAsia" w:asciiTheme="minorEastAsia" w:hAnsiTheme="minorEastAsia" w:eastAsiaTheme="minorEastAsia" w:cstheme="minorEastAsia"/>
                <w:color w:val="auto"/>
                <w:sz w:val="21"/>
                <w:szCs w:val="21"/>
                <w:lang w:val="en-US" w:eastAsia="zh-CN"/>
              </w:rPr>
              <w:t>彩色打印</w:t>
            </w:r>
            <w:r>
              <w:rPr>
                <w:rFonts w:hint="eastAsia" w:asciiTheme="minorEastAsia" w:hAnsiTheme="minorEastAsia" w:eastAsiaTheme="minorEastAsia" w:cstheme="minorEastAsia"/>
                <w:color w:val="auto"/>
                <w:sz w:val="21"/>
                <w:szCs w:val="21"/>
              </w:rPr>
              <w:t>件），副本</w:t>
            </w:r>
            <w:r>
              <w:rPr>
                <w:rFonts w:hint="eastAsia" w:asciiTheme="minorEastAsia" w:hAnsiTheme="minorEastAsia" w:eastAsiaTheme="minorEastAsia" w:cstheme="minorEastAsia"/>
                <w:color w:val="auto"/>
                <w:sz w:val="21"/>
                <w:szCs w:val="21"/>
                <w:u w:val="single"/>
              </w:rPr>
              <w:t xml:space="preserve"> 两 </w:t>
            </w:r>
            <w:r>
              <w:rPr>
                <w:rFonts w:hint="eastAsia" w:asciiTheme="minorEastAsia" w:hAnsiTheme="minorEastAsia" w:eastAsiaTheme="minorEastAsia" w:cstheme="minorEastAsia"/>
                <w:color w:val="auto"/>
                <w:sz w:val="21"/>
                <w:szCs w:val="21"/>
              </w:rPr>
              <w:t>份</w:t>
            </w:r>
            <w:r>
              <w:rPr>
                <w:rFonts w:hint="eastAsia" w:asciiTheme="minorEastAsia" w:hAnsiTheme="minorEastAsia" w:eastAsiaTheme="minorEastAsia" w:cstheme="minorEastAsia"/>
                <w:color w:val="auto"/>
                <w:sz w:val="21"/>
                <w:szCs w:val="21"/>
                <w:lang w:eastAsia="zh-CN"/>
              </w:rPr>
              <w:t>；</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投标文件电子版：</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□不要求</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bdr w:val="single" w:color="auto" w:sz="4" w:space="0"/>
              </w:rPr>
              <w:t>√</w:t>
            </w:r>
            <w:r>
              <w:rPr>
                <w:rFonts w:hint="eastAsia" w:asciiTheme="minorEastAsia" w:hAnsiTheme="minorEastAsia" w:eastAsiaTheme="minorEastAsia" w:cstheme="minorEastAsia"/>
                <w:color w:val="auto"/>
                <w:sz w:val="21"/>
                <w:szCs w:val="21"/>
              </w:rPr>
              <w:t>要求，投标文件电子版内容：</w:t>
            </w:r>
            <w:r>
              <w:rPr>
                <w:rFonts w:hint="eastAsia" w:asciiTheme="minorEastAsia" w:hAnsiTheme="minorEastAsia" w:eastAsiaTheme="minorEastAsia" w:cstheme="minorEastAsia"/>
                <w:color w:val="auto"/>
                <w:sz w:val="21"/>
                <w:szCs w:val="21"/>
                <w:u w:val="single"/>
              </w:rPr>
              <w:t>与正本保持一致</w:t>
            </w:r>
          </w:p>
          <w:p>
            <w:pPr>
              <w:autoSpaceDE w:val="0"/>
              <w:autoSpaceDN w:val="0"/>
              <w:snapToGrid w:val="0"/>
              <w:spacing w:line="240" w:lineRule="auto"/>
              <w:ind w:firstLine="840" w:firstLineChars="4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投标文件电子版格式：</w:t>
            </w:r>
            <w:r>
              <w:rPr>
                <w:rFonts w:hint="eastAsia" w:asciiTheme="minorEastAsia" w:hAnsiTheme="minorEastAsia" w:eastAsiaTheme="minorEastAsia" w:cstheme="minorEastAsia"/>
                <w:color w:val="auto"/>
                <w:sz w:val="21"/>
                <w:szCs w:val="21"/>
                <w:u w:val="single"/>
                <w:shd w:val="clear" w:color="auto" w:fill="FFFFFF"/>
                <w:lang w:val="en-US" w:eastAsia="zh-CN"/>
              </w:rPr>
              <w:t>WORD</w:t>
            </w:r>
            <w:r>
              <w:rPr>
                <w:rFonts w:hint="eastAsia" w:asciiTheme="minorEastAsia" w:hAnsiTheme="minorEastAsia" w:eastAsiaTheme="minorEastAsia" w:cstheme="minorEastAsia"/>
                <w:color w:val="auto"/>
                <w:sz w:val="21"/>
                <w:szCs w:val="21"/>
                <w:u w:val="single"/>
              </w:rPr>
              <w:t>格式</w:t>
            </w:r>
            <w:r>
              <w:rPr>
                <w:rFonts w:hint="eastAsia" w:asciiTheme="minorEastAsia" w:hAnsiTheme="minorEastAsia" w:eastAsiaTheme="minorEastAsia" w:cstheme="minorEastAsia"/>
                <w:color w:val="auto"/>
                <w:sz w:val="21"/>
                <w:szCs w:val="21"/>
                <w:u w:val="single"/>
                <w:shd w:val="clear" w:color="auto" w:fill="FFFFFF"/>
                <w:lang w:val="en-US" w:eastAsia="zh-CN"/>
              </w:rPr>
              <w:t>和</w:t>
            </w:r>
            <w:r>
              <w:rPr>
                <w:rFonts w:hint="eastAsia" w:asciiTheme="minorEastAsia" w:hAnsiTheme="minorEastAsia" w:eastAsiaTheme="minorEastAsia" w:cstheme="minorEastAsia"/>
                <w:color w:val="auto"/>
                <w:sz w:val="21"/>
                <w:szCs w:val="21"/>
                <w:u w:val="single"/>
                <w:lang w:val="en-US" w:eastAsia="zh-CN"/>
              </w:rPr>
              <w:t>加盖公章后的</w:t>
            </w:r>
            <w:r>
              <w:rPr>
                <w:rFonts w:hint="eastAsia" w:asciiTheme="minorEastAsia" w:hAnsiTheme="minorEastAsia" w:eastAsiaTheme="minorEastAsia" w:cstheme="minorEastAsia"/>
                <w:color w:val="auto"/>
                <w:sz w:val="21"/>
                <w:szCs w:val="21"/>
                <w:u w:val="single"/>
              </w:rPr>
              <w:t>PDF</w:t>
            </w:r>
            <w:r>
              <w:rPr>
                <w:rFonts w:hint="eastAsia" w:asciiTheme="minorEastAsia" w:hAnsiTheme="minorEastAsia" w:eastAsiaTheme="minorEastAsia" w:cstheme="minorEastAsia"/>
                <w:color w:val="auto"/>
                <w:sz w:val="21"/>
                <w:szCs w:val="21"/>
                <w:u w:val="single"/>
                <w:lang w:val="en-US" w:eastAsia="zh-CN"/>
              </w:rPr>
              <w:t>扫描件</w:t>
            </w:r>
            <w:r>
              <w:rPr>
                <w:rFonts w:hint="eastAsia" w:asciiTheme="minorEastAsia" w:hAnsiTheme="minorEastAsia" w:eastAsiaTheme="minorEastAsia" w:cstheme="minorEastAsia"/>
                <w:color w:val="auto"/>
                <w:sz w:val="21"/>
                <w:szCs w:val="21"/>
                <w:u w:val="single"/>
              </w:rPr>
              <w:t>格式</w:t>
            </w:r>
            <w:r>
              <w:rPr>
                <w:rFonts w:hint="eastAsia" w:asciiTheme="minorEastAsia" w:hAnsiTheme="minorEastAsia" w:eastAsiaTheme="minorEastAsia" w:cstheme="minorEastAsia"/>
                <w:color w:val="auto"/>
                <w:sz w:val="21"/>
                <w:szCs w:val="21"/>
                <w:u w:val="single"/>
                <w:lang w:val="en-US" w:eastAsia="zh-CN"/>
              </w:rPr>
              <w:t>；</w:t>
            </w:r>
          </w:p>
          <w:p>
            <w:pPr>
              <w:autoSpaceDE w:val="0"/>
              <w:autoSpaceDN w:val="0"/>
              <w:adjustRightInd w:val="0"/>
              <w:spacing w:line="240" w:lineRule="auto"/>
              <w:ind w:firstLine="840" w:firstLineChars="400"/>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投标文件电子版形式：</w:t>
            </w:r>
            <w:r>
              <w:rPr>
                <w:rFonts w:hint="eastAsia" w:asciiTheme="minorEastAsia" w:hAnsiTheme="minorEastAsia" w:eastAsiaTheme="minorEastAsia" w:cstheme="minorEastAsia"/>
                <w:color w:val="auto"/>
                <w:sz w:val="21"/>
                <w:szCs w:val="21"/>
                <w:u w:val="single"/>
              </w:rPr>
              <w:t xml:space="preserve"> U盘1份</w:t>
            </w:r>
          </w:p>
          <w:p>
            <w:pPr>
              <w:autoSpaceDE w:val="0"/>
              <w:autoSpaceDN w:val="0"/>
              <w:adjustRightInd w:val="0"/>
              <w:spacing w:line="240" w:lineRule="auto"/>
              <w:jc w:val="left"/>
              <w:rPr>
                <w:rFonts w:hint="eastAsia" w:asciiTheme="minorEastAsia" w:hAnsiTheme="minorEastAsia" w:eastAsiaTheme="minorEastAsia" w:cstheme="minorEastAsia"/>
                <w:b w:val="0"/>
                <w:bCs w:val="0"/>
                <w:color w:val="auto"/>
                <w:sz w:val="21"/>
                <w:szCs w:val="21"/>
                <w:u w:val="single"/>
              </w:rPr>
            </w:pPr>
            <w:r>
              <w:rPr>
                <w:rFonts w:hint="eastAsia" w:asciiTheme="minorEastAsia" w:hAnsiTheme="minorEastAsia" w:eastAsiaTheme="minorEastAsia" w:cstheme="minorEastAsia"/>
                <w:b w:val="0"/>
                <w:bCs w:val="0"/>
                <w:color w:val="auto"/>
                <w:sz w:val="21"/>
                <w:szCs w:val="21"/>
                <w:u w:val="none"/>
                <w:lang w:val="en-US" w:eastAsia="zh-CN"/>
              </w:rPr>
              <w:t>3、手持</w:t>
            </w:r>
            <w:r>
              <w:rPr>
                <w:rFonts w:hint="eastAsia" w:asciiTheme="minorEastAsia" w:hAnsiTheme="minorEastAsia" w:eastAsiaTheme="minorEastAsia" w:cstheme="minorEastAsia"/>
                <w:b w:val="0"/>
                <w:bCs w:val="0"/>
                <w:color w:val="auto"/>
                <w:sz w:val="21"/>
                <w:szCs w:val="21"/>
                <w:u w:val="none"/>
              </w:rPr>
              <w:t>法定代表人授权委托书（或法定代表人身份证明书）、单独</w:t>
            </w:r>
            <w:r>
              <w:rPr>
                <w:rFonts w:hint="eastAsia" w:asciiTheme="minorEastAsia" w:hAnsiTheme="minorEastAsia" w:eastAsiaTheme="minorEastAsia" w:cstheme="minorEastAsia"/>
                <w:b w:val="0"/>
                <w:bCs w:val="0"/>
                <w:color w:val="auto"/>
                <w:sz w:val="21"/>
                <w:szCs w:val="21"/>
                <w:u w:val="none"/>
                <w:lang w:val="en-US" w:eastAsia="zh-CN"/>
              </w:rPr>
              <w:t>密封</w:t>
            </w:r>
            <w:r>
              <w:rPr>
                <w:rFonts w:hint="eastAsia" w:asciiTheme="minorEastAsia" w:hAnsiTheme="minorEastAsia" w:eastAsiaTheme="minorEastAsia" w:cstheme="minorEastAsia"/>
                <w:b w:val="0"/>
                <w:bCs w:val="0"/>
                <w:color w:val="auto"/>
                <w:sz w:val="21"/>
                <w:szCs w:val="21"/>
                <w:u w:val="none"/>
              </w:rPr>
              <w:t>提供的报价一览表、优惠声明（如有）</w:t>
            </w:r>
            <w:r>
              <w:rPr>
                <w:rFonts w:hint="eastAsia" w:asciiTheme="minorEastAsia" w:hAnsiTheme="minorEastAsia" w:eastAsiaTheme="minorEastAsia" w:cstheme="minorEastAsia"/>
                <w:b w:val="0"/>
                <w:bCs w:val="0"/>
                <w:color w:val="auto"/>
                <w:sz w:val="21"/>
                <w:szCs w:val="21"/>
                <w:u w:val="none"/>
                <w:lang w:eastAsia="zh-CN"/>
              </w:rPr>
              <w:t>；</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所有响应文件概不退还，响应文件按包分开制作，分开密封。</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纸质投标文件</w:t>
            </w:r>
            <w:r>
              <w:rPr>
                <w:rFonts w:hint="eastAsia" w:asciiTheme="minorEastAsia" w:hAnsiTheme="minorEastAsia" w:eastAsiaTheme="minorEastAsia" w:cstheme="minorEastAsia"/>
                <w:color w:val="auto"/>
                <w:sz w:val="21"/>
                <w:szCs w:val="21"/>
                <w:lang w:val="en-US" w:eastAsia="zh-CN"/>
              </w:rPr>
              <w:t>应</w:t>
            </w:r>
            <w:r>
              <w:rPr>
                <w:rFonts w:hint="eastAsia" w:asciiTheme="minorEastAsia" w:hAnsiTheme="minorEastAsia" w:eastAsiaTheme="minorEastAsia" w:cstheme="minorEastAsia"/>
                <w:color w:val="auto"/>
                <w:sz w:val="21"/>
                <w:szCs w:val="21"/>
              </w:rPr>
              <w:t>采用胶粘方</w:t>
            </w:r>
            <w:r>
              <w:rPr>
                <w:rFonts w:hint="eastAsia" w:asciiTheme="minorEastAsia" w:hAnsiTheme="minorEastAsia" w:eastAsiaTheme="minorEastAsia" w:cstheme="minorEastAsia"/>
                <w:color w:val="auto"/>
                <w:sz w:val="21"/>
                <w:szCs w:val="21"/>
                <w:lang w:val="zh-CN"/>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en-US" w:eastAsia="zh-CN"/>
              </w:rPr>
              <w:t>19.1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kern w:val="0"/>
                <w:sz w:val="21"/>
                <w:szCs w:val="21"/>
                <w:lang w:val="zh-CN"/>
              </w:rPr>
              <w:t>竞争性磋商响应文件的密封和标记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kern w:val="0"/>
                <w:sz w:val="21"/>
                <w:szCs w:val="21"/>
              </w:rPr>
              <w:t>本条款细化为：响应文件</w:t>
            </w:r>
            <w:r>
              <w:rPr>
                <w:rFonts w:hint="eastAsia" w:asciiTheme="minorEastAsia" w:hAnsiTheme="minorEastAsia" w:eastAsiaTheme="minorEastAsia" w:cstheme="minorEastAsia"/>
                <w:kern w:val="0"/>
                <w:sz w:val="21"/>
                <w:szCs w:val="21"/>
                <w:lang w:eastAsia="zh-CN"/>
              </w:rPr>
              <w:t>正本</w:t>
            </w:r>
            <w:r>
              <w:rPr>
                <w:rFonts w:hint="eastAsia" w:asciiTheme="minorEastAsia" w:hAnsiTheme="minorEastAsia" w:eastAsiaTheme="minorEastAsia" w:cstheme="minorEastAsia"/>
                <w:kern w:val="0"/>
                <w:sz w:val="21"/>
                <w:szCs w:val="21"/>
              </w:rPr>
              <w:t>需逐页加盖供应商单位公章，不得使用单位其他专用章代替。</w:t>
            </w:r>
            <w:r>
              <w:rPr>
                <w:rFonts w:hint="eastAsia" w:asciiTheme="minorEastAsia" w:hAnsiTheme="minorEastAsia" w:eastAsiaTheme="minorEastAsia" w:cstheme="minorEastAsia"/>
                <w:kern w:val="0"/>
                <w:sz w:val="21"/>
                <w:szCs w:val="21"/>
                <w:lang w:eastAsia="zh-CN"/>
              </w:rPr>
              <w:t>因签字盖章问题导致的响应材料被否决或竞标受影响的情况，其后果供应商自行承担。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样品</w:t>
            </w:r>
            <w:r>
              <w:rPr>
                <w:rFonts w:hint="eastAsia" w:asciiTheme="minorEastAsia" w:hAnsiTheme="minorEastAsia" w:eastAsiaTheme="minorEastAsia" w:cstheme="minorEastAsia"/>
                <w:b/>
                <w:bCs/>
                <w:snapToGrid w:val="0"/>
                <w:color w:val="auto"/>
                <w:kern w:val="0"/>
                <w:sz w:val="21"/>
                <w:szCs w:val="21"/>
                <w:lang w:val="zh-CN"/>
              </w:rPr>
              <w:t>（</w:t>
            </w:r>
            <w:r>
              <w:rPr>
                <w:rFonts w:hint="eastAsia" w:asciiTheme="minorEastAsia" w:hAnsiTheme="minorEastAsia" w:eastAsiaTheme="minorEastAsia" w:cstheme="minorEastAsia"/>
                <w:b/>
                <w:bCs/>
                <w:snapToGrid w:val="0"/>
                <w:color w:val="auto"/>
                <w:kern w:val="0"/>
                <w:sz w:val="21"/>
                <w:szCs w:val="21"/>
                <w:lang w:val="en-US" w:eastAsia="zh-CN"/>
              </w:rPr>
              <w:t>本项目不适用</w:t>
            </w:r>
            <w:r>
              <w:rPr>
                <w:rFonts w:hint="eastAsia" w:asciiTheme="minorEastAsia" w:hAnsiTheme="minorEastAsia" w:eastAsiaTheme="minorEastAsia" w:cstheme="minorEastAsia"/>
                <w:b/>
                <w:bCs/>
                <w:snapToGrid w:val="0"/>
                <w:color w:val="auto"/>
                <w:kern w:val="0"/>
                <w:sz w:val="21"/>
                <w:szCs w:val="21"/>
                <w:lang w:val="zh-CN"/>
              </w:rPr>
              <w:t>）</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提交样品的相关规定：要求在磋商时提交样品的，应在样品上标明磋商供应商名称。</w:t>
            </w:r>
            <w:r>
              <w:rPr>
                <w:rFonts w:hint="eastAsia" w:asciiTheme="minorEastAsia" w:hAnsiTheme="minorEastAsia" w:eastAsiaTheme="minorEastAsia" w:cstheme="minorEastAsia"/>
                <w:color w:val="auto"/>
                <w:kern w:val="0"/>
                <w:sz w:val="21"/>
                <w:szCs w:val="21"/>
                <w:lang w:val="zh-CN"/>
              </w:rPr>
              <w:br w:type="textWrapping"/>
            </w:r>
            <w:r>
              <w:rPr>
                <w:rFonts w:hint="eastAsia" w:asciiTheme="minorEastAsia" w:hAnsiTheme="minorEastAsia" w:eastAsiaTheme="minorEastAsia" w:cstheme="minorEastAsia"/>
                <w:color w:val="auto"/>
                <w:kern w:val="0"/>
                <w:sz w:val="21"/>
                <w:szCs w:val="21"/>
                <w:lang w:val="zh-CN"/>
              </w:rPr>
              <w:t>退还样品的相关规定：</w:t>
            </w:r>
            <w:r>
              <w:rPr>
                <w:rFonts w:hint="eastAsia" w:asciiTheme="minorEastAsia" w:hAnsiTheme="minorEastAsia" w:eastAsiaTheme="minorEastAsia" w:cstheme="minorEastAsia"/>
                <w:color w:val="auto"/>
                <w:kern w:val="0"/>
                <w:sz w:val="21"/>
                <w:szCs w:val="21"/>
                <w:lang w:val="en-US" w:eastAsia="zh-CN"/>
              </w:rPr>
              <w:t>未成交供应商在成交公告发布之日起5个工作日内退还，具体电话通知。成交供应商样品移交采购人作为验收依据，不予退还。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lang w:val="zh-CN"/>
              </w:rPr>
              <w:t>响应文件送达地点及递交截止时间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磋商小组人数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3人或3人以上单数组成，其中采购人代表不超过成员总数的三分之一，外聘经济及技术专家在省政府采购专家库中随机抽取。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磋商代表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eastAsia="zh-CN"/>
              </w:rPr>
              <w:t>建议供应商拟派出席磋商会议的磋商代表为熟知本项目的技术人员或商务负责人等能</w:t>
            </w:r>
            <w:r>
              <w:rPr>
                <w:rFonts w:hint="eastAsia" w:asciiTheme="minorEastAsia" w:hAnsiTheme="minorEastAsia" w:eastAsiaTheme="minorEastAsia" w:cstheme="minorEastAsia"/>
                <w:b/>
                <w:bCs/>
                <w:sz w:val="21"/>
                <w:szCs w:val="21"/>
                <w:lang w:val="en-US" w:eastAsia="zh-CN"/>
              </w:rPr>
              <w:t>为磋商小组详细介绍供应商公司情况及项目了解情况的</w:t>
            </w:r>
            <w:r>
              <w:rPr>
                <w:rFonts w:hint="eastAsia" w:asciiTheme="minorEastAsia" w:hAnsiTheme="minorEastAsia" w:eastAsiaTheme="minorEastAsia" w:cstheme="minorEastAsia"/>
                <w:b/>
                <w:bCs/>
                <w:sz w:val="21"/>
                <w:szCs w:val="21"/>
                <w:lang w:val="zh-CN" w:eastAsia="zh-CN"/>
              </w:rPr>
              <w:t>具有依法缴纳社会保障资金良好记录（磋商现场查询）的在职工作人员，以便在评审过程中进行可能出现的答疑或澄清。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26.4</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提交最后报价供应商的确定方式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采购代理机构将竞争性磋商第二轮报价表（磋商承诺书）发放至所有通过了资格审查及符合性审查的磋商供应商，磋商供应商应在指定的时间内提交满足要求的最后报价，</w:t>
            </w:r>
            <w:r>
              <w:rPr>
                <w:rFonts w:hint="eastAsia" w:asciiTheme="minorEastAsia" w:hAnsiTheme="minorEastAsia" w:eastAsiaTheme="minorEastAsia" w:cstheme="minorEastAsia"/>
                <w:snapToGrid w:val="0"/>
                <w:kern w:val="0"/>
                <w:sz w:val="21"/>
                <w:szCs w:val="21"/>
                <w:lang w:val="en-US" w:eastAsia="zh-CN"/>
              </w:rPr>
              <w:t>在指定地点以</w:t>
            </w:r>
            <w:r>
              <w:rPr>
                <w:rFonts w:hint="eastAsia" w:asciiTheme="minorEastAsia" w:hAnsiTheme="minorEastAsia" w:eastAsiaTheme="minorEastAsia" w:cstheme="minorEastAsia"/>
                <w:snapToGrid w:val="0"/>
                <w:kern w:val="0"/>
                <w:sz w:val="21"/>
                <w:szCs w:val="21"/>
                <w:lang w:val="zh-CN"/>
              </w:rPr>
              <w:t>密封</w:t>
            </w:r>
            <w:r>
              <w:rPr>
                <w:rFonts w:hint="eastAsia" w:asciiTheme="minorEastAsia" w:hAnsiTheme="minorEastAsia" w:eastAsiaTheme="minorEastAsia" w:cstheme="minorEastAsia"/>
                <w:snapToGrid w:val="0"/>
                <w:kern w:val="0"/>
                <w:sz w:val="21"/>
                <w:szCs w:val="21"/>
                <w:lang w:val="en-US" w:eastAsia="zh-CN"/>
              </w:rPr>
              <w:t>等形式</w:t>
            </w:r>
            <w:r>
              <w:rPr>
                <w:rFonts w:hint="eastAsia" w:asciiTheme="minorEastAsia" w:hAnsiTheme="minorEastAsia" w:eastAsiaTheme="minorEastAsia" w:cstheme="minorEastAsia"/>
                <w:snapToGrid w:val="0"/>
                <w:kern w:val="0"/>
                <w:sz w:val="21"/>
                <w:szCs w:val="21"/>
                <w:lang w:val="zh-CN"/>
              </w:rPr>
              <w:t>递交</w:t>
            </w:r>
            <w:r>
              <w:rPr>
                <w:rFonts w:hint="eastAsia" w:asciiTheme="minorEastAsia" w:hAnsiTheme="minorEastAsia" w:eastAsiaTheme="minorEastAsia" w:cstheme="minorEastAsia"/>
                <w:snapToGrid w:val="0"/>
                <w:kern w:val="0"/>
                <w:sz w:val="21"/>
                <w:szCs w:val="21"/>
                <w:lang w:val="en-US" w:eastAsia="zh-CN"/>
              </w:rPr>
              <w:t>给采购代理机构指定现场工作人员或</w:t>
            </w:r>
            <w:r>
              <w:rPr>
                <w:rFonts w:hint="eastAsia" w:asciiTheme="minorEastAsia" w:hAnsiTheme="minorEastAsia" w:eastAsiaTheme="minorEastAsia" w:cstheme="minorEastAsia"/>
                <w:snapToGrid w:val="0"/>
                <w:kern w:val="0"/>
                <w:sz w:val="21"/>
                <w:szCs w:val="21"/>
                <w:lang w:val="zh-CN"/>
              </w:rPr>
              <w:t>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27.3</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推荐成交候选</w:t>
            </w:r>
            <w:r>
              <w:rPr>
                <w:rFonts w:hint="eastAsia" w:asciiTheme="minorEastAsia" w:hAnsiTheme="minorEastAsia" w:eastAsiaTheme="minorEastAsia" w:cstheme="minorEastAsia"/>
                <w:snapToGrid w:val="0"/>
                <w:kern w:val="0"/>
                <w:sz w:val="21"/>
                <w:szCs w:val="21"/>
                <w:lang w:val="en-US" w:eastAsia="zh-CN"/>
              </w:rPr>
              <w:t>供应商</w:t>
            </w:r>
            <w:r>
              <w:rPr>
                <w:rFonts w:hint="eastAsia" w:asciiTheme="minorEastAsia" w:hAnsiTheme="minorEastAsia" w:eastAsiaTheme="minorEastAsia" w:cstheme="minorEastAsia"/>
                <w:snapToGrid w:val="0"/>
                <w:kern w:val="0"/>
                <w:sz w:val="21"/>
                <w:szCs w:val="21"/>
                <w:lang w:val="zh-CN"/>
              </w:rPr>
              <w:t>数量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本项目推荐</w:t>
            </w:r>
            <w:r>
              <w:rPr>
                <w:rFonts w:hint="eastAsia" w:asciiTheme="minorEastAsia" w:hAnsiTheme="minorEastAsia" w:eastAsiaTheme="minorEastAsia" w:cstheme="minorEastAsia"/>
                <w:bCs/>
                <w:color w:val="auto"/>
                <w:kern w:val="44"/>
                <w:sz w:val="21"/>
                <w:szCs w:val="21"/>
                <w:u w:val="single"/>
                <w:lang w:val="en-US" w:eastAsia="zh-CN"/>
              </w:rPr>
              <w:t>3</w:t>
            </w:r>
            <w:r>
              <w:rPr>
                <w:rFonts w:hint="eastAsia" w:asciiTheme="minorEastAsia" w:hAnsiTheme="minorEastAsia" w:eastAsiaTheme="minorEastAsia" w:cstheme="minorEastAsia"/>
                <w:bCs/>
                <w:kern w:val="44"/>
                <w:sz w:val="21"/>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28.5</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成交通知书的领</w:t>
            </w:r>
            <w:r>
              <w:rPr>
                <w:rFonts w:hint="eastAsia" w:asciiTheme="minorEastAsia" w:hAnsiTheme="minorEastAsia" w:eastAsiaTheme="minorEastAsia" w:cstheme="minorEastAsia"/>
                <w:snapToGrid w:val="0"/>
                <w:kern w:val="0"/>
                <w:sz w:val="21"/>
                <w:szCs w:val="21"/>
                <w:lang w:val="en-US" w:eastAsia="zh-CN"/>
              </w:rPr>
              <w:t>时</w:t>
            </w:r>
            <w:r>
              <w:rPr>
                <w:rFonts w:hint="eastAsia" w:asciiTheme="minorEastAsia" w:hAnsiTheme="minorEastAsia" w:eastAsiaTheme="minorEastAsia" w:cstheme="minorEastAsia"/>
                <w:snapToGrid w:val="0"/>
                <w:kern w:val="0"/>
                <w:sz w:val="21"/>
                <w:szCs w:val="21"/>
                <w:lang w:val="zh-CN"/>
              </w:rPr>
              <w:t>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成交通知书与成交结果公告同时发出，成交供应商在成交结果公告</w:t>
            </w:r>
          </w:p>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发布以后即可</w:t>
            </w:r>
            <w:r>
              <w:rPr>
                <w:rFonts w:hint="eastAsia" w:asciiTheme="minorEastAsia" w:hAnsiTheme="minorEastAsia" w:eastAsiaTheme="minorEastAsia" w:cstheme="minorEastAsia"/>
                <w:bCs/>
                <w:kern w:val="44"/>
                <w:sz w:val="21"/>
                <w:szCs w:val="21"/>
                <w:lang w:val="en-US" w:eastAsia="zh-CN"/>
              </w:rPr>
              <w:t>联系采购代理机构</w:t>
            </w:r>
            <w:r>
              <w:rPr>
                <w:rFonts w:hint="eastAsia" w:asciiTheme="minorEastAsia" w:hAnsiTheme="minorEastAsia" w:eastAsiaTheme="minorEastAsia" w:cstheme="minorEastAsia"/>
                <w:bCs/>
                <w:kern w:val="44"/>
                <w:sz w:val="21"/>
                <w:szCs w:val="21"/>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9071" w:type="dxa"/>
            <w:gridSpan w:val="3"/>
            <w:vAlign w:val="center"/>
          </w:tcPr>
          <w:p>
            <w:pPr>
              <w:autoSpaceDE w:val="0"/>
              <w:autoSpaceDN w:val="0"/>
              <w:adjustRightInd w:val="0"/>
              <w:snapToGrid w:val="0"/>
              <w:spacing w:before="31" w:beforeLines="10" w:after="31" w:afterLines="10" w:line="240" w:lineRule="auto"/>
              <w:ind w:right="21" w:rightChars="10"/>
              <w:jc w:val="center"/>
              <w:rPr>
                <w:rFonts w:hint="eastAsia"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b/>
                <w:bCs/>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报价方式</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竞标报价应包括完成该</w:t>
            </w:r>
            <w:r>
              <w:rPr>
                <w:rFonts w:hint="eastAsia" w:asciiTheme="minorEastAsia" w:hAnsiTheme="minorEastAsia" w:eastAsiaTheme="minorEastAsia" w:cstheme="minorEastAsia"/>
                <w:color w:val="auto"/>
                <w:sz w:val="21"/>
                <w:szCs w:val="21"/>
                <w:lang w:val="en-US" w:eastAsia="zh-CN"/>
              </w:rPr>
              <w:t>项目采购范围内的</w:t>
            </w:r>
            <w:r>
              <w:rPr>
                <w:rFonts w:hint="eastAsia" w:asciiTheme="minorEastAsia" w:hAnsiTheme="minorEastAsia" w:eastAsiaTheme="minorEastAsia" w:cstheme="minorEastAsia"/>
                <w:color w:val="auto"/>
                <w:sz w:val="21"/>
                <w:szCs w:val="21"/>
              </w:rPr>
              <w:t>所有费用</w:t>
            </w:r>
            <w:r>
              <w:rPr>
                <w:rFonts w:hint="eastAsia" w:asciiTheme="minorEastAsia" w:hAnsiTheme="minorEastAsia" w:eastAsiaTheme="minorEastAsia" w:cstheme="minorEastAsia"/>
                <w:color w:val="auto"/>
                <w:sz w:val="21"/>
                <w:szCs w:val="21"/>
                <w:lang w:val="zh-CN"/>
              </w:rPr>
              <w:t>及</w:t>
            </w:r>
            <w:r>
              <w:rPr>
                <w:rFonts w:hint="eastAsia" w:asciiTheme="minorEastAsia" w:hAnsiTheme="minorEastAsia" w:eastAsiaTheme="minorEastAsia" w:cstheme="minorEastAsia"/>
                <w:color w:val="auto"/>
                <w:sz w:val="21"/>
                <w:szCs w:val="21"/>
                <w:lang w:val="en-US" w:eastAsia="zh-CN"/>
              </w:rPr>
              <w:t>后期</w:t>
            </w:r>
            <w:r>
              <w:rPr>
                <w:rFonts w:hint="eastAsia" w:asciiTheme="minorEastAsia" w:hAnsiTheme="minorEastAsia" w:eastAsiaTheme="minorEastAsia" w:cstheme="minorEastAsia"/>
                <w:color w:val="auto"/>
                <w:sz w:val="21"/>
                <w:szCs w:val="21"/>
                <w:lang w:val="zh-CN"/>
              </w:rPr>
              <w:t>质保期间等一切服务费用及其他售后服务等全部相关工作</w:t>
            </w:r>
            <w:r>
              <w:rPr>
                <w:rFonts w:hint="eastAsia" w:asciiTheme="minorEastAsia" w:hAnsiTheme="minorEastAsia" w:eastAsiaTheme="minorEastAsia" w:cstheme="minorEastAsia"/>
                <w:color w:val="auto"/>
                <w:sz w:val="21"/>
                <w:szCs w:val="21"/>
                <w:lang w:val="en-US" w:eastAsia="zh-CN"/>
              </w:rPr>
              <w:t>的全费用</w:t>
            </w:r>
            <w:r>
              <w:rPr>
                <w:rFonts w:hint="eastAsia" w:asciiTheme="minorEastAsia" w:hAnsiTheme="minorEastAsia" w:eastAsiaTheme="minorEastAsia" w:cstheme="minorEastAsia"/>
                <w:color w:val="auto"/>
                <w:sz w:val="21"/>
                <w:szCs w:val="21"/>
                <w:lang w:val="zh-CN"/>
              </w:rPr>
              <w:t>。合同签订后采购人未提出增加工作内容的情况下，合同价不得调整。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各供应商按此要求进行报价，同时在合同实施过程中还将发生的其它费用</w:t>
            </w:r>
            <w:r>
              <w:rPr>
                <w:rFonts w:hint="eastAsia" w:asciiTheme="minorEastAsia" w:hAnsiTheme="minorEastAsia" w:eastAsiaTheme="minorEastAsia" w:cstheme="minorEastAsia"/>
                <w:color w:val="auto"/>
                <w:sz w:val="21"/>
                <w:szCs w:val="21"/>
                <w:lang w:val="en-US" w:eastAsia="zh-CN"/>
              </w:rPr>
              <w:t>也</w:t>
            </w:r>
            <w:r>
              <w:rPr>
                <w:rFonts w:hint="eastAsia" w:asciiTheme="minorEastAsia" w:hAnsiTheme="minorEastAsia" w:eastAsiaTheme="minorEastAsia" w:cstheme="minorEastAsia"/>
                <w:color w:val="auto"/>
                <w:sz w:val="21"/>
                <w:szCs w:val="21"/>
                <w:lang w:val="zh-CN"/>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lang w:val="zh-CN"/>
              </w:rPr>
              <w:t>概不负责。</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对于</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文件未列明，而</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供应商认为</w:t>
            </w:r>
            <w:r>
              <w:rPr>
                <w:rFonts w:hint="eastAsia" w:asciiTheme="minorEastAsia" w:hAnsiTheme="minorEastAsia" w:eastAsiaTheme="minorEastAsia" w:cstheme="minorEastAsia"/>
                <w:color w:val="auto"/>
                <w:sz w:val="21"/>
                <w:szCs w:val="21"/>
                <w:lang w:val="en-US" w:eastAsia="zh-CN"/>
              </w:rPr>
              <w:t>必须</w:t>
            </w:r>
            <w:r>
              <w:rPr>
                <w:rFonts w:hint="eastAsia" w:asciiTheme="minorEastAsia" w:hAnsiTheme="minorEastAsia" w:eastAsiaTheme="minorEastAsia" w:cstheme="minorEastAsia"/>
                <w:color w:val="auto"/>
                <w:sz w:val="21"/>
                <w:szCs w:val="21"/>
                <w:lang w:val="zh-CN"/>
              </w:rPr>
              <w:t>的费用也需列入总报价。在合同实施时，采购人将不予支付</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lang w:val="zh-CN"/>
              </w:rPr>
              <w:t>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bidi="ar-SA"/>
              </w:rPr>
              <w:t>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踏勘现场</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采购人不组织统一踏勘，</w:t>
            </w:r>
            <w:r>
              <w:rPr>
                <w:rFonts w:hint="eastAsia" w:asciiTheme="minorEastAsia" w:hAnsiTheme="minorEastAsia" w:eastAsiaTheme="minorEastAsia" w:cstheme="minorEastAsia"/>
                <w:color w:val="auto"/>
                <w:sz w:val="21"/>
                <w:szCs w:val="21"/>
              </w:rPr>
              <w:t>请各供应商自行踏勘现场；</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□组织，踏勘时间：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踏勘集中地点：</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踏勘联系人：</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注：1、</w:t>
            </w:r>
            <w:r>
              <w:rPr>
                <w:rFonts w:hint="eastAsia" w:asciiTheme="minorEastAsia" w:hAnsiTheme="minorEastAsia" w:eastAsiaTheme="minorEastAsia" w:cstheme="minorEastAsia"/>
                <w:color w:val="auto"/>
                <w:sz w:val="21"/>
                <w:szCs w:val="21"/>
              </w:rPr>
              <w:t>供应商承担踏勘现场所发生的自身费用；</w:t>
            </w:r>
          </w:p>
          <w:p>
            <w:pPr>
              <w:numPr>
                <w:ilvl w:val="0"/>
                <w:numId w:val="0"/>
              </w:numPr>
              <w:autoSpaceDE w:val="0"/>
              <w:autoSpaceDN w:val="0"/>
              <w:adjustRightInd w:val="0"/>
              <w:snapToGrid w:val="0"/>
              <w:spacing w:before="31" w:beforeLines="10" w:after="31" w:afterLines="10" w:line="240" w:lineRule="auto"/>
              <w:ind w:leftChars="0" w:right="21" w:rightChars="10"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供应商应承担踏勘现场的责任和风险。</w:t>
            </w:r>
          </w:p>
          <w:p>
            <w:pPr>
              <w:numPr>
                <w:ilvl w:val="0"/>
                <w:numId w:val="0"/>
              </w:numPr>
              <w:autoSpaceDE w:val="0"/>
              <w:autoSpaceDN w:val="0"/>
              <w:adjustRightInd w:val="0"/>
              <w:snapToGrid w:val="0"/>
              <w:spacing w:before="31" w:beforeLines="10" w:after="31" w:afterLines="10" w:line="240" w:lineRule="auto"/>
              <w:ind w:left="0" w:leftChars="0" w:right="21" w:rightChars="10" w:firstLine="420" w:firstLineChars="200"/>
              <w:jc w:val="left"/>
              <w:rPr>
                <w:rFonts w:hint="eastAsia" w:asciiTheme="minorEastAsia" w:hAnsiTheme="minorEastAsia" w:eastAsiaTheme="minorEastAsia" w:cstheme="minorEastAsia"/>
                <w:color w:val="auto"/>
                <w:kern w:val="2"/>
                <w:sz w:val="21"/>
                <w:szCs w:val="21"/>
                <w:lang w:val="zh-CN" w:eastAsia="zh-CN" w:bidi="ar-SA"/>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采购人在踏勘现场中介绍的项目</w:t>
            </w:r>
            <w:r>
              <w:rPr>
                <w:rFonts w:hint="eastAsia" w:asciiTheme="minorEastAsia" w:hAnsiTheme="minorEastAsia" w:eastAsiaTheme="minorEastAsia" w:cstheme="minorEastAsia"/>
                <w:color w:val="auto"/>
                <w:sz w:val="21"/>
                <w:szCs w:val="21"/>
                <w:lang w:val="en-US" w:eastAsia="zh-CN"/>
              </w:rPr>
              <w:t>背景及项目现场</w:t>
            </w:r>
            <w:r>
              <w:rPr>
                <w:rFonts w:hint="eastAsia" w:asciiTheme="minorEastAsia" w:hAnsiTheme="minorEastAsia" w:eastAsiaTheme="minorEastAsia" w:cstheme="minorEastAsia"/>
                <w:color w:val="auto"/>
                <w:sz w:val="21"/>
                <w:szCs w:val="21"/>
              </w:rPr>
              <w:t>和相关的周边环境情况，供应商在编制响应文件时参考，采购人和采购代理机构不对供应商据此作出的判断和决策负责。</w:t>
            </w:r>
          </w:p>
        </w:tc>
      </w:tr>
    </w:tbl>
    <w:p>
      <w:pPr>
        <w:rPr>
          <w:rFonts w:hint="eastAsia" w:asciiTheme="minorEastAsia" w:hAnsiTheme="minorEastAsia" w:eastAsiaTheme="minorEastAsia" w:cstheme="minorEastAsia"/>
          <w:b/>
          <w:szCs w:val="21"/>
        </w:rPr>
      </w:pPr>
      <w:bookmarkStart w:id="28" w:name="_Toc21328"/>
      <w:r>
        <w:rPr>
          <w:rFonts w:hint="eastAsia" w:asciiTheme="minorEastAsia" w:hAnsiTheme="minorEastAsia" w:eastAsiaTheme="minorEastAsia" w:cstheme="minorEastAsia"/>
          <w:b/>
          <w:szCs w:val="21"/>
        </w:rPr>
        <w:br w:type="page"/>
      </w:r>
    </w:p>
    <w:p>
      <w:pPr>
        <w:spacing w:line="360" w:lineRule="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供应商须知</w:t>
      </w:r>
      <w:bookmarkEnd w:id="28"/>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29" w:name="_Toc13404"/>
      <w:r>
        <w:rPr>
          <w:rFonts w:hint="eastAsia" w:asciiTheme="minorEastAsia" w:hAnsiTheme="minorEastAsia" w:eastAsiaTheme="minorEastAsia" w:cstheme="minorEastAsia"/>
          <w:b/>
          <w:szCs w:val="21"/>
        </w:rPr>
        <w:t>总则</w:t>
      </w:r>
      <w:bookmarkEnd w:id="29"/>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0" w:name="_Toc24622"/>
      <w:bookmarkStart w:id="31" w:name="_Toc27243"/>
      <w:r>
        <w:rPr>
          <w:rFonts w:hint="eastAsia" w:asciiTheme="minorEastAsia" w:hAnsiTheme="minorEastAsia" w:eastAsiaTheme="minorEastAsia" w:cstheme="minorEastAsia"/>
          <w:b/>
          <w:szCs w:val="21"/>
        </w:rPr>
        <w:t>适用法律及范围</w:t>
      </w:r>
      <w:bookmarkEnd w:id="30"/>
      <w:bookmarkEnd w:id="31"/>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本竞争性磋商采购文件仅适用于本次竞争性磋商中所述的项目的采购。</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2" w:name="_Toc13704"/>
      <w:bookmarkStart w:id="33" w:name="_Toc30547"/>
      <w:r>
        <w:rPr>
          <w:rFonts w:hint="eastAsia" w:asciiTheme="minorEastAsia" w:hAnsiTheme="minorEastAsia" w:eastAsiaTheme="minorEastAsia" w:cstheme="minorEastAsia"/>
          <w:b/>
          <w:szCs w:val="21"/>
        </w:rPr>
        <w:t>定义</w:t>
      </w:r>
      <w:bookmarkEnd w:id="32"/>
      <w:bookmarkEnd w:id="33"/>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“采购人”：本次磋商的采购人见《供应商须知前附表》。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“监管部门”：本次磋商的监管部门见《供应商须知前附表》。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“采购代理机构”：本次磋商的采购代理机构见《供应商须知前附表》。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“供应商”是指获取本竞争性磋商采购文件的法人、其他组织或者自然人。</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“磋商供应商”是指</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符合</w:t>
      </w:r>
      <w:r>
        <w:rPr>
          <w:rFonts w:hint="eastAsia" w:asciiTheme="minorEastAsia" w:hAnsiTheme="minorEastAsia" w:eastAsiaTheme="minorEastAsia" w:cstheme="minorEastAsia"/>
          <w:szCs w:val="21"/>
        </w:rPr>
        <w:t>具备《中华人民共和国政府采购法》第二十二条规定的条件；</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符合《供应商须知前附表》的相应条件；</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通过竞争性磋商采购评定办法中初步审核的供应商。</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“成交供应商”</w:t>
      </w:r>
      <w:r>
        <w:rPr>
          <w:rFonts w:hint="eastAsia" w:asciiTheme="minorEastAsia" w:hAnsiTheme="minorEastAsia" w:eastAsiaTheme="minorEastAsia" w:cstheme="minorEastAsia"/>
          <w:snapToGrid w:val="0"/>
          <w:kern w:val="0"/>
          <w:szCs w:val="21"/>
          <w:lang w:val="zh-CN"/>
        </w:rPr>
        <w:t xml:space="preserve"> 是指经</w:t>
      </w:r>
      <w:r>
        <w:rPr>
          <w:rFonts w:hint="eastAsia" w:asciiTheme="minorEastAsia" w:hAnsiTheme="minorEastAsia" w:eastAsiaTheme="minorEastAsia" w:cstheme="minorEastAsia"/>
          <w:snapToGrid w:val="0"/>
          <w:color w:val="auto"/>
          <w:kern w:val="0"/>
          <w:szCs w:val="21"/>
          <w:lang w:val="zh-CN"/>
        </w:rPr>
        <w:t>磋商小组评</w:t>
      </w:r>
      <w:r>
        <w:rPr>
          <w:rFonts w:hint="eastAsia" w:asciiTheme="minorEastAsia" w:hAnsiTheme="minorEastAsia" w:eastAsiaTheme="minorEastAsia" w:cstheme="minorEastAsia"/>
          <w:snapToGrid w:val="0"/>
          <w:kern w:val="0"/>
          <w:szCs w:val="21"/>
          <w:lang w:val="zh-CN"/>
        </w:rPr>
        <w:t>审推荐，采购人授予合同的供应商。</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4" w:name="_Toc6652"/>
      <w:bookmarkStart w:id="35" w:name="_Toc30503"/>
      <w:r>
        <w:rPr>
          <w:rFonts w:hint="eastAsia" w:asciiTheme="minorEastAsia" w:hAnsiTheme="minorEastAsia" w:eastAsiaTheme="minorEastAsia" w:cstheme="minorEastAsia"/>
          <w:b/>
          <w:snapToGrid w:val="0"/>
          <w:kern w:val="0"/>
          <w:szCs w:val="21"/>
          <w:lang w:val="zh-CN"/>
        </w:rPr>
        <w:t>工程、货物及服务</w:t>
      </w:r>
      <w:bookmarkEnd w:id="34"/>
      <w:bookmarkEnd w:id="35"/>
    </w:p>
    <w:p>
      <w:pPr>
        <w:numPr>
          <w:ilvl w:val="1"/>
          <w:numId w:val="14"/>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“工程”是指建设工程，包括建筑物和构筑物的新建、改建、扩建及其相关的装修、拆除、修缮等。</w:t>
      </w:r>
    </w:p>
    <w:p>
      <w:pPr>
        <w:numPr>
          <w:ilvl w:val="1"/>
          <w:numId w:val="14"/>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“货物”是指各种形态和种类的物品，包括原材料、燃料、设备、产品等。</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服务”是指是指除货物（指各种形态和种类的物品，包括原材料、燃料、设备、产品等）和工程（指建设工程，包括建筑物和构筑物的新建、改建、扩建及其相关的装修、拆除、修缮等）以外的其他政府采购对象。</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6" w:name="_Toc9974"/>
      <w:bookmarkStart w:id="37" w:name="_Toc12871"/>
      <w:r>
        <w:rPr>
          <w:rFonts w:hint="eastAsia" w:asciiTheme="minorEastAsia" w:hAnsiTheme="minorEastAsia" w:eastAsiaTheme="minorEastAsia" w:cstheme="minorEastAsia"/>
          <w:b/>
          <w:szCs w:val="21"/>
        </w:rPr>
        <w:t>费用</w:t>
      </w:r>
      <w:bookmarkEnd w:id="36"/>
      <w:bookmarkEnd w:id="37"/>
      <w:r>
        <w:rPr>
          <w:rFonts w:hint="eastAsia" w:asciiTheme="minorEastAsia" w:hAnsiTheme="minorEastAsia" w:eastAsiaTheme="minorEastAsia" w:cstheme="minorEastAsia"/>
          <w:b/>
          <w:szCs w:val="21"/>
        </w:rPr>
        <w:t xml:space="preserve">  </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供应商应承担所有与准备和参加磋商有关的费用，不论磋商的结果如何，采购人和采购代理机构均无义务和责任</w:t>
      </w:r>
      <w:r>
        <w:rPr>
          <w:rFonts w:hint="eastAsia" w:asciiTheme="minorEastAsia" w:hAnsiTheme="minorEastAsia" w:eastAsiaTheme="minorEastAsia" w:cstheme="minorEastAsia"/>
          <w:color w:val="auto"/>
          <w:szCs w:val="21"/>
        </w:rPr>
        <w:t>承担这些费用。</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招标代理服务费：成交供应商须在收到成交通知书时向采购代理机构支付招标代理服务费。服务费支付标准和方法详见《供应商须知前附表》。</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国家计委计价格[2002]1980 号规定标准收费：</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中标金额（万元）</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货物</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服务</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100以下</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100-500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0.8</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500-1000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0.8</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0.45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1000-5000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0.25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0.35</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5000-10000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0.25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0.1</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0.2</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10000-100000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0.05</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100000以上</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0.01</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0.01</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0.01</w:t>
            </w:r>
            <w:r>
              <w:rPr>
                <w:rFonts w:hint="eastAsia" w:asciiTheme="minorEastAsia" w:hAnsiTheme="minorEastAsia" w:eastAsiaTheme="minorEastAsia" w:cstheme="minorEastAsia"/>
                <w:color w:val="auto"/>
                <w:sz w:val="21"/>
                <w:szCs w:val="21"/>
              </w:rPr>
              <w:t>%</w:t>
            </w:r>
          </w:p>
        </w:tc>
      </w:tr>
    </w:tbl>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注：招标代理服务收费按差额定率累进法计算。例如：某服务招标代理业务中标金额为6000万元，计算招标代理服务收费额如下：</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 xml:space="preserve"> 0---100：100×1.500％=15000.000元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100---500：400×0.800％=32000.000元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500---1000：500×0.450％=22500.000元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1000---5000：4000×0.250％=100000.000元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5000---6000：1000×0.100％=10000.000元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合计收费=179500.000元</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38" w:name="_Toc32483"/>
      <w:r>
        <w:rPr>
          <w:rFonts w:hint="eastAsia" w:asciiTheme="minorEastAsia" w:hAnsiTheme="minorEastAsia" w:eastAsiaTheme="minorEastAsia" w:cstheme="minorEastAsia"/>
          <w:b/>
          <w:color w:val="auto"/>
          <w:szCs w:val="21"/>
        </w:rPr>
        <w:t>竞争性磋商采购文件</w:t>
      </w:r>
      <w:bookmarkEnd w:id="38"/>
    </w:p>
    <w:p>
      <w:pPr>
        <w:numPr>
          <w:ilvl w:val="0"/>
          <w:numId w:val="11"/>
        </w:numPr>
        <w:spacing w:line="360" w:lineRule="auto"/>
        <w:ind w:hanging="540"/>
        <w:outlineLvl w:val="1"/>
        <w:rPr>
          <w:rFonts w:hint="eastAsia" w:asciiTheme="minorEastAsia" w:hAnsiTheme="minorEastAsia" w:eastAsiaTheme="minorEastAsia" w:cstheme="minorEastAsia"/>
          <w:b/>
          <w:color w:val="auto"/>
          <w:szCs w:val="21"/>
        </w:rPr>
      </w:pPr>
      <w:bookmarkStart w:id="39" w:name="_Toc4547"/>
      <w:bookmarkStart w:id="40" w:name="_Toc25932"/>
      <w:r>
        <w:rPr>
          <w:rFonts w:hint="eastAsia" w:asciiTheme="minorEastAsia" w:hAnsiTheme="minorEastAsia" w:eastAsiaTheme="minorEastAsia" w:cstheme="minorEastAsia"/>
          <w:b/>
          <w:color w:val="auto"/>
          <w:szCs w:val="21"/>
        </w:rPr>
        <w:t>竞争性磋商采购文件的构成</w:t>
      </w:r>
      <w:bookmarkEnd w:id="39"/>
      <w:bookmarkEnd w:id="40"/>
    </w:p>
    <w:p>
      <w:pPr>
        <w:numPr>
          <w:ilvl w:val="1"/>
          <w:numId w:val="16"/>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本竞争性磋商采购文件包括：</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磋商公告</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供应商须知</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采购需求</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竞争性磋商采购评定办法</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合同书格式</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竞争性磋商响应文件格式</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采购过程中由采购代理机构发出的澄清和修正文件</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磋商小组</w:t>
      </w:r>
      <w:r>
        <w:rPr>
          <w:rFonts w:hint="eastAsia" w:asciiTheme="minorEastAsia" w:hAnsiTheme="minorEastAsia" w:eastAsiaTheme="minorEastAsia" w:cstheme="minorEastAsia"/>
          <w:color w:val="auto"/>
          <w:szCs w:val="21"/>
        </w:rPr>
        <w:t>在磋商过程中发出的对本磋商文件的实质性变动</w:t>
      </w:r>
    </w:p>
    <w:p>
      <w:pPr>
        <w:numPr>
          <w:ilvl w:val="0"/>
          <w:numId w:val="11"/>
        </w:numPr>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41" w:name="_Toc29700"/>
      <w:bookmarkStart w:id="42" w:name="_Toc26439"/>
      <w:r>
        <w:rPr>
          <w:rFonts w:hint="eastAsia" w:asciiTheme="minorEastAsia" w:hAnsiTheme="minorEastAsia" w:eastAsiaTheme="minorEastAsia" w:cstheme="minorEastAsia"/>
          <w:b/>
          <w:snapToGrid w:val="0"/>
          <w:color w:val="auto"/>
          <w:kern w:val="0"/>
          <w:szCs w:val="21"/>
          <w:lang w:val="zh-CN"/>
        </w:rPr>
        <w:t>竞争性磋商采购文件的澄清</w:t>
      </w:r>
      <w:bookmarkEnd w:id="41"/>
      <w:bookmarkEnd w:id="42"/>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供应商获取竞争性磋商采购文件后，应认真检查，如发现页数不全、附件缺失、印刷模糊等，应通知采购代理机构补全或更换，否则风险自负。</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color w:val="auto"/>
          <w:kern w:val="0"/>
          <w:szCs w:val="21"/>
          <w:lang w:val="zh-CN"/>
        </w:rPr>
        <w:t>供应商要求对本竞争性磋商采购文件进行澄清的，应以书面形式（包括信函、电报、传真等可以有形地表现所载内容的形式，</w:t>
      </w:r>
      <w:r>
        <w:rPr>
          <w:rFonts w:hint="eastAsia" w:asciiTheme="minorEastAsia" w:hAnsiTheme="minorEastAsia" w:eastAsiaTheme="minorEastAsia" w:cstheme="minorEastAsia"/>
          <w:snapToGrid w:val="0"/>
          <w:kern w:val="0"/>
          <w:szCs w:val="21"/>
          <w:lang w:val="zh-CN"/>
        </w:rPr>
        <w:t>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采购代理机构对于符合澄清要求的，将以书面形式给所有接收磋商文件的供应商予以答复(答复中不包括问题的来源)，供应商收到答复后应在24小时内以书面形式向采购代理机构予以确认。</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供应商在规定的时间内未对竞争性磋商采购文件澄清或提出疑问的，采购代理机构将视其为同意。</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澄清的内容是本竞争性磋商采购文件的组成部分，当竞争性磋商采购文件</w:t>
      </w:r>
      <w:r>
        <w:rPr>
          <w:rFonts w:hint="eastAsia" w:asciiTheme="minorEastAsia" w:hAnsiTheme="minorEastAsia" w:eastAsiaTheme="minorEastAsia" w:cstheme="minorEastAsia"/>
          <w:szCs w:val="21"/>
        </w:rPr>
        <w:t>、澄清文件对同一内容的表述不一致时，以最后发出的书面文件为准。</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3" w:name="_Toc13283"/>
      <w:bookmarkStart w:id="44" w:name="_Toc31761"/>
      <w:r>
        <w:rPr>
          <w:rFonts w:hint="eastAsia" w:asciiTheme="minorEastAsia" w:hAnsiTheme="minorEastAsia" w:eastAsiaTheme="minorEastAsia" w:cstheme="minorEastAsia"/>
          <w:b/>
          <w:snapToGrid w:val="0"/>
          <w:kern w:val="0"/>
          <w:szCs w:val="21"/>
          <w:lang w:val="zh-CN"/>
        </w:rPr>
        <w:t>竞争性磋商采购文件的修改</w:t>
      </w:r>
      <w:bookmarkEnd w:id="43"/>
      <w:bookmarkEnd w:id="44"/>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当磋商文件、修改文件对同一内容的表述不一致时，以最后发出的书面文件为准。</w:t>
      </w:r>
    </w:p>
    <w:p>
      <w:pPr>
        <w:numPr>
          <w:ilvl w:val="1"/>
          <w:numId w:val="18"/>
        </w:numPr>
        <w:tabs>
          <w:tab w:val="left" w:pos="525"/>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个工作日前发出，不足</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个工作日的，采购人、采购代理机构将顺延提交首次响应文件截止之日。</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45" w:name="_Toc16348"/>
      <w:r>
        <w:rPr>
          <w:rFonts w:hint="eastAsia" w:asciiTheme="minorEastAsia" w:hAnsiTheme="minorEastAsia" w:eastAsiaTheme="minorEastAsia" w:cstheme="minorEastAsia"/>
          <w:b/>
          <w:szCs w:val="21"/>
        </w:rPr>
        <w:t>竞争性磋商响应文件</w:t>
      </w:r>
      <w:bookmarkEnd w:id="45"/>
    </w:p>
    <w:p>
      <w:pPr>
        <w:numPr>
          <w:ilvl w:val="0"/>
          <w:numId w:val="11"/>
        </w:numPr>
        <w:spacing w:line="360" w:lineRule="auto"/>
        <w:ind w:hanging="540"/>
        <w:outlineLvl w:val="1"/>
        <w:rPr>
          <w:rFonts w:hint="eastAsia" w:asciiTheme="minorEastAsia" w:hAnsiTheme="minorEastAsia" w:eastAsiaTheme="minorEastAsia" w:cstheme="minorEastAsia"/>
          <w:snapToGrid w:val="0"/>
          <w:kern w:val="0"/>
          <w:szCs w:val="21"/>
          <w:lang w:val="zh-CN"/>
        </w:rPr>
      </w:pPr>
      <w:bookmarkStart w:id="46" w:name="_Toc19000"/>
      <w:bookmarkStart w:id="47" w:name="_Toc30987"/>
      <w:r>
        <w:rPr>
          <w:rFonts w:hint="eastAsia" w:asciiTheme="minorEastAsia" w:hAnsiTheme="minorEastAsia" w:eastAsiaTheme="minorEastAsia" w:cstheme="minorEastAsia"/>
          <w:b/>
          <w:snapToGrid w:val="0"/>
          <w:kern w:val="0"/>
          <w:szCs w:val="21"/>
          <w:lang w:val="zh-CN"/>
        </w:rPr>
        <w:t>语言和计量单位</w:t>
      </w:r>
      <w:bookmarkEnd w:id="46"/>
      <w:bookmarkEnd w:id="47"/>
    </w:p>
    <w:p>
      <w:pPr>
        <w:numPr>
          <w:ilvl w:val="1"/>
          <w:numId w:val="19"/>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竞争性磋商响应文件以及供应商与采购代理机构或采购人就有关磋商的所有来往信函、电报、传真等均应使用中文。供应商提交的支持文件或印刷的文献可以用另一种语言，但相应内容应附有中文翻译本，在解释竞争性磋商响应文件时以中文翻译本为准。</w:t>
      </w:r>
    </w:p>
    <w:p>
      <w:pPr>
        <w:numPr>
          <w:ilvl w:val="1"/>
          <w:numId w:val="19"/>
        </w:numPr>
        <w:tabs>
          <w:tab w:val="left" w:pos="540"/>
          <w:tab w:val="clear" w:pos="360"/>
        </w:tabs>
        <w:spacing w:line="360" w:lineRule="auto"/>
        <w:ind w:left="540" w:hanging="540"/>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snapToGrid w:val="0"/>
          <w:kern w:val="0"/>
          <w:szCs w:val="21"/>
          <w:lang w:val="zh-CN"/>
        </w:rPr>
        <w:t>除非竞争性磋商采购文件中另有规定，计量单位均采用中华人民共和国法定的计量单位。</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8" w:name="_Toc21819"/>
      <w:bookmarkStart w:id="49" w:name="_Toc32272"/>
      <w:r>
        <w:rPr>
          <w:rFonts w:hint="eastAsia" w:asciiTheme="minorEastAsia" w:hAnsiTheme="minorEastAsia" w:eastAsiaTheme="minorEastAsia" w:cstheme="minorEastAsia"/>
          <w:b/>
          <w:snapToGrid w:val="0"/>
          <w:kern w:val="0"/>
          <w:szCs w:val="21"/>
          <w:lang w:val="zh-CN"/>
        </w:rPr>
        <w:t>竞争性磋商响应文件的构成</w:t>
      </w:r>
      <w:bookmarkEnd w:id="48"/>
      <w:bookmarkEnd w:id="49"/>
    </w:p>
    <w:p>
      <w:pPr>
        <w:numPr>
          <w:ilvl w:val="1"/>
          <w:numId w:val="20"/>
        </w:numPr>
        <w:tabs>
          <w:tab w:val="left" w:pos="525"/>
          <w:tab w:val="clear" w:pos="360"/>
        </w:tabs>
        <w:autoSpaceDE w:val="0"/>
        <w:autoSpaceDN w:val="0"/>
        <w:adjustRightInd w:val="0"/>
        <w:spacing w:line="360" w:lineRule="auto"/>
        <w:ind w:left="0" w:firstLine="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供应商编制的竞争性磋商响应</w:t>
      </w:r>
      <w:r>
        <w:rPr>
          <w:rFonts w:hint="eastAsia" w:asciiTheme="minorEastAsia" w:hAnsiTheme="minorEastAsia" w:eastAsiaTheme="minorEastAsia" w:cstheme="minorEastAsia"/>
          <w:snapToGrid w:val="0"/>
          <w:kern w:val="0"/>
          <w:szCs w:val="21"/>
          <w:lang w:val="en-US" w:eastAsia="zh-CN"/>
        </w:rPr>
        <w:t>文</w:t>
      </w:r>
      <w:r>
        <w:rPr>
          <w:rFonts w:hint="eastAsia" w:asciiTheme="minorEastAsia" w:hAnsiTheme="minorEastAsia" w:eastAsiaTheme="minorEastAsia" w:cstheme="minorEastAsia"/>
          <w:snapToGrid w:val="0"/>
          <w:kern w:val="0"/>
          <w:szCs w:val="21"/>
          <w:lang w:val="zh-CN"/>
        </w:rPr>
        <w:t>件应包括的内容详见本文件第六章要求。</w:t>
      </w:r>
    </w:p>
    <w:p>
      <w:p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bCs/>
          <w:szCs w:val="21"/>
        </w:rPr>
        <w:t>注：响应文件目录及内容每页须顺序编写页码。</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0" w:name="_Toc25217"/>
      <w:bookmarkStart w:id="51" w:name="_Toc22301"/>
      <w:r>
        <w:rPr>
          <w:rFonts w:hint="eastAsia" w:asciiTheme="minorEastAsia" w:hAnsiTheme="minorEastAsia" w:eastAsiaTheme="minorEastAsia" w:cstheme="minorEastAsia"/>
          <w:b/>
          <w:snapToGrid w:val="0"/>
          <w:kern w:val="0"/>
          <w:szCs w:val="21"/>
          <w:lang w:val="zh-CN"/>
        </w:rPr>
        <w:t>竞争性磋商响应文件的编制</w:t>
      </w:r>
      <w:bookmarkEnd w:id="50"/>
      <w:bookmarkEnd w:id="51"/>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供应商在编制响应文件时应注意本次采购对多包采购的规定，多包采购的规定见《供应商须知前附表》。</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2" w:name="_Toc17700"/>
      <w:bookmarkStart w:id="53" w:name="_Toc24544"/>
      <w:r>
        <w:rPr>
          <w:rFonts w:hint="eastAsia" w:asciiTheme="minorEastAsia" w:hAnsiTheme="minorEastAsia" w:eastAsiaTheme="minorEastAsia" w:cstheme="minorEastAsia"/>
          <w:b/>
          <w:snapToGrid w:val="0"/>
          <w:kern w:val="0"/>
          <w:szCs w:val="21"/>
          <w:lang w:val="zh-CN"/>
        </w:rPr>
        <w:t>磋商报价</w:t>
      </w:r>
      <w:bookmarkEnd w:id="52"/>
      <w:bookmarkEnd w:id="53"/>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磋商报价包括磋商供应商在首次提交的响应文件中的报价、磋商过程中的报价和最后报价。磋商供应商的报价均应以人民币报价。</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供应商应根据本磋商文件的规定和要求、市场价格水平及其走势、</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供应商的管理水平、</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napToGrid w:val="0"/>
          <w:kern w:val="0"/>
          <w:szCs w:val="21"/>
          <w:lang w:val="zh-CN"/>
        </w:rPr>
        <w:t>方案</w:t>
      </w:r>
      <w:r>
        <w:rPr>
          <w:rFonts w:hint="eastAsia" w:asciiTheme="minorEastAsia" w:hAnsiTheme="minorEastAsia" w:eastAsiaTheme="minorEastAsia" w:cstheme="minorEastAsia"/>
          <w:szCs w:val="21"/>
        </w:rPr>
        <w:t>和由这些因素决定的磋商供应商之于本项目的成本水平等提出自己的报价。</w:t>
      </w:r>
      <w:r>
        <w:rPr>
          <w:rFonts w:hint="eastAsia" w:asciiTheme="minorEastAsia" w:hAnsiTheme="minorEastAsia" w:eastAsiaTheme="minorEastAsia" w:cstheme="minorEastAsia"/>
          <w:snapToGrid w:val="0"/>
          <w:kern w:val="0"/>
          <w:szCs w:val="21"/>
          <w:lang w:val="zh-CN"/>
        </w:rPr>
        <w:t>报价应包含完成本采购文件采购需求全部内容的所有费用，所有根据本采购文件或其它原因应由磋商供应商支付的税款和其他应缴纳的费用都应包括在报价中。</w:t>
      </w:r>
      <w:r>
        <w:rPr>
          <w:rFonts w:hint="eastAsia" w:asciiTheme="minorEastAsia" w:hAnsiTheme="minorEastAsia" w:eastAsiaTheme="minorEastAsia" w:cstheme="minorEastAsia"/>
          <w:szCs w:val="21"/>
        </w:rPr>
        <w:t>但磋商供应商不得以低于其成本的价格进行报价。</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供应商在响应文件中</w:t>
      </w:r>
      <w:r>
        <w:rPr>
          <w:rFonts w:hint="eastAsia" w:asciiTheme="minorEastAsia" w:hAnsiTheme="minorEastAsia" w:eastAsiaTheme="minorEastAsia" w:cstheme="minorEastAsia"/>
          <w:snapToGrid w:val="0"/>
          <w:kern w:val="0"/>
          <w:szCs w:val="21"/>
          <w:lang w:val="zh-CN"/>
        </w:rPr>
        <w:t>注明免费的项目将视为包含在报价中。</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每一种采购内容只允许有一个报价，否则其响应文件将被视为无效文件。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成交供应商的报价在合同执行过程中是固定不变的，不得以任何理由予以变更。</w:t>
      </w:r>
    </w:p>
    <w:p>
      <w:pPr>
        <w:numPr>
          <w:ilvl w:val="0"/>
          <w:numId w:val="11"/>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4" w:name="_Toc6176"/>
      <w:bookmarkStart w:id="55" w:name="_Toc19133"/>
      <w:r>
        <w:rPr>
          <w:rFonts w:hint="eastAsia" w:asciiTheme="minorEastAsia" w:hAnsiTheme="minorEastAsia" w:eastAsiaTheme="minorEastAsia" w:cstheme="minorEastAsia"/>
          <w:b/>
          <w:snapToGrid w:val="0"/>
          <w:kern w:val="0"/>
          <w:szCs w:val="21"/>
          <w:lang w:val="zh-CN"/>
        </w:rPr>
        <w:t>备选方案</w:t>
      </w:r>
      <w:bookmarkEnd w:id="54"/>
      <w:bookmarkEnd w:id="55"/>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是否允许备选方案见《供应商须知前附表》。不允许有备选方案的，若在响应文件中提交了备选方案，其响应文件将被视为无效文件。 </w:t>
      </w:r>
    </w:p>
    <w:p>
      <w:pPr>
        <w:numPr>
          <w:ilvl w:val="0"/>
          <w:numId w:val="11"/>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6" w:name="_Toc3324"/>
      <w:bookmarkStart w:id="57" w:name="_Toc2772"/>
      <w:r>
        <w:rPr>
          <w:rFonts w:hint="eastAsia" w:asciiTheme="minorEastAsia" w:hAnsiTheme="minorEastAsia" w:eastAsiaTheme="minorEastAsia" w:cstheme="minorEastAsia"/>
          <w:b/>
          <w:snapToGrid w:val="0"/>
          <w:kern w:val="0"/>
          <w:szCs w:val="21"/>
          <w:lang w:val="zh-CN"/>
        </w:rPr>
        <w:t>联合体</w:t>
      </w:r>
      <w:bookmarkEnd w:id="56"/>
      <w:bookmarkEnd w:id="57"/>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本次采购是否允许联合体参加详见《供应商须知前附表》。 </w:t>
      </w:r>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本次采购允许联合体报价的，联合体各方不得再单独或者与其他供应商另外组成联合体参加本项目的报价。</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8" w:name="_Toc2434"/>
      <w:bookmarkStart w:id="59" w:name="_Toc22554"/>
      <w:r>
        <w:rPr>
          <w:rFonts w:hint="eastAsia" w:asciiTheme="minorEastAsia" w:hAnsiTheme="minorEastAsia" w:eastAsiaTheme="minorEastAsia" w:cstheme="minorEastAsia"/>
          <w:b/>
          <w:snapToGrid w:val="0"/>
          <w:kern w:val="0"/>
          <w:szCs w:val="21"/>
          <w:lang w:val="zh-CN"/>
        </w:rPr>
        <w:t>供应商资格证明文件</w:t>
      </w:r>
      <w:bookmarkEnd w:id="58"/>
      <w:bookmarkEnd w:id="59"/>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供应商应在响应文件提交证明其有资格参加磋商的证明文件，证明文件应包括下列文件：</w:t>
      </w:r>
    </w:p>
    <w:p>
      <w:pPr>
        <w:numPr>
          <w:ilvl w:val="3"/>
          <w:numId w:val="26"/>
        </w:numPr>
        <w:tabs>
          <w:tab w:val="left" w:pos="540"/>
          <w:tab w:val="clear" w:pos="20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kern w:val="0"/>
          <w:szCs w:val="21"/>
          <w:lang w:val="en-US" w:eastAsia="zh-CN"/>
        </w:rPr>
        <w:t>实质性要求</w:t>
      </w:r>
      <w:r>
        <w:rPr>
          <w:rFonts w:hint="eastAsia" w:asciiTheme="minorEastAsia" w:hAnsiTheme="minorEastAsia" w:eastAsiaTheme="minorEastAsia" w:cstheme="minorEastAsia"/>
          <w:snapToGrid w:val="0"/>
          <w:kern w:val="0"/>
          <w:szCs w:val="21"/>
          <w:lang w:val="zh-CN"/>
        </w:rPr>
        <w:t>）见《供应商须知前附表》。</w:t>
      </w:r>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除本须知14.1要求的资格证明文件外，如国家法律法规对市场准入有要求的还应提交相关资格证明文件。</w:t>
      </w:r>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证明材料仅限于磋商供应商单位本身，母公司、股东单位和子公司的材料不能作为证明材料，但磋商供应商单位兼并的企业的材料可作为证明材料。必须</w:t>
      </w:r>
      <w:r>
        <w:rPr>
          <w:rFonts w:hint="eastAsia" w:asciiTheme="minorEastAsia" w:hAnsiTheme="minorEastAsia" w:eastAsiaTheme="minorEastAsia" w:cstheme="minorEastAsia"/>
          <w:snapToGrid w:val="0"/>
          <w:kern w:val="0"/>
          <w:szCs w:val="21"/>
          <w:lang w:val="en-US" w:eastAsia="zh-CN"/>
        </w:rPr>
        <w:t>每页</w:t>
      </w:r>
      <w:r>
        <w:rPr>
          <w:rFonts w:hint="eastAsia" w:asciiTheme="minorEastAsia" w:hAnsiTheme="minorEastAsia" w:eastAsiaTheme="minorEastAsia" w:cstheme="minorEastAsia"/>
          <w:snapToGrid w:val="0"/>
          <w:kern w:val="0"/>
          <w:szCs w:val="21"/>
          <w:lang w:val="zh-CN"/>
        </w:rPr>
        <w:t>加盖单位印章，</w:t>
      </w:r>
      <w:r>
        <w:rPr>
          <w:rFonts w:hint="eastAsia" w:asciiTheme="minorEastAsia" w:hAnsiTheme="minorEastAsia" w:eastAsiaTheme="minorEastAsia" w:cstheme="minorEastAsia"/>
          <w:snapToGrid w:val="0"/>
          <w:kern w:val="0"/>
          <w:szCs w:val="21"/>
          <w:lang w:val="en-US" w:eastAsia="zh-CN"/>
        </w:rPr>
        <w:t>否则做废标处理</w:t>
      </w:r>
      <w:r>
        <w:rPr>
          <w:rFonts w:hint="eastAsia" w:asciiTheme="minorEastAsia" w:hAnsiTheme="minorEastAsia" w:eastAsiaTheme="minorEastAsia" w:cstheme="minorEastAsia"/>
          <w:snapToGrid w:val="0"/>
          <w:kern w:val="0"/>
          <w:szCs w:val="21"/>
          <w:lang w:val="zh-CN"/>
        </w:rPr>
        <w:t>。</w:t>
      </w:r>
    </w:p>
    <w:p>
      <w:pPr>
        <w:numPr>
          <w:ilvl w:val="1"/>
          <w:numId w:val="25"/>
        </w:numPr>
        <w:tabs>
          <w:tab w:val="left" w:pos="540"/>
          <w:tab w:val="clear" w:pos="465"/>
        </w:tabs>
        <w:autoSpaceDE w:val="0"/>
        <w:autoSpaceDN w:val="0"/>
        <w:adjustRightInd w:val="0"/>
        <w:spacing w:line="360" w:lineRule="auto"/>
        <w:ind w:left="540" w:hanging="540"/>
        <w:jc w:val="left"/>
        <w:rPr>
          <w:rFonts w:hint="eastAsia" w:eastAsiaTheme="minorEastAsia"/>
          <w:lang w:val="en-US" w:eastAsia="zh-CN"/>
        </w:rPr>
      </w:pPr>
      <w:r>
        <w:rPr>
          <w:rFonts w:hint="eastAsia" w:asciiTheme="minorEastAsia" w:hAnsiTheme="minorEastAsia" w:eastAsiaTheme="minorEastAsia" w:cstheme="minorEastAsia"/>
          <w:snapToGrid w:val="0"/>
          <w:kern w:val="0"/>
          <w:szCs w:val="21"/>
          <w:lang w:val="en-US" w:eastAsia="zh-CN"/>
        </w:rPr>
        <w:t>供应商不得存在的其他情形</w:t>
      </w:r>
      <w:r>
        <w:rPr>
          <w:rFonts w:hint="eastAsia" w:asciiTheme="minorEastAsia" w:hAnsiTheme="minorEastAsia" w:eastAsiaTheme="minorEastAsia" w:cstheme="minorEastAsia"/>
          <w:snapToGrid w:val="0"/>
          <w:kern w:val="0"/>
          <w:szCs w:val="21"/>
          <w:lang w:val="zh-CN"/>
        </w:rPr>
        <w:t>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0" w:name="_Toc1819"/>
      <w:bookmarkStart w:id="61" w:name="_Toc9935"/>
      <w:r>
        <w:rPr>
          <w:rFonts w:hint="eastAsia" w:asciiTheme="minorEastAsia" w:hAnsiTheme="minorEastAsia" w:eastAsiaTheme="minorEastAsia" w:cstheme="minorEastAsia"/>
          <w:b/>
          <w:snapToGrid w:val="0"/>
          <w:kern w:val="0"/>
          <w:szCs w:val="21"/>
          <w:lang w:val="zh-CN"/>
        </w:rPr>
        <w:t>证明报价内容、服务合格性和符合竞争性磋商采购文件规定的文件</w:t>
      </w:r>
      <w:bookmarkEnd w:id="60"/>
      <w:bookmarkEnd w:id="61"/>
    </w:p>
    <w:p>
      <w:pPr>
        <w:numPr>
          <w:ilvl w:val="1"/>
          <w:numId w:val="27"/>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kern w:val="0"/>
          <w:szCs w:val="21"/>
          <w:lang w:val="zh-CN"/>
        </w:rPr>
        <w:t>证明报价内容符合竞争性磋商采购文件要求的文件和竞争性磋商采购文件规定的其他资料，具体要求</w:t>
      </w:r>
      <w:r>
        <w:rPr>
          <w:rFonts w:hint="eastAsia" w:asciiTheme="minorEastAsia" w:hAnsiTheme="minorEastAsia" w:eastAsiaTheme="minorEastAsia" w:cstheme="minorEastAsia"/>
          <w:snapToGrid w:val="0"/>
          <w:color w:val="auto"/>
          <w:kern w:val="0"/>
          <w:szCs w:val="21"/>
          <w:lang w:val="zh-CN"/>
        </w:rPr>
        <w:t>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2" w:name="_Toc27068"/>
      <w:bookmarkStart w:id="63" w:name="_Toc14153"/>
      <w:r>
        <w:rPr>
          <w:rFonts w:hint="eastAsia" w:asciiTheme="minorEastAsia" w:hAnsiTheme="minorEastAsia" w:eastAsiaTheme="minorEastAsia" w:cstheme="minorEastAsia"/>
          <w:b/>
          <w:snapToGrid w:val="0"/>
          <w:color w:val="auto"/>
          <w:kern w:val="0"/>
          <w:szCs w:val="21"/>
          <w:lang w:val="zh-CN"/>
        </w:rPr>
        <w:t>磋商保证金</w:t>
      </w:r>
      <w:bookmarkEnd w:id="62"/>
      <w:bookmarkEnd w:id="63"/>
    </w:p>
    <w:p>
      <w:pPr>
        <w:numPr>
          <w:ilvl w:val="1"/>
          <w:numId w:val="28"/>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本采购文件是否要求递交磋商保证金及保证金金额、递交方式、递交时间、接受保证金的帐户信息等详见《供应商须知前附表》。</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color w:val="auto"/>
          <w:kern w:val="0"/>
          <w:szCs w:val="21"/>
          <w:lang w:val="zh-CN"/>
        </w:rPr>
        <w:t>本采购文件要求递</w:t>
      </w:r>
      <w:r>
        <w:rPr>
          <w:rFonts w:hint="eastAsia" w:asciiTheme="minorEastAsia" w:hAnsiTheme="minorEastAsia" w:eastAsiaTheme="minorEastAsia" w:cstheme="minorEastAsia"/>
          <w:snapToGrid w:val="0"/>
          <w:kern w:val="0"/>
          <w:szCs w:val="21"/>
          <w:lang w:val="zh-CN"/>
        </w:rPr>
        <w:t>交磋商保证金的，磋商保证金作为竞争性磋商响应文件的组成部分，</w:t>
      </w:r>
      <w:r>
        <w:rPr>
          <w:rFonts w:hint="eastAsia" w:asciiTheme="minorEastAsia" w:hAnsiTheme="minorEastAsia" w:eastAsiaTheme="minorEastAsia" w:cstheme="minorEastAsia"/>
          <w:szCs w:val="21"/>
          <w:lang w:val="zh-CN"/>
        </w:rPr>
        <w:t>以到账为准。</w:t>
      </w:r>
      <w:r>
        <w:rPr>
          <w:rFonts w:hint="eastAsia" w:asciiTheme="minorEastAsia" w:hAnsiTheme="minorEastAsia" w:eastAsiaTheme="minorEastAsia" w:cstheme="minorEastAsia"/>
          <w:snapToGrid w:val="0"/>
          <w:kern w:val="0"/>
          <w:szCs w:val="21"/>
          <w:lang w:val="zh-CN"/>
        </w:rPr>
        <w:t>凡未按规定递交磋商保证金的报价，其响应文件将被视为无效文件。</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磋商保证金有效时间：磋商保证金的有效期与本次磋商有效期一致。</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供应商为联合体的，应由联合体中牵头人缴纳保证金，其缴纳的保证金对联合体各方均具有约束力。</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保证金的退还：未成交的磋商供应商，其磋商保证金在成交通知书发出后5个工作日内不计利息原额退还，成交供应商的磋商保证金，在成交供应商与采购人签订合同后5个工作日内不计利息原额退还。</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有下列情形之一的，磋商保证金将不予退还:</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供应商在提交响应文件截止时间后撤回响应文件的；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供应商在响应文件中提供虚假材料的；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除因不可抗力或磋商文件认可的情形以外，成交供应商不与采购人签订合同的；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供应商与采购人、其他供应商或者采购代理机构恶意串通的；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本采购文件规定的其他情形。</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4" w:name="_Toc10777"/>
      <w:bookmarkStart w:id="65" w:name="_Toc5668"/>
      <w:r>
        <w:rPr>
          <w:rFonts w:hint="eastAsia" w:asciiTheme="minorEastAsia" w:hAnsiTheme="minorEastAsia" w:eastAsiaTheme="minorEastAsia" w:cstheme="minorEastAsia"/>
          <w:b/>
          <w:snapToGrid w:val="0"/>
          <w:kern w:val="0"/>
          <w:szCs w:val="21"/>
          <w:lang w:val="zh-CN"/>
        </w:rPr>
        <w:t>磋商有效期</w:t>
      </w:r>
      <w:bookmarkEnd w:id="64"/>
      <w:bookmarkEnd w:id="65"/>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磋商有效期从磋商结束之日起计算，本次采购磋商有效期见《供应商须知前附表》，磋商供应商承诺的磋商有效期不足的，其响应文件将被视为无效文件。</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供应商同意延长磋商有效期的，不得要求或被允许修改或撤销其竞争性磋商响应文件；供应商拒绝延长的，其响应文件失效，但供应商有权收回其磋商保证金。</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6" w:name="_Toc22220"/>
      <w:bookmarkStart w:id="67" w:name="_Toc8272"/>
      <w:r>
        <w:rPr>
          <w:rFonts w:hint="eastAsia" w:asciiTheme="minorEastAsia" w:hAnsiTheme="minorEastAsia" w:eastAsiaTheme="minorEastAsia" w:cstheme="minorEastAsia"/>
          <w:b/>
          <w:snapToGrid w:val="0"/>
          <w:kern w:val="0"/>
          <w:szCs w:val="21"/>
          <w:lang w:val="zh-CN"/>
        </w:rPr>
        <w:t>竞争性磋商响应文件的装订、签署和数量</w:t>
      </w:r>
      <w:bookmarkEnd w:id="66"/>
      <w:bookmarkEnd w:id="67"/>
    </w:p>
    <w:p>
      <w:pPr>
        <w:numPr>
          <w:ilvl w:val="1"/>
          <w:numId w:val="31"/>
        </w:numPr>
        <w:tabs>
          <w:tab w:val="left" w:pos="525"/>
          <w:tab w:val="clear" w:pos="465"/>
        </w:tabs>
        <w:autoSpaceDE w:val="0"/>
        <w:autoSpaceDN w:val="0"/>
        <w:adjustRightInd w:val="0"/>
        <w:spacing w:line="360" w:lineRule="auto"/>
        <w:ind w:left="540" w:hanging="540"/>
        <w:jc w:val="both"/>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、报价一览表、优惠声明（如有）。本次磋商供应商提交响应文件正、副本和电子文档的数量见《供应商须知前附表》。</w:t>
      </w:r>
    </w:p>
    <w:p>
      <w:pPr>
        <w:numPr>
          <w:ilvl w:val="1"/>
          <w:numId w:val="31"/>
        </w:numPr>
        <w:tabs>
          <w:tab w:val="left" w:pos="525"/>
          <w:tab w:val="clear" w:pos="465"/>
        </w:tabs>
        <w:autoSpaceDE w:val="0"/>
        <w:autoSpaceDN w:val="0"/>
        <w:adjustRightInd w:val="0"/>
        <w:spacing w:line="360" w:lineRule="auto"/>
        <w:ind w:left="540" w:hanging="540"/>
        <w:jc w:val="both"/>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电子文档与纸质文件不符，以纸质文件为准。</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竞争性磋商响应文件中的任何行间插字、涂改和增删，必须由法定代表人或授权代表在旁边签字才有效。</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响应文件应当采用不可拆卸的方法的装订，对未经装订的竞争性磋商响应文件可能发生的文件散落或缺损及由此产生的后果由磋商供应商承担。</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68" w:name="_Toc21439"/>
      <w:r>
        <w:rPr>
          <w:rFonts w:hint="eastAsia" w:asciiTheme="minorEastAsia" w:hAnsiTheme="minorEastAsia" w:eastAsiaTheme="minorEastAsia" w:cstheme="minorEastAsia"/>
          <w:b/>
          <w:szCs w:val="21"/>
        </w:rPr>
        <w:t>竞争性磋商响应文件的递交</w:t>
      </w:r>
      <w:bookmarkEnd w:id="68"/>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9" w:name="_Toc27305"/>
      <w:bookmarkStart w:id="70" w:name="_Toc23671"/>
      <w:r>
        <w:rPr>
          <w:rFonts w:hint="eastAsia" w:asciiTheme="minorEastAsia" w:hAnsiTheme="minorEastAsia" w:eastAsiaTheme="minorEastAsia" w:cstheme="minorEastAsia"/>
          <w:b/>
          <w:szCs w:val="21"/>
        </w:rPr>
        <w:t>竞争性磋商响应文件</w:t>
      </w:r>
      <w:r>
        <w:rPr>
          <w:rFonts w:hint="eastAsia" w:asciiTheme="minorEastAsia" w:hAnsiTheme="minorEastAsia" w:eastAsiaTheme="minorEastAsia" w:cstheme="minorEastAsia"/>
          <w:b/>
          <w:snapToGrid w:val="0"/>
          <w:kern w:val="0"/>
          <w:szCs w:val="21"/>
          <w:lang w:val="zh-CN"/>
        </w:rPr>
        <w:t>的密封和标记</w:t>
      </w:r>
      <w:bookmarkEnd w:id="69"/>
      <w:bookmarkEnd w:id="70"/>
    </w:p>
    <w:p>
      <w:pPr>
        <w:numPr>
          <w:ilvl w:val="1"/>
          <w:numId w:val="3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响应文件的正本、所有副本和电子文档必须密封，</w:t>
      </w:r>
      <w:r>
        <w:rPr>
          <w:rFonts w:hint="eastAsia" w:asciiTheme="minorEastAsia" w:hAnsiTheme="minorEastAsia" w:eastAsiaTheme="minorEastAsia" w:cstheme="minorEastAsia"/>
          <w:snapToGrid w:val="0"/>
          <w:kern w:val="0"/>
          <w:szCs w:val="21"/>
          <w:lang w:val="en-US" w:eastAsia="zh-CN"/>
        </w:rPr>
        <w:t>并在每一页以及骑缝处</w:t>
      </w:r>
      <w:r>
        <w:rPr>
          <w:rFonts w:hint="eastAsia" w:asciiTheme="minorEastAsia" w:hAnsiTheme="minorEastAsia" w:eastAsiaTheme="minorEastAsia" w:cstheme="minorEastAsia"/>
          <w:snapToGrid w:val="0"/>
          <w:kern w:val="0"/>
          <w:szCs w:val="21"/>
          <w:lang w:val="zh-CN"/>
        </w:rPr>
        <w:t>加盖供应商公章</w:t>
      </w:r>
      <w:r>
        <w:rPr>
          <w:rFonts w:hint="eastAsia" w:asciiTheme="minorEastAsia" w:hAnsiTheme="minorEastAsia" w:eastAsiaTheme="minorEastAsia" w:cstheme="minorEastAsia"/>
          <w:snapToGrid w:val="0"/>
          <w:kern w:val="0"/>
          <w:szCs w:val="21"/>
        </w:rPr>
        <w:t>后</w:t>
      </w:r>
      <w:r>
        <w:rPr>
          <w:rFonts w:hint="eastAsia" w:asciiTheme="minorEastAsia" w:hAnsiTheme="minorEastAsia" w:eastAsiaTheme="minorEastAsia" w:cstheme="minorEastAsia"/>
          <w:snapToGrid w:val="0"/>
          <w:kern w:val="0"/>
          <w:szCs w:val="21"/>
          <w:lang w:val="zh-CN"/>
        </w:rPr>
        <w:t>递交，包装上应注明</w:t>
      </w:r>
      <w:r>
        <w:rPr>
          <w:rFonts w:hint="eastAsia" w:asciiTheme="minorEastAsia" w:hAnsiTheme="minorEastAsia" w:eastAsiaTheme="minorEastAsia" w:cstheme="minorEastAsia"/>
          <w:snapToGrid w:val="0"/>
          <w:kern w:val="0"/>
          <w:szCs w:val="21"/>
          <w:lang w:val="en-US" w:eastAsia="zh-CN"/>
        </w:rPr>
        <w:t>项目</w:t>
      </w:r>
      <w:r>
        <w:rPr>
          <w:rFonts w:hint="eastAsia" w:asciiTheme="minorEastAsia" w:hAnsiTheme="minorEastAsia" w:eastAsiaTheme="minorEastAsia" w:cstheme="minorEastAsia"/>
          <w:snapToGrid w:val="0"/>
          <w:kern w:val="0"/>
          <w:szCs w:val="21"/>
          <w:lang w:val="zh-CN"/>
        </w:rPr>
        <w:t>编号、项目名称、包号、供应商名称及“</w:t>
      </w:r>
      <w:r>
        <w:rPr>
          <w:rFonts w:hint="eastAsia" w:asciiTheme="minorEastAsia" w:hAnsiTheme="minorEastAsia" w:eastAsiaTheme="minorEastAsia" w:cstheme="minorEastAsia"/>
          <w:snapToGrid w:val="0"/>
          <w:kern w:val="0"/>
          <w:szCs w:val="21"/>
          <w:u w:val="single"/>
          <w:lang w:val="zh-CN"/>
        </w:rPr>
        <w:t xml:space="preserve">  （磋商</w:t>
      </w:r>
      <w:r>
        <w:rPr>
          <w:rFonts w:hint="eastAsia" w:asciiTheme="minorEastAsia" w:hAnsiTheme="minorEastAsia" w:eastAsiaTheme="minorEastAsia" w:cstheme="minorEastAsia"/>
          <w:snapToGrid w:val="0"/>
          <w:kern w:val="0"/>
          <w:szCs w:val="21"/>
          <w:u w:val="single"/>
          <w:lang w:val="en-US" w:eastAsia="zh-CN"/>
        </w:rPr>
        <w:t>截止</w:t>
      </w:r>
      <w:r>
        <w:rPr>
          <w:rFonts w:hint="eastAsia" w:asciiTheme="minorEastAsia" w:hAnsiTheme="minorEastAsia" w:eastAsiaTheme="minorEastAsia" w:cstheme="minorEastAsia"/>
          <w:snapToGrid w:val="0"/>
          <w:kern w:val="0"/>
          <w:szCs w:val="21"/>
          <w:u w:val="single"/>
          <w:lang w:val="zh-CN"/>
        </w:rPr>
        <w:t>时间）  前</w:t>
      </w:r>
      <w:r>
        <w:rPr>
          <w:rFonts w:hint="eastAsia" w:asciiTheme="minorEastAsia" w:hAnsiTheme="minorEastAsia" w:eastAsiaTheme="minorEastAsia" w:cstheme="minorEastAsia"/>
          <w:snapToGrid w:val="0"/>
          <w:kern w:val="0"/>
          <w:szCs w:val="21"/>
          <w:lang w:val="zh-CN"/>
        </w:rPr>
        <w:t>不得启封”的字样。</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为方便磋商记录，供应商还应将一份《报价一览表》（原件）与一份《法定代表人授权书》（原件）、磋商保证金缴纳证明（</w:t>
      </w:r>
      <w:r>
        <w:rPr>
          <w:rFonts w:hint="eastAsia" w:asciiTheme="minorEastAsia" w:hAnsiTheme="minorEastAsia" w:eastAsiaTheme="minorEastAsia" w:cstheme="minorEastAsia"/>
          <w:snapToGrid w:val="0"/>
          <w:kern w:val="0"/>
          <w:szCs w:val="21"/>
          <w:lang w:val="en-US" w:eastAsia="zh-CN"/>
        </w:rPr>
        <w:t>如有</w:t>
      </w:r>
      <w:r>
        <w:rPr>
          <w:rFonts w:hint="eastAsia" w:asciiTheme="minorEastAsia" w:hAnsiTheme="minorEastAsia" w:eastAsiaTheme="minorEastAsia" w:cstheme="minorEastAsia"/>
          <w:snapToGrid w:val="0"/>
          <w:kern w:val="0"/>
          <w:szCs w:val="21"/>
          <w:lang w:val="zh-CN"/>
        </w:rPr>
        <w:t>）（复印件）及报价优惠声明（如有）单独密封提交，除需按</w:t>
      </w:r>
      <w:r>
        <w:rPr>
          <w:rFonts w:hint="eastAsia" w:asciiTheme="minorEastAsia" w:hAnsiTheme="minorEastAsia" w:eastAsiaTheme="minorEastAsia" w:cstheme="minorEastAsia"/>
          <w:snapToGrid w:val="0"/>
          <w:kern w:val="0"/>
          <w:szCs w:val="21"/>
          <w:lang w:val="en-US" w:eastAsia="zh-CN"/>
        </w:rPr>
        <w:t>19.1</w:t>
      </w:r>
      <w:r>
        <w:rPr>
          <w:rFonts w:hint="eastAsia" w:asciiTheme="minorEastAsia" w:hAnsiTheme="minorEastAsia" w:eastAsiaTheme="minorEastAsia" w:cstheme="minorEastAsia"/>
          <w:snapToGrid w:val="0"/>
          <w:kern w:val="0"/>
          <w:szCs w:val="21"/>
          <w:lang w:val="zh-CN"/>
        </w:rPr>
        <w:t>款要求注明外还应在信封上标明“报价一览表”字样。</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未按要求密封和加写标记的响应文件为无效文件，采购人、采购代理机构将拒收。</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要求在磋商时提交样品的，应在样品上标明磋商供应商名称。有关提交及退还样品的相关规定见《供应商须知前附表》。</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1" w:name="_Toc17857"/>
      <w:bookmarkStart w:id="72" w:name="_Toc27020"/>
      <w:r>
        <w:rPr>
          <w:rFonts w:hint="eastAsia" w:asciiTheme="minorEastAsia" w:hAnsiTheme="minorEastAsia" w:eastAsiaTheme="minorEastAsia" w:cstheme="minorEastAsia"/>
          <w:b/>
          <w:snapToGrid w:val="0"/>
          <w:kern w:val="0"/>
          <w:szCs w:val="21"/>
          <w:lang w:val="zh-CN"/>
        </w:rPr>
        <w:t>竞争性磋商响应文件的送达地点及截止时间</w:t>
      </w:r>
      <w:bookmarkEnd w:id="71"/>
      <w:bookmarkEnd w:id="72"/>
    </w:p>
    <w:p>
      <w:pPr>
        <w:keepNext w:val="0"/>
        <w:keepLines w:val="0"/>
        <w:pageBreakBefore w:val="0"/>
        <w:widowControl w:val="0"/>
        <w:numPr>
          <w:ilvl w:val="0"/>
          <w:numId w:val="0"/>
        </w:numPr>
        <w:shd w:val="clear"/>
        <w:tabs>
          <w:tab w:val="left" w:pos="540"/>
        </w:tabs>
        <w:kinsoku/>
        <w:wordWrap/>
        <w:overflowPunct/>
        <w:topLinePunct w:val="0"/>
        <w:autoSpaceDE w:val="0"/>
        <w:autoSpaceDN w:val="0"/>
        <w:bidi w:val="0"/>
        <w:adjustRightInd w:val="0"/>
        <w:snapToGrid/>
        <w:spacing w:line="360" w:lineRule="auto"/>
        <w:ind w:left="617" w:leftChars="0" w:hanging="617" w:hangingChars="294"/>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20.1</w:t>
      </w: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截止时间是</w:t>
      </w:r>
      <w:r>
        <w:rPr>
          <w:rFonts w:hint="eastAsia" w:asciiTheme="minorEastAsia" w:hAnsiTheme="minorEastAsia" w:eastAsiaTheme="minorEastAsia" w:cstheme="minorEastAsia"/>
          <w:b/>
          <w:bCs/>
          <w:snapToGrid w:val="0"/>
          <w:kern w:val="0"/>
          <w:szCs w:val="21"/>
          <w:lang w:val="zh-CN"/>
        </w:rPr>
        <w:t>竞争性磋商</w:t>
      </w:r>
      <w:r>
        <w:rPr>
          <w:rFonts w:hint="eastAsia" w:asciiTheme="minorEastAsia" w:hAnsiTheme="minorEastAsia" w:eastAsiaTheme="minorEastAsia" w:cstheme="minorEastAsia"/>
          <w:snapToGrid w:val="0"/>
          <w:kern w:val="0"/>
          <w:szCs w:val="21"/>
          <w:lang w:val="zh-CN"/>
        </w:rPr>
        <w:t>文件中规定的首次送达、提交响应文件的最后时间。本次磋商响应文件的送达地点及截止时间见《供应商须知前附表》。</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3" w:name="_Toc31376"/>
      <w:bookmarkStart w:id="74" w:name="_Toc6851"/>
      <w:r>
        <w:rPr>
          <w:rFonts w:hint="eastAsia" w:asciiTheme="minorEastAsia" w:hAnsiTheme="minorEastAsia" w:eastAsiaTheme="minorEastAsia" w:cstheme="minorEastAsia"/>
          <w:b/>
          <w:snapToGrid w:val="0"/>
          <w:kern w:val="0"/>
          <w:szCs w:val="21"/>
          <w:lang w:val="zh-CN"/>
        </w:rPr>
        <w:t>迟交的竞争性磋商响应文件</w:t>
      </w:r>
      <w:bookmarkEnd w:id="73"/>
      <w:bookmarkEnd w:id="74"/>
    </w:p>
    <w:p>
      <w:pPr>
        <w:keepNext w:val="0"/>
        <w:keepLines w:val="0"/>
        <w:pageBreakBefore w:val="0"/>
        <w:widowControl w:val="0"/>
        <w:numPr>
          <w:ilvl w:val="1"/>
          <w:numId w:val="33"/>
        </w:numPr>
        <w:shd w:val="clear"/>
        <w:tabs>
          <w:tab w:val="left" w:pos="540"/>
          <w:tab w:val="clear" w:pos="480"/>
        </w:tabs>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在本次磋商递交响应文件的截止时间以后送达的响应文件，不论何种原因，采购代理机构将拒收。</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5" w:name="_Toc31760"/>
      <w:bookmarkStart w:id="76" w:name="_Toc21289"/>
      <w:r>
        <w:rPr>
          <w:rFonts w:hint="eastAsia" w:asciiTheme="minorEastAsia" w:hAnsiTheme="minorEastAsia" w:eastAsiaTheme="minorEastAsia" w:cstheme="minorEastAsia"/>
          <w:b/>
          <w:snapToGrid w:val="0"/>
          <w:kern w:val="0"/>
          <w:szCs w:val="21"/>
          <w:lang w:val="zh-CN"/>
        </w:rPr>
        <w:t>竞争性磋商响应文件的补充、修改或者撤回</w:t>
      </w:r>
      <w:bookmarkEnd w:id="75"/>
      <w:bookmarkEnd w:id="76"/>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响应文件截止时间前，供应商可以对</w:t>
      </w:r>
      <w:r>
        <w:rPr>
          <w:rFonts w:hint="eastAsia" w:asciiTheme="minorEastAsia" w:hAnsiTheme="minorEastAsia" w:eastAsiaTheme="minorEastAsia" w:cstheme="minorEastAsia"/>
          <w:snapToGrid w:val="0"/>
          <w:kern w:val="0"/>
          <w:szCs w:val="21"/>
        </w:rPr>
        <w:t>已</w:t>
      </w:r>
      <w:r>
        <w:rPr>
          <w:rFonts w:hint="eastAsia" w:asciiTheme="minorEastAsia" w:hAnsiTheme="minorEastAsia" w:eastAsiaTheme="minorEastAsia" w:cstheme="minorEastAsia"/>
          <w:snapToGrid w:val="0"/>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keepNext w:val="0"/>
        <w:keepLines w:val="0"/>
        <w:pageBreakBefore w:val="0"/>
        <w:widowControl w:val="0"/>
        <w:numPr>
          <w:ilvl w:val="1"/>
          <w:numId w:val="34"/>
        </w:numPr>
        <w:tabs>
          <w:tab w:val="left" w:pos="540"/>
        </w:tabs>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从</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响应文件截止时间至磋商有效期期满这段时间，供应商不得修改或</w:t>
      </w:r>
      <w:r>
        <w:rPr>
          <w:rFonts w:hint="eastAsia" w:asciiTheme="minorEastAsia" w:hAnsiTheme="minorEastAsia" w:eastAsiaTheme="minorEastAsia" w:cstheme="minorEastAsia"/>
          <w:snapToGrid w:val="0"/>
          <w:kern w:val="0"/>
          <w:szCs w:val="21"/>
        </w:rPr>
        <w:t>撤销</w:t>
      </w:r>
      <w:r>
        <w:rPr>
          <w:rFonts w:hint="eastAsia" w:asciiTheme="minorEastAsia" w:hAnsiTheme="minorEastAsia" w:eastAsiaTheme="minorEastAsia" w:cstheme="minorEastAsia"/>
          <w:snapToGrid w:val="0"/>
          <w:kern w:val="0"/>
          <w:szCs w:val="21"/>
          <w:lang w:val="zh-CN"/>
        </w:rPr>
        <w:t>其响应文件，否则其磋商保证金将不予以退还。</w:t>
      </w:r>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供应商所提交的响应文件在磋商结束后，无论成交与否都不退还。</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77" w:name="_Toc1411"/>
      <w:r>
        <w:rPr>
          <w:rFonts w:hint="eastAsia" w:asciiTheme="minorEastAsia" w:hAnsiTheme="minorEastAsia" w:eastAsiaTheme="minorEastAsia" w:cstheme="minorEastAsia"/>
          <w:b/>
          <w:szCs w:val="21"/>
        </w:rPr>
        <w:t>磋商程序及步骤</w:t>
      </w:r>
      <w:bookmarkEnd w:id="77"/>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8" w:name="_Toc23748"/>
      <w:bookmarkStart w:id="79" w:name="_Toc22624"/>
      <w:r>
        <w:rPr>
          <w:rFonts w:hint="eastAsia" w:asciiTheme="minorEastAsia" w:hAnsiTheme="minorEastAsia" w:eastAsiaTheme="minorEastAsia" w:cstheme="minorEastAsia"/>
          <w:b/>
        </w:rPr>
        <w:t>竞争性磋商小组</w:t>
      </w:r>
      <w:bookmarkEnd w:id="78"/>
      <w:bookmarkEnd w:id="79"/>
    </w:p>
    <w:p>
      <w:pPr>
        <w:keepNext w:val="0"/>
        <w:keepLines w:val="0"/>
        <w:pageBreakBefore w:val="0"/>
        <w:widowControl w:val="0"/>
        <w:numPr>
          <w:ilvl w:val="0"/>
          <w:numId w:val="0"/>
        </w:numPr>
        <w:tabs>
          <w:tab w:val="left" w:pos="540"/>
        </w:tabs>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en-US" w:eastAsia="zh-CN"/>
        </w:rPr>
        <w:t xml:space="preserve">23.1  </w:t>
      </w:r>
      <w:r>
        <w:rPr>
          <w:rFonts w:hint="eastAsia" w:asciiTheme="minorEastAsia" w:hAnsiTheme="minorEastAsia" w:eastAsiaTheme="minorEastAsia" w:cstheme="minorEastAsia"/>
          <w:snapToGrid w:val="0"/>
          <w:kern w:val="0"/>
          <w:szCs w:val="21"/>
          <w:lang w:val="zh-CN"/>
        </w:rPr>
        <w:t>采购人依照《中华人民共和国政府采购法》、《中华人民共和国政府采购法实施条例》、《政府采购竞争性磋商采购方式管理暂行办法》及现行法律规定组建磋商小组，磋商小组由采购人代表和评审专家共3人或</w:t>
      </w:r>
      <w:r>
        <w:rPr>
          <w:rFonts w:hint="eastAsia" w:asciiTheme="minorEastAsia" w:hAnsiTheme="minorEastAsia" w:eastAsiaTheme="minorEastAsia" w:cstheme="minorEastAsia"/>
          <w:snapToGrid w:val="0"/>
          <w:kern w:val="0"/>
          <w:szCs w:val="21"/>
          <w:lang w:val="en-US" w:eastAsia="zh-CN"/>
        </w:rPr>
        <w:t>3</w:t>
      </w:r>
      <w:r>
        <w:rPr>
          <w:rFonts w:hint="eastAsia" w:asciiTheme="minorEastAsia" w:hAnsiTheme="minorEastAsia" w:eastAsiaTheme="minorEastAsia" w:cstheme="minorEastAsia"/>
          <w:snapToGrid w:val="0"/>
          <w:kern w:val="0"/>
          <w:szCs w:val="21"/>
          <w:lang w:val="zh-CN"/>
        </w:rPr>
        <w:t>人以上单数组成。磋商小组人数详见《供应商须知前附表》。</w:t>
      </w:r>
    </w:p>
    <w:p>
      <w:pPr>
        <w:numPr>
          <w:ilvl w:val="0"/>
          <w:numId w:val="0"/>
        </w:numPr>
        <w:tabs>
          <w:tab w:val="left" w:pos="540"/>
        </w:tabs>
        <w:autoSpaceDE w:val="0"/>
        <w:autoSpaceDN w:val="0"/>
        <w:adjustRightInd w:val="0"/>
        <w:spacing w:line="360" w:lineRule="auto"/>
        <w:ind w:left="630" w:leftChars="0" w:hanging="630" w:hangingChars="3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23.2 </w:t>
      </w: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 xml:space="preserve">磋商小组中的评审专家人数不少于磋商小组成员总数的2/3。除本采购文件另有规定，评审专家将从政府采购评审专家库中随机抽取。 </w:t>
      </w:r>
    </w:p>
    <w:p>
      <w:pPr>
        <w:keepNext w:val="0"/>
        <w:keepLines w:val="0"/>
        <w:pageBreakBefore w:val="0"/>
        <w:widowControl w:val="0"/>
        <w:numPr>
          <w:ilvl w:val="0"/>
          <w:numId w:val="0"/>
        </w:numPr>
        <w:tabs>
          <w:tab w:val="left" w:pos="540"/>
        </w:tabs>
        <w:kinsoku/>
        <w:wordWrap/>
        <w:overflowPunct/>
        <w:topLinePunct w:val="0"/>
        <w:autoSpaceDE w:val="0"/>
        <w:autoSpaceDN w:val="0"/>
        <w:bidi w:val="0"/>
        <w:adjustRightInd w:val="0"/>
        <w:snapToGrid/>
        <w:spacing w:line="360" w:lineRule="auto"/>
        <w:ind w:left="630" w:leftChars="0" w:hanging="630" w:hangingChars="300"/>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23.3 </w:t>
      </w: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磋商小组所有成员按事先抽取的磋商顺序</w:t>
      </w:r>
      <w:r>
        <w:rPr>
          <w:rFonts w:hint="eastAsia" w:asciiTheme="minorEastAsia" w:hAnsiTheme="minorEastAsia" w:eastAsiaTheme="minorEastAsia" w:cstheme="minorEastAsia"/>
          <w:snapToGrid w:val="0"/>
          <w:kern w:val="0"/>
          <w:szCs w:val="21"/>
          <w:lang w:val="zh-CN" w:eastAsia="zh-CN"/>
        </w:rPr>
        <w:t>，</w:t>
      </w:r>
      <w:r>
        <w:rPr>
          <w:rFonts w:hint="eastAsia" w:asciiTheme="minorEastAsia" w:hAnsiTheme="minorEastAsia" w:eastAsiaTheme="minorEastAsia" w:cstheme="minorEastAsia"/>
          <w:snapToGrid w:val="0"/>
          <w:kern w:val="0"/>
          <w:szCs w:val="21"/>
          <w:lang w:val="zh-CN"/>
        </w:rPr>
        <w:t>集中与单一供应商分别进行磋商，并给予所有参</w:t>
      </w: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加磋商的供应商平等的磋商机会。</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80" w:name="_Toc18758"/>
      <w:bookmarkStart w:id="81" w:name="_Toc21483"/>
      <w:r>
        <w:rPr>
          <w:rFonts w:hint="eastAsia" w:asciiTheme="minorEastAsia" w:hAnsiTheme="minorEastAsia" w:eastAsiaTheme="minorEastAsia" w:cstheme="minorEastAsia"/>
          <w:b/>
        </w:rPr>
        <w:t>磋商代表</w:t>
      </w:r>
      <w:bookmarkEnd w:id="80"/>
      <w:bookmarkEnd w:id="81"/>
    </w:p>
    <w:p>
      <w:pPr>
        <w:keepNext w:val="0"/>
        <w:keepLines w:val="0"/>
        <w:pageBreakBefore w:val="0"/>
        <w:widowControl w:val="0"/>
        <w:tabs>
          <w:tab w:val="left" w:pos="864"/>
          <w:tab w:val="left" w:pos="1080"/>
        </w:tabs>
        <w:kinsoku/>
        <w:wordWrap/>
        <w:overflowPunct/>
        <w:topLinePunct w:val="0"/>
        <w:autoSpaceDE/>
        <w:autoSpaceDN/>
        <w:bidi w:val="0"/>
        <w:adjustRightInd/>
        <w:snapToGrid/>
        <w:spacing w:line="360" w:lineRule="auto"/>
        <w:ind w:left="632" w:hanging="632" w:hangingChars="300"/>
        <w:jc w:val="left"/>
        <w:textAlignment w:val="auto"/>
        <w:rPr>
          <w:rFonts w:hint="eastAsia" w:asciiTheme="minorEastAsia" w:hAnsiTheme="minorEastAsia" w:eastAsiaTheme="minorEastAsia" w:cstheme="minorEastAsia"/>
          <w:szCs w:val="21"/>
          <w:lang w:val="en-US" w:eastAsia="zh-CN"/>
        </w:rPr>
      </w:pPr>
      <w:bookmarkStart w:id="82" w:name="_Toc32662"/>
      <w:bookmarkStart w:id="83" w:name="_Toc9967"/>
      <w:r>
        <w:rPr>
          <w:rFonts w:hint="eastAsia" w:asciiTheme="minorEastAsia" w:hAnsiTheme="minorEastAsia" w:eastAsiaTheme="minorEastAsia" w:cstheme="minorEastAsia"/>
          <w:b/>
        </w:rPr>
        <w:t xml:space="preserve">24.1 </w:t>
      </w:r>
      <w:r>
        <w:rPr>
          <w:rFonts w:hint="eastAsia" w:asciiTheme="minorEastAsia" w:hAnsiTheme="minorEastAsia" w:eastAsiaTheme="minorEastAsia" w:cstheme="minorEastAsia"/>
          <w:b/>
          <w:lang w:val="en-US" w:eastAsia="zh-CN"/>
        </w:rPr>
        <w:t xml:space="preserve"> </w:t>
      </w:r>
      <w:r>
        <w:rPr>
          <w:rFonts w:hint="eastAsia" w:asciiTheme="minorEastAsia" w:hAnsiTheme="minorEastAsia" w:eastAsiaTheme="minorEastAsia" w:cstheme="minorEastAsia"/>
          <w:szCs w:val="21"/>
        </w:rPr>
        <w:t>磋商供应商法定代表人或授权代表应携带本人身份证明参加磋商，授权代表参加磋商的，还应携带法定代表人授权书原件。磋商代表经磋商小组核对身份后，方可参加磋商。</w:t>
      </w:r>
      <w:bookmarkEnd w:id="82"/>
      <w:bookmarkEnd w:id="83"/>
      <w:r>
        <w:rPr>
          <w:rFonts w:hint="eastAsia" w:asciiTheme="minorEastAsia" w:hAnsiTheme="minorEastAsia" w:eastAsiaTheme="minorEastAsia" w:cstheme="minorEastAsia"/>
          <w:szCs w:val="21"/>
          <w:lang w:val="en-US" w:eastAsia="zh-CN"/>
        </w:rPr>
        <w:t>磋商代表的其他要求见《供应商须知前附表》。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84" w:name="_Toc13658"/>
      <w:r>
        <w:rPr>
          <w:rFonts w:hint="eastAsia" w:asciiTheme="minorEastAsia" w:hAnsiTheme="minorEastAsia" w:eastAsiaTheme="minorEastAsia" w:cstheme="minorEastAsia"/>
          <w:b/>
        </w:rPr>
        <w:t>资格审查和符合性审查</w:t>
      </w:r>
      <w:bookmarkEnd w:id="84"/>
    </w:p>
    <w:p>
      <w:pPr>
        <w:keepNext w:val="0"/>
        <w:keepLines w:val="0"/>
        <w:pageBreakBefore w:val="0"/>
        <w:widowControl w:val="0"/>
        <w:kinsoku/>
        <w:wordWrap/>
        <w:overflowPunct/>
        <w:topLinePunct w:val="0"/>
        <w:autoSpaceDE/>
        <w:autoSpaceDN/>
        <w:bidi w:val="0"/>
        <w:adjustRightInd/>
        <w:snapToGrid/>
        <w:spacing w:line="360" w:lineRule="auto"/>
        <w:ind w:left="630" w:hanging="630" w:hangingChars="3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25.1</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在正式磋商前，本磋商文件第四章规定的程序和方法，对供应商进行资格性审查和符合性审查，通过资格性审查和符合性审查，实质性响应磋商文件的供应商方可进入磋商程序。</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85" w:name="_Toc768"/>
      <w:r>
        <w:rPr>
          <w:rFonts w:hint="eastAsia" w:asciiTheme="minorEastAsia" w:hAnsiTheme="minorEastAsia" w:eastAsiaTheme="minorEastAsia" w:cstheme="minorEastAsia"/>
          <w:b/>
        </w:rPr>
        <w:t>磋商</w:t>
      </w:r>
      <w:bookmarkEnd w:id="85"/>
    </w:p>
    <w:p>
      <w:pPr>
        <w:keepNext w:val="0"/>
        <w:keepLines w:val="0"/>
        <w:pageBreakBefore w:val="0"/>
        <w:widowControl w:val="0"/>
        <w:kinsoku/>
        <w:wordWrap/>
        <w:overflowPunct/>
        <w:topLinePunct w:val="0"/>
        <w:autoSpaceDE/>
        <w:autoSpaceDN/>
        <w:bidi w:val="0"/>
        <w:adjustRightInd/>
        <w:snapToGrid/>
        <w:spacing w:line="360" w:lineRule="auto"/>
        <w:ind w:left="630" w:hanging="630" w:hangingChars="3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26.1</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磋商小组将根据本磋商文件第四章规定的程序和方法与</w:t>
      </w:r>
      <w:r>
        <w:rPr>
          <w:rFonts w:hint="eastAsia" w:asciiTheme="minorEastAsia" w:hAnsiTheme="minorEastAsia" w:eastAsiaTheme="minorEastAsia" w:cstheme="minorEastAsia"/>
          <w:szCs w:val="21"/>
          <w:lang w:val="en-US" w:eastAsia="zh-CN"/>
        </w:rPr>
        <w:t>供应商</w:t>
      </w:r>
      <w:r>
        <w:rPr>
          <w:rFonts w:hint="eastAsia" w:asciiTheme="minorEastAsia" w:hAnsiTheme="minorEastAsia" w:eastAsiaTheme="minorEastAsia" w:cstheme="minorEastAsia"/>
          <w:szCs w:val="21"/>
        </w:rPr>
        <w:t>进行磋商。在磋商中，磋商的任何一方不得透露与磋商有关的其他磋商供应商的技</w:t>
      </w:r>
      <w:r>
        <w:rPr>
          <w:rFonts w:hint="eastAsia" w:asciiTheme="minorEastAsia" w:hAnsiTheme="minorEastAsia" w:eastAsiaTheme="minorEastAsia" w:cstheme="minorEastAsia"/>
        </w:rPr>
        <w:t>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left="630" w:hanging="630" w:hangingChars="3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Theme="minorEastAsia" w:hAnsiTheme="minorEastAsia" w:eastAsiaTheme="minorEastAsia" w:cstheme="minorEastAsia"/>
          <w:szCs w:val="21"/>
        </w:rPr>
        <w:t>并提供必要的修正时间。</w:t>
      </w:r>
    </w:p>
    <w:p>
      <w:pPr>
        <w:keepNext w:val="0"/>
        <w:keepLines w:val="0"/>
        <w:pageBreakBefore w:val="0"/>
        <w:widowControl w:val="0"/>
        <w:kinsoku/>
        <w:wordWrap/>
        <w:overflowPunct/>
        <w:topLinePunct w:val="0"/>
        <w:autoSpaceDE/>
        <w:autoSpaceDN/>
        <w:bidi w:val="0"/>
        <w:adjustRightInd/>
        <w:snapToGrid/>
        <w:spacing w:line="360" w:lineRule="auto"/>
        <w:ind w:left="630" w:hanging="630" w:hangingChars="3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26.3</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供应商应当按照磋商文件的变动情况和磋商小组的要求重新提交响应文件，</w:t>
      </w:r>
      <w:r>
        <w:rPr>
          <w:rFonts w:hint="eastAsia" w:asciiTheme="minorEastAsia" w:hAnsiTheme="minorEastAsia" w:eastAsiaTheme="minorEastAsia" w:cstheme="minorEastAsia"/>
          <w:szCs w:val="21"/>
        </w:rPr>
        <w:t>对原响应文件进行技术、商务、价格修正，重新提交的响应文件应实质性响应本磋商文件及</w:t>
      </w:r>
      <w:r>
        <w:rPr>
          <w:rFonts w:hint="eastAsia" w:asciiTheme="minorEastAsia" w:hAnsiTheme="minorEastAsia" w:eastAsiaTheme="minorEastAsia" w:cstheme="minorEastAsia"/>
        </w:rPr>
        <w:t>对磋商文件作出的实质性变动，</w:t>
      </w:r>
      <w:r>
        <w:rPr>
          <w:rFonts w:hint="eastAsia" w:asciiTheme="minorEastAsia" w:hAnsiTheme="minorEastAsia" w:eastAsiaTheme="minorEastAsia" w:cstheme="minorEastAsia"/>
          <w:szCs w:val="21"/>
        </w:rPr>
        <w:t>并按本采购文件的规定进行签署。重新提交的响应文件与原响应文件不一致的，以重新提交的响应文件为准。不按要求签署或逾时不提交响应文件的，视同放弃磋商，放弃磋商的</w:t>
      </w:r>
      <w:r>
        <w:rPr>
          <w:rFonts w:hint="eastAsia" w:asciiTheme="minorEastAsia" w:hAnsiTheme="minorEastAsia" w:eastAsiaTheme="minorEastAsia" w:cstheme="minorEastAsia"/>
        </w:rPr>
        <w:t>供应商的磋商保证金将在成交通知书发放后的五个工作日内退还。</w:t>
      </w:r>
    </w:p>
    <w:p>
      <w:pPr>
        <w:tabs>
          <w:tab w:val="left" w:pos="54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26.4最后报价</w:t>
      </w:r>
    </w:p>
    <w:p>
      <w:pPr>
        <w:keepNext w:val="0"/>
        <w:keepLines w:val="0"/>
        <w:pageBreakBefore w:val="0"/>
        <w:widowControl w:val="0"/>
        <w:kinsoku/>
        <w:wordWrap/>
        <w:overflowPunct/>
        <w:topLinePunct w:val="0"/>
        <w:autoSpaceDE/>
        <w:autoSpaceDN/>
        <w:bidi w:val="0"/>
        <w:adjustRightInd/>
        <w:snapToGrid/>
        <w:spacing w:line="360" w:lineRule="auto"/>
        <w:ind w:left="630" w:leftChars="300"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44"/>
          <w:szCs w:val="21"/>
        </w:rPr>
        <w:t>采购代理机构将已确定条件的最后报价书发放至所有磋商供应商，要求磋商供应商在指定的时间内提交满足要求的最后报价，密封递交磋商小组。所有磋商供应商递交最后报价后，磋商小组将记录所有磋商供应商的最终价格。</w:t>
      </w:r>
      <w:r>
        <w:rPr>
          <w:rFonts w:hint="eastAsia" w:asciiTheme="minorEastAsia" w:hAnsiTheme="minorEastAsia" w:eastAsiaTheme="minorEastAsia" w:cstheme="minorEastAsia"/>
        </w:rPr>
        <w:t>最后报价为本次竞争性磋商不可变动的最终价格。</w:t>
      </w:r>
    </w:p>
    <w:p>
      <w:pPr>
        <w:keepNext w:val="0"/>
        <w:keepLines w:val="0"/>
        <w:pageBreakBefore w:val="0"/>
        <w:widowControl w:val="0"/>
        <w:kinsoku/>
        <w:wordWrap/>
        <w:overflowPunct/>
        <w:topLinePunct w:val="0"/>
        <w:autoSpaceDE/>
        <w:autoSpaceDN/>
        <w:bidi w:val="0"/>
        <w:adjustRightInd/>
        <w:snapToGrid/>
        <w:spacing w:line="360" w:lineRule="auto"/>
        <w:ind w:left="630" w:leftChars="300"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磋商文件能够详细列明采购标的的技术、服务要求的，磋商结束后，磋商小组应当要求所有继续参加磋商的供应商在规定时间内提交最后报价，提交最后报价的供应商不得少于3家。</w:t>
      </w:r>
    </w:p>
    <w:p>
      <w:pPr>
        <w:keepNext w:val="0"/>
        <w:keepLines w:val="0"/>
        <w:pageBreakBefore w:val="0"/>
        <w:widowControl w:val="0"/>
        <w:kinsoku/>
        <w:wordWrap/>
        <w:overflowPunct/>
        <w:topLinePunct w:val="0"/>
        <w:autoSpaceDE/>
        <w:autoSpaceDN/>
        <w:bidi w:val="0"/>
        <w:adjustRightInd/>
        <w:snapToGrid/>
        <w:spacing w:line="360" w:lineRule="auto"/>
        <w:ind w:left="630" w:leftChars="300"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keepNext w:val="0"/>
        <w:keepLines w:val="0"/>
        <w:pageBreakBefore w:val="0"/>
        <w:widowControl w:val="0"/>
        <w:kinsoku/>
        <w:wordWrap/>
        <w:overflowPunct/>
        <w:topLinePunct w:val="0"/>
        <w:autoSpaceDE/>
        <w:autoSpaceDN/>
        <w:bidi w:val="0"/>
        <w:adjustRightInd/>
        <w:snapToGrid/>
        <w:spacing w:line="360" w:lineRule="auto"/>
        <w:ind w:left="630" w:leftChars="300"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本采购项目提交最后报价供应商的确定方式详见《供应商须知前附表》。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630" w:hanging="630" w:hangingChars="3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26.5</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Cs/>
          <w:kern w:val="44"/>
          <w:szCs w:val="21"/>
        </w:rPr>
        <w:t>如有需要，磋商小组可进行多轮磋商，直至最终确定竞争性磋商采购文件采购需求中的技术、服务要求以及合同草案条款。如竞争性磋商采购文件无需修改，可直接要求磋商供应商</w:t>
      </w:r>
      <w:r>
        <w:rPr>
          <w:rFonts w:hint="eastAsia" w:asciiTheme="minorEastAsia" w:hAnsiTheme="minorEastAsia" w:eastAsiaTheme="minorEastAsia" w:cstheme="minorEastAsia"/>
        </w:rPr>
        <w:t>提交最后报价</w:t>
      </w:r>
      <w:r>
        <w:rPr>
          <w:rFonts w:hint="eastAsia" w:asciiTheme="minorEastAsia" w:hAnsiTheme="minorEastAsia" w:eastAsiaTheme="minorEastAsia" w:cstheme="minorEastAsia"/>
          <w:bCs/>
          <w:kern w:val="44"/>
          <w:szCs w:val="21"/>
        </w:rPr>
        <w:t>。</w:t>
      </w:r>
    </w:p>
    <w:p>
      <w:pPr>
        <w:keepNext w:val="0"/>
        <w:keepLines w:val="0"/>
        <w:pageBreakBefore w:val="0"/>
        <w:widowControl w:val="0"/>
        <w:kinsoku/>
        <w:wordWrap/>
        <w:overflowPunct/>
        <w:topLinePunct w:val="0"/>
        <w:autoSpaceDE/>
        <w:autoSpaceDN/>
        <w:bidi w:val="0"/>
        <w:adjustRightInd/>
        <w:snapToGrid/>
        <w:spacing w:line="360" w:lineRule="auto"/>
        <w:ind w:left="630" w:hanging="630" w:hangingChars="300"/>
        <w:jc w:val="left"/>
        <w:textAlignment w:val="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rPr>
        <w:t>26.6</w:t>
      </w:r>
      <w:r>
        <w:rPr>
          <w:rFonts w:hint="eastAsia" w:asciiTheme="minorEastAsia" w:hAnsiTheme="minorEastAsia" w:eastAsiaTheme="minorEastAsia" w:cstheme="minorEastAsia"/>
          <w:bCs/>
          <w:kern w:val="44"/>
          <w:szCs w:val="21"/>
        </w:rPr>
        <w:t xml:space="preserve"> </w:t>
      </w:r>
      <w:r>
        <w:rPr>
          <w:rFonts w:hint="eastAsia" w:asciiTheme="minorEastAsia" w:hAnsiTheme="minorEastAsia" w:eastAsiaTheme="minorEastAsia" w:cstheme="minorEastAsia"/>
          <w:bCs/>
          <w:kern w:val="44"/>
          <w:szCs w:val="21"/>
          <w:lang w:val="en-US" w:eastAsia="zh-CN"/>
        </w:rPr>
        <w:t xml:space="preserve"> </w:t>
      </w:r>
      <w:r>
        <w:rPr>
          <w:rFonts w:hint="eastAsia" w:asciiTheme="minorEastAsia" w:hAnsiTheme="minorEastAsia" w:eastAsiaTheme="minorEastAsia" w:cstheme="minorEastAsia"/>
          <w:bCs/>
          <w:kern w:val="44"/>
          <w:szCs w:val="21"/>
        </w:rPr>
        <w:t>磋商小组审核完最终报价后，根据竞争性磋商采购文件规定的评定办法推荐成交候选人或根据采购人的书面授权直接确定成交供应商。</w:t>
      </w:r>
    </w:p>
    <w:p>
      <w:pPr>
        <w:spacing w:line="360" w:lineRule="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26.7</w:t>
      </w:r>
      <w:r>
        <w:rPr>
          <w:rFonts w:hint="eastAsia" w:asciiTheme="minorEastAsia" w:hAnsiTheme="minorEastAsia" w:eastAsiaTheme="minorEastAsia" w:cstheme="minorEastAsia"/>
          <w:bCs/>
          <w:kern w:val="44"/>
          <w:szCs w:val="21"/>
          <w:lang w:val="en-US" w:eastAsia="zh-CN"/>
        </w:rPr>
        <w:t xml:space="preserve">  </w:t>
      </w:r>
      <w:r>
        <w:rPr>
          <w:rFonts w:hint="eastAsia" w:asciiTheme="minorEastAsia" w:hAnsiTheme="minorEastAsia" w:eastAsiaTheme="minorEastAsia" w:cstheme="minorEastAsia"/>
          <w:bCs/>
          <w:kern w:val="44"/>
          <w:szCs w:val="21"/>
        </w:rPr>
        <w:t>采购代理机构对磋商过程和重要磋商内容进行记录，磋商双方在记录上签字确认。</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6" w:name="_Toc12377"/>
      <w:r>
        <w:rPr>
          <w:rFonts w:hint="eastAsia" w:asciiTheme="minorEastAsia" w:hAnsiTheme="minorEastAsia" w:eastAsiaTheme="minorEastAsia" w:cstheme="minorEastAsia"/>
          <w:b/>
          <w:lang w:val="zh-CN"/>
        </w:rPr>
        <w:t>保密</w:t>
      </w:r>
      <w:bookmarkEnd w:id="86"/>
    </w:p>
    <w:p>
      <w:pPr>
        <w:numPr>
          <w:ilvl w:val="1"/>
          <w:numId w:val="35"/>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凡是属于审查、澄清、评价和比较的有关资料以及授标意向等，采购人、采购代理机构、监管人员、</w:t>
      </w:r>
      <w:r>
        <w:rPr>
          <w:rFonts w:hint="eastAsia" w:asciiTheme="minorEastAsia" w:hAnsiTheme="minorEastAsia" w:eastAsiaTheme="minorEastAsia" w:cstheme="minorEastAsia"/>
          <w:bCs/>
          <w:kern w:val="44"/>
          <w:szCs w:val="21"/>
        </w:rPr>
        <w:t>磋商小组</w:t>
      </w:r>
      <w:r>
        <w:rPr>
          <w:rFonts w:hint="eastAsia" w:asciiTheme="minorEastAsia" w:hAnsiTheme="minorEastAsia" w:eastAsiaTheme="minorEastAsia" w:cstheme="minorEastAsia"/>
          <w:snapToGrid w:val="0"/>
          <w:kern w:val="0"/>
          <w:szCs w:val="21"/>
          <w:lang w:val="zh-CN"/>
        </w:rPr>
        <w:t>及有关工作人员均不得向供应商或其它无关的人员透露。</w:t>
      </w:r>
    </w:p>
    <w:p>
      <w:pPr>
        <w:numPr>
          <w:ilvl w:val="1"/>
          <w:numId w:val="35"/>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Theme="minorEastAsia" w:hAnsiTheme="minorEastAsia" w:eastAsiaTheme="minorEastAsia" w:cstheme="minorEastAsia"/>
          <w:snapToGrid w:val="0"/>
          <w:kern w:val="0"/>
          <w:szCs w:val="21"/>
          <w:lang w:val="en-US" w:eastAsia="zh-CN"/>
        </w:rPr>
        <w:t>四</w:t>
      </w:r>
      <w:r>
        <w:rPr>
          <w:rFonts w:hint="eastAsia" w:asciiTheme="minorEastAsia" w:hAnsiTheme="minorEastAsia" w:eastAsiaTheme="minorEastAsia" w:cstheme="minorEastAsia"/>
          <w:snapToGrid w:val="0"/>
          <w:kern w:val="0"/>
          <w:szCs w:val="21"/>
          <w:lang w:val="zh-CN"/>
        </w:rPr>
        <w:t>章“</w:t>
      </w:r>
      <w:r>
        <w:rPr>
          <w:rFonts w:hint="eastAsia" w:asciiTheme="minorEastAsia" w:hAnsiTheme="minorEastAsia" w:eastAsiaTheme="minorEastAsia" w:cstheme="minorEastAsia"/>
          <w:snapToGrid w:val="0"/>
          <w:kern w:val="0"/>
          <w:szCs w:val="21"/>
          <w:lang w:val="en-US" w:eastAsia="zh-CN"/>
        </w:rPr>
        <w:t>评定办法</w:t>
      </w:r>
      <w:r>
        <w:rPr>
          <w:rFonts w:hint="eastAsia" w:asciiTheme="minorEastAsia" w:hAnsiTheme="minorEastAsia" w:eastAsiaTheme="minorEastAsia" w:cstheme="minorEastAsia"/>
          <w:snapToGrid w:val="0"/>
          <w:kern w:val="0"/>
          <w:szCs w:val="21"/>
          <w:lang w:val="zh-CN"/>
        </w:rPr>
        <w:t>”。</w:t>
      </w:r>
    </w:p>
    <w:p>
      <w:pPr>
        <w:numPr>
          <w:ilvl w:val="1"/>
          <w:numId w:val="35"/>
        </w:numPr>
        <w:autoSpaceDE w:val="0"/>
        <w:autoSpaceDN w:val="0"/>
        <w:adjustRightInd w:val="0"/>
        <w:spacing w:line="360" w:lineRule="auto"/>
        <w:jc w:val="left"/>
        <w:rPr>
          <w:rFonts w:hint="eastAsia"/>
          <w:lang w:val="zh-CN"/>
        </w:rPr>
      </w:pP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磋商小组根据综合评分情况，按照评审得分由高到低的顺序及《供应商须知前附表》规定的数量推荐成交候选供应商，并编写评审报告。评审报告应当有磋商小组全体成员签字认可。</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87" w:name="_Toc16803"/>
      <w:r>
        <w:rPr>
          <w:rFonts w:hint="eastAsia" w:asciiTheme="minorEastAsia" w:hAnsiTheme="minorEastAsia" w:eastAsiaTheme="minorEastAsia" w:cstheme="minorEastAsia"/>
          <w:b/>
          <w:szCs w:val="21"/>
        </w:rPr>
        <w:t>成交与签订合同</w:t>
      </w:r>
      <w:bookmarkEnd w:id="87"/>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8" w:name="_Toc27960"/>
      <w:r>
        <w:rPr>
          <w:rFonts w:hint="eastAsia" w:asciiTheme="minorEastAsia" w:hAnsiTheme="minorEastAsia" w:eastAsiaTheme="minorEastAsia" w:cstheme="minorEastAsia"/>
          <w:b/>
          <w:lang w:val="zh-CN"/>
        </w:rPr>
        <w:t>合同授予标准</w:t>
      </w:r>
      <w:bookmarkEnd w:id="88"/>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iCs/>
          <w:snapToGrid w:val="0"/>
          <w:kern w:val="0"/>
          <w:sz w:val="21"/>
          <w:szCs w:val="21"/>
          <w:lang w:val="zh-CN"/>
        </w:rPr>
      </w:pPr>
      <w:r>
        <w:rPr>
          <w:rFonts w:hint="eastAsia" w:asciiTheme="minorEastAsia" w:hAnsiTheme="minorEastAsia" w:eastAsiaTheme="minorEastAsia" w:cstheme="minorEastAsia"/>
          <w:iCs/>
          <w:snapToGrid w:val="0"/>
          <w:kern w:val="0"/>
          <w:szCs w:val="21"/>
          <w:lang w:val="zh-CN"/>
        </w:rPr>
        <w:t>28.1</w:t>
      </w:r>
      <w:r>
        <w:rPr>
          <w:rFonts w:hint="eastAsia" w:asciiTheme="minorEastAsia" w:hAnsiTheme="minorEastAsia" w:eastAsiaTheme="minorEastAsia" w:cstheme="minorEastAsia"/>
          <w:iCs/>
          <w:snapToGrid w:val="0"/>
          <w:kern w:val="0"/>
          <w:szCs w:val="21"/>
          <w:lang w:val="en-US" w:eastAsia="zh-CN"/>
        </w:rPr>
        <w:t xml:space="preserve">  </w:t>
      </w:r>
      <w:r>
        <w:rPr>
          <w:rFonts w:hint="eastAsia" w:asciiTheme="minorEastAsia" w:hAnsiTheme="minorEastAsia" w:eastAsiaTheme="minorEastAsia" w:cstheme="minorEastAsia"/>
          <w:iCs/>
          <w:snapToGrid w:val="0"/>
          <w:kern w:val="0"/>
          <w:sz w:val="21"/>
          <w:szCs w:val="21"/>
          <w:lang w:val="zh-CN"/>
        </w:rPr>
        <w:t>采购人将把合同授予排名第一的供应商，特殊情况按本须知29.3的规定执行。</w:t>
      </w:r>
    </w:p>
    <w:p>
      <w:pPr>
        <w:keepNext w:val="0"/>
        <w:keepLines w:val="0"/>
        <w:pageBreakBefore w:val="0"/>
        <w:widowControl w:val="0"/>
        <w:kinsoku/>
        <w:wordWrap/>
        <w:overflowPunct/>
        <w:topLinePunct w:val="0"/>
        <w:bidi w:val="0"/>
        <w:snapToGrid/>
        <w:spacing w:line="360" w:lineRule="auto"/>
        <w:ind w:left="630" w:hanging="630" w:hangingChars="300"/>
        <w:jc w:val="left"/>
        <w:textAlignment w:val="auto"/>
        <w:outlineLvl w:val="9"/>
        <w:rPr>
          <w:rFonts w:ascii="宋体" w:hAnsi="宋体" w:eastAsia="宋体" w:cs="宋体"/>
          <w:sz w:val="21"/>
          <w:szCs w:val="21"/>
        </w:rPr>
      </w:pPr>
      <w:r>
        <w:rPr>
          <w:rFonts w:hint="eastAsia" w:asciiTheme="minorEastAsia" w:hAnsiTheme="minorEastAsia" w:eastAsiaTheme="minorEastAsia" w:cstheme="minorEastAsia"/>
          <w:iCs/>
          <w:snapToGrid w:val="0"/>
          <w:kern w:val="0"/>
          <w:sz w:val="21"/>
          <w:szCs w:val="21"/>
          <w:lang w:val="zh-CN"/>
        </w:rPr>
        <w:t>28.</w:t>
      </w:r>
      <w:r>
        <w:rPr>
          <w:rFonts w:hint="eastAsia" w:asciiTheme="minorEastAsia" w:hAnsiTheme="minorEastAsia" w:eastAsiaTheme="minorEastAsia" w:cstheme="minorEastAsia"/>
          <w:iCs/>
          <w:snapToGrid w:val="0"/>
          <w:kern w:val="0"/>
          <w:sz w:val="21"/>
          <w:szCs w:val="21"/>
          <w:lang w:val="en-US" w:eastAsia="zh-CN"/>
        </w:rPr>
        <w:t xml:space="preserve">2  </w:t>
      </w:r>
      <w:r>
        <w:rPr>
          <w:rFonts w:hint="eastAsia" w:asciiTheme="minorEastAsia" w:hAnsiTheme="minorEastAsia" w:eastAsiaTheme="minorEastAsia" w:cstheme="minorEastAsia"/>
          <w:iCs/>
          <w:snapToGrid w:val="0"/>
          <w:kern w:val="0"/>
          <w:sz w:val="21"/>
          <w:szCs w:val="21"/>
          <w:lang w:val="zh-CN"/>
        </w:rPr>
        <w:t>采购代理机构应当在评审结束后2个工作日内将评审报告送采购人确认。</w:t>
      </w:r>
      <w:r>
        <w:rPr>
          <w:rFonts w:ascii="宋体" w:hAnsi="宋体" w:eastAsia="宋体" w:cs="宋体"/>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hanging="630" w:hangingChars="300"/>
        <w:jc w:val="left"/>
        <w:textAlignment w:val="auto"/>
        <w:outlineLvl w:val="9"/>
        <w:rPr>
          <w:rFonts w:hint="eastAsia" w:asciiTheme="minorEastAsia" w:hAnsiTheme="minorEastAsia" w:eastAsiaTheme="minorEastAsia" w:cstheme="minorEastAsia"/>
          <w:iCs/>
          <w:snapToGrid w:val="0"/>
          <w:kern w:val="0"/>
          <w:sz w:val="21"/>
          <w:szCs w:val="21"/>
          <w:lang w:val="zh-CN"/>
        </w:rPr>
      </w:pPr>
      <w:r>
        <w:rPr>
          <w:rFonts w:hint="eastAsia" w:asciiTheme="minorEastAsia" w:hAnsiTheme="minorEastAsia" w:eastAsiaTheme="minorEastAsia" w:cstheme="minorEastAsia"/>
          <w:iCs/>
          <w:snapToGrid w:val="0"/>
          <w:kern w:val="0"/>
          <w:sz w:val="21"/>
          <w:szCs w:val="21"/>
          <w:lang w:val="zh-CN"/>
        </w:rPr>
        <w:t>28.</w:t>
      </w:r>
      <w:r>
        <w:rPr>
          <w:rFonts w:hint="eastAsia" w:asciiTheme="minorEastAsia" w:hAnsiTheme="minorEastAsia" w:eastAsiaTheme="minorEastAsia" w:cstheme="minorEastAsia"/>
          <w:iCs/>
          <w:snapToGrid w:val="0"/>
          <w:kern w:val="0"/>
          <w:sz w:val="21"/>
          <w:szCs w:val="21"/>
          <w:lang w:val="en-US" w:eastAsia="zh-CN"/>
        </w:rPr>
        <w:t xml:space="preserve">3  </w:t>
      </w:r>
      <w:r>
        <w:rPr>
          <w:rFonts w:hint="eastAsia" w:asciiTheme="minorEastAsia" w:hAnsiTheme="minorEastAsia" w:eastAsiaTheme="minorEastAsia" w:cstheme="minorEastAsia"/>
          <w:snapToGrid w:val="0"/>
          <w:kern w:val="0"/>
          <w:szCs w:val="21"/>
          <w:lang w:val="zh-CN"/>
        </w:rPr>
        <w:t xml:space="preserve">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 </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iCs/>
          <w:snapToGrid w:val="0"/>
          <w:kern w:val="0"/>
          <w:sz w:val="21"/>
          <w:szCs w:val="21"/>
          <w:lang w:val="zh-CN"/>
        </w:rPr>
      </w:pPr>
      <w:r>
        <w:rPr>
          <w:rFonts w:hint="eastAsia" w:asciiTheme="minorEastAsia" w:hAnsiTheme="minorEastAsia" w:eastAsiaTheme="minorEastAsia" w:cstheme="minorEastAsia"/>
          <w:iCs/>
          <w:snapToGrid w:val="0"/>
          <w:kern w:val="0"/>
          <w:sz w:val="21"/>
          <w:szCs w:val="21"/>
          <w:lang w:val="zh-CN"/>
        </w:rPr>
        <w:t>28.</w:t>
      </w:r>
      <w:r>
        <w:rPr>
          <w:rFonts w:hint="eastAsia" w:asciiTheme="minorEastAsia" w:hAnsiTheme="minorEastAsia" w:eastAsiaTheme="minorEastAsia" w:cstheme="minorEastAsia"/>
          <w:iCs/>
          <w:snapToGrid w:val="0"/>
          <w:kern w:val="0"/>
          <w:sz w:val="21"/>
          <w:szCs w:val="21"/>
          <w:lang w:val="en-US" w:eastAsia="zh-CN"/>
        </w:rPr>
        <w:t xml:space="preserve">4  </w:t>
      </w:r>
      <w:r>
        <w:rPr>
          <w:rFonts w:hint="eastAsia" w:asciiTheme="minorEastAsia" w:hAnsiTheme="minorEastAsia" w:eastAsiaTheme="minorEastAsia" w:cstheme="minorEastAsia"/>
          <w:iCs/>
          <w:snapToGrid w:val="0"/>
          <w:kern w:val="0"/>
          <w:sz w:val="21"/>
          <w:szCs w:val="21"/>
          <w:lang w:val="zh-CN"/>
        </w:rPr>
        <w:t xml:space="preserve">采购人或者采购代理机构应当在成交供应商确定后2个工作日内，在省级以上财政部门指定的政府采购信息发布媒体上公告成交结果，同时向成交供应商发出成交通知书，并将磋商文件随成交结果同时公告。 </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iCs/>
          <w:snapToGrid w:val="0"/>
          <w:kern w:val="0"/>
          <w:sz w:val="21"/>
          <w:szCs w:val="21"/>
          <w:lang w:val="zh-CN"/>
        </w:rPr>
      </w:pPr>
      <w:r>
        <w:rPr>
          <w:rFonts w:hint="eastAsia" w:asciiTheme="minorEastAsia" w:hAnsiTheme="minorEastAsia" w:eastAsiaTheme="minorEastAsia" w:cstheme="minorEastAsia"/>
          <w:iCs/>
          <w:snapToGrid w:val="0"/>
          <w:kern w:val="0"/>
          <w:sz w:val="21"/>
          <w:szCs w:val="21"/>
          <w:lang w:val="zh-CN"/>
        </w:rPr>
        <w:t>28.</w:t>
      </w:r>
      <w:r>
        <w:rPr>
          <w:rFonts w:hint="eastAsia" w:asciiTheme="minorEastAsia" w:hAnsiTheme="minorEastAsia" w:eastAsiaTheme="minorEastAsia" w:cstheme="minorEastAsia"/>
          <w:iCs/>
          <w:snapToGrid w:val="0"/>
          <w:kern w:val="0"/>
          <w:sz w:val="21"/>
          <w:szCs w:val="21"/>
          <w:lang w:val="en-US" w:eastAsia="zh-CN"/>
        </w:rPr>
        <w:t xml:space="preserve">5  </w:t>
      </w:r>
      <w:r>
        <w:rPr>
          <w:rFonts w:hint="eastAsia" w:asciiTheme="minorEastAsia" w:hAnsiTheme="minorEastAsia" w:eastAsiaTheme="minorEastAsia" w:cstheme="minorEastAsia"/>
          <w:iCs/>
          <w:snapToGrid w:val="0"/>
          <w:kern w:val="0"/>
          <w:sz w:val="21"/>
          <w:szCs w:val="21"/>
          <w:lang w:val="zh-CN"/>
        </w:rPr>
        <w:t>成交通知书的领取时间详见《供应商须知前附表》。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9" w:name="_Toc2509"/>
      <w:r>
        <w:rPr>
          <w:rFonts w:hint="eastAsia" w:asciiTheme="minorEastAsia" w:hAnsiTheme="minorEastAsia" w:eastAsiaTheme="minorEastAsia" w:cstheme="minorEastAsia"/>
          <w:b/>
          <w:lang w:val="zh-CN"/>
        </w:rPr>
        <w:t>签订合同</w:t>
      </w:r>
      <w:bookmarkEnd w:id="89"/>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29.1 </w:t>
      </w: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竞争性磋商采购文件对履约保证金有规定的，成交供应商应按规定在签订合同前缴纳履约保证金。</w:t>
      </w:r>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szCs w:val="21"/>
          <w:lang w:val="zh-CN"/>
        </w:rPr>
        <w:t xml:space="preserve">29.2 </w:t>
      </w:r>
      <w:r>
        <w:rPr>
          <w:rFonts w:hint="eastAsia" w:asciiTheme="minorEastAsia" w:hAnsiTheme="minorEastAsia" w:eastAsiaTheme="minorEastAsia" w:cstheme="minorEastAsia"/>
          <w:snapToGrid w:val="0"/>
          <w:szCs w:val="21"/>
          <w:lang w:val="en-US" w:eastAsia="zh-CN"/>
        </w:rPr>
        <w:t xml:space="preserve"> </w:t>
      </w:r>
      <w:r>
        <w:rPr>
          <w:rFonts w:hint="eastAsia" w:asciiTheme="minorEastAsia" w:hAnsiTheme="minorEastAsia" w:eastAsiaTheme="minorEastAsia" w:cstheme="minorEastAsia"/>
          <w:snapToGrid w:val="0"/>
          <w:szCs w:val="21"/>
          <w:lang w:val="zh-CN"/>
        </w:rPr>
        <w:t>采购人与成交供应商应当在成交通知书发出之日起30日内，按照采购文件确定的合同文本以及采购标的、规格型号、采购金额、采购数量、技术和服务要求等事项签订政府采购合同。</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采购人应当自政府采购合同签订之日起2个工作日内，将政府采购合同在省级以上人民政府指定的媒体上公告，但政府采购合同中涉及国家秘密、商业秘密的内容除外。</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29.3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zh-CN"/>
        </w:rPr>
        <w:t>成交供应商拒绝与采购人签订合同的，采购人可以按照评审报告推荐的中标候选人名单排序，确定下一候选人为成交供应商，也可以重新开展政府采购活动。</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29.4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napToGrid w:val="0"/>
          <w:kern w:val="0"/>
          <w:szCs w:val="21"/>
          <w:lang w:val="zh-CN"/>
        </w:rPr>
        <w:t>签订政府采购合同后7个工作日内，采购人应将政府采购合同副本报同级政府采购监管部门备案。</w:t>
      </w:r>
    </w:p>
    <w:p>
      <w:pPr>
        <w:keepNext w:val="0"/>
        <w:keepLines w:val="0"/>
        <w:pageBreakBefore w:val="0"/>
        <w:widowControl w:val="0"/>
        <w:tabs>
          <w:tab w:val="left" w:pos="540"/>
        </w:tabs>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29.5 </w:t>
      </w: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keepNext w:val="0"/>
        <w:keepLines w:val="0"/>
        <w:pageBreakBefore w:val="0"/>
        <w:widowControl w:val="0"/>
        <w:tabs>
          <w:tab w:val="left" w:pos="540"/>
        </w:tabs>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szCs w:val="21"/>
          <w:lang w:val="zh-CN"/>
        </w:rPr>
        <w:t xml:space="preserve">29.6 </w:t>
      </w:r>
      <w:r>
        <w:rPr>
          <w:rFonts w:hint="eastAsia" w:asciiTheme="minorEastAsia" w:hAnsiTheme="minorEastAsia" w:eastAsiaTheme="minorEastAsia" w:cstheme="minorEastAsia"/>
          <w:snapToGrid w:val="0"/>
          <w:szCs w:val="21"/>
          <w:lang w:val="en-US" w:eastAsia="zh-CN"/>
        </w:rPr>
        <w:t xml:space="preserve"> </w:t>
      </w:r>
      <w:r>
        <w:rPr>
          <w:rFonts w:hint="eastAsia" w:asciiTheme="minorEastAsia" w:hAnsiTheme="minorEastAsia" w:eastAsiaTheme="minorEastAsia" w:cstheme="minorEastAsia"/>
          <w:snapToGrid w:val="0"/>
          <w:szCs w:val="21"/>
          <w:lang w:val="zh-CN"/>
        </w:rPr>
        <w:t>除不可抗力等因素外，成交通知书发出后，采购人改变成交结果，或者成交供应商拒绝签订政府采购合同的，应当承担相应的法律责任。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keepNext w:val="0"/>
        <w:keepLines w:val="0"/>
        <w:pageBreakBefore w:val="0"/>
        <w:widowControl w:val="0"/>
        <w:numPr>
          <w:ilvl w:val="1"/>
          <w:numId w:val="10"/>
        </w:numPr>
        <w:tabs>
          <w:tab w:val="left" w:pos="540"/>
          <w:tab w:val="clear" w:pos="840"/>
        </w:tabs>
        <w:kinsoku/>
        <w:wordWrap/>
        <w:overflowPunct/>
        <w:topLinePunct w:val="0"/>
        <w:bidi w:val="0"/>
        <w:snapToGrid/>
        <w:spacing w:line="360" w:lineRule="auto"/>
        <w:ind w:left="630" w:hanging="632" w:hangingChars="300"/>
        <w:jc w:val="left"/>
        <w:textAlignment w:val="auto"/>
        <w:outlineLvl w:val="9"/>
        <w:rPr>
          <w:rFonts w:hint="eastAsia" w:asciiTheme="minorEastAsia" w:hAnsiTheme="minorEastAsia" w:eastAsiaTheme="minorEastAsia" w:cstheme="minorEastAsia"/>
          <w:b/>
          <w:szCs w:val="21"/>
          <w:lang w:val="zh-CN"/>
        </w:rPr>
      </w:pPr>
      <w:bookmarkStart w:id="90" w:name="_Toc13988"/>
      <w:bookmarkStart w:id="91" w:name="_Toc4883"/>
      <w:bookmarkStart w:id="92" w:name="_Toc14510"/>
      <w:r>
        <w:rPr>
          <w:rFonts w:hint="eastAsia" w:asciiTheme="minorEastAsia" w:hAnsiTheme="minorEastAsia" w:eastAsiaTheme="minorEastAsia" w:cstheme="minorEastAsia"/>
          <w:b/>
          <w:szCs w:val="21"/>
          <w:lang w:val="zh-CN"/>
        </w:rPr>
        <w:t>质疑和投诉</w:t>
      </w:r>
      <w:bookmarkEnd w:id="90"/>
      <w:bookmarkEnd w:id="91"/>
      <w:bookmarkEnd w:id="92"/>
    </w:p>
    <w:p>
      <w:pPr>
        <w:keepNext w:val="0"/>
        <w:keepLines w:val="0"/>
        <w:pageBreakBefore w:val="0"/>
        <w:widowControl w:val="0"/>
        <w:numPr>
          <w:ilvl w:val="0"/>
          <w:numId w:val="11"/>
        </w:numPr>
        <w:tabs>
          <w:tab w:val="left" w:pos="864"/>
          <w:tab w:val="left" w:pos="1080"/>
        </w:tabs>
        <w:kinsoku/>
        <w:wordWrap/>
        <w:overflowPunct/>
        <w:topLinePunct w:val="0"/>
        <w:bidi w:val="0"/>
        <w:snapToGrid/>
        <w:spacing w:line="360" w:lineRule="auto"/>
        <w:ind w:left="630" w:hanging="632" w:hangingChars="300"/>
        <w:jc w:val="left"/>
        <w:textAlignment w:val="auto"/>
        <w:outlineLvl w:val="9"/>
        <w:rPr>
          <w:rFonts w:hint="eastAsia" w:asciiTheme="minorEastAsia" w:hAnsiTheme="minorEastAsia" w:eastAsiaTheme="minorEastAsia" w:cstheme="minorEastAsia"/>
          <w:b/>
          <w:lang w:val="zh-CN"/>
        </w:rPr>
      </w:pPr>
      <w:r>
        <w:rPr>
          <w:rFonts w:hint="eastAsia" w:asciiTheme="minorEastAsia" w:hAnsiTheme="minorEastAsia" w:eastAsiaTheme="minorEastAsia" w:cstheme="minorEastAsia"/>
          <w:b/>
          <w:lang w:val="zh-CN"/>
        </w:rPr>
        <w:t>质疑</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供应商认为磋商文件、磋商过程和成交结果使自己的权益受到损害的，可以在知道或者应知其权益受到损害之日起7个工作日内，以书面形式向采购人或采购代理机构提出质疑。我公司受理项目质疑部门为技术部,联系人：张梦；联系电话：027-87820788。</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质疑书应当包括下列主要内容：</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质疑人的名称、地址、联系人及联系电话等；</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被质疑人的名称、地址、联系人及联系电话等；</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质疑项目名称及编号、质疑事项和明确的请求；</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（4）</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质疑事项的事实根据、法律依据及其他必要的证明材料；质疑人提供的证明材料属于其他供应商投标（响应）文件未公开内容的，应当提供书面材料证明其合法来源；</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（5）</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提出质疑的日期；</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（6）</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质疑人的署名及签章（质疑人为自然人的，应当由本人签字；质疑人为法人或者其他组织的，应当由法定代表人或者主要负责人签字盖章并加盖公章）；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（7）</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法人授权委托书（质疑人或法人委托代理人办理质疑事务的，应当提供授权委托书，授权委托书应当载明委托代理的具体权限和事项）。</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0" w:firstLineChars="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质疑书不符合上述要求的，采购人或代理机构应书面告知具体事项，质疑人应当按要求进行修改或补充，并在质疑有效期限内提交。</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3" w:name="_Toc23808"/>
      <w:r>
        <w:rPr>
          <w:rFonts w:hint="eastAsia" w:asciiTheme="minorEastAsia" w:hAnsiTheme="minorEastAsia" w:eastAsiaTheme="minorEastAsia" w:cstheme="minorEastAsia"/>
          <w:b/>
          <w:lang w:val="zh-CN"/>
        </w:rPr>
        <w:t>质疑回复</w:t>
      </w:r>
      <w:bookmarkEnd w:id="93"/>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质疑答复应当包括下列内容：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（2）采购人或采购代理机构（委托项目一并列出）的名称、地址、联系人及联系电话；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（3）受理质疑的日期、质疑项目名称及编号、质疑事项；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（4）质疑事项答复的具体情况及事实根据、法律依据；</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（5）告知质疑人依法投诉的权利和投诉方式；</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（6）质疑答复日期。</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4" w:name="_Toc5059"/>
      <w:r>
        <w:rPr>
          <w:rFonts w:hint="eastAsia" w:asciiTheme="minorEastAsia" w:hAnsiTheme="minorEastAsia" w:eastAsiaTheme="minorEastAsia" w:cstheme="minorEastAsia"/>
          <w:b/>
          <w:lang w:val="zh-CN"/>
        </w:rPr>
        <w:t>投诉</w:t>
      </w:r>
      <w:bookmarkEnd w:id="94"/>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95" w:name="_Toc5571"/>
      <w:bookmarkStart w:id="96" w:name="_Toc28705"/>
      <w:bookmarkStart w:id="97" w:name="_Toc14767"/>
      <w:bookmarkStart w:id="98" w:name="_Toc7380"/>
      <w:r>
        <w:rPr>
          <w:rFonts w:hint="eastAsia" w:asciiTheme="minorEastAsia" w:hAnsiTheme="minorEastAsia" w:eastAsiaTheme="minorEastAsia" w:cstheme="minorEastAsia"/>
          <w:b/>
          <w:szCs w:val="21"/>
          <w:lang w:val="zh-CN"/>
        </w:rPr>
        <w:t>政策</w:t>
      </w:r>
      <w:bookmarkEnd w:id="95"/>
      <w:bookmarkEnd w:id="96"/>
      <w:bookmarkEnd w:id="97"/>
      <w:bookmarkEnd w:id="98"/>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en-US" w:eastAsia="zh-CN"/>
        </w:rPr>
      </w:pPr>
      <w:bookmarkStart w:id="99" w:name="_Toc32325"/>
      <w:r>
        <w:rPr>
          <w:rFonts w:hint="eastAsia" w:asciiTheme="minorEastAsia" w:hAnsiTheme="minorEastAsia" w:eastAsiaTheme="minorEastAsia" w:cstheme="minorEastAsia"/>
          <w:b/>
          <w:lang w:val="en-US" w:eastAsia="zh-CN"/>
        </w:rPr>
        <w:t>政府采购政策</w:t>
      </w:r>
      <w:bookmarkEnd w:id="99"/>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spacing w:val="-2"/>
          <w:kern w:val="0"/>
          <w:szCs w:val="21"/>
          <w:lang w:val="zh-CN"/>
        </w:rPr>
        <w:t>除非“供应商须知前附表”中有特殊规定，本项目所采购的货物应当为中华人民共和国境内提供。</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为促进中小企业发展，本项目供应商如符合工信部联企业【</w:t>
      </w:r>
      <w:r>
        <w:rPr>
          <w:rFonts w:hint="eastAsia" w:ascii="宋体" w:hAnsi="宋体" w:cs="宋体"/>
          <w:snapToGrid w:val="0"/>
          <w:kern w:val="0"/>
          <w:szCs w:val="21"/>
          <w:lang w:val="en-US" w:eastAsia="zh-CN"/>
        </w:rPr>
        <w:t>2011</w:t>
      </w:r>
      <w:r>
        <w:rPr>
          <w:rFonts w:hint="eastAsia" w:ascii="宋体" w:hAnsi="宋体" w:cs="宋体"/>
          <w:snapToGrid w:val="0"/>
          <w:kern w:val="0"/>
          <w:szCs w:val="21"/>
          <w:lang w:val="zh-CN"/>
        </w:rPr>
        <w:t>】300号文中对中小企业划型标准的，可按照“评定办法前附表”中相关规定，对产品的价格给予一定比例的扣除，用扣除后的价格参与评审。具体扣除比例详见“评定办法前附表”。</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33.3  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33.4  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en-US"/>
        </w:rPr>
      </w:pPr>
      <w:r>
        <w:rPr>
          <w:rFonts w:hint="eastAsia" w:ascii="宋体" w:hAnsi="宋体" w:cs="宋体"/>
          <w:snapToGrid w:val="0"/>
          <w:kern w:val="0"/>
          <w:szCs w:val="21"/>
          <w:lang w:val="zh-CN" w:eastAsia="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eastAsia="zh-CN"/>
        </w:rPr>
        <w:t>.</w:t>
      </w:r>
      <w:r>
        <w:rPr>
          <w:rFonts w:hint="eastAsia" w:ascii="宋体" w:hAnsi="宋体" w:cs="宋体"/>
          <w:snapToGrid w:val="0"/>
          <w:kern w:val="0"/>
          <w:szCs w:val="21"/>
          <w:lang w:val="en-US" w:eastAsia="zh-CN"/>
        </w:rPr>
        <w:t>5  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keepNext w:val="0"/>
        <w:keepLines w:val="0"/>
        <w:pageBreakBefore w:val="0"/>
        <w:widowControl w:val="0"/>
        <w:kinsoku/>
        <w:wordWrap/>
        <w:overflowPunct/>
        <w:topLinePunct w:val="0"/>
        <w:autoSpaceDE w:val="0"/>
        <w:autoSpaceDN w:val="0"/>
        <w:bidi w:val="0"/>
        <w:adjustRightInd w:val="0"/>
        <w:snapToGrid/>
        <w:spacing w:line="360" w:lineRule="auto"/>
        <w:ind w:left="630" w:hanging="630" w:hangingChars="300"/>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33.</w:t>
      </w:r>
      <w:r>
        <w:rPr>
          <w:rFonts w:hint="eastAsia" w:ascii="宋体" w:hAnsi="宋体" w:cs="宋体"/>
          <w:snapToGrid w:val="0"/>
          <w:kern w:val="0"/>
          <w:szCs w:val="21"/>
          <w:lang w:val="en-US" w:eastAsia="zh-CN"/>
        </w:rPr>
        <w:t xml:space="preserve">6  </w:t>
      </w:r>
      <w:r>
        <w:rPr>
          <w:rFonts w:hint="eastAsia" w:ascii="宋体" w:hAnsi="宋体" w:cs="宋体"/>
          <w:snapToGrid w:val="0"/>
          <w:kern w:val="0"/>
          <w:szCs w:val="21"/>
          <w:lang w:val="zh-CN"/>
        </w:rPr>
        <w:t>上述政府采购政策优惠须经磋商小组评审后执行，未提供单独分项报价或证明资料不全的不给予价格扣除。</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0" w:firstLineChars="0"/>
        <w:jc w:val="left"/>
        <w:textAlignment w:val="auto"/>
        <w:rPr>
          <w:rFonts w:hint="eastAsia"/>
          <w:b/>
          <w:bCs/>
          <w:lang w:val="zh-CN"/>
        </w:rPr>
      </w:pPr>
      <w:r>
        <w:rPr>
          <w:rFonts w:hint="eastAsia" w:ascii="宋体" w:hAnsi="宋体" w:cs="宋体"/>
          <w:b/>
          <w:bCs/>
          <w:snapToGrid w:val="0"/>
          <w:kern w:val="0"/>
          <w:szCs w:val="21"/>
          <w:lang w:val="zh-CN"/>
        </w:rPr>
        <w:t>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0" w:name="_Toc5623"/>
      <w:r>
        <w:rPr>
          <w:rFonts w:hint="eastAsia" w:asciiTheme="minorEastAsia" w:hAnsiTheme="minorEastAsia" w:eastAsiaTheme="minorEastAsia" w:cstheme="minorEastAsia"/>
          <w:b/>
          <w:szCs w:val="21"/>
          <w:lang w:val="zh-CN"/>
        </w:rPr>
        <w:t>其他要求</w:t>
      </w:r>
      <w:bookmarkEnd w:id="100"/>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见《供应商须知前附表》。</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1" w:name="_Toc17665"/>
      <w:r>
        <w:rPr>
          <w:rFonts w:hint="eastAsia" w:asciiTheme="minorEastAsia" w:hAnsiTheme="minorEastAsia" w:eastAsiaTheme="minorEastAsia" w:cstheme="minorEastAsia"/>
          <w:b/>
          <w:szCs w:val="21"/>
          <w:lang w:val="zh-CN"/>
        </w:rPr>
        <w:t>适用法律</w:t>
      </w:r>
      <w:bookmarkEnd w:id="101"/>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0" w:firstLineChars="0"/>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采购人或者采购代理机构和供应商的一切采购活动均适用于《中华人民共和国政府采购法》、《中华人民共和国政府采购实施条例》、《政府采购竞争性磋商采购方式管理办法》等相关规定。</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b/>
          <w:bCs/>
          <w:snapToGrid w:val="0"/>
          <w:kern w:val="0"/>
          <w:szCs w:val="21"/>
          <w:lang w:val="zh-CN"/>
        </w:rPr>
        <w:t>补充说明：</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630" w:hanging="630" w:hangingChars="30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 12 月 1 日至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11 月 30 日。</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630" w:leftChars="0" w:hanging="630" w:hangingChars="30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关于提交经审计的财务报告的年份要求：递交响应文件时间如在当年 6 月 30 日以前，</w:t>
      </w:r>
      <w:r>
        <w:rPr>
          <w:rFonts w:hint="eastAsia" w:asciiTheme="minorEastAsia" w:hAnsiTheme="minorEastAsia" w:eastAsiaTheme="minorEastAsia" w:cstheme="minorEastAsia"/>
          <w:snapToGrid w:val="0"/>
          <w:kern w:val="0"/>
          <w:szCs w:val="21"/>
          <w:lang w:val="en-US" w:eastAsia="zh-CN"/>
        </w:rPr>
        <w:t>则</w:t>
      </w:r>
      <w:r>
        <w:rPr>
          <w:rFonts w:hint="eastAsia" w:asciiTheme="minorEastAsia" w:hAnsiTheme="minorEastAsia" w:eastAsiaTheme="minorEastAsia" w:cstheme="minorEastAsia"/>
          <w:snapToGrid w:val="0"/>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6 月 9 日，则“近三年”</w:t>
      </w:r>
      <w:r>
        <w:rPr>
          <w:rFonts w:hint="eastAsia" w:asciiTheme="minorEastAsia" w:hAnsiTheme="minorEastAsia" w:eastAsiaTheme="minorEastAsia" w:cstheme="minorEastAsia"/>
          <w:snapToGrid w:val="0"/>
          <w:kern w:val="0"/>
          <w:szCs w:val="21"/>
          <w:lang w:val="en-US" w:eastAsia="zh-CN"/>
        </w:rPr>
        <w:t>是</w:t>
      </w:r>
      <w:r>
        <w:rPr>
          <w:rFonts w:hint="eastAsia" w:asciiTheme="minorEastAsia" w:hAnsiTheme="minorEastAsia" w:eastAsiaTheme="minorEastAsia" w:cstheme="minorEastAsia"/>
          <w:snapToGrid w:val="0"/>
          <w:kern w:val="0"/>
          <w:szCs w:val="21"/>
          <w:lang w:val="zh-CN"/>
        </w:rPr>
        <w:t>指 201</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8</w:t>
      </w:r>
      <w:r>
        <w:rPr>
          <w:rFonts w:hint="eastAsia" w:asciiTheme="minorEastAsia" w:hAnsiTheme="minorEastAsia" w:eastAsiaTheme="minorEastAsia" w:cstheme="minorEastAsia"/>
          <w:snapToGrid w:val="0"/>
          <w:kern w:val="0"/>
          <w:szCs w:val="21"/>
          <w:lang w:val="zh-CN"/>
        </w:rPr>
        <w:t>年度。</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630" w:leftChars="0" w:hanging="630" w:hangingChars="30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本采购文件所称的“以上”、“以下”、“内”、“以内”，均包括本数；所称的“不足”，不包括本数。</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p>
    <w:p>
      <w:pPr>
        <w:numPr>
          <w:ilvl w:val="0"/>
          <w:numId w:val="4"/>
        </w:numPr>
        <w:spacing w:line="240" w:lineRule="auto"/>
        <w:jc w:val="center"/>
        <w:outlineLvl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br w:type="page"/>
      </w:r>
      <w:bookmarkStart w:id="102" w:name="_Toc5870"/>
      <w:r>
        <w:rPr>
          <w:rFonts w:hint="eastAsia" w:asciiTheme="minorEastAsia" w:hAnsiTheme="minorEastAsia" w:eastAsiaTheme="minorEastAsia" w:cstheme="minorEastAsia"/>
          <w:b/>
          <w:bCs/>
          <w:sz w:val="36"/>
          <w:szCs w:val="36"/>
        </w:rPr>
        <w:t>采购需求</w:t>
      </w:r>
      <w:bookmarkEnd w:id="102"/>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03" w:name="_Toc32694"/>
      <w:r>
        <w:rPr>
          <w:rFonts w:hint="eastAsia" w:asciiTheme="minorEastAsia" w:hAnsiTheme="minorEastAsia" w:eastAsiaTheme="minorEastAsia" w:cstheme="minorEastAsia"/>
          <w:b/>
          <w:bCs/>
          <w:color w:val="auto"/>
          <w:sz w:val="24"/>
          <w:szCs w:val="24"/>
          <w:lang w:val="en-US" w:eastAsia="zh-CN"/>
        </w:rPr>
        <w:t>一、技术需求</w:t>
      </w:r>
      <w:bookmarkEnd w:id="103"/>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项目概况：根据教育部有关文件精神，为建设一批优质的在线开放课程、线上线下混合式课程，推动优质大规模在线开放课程共享、推进以学生为中心的教与学方式方法变革，结合学校课程教学与改革实际需求，武汉工程大学准备建设一批在线开放课程和线上线下混合式课程资源，以推进信息化与课堂教学的融合，加快推进武汉工程大学的教育教学改革。现拟采购一流本科课程拍摄与制作服务</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2、服务内容和要求：</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课程建设总体要求</w:t>
      </w:r>
    </w:p>
    <w:p>
      <w:pPr>
        <w:spacing w:line="360" w:lineRule="auto"/>
        <w:ind w:firstLine="420" w:firstLineChars="200"/>
        <w:rPr>
          <w:rFonts w:hint="eastAsia" w:ascii="宋体" w:hAnsi="宋体" w:eastAsia="宋体" w:cs="宋体"/>
          <w:sz w:val="21"/>
          <w:szCs w:val="21"/>
        </w:rPr>
      </w:pPr>
      <w:r>
        <w:rPr>
          <w:rFonts w:hint="eastAsia" w:ascii="宋体" w:hAnsi="宋体" w:cs="宋体"/>
          <w:color w:val="auto"/>
          <w:sz w:val="21"/>
          <w:szCs w:val="21"/>
          <w:lang w:eastAsia="zh-CN"/>
        </w:rPr>
        <w:t>※</w:t>
      </w:r>
      <w:r>
        <w:rPr>
          <w:rFonts w:hint="eastAsia" w:ascii="宋体" w:hAnsi="宋体" w:eastAsia="宋体" w:cs="宋体"/>
          <w:sz w:val="21"/>
          <w:szCs w:val="21"/>
          <w:lang w:val="en-US" w:eastAsia="zh-CN"/>
        </w:rPr>
        <w:t xml:space="preserve">2.1.1 </w:t>
      </w:r>
      <w:r>
        <w:rPr>
          <w:rFonts w:hint="eastAsia" w:ascii="宋体" w:hAnsi="宋体" w:eastAsia="宋体" w:cs="宋体"/>
          <w:sz w:val="21"/>
          <w:szCs w:val="21"/>
        </w:rPr>
        <w:t>服务</w:t>
      </w:r>
      <w:r>
        <w:rPr>
          <w:rFonts w:hint="eastAsia" w:ascii="宋体" w:hAnsi="宋体" w:eastAsia="宋体" w:cs="宋体"/>
          <w:sz w:val="21"/>
          <w:szCs w:val="21"/>
          <w:lang w:eastAsia="zh-CN"/>
        </w:rPr>
        <w:t>供应商</w:t>
      </w:r>
      <w:r>
        <w:rPr>
          <w:rFonts w:hint="eastAsia" w:ascii="宋体" w:hAnsi="宋体" w:eastAsia="宋体" w:cs="宋体"/>
          <w:sz w:val="21"/>
          <w:szCs w:val="21"/>
        </w:rPr>
        <w:t>对教育及教学工作有深入了解，为该项目配备一支不少于5人的专业课程服务团队，进驻学校进行服务。课程制作团队需配置教学设计、专业摄像、化妆师等岗位，其中教学设计与后期制作人员需具备专业技术能力相关证书。</w:t>
      </w:r>
    </w:p>
    <w:p>
      <w:pPr>
        <w:spacing w:line="360" w:lineRule="auto"/>
        <w:ind w:firstLine="420" w:firstLineChars="200"/>
        <w:rPr>
          <w:rFonts w:hint="eastAsia" w:ascii="宋体" w:hAnsi="宋体" w:eastAsia="宋体" w:cs="宋体"/>
          <w:sz w:val="21"/>
          <w:szCs w:val="21"/>
        </w:rPr>
      </w:pPr>
      <w:r>
        <w:rPr>
          <w:rFonts w:hint="eastAsia" w:ascii="宋体" w:hAnsi="宋体" w:cs="宋体"/>
          <w:color w:val="auto"/>
          <w:sz w:val="21"/>
          <w:szCs w:val="21"/>
          <w:lang w:eastAsia="zh-CN"/>
        </w:rPr>
        <w:t>※</w:t>
      </w:r>
      <w:r>
        <w:rPr>
          <w:rFonts w:hint="eastAsia" w:ascii="宋体" w:hAnsi="宋体" w:eastAsia="宋体" w:cs="宋体"/>
          <w:sz w:val="21"/>
          <w:szCs w:val="21"/>
          <w:lang w:val="en-US" w:eastAsia="zh-CN"/>
        </w:rPr>
        <w:t>2.1.2</w:t>
      </w:r>
      <w:r>
        <w:rPr>
          <w:rFonts w:hint="eastAsia" w:ascii="宋体" w:hAnsi="宋体" w:eastAsia="宋体" w:cs="宋体"/>
          <w:sz w:val="21"/>
          <w:szCs w:val="21"/>
        </w:rPr>
        <w:t>课程制作团队需具备至少10门本校同类项目课程制作经验，需在应标文件中提供项目制作合同。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2.1.3 </w:t>
      </w:r>
      <w:r>
        <w:rPr>
          <w:rFonts w:hint="eastAsia" w:ascii="宋体" w:hAnsi="宋体" w:eastAsia="宋体" w:cs="宋体"/>
          <w:sz w:val="21"/>
          <w:szCs w:val="21"/>
        </w:rPr>
        <w:t>协助课程教师根据课程的教学目标和学科特点，合理、有序的设计知识单元和拆分、配置知识点及技能点，进行课程拍摄规划与制作等，具体要求如下：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2.1.4 </w:t>
      </w:r>
      <w:r>
        <w:rPr>
          <w:rFonts w:hint="eastAsia" w:ascii="宋体" w:hAnsi="宋体" w:eastAsia="宋体" w:cs="宋体"/>
          <w:sz w:val="21"/>
          <w:szCs w:val="21"/>
        </w:rPr>
        <w:t>协助教师团队分析课程，完成课程标准、课程设计及实施方案。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2.1.5 </w:t>
      </w:r>
      <w:r>
        <w:rPr>
          <w:rFonts w:hint="eastAsia" w:ascii="宋体" w:hAnsi="宋体" w:eastAsia="宋体" w:cs="宋体"/>
          <w:sz w:val="21"/>
          <w:szCs w:val="21"/>
        </w:rPr>
        <w:t>协助教师团队对课程知识点进行设计，各知识点采用微课视频形式，协助教师团队进行视频脚本设计。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2.1.6 </w:t>
      </w:r>
      <w:r>
        <w:rPr>
          <w:rFonts w:hint="eastAsia" w:ascii="宋体" w:hAnsi="宋体" w:eastAsia="宋体" w:cs="宋体"/>
          <w:sz w:val="21"/>
          <w:szCs w:val="21"/>
        </w:rPr>
        <w:t>协助教师团队完成课程的框架设计、资源的组织与运用。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2.1.7</w:t>
      </w:r>
      <w:r>
        <w:rPr>
          <w:rFonts w:hint="eastAsia" w:ascii="宋体" w:hAnsi="宋体" w:eastAsia="宋体" w:cs="宋体"/>
          <w:sz w:val="21"/>
          <w:szCs w:val="21"/>
        </w:rPr>
        <w:t>协助教师团队制作与课程相关的数字教学资源。包括电子教案、幻灯片、教学大纲、微课视频、课堂笔记、测验题和讨论主题等。能提供与课程制作相关的图书、视频等课程拓展资源,并取得著作人的授权。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2.1.8 </w:t>
      </w:r>
      <w:r>
        <w:rPr>
          <w:rFonts w:hint="eastAsia" w:ascii="宋体" w:hAnsi="宋体" w:eastAsia="宋体" w:cs="宋体"/>
          <w:sz w:val="21"/>
          <w:szCs w:val="21"/>
        </w:rPr>
        <w:t>服务</w:t>
      </w:r>
      <w:r>
        <w:rPr>
          <w:rFonts w:hint="eastAsia" w:ascii="宋体" w:hAnsi="宋体" w:eastAsia="宋体" w:cs="宋体"/>
          <w:sz w:val="21"/>
          <w:szCs w:val="21"/>
          <w:lang w:eastAsia="zh-CN"/>
        </w:rPr>
        <w:t>供应商</w:t>
      </w:r>
      <w:r>
        <w:rPr>
          <w:rFonts w:hint="eastAsia" w:ascii="宋体" w:hAnsi="宋体" w:eastAsia="宋体" w:cs="宋体"/>
          <w:sz w:val="21"/>
          <w:szCs w:val="21"/>
        </w:rPr>
        <w:t>能合法提供与课程制作相关的图书、视频等课程拓展资源以满足学生学习需要。服务</w:t>
      </w:r>
      <w:r>
        <w:rPr>
          <w:rFonts w:hint="eastAsia" w:ascii="宋体" w:hAnsi="宋体" w:eastAsia="宋体" w:cs="宋体"/>
          <w:sz w:val="21"/>
          <w:szCs w:val="21"/>
          <w:lang w:eastAsia="zh-CN"/>
        </w:rPr>
        <w:t>供应商</w:t>
      </w:r>
      <w:r>
        <w:rPr>
          <w:rFonts w:hint="eastAsia" w:ascii="宋体" w:hAnsi="宋体" w:eastAsia="宋体" w:cs="宋体"/>
          <w:sz w:val="21"/>
          <w:szCs w:val="21"/>
        </w:rPr>
        <w:t>应为武汉工程大学在线开放课程建设配备专业化的课程制作团队，包括教学设计、拍摄和后期制作等。团队人员需具备相应专业技术能力，其人员配置应保证满足课程拍摄和制作过程中的各项要求。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2.1.9 </w:t>
      </w:r>
      <w:r>
        <w:rPr>
          <w:rFonts w:hint="eastAsia" w:ascii="宋体" w:hAnsi="宋体" w:eastAsia="宋体" w:cs="宋体"/>
          <w:sz w:val="21"/>
          <w:szCs w:val="21"/>
        </w:rPr>
        <w:t>服务</w:t>
      </w:r>
      <w:r>
        <w:rPr>
          <w:rFonts w:hint="eastAsia" w:ascii="宋体" w:hAnsi="宋体" w:eastAsia="宋体" w:cs="宋体"/>
          <w:sz w:val="21"/>
          <w:szCs w:val="21"/>
          <w:lang w:eastAsia="zh-CN"/>
        </w:rPr>
        <w:t>供应商</w:t>
      </w:r>
      <w:r>
        <w:rPr>
          <w:rFonts w:hint="eastAsia" w:ascii="宋体" w:hAnsi="宋体" w:eastAsia="宋体" w:cs="宋体"/>
          <w:sz w:val="21"/>
          <w:szCs w:val="21"/>
        </w:rPr>
        <w:t>能提供自主课程平台，供课程拍摄制作过程中教师及时将拍摄制作的视频等资源上传平台进行模拟教学等。课程平台同时应支持教师开展混合式教学，移动端教学与学生评教，提供课程在线测验功能，及其他在线开放课程教学和管理活动相关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2.1.10 </w:t>
      </w:r>
      <w:r>
        <w:rPr>
          <w:rFonts w:hint="eastAsia" w:ascii="宋体" w:hAnsi="宋体" w:eastAsia="宋体" w:cs="宋体"/>
          <w:sz w:val="21"/>
          <w:szCs w:val="21"/>
        </w:rPr>
        <w:t>服务</w:t>
      </w:r>
      <w:r>
        <w:rPr>
          <w:rFonts w:hint="eastAsia" w:ascii="宋体" w:hAnsi="宋体" w:eastAsia="宋体" w:cs="宋体"/>
          <w:sz w:val="21"/>
          <w:szCs w:val="21"/>
          <w:lang w:eastAsia="zh-CN"/>
        </w:rPr>
        <w:t>供应商</w:t>
      </w:r>
      <w:r>
        <w:rPr>
          <w:rFonts w:hint="eastAsia" w:ascii="宋体" w:hAnsi="宋体" w:eastAsia="宋体" w:cs="宋体"/>
          <w:sz w:val="21"/>
          <w:szCs w:val="21"/>
        </w:rPr>
        <w:t>应具有在线开放课程课运行推广经验，能提供本地课程顾问来辅助课程团队教师进行在线开放课程课堂教学培训工作，并能在课程制作完成后能帮助采购人在全国范围内推广该课程。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2.1.11 </w:t>
      </w:r>
      <w:r>
        <w:rPr>
          <w:rFonts w:hint="eastAsia" w:ascii="宋体" w:hAnsi="宋体" w:eastAsia="宋体" w:cs="宋体"/>
          <w:sz w:val="21"/>
          <w:szCs w:val="21"/>
        </w:rPr>
        <w:t>服务</w:t>
      </w:r>
      <w:r>
        <w:rPr>
          <w:rFonts w:hint="eastAsia" w:ascii="宋体" w:hAnsi="宋体" w:eastAsia="宋体" w:cs="宋体"/>
          <w:sz w:val="21"/>
          <w:szCs w:val="21"/>
          <w:lang w:eastAsia="zh-CN"/>
        </w:rPr>
        <w:t>供应商</w:t>
      </w:r>
      <w:r>
        <w:rPr>
          <w:rFonts w:hint="eastAsia" w:ascii="宋体" w:hAnsi="宋体" w:eastAsia="宋体" w:cs="宋体"/>
          <w:sz w:val="21"/>
          <w:szCs w:val="21"/>
        </w:rPr>
        <w:t>应提供所制作在线开放课程的运行报告书，报告书须包含但不限于课程名称、学校名称、课程运行网址，课程主要内容、课程团队、教学安排、教学效果分析、课程评价、课程运行数据等内容。</w:t>
      </w:r>
    </w:p>
    <w:p>
      <w:pPr>
        <w:spacing w:line="360" w:lineRule="auto"/>
        <w:ind w:firstLine="422" w:firstLineChars="200"/>
        <w:rPr>
          <w:rFonts w:hint="eastAsia" w:ascii="宋体" w:hAnsi="宋体" w:eastAsia="宋体" w:cs="宋体"/>
          <w:b/>
          <w:bCs/>
          <w:sz w:val="21"/>
          <w:szCs w:val="21"/>
        </w:rPr>
      </w:pPr>
      <w:bookmarkStart w:id="104" w:name="_Hlk41656837"/>
      <w:r>
        <w:rPr>
          <w:rFonts w:hint="eastAsia" w:ascii="宋体" w:hAnsi="宋体" w:eastAsia="宋体" w:cs="宋体"/>
          <w:b/>
          <w:bCs/>
          <w:sz w:val="21"/>
          <w:szCs w:val="21"/>
          <w:lang w:val="en-US" w:eastAsia="zh-CN"/>
        </w:rPr>
        <w:t>2.</w:t>
      </w: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教学设计要求</w:t>
      </w:r>
    </w:p>
    <w:p>
      <w:pPr>
        <w:spacing w:line="360" w:lineRule="auto"/>
        <w:ind w:firstLine="420" w:firstLineChars="200"/>
        <w:rPr>
          <w:rFonts w:hint="eastAsia" w:ascii="宋体" w:hAnsi="宋体" w:eastAsia="宋体" w:cs="宋体"/>
          <w:sz w:val="21"/>
          <w:szCs w:val="21"/>
        </w:rPr>
      </w:pPr>
      <w:r>
        <w:rPr>
          <w:rFonts w:hint="eastAsia" w:ascii="宋体" w:hAnsi="宋体" w:cs="宋体"/>
          <w:color w:val="auto"/>
          <w:sz w:val="21"/>
          <w:szCs w:val="21"/>
          <w:lang w:eastAsia="zh-CN"/>
        </w:rPr>
        <w:t>※</w:t>
      </w:r>
      <w:r>
        <w:rPr>
          <w:rFonts w:hint="eastAsia" w:ascii="宋体" w:hAnsi="宋体" w:eastAsia="宋体" w:cs="宋体"/>
          <w:sz w:val="21"/>
          <w:szCs w:val="21"/>
          <w:lang w:val="en-US" w:eastAsia="zh-CN"/>
        </w:rPr>
        <w:t xml:space="preserve">2.2.1 </w:t>
      </w:r>
      <w:r>
        <w:rPr>
          <w:rFonts w:hint="eastAsia" w:ascii="宋体" w:hAnsi="宋体" w:eastAsia="宋体" w:cs="宋体"/>
          <w:sz w:val="21"/>
          <w:szCs w:val="21"/>
        </w:rPr>
        <w:t>配置专业的教学设计人员，具备专业技术能力相关证书，能够提供教育技术、现代教育技术专业的硕士毕业证书和学位证书。</w:t>
      </w:r>
    </w:p>
    <w:p>
      <w:pPr>
        <w:spacing w:line="360" w:lineRule="auto"/>
        <w:ind w:firstLine="420" w:firstLineChars="200"/>
        <w:rPr>
          <w:rFonts w:hint="eastAsia" w:ascii="宋体" w:hAnsi="宋体" w:eastAsia="宋体" w:cs="宋体"/>
          <w:sz w:val="21"/>
          <w:szCs w:val="21"/>
        </w:rPr>
      </w:pPr>
      <w:r>
        <w:rPr>
          <w:rFonts w:hint="eastAsia" w:ascii="宋体" w:hAnsi="宋体" w:cs="宋体"/>
          <w:color w:val="auto"/>
          <w:sz w:val="21"/>
          <w:szCs w:val="21"/>
          <w:lang w:eastAsia="zh-CN"/>
        </w:rPr>
        <w:t>※</w:t>
      </w:r>
      <w:r>
        <w:rPr>
          <w:rFonts w:hint="eastAsia" w:ascii="宋体" w:hAnsi="宋体" w:eastAsia="宋体" w:cs="宋体"/>
          <w:sz w:val="21"/>
          <w:szCs w:val="21"/>
          <w:lang w:val="en-US" w:eastAsia="zh-CN"/>
        </w:rPr>
        <w:t xml:space="preserve">2.2.2 </w:t>
      </w:r>
      <w:r>
        <w:rPr>
          <w:rFonts w:hint="eastAsia" w:ascii="宋体" w:hAnsi="宋体" w:eastAsia="宋体" w:cs="宋体"/>
          <w:sz w:val="21"/>
          <w:szCs w:val="21"/>
        </w:rPr>
        <w:t>要配备与学科相关的学科编辑人员，有丰富的相关项目经历。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2.2.3 </w:t>
      </w:r>
      <w:r>
        <w:rPr>
          <w:rFonts w:hint="eastAsia" w:ascii="宋体" w:hAnsi="宋体" w:eastAsia="宋体" w:cs="宋体"/>
          <w:sz w:val="21"/>
          <w:szCs w:val="21"/>
        </w:rPr>
        <w:t>需要从教学设计原则出发，协助教师团队分析课程，完成在线开放课程的整体框架设计、资源的组织与运用，形成完整的课程组织结构，后续支持教师基于平台开展混合式教学，需要提供混合式教学实施方案。</w:t>
      </w:r>
    </w:p>
    <w:p>
      <w:pPr>
        <w:spacing w:line="360" w:lineRule="auto"/>
        <w:ind w:firstLine="420" w:firstLineChars="200"/>
        <w:rPr>
          <w:rFonts w:hint="eastAsia" w:ascii="宋体" w:hAnsi="宋体" w:eastAsia="宋体" w:cs="宋体"/>
          <w:sz w:val="21"/>
          <w:szCs w:val="21"/>
        </w:rPr>
      </w:pPr>
      <w:r>
        <w:rPr>
          <w:rFonts w:hint="eastAsia" w:ascii="宋体" w:hAnsi="宋体" w:cs="宋体"/>
          <w:color w:val="auto"/>
          <w:sz w:val="21"/>
          <w:szCs w:val="21"/>
          <w:lang w:eastAsia="zh-CN"/>
        </w:rPr>
        <w:t>※</w:t>
      </w:r>
      <w:r>
        <w:rPr>
          <w:rFonts w:hint="eastAsia" w:ascii="宋体" w:hAnsi="宋体" w:eastAsia="宋体" w:cs="宋体"/>
          <w:sz w:val="21"/>
          <w:szCs w:val="21"/>
          <w:lang w:val="en-US" w:eastAsia="zh-CN"/>
        </w:rPr>
        <w:t xml:space="preserve">2.2.4 </w:t>
      </w:r>
      <w:r>
        <w:rPr>
          <w:rFonts w:hint="eastAsia" w:ascii="宋体" w:hAnsi="宋体" w:eastAsia="宋体" w:cs="宋体"/>
          <w:sz w:val="21"/>
          <w:szCs w:val="21"/>
        </w:rPr>
        <w:t>够根据讲稿，结合教学目标和教学重难点，制作教学设计脚本，需要提供分镜头脚本、文档类脚本、PPT类脚本样例、情景动画类脚本样例至少各一个。</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2.2.5 </w:t>
      </w:r>
      <w:r>
        <w:rPr>
          <w:rFonts w:hint="eastAsia" w:ascii="宋体" w:hAnsi="宋体" w:eastAsia="宋体" w:cs="宋体"/>
          <w:sz w:val="21"/>
          <w:szCs w:val="21"/>
        </w:rPr>
        <w:t>需协助教师团队制作与课程相关的数字教学资源。包括讲义、幻灯片、教学大纲、微课视频、课堂笔记、测验题和讨论主题等。教学设计师能够根据讲稿对教学用PPT进行重新设计，不仅要对整体模板进行修改、美化，还要能够对内容的结构、重点进行提炼，可以更清晰的表达知识内容。基于学生数字化学习需求，把握课程的交互性、情境性、实用性的特点，设计出适用于学生在线学习的课程。</w:t>
      </w:r>
    </w:p>
    <w:p>
      <w:pPr>
        <w:spacing w:line="360" w:lineRule="auto"/>
        <w:ind w:firstLine="422" w:firstLineChars="200"/>
        <w:rPr>
          <w:rFonts w:hint="eastAsia" w:ascii="宋体" w:hAnsi="宋体" w:eastAsia="宋体" w:cs="宋体"/>
          <w:b/>
          <w:bCs/>
          <w:sz w:val="21"/>
          <w:szCs w:val="21"/>
        </w:rPr>
      </w:pPr>
      <w:bookmarkStart w:id="105" w:name="_Toc10484"/>
      <w:r>
        <w:rPr>
          <w:rFonts w:hint="eastAsia" w:ascii="宋体" w:hAnsi="宋体" w:eastAsia="宋体" w:cs="宋体"/>
          <w:b/>
          <w:bCs/>
          <w:sz w:val="21"/>
          <w:szCs w:val="21"/>
          <w:lang w:val="en-US" w:eastAsia="zh-CN"/>
        </w:rPr>
        <w:t>2.</w:t>
      </w: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拍摄服务要求</w:t>
      </w:r>
      <w:bookmarkEnd w:id="105"/>
    </w:p>
    <w:p>
      <w:pPr>
        <w:spacing w:line="360" w:lineRule="auto"/>
        <w:ind w:firstLine="420" w:firstLineChars="200"/>
        <w:rPr>
          <w:rFonts w:hint="eastAsia" w:ascii="宋体" w:hAnsi="宋体" w:eastAsia="宋体" w:cs="宋体"/>
          <w:sz w:val="21"/>
          <w:szCs w:val="21"/>
        </w:rPr>
      </w:pPr>
      <w:r>
        <w:rPr>
          <w:rFonts w:hint="eastAsia" w:ascii="宋体" w:hAnsi="宋体" w:cs="宋体"/>
          <w:color w:val="auto"/>
          <w:sz w:val="21"/>
          <w:szCs w:val="21"/>
          <w:lang w:eastAsia="zh-CN"/>
        </w:rPr>
        <w:t>※</w:t>
      </w:r>
      <w:r>
        <w:rPr>
          <w:rFonts w:hint="eastAsia" w:ascii="宋体" w:hAnsi="宋体" w:eastAsia="宋体" w:cs="宋体"/>
          <w:sz w:val="21"/>
          <w:szCs w:val="21"/>
          <w:lang w:val="en-US" w:eastAsia="zh-CN"/>
        </w:rPr>
        <w:t>2.3.1</w:t>
      </w:r>
      <w:r>
        <w:rPr>
          <w:rFonts w:hint="eastAsia" w:ascii="宋体" w:hAnsi="宋体" w:eastAsia="宋体" w:cs="宋体"/>
          <w:sz w:val="21"/>
          <w:szCs w:val="21"/>
        </w:rPr>
        <w:t>提供校内的拍摄场地。由中标单位提供，拍摄场地选择在摄影棚、专业录播室、教学触摸一体机、实景场地、休息室或纯色背景前。</w:t>
      </w:r>
    </w:p>
    <w:p>
      <w:pPr>
        <w:spacing w:line="360" w:lineRule="auto"/>
        <w:ind w:firstLine="420" w:firstLineChars="200"/>
        <w:rPr>
          <w:rFonts w:hint="eastAsia" w:ascii="宋体" w:hAnsi="宋体" w:eastAsia="宋体" w:cs="宋体"/>
          <w:sz w:val="21"/>
          <w:szCs w:val="21"/>
        </w:rPr>
      </w:pPr>
      <w:r>
        <w:rPr>
          <w:rFonts w:hint="eastAsia" w:ascii="宋体" w:hAnsi="宋体" w:cs="宋体"/>
          <w:color w:val="auto"/>
          <w:sz w:val="21"/>
          <w:szCs w:val="21"/>
          <w:lang w:eastAsia="zh-CN"/>
        </w:rPr>
        <w:t>※</w:t>
      </w:r>
      <w:r>
        <w:rPr>
          <w:rFonts w:hint="eastAsia" w:ascii="宋体" w:hAnsi="宋体" w:eastAsia="宋体" w:cs="宋体"/>
          <w:sz w:val="21"/>
          <w:szCs w:val="21"/>
          <w:lang w:val="en-US" w:eastAsia="zh-CN"/>
        </w:rPr>
        <w:t>2.3.2</w:t>
      </w:r>
      <w:r>
        <w:rPr>
          <w:rFonts w:hint="eastAsia" w:ascii="宋体" w:hAnsi="宋体" w:eastAsia="宋体" w:cs="宋体"/>
          <w:sz w:val="21"/>
          <w:szCs w:val="21"/>
        </w:rPr>
        <w:t>提供专业的拍摄服务。配备专业摄像2-3人，从业时间5年以上。具体拍摄时间与次序，双方互相协商。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2.3.3</w:t>
      </w:r>
      <w:r>
        <w:rPr>
          <w:rFonts w:hint="eastAsia" w:ascii="宋体" w:hAnsi="宋体" w:eastAsia="宋体" w:cs="宋体"/>
          <w:sz w:val="21"/>
          <w:szCs w:val="21"/>
        </w:rPr>
        <w:t>提供拍摄支持服务。配备化妆师1名，为录课教师提供适合拍摄场景的妆容，并对服装搭配提供合理的建议，保证教师出镜时仪态大方、画面美观。课程团队结合拍摄需要为教师提供必要的服装支持。配备场记1名，对课程的进度进行实时的记录。配备灯光师1名，负责打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2.3.4</w:t>
      </w:r>
      <w:r>
        <w:rPr>
          <w:rFonts w:hint="eastAsia" w:ascii="宋体" w:hAnsi="宋体" w:eastAsia="宋体" w:cs="宋体"/>
          <w:sz w:val="21"/>
          <w:szCs w:val="21"/>
        </w:rPr>
        <w:t>提供拍摄培训服务。辅导老师现场调整拍摄状态、适应镜头拍摄，引导教师拍摄出更为自然、流畅的视频。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2.3.5</w:t>
      </w:r>
      <w:r>
        <w:rPr>
          <w:rFonts w:hint="eastAsia" w:ascii="宋体" w:hAnsi="宋体" w:eastAsia="宋体" w:cs="宋体"/>
          <w:sz w:val="21"/>
          <w:szCs w:val="21"/>
        </w:rPr>
        <w:t>提供后期精剪包装服务。配备专业的视频剪辑人员，穿插图文资源以及相应特效， 确保微课、在线开放课程的视频兼具画面的观赏性与内容的准确性。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2.3.6</w:t>
      </w:r>
      <w:r>
        <w:rPr>
          <w:rFonts w:hint="eastAsia" w:ascii="宋体" w:hAnsi="宋体" w:eastAsia="宋体" w:cs="宋体"/>
          <w:sz w:val="21"/>
          <w:szCs w:val="21"/>
        </w:rPr>
        <w:t>提供动画制作服务，配套专业的影视动画制作人员，穿插图文动画，保证视频包装效果。</w:t>
      </w:r>
    </w:p>
    <w:p>
      <w:pPr>
        <w:spacing w:beforeLines="50" w:afterLines="50" w:line="360" w:lineRule="auto"/>
        <w:outlineLvl w:val="9"/>
        <w:rPr>
          <w:rFonts w:hint="eastAsia" w:ascii="宋体" w:hAnsi="宋体" w:eastAsia="宋体" w:cs="宋体"/>
          <w:sz w:val="21"/>
          <w:szCs w:val="21"/>
        </w:rPr>
      </w:pPr>
      <w:bookmarkStart w:id="106" w:name="_Toc4300"/>
      <w:r>
        <w:rPr>
          <w:rFonts w:hint="eastAsia" w:ascii="宋体" w:hAnsi="宋体" w:eastAsia="宋体" w:cs="宋体"/>
          <w:sz w:val="21"/>
          <w:szCs w:val="21"/>
          <w:lang w:val="en-US" w:eastAsia="zh-CN"/>
        </w:rPr>
        <w:t xml:space="preserve">2.4 </w:t>
      </w:r>
      <w:r>
        <w:rPr>
          <w:rFonts w:hint="eastAsia" w:ascii="宋体" w:hAnsi="宋体" w:eastAsia="宋体" w:cs="宋体"/>
          <w:sz w:val="21"/>
          <w:szCs w:val="21"/>
        </w:rPr>
        <w:t>课程制作内容及相关技术要求</w:t>
      </w:r>
      <w:bookmarkEnd w:id="106"/>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2.4.1</w:t>
      </w:r>
      <w:r>
        <w:rPr>
          <w:rFonts w:hint="eastAsia" w:ascii="宋体" w:hAnsi="宋体" w:eastAsia="宋体" w:cs="宋体"/>
          <w:b/>
          <w:bCs/>
          <w:sz w:val="21"/>
          <w:szCs w:val="21"/>
        </w:rPr>
        <w:t>课程建设主要内容</w:t>
      </w:r>
    </w:p>
    <w:p>
      <w:pPr>
        <w:spacing w:line="360" w:lineRule="auto"/>
        <w:ind w:right="200" w:firstLine="420" w:firstLineChars="200"/>
        <w:rPr>
          <w:rFonts w:hint="eastAsia" w:ascii="宋体" w:hAnsi="宋体" w:eastAsia="宋体" w:cs="宋体"/>
          <w:sz w:val="21"/>
          <w:szCs w:val="21"/>
        </w:rPr>
      </w:pPr>
      <w:r>
        <w:rPr>
          <w:rFonts w:hint="eastAsia" w:ascii="宋体" w:hAnsi="宋体" w:eastAsia="宋体" w:cs="宋体"/>
          <w:sz w:val="21"/>
          <w:szCs w:val="21"/>
        </w:rPr>
        <w:t>（1）电子教案：要求以知识点为单位，提供教师讲稿或者与讲课配套的黑板板书内容(或者投影内容)。电子教案至少应该包括以下内容：</w:t>
      </w:r>
    </w:p>
    <w:p>
      <w:pPr>
        <w:spacing w:line="360" w:lineRule="auto"/>
        <w:ind w:right="20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1 \* GB3</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授课内容：授课内容是指教师讲授课程的媒体形态，以授课视频为主，还包括 PPT+授课录音，PPT+录音等形式。支持通用流媒体视频格式，视频支持 AVI、FLV、mov、mp4 等主流高清格式。</w:t>
      </w:r>
    </w:p>
    <w:p>
      <w:pPr>
        <w:spacing w:line="360" w:lineRule="auto"/>
        <w:ind w:right="20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2 \* GB3</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参考文献：应提供课程的参考文献，提供电子版，学生与教师均可在线打开阅读，支持WORD、PPT 等文档格式在线预览。</w:t>
      </w:r>
    </w:p>
    <w:p>
      <w:pPr>
        <w:spacing w:line="360" w:lineRule="auto"/>
        <w:ind w:right="20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3 \* GB3</w:instrText>
      </w:r>
      <w:r>
        <w:rPr>
          <w:rFonts w:hint="eastAsia" w:ascii="宋体" w:hAnsi="宋体" w:eastAsia="宋体" w:cs="宋体"/>
          <w:sz w:val="21"/>
          <w:szCs w:val="21"/>
        </w:rPr>
        <w:fldChar w:fldCharType="separate"/>
      </w:r>
      <w:r>
        <w:rPr>
          <w:rFonts w:hint="eastAsia" w:ascii="宋体" w:hAnsi="宋体" w:eastAsia="宋体" w:cs="宋体"/>
          <w:sz w:val="21"/>
          <w:szCs w:val="21"/>
        </w:rPr>
        <w:t>③</w:t>
      </w:r>
      <w:r>
        <w:rPr>
          <w:rFonts w:hint="eastAsia" w:ascii="宋体" w:hAnsi="宋体" w:eastAsia="宋体" w:cs="宋体"/>
          <w:sz w:val="21"/>
          <w:szCs w:val="21"/>
        </w:rPr>
        <w:fldChar w:fldCharType="end"/>
      </w:r>
      <w:r>
        <w:rPr>
          <w:rFonts w:hint="eastAsia" w:ascii="宋体" w:hAnsi="宋体" w:eastAsia="宋体" w:cs="宋体"/>
          <w:sz w:val="21"/>
          <w:szCs w:val="21"/>
        </w:rPr>
        <w:t>教学目标：网络课程应提供明确的教学目标。</w:t>
      </w:r>
    </w:p>
    <w:p>
      <w:pPr>
        <w:spacing w:line="360" w:lineRule="auto"/>
        <w:ind w:right="20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4 \* GB3</w:instrText>
      </w:r>
      <w:r>
        <w:rPr>
          <w:rFonts w:hint="eastAsia" w:ascii="宋体" w:hAnsi="宋体" w:eastAsia="宋体" w:cs="宋体"/>
          <w:sz w:val="21"/>
          <w:szCs w:val="21"/>
        </w:rPr>
        <w:fldChar w:fldCharType="separate"/>
      </w:r>
      <w:r>
        <w:rPr>
          <w:rFonts w:hint="eastAsia" w:ascii="宋体" w:hAnsi="宋体" w:eastAsia="宋体" w:cs="宋体"/>
          <w:sz w:val="21"/>
          <w:szCs w:val="21"/>
        </w:rPr>
        <w:t>④</w:t>
      </w:r>
      <w:r>
        <w:rPr>
          <w:rFonts w:hint="eastAsia" w:ascii="宋体" w:hAnsi="宋体" w:eastAsia="宋体" w:cs="宋体"/>
          <w:sz w:val="21"/>
          <w:szCs w:val="21"/>
        </w:rPr>
        <w:fldChar w:fldCharType="end"/>
      </w:r>
      <w:r>
        <w:rPr>
          <w:rFonts w:hint="eastAsia" w:ascii="宋体" w:hAnsi="宋体" w:eastAsia="宋体" w:cs="宋体"/>
          <w:sz w:val="21"/>
          <w:szCs w:val="21"/>
        </w:rPr>
        <w:t>教学大纲：网络课程应提供明确的教学大纲。</w:t>
      </w:r>
    </w:p>
    <w:p>
      <w:pPr>
        <w:spacing w:line="360" w:lineRule="auto"/>
        <w:ind w:right="20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5 \* GB3</w:instrText>
      </w:r>
      <w:r>
        <w:rPr>
          <w:rFonts w:hint="eastAsia" w:ascii="宋体" w:hAnsi="宋体" w:eastAsia="宋体" w:cs="宋体"/>
          <w:sz w:val="21"/>
          <w:szCs w:val="21"/>
        </w:rPr>
        <w:fldChar w:fldCharType="separate"/>
      </w:r>
      <w:r>
        <w:rPr>
          <w:rFonts w:hint="eastAsia" w:ascii="宋体" w:hAnsi="宋体" w:eastAsia="宋体" w:cs="宋体"/>
          <w:sz w:val="21"/>
          <w:szCs w:val="21"/>
        </w:rPr>
        <w:t>⑤</w:t>
      </w:r>
      <w:r>
        <w:rPr>
          <w:rFonts w:hint="eastAsia" w:ascii="宋体" w:hAnsi="宋体" w:eastAsia="宋体" w:cs="宋体"/>
          <w:sz w:val="21"/>
          <w:szCs w:val="21"/>
        </w:rPr>
        <w:fldChar w:fldCharType="end"/>
      </w:r>
      <w:r>
        <w:rPr>
          <w:rFonts w:hint="eastAsia" w:ascii="宋体" w:hAnsi="宋体" w:eastAsia="宋体" w:cs="宋体"/>
          <w:sz w:val="21"/>
          <w:szCs w:val="21"/>
        </w:rPr>
        <w:t>教学任务：应根据教学大纲制定教学任务，可包含授课视频播放、参考资料阅读等各种任务类型，根据需要选择。</w:t>
      </w:r>
    </w:p>
    <w:p>
      <w:pPr>
        <w:spacing w:line="360" w:lineRule="auto"/>
        <w:ind w:right="20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6 \* GB3</w:instrText>
      </w:r>
      <w:r>
        <w:rPr>
          <w:rFonts w:hint="eastAsia" w:ascii="宋体" w:hAnsi="宋体" w:eastAsia="宋体" w:cs="宋体"/>
          <w:sz w:val="21"/>
          <w:szCs w:val="21"/>
        </w:rPr>
        <w:fldChar w:fldCharType="separate"/>
      </w:r>
      <w:r>
        <w:rPr>
          <w:rFonts w:hint="eastAsia" w:ascii="宋体" w:hAnsi="宋体" w:eastAsia="宋体" w:cs="宋体"/>
          <w:sz w:val="21"/>
          <w:szCs w:val="21"/>
        </w:rPr>
        <w:t>⑥</w:t>
      </w:r>
      <w:r>
        <w:rPr>
          <w:rFonts w:hint="eastAsia" w:ascii="宋体" w:hAnsi="宋体" w:eastAsia="宋体" w:cs="宋体"/>
          <w:sz w:val="21"/>
          <w:szCs w:val="21"/>
        </w:rPr>
        <w:fldChar w:fldCharType="end"/>
      </w:r>
      <w:r>
        <w:rPr>
          <w:rFonts w:hint="eastAsia" w:ascii="宋体" w:hAnsi="宋体" w:eastAsia="宋体" w:cs="宋体"/>
          <w:sz w:val="21"/>
          <w:szCs w:val="21"/>
        </w:rPr>
        <w:t>课程素材：课程还应提供文本、音频、视频、动画等课程参考素材，帮助学生理解所学课程内容。</w:t>
      </w:r>
    </w:p>
    <w:p>
      <w:pPr>
        <w:spacing w:line="360" w:lineRule="auto"/>
        <w:ind w:right="20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7 \* GB3</w:instrText>
      </w:r>
      <w:r>
        <w:rPr>
          <w:rFonts w:hint="eastAsia" w:ascii="宋体" w:hAnsi="宋体" w:eastAsia="宋体" w:cs="宋体"/>
          <w:sz w:val="21"/>
          <w:szCs w:val="21"/>
        </w:rPr>
        <w:fldChar w:fldCharType="separate"/>
      </w:r>
      <w:r>
        <w:rPr>
          <w:rFonts w:hint="eastAsia" w:ascii="宋体" w:hAnsi="宋体" w:eastAsia="宋体" w:cs="宋体"/>
          <w:sz w:val="21"/>
          <w:szCs w:val="21"/>
        </w:rPr>
        <w:t>⑦</w:t>
      </w:r>
      <w:r>
        <w:rPr>
          <w:rFonts w:hint="eastAsia" w:ascii="宋体" w:hAnsi="宋体" w:eastAsia="宋体" w:cs="宋体"/>
          <w:sz w:val="21"/>
          <w:szCs w:val="21"/>
        </w:rPr>
        <w:fldChar w:fldCharType="end"/>
      </w:r>
      <w:r>
        <w:rPr>
          <w:rFonts w:hint="eastAsia" w:ascii="宋体" w:hAnsi="宋体" w:eastAsia="宋体" w:cs="宋体"/>
          <w:sz w:val="21"/>
          <w:szCs w:val="21"/>
        </w:rPr>
        <w:t>教学课件：以课时为单位，提供教师用于课堂讲授的完整多媒体课件。一门课程可以提供多位教师的教学课件供学习者自主选择学习。</w:t>
      </w:r>
    </w:p>
    <w:p>
      <w:pPr>
        <w:spacing w:line="360" w:lineRule="auto"/>
        <w:ind w:right="20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8 \* GB3</w:instrText>
      </w:r>
      <w:r>
        <w:rPr>
          <w:rFonts w:hint="eastAsia" w:ascii="宋体" w:hAnsi="宋体" w:eastAsia="宋体" w:cs="宋体"/>
          <w:sz w:val="21"/>
          <w:szCs w:val="21"/>
        </w:rPr>
        <w:fldChar w:fldCharType="separate"/>
      </w:r>
      <w:r>
        <w:rPr>
          <w:rFonts w:hint="eastAsia" w:ascii="宋体" w:hAnsi="宋体" w:eastAsia="宋体" w:cs="宋体"/>
          <w:sz w:val="21"/>
          <w:szCs w:val="21"/>
        </w:rPr>
        <w:t>⑧</w:t>
      </w:r>
      <w:r>
        <w:rPr>
          <w:rFonts w:hint="eastAsia" w:ascii="宋体" w:hAnsi="宋体" w:eastAsia="宋体" w:cs="宋体"/>
          <w:sz w:val="21"/>
          <w:szCs w:val="21"/>
        </w:rPr>
        <w:fldChar w:fldCharType="end"/>
      </w:r>
      <w:r>
        <w:rPr>
          <w:rFonts w:hint="eastAsia" w:ascii="宋体" w:hAnsi="宋体" w:eastAsia="宋体" w:cs="宋体"/>
          <w:sz w:val="21"/>
          <w:szCs w:val="21"/>
        </w:rPr>
        <w:t>教学视频：教学视频拍摄与制作、发布标准见视频技术规格部分要求。</w:t>
      </w:r>
    </w:p>
    <w:p>
      <w:pPr>
        <w:spacing w:line="360" w:lineRule="auto"/>
        <w:ind w:right="200" w:firstLine="420" w:firstLineChars="200"/>
        <w:rPr>
          <w:rFonts w:hint="eastAsia" w:ascii="宋体" w:hAnsi="宋体" w:eastAsia="宋体" w:cs="宋体"/>
          <w:sz w:val="21"/>
          <w:szCs w:val="21"/>
        </w:rPr>
      </w:pPr>
      <w:r>
        <w:rPr>
          <w:rFonts w:hint="eastAsia" w:ascii="宋体" w:hAnsi="宋体" w:eastAsia="宋体" w:cs="宋体"/>
          <w:sz w:val="21"/>
          <w:szCs w:val="21"/>
        </w:rPr>
        <w:t>（2）习题：根据教学要求，每一个教学单元均应有配套的习题。体现网络课程的特性以及本科教育的教学特点。每章应该有不少于 1 套习题(每周配套一套习题)；每章(每周)应该有 1 个讨论习题；每章至少布置 1 道思考题；每个课时要有 3 个随堂练习题，用以保证学生的学习效果。</w:t>
      </w:r>
    </w:p>
    <w:p>
      <w:pPr>
        <w:spacing w:line="360" w:lineRule="auto"/>
        <w:ind w:right="200" w:firstLine="420" w:firstLineChars="200"/>
        <w:rPr>
          <w:rFonts w:hint="eastAsia" w:ascii="宋体" w:hAnsi="宋体" w:eastAsia="宋体" w:cs="宋体"/>
          <w:sz w:val="21"/>
          <w:szCs w:val="21"/>
        </w:rPr>
      </w:pPr>
      <w:r>
        <w:rPr>
          <w:rFonts w:hint="eastAsia" w:ascii="宋体" w:hAnsi="宋体" w:eastAsia="宋体" w:cs="宋体"/>
          <w:sz w:val="21"/>
          <w:szCs w:val="21"/>
        </w:rPr>
        <w:t>（3）试题库：试题库是网络课程的重要基础之一，自测题与练习题库包括是非题、单选题、多选题、填空题、简答题等多种题型。</w:t>
      </w:r>
    </w:p>
    <w:p>
      <w:pPr>
        <w:spacing w:line="360" w:lineRule="auto"/>
        <w:ind w:right="200" w:firstLine="420" w:firstLineChars="200"/>
        <w:rPr>
          <w:rFonts w:hint="eastAsia" w:ascii="宋体" w:hAnsi="宋体" w:eastAsia="宋体" w:cs="宋体"/>
          <w:sz w:val="21"/>
          <w:szCs w:val="21"/>
        </w:rPr>
      </w:pPr>
      <w:r>
        <w:rPr>
          <w:rFonts w:hint="eastAsia" w:ascii="宋体" w:hAnsi="宋体" w:eastAsia="宋体" w:cs="宋体"/>
          <w:sz w:val="21"/>
          <w:szCs w:val="21"/>
        </w:rPr>
        <w:t>（4）课程拓展资源：提供参考资料及课程拓展资源，全面辅助教师教学和学生学习。具体包括课程相关的电子图书、期刊、论文、文档、学术视频等，以章节为单位分别提供参考资料。</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2.4.2 </w:t>
      </w:r>
      <w:r>
        <w:rPr>
          <w:rFonts w:hint="eastAsia" w:ascii="宋体" w:hAnsi="宋体" w:eastAsia="宋体" w:cs="宋体"/>
          <w:b/>
          <w:bCs/>
          <w:sz w:val="21"/>
          <w:szCs w:val="21"/>
        </w:rPr>
        <w:t>视频内容</w:t>
      </w:r>
    </w:p>
    <w:p>
      <w:pPr>
        <w:spacing w:line="360" w:lineRule="auto"/>
        <w:ind w:right="200" w:firstLine="420" w:firstLineChars="200"/>
        <w:rPr>
          <w:rFonts w:hint="eastAsia" w:ascii="宋体" w:hAnsi="宋体" w:eastAsia="宋体" w:cs="宋体"/>
          <w:sz w:val="21"/>
          <w:szCs w:val="21"/>
        </w:rPr>
      </w:pPr>
      <w:r>
        <w:rPr>
          <w:rFonts w:hint="eastAsia" w:ascii="宋体" w:hAnsi="宋体" w:eastAsia="宋体" w:cs="宋体"/>
          <w:sz w:val="21"/>
          <w:szCs w:val="21"/>
        </w:rPr>
        <w:t>（1）屏幕图像的构图合理，画面主体突出。人像及肢体动作以及配合讲授选用的板书、画板、教具实物、模型和实验设备等均不能超出镜头所及范围。</w:t>
      </w:r>
    </w:p>
    <w:p>
      <w:pPr>
        <w:spacing w:line="360" w:lineRule="auto"/>
        <w:ind w:right="200" w:firstLine="420" w:firstLineChars="200"/>
        <w:rPr>
          <w:rFonts w:hint="eastAsia" w:ascii="宋体" w:hAnsi="宋体" w:eastAsia="宋体" w:cs="宋体"/>
          <w:sz w:val="21"/>
          <w:szCs w:val="21"/>
        </w:rPr>
      </w:pPr>
      <w:r>
        <w:rPr>
          <w:rFonts w:hint="eastAsia" w:ascii="宋体" w:hAnsi="宋体" w:eastAsia="宋体" w:cs="宋体"/>
          <w:sz w:val="21"/>
          <w:szCs w:val="21"/>
        </w:rPr>
        <w:t>（2）授课视频的背景可采用彩色喷绘、电脑虚拟或现场实景等背景。背景的颜色、图案不易过多，应保持静态，画面应简洁、明快，有利于营造学习气氛。</w:t>
      </w:r>
    </w:p>
    <w:p>
      <w:pPr>
        <w:spacing w:line="360" w:lineRule="auto"/>
        <w:ind w:right="200" w:firstLine="420" w:firstLineChars="200"/>
        <w:rPr>
          <w:rFonts w:hint="eastAsia" w:ascii="宋体" w:hAnsi="宋体" w:eastAsia="宋体" w:cs="宋体"/>
          <w:sz w:val="21"/>
          <w:szCs w:val="21"/>
        </w:rPr>
      </w:pPr>
      <w:r>
        <w:rPr>
          <w:rFonts w:hint="eastAsia" w:ascii="宋体" w:hAnsi="宋体" w:eastAsia="宋体" w:cs="宋体"/>
          <w:sz w:val="21"/>
          <w:szCs w:val="21"/>
        </w:rPr>
        <w:t>（3）摄像镜头应保持与主讲教师目光平视的角度。主讲教师不应较长时间仰视或俯视。</w:t>
      </w:r>
    </w:p>
    <w:p>
      <w:pPr>
        <w:spacing w:line="360" w:lineRule="auto"/>
        <w:ind w:right="200" w:firstLine="420" w:firstLineChars="200"/>
        <w:rPr>
          <w:rFonts w:hint="eastAsia" w:ascii="宋体" w:hAnsi="宋体" w:eastAsia="宋体" w:cs="宋体"/>
          <w:sz w:val="21"/>
          <w:szCs w:val="21"/>
        </w:rPr>
      </w:pPr>
      <w:r>
        <w:rPr>
          <w:rFonts w:hint="eastAsia" w:ascii="宋体" w:hAnsi="宋体" w:eastAsia="宋体" w:cs="宋体"/>
          <w:sz w:val="21"/>
          <w:szCs w:val="21"/>
        </w:rPr>
        <w:t>（4）使用资料、图片、外景实拍、实验和表演等形象化教学手段，应符合教学内容要求，与讲授内容联系紧密，手段选用恰当。</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（5）选用影视作品或自拍素材，应注明素材来源。影视作品或自拍素材中涉及人物访谈内容时，应加注人物介绍。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（6）选用的资料、图片等素材画面应清楚，对于历史资料、图片应进行再加工。选用的资料、图片等素材应注明素材来源及原始信息（如字画的作品、生卒年月，影视片断的作品名称、创作年代等信息）。</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（7）二维动画设计制作合理，贴合课程内容表现，根据主讲教师及课程编导人员要求补充动画内容、特效内容及相关素材。课程素材30%，课程动画5%。</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2.4.3 </w:t>
      </w:r>
      <w:r>
        <w:rPr>
          <w:rFonts w:hint="eastAsia" w:ascii="宋体" w:hAnsi="宋体" w:eastAsia="宋体" w:cs="宋体"/>
          <w:b/>
          <w:bCs/>
          <w:sz w:val="21"/>
          <w:szCs w:val="21"/>
        </w:rPr>
        <w:t>视频技术规格</w:t>
      </w:r>
    </w:p>
    <w:p>
      <w:pPr>
        <w:spacing w:line="360" w:lineRule="auto"/>
        <w:ind w:right="108" w:firstLine="420" w:firstLineChars="200"/>
        <w:rPr>
          <w:rFonts w:hint="eastAsia" w:ascii="宋体" w:hAnsi="宋体" w:eastAsia="宋体" w:cs="宋体"/>
          <w:sz w:val="21"/>
          <w:szCs w:val="21"/>
        </w:rPr>
      </w:pPr>
      <w:r>
        <w:rPr>
          <w:rFonts w:hint="eastAsia" w:ascii="宋体" w:hAnsi="宋体" w:eastAsia="宋体" w:cs="宋体"/>
          <w:sz w:val="21"/>
          <w:szCs w:val="21"/>
        </w:rPr>
        <w:t>（1）录制要求：采用至少 2 机位（专业高清摄像机）拍摄,所用摄像机分辨率 1920X1080，录制视频宽高比 16:9，视频帧率为 25 帧/秒。</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（2）后期制作要求：</w:t>
      </w:r>
    </w:p>
    <w:p>
      <w:pPr>
        <w:spacing w:line="360" w:lineRule="auto"/>
        <w:ind w:right="108"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1 \* GB3</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 xml:space="preserve"> 片头与片尾，片头片尾不超过 10 秒，包括:学校 LOGO、课程名称、主讲教师姓名、职务、讲师所获荣誉、单位等信息。</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2 \* GB3</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 xml:space="preserve"> 视频信号源（最大化保证在学校现有设备下可以进行）</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稳定性：全片图像同步性能稳定，无失步现象，CTL 同步控制信号连续；图像无抖动跳跃，色彩无突变，编辑点处图像稳定。</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信噪比：图像信噪比不低于 55dB，无明显杂波。</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色调：白平衡正确，无明显偏色，多机拍摄的镜头衔接处无明显色差。</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视频电平：视频全讯号幅度为 1 Vp-p ，最大不超过 1.1Ⅴp-p。其中，消隐电平为 0V 时，白电平幅度 0.7Ⅴp-p，同步信号-0.3V，色同步信号幅度 0.3Vp-p (以消隐线上下对称)，全篇一致。</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3 \* GB3</w:instrText>
      </w:r>
      <w:r>
        <w:rPr>
          <w:rFonts w:hint="eastAsia" w:ascii="宋体" w:hAnsi="宋体" w:eastAsia="宋体" w:cs="宋体"/>
          <w:sz w:val="21"/>
          <w:szCs w:val="21"/>
        </w:rPr>
        <w:fldChar w:fldCharType="separate"/>
      </w:r>
      <w:r>
        <w:rPr>
          <w:rFonts w:hint="eastAsia" w:ascii="宋体" w:hAnsi="宋体" w:eastAsia="宋体" w:cs="宋体"/>
          <w:sz w:val="21"/>
          <w:szCs w:val="21"/>
        </w:rPr>
        <w:t>③</w:t>
      </w:r>
      <w:r>
        <w:rPr>
          <w:rFonts w:hint="eastAsia" w:ascii="宋体" w:hAnsi="宋体" w:eastAsia="宋体" w:cs="宋体"/>
          <w:sz w:val="21"/>
          <w:szCs w:val="21"/>
        </w:rPr>
        <w:fldChar w:fldCharType="end"/>
      </w:r>
      <w:r>
        <w:rPr>
          <w:rFonts w:hint="eastAsia" w:ascii="宋体" w:hAnsi="宋体" w:eastAsia="宋体" w:cs="宋体"/>
          <w:sz w:val="21"/>
          <w:szCs w:val="21"/>
        </w:rPr>
        <w:t xml:space="preserve"> 音频信号源</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声道：教师讲授内容音频信号记录于第 1 声道，音乐、音效、同期声记录于第 2 声道，若有其他文字解说记录于第 3 声道(如录音设备无第 3 声道,则录于第 2 声道)。</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声音和画面要求同步，无交流声或其他杂音等缺陷。</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伴音清晰、饱满、圆润，无失真、噪声杂音干扰、音量忽大忽小现象。解说声与现场声无明显比例失调，解说声与背景音乐无明显比例失调。</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4 \* GB3</w:instrText>
      </w:r>
      <w:r>
        <w:rPr>
          <w:rFonts w:hint="eastAsia" w:ascii="宋体" w:hAnsi="宋体" w:eastAsia="宋体" w:cs="宋体"/>
          <w:sz w:val="21"/>
          <w:szCs w:val="21"/>
        </w:rPr>
        <w:fldChar w:fldCharType="separate"/>
      </w:r>
      <w:r>
        <w:rPr>
          <w:rFonts w:hint="eastAsia" w:ascii="宋体" w:hAnsi="宋体" w:eastAsia="宋体" w:cs="宋体"/>
          <w:sz w:val="21"/>
          <w:szCs w:val="21"/>
        </w:rPr>
        <w:t>④</w:t>
      </w:r>
      <w:r>
        <w:rPr>
          <w:rFonts w:hint="eastAsia" w:ascii="宋体" w:hAnsi="宋体" w:eastAsia="宋体" w:cs="宋体"/>
          <w:sz w:val="21"/>
          <w:szCs w:val="21"/>
        </w:rPr>
        <w:fldChar w:fldCharType="end"/>
      </w:r>
      <w:r>
        <w:rPr>
          <w:rFonts w:hint="eastAsia" w:ascii="宋体" w:hAnsi="宋体" w:eastAsia="宋体" w:cs="宋体"/>
          <w:sz w:val="21"/>
          <w:szCs w:val="21"/>
        </w:rPr>
        <w:t xml:space="preserve"> 视频压缩格式及技术参数</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视频压缩采用 H.264/AVC(MPEG-4 Part10)编码、使用二次编码、不包含字幕的 MP4 格式。</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视频码流率：动态码流的最低码率不得低于 1024Kb</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视频分辨率：前期采用高清 16:9 拍摄，请设定为 1280×720 或 1920×1080。</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视频画幅宽高比：视频画幅宽高比为 16:9，分辨率设定为 1280×720 或 1920×1080。</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视频帧率为 25 帧/秒。</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扫描方式采用逐行扫描。</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5 \* GB3</w:instrText>
      </w:r>
      <w:r>
        <w:rPr>
          <w:rFonts w:hint="eastAsia" w:ascii="宋体" w:hAnsi="宋体" w:eastAsia="宋体" w:cs="宋体"/>
          <w:sz w:val="21"/>
          <w:szCs w:val="21"/>
        </w:rPr>
        <w:fldChar w:fldCharType="separate"/>
      </w:r>
      <w:r>
        <w:rPr>
          <w:rFonts w:hint="eastAsia" w:ascii="宋体" w:hAnsi="宋体" w:eastAsia="宋体" w:cs="宋体"/>
          <w:sz w:val="21"/>
          <w:szCs w:val="21"/>
        </w:rPr>
        <w:t>⑤</w:t>
      </w:r>
      <w:r>
        <w:rPr>
          <w:rFonts w:hint="eastAsia" w:ascii="宋体" w:hAnsi="宋体" w:eastAsia="宋体" w:cs="宋体"/>
          <w:sz w:val="21"/>
          <w:szCs w:val="21"/>
        </w:rPr>
        <w:fldChar w:fldCharType="end"/>
      </w:r>
      <w:r>
        <w:rPr>
          <w:rFonts w:hint="eastAsia" w:ascii="宋体" w:hAnsi="宋体" w:eastAsia="宋体" w:cs="宋体"/>
          <w:sz w:val="21"/>
          <w:szCs w:val="21"/>
        </w:rPr>
        <w:t xml:space="preserve"> 音频压缩格式及技术参数</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音频压缩采用 AAC(MPEG4 Part3)格式</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采样率 48KHz</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音频码流率 128Kbps(恒定)</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必须是双声道，必须做混音处理。</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6 \* GB3</w:instrText>
      </w:r>
      <w:r>
        <w:rPr>
          <w:rFonts w:hint="eastAsia" w:ascii="宋体" w:hAnsi="宋体" w:eastAsia="宋体" w:cs="宋体"/>
          <w:sz w:val="21"/>
          <w:szCs w:val="21"/>
        </w:rPr>
        <w:fldChar w:fldCharType="separate"/>
      </w:r>
      <w:r>
        <w:rPr>
          <w:rFonts w:hint="eastAsia" w:ascii="宋体" w:hAnsi="宋体" w:eastAsia="宋体" w:cs="宋体"/>
          <w:sz w:val="21"/>
          <w:szCs w:val="21"/>
        </w:rPr>
        <w:t>⑥</w:t>
      </w:r>
      <w:r>
        <w:rPr>
          <w:rFonts w:hint="eastAsia" w:ascii="宋体" w:hAnsi="宋体" w:eastAsia="宋体" w:cs="宋体"/>
          <w:sz w:val="21"/>
          <w:szCs w:val="21"/>
        </w:rPr>
        <w:fldChar w:fldCharType="end"/>
      </w:r>
      <w:r>
        <w:rPr>
          <w:rFonts w:hint="eastAsia" w:ascii="宋体" w:hAnsi="宋体" w:eastAsia="宋体" w:cs="宋体"/>
          <w:sz w:val="21"/>
          <w:szCs w:val="21"/>
        </w:rPr>
        <w:t xml:space="preserve"> 封装</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视频采用 MP4 封装，单个视频文件小于 200MB。字幕文件采用 SRT 格式，中英文字幕需分成两个SRT 文件。</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2.4.4</w:t>
      </w:r>
      <w:r>
        <w:rPr>
          <w:rFonts w:hint="eastAsia" w:ascii="宋体" w:hAnsi="宋体" w:eastAsia="宋体" w:cs="宋体"/>
          <w:b/>
          <w:bCs/>
          <w:sz w:val="21"/>
          <w:szCs w:val="21"/>
        </w:rPr>
        <w:t>演示文稿（PPT）制作规范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（1）制作原则</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1 \* GB3</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演示文稿（PPT）内容丰富，可集文字、图形、图像、声音以及视频等多种媒体元素于一体。</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2 \* GB3</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页面设置要求符合高清格式比例，幻灯片大小为“全屏显示 16：9”。</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3 \* GB3</w:instrText>
      </w:r>
      <w:r>
        <w:rPr>
          <w:rFonts w:hint="eastAsia" w:ascii="宋体" w:hAnsi="宋体" w:eastAsia="宋体" w:cs="宋体"/>
          <w:sz w:val="21"/>
          <w:szCs w:val="21"/>
        </w:rPr>
        <w:fldChar w:fldCharType="separate"/>
      </w:r>
      <w:r>
        <w:rPr>
          <w:rFonts w:hint="eastAsia" w:ascii="宋体" w:hAnsi="宋体" w:eastAsia="宋体" w:cs="宋体"/>
          <w:sz w:val="21"/>
          <w:szCs w:val="21"/>
        </w:rPr>
        <w:t>③</w:t>
      </w:r>
      <w:r>
        <w:rPr>
          <w:rFonts w:hint="eastAsia" w:ascii="宋体" w:hAnsi="宋体" w:eastAsia="宋体" w:cs="宋体"/>
          <w:sz w:val="21"/>
          <w:szCs w:val="21"/>
        </w:rPr>
        <w:fldChar w:fldCharType="end"/>
      </w:r>
      <w:r>
        <w:rPr>
          <w:rFonts w:hint="eastAsia" w:ascii="宋体" w:hAnsi="宋体" w:eastAsia="宋体" w:cs="宋体"/>
          <w:sz w:val="21"/>
          <w:szCs w:val="21"/>
        </w:rPr>
        <w:t>整体效果应风格统一、色彩协调、美观大方。</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4 \* GB3</w:instrText>
      </w:r>
      <w:r>
        <w:rPr>
          <w:rFonts w:hint="eastAsia" w:ascii="宋体" w:hAnsi="宋体" w:eastAsia="宋体" w:cs="宋体"/>
          <w:sz w:val="21"/>
          <w:szCs w:val="21"/>
        </w:rPr>
        <w:fldChar w:fldCharType="separate"/>
      </w:r>
      <w:r>
        <w:rPr>
          <w:rFonts w:hint="eastAsia" w:ascii="宋体" w:hAnsi="宋体" w:eastAsia="宋体" w:cs="宋体"/>
          <w:sz w:val="21"/>
          <w:szCs w:val="21"/>
        </w:rPr>
        <w:t>④</w:t>
      </w:r>
      <w:r>
        <w:rPr>
          <w:rFonts w:hint="eastAsia" w:ascii="宋体" w:hAnsi="宋体" w:eastAsia="宋体" w:cs="宋体"/>
          <w:sz w:val="21"/>
          <w:szCs w:val="21"/>
        </w:rPr>
        <w:fldChar w:fldCharType="end"/>
      </w:r>
      <w:r>
        <w:rPr>
          <w:rFonts w:hint="eastAsia" w:ascii="宋体" w:hAnsi="宋体" w:eastAsia="宋体" w:cs="宋体"/>
          <w:sz w:val="21"/>
          <w:szCs w:val="21"/>
        </w:rPr>
        <w:t>整体风格突出武汉工程大学特色。</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（2）字体与字号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字体与字号参照下表：</w:t>
      </w:r>
    </w:p>
    <w:tbl>
      <w:tblPr>
        <w:tblStyle w:val="27"/>
        <w:tblpPr w:vertAnchor="text" w:horzAnchor="margin" w:tblpXSpec="center" w:tblpY="213"/>
        <w:tblW w:w="8835" w:type="dxa"/>
        <w:tblInd w:w="0" w:type="dxa"/>
        <w:tblLayout w:type="fixed"/>
        <w:tblCellMar>
          <w:top w:w="0" w:type="dxa"/>
          <w:left w:w="108" w:type="dxa"/>
          <w:bottom w:w="0" w:type="dxa"/>
          <w:right w:w="108" w:type="dxa"/>
        </w:tblCellMar>
      </w:tblPr>
      <w:tblGrid>
        <w:gridCol w:w="885"/>
        <w:gridCol w:w="1905"/>
        <w:gridCol w:w="1395"/>
        <w:gridCol w:w="1550"/>
        <w:gridCol w:w="1860"/>
        <w:gridCol w:w="1240"/>
      </w:tblGrid>
      <w:tr>
        <w:tblPrEx>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类型</w:t>
            </w:r>
          </w:p>
        </w:tc>
        <w:tc>
          <w:tcPr>
            <w:tcW w:w="19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大标题</w:t>
            </w:r>
          </w:p>
        </w:tc>
        <w:tc>
          <w:tcPr>
            <w:tcW w:w="13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主讲信息</w:t>
            </w:r>
          </w:p>
        </w:tc>
        <w:tc>
          <w:tcPr>
            <w:tcW w:w="15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一级标题</w:t>
            </w:r>
          </w:p>
        </w:tc>
        <w:tc>
          <w:tcPr>
            <w:tcW w:w="18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正文</w:t>
            </w: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字幕</w:t>
            </w:r>
          </w:p>
        </w:tc>
      </w:tr>
      <w:tr>
        <w:tblPrEx>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字体</w:t>
            </w:r>
          </w:p>
        </w:tc>
        <w:tc>
          <w:tcPr>
            <w:tcW w:w="795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自定，原则以黑体、宋体、仿宋等为主</w:t>
            </w:r>
          </w:p>
        </w:tc>
      </w:tr>
      <w:tr>
        <w:tblPrEx>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字号</w:t>
            </w:r>
          </w:p>
        </w:tc>
        <w:tc>
          <w:tcPr>
            <w:tcW w:w="19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50～70磅</w:t>
            </w:r>
          </w:p>
        </w:tc>
        <w:tc>
          <w:tcPr>
            <w:tcW w:w="13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36～40磅</w:t>
            </w:r>
          </w:p>
        </w:tc>
        <w:tc>
          <w:tcPr>
            <w:tcW w:w="15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36～40磅</w:t>
            </w:r>
          </w:p>
        </w:tc>
        <w:tc>
          <w:tcPr>
            <w:tcW w:w="18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24～32磅</w:t>
            </w: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32磅</w:t>
            </w:r>
          </w:p>
        </w:tc>
      </w:tr>
      <w:tr>
        <w:tblPrEx>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应用</w:t>
            </w:r>
          </w:p>
        </w:tc>
        <w:tc>
          <w:tcPr>
            <w:tcW w:w="19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上下左右居中</w:t>
            </w:r>
          </w:p>
        </w:tc>
        <w:tc>
          <w:tcPr>
            <w:tcW w:w="13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左右居中</w:t>
            </w:r>
          </w:p>
        </w:tc>
        <w:tc>
          <w:tcPr>
            <w:tcW w:w="15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左右居中</w:t>
            </w:r>
          </w:p>
        </w:tc>
        <w:tc>
          <w:tcPr>
            <w:tcW w:w="18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左对齐或居中</w:t>
            </w: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左右居中</w:t>
            </w:r>
          </w:p>
        </w:tc>
      </w:tr>
    </w:tbl>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（3）版心与版式每页四周留出空白，应避免内容顶到页面边缘。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（4）背景</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1 \* GB3</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背景色以简洁适中饱和度为主（颜色保持在一至两种色系内）；</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2 \* GB3</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背景和场景不宜变化过多；</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3 \* GB3</w:instrText>
      </w:r>
      <w:r>
        <w:rPr>
          <w:rFonts w:hint="eastAsia" w:ascii="宋体" w:hAnsi="宋体" w:eastAsia="宋体" w:cs="宋体"/>
          <w:sz w:val="21"/>
          <w:szCs w:val="21"/>
        </w:rPr>
        <w:fldChar w:fldCharType="separate"/>
      </w:r>
      <w:r>
        <w:rPr>
          <w:rFonts w:hint="eastAsia" w:ascii="宋体" w:hAnsi="宋体" w:eastAsia="宋体" w:cs="宋体"/>
          <w:sz w:val="21"/>
          <w:szCs w:val="21"/>
        </w:rPr>
        <w:t>③</w:t>
      </w:r>
      <w:r>
        <w:rPr>
          <w:rFonts w:hint="eastAsia" w:ascii="宋体" w:hAnsi="宋体" w:eastAsia="宋体" w:cs="宋体"/>
          <w:sz w:val="21"/>
          <w:szCs w:val="21"/>
        </w:rPr>
        <w:fldChar w:fldCharType="end"/>
      </w:r>
      <w:r>
        <w:rPr>
          <w:rFonts w:hint="eastAsia" w:ascii="宋体" w:hAnsi="宋体" w:eastAsia="宋体" w:cs="宋体"/>
          <w:sz w:val="21"/>
          <w:szCs w:val="21"/>
        </w:rPr>
        <w:t>文字、图形等内容应与背景对比醒目。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（5）色调</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1 \* GB3</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色彩的选配应与课程科目相吻合；每一短视频或一系列短视频在配色上应体现出系统性，可选一种主色调再加上一至两种辅助色进行匹配；</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2 \* GB3</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同一屏里文字不宜超出三种颜色。</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（6）字距与行距</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1 \* GB3</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标题：在文字少的情形下，字距放宽一倍体现舒展性；</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2 \* GB3</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正文：行距使用 1 行或 1.5 行，便于阅读。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（7）配图</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1 \* GB3</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图像应清晰并能反映出内容主题思想，分辨率应上 72dpi 以上；</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2 \* GB3</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图片不可加长或压窄，防止变形；</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3 \* GB3</w:instrText>
      </w:r>
      <w:r>
        <w:rPr>
          <w:rFonts w:hint="eastAsia" w:ascii="宋体" w:hAnsi="宋体" w:eastAsia="宋体" w:cs="宋体"/>
          <w:sz w:val="21"/>
          <w:szCs w:val="21"/>
        </w:rPr>
        <w:fldChar w:fldCharType="separate"/>
      </w:r>
      <w:r>
        <w:rPr>
          <w:rFonts w:hint="eastAsia" w:ascii="宋体" w:hAnsi="宋体" w:eastAsia="宋体" w:cs="宋体"/>
          <w:sz w:val="21"/>
          <w:szCs w:val="21"/>
        </w:rPr>
        <w:t>③</w:t>
      </w:r>
      <w:r>
        <w:rPr>
          <w:rFonts w:hint="eastAsia" w:ascii="宋体" w:hAnsi="宋体" w:eastAsia="宋体" w:cs="宋体"/>
          <w:sz w:val="21"/>
          <w:szCs w:val="21"/>
        </w:rPr>
        <w:fldChar w:fldCharType="end"/>
      </w:r>
      <w:r>
        <w:rPr>
          <w:rFonts w:hint="eastAsia" w:ascii="宋体" w:hAnsi="宋体" w:eastAsia="宋体" w:cs="宋体"/>
          <w:sz w:val="21"/>
          <w:szCs w:val="21"/>
        </w:rPr>
        <w:t>图形使用应通俗易懂，便于理解。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（8）修饰</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1 \* GB3</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细线条的运用比粗线条更显精致；</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2 \* GB3</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扁平式的装饰更接近时代审美；</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3 \* GB3</w:instrText>
      </w:r>
      <w:r>
        <w:rPr>
          <w:rFonts w:hint="eastAsia" w:ascii="宋体" w:hAnsi="宋体" w:eastAsia="宋体" w:cs="宋体"/>
          <w:sz w:val="21"/>
          <w:szCs w:val="21"/>
        </w:rPr>
        <w:fldChar w:fldCharType="separate"/>
      </w:r>
      <w:r>
        <w:rPr>
          <w:rFonts w:hint="eastAsia" w:ascii="宋体" w:hAnsi="宋体" w:eastAsia="宋体" w:cs="宋体"/>
          <w:sz w:val="21"/>
          <w:szCs w:val="21"/>
        </w:rPr>
        <w:t>③</w:t>
      </w:r>
      <w:r>
        <w:rPr>
          <w:rFonts w:hint="eastAsia" w:ascii="宋体" w:hAnsi="宋体" w:eastAsia="宋体" w:cs="宋体"/>
          <w:sz w:val="21"/>
          <w:szCs w:val="21"/>
        </w:rPr>
        <w:fldChar w:fldCharType="end"/>
      </w:r>
      <w:r>
        <w:rPr>
          <w:rFonts w:hint="eastAsia" w:ascii="宋体" w:hAnsi="宋体" w:eastAsia="宋体" w:cs="宋体"/>
          <w:sz w:val="21"/>
          <w:szCs w:val="21"/>
        </w:rPr>
        <w:t>有趣味的装饰通常更能吸引人。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（9）版权来源</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素材选用注意版权，涉及版权问题须加入“版权来源”信息。</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2.4.5</w:t>
      </w:r>
      <w:r>
        <w:rPr>
          <w:rFonts w:hint="eastAsia" w:ascii="宋体" w:hAnsi="宋体" w:eastAsia="宋体" w:cs="宋体"/>
          <w:b/>
          <w:bCs/>
          <w:sz w:val="21"/>
          <w:szCs w:val="21"/>
        </w:rPr>
        <w:t>课程运行及推广要求</w:t>
      </w:r>
    </w:p>
    <w:p>
      <w:pPr>
        <w:spacing w:line="360" w:lineRule="auto"/>
        <w:ind w:right="106" w:firstLine="420" w:firstLineChars="200"/>
        <w:rPr>
          <w:rFonts w:hint="eastAsia" w:ascii="宋体" w:hAnsi="宋体" w:eastAsia="宋体" w:cs="宋体"/>
          <w:sz w:val="21"/>
          <w:szCs w:val="21"/>
        </w:rPr>
      </w:pPr>
      <w:r>
        <w:rPr>
          <w:rFonts w:hint="eastAsia" w:ascii="宋体" w:hAnsi="宋体" w:eastAsia="宋体" w:cs="宋体"/>
          <w:sz w:val="21"/>
          <w:szCs w:val="21"/>
        </w:rPr>
        <w:t>（1）供应商能满足采购人的课程制作完成后，负责将该课程在采购人的校内在线课程平台上线并在校内进行 SPOC 教学，且提供相关课程顾问来辅助老师进行翻转课堂教学及培训。上线前平台必须组织审核，保障技术符合约定要求、视频课程适合网络化传播、价值导向正确、无危害国家安全内容等。</w:t>
      </w:r>
    </w:p>
    <w:p>
      <w:pPr>
        <w:spacing w:line="360" w:lineRule="auto"/>
        <w:ind w:right="106" w:firstLine="420" w:firstLineChars="200"/>
        <w:rPr>
          <w:rFonts w:hint="eastAsia" w:ascii="宋体" w:hAnsi="宋体" w:eastAsia="宋体" w:cs="宋体"/>
          <w:sz w:val="21"/>
          <w:szCs w:val="21"/>
        </w:rPr>
      </w:pPr>
      <w:r>
        <w:rPr>
          <w:rFonts w:hint="eastAsia" w:ascii="宋体" w:hAnsi="宋体" w:eastAsia="宋体" w:cs="宋体"/>
          <w:sz w:val="21"/>
          <w:szCs w:val="21"/>
        </w:rPr>
        <w:t>（2）供应商满足采购人在课程制作完成后帮助采购人在全国范围内推广该课程，并且安排足够的工作人员辅助老师平台的使用，及时响应老师需求。供应商随时或定期向学校和教师提供完整的数据服务。供应商在课程每轮开课结束后提供书面课程运行总结报告。</w:t>
      </w:r>
    </w:p>
    <w:p>
      <w:pPr>
        <w:spacing w:line="360" w:lineRule="auto"/>
        <w:ind w:right="106" w:firstLine="420" w:firstLineChars="200"/>
        <w:rPr>
          <w:rFonts w:hint="eastAsia" w:ascii="宋体" w:hAnsi="宋体" w:eastAsia="宋体" w:cs="宋体"/>
          <w:sz w:val="21"/>
          <w:szCs w:val="21"/>
        </w:rPr>
      </w:pPr>
      <w:r>
        <w:rPr>
          <w:rFonts w:hint="eastAsia" w:ascii="宋体" w:hAnsi="宋体" w:eastAsia="宋体" w:cs="宋体"/>
          <w:sz w:val="21"/>
          <w:szCs w:val="21"/>
        </w:rPr>
        <w:t>（3）供应商需要有自有课程平台，并提供 5 个高校在线开放课程或线上线下混合式教学案例，此课程平台需满足国家级在线开放课程验收标准要求的上传、运行、学习过程管理，大数据分析，教学过程管理，后台管理，管理者可以随时通过后台查看教师整堂课的具体上课情况。平台应具备国家政策法规规定的开展在线课程服务和运营相关的许可证书，包括工信部ICP网站备案号、公安机关网站备案号、信息安全三级及以上等级保护证书等。</w:t>
      </w:r>
      <w:bookmarkEnd w:id="104"/>
    </w:p>
    <w:p>
      <w:pPr>
        <w:outlineLvl w:val="9"/>
        <w:rPr>
          <w:rFonts w:hint="eastAsia"/>
          <w:lang w:val="en-US" w:eastAsia="zh-CN"/>
        </w:rPr>
      </w:pPr>
    </w:p>
    <w:p>
      <w:pPr>
        <w:autoSpaceDE w:val="0"/>
        <w:autoSpaceDN w:val="0"/>
        <w:adjustRightInd w:val="0"/>
        <w:spacing w:line="360" w:lineRule="auto"/>
        <w:outlineLvl w:val="9"/>
        <w:rPr>
          <w:rFonts w:hint="eastAsia" w:asciiTheme="minorEastAsia" w:hAnsiTheme="minorEastAsia" w:eastAsiaTheme="minorEastAsia" w:cstheme="minorEastAsia"/>
          <w:b/>
          <w:bCs/>
          <w:color w:val="auto"/>
          <w:szCs w:val="21"/>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 </w:t>
      </w:r>
      <w:r>
        <w:rPr>
          <w:rFonts w:hint="eastAsia" w:asciiTheme="minorEastAsia" w:hAnsiTheme="minorEastAsia" w:eastAsiaTheme="minorEastAsia" w:cstheme="minorEastAsia"/>
          <w:b/>
          <w:bCs/>
          <w:color w:val="auto"/>
          <w:szCs w:val="21"/>
          <w:lang w:val="en-US" w:eastAsia="zh-CN"/>
        </w:rPr>
        <w:t>2.5 其他</w:t>
      </w:r>
    </w:p>
    <w:p>
      <w:pPr>
        <w:autoSpaceDE w:val="0"/>
        <w:autoSpaceDN w:val="0"/>
        <w:adjustRightInd w:val="0"/>
        <w:spacing w:line="360" w:lineRule="auto"/>
        <w:ind w:firstLine="420" w:firstLineChars="200"/>
        <w:outlineLvl w:val="9"/>
        <w:rPr>
          <w:rFonts w:hint="eastAsia"/>
          <w:lang w:val="en-US" w:eastAsia="zh-CN"/>
        </w:rPr>
      </w:pPr>
      <w:r>
        <w:rPr>
          <w:rFonts w:hint="eastAsia" w:asciiTheme="minorEastAsia" w:hAnsiTheme="minorEastAsia" w:eastAsiaTheme="minorEastAsia" w:cstheme="minorEastAsia"/>
          <w:b w:val="0"/>
          <w:bCs w:val="0"/>
          <w:color w:val="auto"/>
          <w:szCs w:val="21"/>
          <w:lang w:val="en-US" w:eastAsia="zh-CN"/>
        </w:rPr>
        <w:t>为符合采购人拍摄要求，供应商需提供至少2个4K高清摄像机或相机、两组高清镜头、98寸以上4K高清交互大屏、提词器、灯光、斯坦尼康、一体机。</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br w:type="textWrapping"/>
      </w:r>
    </w:p>
    <w:p>
      <w:pPr>
        <w:rPr>
          <w:rFonts w:hint="eastAsia" w:asciiTheme="minorEastAsia" w:hAnsiTheme="minorEastAsia" w:eastAsiaTheme="minorEastAsia" w:cstheme="minorEastAsia"/>
          <w:b/>
          <w:bCs/>
          <w:color w:val="auto"/>
          <w:sz w:val="24"/>
          <w:szCs w:val="24"/>
          <w:lang w:val="en-US" w:eastAsia="zh-CN"/>
        </w:rPr>
      </w:pPr>
      <w:bookmarkStart w:id="107" w:name="_Toc30372"/>
      <w:r>
        <w:rPr>
          <w:rFonts w:hint="eastAsia" w:asciiTheme="minorEastAsia" w:hAnsiTheme="minorEastAsia" w:eastAsiaTheme="minorEastAsia" w:cstheme="minorEastAsia"/>
          <w:b/>
          <w:bCs/>
          <w:color w:val="auto"/>
          <w:sz w:val="24"/>
          <w:szCs w:val="24"/>
          <w:lang w:val="en-US" w:eastAsia="zh-CN"/>
        </w:rPr>
        <w:br w:type="page"/>
      </w: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二、商务需求</w:t>
      </w:r>
      <w:bookmarkEnd w:id="107"/>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1.1 未按期交付的违约责任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如果甲方未按照计划规定时间完成交付任务，交付时间在预定交付时间基础上向后延期相应时间。如果甲方按照计划规定的时间提交内容和完成约定要求，乙方未能按照合同规定的时间按时完成任务（不可抗力除外），按照下述要求执行未按期交货的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如果甲方按照计划规定的时间提交内容和完成约定要求，乙方未能按照合同规定的时间按时完成任务（不可抗力除外），在乙方书面同意支付延期违约金的条件下，甲方有权选择同意延长项目工期还是不予延长项目，甲方同意延长项目工期的，延期项目工期由双方另行确定。延期违约金的支付，甲方有权从未付的合同货款中扣除。每逾期1天，乙方应按合同总金额的  0.1 ％向甲方支付逾期的违约金。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1.2 甲方逾期付款（有正当拒付理由的情况除外），应按照逾期金额的每日 0.1  ％支付逾期付款违约金。</w:t>
      </w:r>
      <w:r>
        <w:rPr>
          <w:rFonts w:hint="eastAsia" w:asciiTheme="minorEastAsia" w:hAnsiTheme="minorEastAsia" w:eastAsiaTheme="minorEastAsia" w:cstheme="minorEastAsia"/>
          <w:b/>
          <w:bCs/>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2、售后服务要求：</w:t>
      </w:r>
    </w:p>
    <w:p>
      <w:pPr>
        <w:pStyle w:val="2"/>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2.1 课程维保期为36个月，在保修期内，成交供应商应提供7*24小时的技术响应服务。保修期内出现的任何与成交供应商课程相关的问题或故障，成交供应商应在接到采购人通知的24小时内免费维修或更换。</w:t>
      </w:r>
    </w:p>
    <w:p>
      <w:pPr>
        <w:pStyle w:val="2"/>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2.2 在维保期内，用户在使用过程中如出现任何对课程使用有疑问的情况，成交供应商必须在接到用户通报后1个工作日内给予明确答复，如有需要，3个工作日内到达现场解决问题，相关差旅、住宿费用自行承担。</w:t>
      </w:r>
    </w:p>
    <w:p>
      <w:pPr>
        <w:pStyle w:val="2"/>
        <w:keepNext w:val="0"/>
        <w:keepLines w:val="0"/>
        <w:pageBreakBefore w:val="0"/>
        <w:widowControl w:val="0"/>
        <w:kinsoku/>
        <w:wordWrap/>
        <w:overflowPunct/>
        <w:topLinePunct w:val="0"/>
        <w:bidi w:val="0"/>
        <w:snapToGrid/>
        <w:spacing w:line="360" w:lineRule="auto"/>
        <w:ind w:firstLine="420" w:firstLineChars="200"/>
        <w:textAlignment w:val="auto"/>
        <w:rPr>
          <w:rFonts w:hint="eastAsia"/>
          <w:color w:val="auto"/>
          <w:lang w:val="en-US" w:eastAsia="zh-CN"/>
        </w:rPr>
      </w:pPr>
      <w:r>
        <w:rPr>
          <w:rFonts w:hint="eastAsia" w:ascii="宋体" w:hAnsi="宋体" w:eastAsia="宋体" w:cs="宋体"/>
          <w:color w:val="auto"/>
          <w:lang w:val="en-US" w:eastAsia="zh-CN"/>
        </w:rPr>
        <w:t>2.3 成交供应商应给出保修期结束之后对所提供的课程的服务支持方式和收费标准。质保期内，提供不少于2次免费修改（总量不超过课程量的15%）。</w:t>
      </w:r>
    </w:p>
    <w:p>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3、实施人员要求：成交供应商应免费为学校的管理人员、技术人员、老师进行系统、完善的整体培训及使用方法培训等。制片组为制作要求确定制作形式并评估。</w:t>
      </w:r>
    </w:p>
    <w:p>
      <w:pPr>
        <w:pStyle w:val="11"/>
        <w:keepNext w:val="0"/>
        <w:keepLines w:val="0"/>
        <w:pageBreakBefore w:val="0"/>
        <w:widowControl w:val="0"/>
        <w:kinsoku/>
        <w:wordWrap/>
        <w:overflowPunct/>
        <w:topLinePunct w:val="0"/>
        <w:bidi w:val="0"/>
        <w:snapToGrid/>
        <w:spacing w:after="0" w:line="360" w:lineRule="auto"/>
        <w:textAlignment w:val="auto"/>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4、培训要求：</w:t>
      </w:r>
    </w:p>
    <w:p>
      <w:pPr>
        <w:pStyle w:val="11"/>
        <w:keepNext w:val="0"/>
        <w:keepLines w:val="0"/>
        <w:pageBreakBefore w:val="0"/>
        <w:widowControl w:val="0"/>
        <w:kinsoku/>
        <w:wordWrap/>
        <w:overflowPunct/>
        <w:topLinePunct w:val="0"/>
        <w:bidi w:val="0"/>
        <w:snapToGrid/>
        <w:spacing w:after="0" w:line="360" w:lineRule="auto"/>
        <w:ind w:firstLine="420" w:firstLineChars="200"/>
        <w:textAlignment w:val="auto"/>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4.1 须组建专职服务团队，并保证服务团队人员不低于6人，并按项目要求进行相关人员指导培训，提供分层次培训，包括操作用户培训、系统管理员培训。</w:t>
      </w:r>
    </w:p>
    <w:p>
      <w:pPr>
        <w:pStyle w:val="11"/>
        <w:keepNext w:val="0"/>
        <w:keepLines w:val="0"/>
        <w:pageBreakBefore w:val="0"/>
        <w:widowControl w:val="0"/>
        <w:kinsoku/>
        <w:wordWrap/>
        <w:overflowPunct/>
        <w:topLinePunct w:val="0"/>
        <w:bidi w:val="0"/>
        <w:snapToGrid/>
        <w:spacing w:after="0" w:line="360" w:lineRule="auto"/>
        <w:ind w:firstLine="420" w:firstLineChars="200"/>
        <w:textAlignment w:val="auto"/>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4.2 安装调试到位后的课程由中标供应商及采购人共同进行质量验收签字。采购方预先提供验收标准，填写验收报告书，供双方最终确认使用。</w:t>
      </w:r>
    </w:p>
    <w:p>
      <w:pPr>
        <w:pStyle w:val="11"/>
        <w:keepNext w:val="0"/>
        <w:keepLines w:val="0"/>
        <w:pageBreakBefore w:val="0"/>
        <w:widowControl w:val="0"/>
        <w:kinsoku/>
        <w:wordWrap/>
        <w:overflowPunct/>
        <w:topLinePunct w:val="0"/>
        <w:bidi w:val="0"/>
        <w:snapToGrid/>
        <w:spacing w:after="0" w:line="360" w:lineRule="auto"/>
        <w:ind w:firstLine="420" w:firstLineChars="200"/>
        <w:textAlignment w:val="auto"/>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4.3 成交供应商应负责对采购方人员进行专业培训，直至采购方能完全操作。凡采购项目需要培训的应为安装现场培训(如需去厂家培训、考察、验收等异地费用不含在投标总价内，即不列入政府采购费用支出)</w:t>
      </w:r>
    </w:p>
    <w:p>
      <w:pPr>
        <w:autoSpaceDE w:val="0"/>
        <w:autoSpaceDN w:val="0"/>
        <w:adjustRightInd w:val="0"/>
        <w:spacing w:line="360" w:lineRule="auto"/>
        <w:outlineLvl w:val="9"/>
        <w:rPr>
          <w:rFonts w:hint="default"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5、知识产权：课程视频制作过程中，供应商保证提供的视频不侵犯任何第三方的专利、商标或版权，否则，供应商须承担对第三方的专利或版权的侵权责任并承担因此而发生的所有费用。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6、服务地点：武汉工程大学</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7、履约保证金：无</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8、付款方式：根据每次委派的任务量，按照成交单价进行据实结算。付款方式以合同签订为准。</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1、资格审查因素等证明材料须提供网上图片或查询方式以供磋商小组核查，响应文件内附相关证书真彩扫描件。</w:t>
      </w:r>
    </w:p>
    <w:p>
      <w:pPr>
        <w:autoSpaceDE w:val="0"/>
        <w:autoSpaceDN w:val="0"/>
        <w:adjustRightInd w:val="0"/>
        <w:spacing w:line="360" w:lineRule="auto"/>
        <w:outlineLvl w:val="9"/>
        <w:rPr>
          <w:rFonts w:hint="eastAsia" w:asciiTheme="minorEastAsia" w:hAnsiTheme="minorEastAsia" w:eastAsiaTheme="minorEastAsia" w:cstheme="minorEastAsia"/>
          <w:b/>
          <w:bCs/>
          <w:color w:val="FF0000"/>
          <w:szCs w:val="21"/>
          <w:lang w:val="en-US" w:eastAsia="zh-CN"/>
        </w:rPr>
      </w:pPr>
      <w:r>
        <w:rPr>
          <w:rFonts w:hint="eastAsia" w:asciiTheme="minorEastAsia" w:hAnsiTheme="minorEastAsia" w:eastAsiaTheme="minorEastAsia" w:cstheme="minorEastAsia"/>
          <w:b w:val="0"/>
          <w:bCs w:val="0"/>
          <w:color w:val="auto"/>
          <w:szCs w:val="21"/>
          <w:lang w:val="en-US" w:eastAsia="zh-CN"/>
        </w:rPr>
        <w:t>2、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r>
        <w:rPr>
          <w:rFonts w:hint="eastAsia" w:asciiTheme="minorEastAsia" w:hAnsiTheme="minorEastAsia" w:eastAsiaTheme="minorEastAsia" w:cstheme="minorEastAsia"/>
          <w:b/>
          <w:bCs/>
          <w:color w:val="FF0000"/>
          <w:szCs w:val="21"/>
          <w:lang w:val="en-US" w:eastAsia="zh-CN"/>
        </w:rPr>
        <w:br w:type="textWrapping"/>
      </w:r>
      <w:r>
        <w:rPr>
          <w:rFonts w:hint="eastAsia" w:asciiTheme="minorEastAsia" w:hAnsiTheme="minorEastAsia" w:eastAsiaTheme="minorEastAsia" w:cstheme="minorEastAsia"/>
          <w:b/>
          <w:bCs/>
          <w:color w:val="FF0000"/>
          <w:szCs w:val="21"/>
          <w:lang w:val="en-US" w:eastAsia="zh-CN"/>
        </w:rPr>
        <w:br w:type="textWrapping"/>
      </w:r>
      <w:r>
        <w:rPr>
          <w:rFonts w:hint="eastAsia" w:asciiTheme="minorEastAsia" w:hAnsiTheme="minorEastAsia" w:eastAsiaTheme="minorEastAsia" w:cstheme="minorEastAsia"/>
          <w:b/>
          <w:bCs/>
          <w:color w:val="FF0000"/>
          <w:szCs w:val="21"/>
          <w:lang w:val="en-US" w:eastAsia="zh-CN"/>
        </w:rPr>
        <w:br w:type="textWrapping"/>
      </w:r>
    </w:p>
    <w:p>
      <w:pPr>
        <w:outlineLvl w:val="9"/>
        <w:rPr>
          <w:rFonts w:hint="eastAsia"/>
          <w:lang w:val="en-US" w:eastAsia="zh-CN"/>
        </w:rPr>
      </w:pPr>
    </w:p>
    <w:p>
      <w:pPr>
        <w:autoSpaceDE w:val="0"/>
        <w:autoSpaceDN w:val="0"/>
        <w:adjustRightInd w:val="0"/>
        <w:spacing w:line="360" w:lineRule="auto"/>
        <w:ind w:firstLine="422" w:firstLineChars="200"/>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br w:type="textWrapping"/>
      </w:r>
    </w:p>
    <w:p>
      <w:pPr>
        <w:autoSpaceDE w:val="0"/>
        <w:autoSpaceDN w:val="0"/>
        <w:adjustRightInd w:val="0"/>
        <w:spacing w:line="360" w:lineRule="auto"/>
        <w:ind w:firstLine="422" w:firstLineChars="200"/>
        <w:outlineLvl w:val="9"/>
        <w:rPr>
          <w:rFonts w:hint="eastAsia" w:asciiTheme="minorEastAsia" w:hAnsiTheme="minorEastAsia" w:eastAsiaTheme="minorEastAsia" w:cstheme="minorEastAsia"/>
          <w:b/>
          <w:bCs/>
          <w:color w:val="auto"/>
          <w:szCs w:val="21"/>
          <w:lang w:val="en-US" w:eastAsia="zh-CN"/>
        </w:rPr>
      </w:pPr>
    </w:p>
    <w:p>
      <w:pPr>
        <w:autoSpaceDE w:val="0"/>
        <w:autoSpaceDN w:val="0"/>
        <w:adjustRightInd w:val="0"/>
        <w:spacing w:line="360" w:lineRule="auto"/>
        <w:ind w:firstLine="422" w:firstLineChars="200"/>
        <w:outlineLvl w:val="9"/>
        <w:rPr>
          <w:rFonts w:hint="eastAsia" w:asciiTheme="minorEastAsia" w:hAnsiTheme="minorEastAsia" w:eastAsiaTheme="minorEastAsia" w:cstheme="minorEastAsia"/>
          <w:b/>
          <w:bCs/>
          <w:color w:val="auto"/>
          <w:szCs w:val="21"/>
          <w:lang w:val="en-US" w:eastAsia="zh-CN"/>
        </w:rPr>
      </w:pPr>
    </w:p>
    <w:p>
      <w:pPr>
        <w:autoSpaceDE w:val="0"/>
        <w:autoSpaceDN w:val="0"/>
        <w:adjustRightInd w:val="0"/>
        <w:spacing w:line="360" w:lineRule="auto"/>
        <w:ind w:firstLine="422" w:firstLineChars="200"/>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br w:type="textWrapping"/>
      </w:r>
      <w:r>
        <w:rPr>
          <w:rFonts w:hint="eastAsia" w:asciiTheme="minorEastAsia" w:hAnsiTheme="minorEastAsia" w:eastAsiaTheme="minorEastAsia" w:cstheme="minorEastAsia"/>
          <w:b/>
          <w:bCs/>
          <w:color w:val="auto"/>
          <w:szCs w:val="21"/>
          <w:lang w:val="en-US" w:eastAsia="zh-CN"/>
        </w:rPr>
        <w:br w:type="textWrapping"/>
      </w:r>
      <w:r>
        <w:rPr>
          <w:rFonts w:hint="eastAsia" w:asciiTheme="minorEastAsia" w:hAnsiTheme="minorEastAsia" w:eastAsiaTheme="minorEastAsia" w:cstheme="minorEastAsia"/>
          <w:b/>
          <w:bCs/>
          <w:color w:val="auto"/>
          <w:szCs w:val="21"/>
          <w:lang w:val="en-US" w:eastAsia="zh-CN"/>
        </w:rPr>
        <w:br w:type="textWrapping"/>
      </w:r>
    </w:p>
    <w:p>
      <w:pPr>
        <w:autoSpaceDE w:val="0"/>
        <w:autoSpaceDN w:val="0"/>
        <w:adjustRightInd w:val="0"/>
        <w:spacing w:line="360" w:lineRule="auto"/>
        <w:ind w:firstLine="422" w:firstLineChars="200"/>
        <w:outlineLvl w:val="9"/>
        <w:rPr>
          <w:rFonts w:hint="eastAsia" w:asciiTheme="minorEastAsia" w:hAnsiTheme="minorEastAsia" w:eastAsiaTheme="minorEastAsia" w:cstheme="minorEastAsia"/>
          <w:b/>
          <w:bCs/>
          <w:color w:val="auto"/>
          <w:szCs w:val="21"/>
          <w:lang w:val="en-US" w:eastAsia="zh-CN"/>
        </w:rPr>
      </w:pPr>
    </w:p>
    <w:p>
      <w:pPr>
        <w:autoSpaceDE w:val="0"/>
        <w:autoSpaceDN w:val="0"/>
        <w:adjustRightInd w:val="0"/>
        <w:spacing w:line="360" w:lineRule="auto"/>
        <w:ind w:firstLine="422" w:firstLineChars="200"/>
        <w:outlineLvl w:val="9"/>
        <w:rPr>
          <w:rFonts w:hint="eastAsia" w:asciiTheme="minorEastAsia" w:hAnsiTheme="minorEastAsia" w:eastAsiaTheme="minorEastAsia" w:cstheme="minorEastAsia"/>
          <w:b/>
          <w:bCs/>
          <w:color w:val="auto"/>
          <w:szCs w:val="21"/>
          <w:lang w:val="en-US" w:eastAsia="zh-CN"/>
        </w:rPr>
      </w:pPr>
    </w:p>
    <w:p>
      <w:pPr>
        <w:autoSpaceDE w:val="0"/>
        <w:autoSpaceDN w:val="0"/>
        <w:adjustRightInd w:val="0"/>
        <w:spacing w:line="360" w:lineRule="auto"/>
        <w:ind w:firstLine="422" w:firstLineChars="200"/>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br w:type="textWrapping"/>
      </w:r>
    </w:p>
    <w:p>
      <w:pPr>
        <w:pStyle w:val="3"/>
        <w:numPr>
          <w:ilvl w:val="0"/>
          <w:numId w:val="4"/>
        </w:numPr>
        <w:jc w:val="center"/>
        <w:rPr>
          <w:rFonts w:hint="eastAsia" w:asciiTheme="minorEastAsia" w:hAnsiTheme="minorEastAsia" w:eastAsiaTheme="minorEastAsia" w:cstheme="minorEastAsia"/>
          <w:szCs w:val="21"/>
        </w:rPr>
      </w:pPr>
      <w:bookmarkStart w:id="108" w:name="_Toc22332"/>
      <w:r>
        <w:rPr>
          <w:rFonts w:hint="eastAsia" w:asciiTheme="minorEastAsia" w:hAnsiTheme="minorEastAsia" w:eastAsiaTheme="minorEastAsia" w:cstheme="minorEastAsia"/>
          <w:sz w:val="36"/>
          <w:szCs w:val="36"/>
          <w:lang w:val="en-US" w:eastAsia="zh-CN"/>
        </w:rPr>
        <w:t>竞争性磋商采购</w:t>
      </w:r>
      <w:r>
        <w:rPr>
          <w:rFonts w:hint="eastAsia" w:asciiTheme="minorEastAsia" w:hAnsiTheme="minorEastAsia" w:eastAsiaTheme="minorEastAsia" w:cstheme="minorEastAsia"/>
          <w:sz w:val="36"/>
          <w:szCs w:val="36"/>
        </w:rPr>
        <w:t>评定办法</w:t>
      </w:r>
      <w:bookmarkEnd w:id="108"/>
    </w:p>
    <w:p>
      <w:pPr>
        <w:spacing w:line="360" w:lineRule="auto"/>
        <w:outlineLvl w:val="1"/>
        <w:rPr>
          <w:rFonts w:hint="eastAsia" w:asciiTheme="minorEastAsia" w:hAnsiTheme="minorEastAsia" w:eastAsiaTheme="minorEastAsia" w:cstheme="minorEastAsia"/>
          <w:b/>
          <w:szCs w:val="21"/>
        </w:rPr>
      </w:pPr>
      <w:bookmarkStart w:id="109" w:name="_Toc6587"/>
      <w:r>
        <w:rPr>
          <w:rFonts w:hint="eastAsia" w:asciiTheme="minorEastAsia" w:hAnsiTheme="minorEastAsia" w:eastAsiaTheme="minorEastAsia" w:cstheme="minorEastAsia"/>
          <w:b/>
          <w:szCs w:val="21"/>
          <w:lang w:val="en-US" w:eastAsia="zh-CN"/>
        </w:rPr>
        <w:t>一、</w:t>
      </w:r>
      <w:r>
        <w:rPr>
          <w:rFonts w:hint="eastAsia" w:asciiTheme="minorEastAsia" w:hAnsiTheme="minorEastAsia" w:eastAsiaTheme="minorEastAsia" w:cstheme="minorEastAsia"/>
          <w:b/>
          <w:szCs w:val="21"/>
        </w:rPr>
        <w:t>评定办法前附表</w:t>
      </w:r>
      <w:bookmarkEnd w:id="109"/>
    </w:p>
    <w:tbl>
      <w:tblPr>
        <w:tblStyle w:val="27"/>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3101"/>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1531" w:type="dxa"/>
            <w:gridSpan w:val="2"/>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条款号</w:t>
            </w:r>
          </w:p>
        </w:tc>
        <w:tc>
          <w:tcPr>
            <w:tcW w:w="3101"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评审因素</w:t>
            </w:r>
          </w:p>
        </w:tc>
        <w:tc>
          <w:tcPr>
            <w:tcW w:w="473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1.1</w:t>
            </w:r>
          </w:p>
        </w:tc>
        <w:tc>
          <w:tcPr>
            <w:tcW w:w="851"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资格性审查标准</w:t>
            </w: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资格要求</w:t>
            </w:r>
          </w:p>
        </w:tc>
        <w:tc>
          <w:tcPr>
            <w:tcW w:w="4730" w:type="dxa"/>
            <w:vAlign w:val="center"/>
          </w:tcPr>
          <w:p>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符合本采购文件第一章第二款要求，并提供合格有效的证明材料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lang w:val="zh-CN"/>
              </w:rPr>
              <w:t>没有重大违法记录的书面声明</w:t>
            </w:r>
          </w:p>
        </w:tc>
        <w:tc>
          <w:tcPr>
            <w:tcW w:w="4730" w:type="dxa"/>
            <w:vAlign w:val="center"/>
          </w:tcPr>
          <w:p>
            <w:pPr>
              <w:widowControl/>
              <w:spacing w:line="28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lang w:val="zh-CN"/>
              </w:rPr>
              <w:t>是否提交参加政府采购活动前三年内在经营活动中没有重大违法记录的书面承诺或声明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供应商不得存在的其他情形</w:t>
            </w:r>
          </w:p>
        </w:tc>
        <w:tc>
          <w:tcPr>
            <w:tcW w:w="4730" w:type="dxa"/>
            <w:vAlign w:val="center"/>
          </w:tcPr>
          <w:p>
            <w:pPr>
              <w:widowControl/>
              <w:spacing w:line="280" w:lineRule="exact"/>
              <w:jc w:val="left"/>
              <w:rPr>
                <w:rFonts w:hint="eastAsia" w:ascii="Times New Roman" w:hAnsi="Times New Roman" w:cs="Times New Roman"/>
                <w:color w:val="auto"/>
                <w:lang w:val="zh-CN"/>
              </w:rPr>
            </w:pPr>
            <w:r>
              <w:rPr>
                <w:rFonts w:hint="eastAsia"/>
                <w:color w:val="auto"/>
                <w:lang w:val="zh-CN"/>
              </w:rPr>
              <w:t>1、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widowControl/>
              <w:spacing w:line="280" w:lineRule="exact"/>
              <w:jc w:val="left"/>
              <w:rPr>
                <w:rFonts w:hint="eastAsia" w:ascii="Times New Roman" w:hAnsi="Times New Roman" w:cs="Times New Roman"/>
                <w:color w:val="auto"/>
                <w:lang w:val="zh-CN"/>
              </w:rPr>
            </w:pPr>
            <w:r>
              <w:rPr>
                <w:rFonts w:hint="eastAsia" w:ascii="Times New Roman" w:hAnsi="Times New Roman" w:cs="Times New Roman"/>
                <w:color w:val="auto"/>
                <w:lang w:val="zh-CN"/>
              </w:rPr>
              <w:t>2、参与本项目采购活动前，已为本项目提供过整体设计、规范编制或者项目管理、监理、检测等服务的供应商。</w:t>
            </w:r>
          </w:p>
          <w:p>
            <w:pPr>
              <w:widowControl/>
              <w:spacing w:line="280" w:lineRule="exact"/>
              <w:jc w:val="left"/>
              <w:rPr>
                <w:rFonts w:hint="eastAsia"/>
                <w:color w:val="auto"/>
                <w:lang w:val="zh-CN"/>
              </w:rPr>
            </w:pPr>
            <w:r>
              <w:rPr>
                <w:rFonts w:hint="eastAsia" w:ascii="Times New Roman" w:hAnsi="Times New Roman" w:cs="Times New Roman"/>
                <w:b w:val="0"/>
                <w:bCs w:val="0"/>
                <w:color w:val="auto"/>
                <w:lang w:val="zh-CN"/>
              </w:rPr>
              <w:t>由供应商在《磋商书》中声明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w:t>
            </w:r>
          </w:p>
        </w:tc>
        <w:tc>
          <w:tcPr>
            <w:tcW w:w="851" w:type="dxa"/>
            <w:vMerge w:val="restar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w:t>
            </w:r>
          </w:p>
          <w:p>
            <w:pPr>
              <w:jc w:val="center"/>
              <w:rPr>
                <w:rFonts w:hint="eastAsia" w:asciiTheme="minorEastAsia" w:hAnsiTheme="minorEastAsia" w:eastAsiaTheme="minorEastAsia" w:cstheme="minorEastAsia"/>
                <w:szCs w:val="21"/>
              </w:rPr>
            </w:pPr>
          </w:p>
        </w:tc>
        <w:tc>
          <w:tcPr>
            <w:tcW w:w="3101" w:type="dxa"/>
            <w:vAlign w:val="center"/>
          </w:tcPr>
          <w:p>
            <w:pPr>
              <w:widowControl/>
              <w:jc w:val="center"/>
              <w:rPr>
                <w:rFonts w:hint="eastAsia" w:asciiTheme="minorEastAsia" w:hAnsiTheme="minorEastAsia" w:eastAsiaTheme="minorEastAsia" w:cstheme="minorEastAsia"/>
                <w:bCs/>
                <w:color w:val="auto"/>
                <w:kern w:val="0"/>
                <w:szCs w:val="21"/>
                <w:lang w:eastAsia="zh-CN"/>
              </w:rPr>
            </w:pPr>
            <w:r>
              <w:rPr>
                <w:rFonts w:hint="eastAsia" w:asciiTheme="minorEastAsia" w:hAnsiTheme="minorEastAsia" w:eastAsiaTheme="minorEastAsia" w:cstheme="minorEastAsia"/>
                <w:color w:val="auto"/>
                <w:kern w:val="0"/>
                <w:szCs w:val="21"/>
              </w:rPr>
              <w:t>磋商保证金</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如有</w:t>
            </w:r>
            <w:r>
              <w:rPr>
                <w:rFonts w:hint="eastAsia" w:asciiTheme="minorEastAsia" w:hAnsiTheme="minorEastAsia" w:eastAsiaTheme="minorEastAsia" w:cstheme="minorEastAsia"/>
                <w:color w:val="auto"/>
                <w:kern w:val="0"/>
                <w:szCs w:val="21"/>
                <w:lang w:eastAsia="zh-CN"/>
              </w:rPr>
              <w:t>）</w:t>
            </w:r>
          </w:p>
        </w:tc>
        <w:tc>
          <w:tcPr>
            <w:tcW w:w="4730" w:type="dxa"/>
            <w:vAlign w:val="center"/>
          </w:tcPr>
          <w:p>
            <w:pPr>
              <w:widowControl/>
              <w:rPr>
                <w:rFonts w:hint="eastAsia" w:asciiTheme="minorEastAsia" w:hAnsiTheme="minorEastAsia" w:eastAsiaTheme="minorEastAsia" w:cstheme="minorEastAsia"/>
                <w:bCs/>
                <w:color w:val="auto"/>
                <w:kern w:val="0"/>
                <w:szCs w:val="21"/>
                <w:lang w:val="en-US" w:eastAsia="zh-CN"/>
              </w:rPr>
            </w:pPr>
            <w:r>
              <w:rPr>
                <w:rFonts w:hint="eastAsia" w:asciiTheme="minorEastAsia" w:hAnsiTheme="minorEastAsia" w:eastAsiaTheme="minorEastAsia" w:cstheme="minorEastAsia"/>
                <w:bCs/>
                <w:color w:val="auto"/>
                <w:kern w:val="0"/>
                <w:szCs w:val="21"/>
                <w:lang w:val="en-US" w:eastAsia="zh-CN"/>
              </w:rPr>
              <w:t>供应商是否按照磋商文件提交投标保证金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6"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磋商报价</w:t>
            </w:r>
          </w:p>
        </w:tc>
        <w:tc>
          <w:tcPr>
            <w:tcW w:w="4730" w:type="dxa"/>
            <w:vAlign w:val="center"/>
          </w:tcPr>
          <w:p>
            <w:pPr>
              <w:widowControl/>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磋商报价</w:t>
            </w:r>
            <w:r>
              <w:rPr>
                <w:rFonts w:hint="eastAsia" w:asciiTheme="minorEastAsia" w:hAnsiTheme="minorEastAsia" w:eastAsiaTheme="minorEastAsia" w:cstheme="minorEastAsia"/>
                <w:color w:val="auto"/>
                <w:kern w:val="0"/>
                <w:szCs w:val="21"/>
                <w:lang w:val="en-US" w:eastAsia="zh-CN"/>
              </w:rPr>
              <w:t>是否符合磋商文件要求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经营范围</w:t>
            </w:r>
          </w:p>
        </w:tc>
        <w:tc>
          <w:tcPr>
            <w:tcW w:w="4730" w:type="dxa"/>
            <w:vAlign w:val="center"/>
          </w:tcPr>
          <w:p>
            <w:pPr>
              <w:widowControl/>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是否</w:t>
            </w:r>
            <w:r>
              <w:rPr>
                <w:rFonts w:hint="eastAsia" w:asciiTheme="minorEastAsia" w:hAnsiTheme="minorEastAsia" w:eastAsiaTheme="minorEastAsia" w:cstheme="minorEastAsia"/>
                <w:color w:val="auto"/>
                <w:kern w:val="0"/>
                <w:szCs w:val="21"/>
                <w:lang w:val="en-US" w:eastAsia="zh-CN"/>
              </w:rPr>
              <w:t>未</w:t>
            </w:r>
            <w:r>
              <w:rPr>
                <w:rFonts w:hint="eastAsia" w:asciiTheme="minorEastAsia" w:hAnsiTheme="minorEastAsia" w:eastAsiaTheme="minorEastAsia" w:cstheme="minorEastAsia"/>
                <w:color w:val="auto"/>
                <w:kern w:val="0"/>
                <w:szCs w:val="21"/>
              </w:rPr>
              <w:t>超出经营范围</w:t>
            </w:r>
            <w:r>
              <w:rPr>
                <w:rFonts w:hint="eastAsia" w:asciiTheme="minorEastAsia" w:hAnsiTheme="minorEastAsia" w:eastAsiaTheme="minorEastAsia" w:cstheme="minorEastAsia"/>
                <w:color w:val="auto"/>
                <w:kern w:val="0"/>
                <w:szCs w:val="21"/>
                <w:lang w:val="en-US" w:eastAsia="zh-CN"/>
              </w:rPr>
              <w:t>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kern w:val="0"/>
                <w:szCs w:val="21"/>
              </w:rPr>
              <w:t>磋商书签字盖章</w:t>
            </w:r>
          </w:p>
        </w:tc>
        <w:tc>
          <w:tcPr>
            <w:tcW w:w="4730" w:type="dxa"/>
            <w:vAlign w:val="center"/>
          </w:tcPr>
          <w:p>
            <w:pPr>
              <w:widowControl/>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磋商有效期</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磋商</w:t>
            </w:r>
            <w:r>
              <w:rPr>
                <w:rFonts w:hint="eastAsia" w:asciiTheme="minorEastAsia" w:hAnsiTheme="minorEastAsia" w:eastAsiaTheme="minorEastAsia" w:cstheme="minorEastAsia"/>
                <w:color w:val="auto"/>
                <w:kern w:val="0"/>
                <w:szCs w:val="21"/>
              </w:rPr>
              <w:t>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信誉情况</w:t>
            </w:r>
          </w:p>
        </w:tc>
        <w:tc>
          <w:tcPr>
            <w:tcW w:w="4730" w:type="dxa"/>
            <w:vAlign w:val="center"/>
          </w:tcPr>
          <w:p>
            <w:pPr>
              <w:widowControl/>
              <w:rPr>
                <w:rFonts w:hint="eastAsia" w:asciiTheme="minorEastAsia" w:hAnsiTheme="minorEastAsia" w:eastAsiaTheme="minorEastAsia" w:cstheme="minorEastAsia"/>
                <w:color w:val="auto"/>
                <w:kern w:val="0"/>
                <w:szCs w:val="21"/>
                <w:lang w:val="en-US" w:eastAsia="zh-CN"/>
              </w:rPr>
            </w:pPr>
            <w:r>
              <w:rPr>
                <w:rFonts w:hint="eastAsia" w:ascii="宋体" w:hAnsi="宋体" w:cs="宋体"/>
                <w:color w:val="auto"/>
                <w:kern w:val="0"/>
                <w:szCs w:val="21"/>
              </w:rPr>
              <w:t>参加本</w:t>
            </w:r>
            <w:r>
              <w:rPr>
                <w:rFonts w:hint="eastAsia" w:ascii="宋体" w:hAnsi="宋体" w:cs="宋体"/>
                <w:color w:val="auto"/>
                <w:kern w:val="0"/>
                <w:szCs w:val="21"/>
                <w:shd w:val="clear" w:color="auto" w:fill="FFFFFF"/>
              </w:rPr>
              <w:t>次政府采购活动前三年内，是否有不良经济纠纷记录和违法行为</w:t>
            </w:r>
            <w:r>
              <w:rPr>
                <w:rFonts w:hint="eastAsia" w:ascii="宋体" w:hAnsi="宋体" w:cs="宋体"/>
                <w:color w:val="auto"/>
                <w:kern w:val="0"/>
                <w:szCs w:val="21"/>
                <w:shd w:val="clear" w:color="auto" w:fill="FFFFFF"/>
                <w:lang w:eastAsia="zh-CN"/>
              </w:rPr>
              <w:t>（</w:t>
            </w:r>
            <w:r>
              <w:rPr>
                <w:rFonts w:hint="eastAsia" w:ascii="宋体" w:hAnsi="宋体" w:cs="宋体"/>
                <w:color w:val="auto"/>
                <w:kern w:val="0"/>
                <w:szCs w:val="21"/>
                <w:shd w:val="clear" w:color="auto" w:fill="FFFFFF"/>
                <w:lang w:val="en-US" w:eastAsia="zh-CN"/>
              </w:rPr>
              <w:t>供应商提供声明或承诺书，格式自拟</w:t>
            </w:r>
            <w:r>
              <w:rPr>
                <w:rFonts w:hint="eastAsia" w:ascii="宋体" w:hAnsi="宋体" w:cs="宋体"/>
                <w:color w:val="auto"/>
                <w:kern w:val="0"/>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Merge w:val="restart"/>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采购需求响应</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商务需求</w:t>
            </w:r>
            <w:r>
              <w:rPr>
                <w:rFonts w:hint="eastAsia" w:asciiTheme="minorEastAsia" w:hAnsiTheme="minorEastAsia" w:eastAsiaTheme="minorEastAsia" w:cstheme="minorEastAsia"/>
                <w:color w:val="auto"/>
                <w:kern w:val="0"/>
                <w:szCs w:val="21"/>
              </w:rPr>
              <w:t>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Merge w:val="continue"/>
            <w:vAlign w:val="center"/>
          </w:tcPr>
          <w:p>
            <w:pPr>
              <w:widowControl/>
              <w:jc w:val="center"/>
              <w:rPr>
                <w:rFonts w:hint="eastAsia" w:asciiTheme="minorEastAsia" w:hAnsiTheme="minorEastAsia" w:eastAsiaTheme="minorEastAsia" w:cstheme="minorEastAsia"/>
                <w:color w:val="auto"/>
                <w:kern w:val="0"/>
                <w:szCs w:val="21"/>
              </w:rPr>
            </w:pP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autoSpaceDE w:val="0"/>
              <w:autoSpaceDN w:val="0"/>
              <w:adjustRightInd w:val="0"/>
              <w:snapToGrid w:val="0"/>
              <w:jc w:val="center"/>
              <w:rPr>
                <w:rFonts w:hint="eastAsia" w:ascii="宋体" w:hAnsi="宋体" w:eastAsia="宋体"/>
                <w:color w:val="auto"/>
                <w:szCs w:val="21"/>
                <w:lang w:eastAsia="zh-CN"/>
              </w:rPr>
            </w:pPr>
            <w:r>
              <w:rPr>
                <w:rFonts w:hint="eastAsia" w:ascii="宋体" w:hAnsi="宋体"/>
                <w:color w:val="auto"/>
                <w:szCs w:val="21"/>
              </w:rPr>
              <w:t>其他要求</w:t>
            </w:r>
            <w:r>
              <w:rPr>
                <w:rFonts w:hint="eastAsia" w:ascii="宋体" w:hAnsi="宋体"/>
                <w:color w:val="auto"/>
                <w:szCs w:val="21"/>
                <w:lang w:eastAsia="zh-CN"/>
              </w:rPr>
              <w:t>（</w:t>
            </w:r>
            <w:r>
              <w:rPr>
                <w:rFonts w:hint="eastAsia" w:ascii="宋体" w:hAnsi="宋体"/>
                <w:color w:val="auto"/>
                <w:szCs w:val="21"/>
                <w:lang w:val="en-US" w:eastAsia="zh-CN"/>
              </w:rPr>
              <w:t>一</w:t>
            </w:r>
            <w:r>
              <w:rPr>
                <w:rFonts w:hint="eastAsia" w:ascii="宋体" w:hAnsi="宋体"/>
                <w:color w:val="auto"/>
                <w:szCs w:val="21"/>
                <w:lang w:eastAsia="zh-CN"/>
              </w:rPr>
              <w:t>）</w:t>
            </w:r>
          </w:p>
        </w:tc>
        <w:tc>
          <w:tcPr>
            <w:tcW w:w="4730" w:type="dxa"/>
            <w:vAlign w:val="center"/>
          </w:tcPr>
          <w:p>
            <w:pPr>
              <w:autoSpaceDE w:val="0"/>
              <w:autoSpaceDN w:val="0"/>
              <w:adjustRightInd w:val="0"/>
              <w:snapToGrid w:val="0"/>
              <w:rPr>
                <w:rFonts w:hint="eastAsia" w:ascii="宋体" w:hAnsi="宋体"/>
                <w:color w:val="auto"/>
                <w:szCs w:val="21"/>
              </w:rPr>
            </w:pPr>
            <w:r>
              <w:rPr>
                <w:rFonts w:hint="eastAsia" w:ascii="宋体" w:hAnsi="宋体"/>
                <w:color w:val="auto"/>
                <w:szCs w:val="21"/>
              </w:rPr>
              <w:t>供应商未有下列任一情形：</w:t>
            </w:r>
          </w:p>
          <w:p>
            <w:pPr>
              <w:autoSpaceDE w:val="0"/>
              <w:autoSpaceDN w:val="0"/>
              <w:adjustRightInd w:val="0"/>
              <w:snapToGrid w:val="0"/>
              <w:rPr>
                <w:rFonts w:hint="eastAsia" w:ascii="宋体" w:hAnsi="宋体"/>
                <w:color w:val="auto"/>
                <w:szCs w:val="21"/>
              </w:rPr>
            </w:pPr>
            <w:r>
              <w:rPr>
                <w:rFonts w:hint="eastAsia" w:ascii="宋体" w:hAnsi="宋体"/>
                <w:color w:val="auto"/>
                <w:szCs w:val="21"/>
              </w:rPr>
              <w:t>（1）不同供应商的响应文件由同一单位或者个人编制；</w:t>
            </w:r>
          </w:p>
          <w:p>
            <w:pPr>
              <w:autoSpaceDE w:val="0"/>
              <w:autoSpaceDN w:val="0"/>
              <w:adjustRightInd w:val="0"/>
              <w:snapToGrid w:val="0"/>
              <w:rPr>
                <w:rFonts w:hint="eastAsia" w:ascii="宋体" w:hAnsi="宋体"/>
                <w:color w:val="auto"/>
                <w:szCs w:val="21"/>
              </w:rPr>
            </w:pPr>
            <w:r>
              <w:rPr>
                <w:rFonts w:hint="eastAsia" w:ascii="宋体" w:hAnsi="宋体"/>
                <w:color w:val="auto"/>
                <w:szCs w:val="21"/>
              </w:rPr>
              <w:t>（2）不同供应商委托同一单位或者个人办理投标事宜；</w:t>
            </w:r>
          </w:p>
          <w:p>
            <w:pPr>
              <w:autoSpaceDE w:val="0"/>
              <w:autoSpaceDN w:val="0"/>
              <w:adjustRightInd w:val="0"/>
              <w:snapToGrid w:val="0"/>
              <w:rPr>
                <w:rFonts w:hint="eastAsia" w:ascii="宋体" w:hAnsi="宋体"/>
                <w:color w:val="auto"/>
                <w:szCs w:val="21"/>
              </w:rPr>
            </w:pPr>
            <w:r>
              <w:rPr>
                <w:rFonts w:hint="eastAsia" w:ascii="宋体" w:hAnsi="宋体"/>
                <w:color w:val="auto"/>
                <w:szCs w:val="21"/>
              </w:rPr>
              <w:t>（3）不同供应商的响应文件载明的项目管理成员或者联系人员为同一人；</w:t>
            </w:r>
          </w:p>
          <w:p>
            <w:pPr>
              <w:autoSpaceDE w:val="0"/>
              <w:autoSpaceDN w:val="0"/>
              <w:adjustRightInd w:val="0"/>
              <w:snapToGrid w:val="0"/>
              <w:rPr>
                <w:rFonts w:hint="eastAsia" w:ascii="宋体" w:hAnsi="宋体"/>
                <w:color w:val="auto"/>
                <w:szCs w:val="21"/>
              </w:rPr>
            </w:pPr>
            <w:r>
              <w:rPr>
                <w:rFonts w:hint="eastAsia" w:ascii="宋体" w:hAnsi="宋体"/>
                <w:color w:val="auto"/>
                <w:szCs w:val="21"/>
              </w:rPr>
              <w:t>（4）不同供应商的响应文件异常一致或者投标报价呈规律性差异；</w:t>
            </w:r>
          </w:p>
          <w:p>
            <w:pPr>
              <w:autoSpaceDE w:val="0"/>
              <w:autoSpaceDN w:val="0"/>
              <w:adjustRightInd w:val="0"/>
              <w:snapToGrid w:val="0"/>
              <w:rPr>
                <w:rFonts w:hint="eastAsia" w:ascii="宋体" w:hAnsi="宋体"/>
                <w:color w:val="auto"/>
                <w:szCs w:val="21"/>
              </w:rPr>
            </w:pPr>
            <w:r>
              <w:rPr>
                <w:rFonts w:hint="eastAsia" w:ascii="宋体" w:hAnsi="宋体"/>
                <w:color w:val="auto"/>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其他要求</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二</w:t>
            </w:r>
            <w:r>
              <w:rPr>
                <w:rFonts w:hint="eastAsia" w:asciiTheme="minorEastAsia" w:hAnsiTheme="minorEastAsia" w:eastAsiaTheme="minorEastAsia" w:cstheme="minorEastAsia"/>
                <w:color w:val="auto"/>
                <w:kern w:val="0"/>
                <w:szCs w:val="21"/>
                <w:lang w:eastAsia="zh-CN"/>
              </w:rPr>
              <w:t>）</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宋体" w:hAnsi="宋体" w:cs="宋体"/>
                <w:color w:val="auto"/>
                <w:kern w:val="0"/>
                <w:sz w:val="21"/>
                <w:szCs w:val="21"/>
                <w:lang w:val="en-US" w:eastAsia="zh-CN"/>
              </w:rPr>
              <w:t>磋商</w:t>
            </w:r>
            <w:r>
              <w:rPr>
                <w:rFonts w:hint="eastAsia" w:ascii="宋体" w:hAnsi="宋体" w:cs="宋体"/>
                <w:color w:val="auto"/>
                <w:kern w:val="0"/>
                <w:sz w:val="21"/>
                <w:szCs w:val="21"/>
              </w:rPr>
              <w:t>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0" w:type="dxa"/>
            <w:vMerge w:val="restart"/>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lang w:val="en-US" w:eastAsia="zh-CN"/>
              </w:rPr>
              <w:t>4</w:t>
            </w:r>
          </w:p>
        </w:tc>
        <w:tc>
          <w:tcPr>
            <w:tcW w:w="851" w:type="dxa"/>
            <w:vMerge w:val="restart"/>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确定磋商供应商进行最后报价</w:t>
            </w:r>
          </w:p>
        </w:tc>
        <w:tc>
          <w:tcPr>
            <w:tcW w:w="3101"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磋商文件能完整、明确列明采购需求，无需要供应商提供最终设计方案或者解决方案的</w:t>
            </w:r>
          </w:p>
        </w:tc>
        <w:tc>
          <w:tcPr>
            <w:tcW w:w="4730" w:type="dxa"/>
            <w:vAlign w:val="center"/>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在磋商结束后，磋商小组向所有通过</w:t>
            </w:r>
            <w:r>
              <w:rPr>
                <w:rFonts w:hint="eastAsia" w:asciiTheme="minorEastAsia" w:hAnsiTheme="minorEastAsia" w:eastAsiaTheme="minorEastAsia" w:cstheme="minorEastAsia"/>
                <w:color w:val="auto"/>
                <w:kern w:val="0"/>
                <w:szCs w:val="21"/>
                <w:lang w:val="en-US" w:eastAsia="zh-CN"/>
              </w:rPr>
              <w:t>资格性和符合性审查</w:t>
            </w:r>
            <w:r>
              <w:rPr>
                <w:rFonts w:hint="eastAsia" w:asciiTheme="minorEastAsia" w:hAnsiTheme="minorEastAsia" w:eastAsiaTheme="minorEastAsia" w:cstheme="minorEastAsia"/>
                <w:color w:val="auto"/>
                <w:kern w:val="0"/>
                <w:szCs w:val="21"/>
              </w:rPr>
              <w:t>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hint="eastAsia" w:asciiTheme="minorEastAsia" w:hAnsiTheme="minorEastAsia" w:eastAsiaTheme="minorEastAsia" w:cstheme="minorEastAsia"/>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kern w:val="0"/>
                <w:szCs w:val="21"/>
              </w:rPr>
            </w:pPr>
          </w:p>
        </w:tc>
        <w:tc>
          <w:tcPr>
            <w:tcW w:w="3101"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磋商文件不能完整、明确列明采购需求，需要由供应商提供最终设计方案或者解决方案的</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2.</w:t>
            </w:r>
          </w:p>
        </w:tc>
        <w:tc>
          <w:tcPr>
            <w:tcW w:w="851"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评定</w:t>
            </w:r>
          </w:p>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办法</w:t>
            </w:r>
          </w:p>
        </w:tc>
        <w:tc>
          <w:tcPr>
            <w:tcW w:w="3101" w:type="dxa"/>
            <w:vAlign w:val="center"/>
          </w:tcPr>
          <w:p>
            <w:pP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kern w:val="0"/>
                <w:szCs w:val="21"/>
              </w:rPr>
              <w:t>综合评分法</w:t>
            </w:r>
          </w:p>
        </w:tc>
        <w:tc>
          <w:tcPr>
            <w:tcW w:w="4730" w:type="dxa"/>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各供应商的最终得分为各评委所评定分数的算术平均值。磋商小组将根据供应商最终得分由高到低的照顺序推荐3名成交候选人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所属行业及</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划型标准</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类型：工业 制造业……（查询划型标准）</w:t>
            </w:r>
          </w:p>
          <w:p>
            <w:pPr>
              <w:widowControl/>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小型：营业收入</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从业人员</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资产总额</w:t>
            </w:r>
            <w:r>
              <w:rPr>
                <w:rFonts w:hint="eastAsia" w:asciiTheme="minorEastAsia" w:hAnsiTheme="minorEastAsia" w:eastAsiaTheme="minorEastAsia" w:cstheme="minorEastAsia"/>
                <w:color w:val="auto"/>
                <w:kern w:val="0"/>
                <w:szCs w:val="21"/>
                <w:u w:val="single"/>
              </w:rPr>
              <w:t xml:space="preserve">      </w:t>
            </w:r>
          </w:p>
          <w:p>
            <w:pPr>
              <w:widowControl/>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微型：营业收入</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从业人员</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资产总额</w:t>
            </w:r>
            <w:r>
              <w:rPr>
                <w:rFonts w:hint="eastAsia" w:asciiTheme="minorEastAsia" w:hAnsiTheme="minorEastAsia" w:eastAsiaTheme="minorEastAsia" w:cstheme="minorEastAsia"/>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中小企业</w:t>
            </w:r>
          </w:p>
        </w:tc>
        <w:tc>
          <w:tcPr>
            <w:tcW w:w="7831" w:type="dxa"/>
            <w:gridSpan w:val="2"/>
            <w:vAlign w:val="center"/>
          </w:tcPr>
          <w:p>
            <w:pPr>
              <w:widowControl/>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如符合工信部联企业</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300号文中对中小企业划型标准的， 需提供本单位的 《中小企业声明函》（格式见第六章）及企业相关数据资料。代理商</w:t>
            </w:r>
            <w:r>
              <w:rPr>
                <w:rFonts w:hint="eastAsia" w:asciiTheme="minorEastAsia" w:hAnsiTheme="minorEastAsia" w:eastAsiaTheme="minorEastAsia" w:cstheme="minorEastAsia"/>
                <w:color w:val="auto"/>
                <w:kern w:val="0"/>
                <w:szCs w:val="21"/>
                <w:lang w:val="en-US" w:eastAsia="zh-CN"/>
              </w:rPr>
              <w:t>竞</w:t>
            </w:r>
            <w:r>
              <w:rPr>
                <w:rFonts w:hint="eastAsia" w:asciiTheme="minorEastAsia" w:hAnsiTheme="minorEastAsia" w:eastAsiaTheme="minorEastAsia" w:cstheme="minorEastAsia"/>
                <w:color w:val="auto"/>
                <w:kern w:val="0"/>
                <w:szCs w:val="21"/>
              </w:rPr>
              <w:t>标需同时提供制造商及代理商双方的数据资料（制造商直接</w:t>
            </w:r>
            <w:r>
              <w:rPr>
                <w:rFonts w:hint="eastAsia" w:asciiTheme="minorEastAsia" w:hAnsiTheme="minorEastAsia" w:eastAsiaTheme="minorEastAsia" w:cstheme="minorEastAsia"/>
                <w:color w:val="auto"/>
                <w:kern w:val="0"/>
                <w:szCs w:val="21"/>
                <w:lang w:val="en-US" w:eastAsia="zh-CN"/>
              </w:rPr>
              <w:t>竞</w:t>
            </w:r>
            <w:r>
              <w:rPr>
                <w:rFonts w:hint="eastAsia" w:asciiTheme="minorEastAsia" w:hAnsiTheme="minorEastAsia" w:eastAsiaTheme="minorEastAsia" w:cstheme="minorEastAsia"/>
                <w:color w:val="auto"/>
                <w:kern w:val="0"/>
                <w:szCs w:val="21"/>
              </w:rPr>
              <w:t>标的仅需提供制造商数据资料），如果数据资料与声明函不一致的，由</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判定。经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符合工信部联企业</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300 号文中对中小企业划型标准的，将根据财库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181</w:t>
            </w:r>
            <w:r>
              <w:rPr>
                <w:rFonts w:hint="eastAsia" w:asciiTheme="minorEastAsia" w:hAnsiTheme="minorEastAsia" w:eastAsiaTheme="minorEastAsia" w:cstheme="minorEastAsia"/>
                <w:color w:val="auto"/>
                <w:kern w:val="0"/>
                <w:szCs w:val="21"/>
                <w:lang w:val="en-US" w:eastAsia="zh-CN"/>
              </w:rPr>
              <w:t>号</w:t>
            </w:r>
            <w:r>
              <w:rPr>
                <w:rFonts w:hint="eastAsia" w:asciiTheme="minorEastAsia" w:hAnsiTheme="minorEastAsia" w:eastAsiaTheme="minorEastAsia" w:cstheme="minorEastAsia"/>
                <w:color w:val="auto"/>
                <w:kern w:val="0"/>
                <w:szCs w:val="21"/>
              </w:rPr>
              <w:t>文的相关规定在评定时对小型和微型企业产品的价格给予</w:t>
            </w:r>
            <w:r>
              <w:rPr>
                <w:rFonts w:hint="eastAsia" w:asciiTheme="minorEastAsia" w:hAnsiTheme="minorEastAsia" w:eastAsiaTheme="minorEastAsia" w:cstheme="minorEastAsia"/>
                <w:color w:val="auto"/>
                <w:kern w:val="0"/>
                <w:szCs w:val="21"/>
                <w:lang w:val="en-US" w:eastAsia="zh-CN"/>
              </w:rPr>
              <w:t>6</w:t>
            </w:r>
            <w:r>
              <w:rPr>
                <w:rFonts w:hint="eastAsia" w:asciiTheme="minorEastAsia" w:hAnsiTheme="minorEastAsia" w:eastAsiaTheme="minorEastAsia" w:cstheme="minorEastAsia"/>
                <w:color w:val="auto"/>
                <w:kern w:val="0"/>
                <w:szCs w:val="21"/>
              </w:rPr>
              <w:t>%的扣除后的价格参与评审。大中型企业与小型、微型企业组成联合体共同参加非专门面向中小企业的政府采购活动，且联合体协议中约定小型、微型企业的协议合同金额占到联合体协议合同总金额 30%以上的，给予联合体2%的价格扣除。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监狱企业</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按照财政部《关于政府采购支持监狱企业发展有关问题的通知》（财库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2014</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属于监狱企业的，在评定时视同中小企业</w:t>
            </w:r>
            <w:r>
              <w:rPr>
                <w:rFonts w:hint="eastAsia" w:asciiTheme="minorEastAsia" w:hAnsiTheme="minorEastAsia" w:eastAsiaTheme="minorEastAsia" w:cstheme="minorEastAsia"/>
                <w:color w:val="auto"/>
                <w:kern w:val="0"/>
                <w:szCs w:val="21"/>
                <w:lang w:eastAsia="zh-CN"/>
              </w:rPr>
              <w:t>，价格给予6%的扣除后的价格参与评审。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促进残疾人</w:t>
            </w:r>
          </w:p>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就业</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按照《三部门联合发布关于促进残疾人就业政府采购政策的通知》（财库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2017</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141 号）的规定，在政府采购活动中，残疾人福利性单位视同小型、微型企业，享受预留份额、评审中价格扣除等促进中小企业发展的政府采购政策。符合条件的残疾人福利性单位在参加政府采购活动时，应当提供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2017</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141号文规定的《残疾人福利性单位声明函》（格式见第六章），并对声明的真实性负责，未提供声明函的不予折扣。经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hint="eastAsia" w:ascii="宋体" w:hAnsi="宋体" w:cs="宋体"/>
                <w:snapToGrid w:val="0"/>
                <w:color w:val="auto"/>
                <w:kern w:val="0"/>
                <w:szCs w:val="21"/>
                <w:lang w:val="zh-CN"/>
              </w:rPr>
            </w:pPr>
          </w:p>
          <w:p>
            <w:pPr>
              <w:autoSpaceDE w:val="0"/>
              <w:autoSpaceDN w:val="0"/>
              <w:adjustRightInd w:val="0"/>
              <w:jc w:val="center"/>
              <w:rPr>
                <w:rFonts w:hint="eastAsia" w:eastAsia="宋体" w:asciiTheme="minorEastAsia" w:hAnsiTheme="minorEastAsia" w:cstheme="minorEastAsia"/>
                <w:color w:val="auto"/>
                <w:kern w:val="0"/>
                <w:szCs w:val="21"/>
                <w:lang w:eastAsia="zh-CN"/>
              </w:rPr>
            </w:pPr>
            <w:r>
              <w:rPr>
                <w:rFonts w:hint="eastAsia" w:ascii="宋体" w:hAnsi="宋体" w:cs="宋体"/>
                <w:snapToGrid w:val="0"/>
                <w:color w:val="auto"/>
                <w:kern w:val="0"/>
                <w:szCs w:val="21"/>
                <w:lang w:val="zh-CN"/>
              </w:rPr>
              <w:t>节能</w:t>
            </w:r>
            <w:r>
              <w:rPr>
                <w:rFonts w:hint="eastAsia" w:ascii="宋体" w:hAnsi="宋体" w:cs="宋体"/>
                <w:snapToGrid w:val="0"/>
                <w:color w:val="auto"/>
                <w:kern w:val="0"/>
                <w:szCs w:val="21"/>
                <w:lang w:val="en-US" w:eastAsia="zh-CN"/>
              </w:rPr>
              <w:t>环保</w:t>
            </w:r>
          </w:p>
        </w:tc>
        <w:tc>
          <w:tcPr>
            <w:tcW w:w="7831" w:type="dxa"/>
            <w:gridSpan w:val="2"/>
            <w:vAlign w:val="center"/>
          </w:tcPr>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如供应商投标产品符合以上文件的政策支持，须提供产品认证证书（合格有效时间内的）或节能产品查（http://www、ccgp、gov、cn/search/jnqdchaxun、htm）/环境标志产品查询（http://www、ccgp、gov、cn/search/hbqdchaxun、htm）查询结果截图。经评委会审核确认供应商投标产品符合以上政府采购政策的，给予该项投标产品所占价格的 1%的价格扣除，用扣除后的价格参与评审。上述政府采购政策优惠须经评标委评审后执行，未提供单独分项报价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bl>
    <w:p>
      <w:pPr>
        <w:spacing w:line="360" w:lineRule="auto"/>
        <w:outlineLvl w:val="1"/>
        <w:rPr>
          <w:rFonts w:hint="eastAsia" w:asciiTheme="minorEastAsia" w:hAnsiTheme="minorEastAsia" w:eastAsiaTheme="minorEastAsia" w:cstheme="minorEastAsia"/>
          <w:b/>
          <w:szCs w:val="21"/>
        </w:rPr>
      </w:pPr>
      <w:bookmarkStart w:id="110" w:name="_Toc18452"/>
      <w:r>
        <w:rPr>
          <w:rFonts w:hint="eastAsia" w:asciiTheme="minorEastAsia" w:hAnsiTheme="minorEastAsia" w:eastAsiaTheme="minorEastAsia" w:cstheme="minorEastAsia"/>
          <w:b/>
          <w:szCs w:val="21"/>
          <w:lang w:val="en-US" w:eastAsia="zh-CN"/>
        </w:rPr>
        <w:t>二、</w:t>
      </w:r>
      <w:r>
        <w:rPr>
          <w:rFonts w:hint="eastAsia" w:asciiTheme="minorEastAsia" w:hAnsiTheme="minorEastAsia" w:eastAsiaTheme="minorEastAsia" w:cstheme="minorEastAsia"/>
          <w:b/>
          <w:szCs w:val="21"/>
        </w:rPr>
        <w:t>计算办法</w:t>
      </w:r>
      <w:bookmarkEnd w:id="110"/>
    </w:p>
    <w:tbl>
      <w:tblPr>
        <w:tblStyle w:val="27"/>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4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分值构成(总分100分)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评标基准价计算方法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满足采购文件要求且报价最低的竞标报价为评标基准价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评分因素</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6"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竞标报价评分标准</w:t>
            </w:r>
          </w:p>
        </w:tc>
        <w:tc>
          <w:tcPr>
            <w:tcW w:w="6322" w:type="dxa"/>
            <w:vAlign w:val="center"/>
          </w:tcPr>
          <w:p>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各供应商的最终得分计算办法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供应商最后得分相同时对供应商进行排序的方法</w:t>
            </w:r>
          </w:p>
        </w:tc>
        <w:tc>
          <w:tcPr>
            <w:tcW w:w="6322" w:type="dxa"/>
            <w:vAlign w:val="center"/>
          </w:tcPr>
          <w:p>
            <w:pPr>
              <w:widowControl/>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得分相同的供应商，按竞标报价由低到高顺序排列。得分且报价相同的，按技术指标优劣顺序排列。</w:t>
            </w:r>
          </w:p>
        </w:tc>
      </w:tr>
    </w:tbl>
    <w:p>
      <w:pPr>
        <w:spacing w:line="360" w:lineRule="auto"/>
        <w:outlineLvl w:val="9"/>
        <w:rPr>
          <w:rFonts w:hint="eastAsia" w:asciiTheme="minorEastAsia" w:hAnsiTheme="minorEastAsia" w:eastAsiaTheme="minorEastAsia" w:cstheme="minorEastAsia"/>
          <w:b/>
          <w:szCs w:val="21"/>
        </w:rPr>
      </w:pPr>
    </w:p>
    <w:p>
      <w:pPr>
        <w:pStyle w:val="21"/>
        <w:rPr>
          <w:rFonts w:hint="eastAsia" w:asciiTheme="minorEastAsia" w:hAnsiTheme="minorEastAsia" w:eastAsiaTheme="minorEastAsia" w:cstheme="minorEastAsia"/>
        </w:rPr>
      </w:pPr>
    </w:p>
    <w:p>
      <w:pPr>
        <w:rPr>
          <w:rFonts w:hint="eastAsia" w:asciiTheme="minorEastAsia" w:hAnsiTheme="minorEastAsia" w:eastAsiaTheme="minorEastAsia" w:cstheme="minorEastAsia"/>
          <w:b/>
          <w:szCs w:val="21"/>
          <w:lang w:val="en-US" w:eastAsia="zh-CN"/>
        </w:rPr>
      </w:pPr>
      <w:bookmarkStart w:id="111" w:name="_Toc13177"/>
      <w:r>
        <w:rPr>
          <w:rFonts w:hint="eastAsia" w:asciiTheme="minorEastAsia" w:hAnsiTheme="minorEastAsia" w:eastAsiaTheme="minorEastAsia" w:cstheme="minorEastAsia"/>
          <w:b/>
          <w:szCs w:val="21"/>
          <w:lang w:val="en-US" w:eastAsia="zh-CN"/>
        </w:rPr>
        <w:br w:type="page"/>
      </w:r>
    </w:p>
    <w:p>
      <w:pPr>
        <w:spacing w:line="360" w:lineRule="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三、</w:t>
      </w:r>
      <w:r>
        <w:rPr>
          <w:rFonts w:hint="eastAsia" w:asciiTheme="minorEastAsia" w:hAnsiTheme="minorEastAsia" w:eastAsiaTheme="minorEastAsia" w:cstheme="minorEastAsia"/>
          <w:b/>
          <w:szCs w:val="21"/>
        </w:rPr>
        <w:t>评分细则</w:t>
      </w:r>
      <w:bookmarkEnd w:id="111"/>
    </w:p>
    <w:tbl>
      <w:tblPr>
        <w:tblStyle w:val="27"/>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216"/>
        <w:gridCol w:w="6672"/>
        <w:gridCol w:w="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736" w:type="dxa"/>
            <w:tcBorders>
              <w:top w:val="single" w:color="auto" w:sz="12" w:space="0"/>
            </w:tcBorders>
            <w:vAlign w:val="center"/>
          </w:tcPr>
          <w:p>
            <w:pPr>
              <w:spacing w:line="240" w:lineRule="auto"/>
              <w:jc w:val="center"/>
              <w:rPr>
                <w:rFonts w:hint="eastAsia" w:ascii="宋体" w:hAnsi="宋体" w:eastAsia="宋体" w:cs="宋体"/>
                <w:b/>
                <w:bCs/>
                <w:color w:val="auto"/>
                <w:spacing w:val="-6"/>
                <w:sz w:val="21"/>
                <w:szCs w:val="21"/>
                <w:lang w:val="en-US" w:eastAsia="zh-CN"/>
              </w:rPr>
            </w:pPr>
            <w:r>
              <w:rPr>
                <w:rFonts w:hint="eastAsia" w:ascii="宋体" w:hAnsi="宋体" w:eastAsia="宋体" w:cs="宋体"/>
                <w:b/>
                <w:bCs/>
                <w:color w:val="auto"/>
                <w:sz w:val="21"/>
                <w:szCs w:val="21"/>
                <w:lang w:val="en-US" w:eastAsia="zh-CN"/>
              </w:rPr>
              <w:t>类别</w:t>
            </w:r>
          </w:p>
        </w:tc>
        <w:tc>
          <w:tcPr>
            <w:tcW w:w="1216" w:type="dxa"/>
            <w:tcBorders>
              <w:top w:val="single" w:color="auto" w:sz="12" w:space="0"/>
            </w:tcBorders>
            <w:vAlign w:val="center"/>
          </w:tcPr>
          <w:p>
            <w:pPr>
              <w:spacing w:line="240" w:lineRule="auto"/>
              <w:jc w:val="center"/>
              <w:rPr>
                <w:rFonts w:hint="eastAsia" w:ascii="宋体" w:hAnsi="宋体" w:eastAsia="宋体" w:cs="宋体"/>
                <w:b/>
                <w:bCs/>
                <w:color w:val="auto"/>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因素</w:t>
            </w:r>
          </w:p>
        </w:tc>
        <w:tc>
          <w:tcPr>
            <w:tcW w:w="6672" w:type="dxa"/>
            <w:tcBorders>
              <w:top w:val="single" w:color="auto" w:sz="12" w:space="0"/>
            </w:tcBorders>
            <w:vAlign w:val="center"/>
          </w:tcPr>
          <w:p>
            <w:pPr>
              <w:spacing w:line="240" w:lineRule="auto"/>
              <w:jc w:val="center"/>
              <w:rPr>
                <w:rFonts w:hint="eastAsia" w:ascii="宋体" w:hAnsi="宋体" w:eastAsia="宋体" w:cs="宋体"/>
                <w:b/>
                <w:bCs/>
                <w:color w:val="auto"/>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标准</w:t>
            </w:r>
          </w:p>
        </w:tc>
        <w:tc>
          <w:tcPr>
            <w:tcW w:w="664" w:type="dxa"/>
            <w:tcBorders>
              <w:top w:val="single" w:color="auto" w:sz="12" w:space="0"/>
            </w:tcBorders>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736" w:type="dxa"/>
            <w:vAlign w:val="center"/>
          </w:tcPr>
          <w:p>
            <w:pPr>
              <w:widowControl/>
              <w:spacing w:line="240" w:lineRule="auto"/>
              <w:jc w:val="center"/>
              <w:textAlignment w:val="center"/>
              <w:rPr>
                <w:rFonts w:hint="eastAsia" w:ascii="宋体" w:hAnsi="宋体" w:eastAsia="宋体" w:cs="宋体"/>
                <w:color w:val="auto"/>
                <w:spacing w:val="-6"/>
                <w:sz w:val="21"/>
                <w:szCs w:val="21"/>
              </w:rPr>
            </w:pPr>
            <w:r>
              <w:rPr>
                <w:rFonts w:hint="eastAsia" w:ascii="宋体" w:hAnsi="宋体" w:eastAsia="宋体" w:cs="宋体"/>
                <w:color w:val="auto"/>
                <w:kern w:val="0"/>
                <w:szCs w:val="21"/>
                <w:lang w:val="en-US" w:eastAsia="zh-CN" w:bidi="ar"/>
              </w:rPr>
              <w:t>竞标</w:t>
            </w:r>
            <w:r>
              <w:rPr>
                <w:rFonts w:hint="eastAsia" w:ascii="宋体" w:hAnsi="宋体" w:eastAsia="宋体" w:cs="宋体"/>
                <w:color w:val="auto"/>
                <w:kern w:val="0"/>
                <w:szCs w:val="21"/>
                <w:lang w:bidi="ar"/>
              </w:rPr>
              <w:t>报价</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val="en-US" w:eastAsia="zh-CN" w:bidi="ar"/>
              </w:rPr>
              <w:t>10</w:t>
            </w:r>
            <w:r>
              <w:rPr>
                <w:rFonts w:hint="eastAsia" w:ascii="宋体" w:hAnsi="宋体" w:eastAsia="宋体" w:cs="宋体"/>
                <w:color w:val="auto"/>
                <w:kern w:val="0"/>
                <w:szCs w:val="21"/>
                <w:lang w:bidi="ar"/>
              </w:rPr>
              <w:t>分</w:t>
            </w:r>
          </w:p>
        </w:tc>
        <w:tc>
          <w:tcPr>
            <w:tcW w:w="1216" w:type="dxa"/>
            <w:vAlign w:val="center"/>
          </w:tcPr>
          <w:p>
            <w:pPr>
              <w:widowControl/>
              <w:spacing w:line="240" w:lineRule="auto"/>
              <w:jc w:val="center"/>
              <w:textAlignment w:val="center"/>
              <w:rPr>
                <w:rFonts w:hint="eastAsia" w:ascii="宋体" w:hAnsi="宋体" w:eastAsia="宋体" w:cs="宋体"/>
                <w:color w:val="auto"/>
                <w:spacing w:val="-6"/>
                <w:sz w:val="21"/>
                <w:szCs w:val="21"/>
              </w:rPr>
            </w:pPr>
            <w:r>
              <w:rPr>
                <w:rFonts w:hint="eastAsia" w:ascii="宋体" w:hAnsi="宋体" w:eastAsia="宋体" w:cs="宋体"/>
                <w:color w:val="auto"/>
                <w:kern w:val="0"/>
                <w:szCs w:val="21"/>
                <w:lang w:val="en-US" w:eastAsia="zh-CN" w:bidi="ar"/>
              </w:rPr>
              <w:t>最后</w:t>
            </w:r>
            <w:r>
              <w:rPr>
                <w:rFonts w:hint="eastAsia" w:ascii="宋体" w:hAnsi="宋体" w:eastAsia="宋体" w:cs="宋体"/>
                <w:color w:val="auto"/>
                <w:kern w:val="0"/>
                <w:szCs w:val="21"/>
                <w:lang w:bidi="ar"/>
              </w:rPr>
              <w:t>报价</w:t>
            </w:r>
          </w:p>
        </w:tc>
        <w:tc>
          <w:tcPr>
            <w:tcW w:w="6672" w:type="dxa"/>
            <w:vAlign w:val="center"/>
          </w:tcPr>
          <w:p>
            <w:pPr>
              <w:widowControl/>
              <w:spacing w:line="240" w:lineRule="auto"/>
              <w:jc w:val="left"/>
              <w:textAlignment w:val="center"/>
              <w:rPr>
                <w:rFonts w:hint="eastAsia" w:ascii="宋体" w:hAnsi="宋体" w:eastAsia="宋体" w:cs="宋体"/>
                <w:color w:val="auto"/>
                <w:lang w:eastAsia="zh-CN"/>
              </w:rPr>
            </w:pPr>
            <w:r>
              <w:rPr>
                <w:rFonts w:hint="eastAsia" w:ascii="宋体" w:hAnsi="宋体" w:eastAsia="宋体" w:cs="宋体"/>
                <w:color w:val="auto"/>
              </w:rPr>
              <w:t>1、报价采用低价优先法计算，即满足</w:t>
            </w:r>
            <w:r>
              <w:rPr>
                <w:rFonts w:hint="eastAsia" w:ascii="宋体" w:hAnsi="宋体" w:eastAsia="宋体" w:cs="宋体"/>
                <w:color w:val="auto"/>
                <w:lang w:val="en-US" w:eastAsia="zh-CN"/>
              </w:rPr>
              <w:t>磋商</w:t>
            </w:r>
            <w:r>
              <w:rPr>
                <w:rFonts w:hint="eastAsia" w:ascii="宋体" w:hAnsi="宋体" w:eastAsia="宋体" w:cs="宋体"/>
                <w:color w:val="auto"/>
              </w:rPr>
              <w:t>采购文件要求且报价最低的报价为磋商基准价，其报价分为满分</w:t>
            </w:r>
            <w:r>
              <w:rPr>
                <w:rFonts w:hint="eastAsia" w:ascii="宋体" w:hAnsi="宋体" w:eastAsia="宋体" w:cs="宋体"/>
                <w:color w:val="auto"/>
                <w:kern w:val="0"/>
                <w:szCs w:val="21"/>
                <w:lang w:val="en-US" w:eastAsia="zh-CN" w:bidi="ar"/>
              </w:rPr>
              <w:t>10</w:t>
            </w:r>
            <w:r>
              <w:rPr>
                <w:rFonts w:hint="eastAsia" w:ascii="宋体" w:hAnsi="宋体" w:eastAsia="宋体" w:cs="宋体"/>
                <w:color w:val="auto"/>
              </w:rPr>
              <w:t>分</w:t>
            </w:r>
            <w:r>
              <w:rPr>
                <w:rFonts w:hint="eastAsia" w:ascii="宋体" w:hAnsi="宋体" w:eastAsia="宋体" w:cs="宋体"/>
                <w:color w:val="auto"/>
                <w:lang w:eastAsia="zh-CN"/>
              </w:rPr>
              <w:t>；</w:t>
            </w:r>
          </w:p>
          <w:p>
            <w:pPr>
              <w:widowControl/>
              <w:spacing w:line="240" w:lineRule="auto"/>
              <w:jc w:val="left"/>
              <w:textAlignment w:val="center"/>
              <w:rPr>
                <w:rFonts w:hint="eastAsia" w:ascii="宋体" w:hAnsi="宋体" w:eastAsia="宋体" w:cs="宋体"/>
                <w:color w:val="auto"/>
              </w:rPr>
            </w:pPr>
            <w:r>
              <w:rPr>
                <w:rFonts w:hint="eastAsia" w:ascii="宋体" w:hAnsi="宋体" w:eastAsia="宋体" w:cs="宋体"/>
                <w:color w:val="auto"/>
              </w:rPr>
              <w:t>2、其他供应商的报价分按照下列公式计算：</w:t>
            </w:r>
          </w:p>
          <w:p>
            <w:pPr>
              <w:widowControl/>
              <w:spacing w:line="240" w:lineRule="auto"/>
              <w:jc w:val="left"/>
              <w:textAlignment w:val="center"/>
              <w:rPr>
                <w:rFonts w:hint="eastAsia" w:ascii="宋体" w:hAnsi="宋体" w:eastAsia="宋体" w:cs="宋体"/>
                <w:color w:val="auto"/>
                <w:lang w:val="en-US" w:eastAsia="zh-CN"/>
              </w:rPr>
            </w:pPr>
            <w:r>
              <w:rPr>
                <w:rFonts w:hint="eastAsia" w:ascii="宋体" w:hAnsi="宋体" w:eastAsia="宋体" w:cs="宋体"/>
                <w:color w:val="auto"/>
              </w:rPr>
              <w:t>报价分=（磋商基准价/磋商报价）×</w:t>
            </w:r>
            <w:r>
              <w:rPr>
                <w:rFonts w:hint="eastAsia" w:ascii="宋体" w:hAnsi="宋体" w:eastAsia="宋体" w:cs="宋体"/>
                <w:color w:val="auto"/>
                <w:kern w:val="0"/>
                <w:szCs w:val="21"/>
                <w:lang w:val="en-US" w:eastAsia="zh-CN" w:bidi="ar"/>
              </w:rPr>
              <w:t>10</w:t>
            </w:r>
          </w:p>
          <w:p>
            <w:pPr>
              <w:widowControl/>
              <w:spacing w:line="240" w:lineRule="auto"/>
              <w:jc w:val="left"/>
              <w:textAlignment w:val="center"/>
              <w:rPr>
                <w:rFonts w:hint="eastAsia" w:ascii="宋体" w:hAnsi="宋体" w:eastAsia="宋体" w:cs="宋体"/>
                <w:b/>
                <w:bCs/>
                <w:color w:val="auto"/>
              </w:rPr>
            </w:pPr>
            <w:r>
              <w:rPr>
                <w:rFonts w:hint="eastAsia" w:ascii="宋体" w:hAnsi="宋体" w:eastAsia="宋体" w:cs="宋体"/>
                <w:b/>
                <w:bCs/>
                <w:color w:val="auto"/>
              </w:rPr>
              <w:t>备注：</w:t>
            </w:r>
            <w:r>
              <w:rPr>
                <w:rFonts w:hint="eastAsia" w:ascii="宋体" w:hAnsi="宋体" w:eastAsia="宋体" w:cs="宋体"/>
                <w:b/>
                <w:bCs/>
                <w:color w:val="auto"/>
                <w:lang w:val="en-US" w:eastAsia="zh-CN"/>
              </w:rPr>
              <w:t>1、</w:t>
            </w:r>
            <w:r>
              <w:rPr>
                <w:rFonts w:hint="eastAsia" w:ascii="宋体" w:hAnsi="宋体" w:eastAsia="宋体" w:cs="宋体"/>
                <w:b/>
                <w:bCs/>
                <w:color w:val="auto"/>
              </w:rPr>
              <w:t>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widowControl/>
              <w:spacing w:line="240" w:lineRule="auto"/>
              <w:jc w:val="left"/>
              <w:textAlignment w:val="center"/>
              <w:rPr>
                <w:rFonts w:hint="eastAsia" w:ascii="宋体" w:hAnsi="宋体" w:eastAsia="宋体" w:cs="宋体"/>
                <w:color w:val="auto"/>
              </w:rPr>
            </w:pPr>
            <w:r>
              <w:rPr>
                <w:rFonts w:hint="eastAsia" w:ascii="宋体" w:hAnsi="宋体" w:eastAsia="宋体" w:cs="宋体"/>
                <w:b/>
                <w:bCs/>
                <w:color w:val="auto"/>
                <w:lang w:val="en-US" w:eastAsia="zh-CN"/>
              </w:rPr>
              <w:t>2、</w:t>
            </w:r>
            <w:r>
              <w:rPr>
                <w:rFonts w:hint="eastAsia" w:ascii="宋体" w:hAnsi="宋体" w:eastAsia="宋体" w:cs="宋体"/>
                <w:b/>
                <w:bCs/>
                <w:color w:val="auto"/>
              </w:rPr>
              <w:t>符合本磋商文件第</w:t>
            </w:r>
            <w:r>
              <w:rPr>
                <w:rFonts w:hint="eastAsia" w:ascii="宋体" w:hAnsi="宋体" w:eastAsia="宋体" w:cs="宋体"/>
                <w:b/>
                <w:bCs/>
                <w:color w:val="auto"/>
                <w:lang w:val="en-US" w:eastAsia="zh-CN"/>
              </w:rPr>
              <w:t>四</w:t>
            </w:r>
            <w:r>
              <w:rPr>
                <w:rFonts w:hint="eastAsia" w:ascii="宋体" w:hAnsi="宋体" w:eastAsia="宋体" w:cs="宋体"/>
                <w:b/>
                <w:bCs/>
                <w:color w:val="auto"/>
              </w:rPr>
              <w:t>章“政策支持”</w:t>
            </w:r>
            <w:r>
              <w:rPr>
                <w:rFonts w:hint="eastAsia" w:ascii="宋体" w:hAnsi="宋体" w:eastAsia="宋体" w:cs="宋体"/>
                <w:b/>
                <w:bCs/>
                <w:color w:val="auto"/>
                <w:lang w:val="en-US" w:eastAsia="zh-CN"/>
              </w:rPr>
              <w:t>条件</w:t>
            </w:r>
            <w:r>
              <w:rPr>
                <w:rFonts w:hint="eastAsia" w:ascii="宋体" w:hAnsi="宋体" w:eastAsia="宋体" w:cs="宋体"/>
                <w:b/>
                <w:bCs/>
                <w:color w:val="auto"/>
              </w:rPr>
              <w:t>的，在评审时予以价格扣除，用扣除后的价格参与评审。</w:t>
            </w:r>
          </w:p>
        </w:tc>
        <w:tc>
          <w:tcPr>
            <w:tcW w:w="664" w:type="dxa"/>
            <w:vAlign w:val="center"/>
          </w:tcPr>
          <w:p>
            <w:pPr>
              <w:widowControl/>
              <w:spacing w:line="240" w:lineRule="auto"/>
              <w:jc w:val="center"/>
              <w:textAlignment w:val="center"/>
              <w:rPr>
                <w:rFonts w:hint="eastAsia" w:ascii="宋体" w:hAnsi="宋体" w:eastAsia="宋体" w:cs="宋体"/>
                <w:color w:val="auto"/>
              </w:rPr>
            </w:pPr>
            <w:r>
              <w:rPr>
                <w:rFonts w:hint="eastAsia" w:ascii="宋体" w:hAnsi="宋体" w:eastAsia="宋体" w:cs="宋体"/>
                <w:color w:val="auto"/>
                <w:kern w:val="0"/>
                <w:szCs w:val="21"/>
                <w:lang w:val="en-US" w:eastAsia="zh-CN" w:bidi="ar"/>
              </w:rPr>
              <w:t>10</w:t>
            </w:r>
            <w:r>
              <w:rPr>
                <w:rFonts w:hint="eastAsia" w:ascii="宋体" w:hAnsi="宋体" w:eastAsia="宋体" w:cs="宋体"/>
                <w:color w:val="auto"/>
                <w:kern w:val="0"/>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vAlign w:val="center"/>
          </w:tcPr>
          <w:p>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商务</w:t>
            </w:r>
            <w:r>
              <w:rPr>
                <w:rFonts w:hint="eastAsia" w:ascii="宋体" w:hAnsi="宋体" w:eastAsia="宋体" w:cs="宋体"/>
                <w:color w:val="auto"/>
                <w:spacing w:val="-6"/>
                <w:sz w:val="21"/>
                <w:szCs w:val="21"/>
                <w:lang w:val="en-US" w:eastAsia="zh-CN"/>
              </w:rPr>
              <w:t>40</w:t>
            </w:r>
            <w:r>
              <w:rPr>
                <w:rFonts w:hint="eastAsia" w:ascii="宋体" w:hAnsi="宋体" w:eastAsia="宋体" w:cs="宋体"/>
                <w:color w:val="auto"/>
                <w:spacing w:val="-6"/>
                <w:sz w:val="21"/>
                <w:szCs w:val="21"/>
              </w:rPr>
              <w:t>分</w:t>
            </w:r>
          </w:p>
        </w:tc>
        <w:tc>
          <w:tcPr>
            <w:tcW w:w="1216" w:type="dxa"/>
            <w:vAlign w:val="center"/>
          </w:tcPr>
          <w:p>
            <w:pPr>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类似业绩</w:t>
            </w:r>
          </w:p>
        </w:tc>
        <w:tc>
          <w:tcPr>
            <w:tcW w:w="6672" w:type="dxa"/>
            <w:vAlign w:val="center"/>
          </w:tcPr>
          <w:p>
            <w:pPr>
              <w:rPr>
                <w:rFonts w:hint="eastAsia" w:ascii="宋体" w:hAnsi="宋体" w:eastAsia="宋体" w:cs="宋体"/>
                <w:color w:val="auto"/>
                <w:lang w:val="en-US" w:eastAsia="zh-CN"/>
              </w:rPr>
            </w:pPr>
            <w:r>
              <w:rPr>
                <w:rFonts w:hint="eastAsia" w:ascii="宋体" w:hAnsi="宋体" w:eastAsia="宋体" w:cs="宋体"/>
                <w:color w:val="auto"/>
              </w:rPr>
              <w:t>近三年（</w:t>
            </w:r>
            <w:r>
              <w:rPr>
                <w:rFonts w:hint="eastAsia" w:ascii="宋体" w:hAnsi="宋体" w:eastAsia="宋体" w:cs="宋体"/>
                <w:color w:val="auto"/>
                <w:lang w:eastAsia="zh-CN"/>
              </w:rPr>
              <w:t>磋商</w:t>
            </w:r>
            <w:r>
              <w:rPr>
                <w:rFonts w:hint="eastAsia" w:ascii="宋体" w:hAnsi="宋体" w:eastAsia="宋体" w:cs="宋体"/>
                <w:color w:val="auto"/>
              </w:rPr>
              <w:t>截止时间往前推算36个月）具有类似</w:t>
            </w:r>
            <w:r>
              <w:rPr>
                <w:rFonts w:hint="eastAsia" w:ascii="宋体" w:hAnsi="宋体" w:eastAsia="宋体" w:cs="宋体"/>
                <w:color w:val="auto"/>
                <w:lang w:eastAsia="zh-CN"/>
              </w:rPr>
              <w:t>服务</w:t>
            </w:r>
            <w:r>
              <w:rPr>
                <w:rFonts w:hint="eastAsia" w:ascii="宋体" w:hAnsi="宋体" w:eastAsia="宋体" w:cs="宋体"/>
                <w:color w:val="auto"/>
              </w:rPr>
              <w:t>业绩的，每个得</w:t>
            </w:r>
            <w:r>
              <w:rPr>
                <w:rFonts w:hint="eastAsia" w:ascii="宋体" w:hAnsi="宋体" w:eastAsia="宋体" w:cs="宋体"/>
                <w:color w:val="auto"/>
                <w:lang w:val="en-US" w:eastAsia="zh-CN"/>
              </w:rPr>
              <w:t>2</w:t>
            </w:r>
            <w:r>
              <w:rPr>
                <w:rFonts w:hint="eastAsia" w:ascii="宋体" w:hAnsi="宋体" w:eastAsia="宋体" w:cs="宋体"/>
                <w:color w:val="auto"/>
              </w:rPr>
              <w:t>分，最多得</w:t>
            </w:r>
            <w:r>
              <w:rPr>
                <w:rFonts w:hint="eastAsia" w:ascii="宋体" w:hAnsi="宋体" w:eastAsia="宋体" w:cs="宋体"/>
                <w:color w:val="auto"/>
                <w:lang w:eastAsia="zh-CN"/>
              </w:rPr>
              <w:t>6</w:t>
            </w:r>
            <w:r>
              <w:rPr>
                <w:rFonts w:hint="eastAsia" w:ascii="宋体" w:hAnsi="宋体" w:eastAsia="宋体" w:cs="宋体"/>
                <w:color w:val="auto"/>
              </w:rPr>
              <w:t>分；（需提供合同真彩扫描件并加盖公章，未提供不得分）</w:t>
            </w:r>
          </w:p>
        </w:tc>
        <w:tc>
          <w:tcPr>
            <w:tcW w:w="664" w:type="dxa"/>
            <w:vAlign w:val="center"/>
          </w:tcPr>
          <w:p>
            <w:pPr>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spacing w:line="240" w:lineRule="auto"/>
              <w:jc w:val="center"/>
              <w:rPr>
                <w:rFonts w:hint="eastAsia" w:ascii="宋体" w:hAnsi="宋体" w:eastAsia="宋体" w:cs="宋体"/>
                <w:color w:val="auto"/>
                <w:spacing w:val="-6"/>
                <w:sz w:val="21"/>
                <w:szCs w:val="21"/>
              </w:rPr>
            </w:pPr>
          </w:p>
        </w:tc>
        <w:tc>
          <w:tcPr>
            <w:tcW w:w="1216" w:type="dxa"/>
            <w:vAlign w:val="center"/>
          </w:tcPr>
          <w:p>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用户评价</w:t>
            </w:r>
          </w:p>
        </w:tc>
        <w:tc>
          <w:tcPr>
            <w:tcW w:w="6672" w:type="dxa"/>
            <w:vAlign w:val="center"/>
          </w:tcPr>
          <w:p>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提供近三年（</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截止时间往前推算36个月）用户出具的满意评价证明（课程负责人签字），每提供一个得0.5分，最高得3分。（需提供课程负责人签字的满意评价证明）</w:t>
            </w:r>
          </w:p>
        </w:tc>
        <w:tc>
          <w:tcPr>
            <w:tcW w:w="664" w:type="dxa"/>
            <w:vAlign w:val="center"/>
          </w:tcPr>
          <w:p>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spacing w:line="240" w:lineRule="auto"/>
              <w:rPr>
                <w:rFonts w:hint="eastAsia" w:ascii="宋体" w:hAnsi="宋体" w:eastAsia="宋体" w:cs="宋体"/>
                <w:color w:val="auto"/>
                <w:sz w:val="21"/>
                <w:szCs w:val="21"/>
              </w:rPr>
            </w:pPr>
          </w:p>
        </w:tc>
        <w:tc>
          <w:tcPr>
            <w:tcW w:w="1216" w:type="dxa"/>
            <w:vAlign w:val="center"/>
          </w:tcPr>
          <w:p>
            <w:pPr>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财务状况</w:t>
            </w:r>
          </w:p>
        </w:tc>
        <w:tc>
          <w:tcPr>
            <w:tcW w:w="6672" w:type="dxa"/>
            <w:vAlign w:val="center"/>
          </w:tcPr>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提供的近三年（2017、2018、2019）财务报告，能提供则得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分，不能提供不得分。</w:t>
            </w:r>
          </w:p>
          <w:p>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（成立不足三年的按公司成立时间起算）</w:t>
            </w:r>
          </w:p>
        </w:tc>
        <w:tc>
          <w:tcPr>
            <w:tcW w:w="664" w:type="dxa"/>
            <w:vAlign w:val="center"/>
          </w:tcPr>
          <w:p>
            <w:pPr>
              <w:spacing w:line="240" w:lineRule="auto"/>
              <w:jc w:val="left"/>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736" w:type="dxa"/>
            <w:vMerge w:val="continue"/>
            <w:vAlign w:val="center"/>
          </w:tcPr>
          <w:p>
            <w:pPr>
              <w:spacing w:line="240" w:lineRule="auto"/>
              <w:rPr>
                <w:rFonts w:hint="eastAsia" w:ascii="宋体" w:hAnsi="宋体" w:eastAsia="宋体" w:cs="宋体"/>
                <w:color w:val="auto"/>
                <w:sz w:val="21"/>
                <w:szCs w:val="21"/>
              </w:rPr>
            </w:pPr>
          </w:p>
        </w:tc>
        <w:tc>
          <w:tcPr>
            <w:tcW w:w="1216" w:type="dxa"/>
            <w:vMerge w:val="restart"/>
            <w:vAlign w:val="center"/>
          </w:tcPr>
          <w:p>
            <w:pPr>
              <w:widowControl/>
              <w:spacing w:line="240" w:lineRule="auto"/>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企业综合实力</w:t>
            </w:r>
          </w:p>
          <w:p>
            <w:pPr>
              <w:spacing w:line="240" w:lineRule="auto"/>
              <w:rPr>
                <w:rFonts w:hint="eastAsia" w:ascii="宋体" w:hAnsi="宋体" w:eastAsia="宋体" w:cs="宋体"/>
                <w:color w:val="auto"/>
                <w:spacing w:val="-6"/>
                <w:kern w:val="2"/>
                <w:sz w:val="21"/>
                <w:szCs w:val="21"/>
                <w:lang w:val="en-US" w:eastAsia="zh-CN" w:bidi="ar-SA"/>
              </w:rPr>
            </w:pPr>
          </w:p>
        </w:tc>
        <w:tc>
          <w:tcPr>
            <w:tcW w:w="6672" w:type="dxa"/>
            <w:vAlign w:val="center"/>
          </w:tcPr>
          <w:p>
            <w:pPr>
              <w:widowControl/>
              <w:spacing w:line="240" w:lineRule="auto"/>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提供含</w:t>
            </w:r>
            <w:r>
              <w:rPr>
                <w:rFonts w:hint="eastAsia" w:ascii="宋体" w:hAnsi="宋体" w:eastAsia="宋体" w:cs="宋体"/>
                <w:color w:val="auto"/>
                <w:szCs w:val="21"/>
              </w:rPr>
              <w:t>有“课件编辑”字样的计算机软件著作权登记证</w:t>
            </w:r>
            <w:r>
              <w:rPr>
                <w:rFonts w:hint="eastAsia" w:ascii="宋体" w:hAnsi="宋体" w:eastAsia="宋体" w:cs="宋体"/>
                <w:color w:val="auto"/>
                <w:szCs w:val="21"/>
                <w:lang w:eastAsia="zh-CN"/>
              </w:rPr>
              <w:t>得</w:t>
            </w:r>
            <w:r>
              <w:rPr>
                <w:rFonts w:hint="eastAsia" w:ascii="宋体" w:hAnsi="宋体" w:eastAsia="宋体" w:cs="宋体"/>
                <w:color w:val="auto"/>
                <w:szCs w:val="21"/>
                <w:lang w:val="en-US" w:eastAsia="zh-CN"/>
              </w:rPr>
              <w:t>2分，</w:t>
            </w:r>
            <w:r>
              <w:rPr>
                <w:rFonts w:hint="eastAsia" w:ascii="宋体" w:hAnsi="宋体" w:eastAsia="宋体" w:cs="宋体"/>
                <w:color w:val="auto"/>
                <w:sz w:val="21"/>
                <w:szCs w:val="21"/>
              </w:rPr>
              <w:t>不提供的不得分</w:t>
            </w:r>
            <w:r>
              <w:rPr>
                <w:rFonts w:hint="eastAsia" w:ascii="宋体" w:hAnsi="宋体" w:eastAsia="宋体" w:cs="宋体"/>
                <w:color w:val="auto"/>
                <w:szCs w:val="21"/>
              </w:rPr>
              <w:t>；</w:t>
            </w:r>
          </w:p>
        </w:tc>
        <w:tc>
          <w:tcPr>
            <w:tcW w:w="664" w:type="dxa"/>
            <w:vAlign w:val="center"/>
          </w:tcPr>
          <w:p>
            <w:pPr>
              <w:widowControl/>
              <w:spacing w:line="24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val="en-US" w:eastAsia="zh-CN"/>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736" w:type="dxa"/>
            <w:vMerge w:val="continue"/>
            <w:vAlign w:val="center"/>
          </w:tcPr>
          <w:p>
            <w:pPr>
              <w:widowControl/>
              <w:spacing w:line="240" w:lineRule="auto"/>
              <w:jc w:val="left"/>
              <w:textAlignment w:val="center"/>
              <w:rPr>
                <w:rFonts w:hint="eastAsia" w:ascii="宋体" w:hAnsi="宋体" w:eastAsia="宋体" w:cs="宋体"/>
                <w:color w:val="auto"/>
              </w:rPr>
            </w:pPr>
          </w:p>
        </w:tc>
        <w:tc>
          <w:tcPr>
            <w:tcW w:w="1216" w:type="dxa"/>
            <w:vMerge w:val="continue"/>
            <w:vAlign w:val="center"/>
          </w:tcPr>
          <w:p>
            <w:pPr>
              <w:widowControl/>
              <w:spacing w:line="240" w:lineRule="auto"/>
              <w:jc w:val="left"/>
              <w:textAlignment w:val="center"/>
              <w:rPr>
                <w:rFonts w:hint="eastAsia" w:ascii="宋体" w:hAnsi="宋体" w:eastAsia="宋体" w:cs="宋体"/>
                <w:color w:val="auto"/>
              </w:rPr>
            </w:pPr>
          </w:p>
        </w:tc>
        <w:tc>
          <w:tcPr>
            <w:tcW w:w="6672" w:type="dxa"/>
            <w:vAlign w:val="center"/>
          </w:tcPr>
          <w:p>
            <w:pPr>
              <w:widowControl/>
              <w:spacing w:line="240" w:lineRule="auto"/>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Cs w:val="21"/>
                <w:lang w:eastAsia="zh-CN"/>
              </w:rPr>
              <w:t>提供含</w:t>
            </w:r>
            <w:r>
              <w:rPr>
                <w:rFonts w:hint="eastAsia" w:ascii="宋体" w:hAnsi="宋体" w:eastAsia="宋体" w:cs="宋体"/>
                <w:color w:val="auto"/>
                <w:szCs w:val="21"/>
              </w:rPr>
              <w:t>有“教学内容分发”字样的计算机软件著作权登记证</w:t>
            </w:r>
            <w:r>
              <w:rPr>
                <w:rFonts w:hint="eastAsia" w:ascii="宋体" w:hAnsi="宋体" w:eastAsia="宋体" w:cs="宋体"/>
                <w:color w:val="auto"/>
                <w:szCs w:val="21"/>
                <w:lang w:eastAsia="zh-CN"/>
              </w:rPr>
              <w:t>得</w:t>
            </w:r>
            <w:r>
              <w:rPr>
                <w:rFonts w:hint="eastAsia" w:ascii="宋体" w:hAnsi="宋体" w:eastAsia="宋体" w:cs="宋体"/>
                <w:color w:val="auto"/>
                <w:szCs w:val="21"/>
                <w:lang w:val="en-US" w:eastAsia="zh-CN"/>
              </w:rPr>
              <w:t>2分，</w:t>
            </w:r>
            <w:r>
              <w:rPr>
                <w:rFonts w:hint="eastAsia" w:ascii="宋体" w:hAnsi="宋体" w:eastAsia="宋体" w:cs="宋体"/>
                <w:color w:val="auto"/>
                <w:sz w:val="21"/>
                <w:szCs w:val="21"/>
              </w:rPr>
              <w:t>不提供的不得分</w:t>
            </w:r>
            <w:r>
              <w:rPr>
                <w:rFonts w:hint="eastAsia" w:ascii="宋体" w:hAnsi="宋体" w:eastAsia="宋体" w:cs="宋体"/>
                <w:color w:val="auto"/>
                <w:szCs w:val="21"/>
                <w:lang w:val="en-US" w:eastAsia="zh-CN"/>
              </w:rPr>
              <w:t>；</w:t>
            </w:r>
          </w:p>
        </w:tc>
        <w:tc>
          <w:tcPr>
            <w:tcW w:w="664"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val="en-US" w:eastAsia="zh-CN"/>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73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121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6672"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Cs w:val="21"/>
                <w:lang w:eastAsia="zh-CN"/>
              </w:rPr>
              <w:t>提供含</w:t>
            </w:r>
            <w:r>
              <w:rPr>
                <w:rFonts w:hint="eastAsia" w:ascii="宋体" w:hAnsi="宋体" w:eastAsia="宋体" w:cs="宋体"/>
                <w:color w:val="auto"/>
                <w:szCs w:val="21"/>
              </w:rPr>
              <w:t>有“社会学习平台”字样的计算机软件著作权登记证书</w:t>
            </w:r>
            <w:r>
              <w:rPr>
                <w:rFonts w:hint="eastAsia" w:ascii="宋体" w:hAnsi="宋体" w:eastAsia="宋体" w:cs="宋体"/>
                <w:color w:val="auto"/>
                <w:szCs w:val="21"/>
                <w:lang w:eastAsia="zh-CN"/>
              </w:rPr>
              <w:t>得2</w:t>
            </w:r>
            <w:r>
              <w:rPr>
                <w:rFonts w:hint="eastAsia" w:ascii="宋体" w:hAnsi="宋体" w:eastAsia="宋体" w:cs="宋体"/>
                <w:color w:val="auto"/>
                <w:szCs w:val="21"/>
                <w:lang w:val="en-US" w:eastAsia="zh-CN"/>
              </w:rPr>
              <w:t>分，</w:t>
            </w:r>
            <w:r>
              <w:rPr>
                <w:rFonts w:hint="eastAsia" w:ascii="宋体" w:hAnsi="宋体" w:eastAsia="宋体" w:cs="宋体"/>
                <w:color w:val="auto"/>
                <w:sz w:val="21"/>
                <w:szCs w:val="21"/>
              </w:rPr>
              <w:t>不提供的不得分</w:t>
            </w:r>
            <w:r>
              <w:rPr>
                <w:rFonts w:hint="eastAsia" w:ascii="宋体" w:hAnsi="宋体" w:eastAsia="宋体" w:cs="宋体"/>
                <w:color w:val="auto"/>
                <w:szCs w:val="21"/>
              </w:rPr>
              <w:t>；</w:t>
            </w:r>
          </w:p>
        </w:tc>
        <w:tc>
          <w:tcPr>
            <w:tcW w:w="664"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eastAsia="zh-CN"/>
              </w:rPr>
              <w:t>2</w:t>
            </w:r>
            <w:r>
              <w:rPr>
                <w:rFonts w:hint="eastAsia" w:ascii="宋体" w:hAnsi="宋体" w:eastAsia="宋体" w:cs="宋体"/>
                <w:color w:val="auto"/>
                <w:kern w:val="0"/>
                <w:szCs w:val="21"/>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73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121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6672"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Cs w:val="21"/>
                <w:lang w:eastAsia="zh-CN"/>
              </w:rPr>
              <w:t>提供</w:t>
            </w:r>
            <w:r>
              <w:rPr>
                <w:rFonts w:hint="eastAsia" w:ascii="宋体" w:hAnsi="宋体" w:eastAsia="宋体" w:cs="宋体"/>
                <w:color w:val="auto"/>
                <w:szCs w:val="21"/>
              </w:rPr>
              <w:t>网络出版服务许可证</w:t>
            </w:r>
            <w:r>
              <w:rPr>
                <w:rFonts w:hint="eastAsia" w:ascii="宋体" w:hAnsi="宋体" w:eastAsia="宋体" w:cs="宋体"/>
                <w:color w:val="auto"/>
                <w:szCs w:val="21"/>
                <w:lang w:eastAsia="zh-CN"/>
              </w:rPr>
              <w:t>得</w:t>
            </w:r>
            <w:r>
              <w:rPr>
                <w:rFonts w:hint="eastAsia" w:ascii="宋体" w:hAnsi="宋体" w:eastAsia="宋体" w:cs="宋体"/>
                <w:color w:val="auto"/>
                <w:szCs w:val="21"/>
                <w:lang w:val="en-US" w:eastAsia="zh-CN"/>
              </w:rPr>
              <w:t>1分，</w:t>
            </w:r>
            <w:r>
              <w:rPr>
                <w:rFonts w:hint="eastAsia" w:ascii="宋体" w:hAnsi="宋体" w:eastAsia="宋体" w:cs="宋体"/>
                <w:color w:val="auto"/>
                <w:sz w:val="21"/>
                <w:szCs w:val="21"/>
              </w:rPr>
              <w:t>不提供的不得分</w:t>
            </w:r>
            <w:r>
              <w:rPr>
                <w:rFonts w:hint="eastAsia" w:ascii="宋体" w:hAnsi="宋体" w:eastAsia="宋体" w:cs="宋体"/>
                <w:color w:val="auto"/>
                <w:szCs w:val="21"/>
                <w:lang w:eastAsia="zh-CN"/>
              </w:rPr>
              <w:t>；</w:t>
            </w:r>
          </w:p>
        </w:tc>
        <w:tc>
          <w:tcPr>
            <w:tcW w:w="664"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val="en-US" w:eastAsia="zh-CN"/>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73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121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6672"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Cs w:val="21"/>
                <w:lang w:eastAsia="zh-CN"/>
              </w:rPr>
              <w:t>提供</w:t>
            </w:r>
            <w:r>
              <w:rPr>
                <w:rFonts w:hint="eastAsia" w:ascii="宋体" w:hAnsi="宋体" w:eastAsia="宋体" w:cs="宋体"/>
                <w:color w:val="auto"/>
                <w:szCs w:val="21"/>
              </w:rPr>
              <w:t>出版物经营许可证</w:t>
            </w:r>
            <w:r>
              <w:rPr>
                <w:rFonts w:hint="eastAsia" w:ascii="宋体" w:hAnsi="宋体" w:eastAsia="宋体" w:cs="宋体"/>
                <w:color w:val="auto"/>
                <w:szCs w:val="21"/>
                <w:lang w:eastAsia="zh-CN"/>
              </w:rPr>
              <w:t>得</w:t>
            </w:r>
            <w:r>
              <w:rPr>
                <w:rFonts w:hint="eastAsia" w:ascii="宋体" w:hAnsi="宋体" w:eastAsia="宋体" w:cs="宋体"/>
                <w:color w:val="auto"/>
                <w:szCs w:val="21"/>
                <w:lang w:val="en-US" w:eastAsia="zh-CN"/>
              </w:rPr>
              <w:t>1分，</w:t>
            </w:r>
            <w:r>
              <w:rPr>
                <w:rFonts w:hint="eastAsia" w:ascii="宋体" w:hAnsi="宋体" w:eastAsia="宋体" w:cs="宋体"/>
                <w:color w:val="auto"/>
                <w:sz w:val="21"/>
                <w:szCs w:val="21"/>
              </w:rPr>
              <w:t>不提供的不得分</w:t>
            </w:r>
            <w:r>
              <w:rPr>
                <w:rFonts w:hint="eastAsia" w:ascii="宋体" w:hAnsi="宋体" w:eastAsia="宋体" w:cs="宋体"/>
                <w:color w:val="auto"/>
                <w:szCs w:val="21"/>
                <w:lang w:eastAsia="zh-CN"/>
              </w:rPr>
              <w:t>；</w:t>
            </w:r>
          </w:p>
        </w:tc>
        <w:tc>
          <w:tcPr>
            <w:tcW w:w="664"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val="en-US" w:eastAsia="zh-CN"/>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73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121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6672"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Cs w:val="21"/>
                <w:lang w:eastAsia="zh-CN"/>
              </w:rPr>
              <w:t>提供</w:t>
            </w:r>
            <w:r>
              <w:rPr>
                <w:rFonts w:hint="eastAsia" w:ascii="宋体" w:hAnsi="宋体" w:eastAsia="宋体" w:cs="宋体"/>
                <w:color w:val="auto"/>
                <w:szCs w:val="21"/>
              </w:rPr>
              <w:t>信用评级机构出具的信用评级报告为AAA级证书</w:t>
            </w:r>
            <w:r>
              <w:rPr>
                <w:rFonts w:hint="eastAsia" w:ascii="宋体" w:hAnsi="宋体" w:eastAsia="宋体" w:cs="宋体"/>
                <w:color w:val="auto"/>
                <w:szCs w:val="21"/>
                <w:lang w:eastAsia="zh-CN"/>
              </w:rPr>
              <w:t>得</w:t>
            </w:r>
            <w:r>
              <w:rPr>
                <w:rFonts w:hint="eastAsia" w:ascii="宋体" w:hAnsi="宋体" w:eastAsia="宋体" w:cs="宋体"/>
                <w:color w:val="auto"/>
                <w:szCs w:val="21"/>
                <w:lang w:val="en-US" w:eastAsia="zh-CN"/>
              </w:rPr>
              <w:t>3分，AA</w:t>
            </w:r>
            <w:r>
              <w:rPr>
                <w:rFonts w:hint="eastAsia" w:ascii="宋体" w:hAnsi="宋体" w:eastAsia="宋体" w:cs="宋体"/>
                <w:color w:val="auto"/>
                <w:szCs w:val="21"/>
              </w:rPr>
              <w:t>级证书</w:t>
            </w:r>
            <w:r>
              <w:rPr>
                <w:rFonts w:hint="eastAsia" w:ascii="宋体" w:hAnsi="宋体" w:eastAsia="宋体" w:cs="宋体"/>
                <w:color w:val="auto"/>
                <w:szCs w:val="21"/>
                <w:lang w:val="en-US" w:eastAsia="zh-CN"/>
              </w:rPr>
              <w:t>得2分，A</w:t>
            </w:r>
            <w:r>
              <w:rPr>
                <w:rFonts w:hint="eastAsia" w:ascii="宋体" w:hAnsi="宋体" w:eastAsia="宋体" w:cs="宋体"/>
                <w:color w:val="auto"/>
                <w:szCs w:val="21"/>
              </w:rPr>
              <w:t>级证书</w:t>
            </w:r>
            <w:r>
              <w:rPr>
                <w:rFonts w:hint="eastAsia" w:ascii="宋体" w:hAnsi="宋体" w:eastAsia="宋体" w:cs="宋体"/>
                <w:color w:val="auto"/>
                <w:szCs w:val="21"/>
                <w:lang w:val="en-US" w:eastAsia="zh-CN"/>
              </w:rPr>
              <w:t>得1分其他或</w:t>
            </w:r>
            <w:r>
              <w:rPr>
                <w:rFonts w:hint="eastAsia" w:ascii="宋体" w:hAnsi="宋体" w:eastAsia="宋体" w:cs="宋体"/>
                <w:color w:val="auto"/>
                <w:sz w:val="21"/>
                <w:szCs w:val="21"/>
              </w:rPr>
              <w:t>不提供的不得分</w:t>
            </w:r>
            <w:r>
              <w:rPr>
                <w:rFonts w:hint="eastAsia" w:ascii="宋体" w:hAnsi="宋体" w:eastAsia="宋体" w:cs="宋体"/>
                <w:color w:val="auto"/>
                <w:szCs w:val="21"/>
                <w:lang w:eastAsia="zh-CN"/>
              </w:rPr>
              <w:t>；</w:t>
            </w:r>
          </w:p>
        </w:tc>
        <w:tc>
          <w:tcPr>
            <w:tcW w:w="664"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val="en-US"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73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121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6672"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eastAsia="zh-CN"/>
              </w:rPr>
              <w:t>提供</w:t>
            </w:r>
            <w:r>
              <w:rPr>
                <w:rFonts w:hint="eastAsia" w:ascii="宋体" w:hAnsi="宋体" w:eastAsia="宋体" w:cs="宋体"/>
                <w:color w:val="auto"/>
                <w:kern w:val="0"/>
                <w:szCs w:val="21"/>
              </w:rPr>
              <w:t>软件企业认定证书</w:t>
            </w:r>
            <w:r>
              <w:rPr>
                <w:rFonts w:hint="eastAsia" w:ascii="宋体" w:hAnsi="宋体" w:eastAsia="宋体" w:cs="宋体"/>
                <w:color w:val="auto"/>
                <w:szCs w:val="21"/>
                <w:lang w:eastAsia="zh-CN"/>
              </w:rPr>
              <w:t>得</w:t>
            </w:r>
            <w:r>
              <w:rPr>
                <w:rFonts w:hint="eastAsia" w:ascii="宋体" w:hAnsi="宋体" w:eastAsia="宋体" w:cs="宋体"/>
                <w:color w:val="auto"/>
                <w:szCs w:val="21"/>
                <w:lang w:val="en-US" w:eastAsia="zh-CN"/>
              </w:rPr>
              <w:t>1分，</w:t>
            </w:r>
            <w:r>
              <w:rPr>
                <w:rFonts w:hint="eastAsia" w:ascii="宋体" w:hAnsi="宋体" w:eastAsia="宋体" w:cs="宋体"/>
                <w:color w:val="auto"/>
                <w:sz w:val="21"/>
                <w:szCs w:val="21"/>
              </w:rPr>
              <w:t>不提供的不得分</w:t>
            </w:r>
            <w:r>
              <w:rPr>
                <w:rFonts w:hint="eastAsia" w:ascii="宋体" w:hAnsi="宋体" w:eastAsia="宋体" w:cs="宋体"/>
                <w:color w:val="auto"/>
                <w:kern w:val="0"/>
                <w:szCs w:val="21"/>
                <w:lang w:eastAsia="zh-CN"/>
              </w:rPr>
              <w:t>；</w:t>
            </w:r>
          </w:p>
        </w:tc>
        <w:tc>
          <w:tcPr>
            <w:tcW w:w="664"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val="en-US" w:eastAsia="zh-CN"/>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73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121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6672"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eastAsia="zh-CN"/>
              </w:rPr>
              <w:t>提供</w:t>
            </w:r>
            <w:r>
              <w:rPr>
                <w:rFonts w:hint="eastAsia" w:ascii="宋体" w:hAnsi="宋体" w:eastAsia="宋体" w:cs="宋体"/>
                <w:color w:val="auto"/>
                <w:kern w:val="0"/>
                <w:szCs w:val="21"/>
              </w:rPr>
              <w:t>国家权威部门颁发的高新企业认定证书</w:t>
            </w:r>
            <w:r>
              <w:rPr>
                <w:rFonts w:hint="eastAsia" w:ascii="宋体" w:hAnsi="宋体" w:eastAsia="宋体" w:cs="宋体"/>
                <w:color w:val="auto"/>
                <w:szCs w:val="21"/>
                <w:lang w:eastAsia="zh-CN"/>
              </w:rPr>
              <w:t>得</w:t>
            </w:r>
            <w:r>
              <w:rPr>
                <w:rFonts w:hint="eastAsia" w:ascii="宋体" w:hAnsi="宋体" w:eastAsia="宋体" w:cs="宋体"/>
                <w:color w:val="auto"/>
                <w:szCs w:val="21"/>
                <w:lang w:val="en-US" w:eastAsia="zh-CN"/>
              </w:rPr>
              <w:t>1分，</w:t>
            </w:r>
            <w:r>
              <w:rPr>
                <w:rFonts w:hint="eastAsia" w:ascii="宋体" w:hAnsi="宋体" w:eastAsia="宋体" w:cs="宋体"/>
                <w:color w:val="auto"/>
                <w:sz w:val="21"/>
                <w:szCs w:val="21"/>
              </w:rPr>
              <w:t>不提供的不得分</w:t>
            </w:r>
            <w:r>
              <w:rPr>
                <w:rFonts w:hint="eastAsia" w:ascii="宋体" w:hAnsi="宋体" w:eastAsia="宋体" w:cs="宋体"/>
                <w:color w:val="auto"/>
                <w:kern w:val="0"/>
                <w:szCs w:val="21"/>
                <w:lang w:eastAsia="zh-CN"/>
              </w:rPr>
              <w:t>；</w:t>
            </w:r>
          </w:p>
        </w:tc>
        <w:tc>
          <w:tcPr>
            <w:tcW w:w="664"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val="en-US" w:eastAsia="zh-CN"/>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73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121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6672"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eastAsia="zh-CN"/>
              </w:rPr>
              <w:t>提供教育部高等学校教学指导委员会</w:t>
            </w:r>
            <w:r>
              <w:rPr>
                <w:rFonts w:hint="eastAsia" w:ascii="宋体" w:hAnsi="宋体" w:eastAsia="宋体" w:cs="宋体"/>
                <w:color w:val="auto"/>
                <w:kern w:val="0"/>
                <w:szCs w:val="21"/>
              </w:rPr>
              <w:t>或教育部教育管理信息中心认定或认证证明</w:t>
            </w:r>
            <w:r>
              <w:rPr>
                <w:rFonts w:hint="eastAsia" w:ascii="宋体" w:hAnsi="宋体" w:eastAsia="宋体" w:cs="宋体"/>
                <w:color w:val="auto"/>
                <w:szCs w:val="21"/>
                <w:lang w:eastAsia="zh-CN"/>
              </w:rPr>
              <w:t>得</w:t>
            </w:r>
            <w:r>
              <w:rPr>
                <w:rFonts w:hint="eastAsia" w:ascii="宋体" w:hAnsi="宋体" w:eastAsia="宋体" w:cs="宋体"/>
                <w:color w:val="auto"/>
                <w:szCs w:val="21"/>
                <w:lang w:val="en-US" w:eastAsia="zh-CN"/>
              </w:rPr>
              <w:t>1分，</w:t>
            </w:r>
            <w:r>
              <w:rPr>
                <w:rFonts w:hint="eastAsia" w:ascii="宋体" w:hAnsi="宋体" w:eastAsia="宋体" w:cs="宋体"/>
                <w:color w:val="auto"/>
                <w:sz w:val="21"/>
                <w:szCs w:val="21"/>
              </w:rPr>
              <w:t>不提供的不得分</w:t>
            </w:r>
            <w:r>
              <w:rPr>
                <w:rFonts w:hint="eastAsia" w:ascii="宋体" w:hAnsi="宋体" w:eastAsia="宋体" w:cs="宋体"/>
                <w:color w:val="auto"/>
                <w:kern w:val="0"/>
                <w:szCs w:val="21"/>
                <w:lang w:eastAsia="zh-CN"/>
              </w:rPr>
              <w:t>；</w:t>
            </w:r>
          </w:p>
        </w:tc>
        <w:tc>
          <w:tcPr>
            <w:tcW w:w="664"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val="en-US" w:eastAsia="zh-CN"/>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73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121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6672"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eastAsia="zh-CN"/>
              </w:rPr>
              <w:t>提供</w:t>
            </w:r>
            <w:r>
              <w:rPr>
                <w:rFonts w:hint="eastAsia" w:ascii="宋体" w:hAnsi="宋体" w:eastAsia="宋体" w:cs="宋体"/>
                <w:color w:val="auto"/>
                <w:kern w:val="0"/>
                <w:szCs w:val="21"/>
              </w:rPr>
              <w:t>质量管理体系认证</w:t>
            </w:r>
            <w:r>
              <w:rPr>
                <w:rFonts w:hint="eastAsia" w:ascii="宋体" w:hAnsi="宋体" w:eastAsia="宋体" w:cs="宋体"/>
                <w:color w:val="auto"/>
                <w:szCs w:val="21"/>
                <w:lang w:eastAsia="zh-CN"/>
              </w:rPr>
              <w:t>得</w:t>
            </w:r>
            <w:r>
              <w:rPr>
                <w:rFonts w:hint="eastAsia" w:ascii="宋体" w:hAnsi="宋体" w:eastAsia="宋体" w:cs="宋体"/>
                <w:color w:val="auto"/>
                <w:szCs w:val="21"/>
                <w:lang w:val="en-US" w:eastAsia="zh-CN"/>
              </w:rPr>
              <w:t>1分，</w:t>
            </w:r>
            <w:r>
              <w:rPr>
                <w:rFonts w:hint="eastAsia" w:ascii="宋体" w:hAnsi="宋体" w:eastAsia="宋体" w:cs="宋体"/>
                <w:color w:val="auto"/>
                <w:sz w:val="21"/>
                <w:szCs w:val="21"/>
              </w:rPr>
              <w:t>不提供的不得分</w:t>
            </w:r>
            <w:r>
              <w:rPr>
                <w:rFonts w:hint="eastAsia" w:ascii="宋体" w:hAnsi="宋体" w:eastAsia="宋体" w:cs="宋体"/>
                <w:color w:val="auto"/>
                <w:kern w:val="0"/>
                <w:szCs w:val="21"/>
                <w:lang w:eastAsia="zh-CN"/>
              </w:rPr>
              <w:t>；</w:t>
            </w:r>
          </w:p>
        </w:tc>
        <w:tc>
          <w:tcPr>
            <w:tcW w:w="664"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val="en-US" w:eastAsia="zh-CN"/>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73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121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6672"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eastAsia="zh-CN"/>
              </w:rPr>
              <w:t>提供</w:t>
            </w:r>
            <w:r>
              <w:rPr>
                <w:rFonts w:hint="eastAsia" w:ascii="宋体" w:hAnsi="宋体" w:eastAsia="宋体" w:cs="宋体"/>
                <w:color w:val="auto"/>
                <w:kern w:val="0"/>
                <w:szCs w:val="21"/>
              </w:rPr>
              <w:t>信息安全体系认证</w:t>
            </w:r>
            <w:r>
              <w:rPr>
                <w:rFonts w:hint="eastAsia" w:ascii="宋体" w:hAnsi="宋体" w:eastAsia="宋体" w:cs="宋体"/>
                <w:color w:val="auto"/>
                <w:szCs w:val="21"/>
                <w:lang w:eastAsia="zh-CN"/>
              </w:rPr>
              <w:t>得</w:t>
            </w:r>
            <w:r>
              <w:rPr>
                <w:rFonts w:hint="eastAsia" w:ascii="宋体" w:hAnsi="宋体" w:eastAsia="宋体" w:cs="宋体"/>
                <w:color w:val="auto"/>
                <w:szCs w:val="21"/>
                <w:lang w:val="en-US" w:eastAsia="zh-CN"/>
              </w:rPr>
              <w:t>1分，</w:t>
            </w:r>
            <w:r>
              <w:rPr>
                <w:rFonts w:hint="eastAsia" w:ascii="宋体" w:hAnsi="宋体" w:eastAsia="宋体" w:cs="宋体"/>
                <w:color w:val="auto"/>
                <w:sz w:val="21"/>
                <w:szCs w:val="21"/>
              </w:rPr>
              <w:t>不提供的不得分</w:t>
            </w:r>
            <w:r>
              <w:rPr>
                <w:rFonts w:hint="eastAsia" w:ascii="宋体" w:hAnsi="宋体" w:eastAsia="宋体" w:cs="宋体"/>
                <w:color w:val="auto"/>
                <w:kern w:val="0"/>
                <w:szCs w:val="21"/>
                <w:lang w:eastAsia="zh-CN"/>
              </w:rPr>
              <w:t>；</w:t>
            </w:r>
          </w:p>
        </w:tc>
        <w:tc>
          <w:tcPr>
            <w:tcW w:w="664"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val="en-US" w:eastAsia="zh-CN"/>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73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1216" w:type="dxa"/>
            <w:vMerge w:val="continue"/>
            <w:vAlign w:val="center"/>
          </w:tcPr>
          <w:p>
            <w:pPr>
              <w:widowControl/>
              <w:spacing w:line="240" w:lineRule="auto"/>
              <w:jc w:val="left"/>
              <w:textAlignment w:val="center"/>
              <w:rPr>
                <w:rFonts w:hint="eastAsia" w:ascii="宋体" w:hAnsi="宋体" w:eastAsia="宋体" w:cs="宋体"/>
                <w:color w:val="auto"/>
                <w:sz w:val="21"/>
                <w:szCs w:val="21"/>
              </w:rPr>
            </w:pPr>
          </w:p>
        </w:tc>
        <w:tc>
          <w:tcPr>
            <w:tcW w:w="6672"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Cs w:val="21"/>
                <w:lang w:eastAsia="zh-CN"/>
              </w:rPr>
              <w:t>提供</w:t>
            </w:r>
            <w:r>
              <w:rPr>
                <w:rFonts w:hint="eastAsia" w:ascii="宋体" w:hAnsi="宋体" w:eastAsia="宋体" w:cs="宋体"/>
                <w:color w:val="auto"/>
                <w:szCs w:val="21"/>
              </w:rPr>
              <w:t>音像制品制作许可证</w:t>
            </w:r>
            <w:r>
              <w:rPr>
                <w:rFonts w:hint="eastAsia" w:ascii="宋体" w:hAnsi="宋体" w:eastAsia="宋体" w:cs="宋体"/>
                <w:color w:val="auto"/>
                <w:szCs w:val="21"/>
                <w:lang w:eastAsia="zh-CN"/>
              </w:rPr>
              <w:t>得</w:t>
            </w:r>
            <w:r>
              <w:rPr>
                <w:rFonts w:hint="eastAsia" w:ascii="宋体" w:hAnsi="宋体" w:eastAsia="宋体" w:cs="宋体"/>
                <w:color w:val="auto"/>
                <w:szCs w:val="21"/>
                <w:lang w:val="en-US" w:eastAsia="zh-CN"/>
              </w:rPr>
              <w:t>1分，</w:t>
            </w:r>
            <w:r>
              <w:rPr>
                <w:rFonts w:hint="eastAsia" w:ascii="宋体" w:hAnsi="宋体" w:eastAsia="宋体" w:cs="宋体"/>
                <w:color w:val="auto"/>
                <w:sz w:val="21"/>
                <w:szCs w:val="21"/>
              </w:rPr>
              <w:t>不提供的不得分</w:t>
            </w:r>
            <w:r>
              <w:rPr>
                <w:rFonts w:hint="eastAsia" w:ascii="宋体" w:hAnsi="宋体" w:eastAsia="宋体" w:cs="宋体"/>
                <w:color w:val="auto"/>
                <w:szCs w:val="21"/>
                <w:lang w:eastAsia="zh-CN"/>
              </w:rPr>
              <w:t>；</w:t>
            </w:r>
          </w:p>
        </w:tc>
        <w:tc>
          <w:tcPr>
            <w:tcW w:w="664" w:type="dxa"/>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val="en-US" w:eastAsia="zh-CN"/>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spacing w:line="240" w:lineRule="auto"/>
              <w:rPr>
                <w:rFonts w:hint="eastAsia" w:ascii="宋体" w:hAnsi="宋体" w:eastAsia="宋体" w:cs="宋体"/>
                <w:color w:val="auto"/>
                <w:sz w:val="21"/>
                <w:szCs w:val="21"/>
              </w:rPr>
            </w:pPr>
          </w:p>
        </w:tc>
        <w:tc>
          <w:tcPr>
            <w:tcW w:w="1216" w:type="dxa"/>
            <w:vMerge w:val="continue"/>
            <w:vAlign w:val="center"/>
          </w:tcPr>
          <w:p>
            <w:pPr>
              <w:spacing w:line="240" w:lineRule="auto"/>
              <w:rPr>
                <w:rFonts w:hint="eastAsia" w:ascii="宋体" w:hAnsi="宋体" w:eastAsia="宋体" w:cs="宋体"/>
                <w:color w:val="auto"/>
                <w:spacing w:val="-6"/>
                <w:kern w:val="2"/>
                <w:sz w:val="21"/>
                <w:szCs w:val="21"/>
                <w:lang w:val="en-US" w:eastAsia="zh-CN" w:bidi="ar-SA"/>
              </w:rPr>
            </w:pPr>
          </w:p>
        </w:tc>
        <w:tc>
          <w:tcPr>
            <w:tcW w:w="6672" w:type="dxa"/>
            <w:vAlign w:val="top"/>
          </w:tcPr>
          <w:p>
            <w:pPr>
              <w:widowControl/>
              <w:spacing w:line="240" w:lineRule="auto"/>
              <w:jc w:val="left"/>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Cs w:val="21"/>
                <w:lang w:eastAsia="zh-CN"/>
              </w:rPr>
              <w:t>供应商拟投入人员</w:t>
            </w:r>
            <w:r>
              <w:rPr>
                <w:rFonts w:hint="eastAsia" w:ascii="宋体" w:hAnsi="宋体" w:eastAsia="宋体" w:cs="宋体"/>
                <w:color w:val="auto"/>
                <w:szCs w:val="21"/>
              </w:rPr>
              <w:t>具有央媒颁发的互联网内容风控培训证书，提供一个得3分，需提供</w:t>
            </w:r>
            <w:r>
              <w:rPr>
                <w:rFonts w:hint="eastAsia" w:ascii="宋体" w:hAnsi="宋体" w:eastAsia="宋体" w:cs="宋体"/>
                <w:color w:val="auto"/>
                <w:szCs w:val="21"/>
                <w:lang w:eastAsia="zh-CN"/>
              </w:rPr>
              <w:t>人员</w:t>
            </w:r>
            <w:r>
              <w:rPr>
                <w:rFonts w:hint="eastAsia" w:ascii="宋体" w:hAnsi="宋体" w:eastAsia="宋体" w:cs="宋体"/>
                <w:color w:val="auto"/>
                <w:szCs w:val="21"/>
              </w:rPr>
              <w:t>身份证</w:t>
            </w:r>
            <w:r>
              <w:rPr>
                <w:rFonts w:hint="eastAsia" w:ascii="宋体" w:hAnsi="宋体" w:eastAsia="宋体" w:cs="宋体"/>
                <w:color w:val="auto"/>
                <w:szCs w:val="21"/>
                <w:lang w:eastAsia="zh-CN"/>
              </w:rPr>
              <w:t>及</w:t>
            </w:r>
            <w:r>
              <w:rPr>
                <w:rFonts w:hint="eastAsia" w:ascii="宋体" w:hAnsi="宋体" w:eastAsia="宋体" w:cs="宋体"/>
                <w:color w:val="auto"/>
                <w:szCs w:val="21"/>
              </w:rPr>
              <w:t>劳动合同</w:t>
            </w:r>
            <w:r>
              <w:rPr>
                <w:rFonts w:hint="eastAsia" w:ascii="宋体" w:hAnsi="宋体" w:eastAsia="宋体" w:cs="宋体"/>
                <w:color w:val="auto"/>
                <w:szCs w:val="21"/>
                <w:lang w:eastAsia="zh-CN"/>
              </w:rPr>
              <w:t>等</w:t>
            </w:r>
            <w:r>
              <w:rPr>
                <w:rFonts w:hint="eastAsia" w:ascii="宋体" w:hAnsi="宋体" w:eastAsia="宋体" w:cs="宋体"/>
                <w:color w:val="auto"/>
                <w:szCs w:val="21"/>
              </w:rPr>
              <w:t>证明</w:t>
            </w:r>
            <w:r>
              <w:rPr>
                <w:rFonts w:hint="eastAsia" w:ascii="宋体" w:hAnsi="宋体" w:eastAsia="宋体" w:cs="宋体"/>
                <w:color w:val="auto"/>
                <w:szCs w:val="21"/>
                <w:lang w:eastAsia="zh-CN"/>
              </w:rPr>
              <w:t>材料</w:t>
            </w:r>
            <w:r>
              <w:rPr>
                <w:rFonts w:hint="eastAsia" w:ascii="宋体" w:hAnsi="宋体" w:eastAsia="宋体" w:cs="宋体"/>
                <w:color w:val="auto"/>
                <w:szCs w:val="21"/>
              </w:rPr>
              <w:t>，不提供不得分，</w:t>
            </w:r>
            <w:r>
              <w:rPr>
                <w:rFonts w:hint="eastAsia" w:ascii="宋体" w:hAnsi="宋体" w:eastAsia="宋体" w:cs="宋体"/>
                <w:color w:val="auto"/>
                <w:szCs w:val="21"/>
                <w:lang w:eastAsia="zh-CN"/>
              </w:rPr>
              <w:t>最多得</w:t>
            </w:r>
            <w:r>
              <w:rPr>
                <w:rFonts w:hint="eastAsia" w:ascii="宋体" w:hAnsi="宋体" w:eastAsia="宋体" w:cs="宋体"/>
                <w:color w:val="auto"/>
                <w:szCs w:val="21"/>
              </w:rPr>
              <w:t>6分。</w:t>
            </w:r>
          </w:p>
        </w:tc>
        <w:tc>
          <w:tcPr>
            <w:tcW w:w="664" w:type="dxa"/>
            <w:vAlign w:val="center"/>
          </w:tcPr>
          <w:p>
            <w:pPr>
              <w:widowControl/>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6</w:t>
            </w:r>
            <w:r>
              <w:rPr>
                <w:rFonts w:hint="eastAsia" w:ascii="宋体" w:hAnsi="宋体" w:eastAsia="宋体" w:cs="宋体"/>
                <w:color w:val="auto"/>
                <w:kern w:val="0"/>
                <w:szCs w:val="21"/>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736" w:type="dxa"/>
            <w:vMerge w:val="continue"/>
            <w:vAlign w:val="center"/>
          </w:tcPr>
          <w:p>
            <w:pPr>
              <w:spacing w:line="240" w:lineRule="auto"/>
              <w:rPr>
                <w:rFonts w:hint="eastAsia" w:ascii="宋体" w:hAnsi="宋体" w:eastAsia="宋体" w:cs="宋体"/>
                <w:color w:val="auto"/>
                <w:sz w:val="21"/>
                <w:szCs w:val="21"/>
              </w:rPr>
            </w:pPr>
          </w:p>
        </w:tc>
        <w:tc>
          <w:tcPr>
            <w:tcW w:w="1216" w:type="dxa"/>
            <w:vMerge w:val="continue"/>
            <w:vAlign w:val="center"/>
          </w:tcPr>
          <w:p>
            <w:pPr>
              <w:spacing w:line="240" w:lineRule="auto"/>
              <w:rPr>
                <w:rFonts w:hint="eastAsia" w:ascii="宋体" w:hAnsi="宋体" w:eastAsia="宋体" w:cs="宋体"/>
                <w:color w:val="auto"/>
                <w:spacing w:val="-6"/>
                <w:kern w:val="0"/>
                <w:sz w:val="21"/>
                <w:szCs w:val="21"/>
              </w:rPr>
            </w:pPr>
          </w:p>
        </w:tc>
        <w:tc>
          <w:tcPr>
            <w:tcW w:w="6672" w:type="dxa"/>
            <w:tcBorders>
              <w:bottom w:val="single" w:color="auto" w:sz="4" w:space="0"/>
            </w:tcBorders>
            <w:vAlign w:val="top"/>
          </w:tcPr>
          <w:p>
            <w:pPr>
              <w:widowControl/>
              <w:spacing w:line="240" w:lineRule="auto"/>
              <w:jc w:val="left"/>
              <w:textAlignment w:val="top"/>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供应商</w:t>
            </w:r>
            <w:r>
              <w:rPr>
                <w:rFonts w:hint="eastAsia" w:ascii="宋体" w:hAnsi="宋体" w:eastAsia="宋体" w:cs="宋体"/>
                <w:color w:val="auto"/>
                <w:szCs w:val="21"/>
              </w:rPr>
              <w:t>自有知识产权平台具有信息系统安全等级保护备案证明三级及以上得3分，二级得2分，其他不得分。</w:t>
            </w:r>
          </w:p>
        </w:tc>
        <w:tc>
          <w:tcPr>
            <w:tcW w:w="664" w:type="dxa"/>
            <w:vAlign w:val="center"/>
          </w:tcPr>
          <w:p>
            <w:pPr>
              <w:widowControl/>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bidi="ar-SA"/>
              </w:rPr>
              <w:t>3</w:t>
            </w:r>
            <w:r>
              <w:rPr>
                <w:rFonts w:hint="eastAsia" w:ascii="宋体" w:hAnsi="宋体" w:eastAsia="宋体" w:cs="宋体"/>
                <w:color w:val="auto"/>
                <w:kern w:val="0"/>
                <w:sz w:val="21"/>
                <w:szCs w:val="21"/>
                <w:lang w:val="en-US" w:eastAsia="zh-CN" w:bidi="ar-SA"/>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736" w:type="dxa"/>
            <w:vMerge w:val="continue"/>
            <w:vAlign w:val="center"/>
          </w:tcPr>
          <w:p>
            <w:pPr>
              <w:widowControl/>
              <w:spacing w:line="240" w:lineRule="auto"/>
              <w:jc w:val="left"/>
              <w:textAlignment w:val="top"/>
              <w:rPr>
                <w:rFonts w:hint="eastAsia" w:ascii="宋体" w:hAnsi="宋体" w:eastAsia="宋体" w:cs="宋体"/>
                <w:color w:val="auto"/>
              </w:rPr>
            </w:pPr>
          </w:p>
        </w:tc>
        <w:tc>
          <w:tcPr>
            <w:tcW w:w="1216" w:type="dxa"/>
            <w:vMerge w:val="continue"/>
            <w:vAlign w:val="center"/>
          </w:tcPr>
          <w:p>
            <w:pPr>
              <w:widowControl/>
              <w:spacing w:line="240" w:lineRule="auto"/>
              <w:jc w:val="left"/>
              <w:textAlignment w:val="top"/>
              <w:rPr>
                <w:rFonts w:hint="eastAsia" w:ascii="宋体" w:hAnsi="宋体" w:eastAsia="宋体" w:cs="宋体"/>
                <w:color w:val="auto"/>
              </w:rPr>
            </w:pPr>
          </w:p>
        </w:tc>
        <w:tc>
          <w:tcPr>
            <w:tcW w:w="6672" w:type="dxa"/>
            <w:tcBorders>
              <w:bottom w:val="single" w:color="auto" w:sz="4" w:space="0"/>
            </w:tcBorders>
            <w:vAlign w:val="top"/>
          </w:tcPr>
          <w:p>
            <w:pPr>
              <w:widowControl/>
              <w:spacing w:line="240" w:lineRule="auto"/>
              <w:jc w:val="left"/>
              <w:textAlignment w:val="top"/>
              <w:rPr>
                <w:rFonts w:hint="eastAsia" w:ascii="宋体" w:hAnsi="宋体" w:eastAsia="宋体" w:cs="宋体"/>
                <w:color w:val="auto"/>
                <w:szCs w:val="21"/>
              </w:rPr>
            </w:pPr>
            <w:r>
              <w:rPr>
                <w:rFonts w:hint="eastAsia" w:ascii="宋体" w:hAnsi="宋体" w:eastAsia="宋体" w:cs="宋体"/>
                <w:color w:val="auto"/>
                <w:szCs w:val="21"/>
                <w:lang w:eastAsia="zh-CN"/>
              </w:rPr>
              <w:t>供应商</w:t>
            </w:r>
            <w:r>
              <w:rPr>
                <w:rFonts w:hint="eastAsia" w:ascii="宋体" w:hAnsi="宋体" w:eastAsia="宋体" w:cs="宋体"/>
                <w:color w:val="auto"/>
                <w:szCs w:val="21"/>
              </w:rPr>
              <w:t>自有知识产权平台APP具有信息系统安全等级保护备案证明三级及以上得3分，二级得2分，其他不得分。</w:t>
            </w:r>
          </w:p>
        </w:tc>
        <w:tc>
          <w:tcPr>
            <w:tcW w:w="664" w:type="dxa"/>
            <w:tcBorders>
              <w:bottom w:val="single" w:color="auto" w:sz="4" w:space="0"/>
            </w:tcBorders>
            <w:vAlign w:val="center"/>
          </w:tcPr>
          <w:p>
            <w:pPr>
              <w:widowControl/>
              <w:spacing w:line="240" w:lineRule="auto"/>
              <w:jc w:val="center"/>
              <w:textAlignment w:val="top"/>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3</w:t>
            </w:r>
            <w:r>
              <w:rPr>
                <w:rFonts w:hint="eastAsia" w:ascii="宋体" w:hAnsi="宋体" w:eastAsia="宋体" w:cs="宋体"/>
                <w:color w:val="auto"/>
                <w:szCs w:val="21"/>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vAlign w:val="center"/>
          </w:tcPr>
          <w:p>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技术服务</w:t>
            </w:r>
            <w:r>
              <w:rPr>
                <w:rFonts w:hint="eastAsia" w:ascii="宋体" w:hAnsi="宋体" w:eastAsia="宋体" w:cs="宋体"/>
                <w:color w:val="auto"/>
                <w:spacing w:val="-6"/>
                <w:sz w:val="21"/>
                <w:szCs w:val="21"/>
                <w:lang w:val="en-US" w:eastAsia="zh-CN"/>
              </w:rPr>
              <w:t>50</w:t>
            </w:r>
            <w:r>
              <w:rPr>
                <w:rFonts w:hint="eastAsia" w:ascii="宋体" w:hAnsi="宋体" w:eastAsia="宋体" w:cs="宋体"/>
                <w:color w:val="auto"/>
                <w:spacing w:val="-6"/>
                <w:sz w:val="21"/>
                <w:szCs w:val="21"/>
              </w:rPr>
              <w:t>分</w:t>
            </w:r>
          </w:p>
        </w:tc>
        <w:tc>
          <w:tcPr>
            <w:tcW w:w="1216" w:type="dxa"/>
            <w:vAlign w:val="center"/>
          </w:tcPr>
          <w:p>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技术响应</w:t>
            </w:r>
          </w:p>
        </w:tc>
        <w:tc>
          <w:tcPr>
            <w:tcW w:w="6672" w:type="dxa"/>
            <w:vAlign w:val="center"/>
          </w:tcPr>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所投产品技术参数响应情况占</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分，具体由</w:t>
            </w:r>
            <w:r>
              <w:rPr>
                <w:rFonts w:hint="eastAsia" w:ascii="宋体" w:hAnsi="宋体" w:eastAsia="宋体" w:cs="宋体"/>
                <w:color w:val="auto"/>
                <w:sz w:val="21"/>
                <w:szCs w:val="21"/>
                <w:lang w:eastAsia="zh-CN"/>
              </w:rPr>
              <w:t>磋商小组</w:t>
            </w: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中产品情况、《技术响应、偏离说明表》等有关资料打分。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其中：完全满足</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技术参数要求的得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分；在此基础上</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中标注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”的内容为</w:t>
            </w:r>
            <w:r>
              <w:rPr>
                <w:rFonts w:hint="eastAsia" w:ascii="宋体" w:hAnsi="宋体" w:eastAsia="宋体" w:cs="宋体"/>
                <w:color w:val="auto"/>
                <w:sz w:val="21"/>
                <w:szCs w:val="21"/>
                <w:lang w:eastAsia="zh-CN"/>
              </w:rPr>
              <w:t>关键性</w:t>
            </w:r>
            <w:r>
              <w:rPr>
                <w:rFonts w:hint="eastAsia" w:ascii="宋体" w:hAnsi="宋体" w:eastAsia="宋体" w:cs="宋体"/>
                <w:color w:val="auto"/>
                <w:sz w:val="21"/>
                <w:szCs w:val="21"/>
              </w:rPr>
              <w:t>条款，则每项扣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分；无标注“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”的内容有一项不符合的则每项扣</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分扣完为止。</w:t>
            </w:r>
          </w:p>
          <w:p>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备注：复制</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技术要求作为实际响应数据或投标响应数据无对应支持文件的，其技术响应将可能按负偏离处理。</w:t>
            </w:r>
          </w:p>
        </w:tc>
        <w:tc>
          <w:tcPr>
            <w:tcW w:w="664" w:type="dxa"/>
            <w:vAlign w:val="center"/>
          </w:tcPr>
          <w:p>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spacing w:line="240" w:lineRule="auto"/>
              <w:ind w:left="-4" w:leftChars="-2" w:firstLine="2" w:firstLineChars="1"/>
              <w:rPr>
                <w:rFonts w:hint="eastAsia" w:ascii="宋体" w:hAnsi="宋体" w:eastAsia="宋体" w:cs="宋体"/>
                <w:color w:val="auto"/>
                <w:sz w:val="21"/>
                <w:szCs w:val="21"/>
              </w:rPr>
            </w:pPr>
          </w:p>
        </w:tc>
        <w:tc>
          <w:tcPr>
            <w:tcW w:w="1216" w:type="dxa"/>
            <w:vAlign w:val="center"/>
          </w:tcPr>
          <w:p>
            <w:pPr>
              <w:widowControl/>
              <w:spacing w:line="240" w:lineRule="auto"/>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rPr>
              <w:t>对项目</w:t>
            </w:r>
            <w:r>
              <w:rPr>
                <w:rFonts w:hint="eastAsia" w:ascii="宋体" w:hAnsi="宋体" w:eastAsia="宋体" w:cs="宋体"/>
                <w:color w:val="auto"/>
                <w:kern w:val="0"/>
                <w:szCs w:val="21"/>
                <w:lang w:eastAsia="zh-CN"/>
              </w:rPr>
              <w:t>特点</w:t>
            </w:r>
            <w:r>
              <w:rPr>
                <w:rFonts w:hint="eastAsia" w:ascii="宋体" w:hAnsi="宋体" w:eastAsia="宋体" w:cs="宋体"/>
                <w:color w:val="auto"/>
                <w:kern w:val="0"/>
                <w:szCs w:val="21"/>
              </w:rPr>
              <w:t>的理解</w:t>
            </w:r>
            <w:r>
              <w:rPr>
                <w:rFonts w:hint="eastAsia" w:ascii="宋体" w:hAnsi="宋体" w:eastAsia="宋体" w:cs="宋体"/>
                <w:color w:val="auto"/>
                <w:kern w:val="0"/>
                <w:szCs w:val="21"/>
                <w:lang w:eastAsia="zh-CN"/>
              </w:rPr>
              <w:t>及整体解决方案</w:t>
            </w:r>
          </w:p>
        </w:tc>
        <w:tc>
          <w:tcPr>
            <w:tcW w:w="6672" w:type="dxa"/>
            <w:vAlign w:val="center"/>
          </w:tcPr>
          <w:p>
            <w:pPr>
              <w:widowControl/>
              <w:spacing w:line="240" w:lineRule="auto"/>
              <w:textAlignment w:val="center"/>
              <w:rPr>
                <w:rFonts w:hint="eastAsia" w:ascii="宋体" w:hAnsi="宋体" w:eastAsia="宋体" w:cs="宋体"/>
                <w:color w:val="auto"/>
                <w:lang w:eastAsia="zh-CN"/>
              </w:rPr>
            </w:pPr>
            <w:r>
              <w:rPr>
                <w:rFonts w:hint="eastAsia" w:ascii="宋体" w:hAnsi="宋体" w:eastAsia="宋体" w:cs="宋体"/>
                <w:color w:val="auto"/>
              </w:rPr>
              <w:t>根据</w:t>
            </w:r>
            <w:r>
              <w:rPr>
                <w:rFonts w:hint="eastAsia" w:ascii="宋体" w:hAnsi="宋体" w:eastAsia="宋体" w:cs="宋体"/>
                <w:color w:val="auto"/>
                <w:lang w:eastAsia="zh-CN"/>
              </w:rPr>
              <w:t>供应商</w:t>
            </w:r>
            <w:r>
              <w:rPr>
                <w:rFonts w:hint="eastAsia" w:ascii="宋体" w:hAnsi="宋体" w:eastAsia="宋体" w:cs="宋体"/>
                <w:color w:val="auto"/>
              </w:rPr>
              <w:t>对当前在线课程的趋势、面临的问题、项目的需求、项目的难点有深度的认识，并能提出整体解决方案。根据设计情况</w:t>
            </w:r>
            <w:r>
              <w:rPr>
                <w:rFonts w:hint="eastAsia" w:ascii="宋体" w:hAnsi="宋体" w:eastAsia="宋体" w:cs="宋体"/>
                <w:color w:val="auto"/>
                <w:lang w:eastAsia="zh-CN"/>
              </w:rPr>
              <w:t>进行综合评分</w:t>
            </w:r>
          </w:p>
          <w:p>
            <w:pPr>
              <w:spacing w:line="240" w:lineRule="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科学、合理，针对性强，3分；</w:t>
            </w:r>
          </w:p>
          <w:p>
            <w:pPr>
              <w:spacing w:line="240" w:lineRule="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合理，可行，2分；</w:t>
            </w:r>
          </w:p>
          <w:p>
            <w:pPr>
              <w:spacing w:line="240" w:lineRule="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欠合理，基本可行，1分；</w:t>
            </w:r>
          </w:p>
          <w:p>
            <w:pPr>
              <w:spacing w:line="240" w:lineRule="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不可行，0 分。</w:t>
            </w:r>
          </w:p>
        </w:tc>
        <w:tc>
          <w:tcPr>
            <w:tcW w:w="664" w:type="dxa"/>
            <w:vAlign w:val="center"/>
          </w:tcPr>
          <w:p>
            <w:pPr>
              <w:widowControl/>
              <w:spacing w:line="24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val="en-US"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55" w:hRule="atLeast"/>
        </w:trPr>
        <w:tc>
          <w:tcPr>
            <w:tcW w:w="736" w:type="dxa"/>
            <w:vMerge w:val="continue"/>
            <w:vAlign w:val="center"/>
          </w:tcPr>
          <w:p>
            <w:pPr>
              <w:spacing w:line="240" w:lineRule="auto"/>
              <w:rPr>
                <w:rFonts w:hint="eastAsia" w:ascii="宋体" w:hAnsi="宋体" w:eastAsia="宋体" w:cs="宋体"/>
                <w:color w:val="auto"/>
                <w:sz w:val="21"/>
                <w:szCs w:val="21"/>
              </w:rPr>
            </w:pPr>
          </w:p>
        </w:tc>
        <w:tc>
          <w:tcPr>
            <w:tcW w:w="1216" w:type="dxa"/>
            <w:vMerge w:val="restart"/>
            <w:vAlign w:val="center"/>
          </w:tcPr>
          <w:p>
            <w:pPr>
              <w:widowControl/>
              <w:spacing w:line="24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eastAsia="zh-CN"/>
              </w:rPr>
              <w:t>拟投入人员</w:t>
            </w:r>
            <w:r>
              <w:rPr>
                <w:rFonts w:hint="eastAsia" w:ascii="宋体" w:hAnsi="宋体" w:eastAsia="宋体" w:cs="宋体"/>
                <w:color w:val="auto"/>
                <w:kern w:val="0"/>
                <w:szCs w:val="21"/>
              </w:rPr>
              <w:t>人员及物资装备</w:t>
            </w:r>
          </w:p>
          <w:p>
            <w:pPr>
              <w:spacing w:line="240" w:lineRule="auto"/>
              <w:rPr>
                <w:rFonts w:hint="eastAsia" w:ascii="宋体" w:hAnsi="宋体" w:eastAsia="宋体" w:cs="宋体"/>
                <w:color w:val="auto"/>
                <w:spacing w:val="-6"/>
                <w:kern w:val="0"/>
                <w:sz w:val="21"/>
                <w:szCs w:val="21"/>
              </w:rPr>
            </w:pPr>
          </w:p>
        </w:tc>
        <w:tc>
          <w:tcPr>
            <w:tcW w:w="6672" w:type="dxa"/>
            <w:vAlign w:val="center"/>
          </w:tcPr>
          <w:p>
            <w:pPr>
              <w:widowControl/>
              <w:spacing w:line="240" w:lineRule="auto"/>
              <w:textAlignment w:val="center"/>
              <w:rPr>
                <w:rFonts w:hint="eastAsia" w:ascii="宋体" w:hAnsi="宋体" w:eastAsia="宋体" w:cs="宋体"/>
                <w:color w:val="auto"/>
                <w:kern w:val="0"/>
                <w:szCs w:val="21"/>
              </w:rPr>
            </w:pPr>
            <w:r>
              <w:rPr>
                <w:rFonts w:hint="eastAsia" w:ascii="宋体" w:hAnsi="宋体" w:eastAsia="宋体" w:cs="宋体"/>
                <w:color w:val="auto"/>
                <w:szCs w:val="21"/>
                <w:lang w:eastAsia="zh-CN"/>
              </w:rPr>
              <w:t>供应商</w:t>
            </w:r>
            <w:r>
              <w:rPr>
                <w:rFonts w:hint="eastAsia" w:ascii="宋体" w:hAnsi="宋体" w:eastAsia="宋体" w:cs="宋体"/>
                <w:color w:val="auto"/>
                <w:szCs w:val="21"/>
              </w:rPr>
              <w:t>为该项目配备人员合理，证书资质齐全，符合教育部在线开放课程管理办法要求，配备教育技术人员，提供相关学历证明文件，要求提供教育技术专业</w:t>
            </w:r>
            <w:r>
              <w:rPr>
                <w:rFonts w:hint="eastAsia" w:ascii="宋体" w:hAnsi="宋体" w:eastAsia="宋体" w:cs="宋体"/>
                <w:color w:val="auto"/>
                <w:szCs w:val="21"/>
                <w:lang w:eastAsia="zh-CN"/>
              </w:rPr>
              <w:t>本科</w:t>
            </w:r>
            <w:r>
              <w:rPr>
                <w:rFonts w:hint="eastAsia" w:ascii="宋体" w:hAnsi="宋体" w:eastAsia="宋体" w:cs="宋体"/>
                <w:color w:val="auto"/>
                <w:szCs w:val="21"/>
              </w:rPr>
              <w:t>毕业证书，985高校一个得1分，其他高校一个得0.5分，最高</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p>
            <w:pPr>
              <w:widowControl/>
              <w:spacing w:line="240" w:lineRule="auto"/>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eastAsia="zh-CN"/>
              </w:rPr>
              <w:t>需提供配备人员</w:t>
            </w:r>
            <w:r>
              <w:rPr>
                <w:rFonts w:hint="eastAsia" w:ascii="宋体" w:hAnsi="宋体" w:eastAsia="宋体" w:cs="宋体"/>
                <w:color w:val="auto"/>
                <w:kern w:val="0"/>
                <w:szCs w:val="21"/>
              </w:rPr>
              <w:t>身份证、资格证、劳动合同</w:t>
            </w:r>
            <w:r>
              <w:rPr>
                <w:rFonts w:hint="eastAsia" w:ascii="宋体" w:hAnsi="宋体" w:eastAsia="宋体" w:cs="宋体"/>
                <w:color w:val="auto"/>
                <w:kern w:val="0"/>
                <w:szCs w:val="21"/>
                <w:lang w:eastAsia="zh-CN"/>
              </w:rPr>
              <w:t>等证明材料</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未提供不得分</w:t>
            </w:r>
            <w:r>
              <w:rPr>
                <w:rFonts w:hint="eastAsia" w:ascii="宋体" w:hAnsi="宋体" w:eastAsia="宋体" w:cs="宋体"/>
                <w:color w:val="auto"/>
                <w:kern w:val="0"/>
                <w:szCs w:val="21"/>
              </w:rPr>
              <w:t>。</w:t>
            </w:r>
          </w:p>
        </w:tc>
        <w:tc>
          <w:tcPr>
            <w:tcW w:w="664" w:type="dxa"/>
            <w:vAlign w:val="center"/>
          </w:tcPr>
          <w:p>
            <w:pPr>
              <w:widowControl/>
              <w:spacing w:line="24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5" w:hRule="atLeast"/>
        </w:trPr>
        <w:tc>
          <w:tcPr>
            <w:tcW w:w="736" w:type="dxa"/>
            <w:vMerge w:val="continue"/>
            <w:vAlign w:val="center"/>
          </w:tcPr>
          <w:p>
            <w:pPr>
              <w:widowControl/>
              <w:spacing w:line="240" w:lineRule="auto"/>
              <w:textAlignment w:val="center"/>
              <w:rPr>
                <w:rFonts w:hint="eastAsia" w:ascii="宋体" w:hAnsi="宋体" w:eastAsia="宋体" w:cs="宋体"/>
                <w:color w:val="auto"/>
              </w:rPr>
            </w:pPr>
          </w:p>
        </w:tc>
        <w:tc>
          <w:tcPr>
            <w:tcW w:w="1216" w:type="dxa"/>
            <w:vMerge w:val="continue"/>
            <w:vAlign w:val="center"/>
          </w:tcPr>
          <w:p>
            <w:pPr>
              <w:widowControl/>
              <w:spacing w:line="240" w:lineRule="auto"/>
              <w:textAlignment w:val="center"/>
              <w:rPr>
                <w:rFonts w:hint="eastAsia" w:ascii="宋体" w:hAnsi="宋体" w:eastAsia="宋体" w:cs="宋体"/>
                <w:color w:val="auto"/>
              </w:rPr>
            </w:pPr>
          </w:p>
        </w:tc>
        <w:tc>
          <w:tcPr>
            <w:tcW w:w="6672" w:type="dxa"/>
            <w:vAlign w:val="center"/>
          </w:tcPr>
          <w:p>
            <w:pPr>
              <w:widowControl/>
              <w:spacing w:line="240" w:lineRule="auto"/>
              <w:textAlignment w:val="center"/>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为该项目配备人员比较合理，证书资质齐全，课程编辑人员具有出版专业执业资格证，中级及以上的一人得0.5分，最高1分；</w:t>
            </w:r>
          </w:p>
          <w:p>
            <w:pPr>
              <w:spacing w:line="240" w:lineRule="auto"/>
              <w:outlineLvl w:val="9"/>
              <w:rPr>
                <w:rFonts w:hint="eastAsia" w:ascii="宋体" w:hAnsi="宋体" w:eastAsia="宋体" w:cs="宋体"/>
                <w:color w:val="auto"/>
                <w:lang w:eastAsia="zh-CN"/>
              </w:rPr>
            </w:pPr>
            <w:r>
              <w:rPr>
                <w:rFonts w:hint="eastAsia" w:ascii="宋体" w:hAnsi="宋体" w:eastAsia="宋体" w:cs="宋体"/>
                <w:color w:val="auto"/>
                <w:kern w:val="0"/>
                <w:szCs w:val="21"/>
                <w:lang w:eastAsia="zh-CN"/>
              </w:rPr>
              <w:t>需提供配备人员</w:t>
            </w:r>
            <w:r>
              <w:rPr>
                <w:rFonts w:hint="eastAsia" w:ascii="宋体" w:hAnsi="宋体" w:eastAsia="宋体" w:cs="宋体"/>
                <w:color w:val="auto"/>
                <w:kern w:val="0"/>
                <w:szCs w:val="21"/>
              </w:rPr>
              <w:t>身份证、资格证、劳动合同</w:t>
            </w:r>
            <w:r>
              <w:rPr>
                <w:rFonts w:hint="eastAsia" w:ascii="宋体" w:hAnsi="宋体" w:eastAsia="宋体" w:cs="宋体"/>
                <w:color w:val="auto"/>
                <w:kern w:val="0"/>
                <w:szCs w:val="21"/>
                <w:lang w:eastAsia="zh-CN"/>
              </w:rPr>
              <w:t>等证明材料</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未提供不得分</w:t>
            </w:r>
            <w:r>
              <w:rPr>
                <w:rFonts w:hint="eastAsia" w:ascii="宋体" w:hAnsi="宋体" w:eastAsia="宋体" w:cs="宋体"/>
                <w:color w:val="auto"/>
                <w:kern w:val="0"/>
                <w:szCs w:val="21"/>
              </w:rPr>
              <w:t>。</w:t>
            </w:r>
          </w:p>
        </w:tc>
        <w:tc>
          <w:tcPr>
            <w:tcW w:w="664" w:type="dxa"/>
            <w:vAlign w:val="center"/>
          </w:tcPr>
          <w:p>
            <w:pPr>
              <w:widowControl/>
              <w:spacing w:line="240" w:lineRule="auto"/>
              <w:jc w:val="center"/>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5" w:hRule="atLeast"/>
        </w:trPr>
        <w:tc>
          <w:tcPr>
            <w:tcW w:w="736" w:type="dxa"/>
            <w:vMerge w:val="continue"/>
            <w:vAlign w:val="center"/>
          </w:tcPr>
          <w:p>
            <w:pPr>
              <w:widowControl/>
              <w:spacing w:line="240" w:lineRule="auto"/>
              <w:textAlignment w:val="center"/>
              <w:rPr>
                <w:rFonts w:hint="eastAsia" w:ascii="宋体" w:hAnsi="宋体" w:eastAsia="宋体" w:cs="宋体"/>
                <w:color w:val="auto"/>
                <w:kern w:val="0"/>
                <w:szCs w:val="21"/>
                <w:lang w:eastAsia="zh-CN"/>
              </w:rPr>
            </w:pPr>
          </w:p>
        </w:tc>
        <w:tc>
          <w:tcPr>
            <w:tcW w:w="1216" w:type="dxa"/>
            <w:vMerge w:val="continue"/>
            <w:vAlign w:val="center"/>
          </w:tcPr>
          <w:p>
            <w:pPr>
              <w:widowControl/>
              <w:spacing w:line="240" w:lineRule="auto"/>
              <w:textAlignment w:val="center"/>
              <w:rPr>
                <w:rFonts w:hint="eastAsia" w:ascii="宋体" w:hAnsi="宋体" w:eastAsia="宋体" w:cs="宋体"/>
                <w:color w:val="auto"/>
                <w:kern w:val="0"/>
                <w:szCs w:val="21"/>
                <w:lang w:eastAsia="zh-CN"/>
              </w:rPr>
            </w:pPr>
          </w:p>
        </w:tc>
        <w:tc>
          <w:tcPr>
            <w:tcW w:w="6672" w:type="dxa"/>
            <w:vAlign w:val="center"/>
          </w:tcPr>
          <w:p>
            <w:pPr>
              <w:widowControl/>
              <w:spacing w:line="240" w:lineRule="auto"/>
              <w:textAlignment w:val="center"/>
              <w:rPr>
                <w:rFonts w:hint="eastAsia" w:ascii="宋体" w:hAnsi="宋体" w:eastAsia="宋体" w:cs="宋体"/>
                <w:color w:val="auto"/>
              </w:rPr>
            </w:pPr>
            <w:r>
              <w:rPr>
                <w:rFonts w:hint="eastAsia" w:ascii="宋体" w:hAnsi="宋体" w:eastAsia="宋体" w:cs="宋体"/>
                <w:color w:val="auto"/>
              </w:rPr>
              <w:t>动画人员或三维动画人员具有三维动画设计证的一人得0.5分，最高1分；摄像人员具有摄影师证的一人得1分，最高1分；</w:t>
            </w:r>
          </w:p>
          <w:p>
            <w:pPr>
              <w:spacing w:line="240" w:lineRule="auto"/>
              <w:outlineLvl w:val="9"/>
              <w:rPr>
                <w:rFonts w:hint="eastAsia" w:ascii="宋体" w:hAnsi="宋体" w:eastAsia="宋体" w:cs="宋体"/>
                <w:color w:val="auto"/>
                <w:lang w:eastAsia="zh-CN"/>
              </w:rPr>
            </w:pPr>
            <w:r>
              <w:rPr>
                <w:rFonts w:hint="eastAsia" w:ascii="宋体" w:hAnsi="宋体" w:eastAsia="宋体" w:cs="宋体"/>
                <w:color w:val="auto"/>
                <w:kern w:val="0"/>
                <w:szCs w:val="21"/>
                <w:lang w:eastAsia="zh-CN"/>
              </w:rPr>
              <w:t>需提供配备人员</w:t>
            </w:r>
            <w:r>
              <w:rPr>
                <w:rFonts w:hint="eastAsia" w:ascii="宋体" w:hAnsi="宋体" w:eastAsia="宋体" w:cs="宋体"/>
                <w:color w:val="auto"/>
                <w:kern w:val="0"/>
                <w:szCs w:val="21"/>
              </w:rPr>
              <w:t>身份证、资格证、劳动合同</w:t>
            </w:r>
            <w:r>
              <w:rPr>
                <w:rFonts w:hint="eastAsia" w:ascii="宋体" w:hAnsi="宋体" w:eastAsia="宋体" w:cs="宋体"/>
                <w:color w:val="auto"/>
                <w:kern w:val="0"/>
                <w:szCs w:val="21"/>
                <w:lang w:eastAsia="zh-CN"/>
              </w:rPr>
              <w:t>等证明材料</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未提供不得分</w:t>
            </w:r>
            <w:r>
              <w:rPr>
                <w:rFonts w:hint="eastAsia" w:ascii="宋体" w:hAnsi="宋体" w:eastAsia="宋体" w:cs="宋体"/>
                <w:color w:val="auto"/>
                <w:kern w:val="0"/>
                <w:szCs w:val="21"/>
              </w:rPr>
              <w:t>。</w:t>
            </w:r>
          </w:p>
        </w:tc>
        <w:tc>
          <w:tcPr>
            <w:tcW w:w="664" w:type="dxa"/>
            <w:vAlign w:val="center"/>
          </w:tcPr>
          <w:p>
            <w:pPr>
              <w:widowControl/>
              <w:spacing w:line="240" w:lineRule="auto"/>
              <w:textAlignment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8" w:hRule="atLeast"/>
        </w:trPr>
        <w:tc>
          <w:tcPr>
            <w:tcW w:w="736" w:type="dxa"/>
            <w:vMerge w:val="continue"/>
            <w:vAlign w:val="center"/>
          </w:tcPr>
          <w:p>
            <w:pPr>
              <w:autoSpaceDE w:val="0"/>
              <w:autoSpaceDN w:val="0"/>
              <w:adjustRightInd w:val="0"/>
              <w:spacing w:line="240" w:lineRule="auto"/>
              <w:rPr>
                <w:rFonts w:hint="eastAsia" w:ascii="宋体" w:hAnsi="宋体" w:eastAsia="宋体" w:cs="宋体"/>
                <w:color w:val="auto"/>
                <w:spacing w:val="-6"/>
                <w:kern w:val="0"/>
                <w:sz w:val="21"/>
                <w:szCs w:val="21"/>
              </w:rPr>
            </w:pPr>
          </w:p>
        </w:tc>
        <w:tc>
          <w:tcPr>
            <w:tcW w:w="1216" w:type="dxa"/>
            <w:vMerge w:val="continue"/>
            <w:vAlign w:val="center"/>
          </w:tcPr>
          <w:p>
            <w:pPr>
              <w:autoSpaceDE w:val="0"/>
              <w:autoSpaceDN w:val="0"/>
              <w:adjustRightInd w:val="0"/>
              <w:spacing w:line="240" w:lineRule="auto"/>
              <w:rPr>
                <w:rFonts w:hint="eastAsia" w:ascii="宋体" w:hAnsi="宋体" w:eastAsia="宋体" w:cs="宋体"/>
                <w:color w:val="auto"/>
                <w:spacing w:val="-6"/>
                <w:kern w:val="0"/>
                <w:sz w:val="21"/>
                <w:szCs w:val="21"/>
              </w:rPr>
            </w:pPr>
          </w:p>
        </w:tc>
        <w:tc>
          <w:tcPr>
            <w:tcW w:w="6672" w:type="dxa"/>
            <w:vAlign w:val="center"/>
          </w:tcPr>
          <w:p>
            <w:pPr>
              <w:widowControl/>
              <w:spacing w:line="240" w:lineRule="auto"/>
              <w:textAlignment w:val="center"/>
              <w:rPr>
                <w:rFonts w:hint="eastAsia" w:ascii="宋体" w:hAnsi="宋体" w:eastAsia="宋体" w:cs="宋体"/>
                <w:color w:val="auto"/>
              </w:rPr>
            </w:pPr>
            <w:r>
              <w:rPr>
                <w:rFonts w:hint="eastAsia" w:ascii="宋体" w:hAnsi="宋体" w:eastAsia="宋体" w:cs="宋体"/>
                <w:color w:val="auto"/>
              </w:rPr>
              <w:t>有近三年内的课程思政教师培训经历，有省属</w:t>
            </w:r>
            <w:r>
              <w:rPr>
                <w:rFonts w:hint="eastAsia" w:ascii="宋体" w:hAnsi="宋体" w:eastAsia="宋体" w:cs="宋体"/>
                <w:color w:val="auto"/>
                <w:lang w:val="en-US" w:eastAsia="zh-CN"/>
              </w:rPr>
              <w:t>/</w:t>
            </w:r>
            <w:r>
              <w:rPr>
                <w:rFonts w:hint="eastAsia" w:ascii="宋体" w:hAnsi="宋体" w:eastAsia="宋体" w:cs="宋体"/>
                <w:color w:val="auto"/>
              </w:rPr>
              <w:t>直辖市属高等学校师资培训中心提供的课程思政培训讲师证书，证书持有人为</w:t>
            </w:r>
            <w:r>
              <w:rPr>
                <w:rFonts w:hint="eastAsia" w:ascii="宋体" w:hAnsi="宋体" w:eastAsia="宋体" w:cs="宋体"/>
                <w:color w:val="auto"/>
                <w:lang w:eastAsia="zh-CN"/>
              </w:rPr>
              <w:t>供应商</w:t>
            </w:r>
            <w:r>
              <w:rPr>
                <w:rFonts w:hint="eastAsia" w:ascii="宋体" w:hAnsi="宋体" w:eastAsia="宋体" w:cs="宋体"/>
                <w:color w:val="auto"/>
              </w:rPr>
              <w:t>的正式、稳定员工，提供有“课程思政”、日期、讲座主题的证书</w:t>
            </w:r>
            <w:r>
              <w:rPr>
                <w:rFonts w:hint="eastAsia" w:ascii="宋体" w:hAnsi="宋体" w:eastAsia="宋体" w:cs="宋体"/>
                <w:color w:val="auto"/>
                <w:lang w:eastAsia="zh-CN"/>
              </w:rPr>
              <w:t>等</w:t>
            </w:r>
            <w:r>
              <w:rPr>
                <w:rFonts w:hint="eastAsia" w:ascii="宋体" w:hAnsi="宋体" w:eastAsia="宋体" w:cs="宋体"/>
                <w:color w:val="auto"/>
              </w:rPr>
              <w:t>一份完整文件。文件</w:t>
            </w:r>
            <w:r>
              <w:rPr>
                <w:rFonts w:hint="eastAsia" w:ascii="宋体" w:hAnsi="宋体" w:eastAsia="宋体" w:cs="宋体"/>
                <w:color w:val="auto"/>
                <w:lang w:eastAsia="zh-CN"/>
              </w:rPr>
              <w:t>内容完整</w:t>
            </w:r>
            <w:r>
              <w:rPr>
                <w:rFonts w:hint="eastAsia" w:ascii="宋体" w:hAnsi="宋体" w:eastAsia="宋体" w:cs="宋体"/>
                <w:color w:val="auto"/>
              </w:rPr>
              <w:t>得</w:t>
            </w:r>
            <w:r>
              <w:rPr>
                <w:rFonts w:hint="eastAsia" w:ascii="宋体" w:hAnsi="宋体" w:eastAsia="宋体" w:cs="宋体"/>
                <w:color w:val="auto"/>
                <w:lang w:val="en-US" w:eastAsia="zh-CN"/>
              </w:rPr>
              <w:t>3</w:t>
            </w:r>
            <w:r>
              <w:rPr>
                <w:rFonts w:hint="eastAsia" w:ascii="宋体" w:hAnsi="宋体" w:eastAsia="宋体" w:cs="宋体"/>
                <w:color w:val="auto"/>
              </w:rPr>
              <w:t>分</w:t>
            </w:r>
            <w:r>
              <w:rPr>
                <w:rFonts w:hint="eastAsia" w:ascii="宋体" w:hAnsi="宋体" w:eastAsia="宋体" w:cs="宋体"/>
                <w:color w:val="auto"/>
                <w:lang w:eastAsia="zh-CN"/>
              </w:rPr>
              <w:t>，其他则本项不得分</w:t>
            </w:r>
            <w:r>
              <w:rPr>
                <w:rFonts w:hint="eastAsia" w:ascii="宋体" w:hAnsi="宋体" w:eastAsia="宋体" w:cs="宋体"/>
                <w:color w:val="auto"/>
              </w:rPr>
              <w:t>。</w:t>
            </w:r>
          </w:p>
          <w:p>
            <w:pPr>
              <w:pStyle w:val="2"/>
              <w:rPr>
                <w:rFonts w:hint="eastAsia" w:ascii="宋体" w:hAnsi="宋体" w:eastAsia="宋体" w:cs="宋体"/>
                <w:color w:val="auto"/>
                <w:lang w:val="en-US" w:eastAsia="zh-CN"/>
              </w:rPr>
            </w:pPr>
            <w:r>
              <w:rPr>
                <w:rFonts w:hint="eastAsia" w:ascii="宋体" w:hAnsi="宋体" w:eastAsia="宋体" w:cs="宋体"/>
                <w:color w:val="auto"/>
                <w:kern w:val="0"/>
                <w:szCs w:val="21"/>
                <w:lang w:eastAsia="zh-CN"/>
              </w:rPr>
              <w:t>需提供证书持有人</w:t>
            </w:r>
            <w:r>
              <w:rPr>
                <w:rFonts w:hint="eastAsia" w:ascii="宋体" w:hAnsi="宋体" w:eastAsia="宋体" w:cs="宋体"/>
                <w:color w:val="auto"/>
                <w:kern w:val="0"/>
                <w:szCs w:val="21"/>
              </w:rPr>
              <w:t>劳动合同</w:t>
            </w:r>
            <w:r>
              <w:rPr>
                <w:rFonts w:hint="eastAsia" w:ascii="宋体" w:hAnsi="宋体" w:eastAsia="宋体" w:cs="宋体"/>
                <w:color w:val="auto"/>
                <w:kern w:val="0"/>
                <w:szCs w:val="21"/>
                <w:lang w:eastAsia="zh-CN"/>
              </w:rPr>
              <w:t>、连续六个月缴纳社保证明等材料</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未提供不得分</w:t>
            </w:r>
            <w:r>
              <w:rPr>
                <w:rFonts w:hint="eastAsia" w:ascii="宋体" w:hAnsi="宋体" w:eastAsia="宋体" w:cs="宋体"/>
                <w:color w:val="auto"/>
                <w:kern w:val="0"/>
                <w:szCs w:val="21"/>
              </w:rPr>
              <w:t>。</w:t>
            </w:r>
          </w:p>
        </w:tc>
        <w:tc>
          <w:tcPr>
            <w:tcW w:w="664" w:type="dxa"/>
            <w:vAlign w:val="center"/>
          </w:tcPr>
          <w:p>
            <w:pPr>
              <w:widowControl/>
              <w:spacing w:line="24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0" w:hRule="atLeast"/>
        </w:trPr>
        <w:tc>
          <w:tcPr>
            <w:tcW w:w="736" w:type="dxa"/>
            <w:vMerge w:val="continue"/>
            <w:vAlign w:val="center"/>
          </w:tcPr>
          <w:p>
            <w:pPr>
              <w:spacing w:line="240" w:lineRule="auto"/>
              <w:rPr>
                <w:rFonts w:hint="eastAsia" w:ascii="宋体" w:hAnsi="宋体" w:eastAsia="宋体" w:cs="宋体"/>
                <w:color w:val="auto"/>
                <w:sz w:val="21"/>
                <w:szCs w:val="21"/>
              </w:rPr>
            </w:pPr>
          </w:p>
        </w:tc>
        <w:tc>
          <w:tcPr>
            <w:tcW w:w="1216" w:type="dxa"/>
            <w:vMerge w:val="restart"/>
            <w:vAlign w:val="center"/>
          </w:tcPr>
          <w:p>
            <w:pPr>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标准化服务</w:t>
            </w:r>
          </w:p>
        </w:tc>
        <w:tc>
          <w:tcPr>
            <w:tcW w:w="6672" w:type="dxa"/>
            <w:vAlign w:val="center"/>
          </w:tcPr>
          <w:p>
            <w:pPr>
              <w:widowControl/>
              <w:spacing w:line="240" w:lineRule="auto"/>
              <w:textAlignment w:val="center"/>
              <w:rPr>
                <w:rFonts w:hint="eastAsia" w:ascii="宋体" w:hAnsi="宋体" w:eastAsia="宋体" w:cs="宋体"/>
                <w:bCs/>
                <w:color w:val="auto"/>
                <w:szCs w:val="21"/>
                <w:lang w:eastAsia="zh-CN"/>
              </w:rPr>
            </w:pPr>
            <w:r>
              <w:rPr>
                <w:rFonts w:hint="eastAsia" w:ascii="宋体" w:hAnsi="宋体" w:eastAsia="宋体" w:cs="宋体"/>
                <w:bCs/>
                <w:color w:val="auto"/>
                <w:szCs w:val="21"/>
                <w:lang w:eastAsia="zh-CN"/>
              </w:rPr>
              <w:t>提供标准化服务方案，方案需包含</w:t>
            </w:r>
            <w:r>
              <w:rPr>
                <w:rFonts w:hint="eastAsia" w:ascii="宋体" w:hAnsi="宋体" w:eastAsia="宋体" w:cs="宋体"/>
                <w:bCs/>
                <w:color w:val="auto"/>
                <w:szCs w:val="21"/>
              </w:rPr>
              <w:t>明确的服务流程和服务标准，保障在线开放课程制作的质量。</w:t>
            </w:r>
            <w:r>
              <w:rPr>
                <w:rFonts w:hint="eastAsia" w:ascii="宋体" w:hAnsi="宋体" w:eastAsia="宋体" w:cs="宋体"/>
                <w:bCs/>
                <w:color w:val="auto"/>
                <w:szCs w:val="21"/>
                <w:lang w:eastAsia="zh-CN"/>
              </w:rPr>
              <w:t>根据服务方案进行综合评分：</w:t>
            </w:r>
          </w:p>
          <w:p>
            <w:pPr>
              <w:spacing w:line="240" w:lineRule="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科学、合理，针对性强，4分；</w:t>
            </w:r>
          </w:p>
          <w:p>
            <w:pPr>
              <w:spacing w:line="240" w:lineRule="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合理，可行，2分；</w:t>
            </w:r>
          </w:p>
          <w:p>
            <w:pPr>
              <w:spacing w:line="240" w:lineRule="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欠合理，基本可行，1分；</w:t>
            </w:r>
          </w:p>
          <w:p>
            <w:pPr>
              <w:widowControl/>
              <w:spacing w:line="240" w:lineRule="auto"/>
              <w:textAlignment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lang w:val="en-US" w:eastAsia="zh-CN"/>
              </w:rPr>
              <w:t>不可行，0 分。</w:t>
            </w:r>
          </w:p>
        </w:tc>
        <w:tc>
          <w:tcPr>
            <w:tcW w:w="664" w:type="dxa"/>
            <w:vAlign w:val="center"/>
          </w:tcPr>
          <w:p>
            <w:pPr>
              <w:widowControl/>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3" w:hRule="atLeast"/>
        </w:trPr>
        <w:tc>
          <w:tcPr>
            <w:tcW w:w="736" w:type="dxa"/>
            <w:vMerge w:val="continue"/>
            <w:vAlign w:val="center"/>
          </w:tcPr>
          <w:p>
            <w:pPr>
              <w:widowControl/>
              <w:spacing w:line="240" w:lineRule="auto"/>
              <w:textAlignment w:val="center"/>
              <w:rPr>
                <w:rFonts w:hint="eastAsia" w:ascii="宋体" w:hAnsi="宋体" w:eastAsia="宋体" w:cs="宋体"/>
                <w:color w:val="auto"/>
              </w:rPr>
            </w:pPr>
          </w:p>
        </w:tc>
        <w:tc>
          <w:tcPr>
            <w:tcW w:w="1216" w:type="dxa"/>
            <w:vMerge w:val="continue"/>
            <w:vAlign w:val="center"/>
          </w:tcPr>
          <w:p>
            <w:pPr>
              <w:widowControl/>
              <w:spacing w:line="240" w:lineRule="auto"/>
              <w:textAlignment w:val="center"/>
              <w:rPr>
                <w:rFonts w:hint="eastAsia" w:ascii="宋体" w:hAnsi="宋体" w:eastAsia="宋体" w:cs="宋体"/>
                <w:color w:val="auto"/>
              </w:rPr>
            </w:pPr>
          </w:p>
        </w:tc>
        <w:tc>
          <w:tcPr>
            <w:tcW w:w="6672" w:type="dxa"/>
            <w:vAlign w:val="center"/>
          </w:tcPr>
          <w:p>
            <w:pPr>
              <w:widowControl/>
              <w:spacing w:line="24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lang w:eastAsia="zh-CN"/>
              </w:rPr>
              <w:t>供应商</w:t>
            </w:r>
            <w:r>
              <w:rPr>
                <w:rFonts w:hint="eastAsia" w:ascii="宋体" w:hAnsi="宋体" w:eastAsia="宋体" w:cs="宋体"/>
                <w:bCs/>
                <w:color w:val="auto"/>
                <w:szCs w:val="21"/>
              </w:rPr>
              <w:t>需提供在线开放课程开发环节的分镜头脚本1个、文档类脚本1个、PPT类脚本样例1个、情景动画类脚本样例1个，每提供1</w:t>
            </w:r>
            <w:r>
              <w:rPr>
                <w:rFonts w:hint="eastAsia" w:ascii="宋体" w:hAnsi="宋体" w:eastAsia="宋体" w:cs="宋体"/>
                <w:bCs/>
                <w:color w:val="auto"/>
                <w:szCs w:val="21"/>
                <w:lang w:eastAsia="zh-CN"/>
              </w:rPr>
              <w:t>项</w:t>
            </w:r>
            <w:r>
              <w:rPr>
                <w:rFonts w:hint="eastAsia" w:ascii="宋体" w:hAnsi="宋体" w:eastAsia="宋体" w:cs="宋体"/>
                <w:bCs/>
                <w:color w:val="auto"/>
                <w:szCs w:val="21"/>
              </w:rPr>
              <w:t>得0.5分，满分2分，未提供或不符合要求不得分。</w:t>
            </w:r>
          </w:p>
        </w:tc>
        <w:tc>
          <w:tcPr>
            <w:tcW w:w="664" w:type="dxa"/>
            <w:vAlign w:val="center"/>
          </w:tcPr>
          <w:p>
            <w:pPr>
              <w:widowControl/>
              <w:spacing w:line="240" w:lineRule="auto"/>
              <w:jc w:val="center"/>
              <w:textAlignment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spacing w:line="240" w:lineRule="auto"/>
              <w:rPr>
                <w:rFonts w:hint="eastAsia" w:ascii="宋体" w:hAnsi="宋体" w:eastAsia="宋体" w:cs="宋体"/>
                <w:color w:val="auto"/>
                <w:sz w:val="21"/>
                <w:szCs w:val="21"/>
              </w:rPr>
            </w:pPr>
          </w:p>
        </w:tc>
        <w:tc>
          <w:tcPr>
            <w:tcW w:w="1216" w:type="dxa"/>
            <w:vAlign w:val="center"/>
          </w:tcPr>
          <w:p>
            <w:pPr>
              <w:widowControl/>
              <w:spacing w:line="240" w:lineRule="auto"/>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rPr>
              <w:t>现场演示</w:t>
            </w:r>
          </w:p>
        </w:tc>
        <w:tc>
          <w:tcPr>
            <w:tcW w:w="6672" w:type="dxa"/>
            <w:vAlign w:val="center"/>
          </w:tcPr>
          <w:p>
            <w:pPr>
              <w:widowControl/>
              <w:snapToGrid w:val="0"/>
              <w:spacing w:line="240" w:lineRule="auto"/>
              <w:rPr>
                <w:rFonts w:hint="eastAsia" w:ascii="宋体" w:hAnsi="宋体" w:eastAsia="宋体" w:cs="宋体"/>
                <w:b/>
                <w:color w:val="auto"/>
                <w:szCs w:val="21"/>
              </w:rPr>
            </w:pPr>
            <w:r>
              <w:rPr>
                <w:rFonts w:hint="eastAsia" w:ascii="宋体" w:hAnsi="宋体" w:eastAsia="宋体" w:cs="宋体"/>
                <w:b/>
                <w:color w:val="auto"/>
                <w:szCs w:val="21"/>
              </w:rPr>
              <w:t>拍摄种类演示</w:t>
            </w:r>
          </w:p>
          <w:p>
            <w:pPr>
              <w:widowControl/>
              <w:snapToGrid w:val="0"/>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演示在线开放课程不同拍摄手法，例如高清大屏、实拍实验、情景剧、布景实拍、公开讲堂、录课笔、手绘动画、3D动画、情景动画等，提供视频5分钟内完全体现以上表现手法的得3分；</w:t>
            </w:r>
          </w:p>
          <w:p>
            <w:pPr>
              <w:widowControl/>
              <w:snapToGrid w:val="0"/>
              <w:spacing w:line="24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提供视频5分钟内拍摄表现手法超出以上列出形式的，每增加一种表现形式得0.5分，</w:t>
            </w:r>
            <w:r>
              <w:rPr>
                <w:rFonts w:hint="eastAsia" w:ascii="宋体" w:hAnsi="宋体" w:eastAsia="宋体" w:cs="宋体"/>
                <w:color w:val="auto"/>
                <w:szCs w:val="21"/>
                <w:lang w:eastAsia="zh-CN"/>
              </w:rPr>
              <w:t>最多得</w:t>
            </w:r>
            <w:r>
              <w:rPr>
                <w:rFonts w:hint="eastAsia" w:ascii="宋体" w:hAnsi="宋体" w:eastAsia="宋体" w:cs="宋体"/>
                <w:color w:val="auto"/>
                <w:szCs w:val="21"/>
                <w:lang w:val="en-US" w:eastAsia="zh-CN"/>
              </w:rPr>
              <w:t>2分；</w:t>
            </w:r>
          </w:p>
          <w:p>
            <w:pPr>
              <w:widowControl/>
              <w:snapToGrid w:val="0"/>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本项</w:t>
            </w:r>
            <w:r>
              <w:rPr>
                <w:rFonts w:hint="eastAsia" w:ascii="宋体" w:hAnsi="宋体" w:eastAsia="宋体" w:cs="宋体"/>
                <w:color w:val="auto"/>
                <w:szCs w:val="21"/>
                <w:lang w:eastAsia="zh-CN"/>
              </w:rPr>
              <w:t>满分</w:t>
            </w:r>
            <w:r>
              <w:rPr>
                <w:rFonts w:hint="eastAsia" w:ascii="宋体" w:hAnsi="宋体" w:eastAsia="宋体" w:cs="宋体"/>
                <w:color w:val="auto"/>
                <w:szCs w:val="21"/>
              </w:rPr>
              <w:t>5分，未按要求提供视频展示的不得分。</w:t>
            </w:r>
          </w:p>
          <w:p>
            <w:pPr>
              <w:widowControl/>
              <w:snapToGrid w:val="0"/>
              <w:spacing w:line="240" w:lineRule="auto"/>
              <w:jc w:val="left"/>
              <w:rPr>
                <w:rFonts w:hint="eastAsia" w:ascii="宋体" w:hAnsi="宋体" w:eastAsia="宋体" w:cs="宋体"/>
                <w:b/>
                <w:color w:val="auto"/>
                <w:szCs w:val="21"/>
              </w:rPr>
            </w:pPr>
            <w:r>
              <w:rPr>
                <w:rFonts w:hint="eastAsia" w:ascii="宋体" w:hAnsi="宋体" w:eastAsia="宋体" w:cs="宋体"/>
                <w:b/>
                <w:color w:val="auto"/>
                <w:szCs w:val="21"/>
              </w:rPr>
              <w:t>限时答题</w:t>
            </w:r>
          </w:p>
          <w:p>
            <w:pPr>
              <w:widowControl/>
              <w:snapToGrid w:val="0"/>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教师可以从题库中选择试题，并设置限制答题时长，学生在规定的时间内完成练习,超过时间后自动提交。（满足</w:t>
            </w:r>
            <w:r>
              <w:rPr>
                <w:rFonts w:hint="eastAsia" w:ascii="宋体" w:hAnsi="宋体" w:eastAsia="宋体" w:cs="宋体"/>
                <w:color w:val="auto"/>
                <w:szCs w:val="21"/>
                <w:lang w:eastAsia="zh-CN"/>
              </w:rPr>
              <w:t>要求内容得</w:t>
            </w:r>
            <w:r>
              <w:rPr>
                <w:rFonts w:hint="eastAsia" w:ascii="宋体" w:hAnsi="宋体" w:eastAsia="宋体" w:cs="宋体"/>
                <w:color w:val="auto"/>
                <w:szCs w:val="21"/>
              </w:rPr>
              <w:t>1分</w:t>
            </w:r>
            <w:r>
              <w:rPr>
                <w:rFonts w:hint="eastAsia" w:ascii="宋体" w:hAnsi="宋体" w:eastAsia="宋体" w:cs="宋体"/>
                <w:color w:val="auto"/>
                <w:szCs w:val="21"/>
                <w:lang w:eastAsia="zh-CN"/>
              </w:rPr>
              <w:t>，不提供则不得分</w:t>
            </w:r>
            <w:r>
              <w:rPr>
                <w:rFonts w:hint="eastAsia" w:ascii="宋体" w:hAnsi="宋体" w:eastAsia="宋体" w:cs="宋体"/>
                <w:color w:val="auto"/>
                <w:szCs w:val="21"/>
              </w:rPr>
              <w:t>）</w:t>
            </w:r>
          </w:p>
          <w:p>
            <w:pPr>
              <w:widowControl/>
              <w:snapToGrid w:val="0"/>
              <w:spacing w:line="240" w:lineRule="auto"/>
              <w:jc w:val="left"/>
              <w:rPr>
                <w:rFonts w:hint="eastAsia" w:ascii="宋体" w:hAnsi="宋体" w:eastAsia="宋体" w:cs="宋体"/>
                <w:b/>
                <w:color w:val="auto"/>
                <w:szCs w:val="21"/>
              </w:rPr>
            </w:pPr>
            <w:r>
              <w:rPr>
                <w:rFonts w:hint="eastAsia" w:ascii="宋体" w:hAnsi="宋体" w:eastAsia="宋体" w:cs="宋体"/>
                <w:b/>
                <w:color w:val="auto"/>
                <w:szCs w:val="21"/>
              </w:rPr>
              <w:t>考核策略</w:t>
            </w:r>
          </w:p>
          <w:p>
            <w:pPr>
              <w:widowControl/>
              <w:spacing w:line="240" w:lineRule="auto"/>
              <w:textAlignment w:val="center"/>
              <w:rPr>
                <w:rFonts w:hint="eastAsia" w:ascii="宋体" w:hAnsi="宋体" w:eastAsia="宋体" w:cs="宋体"/>
                <w:color w:val="auto"/>
                <w:szCs w:val="21"/>
              </w:rPr>
            </w:pPr>
            <w:r>
              <w:rPr>
                <w:rFonts w:hint="eastAsia" w:ascii="宋体" w:hAnsi="宋体" w:eastAsia="宋体" w:cs="宋体"/>
                <w:color w:val="auto"/>
                <w:szCs w:val="21"/>
              </w:rPr>
              <w:t>过程性评估与终结性评估中，支持通过课程的</w:t>
            </w:r>
            <w:r>
              <w:rPr>
                <w:rFonts w:hint="eastAsia" w:ascii="宋体" w:hAnsi="宋体" w:eastAsia="宋体" w:cs="宋体"/>
                <w:b/>
                <w:bCs/>
                <w:color w:val="auto"/>
                <w:szCs w:val="21"/>
              </w:rPr>
              <w:t>学习时长、学习进度、学习成绩、作业、考试、讨论</w:t>
            </w:r>
            <w:r>
              <w:rPr>
                <w:rFonts w:hint="eastAsia" w:ascii="宋体" w:hAnsi="宋体" w:eastAsia="宋体" w:cs="宋体"/>
                <w:color w:val="auto"/>
                <w:szCs w:val="21"/>
              </w:rPr>
              <w:t>等维度评分，教师可通过自定义选择积分章节、权重。（满足</w:t>
            </w:r>
            <w:r>
              <w:rPr>
                <w:rFonts w:hint="eastAsia" w:ascii="宋体" w:hAnsi="宋体" w:eastAsia="宋体" w:cs="宋体"/>
                <w:color w:val="auto"/>
                <w:szCs w:val="21"/>
                <w:lang w:eastAsia="zh-CN"/>
              </w:rPr>
              <w:t>要求内容得</w:t>
            </w:r>
            <w:r>
              <w:rPr>
                <w:rFonts w:hint="eastAsia" w:ascii="宋体" w:hAnsi="宋体" w:eastAsia="宋体" w:cs="宋体"/>
                <w:color w:val="auto"/>
                <w:szCs w:val="21"/>
              </w:rPr>
              <w:t>1分</w:t>
            </w:r>
            <w:r>
              <w:rPr>
                <w:rFonts w:hint="eastAsia" w:ascii="宋体" w:hAnsi="宋体" w:eastAsia="宋体" w:cs="宋体"/>
                <w:color w:val="auto"/>
                <w:szCs w:val="21"/>
                <w:lang w:eastAsia="zh-CN"/>
              </w:rPr>
              <w:t>，不提供则不得分</w:t>
            </w:r>
            <w:r>
              <w:rPr>
                <w:rFonts w:hint="eastAsia" w:ascii="宋体" w:hAnsi="宋体" w:eastAsia="宋体" w:cs="宋体"/>
                <w:color w:val="auto"/>
                <w:szCs w:val="21"/>
              </w:rPr>
              <w:t>）</w:t>
            </w:r>
          </w:p>
          <w:p>
            <w:pPr>
              <w:widowControl/>
              <w:spacing w:line="240" w:lineRule="auto"/>
              <w:textAlignment w:val="center"/>
              <w:rPr>
                <w:rFonts w:hint="eastAsia" w:ascii="宋体" w:hAnsi="宋体" w:eastAsia="宋体" w:cs="宋体"/>
                <w:b/>
                <w:bCs/>
                <w:color w:val="auto"/>
                <w:kern w:val="0"/>
              </w:rPr>
            </w:pPr>
            <w:r>
              <w:rPr>
                <w:rFonts w:hint="eastAsia" w:ascii="宋体" w:hAnsi="宋体" w:eastAsia="宋体" w:cs="宋体"/>
                <w:b/>
                <w:bCs/>
                <w:color w:val="auto"/>
                <w:kern w:val="0"/>
              </w:rPr>
              <w:t>课程管理。</w:t>
            </w:r>
          </w:p>
          <w:p>
            <w:pPr>
              <w:widowControl/>
              <w:spacing w:line="240" w:lineRule="auto"/>
              <w:textAlignment w:val="center"/>
              <w:rPr>
                <w:rFonts w:hint="eastAsia" w:ascii="宋体" w:hAnsi="宋体" w:eastAsia="宋体" w:cs="宋体"/>
                <w:color w:val="auto"/>
                <w:kern w:val="0"/>
              </w:rPr>
            </w:pPr>
            <w:r>
              <w:rPr>
                <w:rFonts w:hint="eastAsia" w:ascii="宋体" w:hAnsi="宋体" w:eastAsia="宋体" w:cs="宋体"/>
                <w:color w:val="auto"/>
                <w:kern w:val="0"/>
              </w:rPr>
              <w:t>督导查看本校所有SPOC课程和开放课程，支持一键进入课程和查看课程数据分析，便于督导检查各院系课程建设情况和教学实施过程。</w:t>
            </w:r>
            <w:r>
              <w:rPr>
                <w:rFonts w:hint="eastAsia" w:ascii="宋体" w:hAnsi="宋体" w:eastAsia="宋体" w:cs="宋体"/>
                <w:color w:val="auto"/>
                <w:szCs w:val="21"/>
              </w:rPr>
              <w:t>（满足</w:t>
            </w:r>
            <w:r>
              <w:rPr>
                <w:rFonts w:hint="eastAsia" w:ascii="宋体" w:hAnsi="宋体" w:eastAsia="宋体" w:cs="宋体"/>
                <w:color w:val="auto"/>
                <w:szCs w:val="21"/>
                <w:lang w:eastAsia="zh-CN"/>
              </w:rPr>
              <w:t>要求内容得</w:t>
            </w:r>
            <w:r>
              <w:rPr>
                <w:rFonts w:hint="eastAsia" w:ascii="宋体" w:hAnsi="宋体" w:eastAsia="宋体" w:cs="宋体"/>
                <w:color w:val="auto"/>
                <w:szCs w:val="21"/>
              </w:rPr>
              <w:t>1分</w:t>
            </w:r>
            <w:r>
              <w:rPr>
                <w:rFonts w:hint="eastAsia" w:ascii="宋体" w:hAnsi="宋体" w:eastAsia="宋体" w:cs="宋体"/>
                <w:color w:val="auto"/>
                <w:szCs w:val="21"/>
                <w:lang w:eastAsia="zh-CN"/>
              </w:rPr>
              <w:t>，不提供则不得分</w:t>
            </w:r>
            <w:r>
              <w:rPr>
                <w:rFonts w:hint="eastAsia" w:ascii="宋体" w:hAnsi="宋体" w:eastAsia="宋体" w:cs="宋体"/>
                <w:color w:val="auto"/>
                <w:szCs w:val="21"/>
              </w:rPr>
              <w:t>）</w:t>
            </w:r>
          </w:p>
          <w:p>
            <w:pPr>
              <w:widowControl/>
              <w:spacing w:line="240" w:lineRule="auto"/>
              <w:textAlignment w:val="center"/>
              <w:rPr>
                <w:rFonts w:hint="eastAsia" w:ascii="宋体" w:hAnsi="宋体" w:eastAsia="宋体" w:cs="宋体"/>
                <w:b/>
                <w:bCs/>
                <w:color w:val="auto"/>
              </w:rPr>
            </w:pPr>
            <w:r>
              <w:rPr>
                <w:rFonts w:hint="eastAsia" w:ascii="宋体" w:hAnsi="宋体" w:eastAsia="宋体" w:cs="宋体"/>
                <w:b/>
                <w:bCs/>
                <w:color w:val="auto"/>
              </w:rPr>
              <w:t>课程菜单管理。</w:t>
            </w:r>
          </w:p>
          <w:p>
            <w:pPr>
              <w:widowControl/>
              <w:spacing w:line="240" w:lineRule="auto"/>
              <w:textAlignment w:val="center"/>
              <w:rPr>
                <w:rFonts w:hint="eastAsia" w:ascii="宋体" w:hAnsi="宋体" w:eastAsia="宋体" w:cs="宋体"/>
                <w:color w:val="auto"/>
              </w:rPr>
            </w:pPr>
            <w:r>
              <w:rPr>
                <w:rFonts w:hint="eastAsia" w:ascii="宋体" w:hAnsi="宋体" w:eastAsia="宋体" w:cs="宋体"/>
                <w:color w:val="auto"/>
              </w:rPr>
              <w:t>课程管理员可进行课程菜单管理，支持将菜单设置为课程首页，电脑端进入课程时默认打开该菜单页面。支持菜单隐藏和开启。</w:t>
            </w:r>
            <w:r>
              <w:rPr>
                <w:rFonts w:hint="eastAsia" w:ascii="宋体" w:hAnsi="宋体" w:eastAsia="宋体" w:cs="宋体"/>
                <w:color w:val="auto"/>
                <w:szCs w:val="21"/>
              </w:rPr>
              <w:t>（满足</w:t>
            </w:r>
            <w:r>
              <w:rPr>
                <w:rFonts w:hint="eastAsia" w:ascii="宋体" w:hAnsi="宋体" w:eastAsia="宋体" w:cs="宋体"/>
                <w:color w:val="auto"/>
                <w:szCs w:val="21"/>
                <w:lang w:eastAsia="zh-CN"/>
              </w:rPr>
              <w:t>要求内容得</w:t>
            </w:r>
            <w:r>
              <w:rPr>
                <w:rFonts w:hint="eastAsia" w:ascii="宋体" w:hAnsi="宋体" w:eastAsia="宋体" w:cs="宋体"/>
                <w:color w:val="auto"/>
                <w:szCs w:val="21"/>
              </w:rPr>
              <w:t>1分</w:t>
            </w:r>
            <w:r>
              <w:rPr>
                <w:rFonts w:hint="eastAsia" w:ascii="宋体" w:hAnsi="宋体" w:eastAsia="宋体" w:cs="宋体"/>
                <w:color w:val="auto"/>
                <w:szCs w:val="21"/>
                <w:lang w:eastAsia="zh-CN"/>
              </w:rPr>
              <w:t>，不提供则不得分</w:t>
            </w:r>
            <w:r>
              <w:rPr>
                <w:rFonts w:hint="eastAsia" w:ascii="宋体" w:hAnsi="宋体" w:eastAsia="宋体" w:cs="宋体"/>
                <w:color w:val="auto"/>
                <w:szCs w:val="21"/>
              </w:rPr>
              <w:t>）</w:t>
            </w:r>
          </w:p>
          <w:p>
            <w:pPr>
              <w:widowControl/>
              <w:spacing w:line="240" w:lineRule="auto"/>
              <w:textAlignment w:val="center"/>
              <w:rPr>
                <w:rFonts w:hint="eastAsia" w:ascii="宋体" w:hAnsi="宋体" w:eastAsia="宋体" w:cs="宋体"/>
                <w:b/>
                <w:bCs/>
                <w:color w:val="auto"/>
              </w:rPr>
            </w:pPr>
            <w:r>
              <w:rPr>
                <w:rFonts w:hint="eastAsia" w:ascii="宋体" w:hAnsi="宋体" w:eastAsia="宋体" w:cs="宋体"/>
                <w:b/>
                <w:bCs/>
                <w:color w:val="auto"/>
              </w:rPr>
              <w:t>外部课件引用。</w:t>
            </w:r>
          </w:p>
          <w:p>
            <w:pPr>
              <w:widowControl/>
              <w:spacing w:line="240" w:lineRule="auto"/>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rPr>
              <w:t>支持对接并引入第三方在线教学平台的课件内容。</w:t>
            </w:r>
            <w:r>
              <w:rPr>
                <w:rFonts w:hint="eastAsia" w:ascii="宋体" w:hAnsi="宋体" w:eastAsia="宋体" w:cs="宋体"/>
                <w:color w:val="auto"/>
                <w:szCs w:val="21"/>
              </w:rPr>
              <w:t>（满足</w:t>
            </w:r>
            <w:r>
              <w:rPr>
                <w:rFonts w:hint="eastAsia" w:ascii="宋体" w:hAnsi="宋体" w:eastAsia="宋体" w:cs="宋体"/>
                <w:color w:val="auto"/>
                <w:szCs w:val="21"/>
                <w:lang w:eastAsia="zh-CN"/>
              </w:rPr>
              <w:t>要求内容得</w:t>
            </w:r>
            <w:r>
              <w:rPr>
                <w:rFonts w:hint="eastAsia" w:ascii="宋体" w:hAnsi="宋体" w:eastAsia="宋体" w:cs="宋体"/>
                <w:color w:val="auto"/>
                <w:szCs w:val="21"/>
              </w:rPr>
              <w:t>1分</w:t>
            </w:r>
            <w:r>
              <w:rPr>
                <w:rFonts w:hint="eastAsia" w:ascii="宋体" w:hAnsi="宋体" w:eastAsia="宋体" w:cs="宋体"/>
                <w:color w:val="auto"/>
                <w:szCs w:val="21"/>
                <w:lang w:eastAsia="zh-CN"/>
              </w:rPr>
              <w:t>，不提供则不得分</w:t>
            </w:r>
            <w:r>
              <w:rPr>
                <w:rFonts w:hint="eastAsia" w:ascii="宋体" w:hAnsi="宋体" w:eastAsia="宋体" w:cs="宋体"/>
                <w:color w:val="auto"/>
                <w:szCs w:val="21"/>
              </w:rPr>
              <w:t>）</w:t>
            </w:r>
            <w:r>
              <w:rPr>
                <w:rFonts w:hint="eastAsia" w:ascii="宋体" w:hAnsi="宋体" w:eastAsia="宋体" w:cs="宋体"/>
                <w:color w:val="auto"/>
              </w:rPr>
              <w:br w:type="textWrapping"/>
            </w:r>
            <w:r>
              <w:rPr>
                <w:rFonts w:hint="eastAsia" w:ascii="宋体" w:hAnsi="宋体" w:eastAsia="宋体" w:cs="宋体"/>
                <w:b/>
                <w:bCs/>
                <w:color w:val="auto"/>
                <w:lang w:eastAsia="zh-CN"/>
              </w:rPr>
              <w:t>注：供应商所提供现场演示时长不得超过</w:t>
            </w:r>
            <w:r>
              <w:rPr>
                <w:rFonts w:hint="eastAsia" w:ascii="宋体" w:hAnsi="宋体" w:eastAsia="宋体" w:cs="宋体"/>
                <w:b/>
                <w:bCs/>
                <w:color w:val="auto"/>
                <w:lang w:val="en-US" w:eastAsia="zh-CN"/>
              </w:rPr>
              <w:t>10分钟。</w:t>
            </w:r>
          </w:p>
        </w:tc>
        <w:tc>
          <w:tcPr>
            <w:tcW w:w="664" w:type="dxa"/>
            <w:vAlign w:val="center"/>
          </w:tcPr>
          <w:p>
            <w:pPr>
              <w:widowControl/>
              <w:spacing w:line="24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0</w:t>
            </w:r>
            <w:r>
              <w:rPr>
                <w:rFonts w:hint="eastAsia" w:ascii="宋体" w:hAnsi="宋体" w:eastAsia="宋体" w:cs="宋体"/>
                <w:color w:val="auto"/>
                <w:szCs w:val="21"/>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spacing w:line="240" w:lineRule="auto"/>
              <w:rPr>
                <w:rFonts w:hint="eastAsia" w:ascii="宋体" w:hAnsi="宋体" w:eastAsia="宋体" w:cs="宋体"/>
                <w:color w:val="auto"/>
                <w:sz w:val="21"/>
                <w:szCs w:val="21"/>
              </w:rPr>
            </w:pPr>
          </w:p>
        </w:tc>
        <w:tc>
          <w:tcPr>
            <w:tcW w:w="1216" w:type="dxa"/>
            <w:vAlign w:val="center"/>
          </w:tcPr>
          <w:p>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售后服务方案</w:t>
            </w:r>
          </w:p>
        </w:tc>
        <w:tc>
          <w:tcPr>
            <w:tcW w:w="6672" w:type="dxa"/>
            <w:vAlign w:val="center"/>
          </w:tcPr>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提供售后服务方案，根据售后服务方案设计的完整性、可行性等进行评分，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科学、合理，针对性强，</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合理，可行，</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欠合理，基本可行，</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不可行，0 分。</w:t>
            </w:r>
          </w:p>
        </w:tc>
        <w:tc>
          <w:tcPr>
            <w:tcW w:w="664" w:type="dxa"/>
            <w:vAlign w:val="center"/>
          </w:tcPr>
          <w:p>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spacing w:line="240" w:lineRule="auto"/>
              <w:rPr>
                <w:rFonts w:hint="eastAsia" w:ascii="宋体" w:hAnsi="宋体" w:eastAsia="宋体" w:cs="宋体"/>
                <w:color w:val="auto"/>
                <w:sz w:val="21"/>
                <w:szCs w:val="21"/>
              </w:rPr>
            </w:pPr>
          </w:p>
        </w:tc>
        <w:tc>
          <w:tcPr>
            <w:tcW w:w="1216" w:type="dxa"/>
            <w:vMerge w:val="restart"/>
            <w:vAlign w:val="center"/>
          </w:tcPr>
          <w:p>
            <w:pPr>
              <w:widowControl/>
              <w:spacing w:line="240" w:lineRule="auto"/>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rPr>
              <w:t>课程宣传推广</w:t>
            </w:r>
          </w:p>
        </w:tc>
        <w:tc>
          <w:tcPr>
            <w:tcW w:w="6672" w:type="dxa"/>
            <w:vAlign w:val="center"/>
          </w:tcPr>
          <w:p>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供应商需</w:t>
            </w:r>
            <w:r>
              <w:rPr>
                <w:rFonts w:hint="eastAsia" w:ascii="宋体" w:hAnsi="宋体" w:eastAsia="宋体" w:cs="宋体"/>
                <w:color w:val="auto"/>
                <w:sz w:val="21"/>
                <w:szCs w:val="21"/>
              </w:rPr>
              <w:t>提供在国内权威机构运行的，面向公众开放的公众平台上发布和推广服务，提供域名或相关授权协议证明得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c>
          <w:tcPr>
            <w:tcW w:w="664" w:type="dxa"/>
            <w:vAlign w:val="center"/>
          </w:tcPr>
          <w:p>
            <w:pPr>
              <w:widowControl/>
              <w:spacing w:line="24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spacing w:line="240" w:lineRule="auto"/>
              <w:rPr>
                <w:rFonts w:hint="eastAsia" w:ascii="宋体" w:hAnsi="宋体" w:eastAsia="宋体" w:cs="宋体"/>
                <w:color w:val="auto"/>
                <w:sz w:val="21"/>
                <w:szCs w:val="21"/>
              </w:rPr>
            </w:pPr>
          </w:p>
        </w:tc>
        <w:tc>
          <w:tcPr>
            <w:tcW w:w="1216" w:type="dxa"/>
            <w:vMerge w:val="continue"/>
            <w:vAlign w:val="center"/>
          </w:tcPr>
          <w:p>
            <w:pPr>
              <w:spacing w:line="240" w:lineRule="auto"/>
              <w:rPr>
                <w:rFonts w:hint="eastAsia" w:ascii="宋体" w:hAnsi="宋体" w:eastAsia="宋体" w:cs="宋体"/>
                <w:color w:val="auto"/>
                <w:spacing w:val="-6"/>
                <w:sz w:val="21"/>
                <w:szCs w:val="21"/>
              </w:rPr>
            </w:pPr>
          </w:p>
        </w:tc>
        <w:tc>
          <w:tcPr>
            <w:tcW w:w="6672" w:type="dxa"/>
            <w:vAlign w:val="center"/>
          </w:tcPr>
          <w:p>
            <w:pPr>
              <w:spacing w:line="240" w:lineRule="auto"/>
              <w:rPr>
                <w:rFonts w:hint="eastAsia" w:ascii="宋体" w:hAnsi="宋体" w:eastAsia="宋体" w:cs="宋体"/>
                <w:color w:val="auto"/>
                <w:spacing w:val="-6"/>
                <w:sz w:val="21"/>
                <w:szCs w:val="21"/>
              </w:rPr>
            </w:pPr>
            <w:r>
              <w:rPr>
                <w:rFonts w:hint="eastAsia" w:ascii="宋体" w:hAnsi="宋体" w:eastAsia="宋体" w:cs="宋体"/>
                <w:color w:val="auto"/>
                <w:sz w:val="21"/>
                <w:szCs w:val="21"/>
                <w:lang w:eastAsia="zh-CN"/>
              </w:rPr>
              <w:t>供应商需</w:t>
            </w:r>
            <w:r>
              <w:rPr>
                <w:rFonts w:hint="eastAsia" w:ascii="宋体" w:hAnsi="宋体" w:eastAsia="宋体" w:cs="宋体"/>
                <w:color w:val="auto"/>
                <w:sz w:val="21"/>
                <w:szCs w:val="21"/>
              </w:rPr>
              <w:t>提供在公开平台运营课程的案例，提供2门超过100000人选修的案例，同时提供微信或网站对该课程的推广案例，每</w:t>
            </w:r>
            <w:r>
              <w:rPr>
                <w:rFonts w:hint="eastAsia" w:ascii="宋体" w:hAnsi="宋体" w:eastAsia="宋体" w:cs="宋体"/>
                <w:color w:val="auto"/>
                <w:sz w:val="21"/>
                <w:szCs w:val="21"/>
                <w:lang w:eastAsia="zh-CN"/>
              </w:rPr>
              <w:t>提供一个且案例内容</w:t>
            </w:r>
            <w:r>
              <w:rPr>
                <w:rFonts w:hint="eastAsia" w:ascii="宋体" w:hAnsi="宋体" w:eastAsia="宋体" w:cs="宋体"/>
                <w:color w:val="auto"/>
                <w:sz w:val="21"/>
                <w:szCs w:val="21"/>
              </w:rPr>
              <w:t>完整得1分，最高2分。</w:t>
            </w:r>
          </w:p>
        </w:tc>
        <w:tc>
          <w:tcPr>
            <w:tcW w:w="664" w:type="dxa"/>
            <w:vAlign w:val="center"/>
          </w:tcPr>
          <w:p>
            <w:pPr>
              <w:spacing w:line="240" w:lineRule="auto"/>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spacing w:line="240" w:lineRule="auto"/>
              <w:rPr>
                <w:rFonts w:hint="eastAsia" w:ascii="宋体" w:hAnsi="宋体" w:eastAsia="宋体" w:cs="宋体"/>
                <w:color w:val="auto"/>
                <w:sz w:val="21"/>
                <w:szCs w:val="21"/>
              </w:rPr>
            </w:pPr>
          </w:p>
        </w:tc>
        <w:tc>
          <w:tcPr>
            <w:tcW w:w="1216" w:type="dxa"/>
            <w:vMerge w:val="restart"/>
            <w:vAlign w:val="center"/>
          </w:tcPr>
          <w:p>
            <w:pPr>
              <w:widowControl/>
              <w:spacing w:line="240" w:lineRule="auto"/>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获奖作品</w:t>
            </w:r>
          </w:p>
          <w:p>
            <w:pPr>
              <w:spacing w:line="240" w:lineRule="auto"/>
              <w:rPr>
                <w:rFonts w:hint="eastAsia" w:ascii="宋体" w:hAnsi="宋体" w:eastAsia="宋体" w:cs="宋体"/>
                <w:color w:val="auto"/>
                <w:spacing w:val="-6"/>
                <w:sz w:val="21"/>
                <w:szCs w:val="21"/>
              </w:rPr>
            </w:pPr>
          </w:p>
        </w:tc>
        <w:tc>
          <w:tcPr>
            <w:tcW w:w="6672" w:type="dxa"/>
            <w:vAlign w:val="center"/>
          </w:tcPr>
          <w:p>
            <w:pPr>
              <w:widowControl/>
              <w:spacing w:line="240" w:lineRule="auto"/>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有能力制作国家精品在线开放课程，需要提供课程对应合同扫描件、国家精品在线开放课程获奖证书扫描件、课程首页截图、网址，为一份完整材料，</w:t>
            </w:r>
            <w:r>
              <w:rPr>
                <w:rFonts w:hint="eastAsia" w:ascii="宋体" w:hAnsi="宋体" w:eastAsia="宋体" w:cs="宋体"/>
                <w:color w:val="auto"/>
                <w:kern w:val="0"/>
                <w:szCs w:val="21"/>
                <w:lang w:eastAsia="zh-CN"/>
              </w:rPr>
              <w:t>每提供</w:t>
            </w:r>
            <w:r>
              <w:rPr>
                <w:rFonts w:hint="eastAsia" w:ascii="宋体" w:hAnsi="宋体" w:eastAsia="宋体" w:cs="宋体"/>
                <w:color w:val="auto"/>
                <w:kern w:val="0"/>
                <w:szCs w:val="21"/>
              </w:rPr>
              <w:t>1份完整材料得0.5分，最高</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分。</w:t>
            </w:r>
          </w:p>
        </w:tc>
        <w:tc>
          <w:tcPr>
            <w:tcW w:w="664" w:type="dxa"/>
            <w:vAlign w:val="center"/>
          </w:tcPr>
          <w:p>
            <w:pPr>
              <w:widowControl/>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spacing w:line="240" w:lineRule="auto"/>
              <w:rPr>
                <w:rFonts w:hint="eastAsia" w:ascii="宋体" w:hAnsi="宋体" w:eastAsia="宋体" w:cs="宋体"/>
                <w:color w:val="auto"/>
                <w:sz w:val="21"/>
                <w:szCs w:val="21"/>
              </w:rPr>
            </w:pPr>
          </w:p>
        </w:tc>
        <w:tc>
          <w:tcPr>
            <w:tcW w:w="1216" w:type="dxa"/>
            <w:vMerge w:val="continue"/>
            <w:vAlign w:val="center"/>
          </w:tcPr>
          <w:p>
            <w:pPr>
              <w:spacing w:line="240" w:lineRule="auto"/>
              <w:rPr>
                <w:rFonts w:hint="eastAsia" w:ascii="宋体" w:hAnsi="宋体" w:eastAsia="宋体" w:cs="宋体"/>
                <w:color w:val="auto"/>
                <w:spacing w:val="-6"/>
                <w:sz w:val="21"/>
                <w:szCs w:val="21"/>
              </w:rPr>
            </w:pPr>
          </w:p>
        </w:tc>
        <w:tc>
          <w:tcPr>
            <w:tcW w:w="6672" w:type="dxa"/>
            <w:vAlign w:val="center"/>
          </w:tcPr>
          <w:p>
            <w:pPr>
              <w:widowControl/>
              <w:spacing w:line="240" w:lineRule="auto"/>
              <w:textAlignment w:val="center"/>
              <w:rPr>
                <w:rFonts w:hint="eastAsia" w:ascii="宋体" w:hAnsi="宋体" w:eastAsia="宋体" w:cs="宋体"/>
                <w:color w:val="auto"/>
              </w:rPr>
            </w:pPr>
            <w:r>
              <w:rPr>
                <w:rFonts w:hint="eastAsia" w:ascii="宋体" w:hAnsi="宋体" w:eastAsia="宋体" w:cs="宋体"/>
                <w:color w:val="auto"/>
              </w:rPr>
              <w:t>有支持高等院校获得省级以上教学成果奖的经历，提供的教学成果奖获奖证书文件中完成单位需包含投保人名称，获奖者需包含</w:t>
            </w:r>
            <w:r>
              <w:rPr>
                <w:rFonts w:hint="eastAsia" w:ascii="宋体" w:hAnsi="宋体" w:eastAsia="宋体" w:cs="宋体"/>
                <w:color w:val="auto"/>
                <w:lang w:eastAsia="zh-CN"/>
              </w:rPr>
              <w:t>供应商</w:t>
            </w:r>
            <w:r>
              <w:rPr>
                <w:rFonts w:hint="eastAsia" w:ascii="宋体" w:hAnsi="宋体" w:eastAsia="宋体" w:cs="宋体"/>
                <w:color w:val="auto"/>
              </w:rPr>
              <w:t>的正式员工</w:t>
            </w:r>
            <w:r>
              <w:rPr>
                <w:rFonts w:hint="eastAsia" w:ascii="宋体" w:hAnsi="宋体" w:eastAsia="宋体" w:cs="宋体"/>
                <w:color w:val="auto"/>
                <w:lang w:eastAsia="zh-CN"/>
              </w:rPr>
              <w:t>等</w:t>
            </w:r>
            <w:r>
              <w:rPr>
                <w:rFonts w:hint="eastAsia" w:ascii="宋体" w:hAnsi="宋体" w:eastAsia="宋体" w:cs="宋体"/>
                <w:color w:val="auto"/>
              </w:rPr>
              <w:t>。文件</w:t>
            </w:r>
            <w:r>
              <w:rPr>
                <w:rFonts w:hint="eastAsia" w:ascii="宋体" w:hAnsi="宋体" w:eastAsia="宋体" w:cs="宋体"/>
                <w:color w:val="auto"/>
                <w:lang w:eastAsia="zh-CN"/>
              </w:rPr>
              <w:t>内容完整</w:t>
            </w:r>
            <w:r>
              <w:rPr>
                <w:rFonts w:hint="eastAsia" w:ascii="宋体" w:hAnsi="宋体" w:eastAsia="宋体" w:cs="宋体"/>
                <w:color w:val="auto"/>
              </w:rPr>
              <w:t>得</w:t>
            </w:r>
            <w:r>
              <w:rPr>
                <w:rFonts w:hint="eastAsia" w:ascii="宋体" w:hAnsi="宋体" w:eastAsia="宋体" w:cs="宋体"/>
                <w:color w:val="auto"/>
                <w:lang w:val="en-US" w:eastAsia="zh-CN"/>
              </w:rPr>
              <w:t>3</w:t>
            </w:r>
            <w:r>
              <w:rPr>
                <w:rFonts w:hint="eastAsia" w:ascii="宋体" w:hAnsi="宋体" w:eastAsia="宋体" w:cs="宋体"/>
                <w:color w:val="auto"/>
              </w:rPr>
              <w:t>分</w:t>
            </w:r>
            <w:r>
              <w:rPr>
                <w:rFonts w:hint="eastAsia" w:ascii="宋体" w:hAnsi="宋体" w:eastAsia="宋体" w:cs="宋体"/>
                <w:color w:val="auto"/>
                <w:lang w:eastAsia="zh-CN"/>
              </w:rPr>
              <w:t>，其他则本项不得分</w:t>
            </w:r>
            <w:r>
              <w:rPr>
                <w:rFonts w:hint="eastAsia" w:ascii="宋体" w:hAnsi="宋体" w:eastAsia="宋体" w:cs="宋体"/>
                <w:color w:val="auto"/>
              </w:rPr>
              <w:t>。</w:t>
            </w:r>
          </w:p>
          <w:p>
            <w:pPr>
              <w:pStyle w:val="2"/>
              <w:rPr>
                <w:rFonts w:hint="eastAsia" w:ascii="宋体" w:hAnsi="宋体" w:eastAsia="宋体" w:cs="宋体"/>
                <w:color w:val="auto"/>
                <w:lang w:val="en-US" w:eastAsia="zh-CN"/>
              </w:rPr>
            </w:pPr>
            <w:r>
              <w:rPr>
                <w:rFonts w:hint="eastAsia" w:ascii="宋体" w:hAnsi="宋体" w:eastAsia="宋体" w:cs="宋体"/>
                <w:color w:val="auto"/>
                <w:kern w:val="0"/>
                <w:szCs w:val="21"/>
                <w:lang w:eastAsia="zh-CN"/>
              </w:rPr>
              <w:t>需提供人员</w:t>
            </w:r>
            <w:r>
              <w:rPr>
                <w:rFonts w:hint="eastAsia" w:ascii="宋体" w:hAnsi="宋体" w:eastAsia="宋体" w:cs="宋体"/>
                <w:color w:val="auto"/>
                <w:kern w:val="0"/>
                <w:szCs w:val="21"/>
              </w:rPr>
              <w:t>劳动合同</w:t>
            </w:r>
            <w:r>
              <w:rPr>
                <w:rFonts w:hint="eastAsia" w:ascii="宋体" w:hAnsi="宋体" w:eastAsia="宋体" w:cs="宋体"/>
                <w:color w:val="auto"/>
                <w:kern w:val="0"/>
                <w:szCs w:val="21"/>
                <w:lang w:eastAsia="zh-CN"/>
              </w:rPr>
              <w:t>、连续六个月缴纳社保证明等材料</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未提供不得分</w:t>
            </w:r>
            <w:r>
              <w:rPr>
                <w:rFonts w:hint="eastAsia" w:ascii="宋体" w:hAnsi="宋体" w:eastAsia="宋体" w:cs="宋体"/>
                <w:color w:val="auto"/>
                <w:kern w:val="0"/>
                <w:szCs w:val="21"/>
              </w:rPr>
              <w:t>。</w:t>
            </w:r>
          </w:p>
        </w:tc>
        <w:tc>
          <w:tcPr>
            <w:tcW w:w="664" w:type="dxa"/>
            <w:vAlign w:val="center"/>
          </w:tcPr>
          <w:p>
            <w:pPr>
              <w:widowControl/>
              <w:spacing w:line="24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总分</w:t>
            </w:r>
          </w:p>
        </w:tc>
        <w:tc>
          <w:tcPr>
            <w:tcW w:w="8552" w:type="dxa"/>
            <w:gridSpan w:val="3"/>
            <w:vAlign w:val="center"/>
          </w:tcPr>
          <w:p>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lang w:val="en-US" w:eastAsia="zh-CN"/>
              </w:rPr>
              <w:t>100</w:t>
            </w:r>
          </w:p>
        </w:tc>
      </w:tr>
    </w:tbl>
    <w:p>
      <w:pPr>
        <w:spacing w:line="360" w:lineRule="auto"/>
        <w:outlineLvl w:val="1"/>
        <w:rPr>
          <w:rFonts w:hint="eastAsia" w:asciiTheme="minorEastAsia" w:hAnsiTheme="minorEastAsia" w:eastAsiaTheme="minorEastAsia" w:cstheme="minorEastAsia"/>
          <w:b/>
          <w:szCs w:val="21"/>
        </w:rPr>
      </w:pPr>
      <w:bookmarkStart w:id="112" w:name="_Toc17963"/>
      <w:r>
        <w:rPr>
          <w:rFonts w:hint="eastAsia" w:asciiTheme="minorEastAsia" w:hAnsiTheme="minorEastAsia" w:eastAsiaTheme="minorEastAsia" w:cstheme="minorEastAsia"/>
          <w:b/>
          <w:szCs w:val="21"/>
          <w:lang w:val="en-US" w:eastAsia="zh-CN"/>
        </w:rPr>
        <w:br w:type="textWrapping"/>
      </w:r>
      <w:r>
        <w:rPr>
          <w:rFonts w:hint="eastAsia" w:asciiTheme="minorEastAsia" w:hAnsiTheme="minorEastAsia" w:eastAsiaTheme="minorEastAsia" w:cstheme="minorEastAsia"/>
          <w:b/>
          <w:szCs w:val="21"/>
          <w:lang w:val="en-US" w:eastAsia="zh-CN"/>
        </w:rPr>
        <w:t>四、</w:t>
      </w:r>
      <w:r>
        <w:rPr>
          <w:rFonts w:hint="eastAsia" w:asciiTheme="minorEastAsia" w:hAnsiTheme="minorEastAsia" w:eastAsiaTheme="minorEastAsia" w:cstheme="minorEastAsia"/>
          <w:b/>
          <w:szCs w:val="21"/>
        </w:rPr>
        <w:t>评定办法</w:t>
      </w:r>
      <w:bookmarkEnd w:id="112"/>
    </w:p>
    <w:p>
      <w:pPr>
        <w:numPr>
          <w:ilvl w:val="3"/>
          <w:numId w:val="37"/>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初步审查标准</w:t>
      </w:r>
    </w:p>
    <w:p>
      <w:pPr>
        <w:numPr>
          <w:ilvl w:val="1"/>
          <w:numId w:val="38"/>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资格性审查标准：见评定办法前附表。</w:t>
      </w:r>
    </w:p>
    <w:p>
      <w:pPr>
        <w:numPr>
          <w:ilvl w:val="1"/>
          <w:numId w:val="38"/>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符合性审查标准：见评定办法前附表。</w:t>
      </w:r>
    </w:p>
    <w:p>
      <w:pPr>
        <w:numPr>
          <w:ilvl w:val="1"/>
          <w:numId w:val="38"/>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确定磋商供应商进行最后报价：见评定方法前附表。</w:t>
      </w:r>
    </w:p>
    <w:p>
      <w:pPr>
        <w:numPr>
          <w:ilvl w:val="3"/>
          <w:numId w:val="37"/>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评定方法：见评定办法前附表。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 分值构成</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（3）竞标报价：见评标办法前附表。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 评标基准价计算</w:t>
      </w:r>
    </w:p>
    <w:p>
      <w:pPr>
        <w:spacing w:line="360" w:lineRule="auto"/>
        <w:ind w:firstLine="840" w:firstLineChars="4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评标基准价计算方法：见评标办法前附表。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 评分标准</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（3）竞标报价评分标准：见评标办法前附表。</w:t>
      </w:r>
    </w:p>
    <w:p>
      <w:pPr>
        <w:numPr>
          <w:ilvl w:val="3"/>
          <w:numId w:val="37"/>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评定结果</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3.1</w:t>
      </w:r>
      <w:r>
        <w:rPr>
          <w:rFonts w:hint="eastAsia" w:asciiTheme="minorEastAsia" w:hAnsiTheme="minorEastAsia" w:eastAsiaTheme="minorEastAsia" w:cstheme="minorEastAsia"/>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磋商小组严格按照本章要求对最终报价进行评定。</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完成评定后，</w:t>
      </w:r>
      <w:r>
        <w:rPr>
          <w:rFonts w:hint="eastAsia" w:asciiTheme="minorEastAsia" w:hAnsiTheme="minorEastAsia" w:eastAsiaTheme="minorEastAsia" w:cstheme="minorEastAsia"/>
          <w:snapToGrid w:val="0"/>
          <w:kern w:val="0"/>
          <w:szCs w:val="21"/>
          <w:lang w:val="zh-CN"/>
        </w:rPr>
        <w:t>磋商小组</w:t>
      </w:r>
      <w:r>
        <w:rPr>
          <w:rFonts w:hint="eastAsia" w:asciiTheme="minorEastAsia" w:hAnsiTheme="minorEastAsia" w:eastAsiaTheme="minorEastAsia" w:cstheme="minorEastAsia"/>
          <w:szCs w:val="21"/>
        </w:rPr>
        <w:t>须在评审结果推荐意见上共同签字。</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37"/>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Pr>
        <w:outlineLvl w:val="9"/>
      </w:pPr>
    </w:p>
    <w:p>
      <w:pPr>
        <w:outlineLvl w:val="9"/>
      </w:pPr>
    </w:p>
    <w:p>
      <w:pPr>
        <w:outlineLvl w:val="9"/>
      </w:pPr>
    </w:p>
    <w:p>
      <w:pPr>
        <w:outlineLvl w:val="9"/>
      </w:pPr>
    </w:p>
    <w:p>
      <w:pPr>
        <w:spacing w:line="360" w:lineRule="auto"/>
        <w:outlineLvl w:val="1"/>
        <w:rPr>
          <w:rFonts w:hint="eastAsia" w:asciiTheme="minorEastAsia" w:hAnsiTheme="minorEastAsia" w:eastAsiaTheme="minorEastAsia" w:cstheme="minorEastAsia"/>
          <w:b/>
          <w:szCs w:val="21"/>
          <w:lang w:val="en-US" w:eastAsia="zh-CN"/>
        </w:rPr>
      </w:pPr>
      <w:bookmarkStart w:id="113" w:name="_Toc9958"/>
      <w:r>
        <w:rPr>
          <w:rFonts w:hint="eastAsia" w:asciiTheme="minorEastAsia" w:hAnsiTheme="minorEastAsia" w:eastAsiaTheme="minorEastAsia" w:cstheme="minorEastAsia"/>
          <w:b/>
          <w:szCs w:val="21"/>
          <w:lang w:val="en-US" w:eastAsia="zh-CN"/>
        </w:rPr>
        <w:t>五、磋商及评审步骤</w:t>
      </w:r>
      <w:bookmarkEnd w:id="113"/>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磋商及评审步骤分别依次为磋商小组对供应商及其响应文件的资格和符合性检查、磋商小组同供应商的磋商及供应商的最后报价、详细评审。</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1.验证委托代理人身份、</w:t>
      </w:r>
      <w:r>
        <w:rPr>
          <w:rFonts w:hint="eastAsia" w:asciiTheme="minorEastAsia" w:hAnsiTheme="minorEastAsia" w:eastAsiaTheme="minorEastAsia" w:cstheme="minorEastAsia"/>
          <w:szCs w:val="28"/>
          <w:lang w:val="en-US" w:eastAsia="zh-CN"/>
        </w:rPr>
        <w:t>响应文件</w:t>
      </w:r>
      <w:r>
        <w:rPr>
          <w:rFonts w:hint="eastAsia" w:asciiTheme="minorEastAsia" w:hAnsiTheme="minorEastAsia" w:eastAsiaTheme="minorEastAsia" w:cstheme="minorEastAsia"/>
          <w:szCs w:val="28"/>
        </w:rPr>
        <w:t>密封检查</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主持人按以下程序进行：</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①宣布会场纪律。</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②公布在响应文件递交截止时间前递交响应文件的供应商名称，并点名确认供应商的委托代理人是否到场（验证委托代理人身份证原件）。</w:t>
      </w:r>
    </w:p>
    <w:p>
      <w:pPr>
        <w:spacing w:line="360" w:lineRule="auto"/>
        <w:ind w:firstLine="420" w:firstLineChars="200"/>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szCs w:val="28"/>
        </w:rPr>
        <w:t>③检查响应文件密封情况。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2.资格和符合性审查</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2.1</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szCs w:val="28"/>
        </w:rPr>
        <w:t>磋商小组审查每份响应文件是否实质上响应了采购文件的要求。磋商小组决定其是否响应只根据响应文件本身的内容，而不依据外部的证据，但响应文件有不真实不正确的内容时除外。</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2.3只有通过了资格和符合性审查的供应商才能进入详细评审阶段。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3.供应商的澄清</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3.1磋商小组要求供应商澄清、说明或者更正响应文件将以书面形式作出。供应商的澄清、说明或者更正应当由法定代表人或其授权代表签字或者加盖公章。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4.磋商及最后报价</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4.1磋商小组所有成员应当集中与单一供应商分别进行磋商，并按照</w:t>
      </w:r>
      <w:r>
        <w:rPr>
          <w:rFonts w:hint="eastAsia" w:asciiTheme="minorEastAsia" w:hAnsiTheme="minorEastAsia" w:eastAsiaTheme="minorEastAsia" w:cstheme="minorEastAsia"/>
          <w:szCs w:val="28"/>
          <w:lang w:val="en-US" w:eastAsia="zh-CN"/>
        </w:rPr>
        <w:t>磋商会随机抽签</w:t>
      </w:r>
      <w:r>
        <w:rPr>
          <w:rFonts w:hint="eastAsia" w:asciiTheme="minorEastAsia" w:hAnsiTheme="minorEastAsia" w:eastAsiaTheme="minorEastAsia" w:cstheme="minorEastAsia"/>
          <w:szCs w:val="28"/>
        </w:rPr>
        <w:t>的顺序给予所有参加磋商的供应商平等的磋商机会。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4.2</w:t>
      </w:r>
      <w:r>
        <w:rPr>
          <w:rFonts w:hint="eastAsia" w:asciiTheme="minorEastAsia" w:hAnsiTheme="minorEastAsia" w:eastAsiaTheme="minorEastAsia" w:cstheme="minorEastAsia"/>
          <w:b/>
          <w:szCs w:val="28"/>
        </w:rPr>
        <w:t>在磋商过程中，若磋商小组无法联系上供应商代表或者供应商代表在接到磋商小组通知后1</w:t>
      </w:r>
      <w:r>
        <w:rPr>
          <w:rFonts w:hint="eastAsia" w:asciiTheme="minorEastAsia" w:hAnsiTheme="minorEastAsia" w:eastAsiaTheme="minorEastAsia" w:cstheme="minorEastAsia"/>
          <w:b/>
          <w:szCs w:val="28"/>
          <w:lang w:val="en-US" w:eastAsia="zh-CN"/>
        </w:rPr>
        <w:t>5</w:t>
      </w:r>
      <w:r>
        <w:rPr>
          <w:rFonts w:hint="eastAsia" w:asciiTheme="minorEastAsia" w:hAnsiTheme="minorEastAsia" w:eastAsiaTheme="minorEastAsia" w:cstheme="minorEastAsia"/>
          <w:b/>
          <w:szCs w:val="28"/>
        </w:rPr>
        <w:t>分钟内不能抵达磋商会现场的，视为该供应商自动退出磋商。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4.3</w:t>
      </w:r>
      <w:r>
        <w:rPr>
          <w:rFonts w:hint="eastAsia" w:asciiTheme="minorEastAsia" w:hAnsiTheme="minorEastAsia" w:eastAsiaTheme="minorEastAsia" w:cstheme="minorEastAsia"/>
          <w:b/>
          <w:szCs w:val="28"/>
        </w:rPr>
        <w:t>磋商小组在与供应商磋商之前，应首先对参与磋商的供应商代表的身份进行核验，未按采购文件要求提供身份证原件或经核验的供应商代表身份与证明文件（法定代表人身份证明或法定代表人授权委托书）或身份证不符的，磋商小组有权拒绝该供应商参加磋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4.4在磋商过程中，磋商小组可以根据采购文件和磋商情况实质性变动采购需求中的技术、服务要求以及合同草案条款，但不得变动采购文件中的其他内容。实质性变动的内容，经采购人代表确认后，将作为采购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bCs/>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5</w:t>
      </w:r>
      <w:r>
        <w:rPr>
          <w:rFonts w:hint="eastAsia" w:asciiTheme="minorEastAsia" w:hAnsiTheme="minorEastAsia" w:eastAsiaTheme="minorEastAsia" w:cstheme="minorEastAsia"/>
          <w:szCs w:val="28"/>
        </w:rPr>
        <w:t>磋商结束后，磋商小组将要求所有实质性响应的供应商在规定时间内提交最后报价，最后报价是供应商响应文件的有效组成部分。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Cs/>
          <w:szCs w:val="28"/>
        </w:rPr>
        <w:t>4.</w:t>
      </w:r>
      <w:r>
        <w:rPr>
          <w:rFonts w:hint="eastAsia" w:asciiTheme="minorEastAsia" w:hAnsiTheme="minorEastAsia" w:eastAsiaTheme="minorEastAsia" w:cstheme="minorEastAsia"/>
          <w:bCs/>
          <w:szCs w:val="28"/>
          <w:lang w:val="en-US" w:eastAsia="zh-CN"/>
        </w:rPr>
        <w:t>6</w:t>
      </w:r>
      <w:r>
        <w:rPr>
          <w:rFonts w:hint="eastAsia" w:asciiTheme="minorEastAsia" w:hAnsiTheme="minorEastAsia" w:eastAsiaTheme="minorEastAsia" w:cstheme="minorEastAsia"/>
          <w:szCs w:val="28"/>
        </w:rPr>
        <w:t>已提交响应文件的供应商，在提交最后报价之前，可以根据磋商情况退出磋商。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7</w:t>
      </w:r>
      <w:r>
        <w:rPr>
          <w:rFonts w:hint="eastAsia" w:asciiTheme="minorEastAsia" w:hAnsiTheme="minorEastAsia" w:eastAsiaTheme="minorEastAsia" w:cstheme="minorEastAsia"/>
          <w:szCs w:val="28"/>
        </w:rPr>
        <w:t>符合下列情形，在采购过程中符合要求的供应商可以为2家：</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（1）政府购买服务项目（含政府和社会资本合作项目）；</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（2）市场竞争不充分的科研项目，以及需要扶持的科技成果转化项目。</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5.详细评审</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5.1经磋商确定最终采购需求和提交最后报价的供应商后，由磋商小组采用综合评分法对提交最后报价的供应商的响应文件和最后报价进行综合评分。具体详见“</w:t>
      </w:r>
      <w:r>
        <w:rPr>
          <w:rFonts w:hint="eastAsia" w:asciiTheme="minorEastAsia" w:hAnsiTheme="minorEastAsia" w:eastAsiaTheme="minorEastAsia" w:cstheme="minorEastAsia"/>
          <w:szCs w:val="28"/>
          <w:lang w:val="en-US" w:eastAsia="zh-CN"/>
        </w:rPr>
        <w:t>评分细则</w:t>
      </w:r>
      <w:r>
        <w:rPr>
          <w:rFonts w:hint="eastAsia" w:asciiTheme="minorEastAsia" w:hAnsiTheme="minorEastAsia" w:eastAsiaTheme="minorEastAsia" w:cstheme="minorEastAsia"/>
          <w:szCs w:val="28"/>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5.2评审时，磋商小组各成员应当独立对每个有效响应的文件进行评价、打分，然后汇总每个供应商每项评分因素的得分。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5.3采购代理机构负责对各磋商小组成员的总分进行复核和汇总。各项统计结果均精确到小数点后两位。 </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磋商小组应当根据综合评分情况，按照评审得分由高到低顺序（评审得分相同的，按照最后报价由低到高的顺序确定，评审得分且最后报价相同的，按照技术指标优劣顺序确定）推荐3名成交候选供应商，并编写评审报告。</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5.5</w:t>
      </w:r>
      <w:r>
        <w:rPr>
          <w:rFonts w:hint="eastAsia" w:asciiTheme="minorEastAsia" w:hAnsiTheme="minorEastAsia" w:eastAsiaTheme="minorEastAsia" w:cstheme="minorEastAsia"/>
          <w:szCs w:val="28"/>
        </w:rPr>
        <w:t>在评审期间，供应商不得干扰和阻碍评审工作，供应商不得向磋商小组询问评审情况，任何影响和干扰评审工作的行为都可能导致被取消本次评审的资格，并承担相应的法律责任。</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8"/>
          <w:lang w:val="en-US" w:eastAsia="zh-CN"/>
        </w:rPr>
        <w:t>5.6</w:t>
      </w:r>
      <w:r>
        <w:rPr>
          <w:rFonts w:hint="eastAsia" w:asciiTheme="minorEastAsia" w:hAnsiTheme="minorEastAsia" w:eastAsiaTheme="minorEastAsia" w:cstheme="minorEastAsia"/>
          <w:szCs w:val="28"/>
        </w:rPr>
        <w:t>在评审过程中，磋商小组不得与供应商私下交换意见，从采购工作开始，直到授予供应商合同止，凡是属于审查、澄清、评价和比较响应文件的有关资料以及授标意向等，均不得向供应商或其他无关的人员透露。否则，磋商小组应承担法律、法规责任。</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rPr>
          <w:rFonts w:hint="eastAsia" w:asciiTheme="minorEastAsia" w:hAnsiTheme="minorEastAsia" w:eastAsiaTheme="minorEastAsia" w:cstheme="minorEastAsia"/>
          <w:b w:val="0"/>
          <w:kern w:val="0"/>
          <w:szCs w:val="21"/>
        </w:rPr>
      </w:pPr>
      <w:bookmarkStart w:id="114" w:name="_Toc318643471"/>
      <w:bookmarkStart w:id="115" w:name="_Toc211783328"/>
      <w:bookmarkStart w:id="116" w:name="_Toc13295"/>
      <w:r>
        <w:rPr>
          <w:rFonts w:hint="eastAsia" w:asciiTheme="minorEastAsia" w:hAnsiTheme="minorEastAsia" w:eastAsiaTheme="minorEastAsia" w:cstheme="minorEastAsia"/>
          <w:sz w:val="36"/>
          <w:szCs w:val="36"/>
        </w:rPr>
        <w:br w:type="page"/>
      </w:r>
    </w:p>
    <w:p>
      <w:pPr>
        <w:pStyle w:val="3"/>
        <w:numPr>
          <w:ilvl w:val="0"/>
          <w:numId w:val="4"/>
        </w:numPr>
        <w:spacing w:line="240" w:lineRule="auto"/>
        <w:jc w:val="center"/>
        <w:rPr>
          <w:rFonts w:hint="eastAsia" w:asciiTheme="minorEastAsia" w:hAnsiTheme="minorEastAsia" w:eastAsiaTheme="minorEastAsia" w:cstheme="minorEastAsia"/>
          <w:b w:val="0"/>
          <w:kern w:val="0"/>
          <w:szCs w:val="21"/>
        </w:rPr>
      </w:pPr>
      <w:r>
        <w:rPr>
          <w:rFonts w:hint="eastAsia" w:asciiTheme="minorEastAsia" w:hAnsiTheme="minorEastAsia" w:eastAsiaTheme="minorEastAsia" w:cstheme="minorEastAsia"/>
          <w:sz w:val="36"/>
          <w:szCs w:val="36"/>
        </w:rPr>
        <w:t>合同书</w:t>
      </w:r>
      <w:bookmarkEnd w:id="114"/>
      <w:bookmarkEnd w:id="115"/>
      <w:r>
        <w:rPr>
          <w:rFonts w:hint="eastAsia" w:asciiTheme="minorEastAsia" w:hAnsiTheme="minorEastAsia" w:eastAsiaTheme="minorEastAsia" w:cstheme="minorEastAsia"/>
          <w:sz w:val="36"/>
          <w:szCs w:val="36"/>
          <w:lang w:val="en-US" w:eastAsia="zh-CN"/>
        </w:rPr>
        <w:t>格式</w:t>
      </w:r>
      <w:bookmarkEnd w:id="116"/>
    </w:p>
    <w:p>
      <w:pPr>
        <w:spacing w:after="312" w:afterLines="100" w:line="360" w:lineRule="auto"/>
        <w:jc w:val="center"/>
        <w:rPr>
          <w:rFonts w:hint="eastAsia" w:ascii="宋体" w:hAnsi="宋体" w:eastAsia="宋体" w:cs="宋体"/>
          <w:b/>
          <w:bCs/>
          <w:color w:val="000000"/>
          <w:sz w:val="32"/>
          <w:szCs w:val="32"/>
        </w:rPr>
      </w:pPr>
      <w:bookmarkStart w:id="117" w:name="_Toc21018"/>
      <w:r>
        <w:rPr>
          <w:rFonts w:hint="eastAsia" w:ascii="宋体" w:hAnsi="宋体" w:eastAsia="宋体" w:cs="宋体"/>
          <w:b/>
          <w:bCs/>
          <w:color w:val="000000"/>
          <w:sz w:val="32"/>
          <w:szCs w:val="32"/>
        </w:rPr>
        <w:t>服务合同</w:t>
      </w:r>
    </w:p>
    <w:p>
      <w:pPr>
        <w:autoSpaceDE w:val="0"/>
        <w:autoSpaceDN w:val="0"/>
        <w:adjustRightInd w:val="0"/>
        <w:spacing w:line="360" w:lineRule="auto"/>
        <w:jc w:val="left"/>
        <w:rPr>
          <w:rFonts w:hint="eastAsia" w:ascii="宋体" w:hAnsi="宋体" w:eastAsia="宋体" w:cs="宋体"/>
          <w:color w:val="000000"/>
          <w:sz w:val="21"/>
          <w:szCs w:val="21"/>
        </w:rPr>
      </w:pPr>
      <w:r>
        <w:rPr>
          <w:rFonts w:hint="eastAsia" w:ascii="宋体" w:hAnsi="宋体" w:eastAsia="宋体" w:cs="宋体"/>
          <w:b/>
          <w:color w:val="000000"/>
          <w:sz w:val="21"/>
          <w:szCs w:val="21"/>
        </w:rPr>
        <w:t>项目名称：</w:t>
      </w:r>
    </w:p>
    <w:p>
      <w:pPr>
        <w:autoSpaceDE w:val="0"/>
        <w:autoSpaceDN w:val="0"/>
        <w:adjustRightInd w:val="0"/>
        <w:spacing w:line="360" w:lineRule="auto"/>
        <w:jc w:val="left"/>
        <w:rPr>
          <w:rFonts w:hint="eastAsia" w:ascii="宋体" w:hAnsi="宋体" w:eastAsia="宋体" w:cs="宋体"/>
          <w:color w:val="000000"/>
          <w:sz w:val="21"/>
          <w:szCs w:val="21"/>
        </w:rPr>
      </w:pPr>
      <w:r>
        <w:rPr>
          <w:rFonts w:hint="eastAsia" w:ascii="宋体" w:hAnsi="宋体" w:eastAsia="宋体" w:cs="宋体"/>
          <w:b/>
          <w:color w:val="000000"/>
          <w:sz w:val="21"/>
          <w:szCs w:val="21"/>
        </w:rPr>
        <w:t>合同编号：</w:t>
      </w:r>
    </w:p>
    <w:p>
      <w:pPr>
        <w:autoSpaceDE w:val="0"/>
        <w:autoSpaceDN w:val="0"/>
        <w:adjustRightInd w:val="0"/>
        <w:spacing w:line="360" w:lineRule="auto"/>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签订日期：</w:t>
      </w:r>
    </w:p>
    <w:p>
      <w:pPr>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b/>
          <w:bCs/>
          <w:color w:val="000000"/>
          <w:sz w:val="21"/>
          <w:szCs w:val="21"/>
        </w:rPr>
        <w:t>签订合同地点：</w:t>
      </w:r>
    </w:p>
    <w:p>
      <w:pPr>
        <w:spacing w:line="360" w:lineRule="auto"/>
        <w:rPr>
          <w:rFonts w:hint="eastAsia" w:ascii="宋体" w:hAnsi="宋体" w:eastAsia="宋体" w:cs="宋体"/>
          <w:b/>
          <w:bCs/>
          <w:color w:val="000000"/>
          <w:sz w:val="21"/>
          <w:szCs w:val="21"/>
        </w:rPr>
      </w:pPr>
    </w:p>
    <w:p>
      <w:pPr>
        <w:spacing w:line="360" w:lineRule="auto"/>
        <w:rPr>
          <w:rFonts w:hint="eastAsia" w:ascii="宋体" w:hAnsi="宋体" w:eastAsia="宋体" w:cs="宋体"/>
          <w:color w:val="000000"/>
          <w:sz w:val="21"/>
          <w:szCs w:val="21"/>
        </w:rPr>
      </w:pPr>
      <w:r>
        <w:rPr>
          <w:rFonts w:hint="eastAsia" w:ascii="宋体" w:hAnsi="宋体" w:eastAsia="宋体" w:cs="宋体"/>
          <w:b/>
          <w:bCs/>
          <w:color w:val="000000"/>
          <w:sz w:val="21"/>
          <w:szCs w:val="21"/>
        </w:rPr>
        <w:t>甲    方</w:t>
      </w:r>
      <w:r>
        <w:rPr>
          <w:rFonts w:hint="eastAsia" w:ascii="宋体" w:hAnsi="宋体" w:eastAsia="宋体" w:cs="宋体"/>
          <w:color w:val="000000"/>
          <w:sz w:val="21"/>
          <w:szCs w:val="21"/>
        </w:rPr>
        <w:t>：</w:t>
      </w:r>
    </w:p>
    <w:p>
      <w:pPr>
        <w:spacing w:line="360" w:lineRule="auto"/>
        <w:rPr>
          <w:rFonts w:hint="eastAsia" w:ascii="宋体" w:hAnsi="宋体" w:eastAsia="宋体" w:cs="宋体"/>
          <w:color w:val="000000"/>
          <w:sz w:val="21"/>
          <w:szCs w:val="21"/>
        </w:rPr>
      </w:pPr>
      <w:r>
        <w:rPr>
          <w:rFonts w:hint="eastAsia" w:ascii="宋体" w:hAnsi="宋体" w:eastAsia="宋体" w:cs="宋体"/>
          <w:b/>
          <w:bCs/>
          <w:color w:val="000000"/>
          <w:sz w:val="21"/>
          <w:szCs w:val="21"/>
        </w:rPr>
        <w:t>地    址</w:t>
      </w:r>
      <w:r>
        <w:rPr>
          <w:rFonts w:hint="eastAsia" w:ascii="宋体" w:hAnsi="宋体" w:eastAsia="宋体" w:cs="宋体"/>
          <w:color w:val="000000"/>
          <w:sz w:val="21"/>
          <w:szCs w:val="21"/>
        </w:rPr>
        <w:t>：</w:t>
      </w:r>
    </w:p>
    <w:p>
      <w:pPr>
        <w:spacing w:line="360" w:lineRule="auto"/>
        <w:rPr>
          <w:rFonts w:hint="eastAsia" w:ascii="宋体" w:hAnsi="宋体" w:eastAsia="宋体" w:cs="宋体"/>
          <w:color w:val="000000"/>
          <w:sz w:val="21"/>
          <w:szCs w:val="21"/>
        </w:rPr>
      </w:pPr>
      <w:r>
        <w:rPr>
          <w:rFonts w:hint="eastAsia" w:ascii="宋体" w:hAnsi="宋体" w:eastAsia="宋体" w:cs="宋体"/>
          <w:b/>
          <w:bCs/>
          <w:color w:val="000000"/>
          <w:sz w:val="21"/>
          <w:szCs w:val="21"/>
        </w:rPr>
        <w:t>邮    编</w:t>
      </w:r>
      <w:r>
        <w:rPr>
          <w:rFonts w:hint="eastAsia" w:ascii="宋体" w:hAnsi="宋体" w:eastAsia="宋体" w:cs="宋体"/>
          <w:color w:val="000000"/>
          <w:sz w:val="21"/>
          <w:szCs w:val="21"/>
        </w:rPr>
        <w:t>：</w:t>
      </w:r>
    </w:p>
    <w:p>
      <w:pPr>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联 系 人：</w:t>
      </w:r>
    </w:p>
    <w:p>
      <w:pPr>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电    话：</w:t>
      </w:r>
    </w:p>
    <w:p>
      <w:pPr>
        <w:spacing w:line="360" w:lineRule="auto"/>
        <w:rPr>
          <w:rFonts w:hint="eastAsia" w:ascii="宋体" w:hAnsi="宋体" w:eastAsia="宋体" w:cs="宋体"/>
          <w:b/>
          <w:bCs/>
          <w:color w:val="000000"/>
          <w:sz w:val="21"/>
          <w:szCs w:val="21"/>
        </w:rPr>
      </w:pPr>
    </w:p>
    <w:p>
      <w:pPr>
        <w:spacing w:line="360" w:lineRule="auto"/>
        <w:rPr>
          <w:rFonts w:hint="eastAsia" w:ascii="宋体" w:hAnsi="宋体" w:eastAsia="宋体" w:cs="宋体"/>
          <w:color w:val="000000"/>
          <w:sz w:val="21"/>
          <w:szCs w:val="21"/>
        </w:rPr>
      </w:pPr>
      <w:r>
        <w:rPr>
          <w:rFonts w:hint="eastAsia" w:ascii="宋体" w:hAnsi="宋体" w:eastAsia="宋体" w:cs="宋体"/>
          <w:b/>
          <w:bCs/>
          <w:color w:val="000000"/>
          <w:sz w:val="21"/>
          <w:szCs w:val="21"/>
        </w:rPr>
        <w:t>乙    方</w:t>
      </w:r>
      <w:r>
        <w:rPr>
          <w:rFonts w:hint="eastAsia" w:ascii="宋体" w:hAnsi="宋体" w:eastAsia="宋体" w:cs="宋体"/>
          <w:color w:val="000000"/>
          <w:sz w:val="21"/>
          <w:szCs w:val="21"/>
        </w:rPr>
        <w:t>：</w:t>
      </w:r>
    </w:p>
    <w:p>
      <w:pPr>
        <w:spacing w:line="360" w:lineRule="auto"/>
        <w:rPr>
          <w:rFonts w:hint="eastAsia" w:ascii="宋体" w:hAnsi="宋体" w:eastAsia="宋体" w:cs="宋体"/>
          <w:color w:val="000000"/>
          <w:sz w:val="21"/>
          <w:szCs w:val="21"/>
        </w:rPr>
      </w:pPr>
      <w:r>
        <w:rPr>
          <w:rFonts w:hint="eastAsia" w:ascii="宋体" w:hAnsi="宋体" w:eastAsia="宋体" w:cs="宋体"/>
          <w:b/>
          <w:bCs/>
          <w:color w:val="000000"/>
          <w:sz w:val="21"/>
          <w:szCs w:val="21"/>
        </w:rPr>
        <w:t>地    址</w:t>
      </w:r>
      <w:r>
        <w:rPr>
          <w:rFonts w:hint="eastAsia" w:ascii="宋体" w:hAnsi="宋体" w:eastAsia="宋体" w:cs="宋体"/>
          <w:color w:val="000000"/>
          <w:sz w:val="21"/>
          <w:szCs w:val="21"/>
        </w:rPr>
        <w:t>：</w:t>
      </w:r>
    </w:p>
    <w:p>
      <w:pPr>
        <w:spacing w:line="360" w:lineRule="auto"/>
        <w:rPr>
          <w:rFonts w:hint="eastAsia" w:ascii="宋体" w:hAnsi="宋体" w:eastAsia="宋体" w:cs="宋体"/>
          <w:color w:val="000000"/>
          <w:sz w:val="21"/>
          <w:szCs w:val="21"/>
        </w:rPr>
      </w:pPr>
      <w:r>
        <w:rPr>
          <w:rFonts w:hint="eastAsia" w:ascii="宋体" w:hAnsi="宋体" w:eastAsia="宋体" w:cs="宋体"/>
          <w:b/>
          <w:bCs/>
          <w:color w:val="000000"/>
          <w:sz w:val="21"/>
          <w:szCs w:val="21"/>
        </w:rPr>
        <w:t>邮    编</w:t>
      </w:r>
      <w:r>
        <w:rPr>
          <w:rFonts w:hint="eastAsia" w:ascii="宋体" w:hAnsi="宋体" w:eastAsia="宋体" w:cs="宋体"/>
          <w:color w:val="000000"/>
          <w:sz w:val="21"/>
          <w:szCs w:val="21"/>
        </w:rPr>
        <w:t>：</w:t>
      </w:r>
    </w:p>
    <w:p>
      <w:pPr>
        <w:spacing w:line="360" w:lineRule="auto"/>
        <w:rPr>
          <w:rFonts w:hint="eastAsia" w:ascii="宋体" w:hAnsi="宋体" w:eastAsia="宋体" w:cs="宋体"/>
          <w:color w:val="000000"/>
          <w:sz w:val="21"/>
          <w:szCs w:val="21"/>
        </w:rPr>
      </w:pPr>
      <w:r>
        <w:rPr>
          <w:rFonts w:hint="eastAsia" w:ascii="宋体" w:hAnsi="宋体" w:eastAsia="宋体" w:cs="宋体"/>
          <w:b/>
          <w:bCs/>
          <w:color w:val="000000"/>
          <w:sz w:val="21"/>
          <w:szCs w:val="21"/>
        </w:rPr>
        <w:t>联 系 人</w:t>
      </w:r>
      <w:r>
        <w:rPr>
          <w:rFonts w:hint="eastAsia" w:ascii="宋体" w:hAnsi="宋体" w:eastAsia="宋体" w:cs="宋体"/>
          <w:color w:val="000000"/>
          <w:sz w:val="21"/>
          <w:szCs w:val="21"/>
        </w:rPr>
        <w:t>：</w:t>
      </w:r>
    </w:p>
    <w:p>
      <w:pPr>
        <w:spacing w:line="360" w:lineRule="auto"/>
        <w:rPr>
          <w:rFonts w:hint="eastAsia" w:ascii="宋体" w:hAnsi="宋体" w:eastAsia="宋体" w:cs="宋体"/>
          <w:color w:val="000000"/>
          <w:sz w:val="21"/>
          <w:szCs w:val="21"/>
        </w:rPr>
      </w:pPr>
      <w:r>
        <w:rPr>
          <w:rFonts w:hint="eastAsia" w:ascii="宋体" w:hAnsi="宋体" w:eastAsia="宋体" w:cs="宋体"/>
          <w:b/>
          <w:bCs/>
          <w:color w:val="000000"/>
          <w:sz w:val="21"/>
          <w:szCs w:val="21"/>
        </w:rPr>
        <w:t>电    话</w:t>
      </w:r>
      <w:r>
        <w:rPr>
          <w:rFonts w:hint="eastAsia" w:ascii="宋体" w:hAnsi="宋体" w:eastAsia="宋体" w:cs="宋体"/>
          <w:color w:val="000000"/>
          <w:sz w:val="21"/>
          <w:szCs w:val="21"/>
        </w:rPr>
        <w:t>：</w:t>
      </w:r>
    </w:p>
    <w:p>
      <w:pPr>
        <w:pStyle w:val="2"/>
        <w:spacing w:line="360" w:lineRule="auto"/>
        <w:rPr>
          <w:rFonts w:hint="eastAsia" w:ascii="宋体" w:hAnsi="宋体" w:eastAsia="宋体" w:cs="宋体"/>
          <w:color w:val="000000"/>
          <w:sz w:val="21"/>
          <w:szCs w:val="21"/>
        </w:rPr>
      </w:pPr>
    </w:p>
    <w:p>
      <w:pPr>
        <w:pStyle w:val="2"/>
        <w:spacing w:line="360" w:lineRule="auto"/>
        <w:ind w:firstLine="420" w:firstLineChars="20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本合同由 武汉工程大学（以下简称“甲方”）与XXX（以下简称“乙方”）签订。</w:t>
      </w:r>
    </w:p>
    <w:p>
      <w:pPr>
        <w:pStyle w:val="2"/>
        <w:spacing w:line="360" w:lineRule="auto"/>
        <w:ind w:firstLine="420" w:firstLineChars="20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乙方以总金额</w:t>
      </w:r>
      <w:r>
        <w:rPr>
          <w:rFonts w:hint="eastAsia" w:ascii="宋体" w:hAnsi="宋体" w:eastAsia="宋体" w:cs="宋体"/>
          <w:color w:val="000000"/>
          <w:kern w:val="2"/>
          <w:sz w:val="21"/>
          <w:szCs w:val="21"/>
          <w:u w:val="single"/>
        </w:rPr>
        <w:t xml:space="preserve">             </w:t>
      </w:r>
      <w:r>
        <w:rPr>
          <w:rFonts w:hint="eastAsia" w:ascii="宋体" w:hAnsi="宋体" w:eastAsia="宋体" w:cs="宋体"/>
          <w:color w:val="000000"/>
          <w:kern w:val="2"/>
          <w:sz w:val="21"/>
          <w:szCs w:val="21"/>
        </w:rPr>
        <w:t>元人民币向甲方提供如下服务：</w:t>
      </w:r>
    </w:p>
    <w:p>
      <w:pPr>
        <w:tabs>
          <w:tab w:val="left" w:pos="426"/>
          <w:tab w:val="left" w:pos="709"/>
          <w:tab w:val="left" w:pos="851"/>
          <w:tab w:val="left" w:pos="993"/>
        </w:tabs>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第一章 合作内容</w:t>
      </w:r>
    </w:p>
    <w:p>
      <w:pPr>
        <w:spacing w:line="360" w:lineRule="auto"/>
        <w:ind w:left="239" w:leftChars="114"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依托乙方的教学设计和媒体团队，甲方向乙方购买一流课程建设服务，包括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门在线开放课程建设服务、线上线下混合式课程建设服务。</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1.1在线开放课程建设服务。配合甲方课程综合改革的需要，乙方结合甲方各学院学科特点，与甲方教师团队共同实现课程设计、拍摄、后期制作、课程运营等，制作成用于开展混合式教学的在线开放课程。</w:t>
      </w:r>
    </w:p>
    <w:p>
      <w:pPr>
        <w:pStyle w:val="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2"/>
          <w:sz w:val="21"/>
          <w:szCs w:val="21"/>
        </w:rPr>
        <w:t>1.1.1一门课程视频个数不超过</w:t>
      </w:r>
      <w:r>
        <w:rPr>
          <w:rFonts w:hint="eastAsia" w:ascii="宋体" w:hAnsi="宋体" w:eastAsia="宋体" w:cs="宋体"/>
          <w:color w:val="000000"/>
          <w:kern w:val="2"/>
          <w:sz w:val="21"/>
          <w:szCs w:val="21"/>
          <w:u w:val="single"/>
        </w:rPr>
        <w:t xml:space="preserve">    </w:t>
      </w:r>
      <w:r>
        <w:rPr>
          <w:rFonts w:hint="eastAsia" w:ascii="宋体" w:hAnsi="宋体" w:eastAsia="宋体" w:cs="宋体"/>
          <w:color w:val="000000"/>
          <w:kern w:val="2"/>
          <w:sz w:val="21"/>
          <w:szCs w:val="21"/>
        </w:rPr>
        <w:t>个，一个视频时长5-15分钟。</w:t>
      </w:r>
    </w:p>
    <w:p>
      <w:pPr>
        <w:pStyle w:val="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1.1.2课程设计包括：乙方依托丰富的服务经验和成熟的流程管理，结合甲方教师提供的脚本和PPT及媒体素材，实现对课程混合式教学方案、课程内容呈现的设计，知识点拆分建议、教学设计脚本撰写。</w:t>
      </w:r>
    </w:p>
    <w:p>
      <w:pPr>
        <w:pStyle w:val="2"/>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课程拍摄包括：运用专业高清摄像机根据课程知识点需要采用高清大屏、实景、抠像等多种场景来完成课程视频的拍摄。</w:t>
      </w:r>
    </w:p>
    <w:p>
      <w:pPr>
        <w:pStyle w:val="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1.1.3课程后期制作包括：课程拍摄完成之后，乙方会安排专业视频后期剪辑人员利用现代信息技术将视频素材按照教学设计脚本剪辑制作完成。</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1.1.4课程运营包括：慕课式课程线上发布与应用、支持课程更新、海量备课资源库、大数据统计与评价，支持自主学习、在线开放、翻转课堂、混合式教学等多种教学模式。</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1.2线上线下混合式课程建设服务。乙方在课程平台上发布制作的在线开放课程，推动师生开展混合式教学实践，全面支持甲方进行基于智慧教学云平台的教、学、管、考、评、研的工作。</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 课程运行及推广要求：课程制作完成后，乙方负责将该课程在课程平台上线并在校内进行 SPOC 教学，且提供相关课程经理来辅助老师进行翻转课堂教学及培训。上线前平台组织审核，保障技术符合约定要求、视频课程适合网络化传播、价值导向正确、无危害国家安全内容等。</w:t>
      </w:r>
    </w:p>
    <w:p>
      <w:pPr>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第二章 合同金额</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2.1课程制作形式选择：</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结合甲方实际需求另行确定；单价参照投标文件；</w:t>
      </w:r>
    </w:p>
    <w:p>
      <w:pPr>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2.2合同总金额含税价人民币</w:t>
      </w:r>
      <w:bookmarkStart w:id="118" w:name="_Hlk516146040"/>
      <w:bookmarkStart w:id="119" w:name="_Hlk516146573"/>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元整（</w:t>
      </w:r>
      <w:r>
        <w:rPr>
          <w:rFonts w:hint="eastAsia" w:ascii="宋体" w:hAnsi="宋体" w:eastAsia="宋体" w:cs="宋体"/>
          <w:color w:val="000000"/>
          <w:sz w:val="21"/>
          <w:szCs w:val="21"/>
          <w:u w:val="single"/>
        </w:rPr>
        <w:t xml:space="preserve">大写       </w:t>
      </w:r>
      <w:r>
        <w:rPr>
          <w:rFonts w:hint="eastAsia" w:ascii="宋体" w:hAnsi="宋体" w:eastAsia="宋体" w:cs="宋体"/>
          <w:color w:val="000000"/>
          <w:sz w:val="21"/>
          <w:szCs w:val="21"/>
        </w:rPr>
        <w:t>）</w:t>
      </w:r>
      <w:bookmarkEnd w:id="118"/>
      <w:bookmarkEnd w:id="119"/>
      <w:r>
        <w:rPr>
          <w:rFonts w:hint="eastAsia" w:ascii="宋体" w:hAnsi="宋体" w:eastAsia="宋体" w:cs="宋体"/>
          <w:color w:val="000000"/>
          <w:sz w:val="21"/>
          <w:szCs w:val="21"/>
        </w:rPr>
        <w:t>。</w:t>
      </w:r>
    </w:p>
    <w:p>
      <w:pPr>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第三章 付款条件</w:t>
      </w:r>
    </w:p>
    <w:p>
      <w:pPr>
        <w:spacing w:line="360" w:lineRule="auto"/>
        <w:ind w:left="210" w:leftChars="100"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3.1甲方于合同签订后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个工作日内支付合同款项的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，人民币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元整（大写：   ），本协议生效之日起于</w:t>
      </w:r>
      <w:r>
        <w:rPr>
          <w:rFonts w:hint="eastAsia" w:ascii="宋体" w:hAnsi="宋体" w:eastAsia="宋体" w:cs="宋体"/>
          <w:color w:val="000000"/>
          <w:sz w:val="21"/>
          <w:szCs w:val="21"/>
          <w:u w:val="single"/>
        </w:rPr>
        <w:t xml:space="preserve">     年   月    日</w:t>
      </w:r>
      <w:r>
        <w:rPr>
          <w:rFonts w:hint="eastAsia" w:ascii="宋体" w:hAnsi="宋体" w:eastAsia="宋体" w:cs="宋体"/>
          <w:color w:val="000000"/>
          <w:sz w:val="21"/>
          <w:szCs w:val="21"/>
        </w:rPr>
        <w:t>前，甲方向乙方支付全部的合同金额，乙方须为甲方开具正规发票。</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 乙方银行资料如下：</w:t>
      </w:r>
    </w:p>
    <w:p>
      <w:pPr>
        <w:spacing w:line="36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公司名称：</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开户银行：</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账    号：</w:t>
      </w:r>
    </w:p>
    <w:p>
      <w:pPr>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第四章 甲方的权利和义务</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4.1 甲方应按照本合同及时向乙方付款，乙方应及时向甲方交付服务。</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4.2 甲方享有对所有视频的内容审核权，乙方应在课程发布前交予甲方进行文字和视频内容的审核。甲方有权要求乙方对成品视频进行修改。</w:t>
      </w:r>
    </w:p>
    <w:p>
      <w:pPr>
        <w:pStyle w:val="2"/>
        <w:spacing w:line="360" w:lineRule="auto"/>
        <w:ind w:firstLine="420" w:firstLineChars="20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4.3 甲方应按照在线开放课程要求将课程知识点进行碎片化，提出课程知识点展现形式，并在课程开拍之前将方案提交给乙方。</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4.4 甲方应积极配合乙方协调相关老师组建授课团队，由授课团队在拍摄前提供乙方制作课程所需教学资料，包括教学大纲、教学素材（课件、讲稿、与课程相关的图文影音资料、作业题、测试题）和参考书目录等。</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4.5甲方享有该课程的著作权。</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4.6甲方如需修改最终制作完成的内容可在成品课程的基础上享受两次免费修改，超出修改次数需额外支付乙方费用（每次修改支付总费用的10%）。审核的时限可根据内容的复杂程度和数量具体协商，如届时没有返回修改意见，即视为甲方认可乙方制作的该课程内容。修改的内容如果是由乙方导致则甲方不受该条限制。如课程已经上线课程平台后发现有问题需要修改，甲方可享受三次免费修改服务。</w:t>
      </w:r>
    </w:p>
    <w:p>
      <w:pPr>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第五章、乙方权利与义务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乙方组建专业制作团队，在甲方课程团队的指导下，按照甲方要求制作在线开放化的教学视频，完成课程设计，完善课程脚本，实现课程知识点展现形式，添加富媒体教学资源、参考书、作业测验等。课程制作完成后发布课程并协助甲方组织教学，辅助学校进行教学改革和教学模式创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 .乙方应在合同规定的期限内负责完成货物的安装、调试、培训等工作，并及时约请甲方验收。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5.3提供4种常规技术服务方式，电话支持、BBS在线支持、电子邮件支持、远程维护支持。如果以上方式均无法解决问题，可由乙方安排技术工程师上门服务。以上技术服务方式均免费。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5.4乙方可优先代理甲方课程进行市场推广、运营等，具体合作事宜另行协商。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5.5 乙方须配合甲方将所有完成的在线开放课程上传到乙方在线课程平台。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5.6 乙方保证甲方在使用由乙方提供的课程及服务不受第三方关于侵犯其所有权、知识产权等方面的指控。</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第六章 交付时间地点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6.1交付时间：每次任务下达之后150天。</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6.2 交付地点：武汉工程大学</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第七章 违约责任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 未按期交付的违约责任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果甲方未按照计划规定时间完成交付任务，交付时间在预定交付时间基础上向后延期相应时间。如果甲方按照计划规定的时间提交内容和完成约定要求，乙方未能按照合同规定的时间按时完成任务（不可抗力除外），按照下述要求执行未按期交货的违约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果甲方按照计划规定的时间提交内容和完成约定要求，乙方未能按照合同规定的时间按时完成任务（不可抗力除外），在乙方书面同意支付延期违约金的条件下，甲方有权选择同意延长项目工期还是不予延长项目，甲方同意延长项目工期的，延期项目工期由双方另行确定。延期违约金的支付，甲方有权从未付的合同货款中扣除。每逾期1天，乙方应按合同总金额的  0.1 ％向甲方支付逾期的违约金。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7.2甲方逾期付款（有正当拒付理由的情况除外），应按照逾期金额的每日 0.1  ％支付逾期付款违约金。</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第八章 免责申明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 甲方或乙方若遇不可抗力情况，造成当事人一方无法执行合同，免除事故责任方</w:t>
      </w:r>
    </w:p>
    <w:p>
      <w:pPr>
        <w:spacing w:line="360" w:lineRule="auto"/>
        <w:rPr>
          <w:rFonts w:hint="eastAsia" w:ascii="宋体" w:hAnsi="宋体" w:eastAsia="宋体" w:cs="宋体"/>
          <w:sz w:val="21"/>
          <w:szCs w:val="21"/>
        </w:rPr>
      </w:pPr>
      <w:r>
        <w:rPr>
          <w:rFonts w:hint="eastAsia" w:ascii="宋体" w:hAnsi="宋体" w:eastAsia="宋体" w:cs="宋体"/>
          <w:sz w:val="21"/>
          <w:szCs w:val="21"/>
        </w:rPr>
        <w:t>相关部分或全部责任。按照事故对本合同的影响程度，双方协商是否终止本合同，或部分免除本合同的义务，或延期履行本合同。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8.2 甲方或乙方若遇不可抗力情况而经协商延期履行合同时，其延长的期限应相当于事故所影响的时间。</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第九章 知识产权申明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9.1 双方共同拥有合作开发的数字课程资源所有权，如涉及甲方校内外范围的收费使用，参考教材同类出版物作者与出版社版本合作模式，乙方向甲方或甲方的课程教师团队支付版税，双方另行协商细节。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9.2 在甲乙双方合作之前的技术成果归各方所有。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9.3 甲方拥有该产品的使用权。</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第十章 保密条款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10.1 除非另有规定，甲乙双方不得将与本合同有关的商业和技术秘密泄露给与本合同无关的任何单位和个人。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10.2除现在或日后非由于违反合同而进入公共领域的信息外，乙方对甲方提供给它的与项目有关的信息、数据和文件应严加保密，不允许泄露给任何与本项目无关的第三方。上述信息、数据和文件只允许在执行本合同中使用，不得在其它项目中使用。甲方不得翻译、解密乙方提供的软件系统或从事反编译、反汇编或其它试图从乙方提供的软件系统中导出源代码的行为。甲方不得将乙方提供的软件系统向第三方提供、销售、出租、出借、转让或提供分许可、转许可、通过信息网络传播或以其它形式供他人利用。</w:t>
      </w:r>
    </w:p>
    <w:p>
      <w:pPr>
        <w:spacing w:line="360" w:lineRule="auto"/>
        <w:ind w:firstLine="525" w:firstLineChars="250"/>
        <w:rPr>
          <w:rFonts w:hint="eastAsia" w:ascii="宋体" w:hAnsi="宋体" w:eastAsia="宋体" w:cs="宋体"/>
          <w:sz w:val="21"/>
          <w:szCs w:val="21"/>
        </w:rPr>
      </w:pPr>
      <w:r>
        <w:rPr>
          <w:rFonts w:hint="eastAsia" w:ascii="宋体" w:hAnsi="宋体" w:eastAsia="宋体" w:cs="宋体"/>
          <w:sz w:val="21"/>
          <w:szCs w:val="21"/>
        </w:rPr>
        <w:t>10.3 乙方不得将甲方自主构建的资源供给或转让第三方使用。</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第十一章 合同生效及其它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11.1本合同原本为中文本，一式陆份，甲方执肆份；乙方执贰份。本合同在甲乙双方签字盖章后即正式生效。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11.2在未得到本合同对方的书面认可前，任何一方都不可将合同的权力及义务转移到任何第三方。如因执行合同需对本合同内容做修改或补充，则须由甲乙双方指定的全权代表签订书面文件方可成立。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 乙方保证本合同中甲方所享有的一切权利，并保证甲方不受第三方指控。如发生第三方指控甲方购买的软件有侵权问题，甲方对此不负任何法律和经济责任，乙方应负责与第三方进行交涉及进行诉讼，并承担由此而产生的责任后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11.4 其它未尽事宜，请参考本项目竞争性磋商采购文件及乙方成交的竞争性磋商响应文件。</w:t>
      </w:r>
    </w:p>
    <w:p>
      <w:pPr>
        <w:pStyle w:val="2"/>
        <w:spacing w:line="360" w:lineRule="auto"/>
        <w:rPr>
          <w:rFonts w:hint="eastAsia" w:ascii="宋体" w:hAnsi="宋体" w:eastAsia="宋体" w:cs="宋体"/>
          <w:sz w:val="21"/>
          <w:szCs w:val="21"/>
        </w:rPr>
      </w:pPr>
    </w:p>
    <w:p>
      <w:pPr>
        <w:pStyle w:val="2"/>
        <w:spacing w:line="360" w:lineRule="auto"/>
        <w:rPr>
          <w:rFonts w:hint="eastAsia" w:ascii="宋体" w:hAnsi="宋体" w:eastAsia="宋体" w:cs="宋体"/>
          <w:sz w:val="21"/>
          <w:szCs w:val="21"/>
        </w:rPr>
      </w:pPr>
    </w:p>
    <w:p>
      <w:pPr>
        <w:spacing w:line="360" w:lineRule="auto"/>
        <w:ind w:left="6960" w:hanging="6090" w:hangingChars="2900"/>
        <w:rPr>
          <w:rFonts w:hint="eastAsia" w:ascii="宋体" w:hAnsi="宋体" w:eastAsia="宋体" w:cs="宋体"/>
          <w:sz w:val="21"/>
          <w:szCs w:val="21"/>
        </w:rPr>
      </w:pPr>
      <w:r>
        <w:rPr>
          <w:rFonts w:hint="eastAsia" w:ascii="宋体" w:hAnsi="宋体" w:eastAsia="宋体" w:cs="宋体"/>
          <w:sz w:val="21"/>
          <w:szCs w:val="21"/>
        </w:rPr>
        <w:t>甲方：                          乙方：</w:t>
      </w:r>
    </w:p>
    <w:p>
      <w:pPr>
        <w:spacing w:before="312" w:beforeLines="100" w:after="312" w:afterLines="100" w:line="360" w:lineRule="auto"/>
        <w:rPr>
          <w:rFonts w:hint="eastAsia" w:ascii="宋体" w:hAnsi="宋体" w:eastAsia="宋体" w:cs="宋体"/>
          <w:sz w:val="21"/>
          <w:szCs w:val="21"/>
        </w:rPr>
      </w:pPr>
      <w:r>
        <w:rPr>
          <w:rFonts w:hint="eastAsia" w:ascii="宋体" w:hAnsi="宋体" w:eastAsia="宋体" w:cs="宋体"/>
          <w:sz w:val="21"/>
          <w:szCs w:val="21"/>
        </w:rPr>
        <w:t>（签章）</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（签章）</w:t>
      </w:r>
    </w:p>
    <w:p>
      <w:pPr>
        <w:spacing w:line="360" w:lineRule="auto"/>
        <w:rPr>
          <w:rFonts w:hint="eastAsia" w:ascii="宋体" w:hAnsi="宋体" w:eastAsia="宋体" w:cs="宋体"/>
          <w:sz w:val="21"/>
          <w:szCs w:val="21"/>
        </w:rPr>
      </w:pPr>
      <w:r>
        <w:rPr>
          <w:rFonts w:hint="eastAsia" w:ascii="宋体" w:hAnsi="宋体" w:eastAsia="宋体" w:cs="宋体"/>
          <w:sz w:val="21"/>
          <w:szCs w:val="21"/>
        </w:rPr>
        <w:t>委托经办人：______________</w:t>
      </w:r>
      <w:r>
        <w:rPr>
          <w:rFonts w:hint="eastAsia" w:ascii="宋体" w:hAnsi="宋体" w:eastAsia="宋体" w:cs="宋体"/>
          <w:sz w:val="21"/>
          <w:szCs w:val="21"/>
        </w:rPr>
        <w:tab/>
      </w:r>
      <w:r>
        <w:rPr>
          <w:rFonts w:hint="eastAsia" w:ascii="宋体" w:hAnsi="宋体" w:eastAsia="宋体" w:cs="宋体"/>
          <w:sz w:val="21"/>
          <w:szCs w:val="21"/>
        </w:rPr>
        <w:t xml:space="preserve">     委托经办人：________________</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日期：  年  月  日               日期：   年  月  日</w:t>
      </w:r>
    </w:p>
    <w:p>
      <w:pPr>
        <w:spacing w:line="360" w:lineRule="auto"/>
        <w:rPr>
          <w:rFonts w:hint="eastAsia" w:ascii="宋体" w:hAnsi="宋体" w:eastAsia="宋体" w:cs="宋体"/>
          <w:sz w:val="21"/>
          <w:szCs w:val="21"/>
        </w:rPr>
      </w:pPr>
    </w:p>
    <w:p/>
    <w:p>
      <w:pP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竞争性磋商响应文件格式</w:t>
      </w:r>
      <w:bookmarkEnd w:id="117"/>
    </w:p>
    <w:p>
      <w:pPr>
        <w:autoSpaceDE w:val="0"/>
        <w:autoSpaceDN w:val="0"/>
        <w:adjustRightIn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封面：</w:t>
      </w:r>
    </w:p>
    <w:p>
      <w:pPr>
        <w:autoSpaceDE w:val="0"/>
        <w:autoSpaceDN w:val="0"/>
        <w:adjustRightInd w:val="0"/>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jc w:val="center"/>
        <w:rPr>
          <w:rFonts w:hint="eastAsia"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响 应 文 件</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lang w:val="en-US" w:eastAsia="zh-CN"/>
        </w:rPr>
        <w:t>项目编号</w:t>
      </w:r>
      <w:r>
        <w:rPr>
          <w:rFonts w:hint="eastAsia" w:asciiTheme="minorEastAsia" w:hAnsiTheme="minorEastAsia" w:eastAsiaTheme="minorEastAsia" w:cstheme="minorEastAsia"/>
          <w:b/>
          <w:bCs/>
          <w:sz w:val="30"/>
          <w:szCs w:val="30"/>
        </w:rPr>
        <w:t>：</w:t>
      </w:r>
      <w:r>
        <w:rPr>
          <w:rFonts w:hint="eastAsia" w:asciiTheme="minorEastAsia" w:hAnsiTheme="minorEastAsia" w:eastAsiaTheme="minorEastAsia" w:cstheme="minorEastAsia"/>
          <w:b/>
          <w:bCs/>
          <w:sz w:val="30"/>
          <w:szCs w:val="30"/>
          <w:u w:val="single"/>
        </w:rPr>
        <w:t xml:space="preserve">                            </w:t>
      </w:r>
    </w:p>
    <w:p>
      <w:pPr>
        <w:tabs>
          <w:tab w:val="left" w:pos="7230"/>
        </w:tabs>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项目名称：</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ind w:firstLine="1190" w:firstLineChars="395"/>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spacing w:line="360" w:lineRule="auto"/>
        <w:ind w:firstLine="1260" w:firstLineChars="450"/>
        <w:rPr>
          <w:rFonts w:hint="eastAsia" w:asciiTheme="minorEastAsia" w:hAnsiTheme="minorEastAsia" w:eastAsiaTheme="minorEastAsia" w:cstheme="minorEastAsia"/>
          <w:b/>
          <w:bCs/>
          <w:sz w:val="32"/>
          <w:u w:val="single"/>
        </w:rPr>
      </w:pPr>
      <w:r>
        <w:rPr>
          <w:rFonts w:hint="eastAsia" w:asciiTheme="minorEastAsia" w:hAnsiTheme="minorEastAsia" w:eastAsiaTheme="minorEastAsia" w:cstheme="minorEastAsia"/>
          <w:sz w:val="28"/>
          <w:szCs w:val="28"/>
        </w:rPr>
        <w:t>磋商供应商名称（盖章）：</w:t>
      </w:r>
      <w:r>
        <w:rPr>
          <w:rFonts w:hint="eastAsia" w:asciiTheme="minorEastAsia" w:hAnsiTheme="minorEastAsia" w:eastAsiaTheme="minorEastAsia" w:cstheme="minorEastAsia"/>
          <w:b/>
          <w:bCs/>
          <w:sz w:val="32"/>
          <w:u w:val="single"/>
        </w:rPr>
        <w:t xml:space="preserve">                       </w:t>
      </w:r>
      <w:bookmarkStart w:id="120" w:name="_Toc5751"/>
      <w:bookmarkStart w:id="121" w:name="_Toc23858"/>
    </w:p>
    <w:p>
      <w:pPr>
        <w:autoSpaceDE w:val="0"/>
        <w:autoSpaceDN w:val="0"/>
        <w:adjustRightInd w:val="0"/>
        <w:spacing w:line="360" w:lineRule="auto"/>
        <w:ind w:firstLine="1260" w:firstLineChars="4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bookmarkEnd w:id="120"/>
      <w:bookmarkEnd w:id="121"/>
    </w:p>
    <w:p>
      <w:pPr>
        <w:autoSpaceDE w:val="0"/>
        <w:autoSpaceDN w:val="0"/>
        <w:adjustRightInd w:val="0"/>
        <w:spacing w:line="360" w:lineRule="auto"/>
        <w:jc w:val="center"/>
        <w:rPr>
          <w:rFonts w:hint="eastAsia" w:asciiTheme="minorEastAsia" w:hAnsiTheme="minorEastAsia" w:eastAsiaTheme="minorEastAsia" w:cstheme="minorEastAsia"/>
          <w:b/>
          <w:bCs/>
          <w:sz w:val="24"/>
        </w:rPr>
      </w:pPr>
      <w:bookmarkStart w:id="122" w:name="_Toc360174584"/>
      <w:bookmarkStart w:id="123" w:name="_Toc264644272"/>
      <w:bookmarkStart w:id="124" w:name="_Toc211783342"/>
      <w:bookmarkStart w:id="125" w:name="_Toc11320441"/>
      <w:bookmarkStart w:id="126" w:name="_Toc533331084"/>
      <w:bookmarkStart w:id="127" w:name="_Toc533330957"/>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bCs/>
          <w:sz w:val="24"/>
        </w:rPr>
        <w:t>响应文件目录</w:t>
      </w:r>
      <w:bookmarkEnd w:id="122"/>
      <w:bookmarkEnd w:id="123"/>
    </w:p>
    <w:p>
      <w:pPr>
        <w:autoSpaceDE w:val="0"/>
        <w:autoSpaceDN w:val="0"/>
        <w:adjustRightInd w:val="0"/>
        <w:rPr>
          <w:rFonts w:hint="eastAsia" w:asciiTheme="minorEastAsia" w:hAnsiTheme="minorEastAsia" w:eastAsiaTheme="minorEastAsia" w:cstheme="minorEastAsia"/>
          <w:b/>
          <w:bCs/>
          <w:szCs w:val="21"/>
        </w:rPr>
      </w:pPr>
    </w:p>
    <w:p>
      <w:pPr>
        <w:autoSpaceDE w:val="0"/>
        <w:autoSpaceDN w:val="0"/>
        <w:adjustRightInd w:val="0"/>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t>注：</w:t>
      </w:r>
      <w:r>
        <w:rPr>
          <w:rFonts w:hint="eastAsia" w:ascii="宋体" w:hAnsi="宋体" w:eastAsia="宋体" w:cs="宋体"/>
          <w:b/>
          <w:sz w:val="21"/>
          <w:szCs w:val="21"/>
          <w:lang w:val="en-US" w:eastAsia="zh-CN"/>
        </w:rPr>
        <w:t>投标</w:t>
      </w:r>
      <w:r>
        <w:rPr>
          <w:rFonts w:hint="eastAsia" w:ascii="宋体" w:hAnsi="宋体" w:eastAsia="宋体" w:cs="宋体"/>
          <w:b/>
          <w:sz w:val="21"/>
          <w:szCs w:val="21"/>
        </w:rPr>
        <w:t>文件目录及内容每页须顺序编写页码。</w:t>
      </w:r>
    </w:p>
    <w:p>
      <w:pPr>
        <w:autoSpaceDE w:val="0"/>
        <w:autoSpaceDN w:val="0"/>
        <w:adjustRightInd w:val="0"/>
        <w:spacing w:line="360" w:lineRule="auto"/>
        <w:jc w:val="center"/>
        <w:outlineLvl w:val="1"/>
        <w:rPr>
          <w:rFonts w:hint="eastAsia" w:ascii="宋体" w:hAnsi="宋体" w:eastAsia="宋体" w:cs="宋体"/>
          <w:b/>
          <w:sz w:val="21"/>
          <w:szCs w:val="21"/>
        </w:rPr>
      </w:pPr>
      <w:bookmarkStart w:id="128" w:name="_Toc28401"/>
      <w:r>
        <w:rPr>
          <w:rFonts w:hint="eastAsia" w:ascii="宋体" w:hAnsi="宋体" w:eastAsia="宋体" w:cs="宋体"/>
          <w:b/>
          <w:sz w:val="21"/>
          <w:szCs w:val="21"/>
        </w:rPr>
        <w:br w:type="textWrapping"/>
      </w:r>
      <w:r>
        <w:rPr>
          <w:rFonts w:hint="eastAsia" w:ascii="宋体" w:hAnsi="宋体" w:eastAsia="宋体" w:cs="宋体"/>
          <w:b/>
          <w:sz w:val="21"/>
          <w:szCs w:val="21"/>
        </w:rPr>
        <w:t>一</w:t>
      </w:r>
      <w:r>
        <w:rPr>
          <w:rFonts w:hint="eastAsia" w:ascii="宋体" w:hAnsi="宋体" w:eastAsia="宋体" w:cs="宋体"/>
          <w:b/>
          <w:sz w:val="21"/>
          <w:szCs w:val="21"/>
          <w:lang w:eastAsia="zh-CN"/>
        </w:rPr>
        <w:t>、</w:t>
      </w:r>
      <w:r>
        <w:rPr>
          <w:rFonts w:hint="eastAsia" w:ascii="宋体" w:hAnsi="宋体" w:eastAsia="宋体" w:cs="宋体"/>
          <w:b/>
          <w:sz w:val="21"/>
          <w:szCs w:val="21"/>
        </w:rPr>
        <w:t>评分标准索引表</w:t>
      </w:r>
      <w:bookmarkEnd w:id="128"/>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285"/>
        <w:gridCol w:w="5358"/>
        <w:gridCol w:w="825"/>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687"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lang w:val="en-US" w:eastAsia="zh-CN"/>
              </w:rPr>
            </w:pPr>
            <w:r>
              <w:rPr>
                <w:rFonts w:hint="eastAsia" w:ascii="宋体" w:hAnsi="宋体" w:eastAsia="宋体" w:cs="宋体"/>
                <w:b/>
                <w:bCs/>
                <w:color w:val="auto"/>
                <w:sz w:val="21"/>
                <w:szCs w:val="21"/>
                <w:lang w:val="en-US" w:eastAsia="zh-CN"/>
              </w:rPr>
              <w:t>类别</w:t>
            </w:r>
          </w:p>
        </w:tc>
        <w:tc>
          <w:tcPr>
            <w:tcW w:w="1285"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因素</w:t>
            </w:r>
          </w:p>
        </w:tc>
        <w:tc>
          <w:tcPr>
            <w:tcW w:w="5358"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标准</w:t>
            </w:r>
          </w:p>
        </w:tc>
        <w:tc>
          <w:tcPr>
            <w:tcW w:w="825" w:type="dxa"/>
            <w:tcBorders>
              <w:top w:val="single" w:color="auto" w:sz="12" w:space="0"/>
            </w:tcBorders>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分值</w:t>
            </w:r>
          </w:p>
        </w:tc>
        <w:tc>
          <w:tcPr>
            <w:tcW w:w="1133" w:type="dxa"/>
            <w:tcBorders>
              <w:top w:val="single" w:color="auto" w:sz="12" w:space="0"/>
            </w:tcBorders>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687" w:type="dxa"/>
            <w:noWrap w:val="0"/>
            <w:vAlign w:val="center"/>
          </w:tcPr>
          <w:p>
            <w:pPr>
              <w:widowControl/>
              <w:spacing w:line="360" w:lineRule="auto"/>
              <w:jc w:val="center"/>
              <w:textAlignment w:val="center"/>
              <w:rPr>
                <w:rFonts w:hint="eastAsia" w:ascii="宋体" w:hAnsi="宋体" w:eastAsia="宋体" w:cs="宋体"/>
                <w:spacing w:val="-6"/>
                <w:sz w:val="21"/>
                <w:szCs w:val="21"/>
              </w:rPr>
            </w:pPr>
          </w:p>
        </w:tc>
        <w:tc>
          <w:tcPr>
            <w:tcW w:w="1285" w:type="dxa"/>
            <w:noWrap w:val="0"/>
            <w:vAlign w:val="center"/>
          </w:tcPr>
          <w:p>
            <w:pPr>
              <w:widowControl/>
              <w:spacing w:line="360" w:lineRule="auto"/>
              <w:jc w:val="center"/>
              <w:textAlignment w:val="center"/>
              <w:rPr>
                <w:rFonts w:hint="eastAsia" w:ascii="宋体" w:hAnsi="宋体" w:eastAsia="宋体" w:cs="宋体"/>
                <w:spacing w:val="-6"/>
                <w:sz w:val="21"/>
                <w:szCs w:val="21"/>
              </w:rPr>
            </w:pPr>
          </w:p>
        </w:tc>
        <w:tc>
          <w:tcPr>
            <w:tcW w:w="5358" w:type="dxa"/>
            <w:noWrap w:val="0"/>
            <w:vAlign w:val="center"/>
          </w:tcPr>
          <w:p>
            <w:pPr>
              <w:widowControl/>
              <w:spacing w:line="360" w:lineRule="auto"/>
              <w:jc w:val="left"/>
              <w:textAlignment w:val="center"/>
              <w:rPr>
                <w:rFonts w:hint="eastAsia" w:ascii="宋体" w:hAnsi="宋体" w:eastAsia="宋体" w:cs="宋体"/>
                <w:sz w:val="21"/>
                <w:szCs w:val="21"/>
              </w:rPr>
            </w:pPr>
          </w:p>
        </w:tc>
        <w:tc>
          <w:tcPr>
            <w:tcW w:w="825" w:type="dxa"/>
            <w:noWrap w:val="0"/>
            <w:vAlign w:val="center"/>
          </w:tcPr>
          <w:p>
            <w:pPr>
              <w:widowControl/>
              <w:spacing w:line="360" w:lineRule="auto"/>
              <w:jc w:val="center"/>
              <w:textAlignment w:val="center"/>
              <w:rPr>
                <w:rFonts w:hint="eastAsia" w:ascii="宋体" w:hAnsi="宋体" w:eastAsia="宋体" w:cs="宋体"/>
                <w:sz w:val="21"/>
                <w:szCs w:val="21"/>
              </w:rPr>
            </w:pPr>
          </w:p>
        </w:tc>
        <w:tc>
          <w:tcPr>
            <w:tcW w:w="1133" w:type="dxa"/>
            <w:noWrap w:val="0"/>
            <w:vAlign w:val="center"/>
          </w:tcPr>
          <w:p>
            <w:pPr>
              <w:widowControl/>
              <w:spacing w:line="360" w:lineRule="auto"/>
              <w:jc w:val="center"/>
              <w:textAlignment w:val="center"/>
              <w:rPr>
                <w:rFonts w:hint="eastAsia" w:ascii="宋体" w:hAnsi="宋体" w:eastAsia="宋体" w:cs="宋体"/>
                <w:color w:val="FF0000"/>
                <w:kern w:val="0"/>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noWrap w:val="0"/>
            <w:vAlign w:val="center"/>
          </w:tcPr>
          <w:p>
            <w:pPr>
              <w:spacing w:line="360" w:lineRule="auto"/>
              <w:jc w:val="center"/>
              <w:rPr>
                <w:rFonts w:hint="eastAsia" w:ascii="宋体" w:hAnsi="宋体" w:eastAsia="宋体" w:cs="宋体"/>
                <w:spacing w:val="-6"/>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spacing w:line="360" w:lineRule="auto"/>
              <w:rPr>
                <w:rFonts w:hint="eastAsia" w:ascii="宋体" w:hAnsi="宋体" w:eastAsia="宋体" w:cs="宋体"/>
                <w:spacing w:val="-6"/>
                <w:sz w:val="21"/>
                <w:szCs w:val="21"/>
              </w:rPr>
            </w:pPr>
          </w:p>
        </w:tc>
        <w:tc>
          <w:tcPr>
            <w:tcW w:w="825" w:type="dxa"/>
            <w:noWrap w:val="0"/>
            <w:vAlign w:val="center"/>
          </w:tcPr>
          <w:p>
            <w:pPr>
              <w:spacing w:line="360" w:lineRule="auto"/>
              <w:rPr>
                <w:rFonts w:hint="eastAsia" w:ascii="宋体" w:hAnsi="宋体" w:eastAsia="宋体" w:cs="宋体"/>
                <w:spacing w:val="-6"/>
                <w:sz w:val="21"/>
                <w:szCs w:val="21"/>
              </w:rPr>
            </w:pPr>
          </w:p>
        </w:tc>
        <w:tc>
          <w:tcPr>
            <w:tcW w:w="1133" w:type="dxa"/>
            <w:noWrap w:val="0"/>
            <w:vAlign w:val="center"/>
          </w:tcPr>
          <w:p>
            <w:pPr>
              <w:spacing w:line="360" w:lineRule="auto"/>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color w:val="000000"/>
                <w:spacing w:val="-6"/>
                <w:sz w:val="21"/>
                <w:szCs w:val="21"/>
              </w:rPr>
            </w:pPr>
          </w:p>
        </w:tc>
        <w:tc>
          <w:tcPr>
            <w:tcW w:w="5358"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c>
          <w:tcPr>
            <w:tcW w:w="825"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c>
          <w:tcPr>
            <w:tcW w:w="1133"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tcBorders>
              <w:bottom w:val="single" w:color="auto" w:sz="4" w:space="0"/>
            </w:tcBorders>
            <w:noWrap w:val="0"/>
            <w:vAlign w:val="center"/>
          </w:tcPr>
          <w:p>
            <w:pPr>
              <w:spacing w:line="360" w:lineRule="auto"/>
              <w:rPr>
                <w:rFonts w:hint="eastAsia" w:ascii="宋体" w:hAnsi="宋体" w:eastAsia="宋体" w:cs="宋体"/>
                <w:spacing w:val="-6"/>
                <w:kern w:val="0"/>
                <w:sz w:val="21"/>
                <w:szCs w:val="21"/>
              </w:rPr>
            </w:pPr>
          </w:p>
        </w:tc>
        <w:tc>
          <w:tcPr>
            <w:tcW w:w="5358"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tcBorders>
              <w:top w:val="single" w:color="auto" w:sz="4" w:space="0"/>
            </w:tcBorders>
            <w:noWrap w:val="0"/>
            <w:vAlign w:val="center"/>
          </w:tcPr>
          <w:p>
            <w:pPr>
              <w:spacing w:line="360" w:lineRule="auto"/>
              <w:rPr>
                <w:rFonts w:hint="eastAsia" w:ascii="宋体" w:hAnsi="宋体" w:eastAsia="宋体" w:cs="宋体"/>
                <w:spacing w:val="-6"/>
                <w:kern w:val="0"/>
                <w:sz w:val="21"/>
                <w:szCs w:val="21"/>
              </w:rPr>
            </w:pPr>
          </w:p>
        </w:tc>
        <w:tc>
          <w:tcPr>
            <w:tcW w:w="5358"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noWrap w:val="0"/>
            <w:vAlign w:val="center"/>
          </w:tcPr>
          <w:p>
            <w:pPr>
              <w:spacing w:line="360" w:lineRule="auto"/>
              <w:jc w:val="center"/>
              <w:rPr>
                <w:rFonts w:hint="eastAsia" w:ascii="宋体" w:hAnsi="宋体" w:eastAsia="宋体" w:cs="宋体"/>
                <w:spacing w:val="-6"/>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825"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1133" w:type="dxa"/>
            <w:noWrap w:val="0"/>
            <w:vAlign w:val="center"/>
          </w:tcPr>
          <w:p>
            <w:pPr>
              <w:spacing w:line="360" w:lineRule="auto"/>
              <w:ind w:left="-4" w:leftChars="-2" w:firstLine="1" w:firstLineChars="1"/>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ind w:left="-4" w:leftChars="-2" w:firstLine="2" w:firstLineChars="1"/>
              <w:rPr>
                <w:rFonts w:hint="eastAsia" w:ascii="宋体" w:hAnsi="宋体" w:eastAsia="宋体" w:cs="宋体"/>
                <w:sz w:val="21"/>
                <w:szCs w:val="21"/>
              </w:rPr>
            </w:pPr>
          </w:p>
        </w:tc>
        <w:tc>
          <w:tcPr>
            <w:tcW w:w="1285" w:type="dxa"/>
            <w:noWrap w:val="0"/>
            <w:vAlign w:val="center"/>
          </w:tcPr>
          <w:p>
            <w:pPr>
              <w:spacing w:line="360" w:lineRule="auto"/>
              <w:ind w:left="-4" w:leftChars="-2" w:firstLine="2" w:firstLineChars="1"/>
              <w:rPr>
                <w:rFonts w:hint="eastAsia" w:ascii="宋体" w:hAnsi="宋体" w:eastAsia="宋体" w:cs="宋体"/>
                <w:sz w:val="21"/>
                <w:szCs w:val="21"/>
              </w:rPr>
            </w:pPr>
          </w:p>
        </w:tc>
        <w:tc>
          <w:tcPr>
            <w:tcW w:w="5358" w:type="dxa"/>
            <w:noWrap w:val="0"/>
            <w:vAlign w:val="center"/>
          </w:tcPr>
          <w:p>
            <w:pPr>
              <w:spacing w:line="360" w:lineRule="auto"/>
              <w:ind w:left="-4" w:leftChars="-2" w:firstLine="2" w:firstLineChars="1"/>
              <w:rPr>
                <w:rFonts w:hint="eastAsia" w:ascii="宋体" w:hAnsi="宋体" w:eastAsia="宋体" w:cs="宋体"/>
                <w:sz w:val="21"/>
                <w:szCs w:val="21"/>
              </w:rPr>
            </w:pPr>
          </w:p>
        </w:tc>
        <w:tc>
          <w:tcPr>
            <w:tcW w:w="825" w:type="dxa"/>
            <w:noWrap w:val="0"/>
            <w:vAlign w:val="center"/>
          </w:tcPr>
          <w:p>
            <w:pPr>
              <w:spacing w:line="360" w:lineRule="auto"/>
              <w:ind w:left="-4" w:leftChars="-2" w:firstLine="2" w:firstLineChars="1"/>
              <w:rPr>
                <w:rFonts w:hint="eastAsia" w:ascii="宋体" w:hAnsi="宋体" w:eastAsia="宋体" w:cs="宋体"/>
                <w:sz w:val="21"/>
                <w:szCs w:val="21"/>
              </w:rPr>
            </w:pPr>
          </w:p>
        </w:tc>
        <w:tc>
          <w:tcPr>
            <w:tcW w:w="1133" w:type="dxa"/>
            <w:noWrap w:val="0"/>
            <w:vAlign w:val="center"/>
          </w:tcPr>
          <w:p>
            <w:pPr>
              <w:spacing w:line="360" w:lineRule="auto"/>
              <w:ind w:left="-4" w:leftChars="-2" w:firstLine="2" w:firstLineChars="1"/>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c>
          <w:tcPr>
            <w:tcW w:w="825"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c>
          <w:tcPr>
            <w:tcW w:w="1133"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825"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1133" w:type="dxa"/>
            <w:noWrap w:val="0"/>
            <w:vAlign w:val="center"/>
          </w:tcPr>
          <w:p>
            <w:pPr>
              <w:spacing w:line="360" w:lineRule="auto"/>
              <w:ind w:left="-4" w:leftChars="-2" w:firstLine="1" w:firstLineChars="1"/>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rPr>
                <w:rFonts w:hint="eastAsia" w:ascii="宋体" w:hAnsi="宋体" w:eastAsia="宋体" w:cs="宋体"/>
                <w:spacing w:val="-6"/>
                <w:sz w:val="21"/>
                <w:szCs w:val="21"/>
              </w:rPr>
            </w:pPr>
          </w:p>
        </w:tc>
        <w:tc>
          <w:tcPr>
            <w:tcW w:w="825" w:type="dxa"/>
            <w:noWrap w:val="0"/>
            <w:vAlign w:val="center"/>
          </w:tcPr>
          <w:p>
            <w:pPr>
              <w:spacing w:line="360" w:lineRule="auto"/>
              <w:rPr>
                <w:rFonts w:hint="eastAsia" w:ascii="宋体" w:hAnsi="宋体" w:eastAsia="宋体" w:cs="宋体"/>
                <w:spacing w:val="-6"/>
                <w:sz w:val="21"/>
                <w:szCs w:val="21"/>
              </w:rPr>
            </w:pPr>
          </w:p>
        </w:tc>
        <w:tc>
          <w:tcPr>
            <w:tcW w:w="1133" w:type="dxa"/>
            <w:noWrap w:val="0"/>
            <w:vAlign w:val="center"/>
          </w:tcPr>
          <w:p>
            <w:pPr>
              <w:spacing w:line="360" w:lineRule="auto"/>
              <w:rPr>
                <w:rFonts w:hint="eastAsia" w:ascii="宋体" w:hAnsi="宋体" w:eastAsia="宋体" w:cs="宋体"/>
                <w:spacing w:val="-6"/>
                <w:sz w:val="21"/>
                <w:szCs w:val="21"/>
              </w:rPr>
            </w:pPr>
          </w:p>
        </w:tc>
      </w:tr>
    </w:tbl>
    <w:p>
      <w:pPr>
        <w:autoSpaceDE w:val="0"/>
        <w:autoSpaceDN w:val="0"/>
        <w:adjustRightInd w:val="0"/>
        <w:spacing w:line="480" w:lineRule="auto"/>
        <w:rPr>
          <w:rFonts w:hint="eastAsia" w:asciiTheme="minorEastAsia" w:hAnsiTheme="minorEastAsia" w:eastAsiaTheme="minorEastAsia" w:cstheme="minorEastAsia"/>
          <w:b/>
        </w:rPr>
      </w:pPr>
    </w:p>
    <w:p>
      <w:pPr>
        <w:adjustRightInd w:val="0"/>
        <w:snapToGrid w:val="0"/>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rPr>
        <w:br w:type="textWrapping"/>
      </w:r>
    </w:p>
    <w:p>
      <w:pPr>
        <w:adjustRightInd w:val="0"/>
        <w:snapToGrid w:val="0"/>
        <w:spacing w:line="480" w:lineRule="auto"/>
        <w:jc w:val="center"/>
        <w:outlineLvl w:val="1"/>
        <w:rPr>
          <w:rFonts w:hint="eastAsia" w:asciiTheme="minorEastAsia" w:hAnsiTheme="minorEastAsia" w:eastAsiaTheme="minorEastAsia" w:cstheme="minorEastAsia"/>
          <w:b/>
        </w:rPr>
      </w:pPr>
      <w:bookmarkStart w:id="129" w:name="_Toc479184125"/>
      <w:bookmarkStart w:id="130" w:name="_Toc30144"/>
      <w:bookmarkStart w:id="131" w:name="_Toc1699"/>
      <w:bookmarkStart w:id="132" w:name="_Toc15789"/>
      <w:r>
        <w:rPr>
          <w:rFonts w:hint="eastAsia" w:asciiTheme="minorEastAsia" w:hAnsiTheme="minorEastAsia" w:eastAsiaTheme="minorEastAsia" w:cstheme="minorEastAsia"/>
          <w:b/>
          <w:lang w:val="en-US" w:eastAsia="zh-CN"/>
        </w:rPr>
        <w:t>二</w:t>
      </w:r>
      <w:r>
        <w:rPr>
          <w:rFonts w:hint="eastAsia" w:asciiTheme="minorEastAsia" w:hAnsiTheme="minorEastAsia" w:eastAsiaTheme="minorEastAsia" w:cstheme="minorEastAsia"/>
          <w:b/>
        </w:rPr>
        <w:t>、磋商书</w:t>
      </w:r>
      <w:bookmarkEnd w:id="129"/>
      <w:bookmarkEnd w:id="130"/>
      <w:bookmarkEnd w:id="131"/>
      <w:bookmarkEnd w:id="132"/>
    </w:p>
    <w:p>
      <w:pPr>
        <w:pStyle w:val="21"/>
        <w:rPr>
          <w:rFonts w:hint="eastAsia" w:asciiTheme="minorEastAsia" w:hAnsiTheme="minorEastAsia" w:eastAsiaTheme="minorEastAsia" w:cstheme="minorEastAsia"/>
          <w:b/>
          <w:szCs w:val="21"/>
        </w:rPr>
      </w:pPr>
    </w:p>
    <w:p>
      <w:pPr>
        <w:autoSpaceDE w:val="0"/>
        <w:autoSpaceDN w:val="0"/>
        <w:adjustRightIn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u w:val="single"/>
        </w:rPr>
        <w:t>（政府采购代理机构）：</w:t>
      </w:r>
    </w:p>
    <w:p>
      <w:pPr>
        <w:autoSpaceDE w:val="0"/>
        <w:autoSpaceDN w:val="0"/>
        <w:adjustRightInd w:val="0"/>
        <w:ind w:left="2" w:firstLine="462" w:firstLineChars="2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依据贵方（项目名称/</w:t>
      </w:r>
      <w:r>
        <w:rPr>
          <w:rFonts w:hint="eastAsia" w:asciiTheme="minorEastAsia" w:hAnsiTheme="minorEastAsia" w:eastAsiaTheme="minorEastAsia" w:cstheme="minorEastAsia"/>
          <w:kern w:val="0"/>
          <w:szCs w:val="21"/>
          <w:lang w:val="en-US" w:eastAsia="zh-CN"/>
        </w:rPr>
        <w:t>项目</w:t>
      </w:r>
      <w:r>
        <w:rPr>
          <w:rFonts w:hint="eastAsia" w:asciiTheme="minorEastAsia" w:hAnsiTheme="minorEastAsia" w:eastAsiaTheme="minorEastAsia" w:cstheme="minorEastAsia"/>
          <w:kern w:val="0"/>
          <w:szCs w:val="21"/>
        </w:rPr>
        <w:t>编号）项目第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包</w:t>
      </w:r>
      <w:r>
        <w:rPr>
          <w:rFonts w:hint="eastAsia" w:asciiTheme="minorEastAsia" w:hAnsiTheme="minorEastAsia" w:eastAsiaTheme="minorEastAsia" w:cstheme="minorEastAsia"/>
          <w:kern w:val="0"/>
          <w:szCs w:val="21"/>
          <w:lang w:val="en-US" w:eastAsia="zh-CN"/>
        </w:rPr>
        <w:t>服务</w:t>
      </w:r>
      <w:r>
        <w:rPr>
          <w:rFonts w:hint="eastAsia" w:asciiTheme="minorEastAsia" w:hAnsiTheme="minorEastAsia" w:eastAsiaTheme="minorEastAsia" w:cstheme="minorEastAsia"/>
          <w:kern w:val="0"/>
          <w:szCs w:val="21"/>
        </w:rPr>
        <w:t>的磋商邀请，我方代表（姓名、职务）经正式授权并代表供应商（供应商的名称、地址）提交下述文件正本一份，副本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numPr>
          <w:ilvl w:val="1"/>
          <w:numId w:val="39"/>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竞争性磋商响应文件；</w:t>
      </w:r>
    </w:p>
    <w:p>
      <w:pPr>
        <w:numPr>
          <w:ilvl w:val="1"/>
          <w:numId w:val="39"/>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p>
      <w:pPr>
        <w:numPr>
          <w:ilvl w:val="1"/>
          <w:numId w:val="39"/>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按采购的规定递交</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元（人民币大写）的保证金</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如有</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并进行如下承诺声明：</w:t>
      </w:r>
    </w:p>
    <w:p>
      <w:pPr>
        <w:numPr>
          <w:ilvl w:val="0"/>
          <w:numId w:val="40"/>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我公司在参加本次政府采购活动前</w:t>
      </w:r>
      <w:r>
        <w:rPr>
          <w:rFonts w:hint="eastAsia" w:asciiTheme="minorEastAsia" w:hAnsiTheme="minorEastAsia" w:eastAsiaTheme="minorEastAsia" w:cstheme="minorEastAsia"/>
          <w:kern w:val="0"/>
          <w:szCs w:val="21"/>
        </w:rPr>
        <w:t>3年内在经营活动中没有重大违法记录；</w:t>
      </w:r>
    </w:p>
    <w:p>
      <w:pPr>
        <w:numPr>
          <w:ilvl w:val="0"/>
          <w:numId w:val="40"/>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我公司在本响应文件中所提供的全部资格证明文件均真实有效，我方承诺对其真实性负责并承担相应后果；</w:t>
      </w:r>
    </w:p>
    <w:p>
      <w:pPr>
        <w:numPr>
          <w:ilvl w:val="0"/>
          <w:numId w:val="40"/>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我公司在本响应文件中所响应的内容均将成为签订合同的依据，并承诺按响应内容提供相应服务；</w:t>
      </w:r>
    </w:p>
    <w:p>
      <w:pPr>
        <w:numPr>
          <w:ilvl w:val="0"/>
          <w:numId w:val="40"/>
        </w:numPr>
        <w:tabs>
          <w:tab w:val="left" w:pos="840"/>
        </w:tabs>
        <w:autoSpaceDE w:val="0"/>
        <w:autoSpaceDN w:val="0"/>
        <w:adjustRightInd w:val="0"/>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重要声明：</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4.1</w:t>
      </w:r>
      <w:r>
        <w:rPr>
          <w:rFonts w:hint="eastAsia" w:asciiTheme="minorEastAsia" w:hAnsiTheme="minorEastAsia" w:eastAsiaTheme="minorEastAsia" w:cstheme="minorEastAsia"/>
          <w:b w:val="0"/>
          <w:bCs w:val="0"/>
          <w:lang w:val="en-US" w:eastAsia="zh-CN"/>
        </w:rPr>
        <w:t>与我方单位负责人为同一人的其他单位名称：□无；□有，具体单位名称为：</w:t>
      </w:r>
      <w:r>
        <w:rPr>
          <w:rFonts w:hint="eastAsia" w:asciiTheme="minorEastAsia" w:hAnsiTheme="minorEastAsia" w:eastAsiaTheme="minorEastAsia" w:cstheme="minorEastAsia"/>
          <w:b w:val="0"/>
          <w:bCs w:val="0"/>
          <w:u w:val="single"/>
          <w:lang w:val="en-US" w:eastAsia="zh-CN"/>
        </w:rPr>
        <w:t>     </w:t>
      </w:r>
      <w:r>
        <w:rPr>
          <w:rFonts w:hint="eastAsia" w:asciiTheme="minorEastAsia" w:hAnsiTheme="minorEastAsia" w:eastAsiaTheme="minorEastAsia" w:cstheme="minorEastAsia"/>
          <w:b w:val="0"/>
          <w:bCs w:val="0"/>
          <w:lang w:val="en-US" w:eastAsia="zh-CN"/>
        </w:rPr>
        <w:t xml:space="preserve">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4.2与我方存在控股、管理关系的其他单位的名称：□无；□有，具体单位名称为：</w:t>
      </w:r>
      <w:r>
        <w:rPr>
          <w:rFonts w:hint="eastAsia" w:asciiTheme="minorEastAsia" w:hAnsiTheme="minorEastAsia" w:eastAsiaTheme="minorEastAsia" w:cstheme="minorEastAsia"/>
          <w:b w:val="0"/>
          <w:bCs w:val="0"/>
          <w:u w:val="single"/>
          <w:lang w:val="en-US" w:eastAsia="zh-CN"/>
        </w:rPr>
        <w:t>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b w:val="0"/>
          <w:bCs w:val="0"/>
          <w:u w:val="single"/>
          <w:lang w:val="en-US" w:eastAsia="zh-CN"/>
        </w:rPr>
        <w:t>     </w:t>
      </w:r>
    </w:p>
    <w:p>
      <w:pPr>
        <w:outlineLvl w:val="9"/>
        <w:rPr>
          <w:rFonts w:hint="eastAsia"/>
          <w:lang w:val="en-US" w:eastAsia="zh-CN"/>
        </w:rPr>
      </w:pPr>
      <w:r>
        <w:rPr>
          <w:rFonts w:hint="eastAsia" w:asciiTheme="minorEastAsia" w:hAnsiTheme="minorEastAsia" w:eastAsiaTheme="minorEastAsia" w:cstheme="minorEastAsia"/>
          <w:b/>
          <w:bCs/>
          <w:lang w:val="en-US" w:eastAsia="zh-CN"/>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在此，我方宣布同意如下：</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所附《报价一览表》中规定的应提交和交付的货物报价总价为</w:t>
      </w:r>
      <w:r>
        <w:rPr>
          <w:rFonts w:hint="eastAsia" w:asciiTheme="minorEastAsia" w:hAnsiTheme="minorEastAsia" w:eastAsiaTheme="minorEastAsia" w:cstheme="minorEastAsia"/>
          <w:kern w:val="0"/>
          <w:szCs w:val="21"/>
          <w:u w:val="single"/>
        </w:rPr>
        <w:t>（注明币种，并用文字和数字表示的报价总价）</w:t>
      </w:r>
      <w:r>
        <w:rPr>
          <w:rFonts w:hint="eastAsia" w:asciiTheme="minorEastAsia" w:hAnsiTheme="minorEastAsia" w:eastAsiaTheme="minorEastAsia" w:cstheme="minorEastAsia"/>
          <w:kern w:val="0"/>
          <w:szCs w:val="21"/>
        </w:rPr>
        <w:t>。</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将按竞争性磋商采购文件的约定履行合同责任和义务。</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已详细审查全部竞争性磋商采购文件，包括</w:t>
      </w:r>
      <w:r>
        <w:rPr>
          <w:rFonts w:hint="eastAsia" w:asciiTheme="minorEastAsia" w:hAnsiTheme="minorEastAsia" w:eastAsiaTheme="minorEastAsia" w:cstheme="minorEastAsia"/>
          <w:kern w:val="0"/>
          <w:szCs w:val="21"/>
          <w:u w:val="single"/>
        </w:rPr>
        <w:t>（补充文件等）</w:t>
      </w:r>
      <w:r>
        <w:rPr>
          <w:rFonts w:hint="eastAsia" w:asciiTheme="minorEastAsia" w:hAnsiTheme="minorEastAsia" w:eastAsiaTheme="minorEastAsia" w:cstheme="minorEastAsia"/>
          <w:kern w:val="0"/>
          <w:szCs w:val="21"/>
        </w:rPr>
        <w:t>，对此无异议。</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本竞争性磋商响应文件的有效期自磋商截止时间起共</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rPr>
        <w:t>日历天</w:t>
      </w:r>
      <w:r>
        <w:rPr>
          <w:rFonts w:hint="eastAsia" w:asciiTheme="minorEastAsia" w:hAnsiTheme="minorEastAsia" w:eastAsiaTheme="minorEastAsia" w:cstheme="minorEastAsia"/>
          <w:kern w:val="0"/>
          <w:szCs w:val="21"/>
          <w:lang w:eastAsia="zh-CN"/>
        </w:rPr>
        <w:t>。</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接收竞争性磋商采购文件中关于没收保证金的约定。</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同意提供按照贵方可能要求的与其报价有关的一切数据或资料。</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与本报价有关的一切正式往来信函请寄：</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    应    商：（</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  讯  地  址：</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子  函  件：</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签字</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p>
    <w:p>
      <w:pPr>
        <w:tabs>
          <w:tab w:val="left" w:pos="540"/>
        </w:tabs>
        <w:autoSpaceDE w:val="0"/>
        <w:autoSpaceDN w:val="0"/>
        <w:adjustRightInd w:val="0"/>
        <w:jc w:val="center"/>
        <w:outlineLvl w:val="1"/>
        <w:rPr>
          <w:rFonts w:hint="eastAsia" w:asciiTheme="minorEastAsia" w:hAnsiTheme="minorEastAsia" w:eastAsiaTheme="minorEastAsia" w:cstheme="minorEastAsia"/>
          <w:b/>
        </w:rPr>
      </w:pPr>
      <w:bookmarkStart w:id="133" w:name="_Toc479184126"/>
      <w:bookmarkStart w:id="134" w:name="_Toc13969"/>
      <w:bookmarkStart w:id="135" w:name="_Toc11458"/>
      <w:bookmarkStart w:id="136" w:name="_Toc24205"/>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t>三</w:t>
      </w:r>
      <w:r>
        <w:rPr>
          <w:rFonts w:hint="eastAsia" w:asciiTheme="minorEastAsia" w:hAnsiTheme="minorEastAsia" w:eastAsiaTheme="minorEastAsia" w:cstheme="minorEastAsia"/>
          <w:b/>
        </w:rPr>
        <w:t>、法定代表人授权书</w:t>
      </w:r>
      <w:bookmarkEnd w:id="133"/>
      <w:bookmarkEnd w:id="134"/>
      <w:bookmarkEnd w:id="135"/>
      <w:bookmarkEnd w:id="136"/>
    </w:p>
    <w:p>
      <w:pPr>
        <w:rPr>
          <w:rFonts w:hint="eastAsia" w:asciiTheme="minorEastAsia" w:hAnsiTheme="minorEastAsia" w:eastAsiaTheme="minorEastAsia" w:cstheme="minorEastAsia"/>
          <w:kern w:val="0"/>
          <w:szCs w:val="21"/>
        </w:rPr>
      </w:pPr>
    </w:p>
    <w:p>
      <w:pPr>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兹授权</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同志为我公司参加贵单位组织的</w:t>
      </w:r>
      <w:r>
        <w:rPr>
          <w:rFonts w:hint="eastAsia" w:asciiTheme="minorEastAsia" w:hAnsiTheme="minorEastAsia" w:eastAsiaTheme="minorEastAsia" w:cstheme="minorEastAsia"/>
          <w:kern w:val="0"/>
          <w:szCs w:val="21"/>
          <w:u w:val="single"/>
        </w:rPr>
        <w:t>（项目名称）</w:t>
      </w:r>
      <w:r>
        <w:rPr>
          <w:rFonts w:hint="eastAsia" w:asciiTheme="minorEastAsia" w:hAnsiTheme="minorEastAsia" w:eastAsiaTheme="minorEastAsia" w:cstheme="minorEastAsia"/>
          <w:kern w:val="0"/>
          <w:szCs w:val="21"/>
        </w:rPr>
        <w:t>采购活动的供应商代表人（磋商代表），全权代表我公司处理在该项目采购活动中的一切事宜。代理期限从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日起至</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日止。</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授权单位（</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签发日期：</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日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附：</w:t>
      </w:r>
      <w:r>
        <w:rPr>
          <w:rFonts w:hint="eastAsia" w:asciiTheme="minorEastAsia" w:hAnsiTheme="minorEastAsia" w:eastAsiaTheme="minorEastAsia" w:cstheme="minorEastAsia"/>
          <w:kern w:val="0"/>
          <w:szCs w:val="21"/>
          <w:u w:val="single"/>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u w:val="single"/>
          <w:lang w:val="en-US" w:eastAsia="zh-CN"/>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职务：</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rPr>
                <w:rFonts w:hint="eastAsia"/>
              </w:rPr>
            </w:pPr>
            <w:r>
              <w:rPr>
                <w:rFonts w:hint="eastAsia"/>
                <w:lang w:val="en-US" w:eastAsia="zh-CN"/>
              </w:rPr>
              <w:t>授权代表</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p>
            <w:pPr>
              <w:autoSpaceDE w:val="0"/>
              <w:autoSpaceDN w:val="0"/>
              <w:adjustRightInd w:val="0"/>
              <w:spacing w:line="360" w:lineRule="auto"/>
              <w:jc w:val="left"/>
              <w:rPr>
                <w:rFonts w:hint="eastAsia"/>
              </w:rPr>
            </w:pPr>
            <w:r>
              <w:rPr>
                <w:rFonts w:hint="eastAsia"/>
                <w:lang w:val="en-US" w:eastAsia="zh-CN"/>
              </w:rPr>
              <w:t>法定代表</w:t>
            </w:r>
            <w:r>
              <w:rPr>
                <w:rFonts w:hint="eastAsia"/>
              </w:rPr>
              <w:t>人身份证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rPr>
                <w:rFonts w:hint="eastAsia"/>
              </w:rPr>
            </w:pPr>
            <w:r>
              <w:rPr>
                <w:rFonts w:hint="eastAsia"/>
                <w:b/>
                <w:bCs/>
              </w:rPr>
              <w:t>注：如法定代表人直接参加磋商并签署响应文件，无须提供本授权书。</w:t>
            </w:r>
          </w:p>
        </w:tc>
      </w:tr>
    </w:tbl>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37" w:name="_Toc29904"/>
      <w:bookmarkStart w:id="138" w:name="_Toc432149008"/>
      <w:bookmarkStart w:id="139" w:name="_Toc5618"/>
      <w:bookmarkStart w:id="140" w:name="_Toc12123"/>
      <w:bookmarkStart w:id="141" w:name="_Toc479184127"/>
      <w:bookmarkStart w:id="142" w:name="_Toc424832832"/>
      <w:bookmarkStart w:id="143" w:name="_Toc360120184"/>
      <w:bookmarkStart w:id="144" w:name="_Toc30245"/>
      <w:r>
        <w:rPr>
          <w:rFonts w:hint="eastAsia" w:asciiTheme="minorEastAsia" w:hAnsiTheme="minorEastAsia" w:eastAsiaTheme="minorEastAsia" w:cstheme="minorEastAsia"/>
          <w:b/>
          <w:bCs/>
          <w:kern w:val="0"/>
          <w:szCs w:val="21"/>
          <w:lang w:val="en-US" w:eastAsia="zh-CN"/>
        </w:rPr>
        <w:br w:type="textWrapping"/>
      </w:r>
      <w:r>
        <w:rPr>
          <w:rFonts w:hint="eastAsia" w:asciiTheme="minorEastAsia" w:hAnsiTheme="minorEastAsia" w:eastAsiaTheme="minorEastAsia" w:cstheme="minorEastAsia"/>
          <w:b/>
          <w:bCs/>
          <w:kern w:val="0"/>
          <w:szCs w:val="21"/>
          <w:lang w:val="en-US" w:eastAsia="zh-CN"/>
        </w:rPr>
        <w:br w:type="textWrapping"/>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法定代表人身份证明书</w:t>
      </w:r>
      <w:bookmarkEnd w:id="137"/>
      <w:bookmarkEnd w:id="138"/>
      <w:bookmarkEnd w:id="139"/>
      <w:bookmarkEnd w:id="140"/>
      <w:bookmarkEnd w:id="141"/>
      <w:bookmarkEnd w:id="142"/>
      <w:bookmarkEnd w:id="143"/>
      <w:bookmarkEnd w:id="144"/>
    </w:p>
    <w:p>
      <w:pPr>
        <w:spacing w:line="360" w:lineRule="auto"/>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兹证明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（姓名）</w:t>
      </w:r>
      <w:r>
        <w:rPr>
          <w:rFonts w:hint="eastAsia" w:asciiTheme="minorEastAsia" w:hAnsiTheme="minorEastAsia" w:eastAsiaTheme="minorEastAsia" w:cstheme="minorEastAsia"/>
          <w:szCs w:val="21"/>
        </w:rPr>
        <w:t>在我单位任</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kern w:val="0"/>
          <w:szCs w:val="21"/>
        </w:rPr>
        <w:t>，系</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（供应商）的法定代表人。</w:t>
      </w:r>
    </w:p>
    <w:p>
      <w:pPr>
        <w:spacing w:line="360" w:lineRule="auto"/>
        <w:ind w:firstLine="630" w:firstLineChars="300"/>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供应商（盖章）：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w:t>
      </w:r>
      <w:r>
        <w:rPr>
          <w:rFonts w:hint="eastAsia" w:asciiTheme="minorEastAsia" w:hAnsiTheme="minorEastAsia" w:eastAsiaTheme="minorEastAsia" w:cstheme="minorEastAsia"/>
          <w:kern w:val="0"/>
          <w:szCs w:val="21"/>
          <w:lang w:val="en-US" w:eastAsia="zh-CN"/>
        </w:rPr>
        <w:t>签字或盖</w:t>
      </w:r>
      <w:r>
        <w:rPr>
          <w:rFonts w:hint="eastAsia" w:asciiTheme="minorEastAsia" w:hAnsiTheme="minorEastAsia" w:eastAsiaTheme="minorEastAsia" w:cstheme="minorEastAsia"/>
          <w:kern w:val="0"/>
          <w:szCs w:val="21"/>
        </w:rPr>
        <w:t>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年龄：</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p>
    <w:p>
      <w:pPr>
        <w:spacing w:line="360" w:lineRule="auto"/>
        <w:ind w:firstLine="5985" w:firstLineChars="285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w:t>
      </w: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r>
              <w:rPr>
                <w:rFonts w:hint="eastAsia"/>
              </w:rPr>
              <w:t>粘贴</w:t>
            </w:r>
            <w:r>
              <w:rPr>
                <w:rFonts w:hint="eastAsia"/>
                <w:lang w:val="en-US" w:eastAsia="zh-CN"/>
              </w:rPr>
              <w:t>法定代表人</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bl>
    <w:p>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注：本表适用于供应商不授权代理人，而由法定代表人直接参加磋商并签署响应文件的情况；</w:t>
      </w:r>
    </w:p>
    <w:p>
      <w:pPr>
        <w:rPr>
          <w:rFonts w:hint="eastAsia" w:asciiTheme="minorEastAsia" w:hAnsiTheme="minorEastAsia" w:eastAsiaTheme="minorEastAsia" w:cstheme="minorEastAsia"/>
          <w:b/>
          <w:kern w:val="0"/>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bCs/>
          <w:szCs w:val="21"/>
        </w:rPr>
      </w:pPr>
    </w:p>
    <w:p>
      <w:pPr>
        <w:tabs>
          <w:tab w:val="left" w:pos="3969"/>
        </w:tabs>
        <w:spacing w:line="500" w:lineRule="exact"/>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45" w:name="_Toc422466732"/>
      <w:bookmarkStart w:id="146" w:name="_Toc432149006"/>
      <w:r>
        <w:rPr>
          <w:rFonts w:hint="eastAsia" w:asciiTheme="minorEastAsia" w:hAnsiTheme="minorEastAsia" w:eastAsiaTheme="minorEastAsia" w:cstheme="minorEastAsia"/>
          <w:b/>
          <w:bCs/>
          <w:sz w:val="24"/>
        </w:rPr>
        <w:br w:type="page"/>
      </w:r>
      <w:bookmarkStart w:id="147" w:name="_Toc4741"/>
      <w:bookmarkStart w:id="148" w:name="_Toc29996"/>
      <w:bookmarkStart w:id="149" w:name="_Toc479184128"/>
      <w:bookmarkStart w:id="150" w:name="_Toc4301"/>
      <w:r>
        <w:rPr>
          <w:rFonts w:hint="eastAsia" w:asciiTheme="minorEastAsia" w:hAnsiTheme="minorEastAsia" w:eastAsiaTheme="minorEastAsia" w:cstheme="minorEastAsia"/>
          <w:b/>
          <w:bCs/>
          <w:szCs w:val="21"/>
          <w:lang w:val="en-US" w:eastAsia="zh-CN"/>
        </w:rPr>
        <w:t>五</w:t>
      </w:r>
      <w:r>
        <w:rPr>
          <w:rFonts w:hint="eastAsia" w:asciiTheme="minorEastAsia" w:hAnsiTheme="minorEastAsia" w:eastAsiaTheme="minorEastAsia" w:cstheme="minorEastAsia"/>
          <w:b/>
          <w:bCs/>
          <w:szCs w:val="21"/>
        </w:rPr>
        <w:t>、报价一览表</w:t>
      </w:r>
      <w:bookmarkEnd w:id="145"/>
      <w:bookmarkEnd w:id="146"/>
      <w:bookmarkEnd w:id="147"/>
      <w:bookmarkEnd w:id="148"/>
      <w:bookmarkEnd w:id="149"/>
      <w:bookmarkEnd w:id="150"/>
    </w:p>
    <w:p>
      <w:pPr>
        <w:adjustRightInd w:val="0"/>
        <w:snapToGrid w:val="0"/>
        <w:ind w:left="-88" w:leftChars="-4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bl>
      <w:tblPr>
        <w:tblStyle w:val="27"/>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宋体" w:hAnsi="宋体"/>
                <w:szCs w:val="21"/>
                <w:lang w:val="en-US" w:eastAsia="zh-CN"/>
              </w:rPr>
              <w:t>供应商</w:t>
            </w:r>
            <w:r>
              <w:rPr>
                <w:rFonts w:hint="eastAsia" w:ascii="宋体" w:hAnsi="宋体"/>
                <w:szCs w:val="21"/>
              </w:rPr>
              <w:t>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lang w:val="en-US" w:eastAsia="zh-CN"/>
              </w:rPr>
              <w:t>竞标</w:t>
            </w:r>
            <w:r>
              <w:rPr>
                <w:rFonts w:hint="eastAsia" w:asciiTheme="minorEastAsia" w:hAnsiTheme="minorEastAsia" w:eastAsiaTheme="minorEastAsia" w:cstheme="minorEastAsia"/>
                <w:bCs/>
                <w:szCs w:val="21"/>
              </w:rPr>
              <w:t>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br w:type="textWrapping"/>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349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62" w:type="dxa"/>
                  <w:vAlign w:val="center"/>
                </w:tcPr>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形式</w:t>
                  </w:r>
                </w:p>
              </w:tc>
              <w:tc>
                <w:tcPr>
                  <w:tcW w:w="3498" w:type="dxa"/>
                  <w:vAlign w:val="center"/>
                </w:tcPr>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制作形式描述</w:t>
                  </w:r>
                </w:p>
              </w:tc>
              <w:tc>
                <w:tcPr>
                  <w:tcW w:w="1076" w:type="pct"/>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8"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高清大屏</w:t>
                  </w:r>
                </w:p>
              </w:tc>
              <w:tc>
                <w:tcPr>
                  <w:tcW w:w="2944" w:type="pct"/>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经过美化设计的PPT在高清交互式大屏幕放映，教师同步讲解，拍摄视频与剪辑包装。</w:t>
                  </w:r>
                </w:p>
              </w:tc>
              <w:tc>
                <w:tcPr>
                  <w:tcW w:w="1076" w:type="pct"/>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8"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软件录屏</w:t>
                  </w:r>
                </w:p>
              </w:tc>
              <w:tc>
                <w:tcPr>
                  <w:tcW w:w="2944" w:type="pct"/>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将教师书写讲解推导过程或操作软件过程与教师声象相结合。</w:t>
                  </w:r>
                </w:p>
              </w:tc>
              <w:tc>
                <w:tcPr>
                  <w:tcW w:w="1076" w:type="pct"/>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8"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抠像PPT</w:t>
                  </w:r>
                </w:p>
              </w:tc>
              <w:tc>
                <w:tcPr>
                  <w:tcW w:w="2944" w:type="pct"/>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将教师在绿幕前拍摄的视频，与经过设计（含内容、界面、动画等）的授课讲稿PPT相结合，经过剪辑包装的视频。</w:t>
                  </w:r>
                </w:p>
              </w:tc>
              <w:tc>
                <w:tcPr>
                  <w:tcW w:w="1076" w:type="pct"/>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8"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抠像动画</w:t>
                  </w:r>
                </w:p>
              </w:tc>
              <w:tc>
                <w:tcPr>
                  <w:tcW w:w="2944" w:type="pct"/>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经过策划，将教师在绿幕前拍摄的视频，与讲解要点内容的图文动画相结合，穿插部分文本动画。</w:t>
                  </w:r>
                </w:p>
              </w:tc>
              <w:tc>
                <w:tcPr>
                  <w:tcW w:w="1076" w:type="pct"/>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8"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实拍动画</w:t>
                  </w:r>
                </w:p>
              </w:tc>
              <w:tc>
                <w:tcPr>
                  <w:tcW w:w="2944" w:type="pct"/>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通过教师在图书馆、阅览室、资料厅、会议室、办公室等与内容契合的场景讲授的实景拍摄，配精美图文动画。</w:t>
                  </w:r>
                </w:p>
              </w:tc>
              <w:tc>
                <w:tcPr>
                  <w:tcW w:w="1076" w:type="pct"/>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8"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实拍访谈</w:t>
                  </w:r>
                </w:p>
              </w:tc>
              <w:tc>
                <w:tcPr>
                  <w:tcW w:w="2944" w:type="pct"/>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通过教师与教师、教师与助教、教师与学生的交流或答疑，讲解重点知识内容，或引发案例讨论等。</w:t>
                  </w:r>
                </w:p>
              </w:tc>
              <w:tc>
                <w:tcPr>
                  <w:tcW w:w="1076" w:type="pct"/>
                  <w:vAlign w:val="center"/>
                </w:tcPr>
                <w:p>
                  <w:pPr>
                    <w:spacing w:line="360" w:lineRule="auto"/>
                    <w:ind w:firstLine="210" w:firstLineChars="10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8"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纯动画类</w:t>
                  </w:r>
                </w:p>
              </w:tc>
              <w:tc>
                <w:tcPr>
                  <w:tcW w:w="2944" w:type="pct"/>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手绘动画、MG动画、情景动画等。</w:t>
                  </w:r>
                </w:p>
              </w:tc>
              <w:tc>
                <w:tcPr>
                  <w:tcW w:w="1076" w:type="pct"/>
                  <w:vAlign w:val="center"/>
                </w:tcPr>
                <w:p>
                  <w:pPr>
                    <w:spacing w:line="360" w:lineRule="auto"/>
                    <w:jc w:val="center"/>
                    <w:rPr>
                      <w:rFonts w:hint="eastAsia" w:ascii="宋体" w:hAnsi="宋体" w:eastAsia="宋体" w:cs="宋体"/>
                      <w:sz w:val="21"/>
                      <w:szCs w:val="21"/>
                    </w:rPr>
                  </w:pPr>
                </w:p>
              </w:tc>
            </w:tr>
          </w:tbl>
          <w:p>
            <w:pPr>
              <w:jc w:val="left"/>
              <w:rPr>
                <w:rFonts w:hint="eastAsia" w:asciiTheme="minorEastAsia" w:hAnsiTheme="minorEastAsia" w:eastAsiaTheme="minorEastAsia" w:cstheme="minorEastAsia"/>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服务期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交货期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优惠声明（如有）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人民币报价。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（2）价格应按照“供应商须知” 的要求报价。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（3）此表除保留在竞争性磋商响应文件中外，另复制一份与法定代表人授权书（原件）、保证金缴纳证明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（复印件）及报价优惠声明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一起另外密封装在一个小信封中，作为</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记录之用。</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szCs w:val="21"/>
          <w:u w:val="single"/>
        </w:rPr>
      </w:pPr>
      <w:bookmarkStart w:id="151" w:name="_Toc460258117"/>
      <w:bookmarkStart w:id="152" w:name="_Toc259028723"/>
      <w:bookmarkStart w:id="153" w:name="_Toc432149007"/>
      <w:bookmarkStart w:id="154" w:name="_Toc424832831"/>
      <w:r>
        <w:rPr>
          <w:rFonts w:hint="eastAsia" w:asciiTheme="minorEastAsia" w:hAnsiTheme="minorEastAsia" w:eastAsiaTheme="minorEastAsia" w:cstheme="minorEastAsia"/>
          <w:b/>
          <w:bCs/>
          <w:sz w:val="24"/>
        </w:rPr>
        <w:br w:type="page"/>
      </w:r>
      <w:bookmarkStart w:id="155" w:name="_Toc479184129"/>
      <w:bookmarkStart w:id="156" w:name="_Toc1079"/>
      <w:bookmarkStart w:id="157" w:name="_Toc18559"/>
      <w:bookmarkStart w:id="158" w:name="_Toc16079"/>
      <w:r>
        <w:rPr>
          <w:rFonts w:hint="eastAsia" w:asciiTheme="minorEastAsia" w:hAnsiTheme="minorEastAsia" w:eastAsiaTheme="minorEastAsia" w:cstheme="minorEastAsia"/>
          <w:b/>
          <w:bCs/>
          <w:szCs w:val="21"/>
          <w:lang w:val="en-US" w:eastAsia="zh-CN"/>
        </w:rPr>
        <w:t>六</w:t>
      </w:r>
      <w:r>
        <w:rPr>
          <w:rFonts w:hint="eastAsia" w:asciiTheme="minorEastAsia" w:hAnsiTheme="minorEastAsia" w:eastAsiaTheme="minorEastAsia" w:cstheme="minorEastAsia"/>
          <w:b/>
          <w:bCs/>
          <w:szCs w:val="21"/>
        </w:rPr>
        <w:t>、</w:t>
      </w:r>
      <w:bookmarkEnd w:id="151"/>
      <w:bookmarkEnd w:id="152"/>
      <w:bookmarkEnd w:id="155"/>
      <w:bookmarkEnd w:id="156"/>
      <w:bookmarkEnd w:id="157"/>
      <w:r>
        <w:rPr>
          <w:rFonts w:hint="eastAsia" w:asciiTheme="minorEastAsia" w:hAnsiTheme="minorEastAsia" w:eastAsiaTheme="minorEastAsia" w:cstheme="minorEastAsia"/>
          <w:b/>
          <w:bCs/>
          <w:szCs w:val="21"/>
          <w:lang w:eastAsia="zh-CN"/>
        </w:rPr>
        <w:t>报价费用构成表</w:t>
      </w:r>
      <w:bookmarkEnd w:id="158"/>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p>
    <w:tbl>
      <w:tblPr>
        <w:tblStyle w:val="2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630"/>
        <w:gridCol w:w="936"/>
        <w:gridCol w:w="1118"/>
        <w:gridCol w:w="1248"/>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3630"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名称</w:t>
            </w:r>
          </w:p>
        </w:tc>
        <w:tc>
          <w:tcPr>
            <w:tcW w:w="936"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w:t>
            </w:r>
          </w:p>
        </w:tc>
        <w:tc>
          <w:tcPr>
            <w:tcW w:w="111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单价</w:t>
            </w:r>
          </w:p>
        </w:tc>
        <w:tc>
          <w:tcPr>
            <w:tcW w:w="124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总价</w:t>
            </w:r>
          </w:p>
        </w:tc>
        <w:tc>
          <w:tcPr>
            <w:tcW w:w="1109"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1" w:type="dxa"/>
            <w:gridSpan w:val="4"/>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总计</w:t>
            </w: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0"/>
          <w:numId w:val="42"/>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所有价格按照“供应商须知”要求执行，精确到个数位。</w:t>
      </w:r>
    </w:p>
    <w:p>
      <w:pPr>
        <w:numPr>
          <w:ilvl w:val="0"/>
          <w:numId w:val="42"/>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分项报价总计价格必须与《报价一览表》报价一致。</w:t>
      </w:r>
    </w:p>
    <w:p>
      <w:pPr>
        <w:numPr>
          <w:ilvl w:val="0"/>
          <w:numId w:val="42"/>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如果不提供详细的报价费用构成可能将被视为没有实质性响应</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文件。</w:t>
      </w:r>
    </w:p>
    <w:p>
      <w:pPr>
        <w:adjustRightInd w:val="0"/>
        <w:snapToGrid w:val="0"/>
        <w:spacing w:line="360" w:lineRule="auto"/>
        <w:ind w:left="-88" w:leftChars="-42"/>
        <w:rPr>
          <w:rFonts w:hint="eastAsia" w:asciiTheme="minorEastAsia" w:hAnsiTheme="minorEastAsia" w:eastAsiaTheme="minorEastAsia" w:cstheme="minorEastAsia"/>
          <w:b/>
          <w:bCs/>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59" w:name="_Toc28656"/>
      <w:bookmarkStart w:id="160" w:name="_Toc479184130"/>
      <w:bookmarkStart w:id="161" w:name="_Toc26825"/>
      <w:bookmarkStart w:id="162" w:name="_Toc17635"/>
      <w:r>
        <w:rPr>
          <w:rFonts w:hint="eastAsia" w:asciiTheme="minorEastAsia" w:hAnsiTheme="minorEastAsia" w:eastAsiaTheme="minorEastAsia" w:cstheme="minorEastAsia"/>
          <w:b/>
          <w:bCs/>
          <w:szCs w:val="21"/>
          <w:lang w:val="en-US" w:eastAsia="zh-CN"/>
        </w:rPr>
        <w:t>七</w:t>
      </w:r>
      <w:r>
        <w:rPr>
          <w:rFonts w:hint="eastAsia" w:asciiTheme="minorEastAsia" w:hAnsiTheme="minorEastAsia" w:eastAsiaTheme="minorEastAsia" w:cstheme="minorEastAsia"/>
          <w:b/>
          <w:bCs/>
          <w:szCs w:val="21"/>
        </w:rPr>
        <w:t>、耗材清单</w:t>
      </w:r>
      <w:bookmarkEnd w:id="159"/>
      <w:bookmarkEnd w:id="160"/>
      <w:bookmarkEnd w:id="161"/>
      <w:r>
        <w:rPr>
          <w:rFonts w:hint="eastAsia" w:asciiTheme="minorEastAsia" w:hAnsiTheme="minorEastAsia" w:eastAsiaTheme="minorEastAsia" w:cstheme="minorEastAsia"/>
          <w:b/>
          <w:bCs/>
          <w:szCs w:val="21"/>
        </w:rPr>
        <w:t>（如有）</w:t>
      </w:r>
      <w:bookmarkEnd w:id="162"/>
    </w:p>
    <w:p>
      <w:pPr>
        <w:adjustRightInd w:val="0"/>
        <w:snapToGrid w:val="0"/>
        <w:rPr>
          <w:rFonts w:hint="eastAsia" w:asciiTheme="minorEastAsia" w:hAnsiTheme="minorEastAsia" w:eastAsiaTheme="minorEastAsia" w:cstheme="minorEastAsia"/>
          <w:b/>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耗材名称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outlineLvl w:val="9"/>
        <w:rPr>
          <w:rFonts w:hint="eastAsia"/>
        </w:rPr>
      </w:pP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63" w:name="_Toc479184131"/>
      <w:bookmarkStart w:id="164" w:name="_Toc32726"/>
      <w:bookmarkStart w:id="165" w:name="_Toc7535"/>
      <w:bookmarkStart w:id="166" w:name="_Toc32484"/>
      <w:r>
        <w:rPr>
          <w:rFonts w:hint="eastAsia" w:asciiTheme="minorEastAsia" w:hAnsiTheme="minorEastAsia" w:eastAsiaTheme="minorEastAsia" w:cstheme="minorEastAsia"/>
          <w:b/>
          <w:bCs/>
          <w:szCs w:val="21"/>
          <w:lang w:val="en-US" w:eastAsia="zh-CN"/>
        </w:rPr>
        <w:t>八、拟投入设备/备件、工具情况</w:t>
      </w:r>
      <w:bookmarkEnd w:id="163"/>
      <w:bookmarkEnd w:id="164"/>
      <w:bookmarkEnd w:id="165"/>
      <w:r>
        <w:rPr>
          <w:rFonts w:hint="eastAsia" w:asciiTheme="minorEastAsia" w:hAnsiTheme="minorEastAsia" w:eastAsiaTheme="minorEastAsia" w:cstheme="minorEastAsia"/>
          <w:b/>
          <w:bCs/>
          <w:szCs w:val="21"/>
          <w:lang w:val="en-US" w:eastAsia="zh-CN"/>
        </w:rPr>
        <w:t>（如有）</w:t>
      </w:r>
      <w:bookmarkEnd w:id="166"/>
    </w:p>
    <w:p>
      <w:pPr>
        <w:spacing w:line="360" w:lineRule="auto"/>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设备</w:t>
            </w:r>
            <w:r>
              <w:rPr>
                <w:rFonts w:hint="eastAsia" w:asciiTheme="minorEastAsia" w:hAnsiTheme="minorEastAsia" w:eastAsiaTheme="minorEastAsia" w:cstheme="minorEastAsia"/>
                <w:b/>
                <w:bCs/>
                <w:szCs w:val="21"/>
                <w:lang w:val="en-US" w:eastAsia="zh-CN"/>
              </w:rPr>
              <w:t>/备件</w:t>
            </w:r>
            <w:r>
              <w:rPr>
                <w:rFonts w:hint="eastAsia" w:asciiTheme="minorEastAsia" w:hAnsiTheme="minorEastAsia" w:eastAsiaTheme="minorEastAsia" w:cstheme="minorEastAsia"/>
                <w:b/>
                <w:szCs w:val="21"/>
              </w:rPr>
              <w:t>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outlineLvl w:val="9"/>
        <w:rPr>
          <w:rFonts w:hint="eastAsia"/>
          <w:lang w:eastAsia="zh-CN"/>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szCs w:val="21"/>
        </w:rPr>
        <w:br w:type="page"/>
      </w:r>
      <w:bookmarkStart w:id="167" w:name="_Toc479184132"/>
      <w:bookmarkStart w:id="168" w:name="_Toc27053"/>
      <w:bookmarkStart w:id="169" w:name="_Toc450827818"/>
      <w:bookmarkStart w:id="170" w:name="_Toc10449"/>
      <w:bookmarkStart w:id="171" w:name="_Toc19607"/>
      <w:r>
        <w:rPr>
          <w:rFonts w:hint="eastAsia" w:asciiTheme="minorEastAsia" w:hAnsiTheme="minorEastAsia" w:eastAsiaTheme="minorEastAsia" w:cstheme="minorEastAsia"/>
          <w:b/>
          <w:bCs/>
          <w:szCs w:val="21"/>
          <w:lang w:val="en-US" w:eastAsia="zh-CN"/>
        </w:rPr>
        <w:t>九</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eastAsia="zh-CN"/>
        </w:rPr>
        <w:t>缴纳</w:t>
      </w:r>
      <w:r>
        <w:rPr>
          <w:rFonts w:hint="eastAsia" w:asciiTheme="minorEastAsia" w:hAnsiTheme="minorEastAsia" w:eastAsiaTheme="minorEastAsia" w:cstheme="minorEastAsia"/>
          <w:b/>
          <w:bCs/>
          <w:szCs w:val="21"/>
        </w:rPr>
        <w:t>保证金的银行凭证</w:t>
      </w:r>
      <w:bookmarkEnd w:id="167"/>
      <w:bookmarkEnd w:id="168"/>
      <w:bookmarkEnd w:id="169"/>
      <w:bookmarkEnd w:id="170"/>
      <w:r>
        <w:rPr>
          <w:rFonts w:hint="eastAsia" w:asciiTheme="minorEastAsia" w:hAnsiTheme="minorEastAsia" w:eastAsiaTheme="minorEastAsia" w:cstheme="minorEastAsia"/>
          <w:b/>
          <w:bCs/>
          <w:szCs w:val="21"/>
          <w:lang w:eastAsia="zh-CN"/>
        </w:rPr>
        <w:t>（</w:t>
      </w:r>
      <w:r>
        <w:rPr>
          <w:rFonts w:hint="eastAsia" w:asciiTheme="minorEastAsia" w:hAnsiTheme="minorEastAsia" w:eastAsiaTheme="minorEastAsia" w:cstheme="minorEastAsia"/>
          <w:b/>
          <w:bCs/>
          <w:szCs w:val="21"/>
          <w:lang w:val="en-US" w:eastAsia="zh-CN"/>
        </w:rPr>
        <w:t>如有</w:t>
      </w:r>
      <w:r>
        <w:rPr>
          <w:rFonts w:hint="eastAsia" w:asciiTheme="minorEastAsia" w:hAnsiTheme="minorEastAsia" w:eastAsiaTheme="minorEastAsia" w:cstheme="minorEastAsia"/>
          <w:b/>
          <w:bCs/>
          <w:szCs w:val="21"/>
          <w:lang w:eastAsia="zh-CN"/>
        </w:rPr>
        <w:t>）</w:t>
      </w:r>
      <w:bookmarkEnd w:id="171"/>
    </w:p>
    <w:p>
      <w:pPr>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中经国际招标集团有限公司：</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u w:val="single"/>
        </w:rPr>
        <w:t xml:space="preserve">                       (供应商全称)</w:t>
      </w:r>
      <w:r>
        <w:rPr>
          <w:rFonts w:hint="eastAsia" w:asciiTheme="minorEastAsia" w:hAnsiTheme="minorEastAsia" w:eastAsiaTheme="minorEastAsia" w:cstheme="minorEastAsia"/>
          <w:bCs/>
          <w:szCs w:val="21"/>
        </w:rPr>
        <w:t xml:space="preserve"> 参加贵方组织的，采购编号为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的采购活动。</w:t>
      </w:r>
      <w:r>
        <w:rPr>
          <w:rFonts w:hint="eastAsia" w:asciiTheme="minorEastAsia" w:hAnsiTheme="minorEastAsia" w:eastAsiaTheme="minorEastAsia" w:cstheme="minorEastAsia"/>
          <w:szCs w:val="21"/>
        </w:rPr>
        <w:t>按竞争性磋商文件的规定，已递交人民币</w:t>
      </w:r>
      <w:r>
        <w:rPr>
          <w:rFonts w:hint="eastAsia" w:asciiTheme="minorEastAsia" w:hAnsiTheme="minorEastAsia" w:eastAsiaTheme="minorEastAsia" w:cstheme="minorEastAsia"/>
          <w:szCs w:val="21"/>
          <w:u w:val="single"/>
        </w:rPr>
        <w:t xml:space="preserve">（大写）  　　 </w:t>
      </w:r>
      <w:r>
        <w:rPr>
          <w:rFonts w:hint="eastAsia" w:asciiTheme="minorEastAsia" w:hAnsiTheme="minorEastAsia" w:eastAsiaTheme="minorEastAsia" w:cstheme="minorEastAsia"/>
          <w:szCs w:val="21"/>
        </w:rPr>
        <w:t xml:space="preserve"> 元的保证金。</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 应 商 名 称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供应商银行账号：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bl>
      <w:tblPr>
        <w:tblStyle w:val="2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粘贴转账或电汇银行凭证（复印件）</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c>
      </w:tr>
    </w:tbl>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注： 请供应商认真填写银行信息，并要求与粘贴转账或电汇银行凭证的相关信息一致，采购代理机构将依据此凭证信息退还保证金。</w:t>
      </w:r>
      <w:bookmarkEnd w:id="153"/>
      <w:bookmarkEnd w:id="154"/>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72" w:name="_Toc28200"/>
      <w:bookmarkStart w:id="173" w:name="_Toc3848"/>
      <w:bookmarkStart w:id="174" w:name="_Toc422466736"/>
      <w:bookmarkStart w:id="175" w:name="_Toc479184133"/>
      <w:bookmarkStart w:id="176" w:name="_Toc1591"/>
      <w:bookmarkStart w:id="177" w:name="_Toc432149012"/>
      <w:r>
        <w:rPr>
          <w:rFonts w:hint="eastAsia" w:asciiTheme="minorEastAsia" w:hAnsiTheme="minorEastAsia" w:eastAsiaTheme="minorEastAsia" w:cstheme="minorEastAsia"/>
          <w:b/>
          <w:bCs/>
          <w:szCs w:val="21"/>
          <w:lang w:val="en-US" w:eastAsia="zh-CN"/>
        </w:rPr>
        <w:t>十</w:t>
      </w:r>
      <w:r>
        <w:rPr>
          <w:rFonts w:hint="eastAsia" w:asciiTheme="minorEastAsia" w:hAnsiTheme="minorEastAsia" w:eastAsiaTheme="minorEastAsia" w:cstheme="minorEastAsia"/>
          <w:b/>
          <w:bCs/>
          <w:szCs w:val="21"/>
        </w:rPr>
        <w:t>、偏离说明表</w:t>
      </w:r>
      <w:bookmarkEnd w:id="172"/>
      <w:bookmarkEnd w:id="173"/>
      <w:bookmarkEnd w:id="174"/>
      <w:bookmarkEnd w:id="175"/>
      <w:bookmarkEnd w:id="176"/>
      <w:bookmarkEnd w:id="177"/>
    </w:p>
    <w:p>
      <w:pPr>
        <w:adjustRightInd w:val="0"/>
        <w:snapToGrid w:val="0"/>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874"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采购需求</w:t>
            </w:r>
          </w:p>
        </w:tc>
        <w:tc>
          <w:tcPr>
            <w:tcW w:w="3449"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报价响应</w:t>
            </w:r>
          </w:p>
        </w:tc>
        <w:tc>
          <w:tcPr>
            <w:tcW w:w="1675"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技术</w:t>
            </w:r>
            <w:r>
              <w:rPr>
                <w:rFonts w:hint="eastAsia" w:asciiTheme="minorEastAsia" w:hAnsiTheme="minorEastAsia" w:eastAsiaTheme="minorEastAsia" w:cstheme="minorEastAsia"/>
                <w:b/>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商务</w:t>
            </w:r>
            <w:r>
              <w:rPr>
                <w:rFonts w:hint="eastAsia" w:asciiTheme="minorEastAsia" w:hAnsiTheme="minorEastAsia" w:eastAsiaTheme="minorEastAsia" w:cstheme="minorEastAsia"/>
                <w:b/>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资格</w:t>
            </w:r>
            <w:r>
              <w:rPr>
                <w:rFonts w:hint="eastAsia" w:asciiTheme="minorEastAsia" w:hAnsiTheme="minorEastAsia" w:eastAsiaTheme="minorEastAsia" w:cstheme="minorEastAsia"/>
                <w:b/>
                <w:szCs w:val="21"/>
                <w:lang w:val="en-US" w:eastAsia="zh-CN"/>
              </w:rPr>
              <w:t>性</w:t>
            </w:r>
            <w:r>
              <w:rPr>
                <w:rFonts w:hint="eastAsia" w:asciiTheme="minorEastAsia" w:hAnsiTheme="minorEastAsia" w:eastAsiaTheme="minorEastAsia" w:cstheme="minorEastAsia"/>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D7D7D7" w:themeFill="background1" w:themeFillShade="D8"/>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shd w:val="clear" w:fill="D7D7D7" w:themeFill="background1" w:themeFillShade="D8"/>
                <w:lang w:val="en-US" w:eastAsia="zh-CN"/>
              </w:rPr>
              <w:t>符合性</w:t>
            </w:r>
            <w:r>
              <w:rPr>
                <w:rFonts w:hint="eastAsia" w:asciiTheme="minorEastAsia" w:hAnsiTheme="minorEastAsia" w:eastAsiaTheme="minorEastAsia" w:cstheme="minorEastAsia"/>
                <w:b/>
                <w:szCs w:val="21"/>
                <w:shd w:val="clear" w:fill="D7D7D7" w:themeFill="background1" w:themeFillShade="D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7"/>
          <w:numId w:val="43"/>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7"/>
          <w:numId w:val="43"/>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对有具体参数要求的指标，磋商供应商必须提供所投产品的具体参数值。如果仅注明“符合”，“满足”或简单复制竞争性磋商采购文件要求，将可能导致报价被拒绝。</w:t>
      </w:r>
    </w:p>
    <w:p>
      <w:pPr>
        <w:adjustRightInd w:val="0"/>
        <w:snapToGrid w:val="0"/>
        <w:ind w:firstLine="42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rPr>
          <w:rFonts w:hint="eastAsia" w:asciiTheme="minorEastAsia" w:hAnsiTheme="minorEastAsia" w:eastAsiaTheme="minorEastAsia" w:cstheme="minorEastAsia"/>
          <w:b/>
          <w:kern w:val="0"/>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kern w:val="0"/>
          <w:szCs w:val="21"/>
        </w:rPr>
        <w:br w:type="page"/>
      </w:r>
      <w:bookmarkStart w:id="178" w:name="_Toc362935521"/>
      <w:bookmarkStart w:id="179" w:name="_Toc32060"/>
      <w:bookmarkStart w:id="180" w:name="_Toc432149013"/>
      <w:bookmarkStart w:id="181" w:name="_Toc479184134"/>
      <w:bookmarkStart w:id="182" w:name="_Toc28283"/>
      <w:bookmarkStart w:id="183" w:name="_Toc10508"/>
      <w:r>
        <w:rPr>
          <w:rFonts w:hint="eastAsia" w:asciiTheme="minorEastAsia" w:hAnsiTheme="minorEastAsia" w:eastAsiaTheme="minorEastAsia" w:cstheme="minorEastAsia"/>
          <w:b/>
          <w:kern w:val="0"/>
          <w:szCs w:val="21"/>
        </w:rPr>
        <w:t>十</w:t>
      </w:r>
      <w:r>
        <w:rPr>
          <w:rFonts w:hint="eastAsia" w:asciiTheme="minorEastAsia" w:hAnsiTheme="minorEastAsia" w:eastAsiaTheme="minorEastAsia" w:cstheme="minorEastAsia"/>
          <w:b/>
          <w:kern w:val="0"/>
          <w:szCs w:val="21"/>
          <w:lang w:eastAsia="zh-CN"/>
        </w:rPr>
        <w:t>一</w:t>
      </w:r>
      <w:r>
        <w:rPr>
          <w:rFonts w:hint="eastAsia" w:asciiTheme="minorEastAsia" w:hAnsiTheme="minorEastAsia" w:eastAsiaTheme="minorEastAsia" w:cstheme="minorEastAsia"/>
          <w:b/>
          <w:kern w:val="0"/>
          <w:szCs w:val="21"/>
        </w:rPr>
        <w:t>、</w:t>
      </w:r>
      <w:r>
        <w:rPr>
          <w:rFonts w:hint="eastAsia" w:asciiTheme="minorEastAsia" w:hAnsiTheme="minorEastAsia" w:eastAsiaTheme="minorEastAsia" w:cstheme="minorEastAsia"/>
          <w:b/>
          <w:bCs/>
          <w:szCs w:val="21"/>
        </w:rPr>
        <w:t>类似业绩一览表</w:t>
      </w:r>
      <w:bookmarkEnd w:id="178"/>
      <w:bookmarkEnd w:id="179"/>
      <w:bookmarkEnd w:id="180"/>
      <w:bookmarkEnd w:id="181"/>
      <w:bookmarkEnd w:id="182"/>
      <w:r>
        <w:rPr>
          <w:rFonts w:hint="eastAsia" w:asciiTheme="minorEastAsia" w:hAnsiTheme="minorEastAsia" w:eastAsiaTheme="minorEastAsia" w:cstheme="minorEastAsia"/>
          <w:b/>
          <w:bCs/>
          <w:szCs w:val="21"/>
        </w:rPr>
        <w:br w:type="textWrapping"/>
      </w:r>
      <w:bookmarkEnd w:id="183"/>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项目编号：</w:t>
      </w:r>
    </w:p>
    <w:tbl>
      <w:tblPr>
        <w:tblStyle w:val="27"/>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22"/>
        <w:gridCol w:w="824"/>
        <w:gridCol w:w="1237"/>
        <w:gridCol w:w="971"/>
        <w:gridCol w:w="912"/>
        <w:gridCol w:w="1345"/>
        <w:gridCol w:w="1192"/>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lang w:val="en-US" w:eastAsia="zh-CN"/>
              </w:rPr>
              <w:t>序号</w:t>
            </w:r>
          </w:p>
        </w:tc>
        <w:tc>
          <w:tcPr>
            <w:tcW w:w="142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名称</w:t>
            </w:r>
          </w:p>
        </w:tc>
        <w:tc>
          <w:tcPr>
            <w:tcW w:w="82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w:t>
            </w:r>
          </w:p>
        </w:tc>
        <w:tc>
          <w:tcPr>
            <w:tcW w:w="123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合同签订</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时间</w:t>
            </w:r>
          </w:p>
        </w:tc>
        <w:tc>
          <w:tcPr>
            <w:tcW w:w="971"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合同金额</w:t>
            </w:r>
          </w:p>
        </w:tc>
        <w:tc>
          <w:tcPr>
            <w:tcW w:w="91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负责人</w:t>
            </w:r>
          </w:p>
        </w:tc>
        <w:tc>
          <w:tcPr>
            <w:tcW w:w="134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业主单位联系人及电话</w:t>
            </w:r>
          </w:p>
        </w:tc>
        <w:tc>
          <w:tcPr>
            <w:tcW w:w="119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中标公告网页链接（如有）</w:t>
            </w:r>
          </w:p>
        </w:tc>
        <w:tc>
          <w:tcPr>
            <w:tcW w:w="64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1.附</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供应商承担类似项目的情况填入本表中</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提供业绩合同等评分标准要求的相关</w:t>
      </w:r>
      <w:r>
        <w:rPr>
          <w:rFonts w:hint="eastAsia" w:asciiTheme="minorEastAsia" w:hAnsiTheme="minorEastAsia" w:eastAsiaTheme="minorEastAsia" w:cstheme="minorEastAsia"/>
          <w:szCs w:val="21"/>
        </w:rPr>
        <w:t>证明材料。 无证明材料的内容评审时将不予考虑。</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val="en-US" w:eastAsia="zh-CN"/>
        </w:rPr>
        <w:t>2.公开竞标成交的类似业绩，还应提供成交/中标公告网页链接。</w:t>
      </w:r>
    </w:p>
    <w:p>
      <w:pPr>
        <w:spacing w:line="360" w:lineRule="auto"/>
        <w:rPr>
          <w:rFonts w:hint="eastAsia" w:asciiTheme="minorEastAsia" w:hAnsiTheme="minorEastAsia" w:eastAsiaTheme="minorEastAsia" w:cstheme="minorEastAsia"/>
          <w:szCs w:val="21"/>
        </w:rPr>
      </w:pPr>
      <w:bookmarkStart w:id="184" w:name="_Toc460258118"/>
      <w:bookmarkStart w:id="185" w:name="_Toc454806053"/>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86" w:name="_Toc479184135"/>
      <w:bookmarkStart w:id="187" w:name="_Toc4834"/>
      <w:bookmarkStart w:id="188" w:name="_Toc30455"/>
      <w:bookmarkStart w:id="189" w:name="_Toc19241"/>
      <w:r>
        <w:rPr>
          <w:rFonts w:hint="eastAsia" w:asciiTheme="minorEastAsia" w:hAnsiTheme="minorEastAsia" w:eastAsiaTheme="minorEastAsia" w:cstheme="minorEastAsia"/>
          <w:b/>
          <w:bCs/>
          <w:szCs w:val="21"/>
        </w:rPr>
        <w:t>十</w:t>
      </w:r>
      <w:r>
        <w:rPr>
          <w:rFonts w:hint="eastAsia" w:asciiTheme="minorEastAsia" w:hAnsiTheme="minorEastAsia" w:eastAsiaTheme="minorEastAsia" w:cstheme="minorEastAsia"/>
          <w:b/>
          <w:bCs/>
          <w:szCs w:val="21"/>
          <w:lang w:val="en-US" w:eastAsia="zh-CN"/>
        </w:rPr>
        <w:t>二</w:t>
      </w:r>
      <w:r>
        <w:rPr>
          <w:rFonts w:hint="eastAsia" w:asciiTheme="minorEastAsia" w:hAnsiTheme="minorEastAsia" w:eastAsiaTheme="minorEastAsia" w:cstheme="minorEastAsia"/>
          <w:b/>
          <w:bCs/>
          <w:szCs w:val="21"/>
        </w:rPr>
        <w:t>、拟投入项目组人员一览表</w:t>
      </w:r>
      <w:bookmarkEnd w:id="184"/>
      <w:bookmarkEnd w:id="185"/>
      <w:bookmarkEnd w:id="186"/>
      <w:bookmarkEnd w:id="187"/>
      <w:bookmarkEnd w:id="188"/>
      <w:bookmarkEnd w:id="189"/>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ind w:left="-181" w:leftChars="-86" w:firstLine="180" w:firstLineChars="8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7"/>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在本项目中</w:t>
            </w:r>
            <w:r>
              <w:rPr>
                <w:rFonts w:hint="eastAsia" w:asciiTheme="minorEastAsia" w:hAnsiTheme="minorEastAsia" w:eastAsiaTheme="minorEastAsia" w:cstheme="minorEastAsia"/>
                <w:szCs w:val="21"/>
                <w:lang w:val="en-US" w:eastAsia="zh-CN"/>
              </w:rPr>
              <w:t>担</w:t>
            </w:r>
            <w:r>
              <w:rPr>
                <w:rFonts w:hint="eastAsia" w:asciiTheme="minorEastAsia" w:hAnsiTheme="minorEastAsia" w:eastAsiaTheme="minorEastAsia" w:cstheme="minorEastAsia"/>
                <w:szCs w:val="21"/>
              </w:rPr>
              <w:t>当职位</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学历</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职务</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职称</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从业经历</w:t>
            </w: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说明：附拟投入项目组人员</w:t>
      </w:r>
      <w:r>
        <w:rPr>
          <w:rFonts w:hint="eastAsia" w:asciiTheme="minorEastAsia" w:hAnsiTheme="minorEastAsia" w:eastAsiaTheme="minorEastAsia" w:cstheme="minorEastAsia"/>
          <w:szCs w:val="21"/>
          <w:lang w:val="en-US" w:eastAsia="zh-CN"/>
        </w:rPr>
        <w:t>身份证、劳动合同、社保证明、</w:t>
      </w:r>
      <w:r>
        <w:rPr>
          <w:rFonts w:hint="eastAsia"/>
        </w:rPr>
        <w:t>职称证书</w:t>
      </w:r>
      <w:r>
        <w:rPr>
          <w:rFonts w:hint="eastAsia"/>
          <w:lang w:eastAsia="zh-CN"/>
        </w:rPr>
        <w:t>、</w:t>
      </w:r>
      <w:r>
        <w:rPr>
          <w:rFonts w:hint="eastAsia"/>
        </w:rPr>
        <w:t>学历证书</w:t>
      </w:r>
      <w:r>
        <w:rPr>
          <w:rFonts w:hint="eastAsia" w:asciiTheme="minorEastAsia" w:hAnsiTheme="minorEastAsia" w:eastAsiaTheme="minorEastAsia" w:cstheme="minorEastAsia"/>
          <w:szCs w:val="21"/>
        </w:rPr>
        <w:t>等</w:t>
      </w:r>
      <w:r>
        <w:rPr>
          <w:rFonts w:hint="eastAsia" w:asciiTheme="minorEastAsia" w:hAnsiTheme="minorEastAsia" w:eastAsiaTheme="minorEastAsia" w:cstheme="minorEastAsia"/>
          <w:szCs w:val="21"/>
          <w:lang w:val="en-US" w:eastAsia="zh-CN"/>
        </w:rPr>
        <w:t>评分标准要求的其他相关</w:t>
      </w:r>
      <w:r>
        <w:rPr>
          <w:rFonts w:hint="eastAsia" w:asciiTheme="minorEastAsia" w:hAnsiTheme="minorEastAsia" w:eastAsiaTheme="minorEastAsia" w:cstheme="minorEastAsia"/>
          <w:szCs w:val="21"/>
        </w:rPr>
        <w:t>证明材料。无证明材料的内容评审时将不予考虑。</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90" w:name="_Toc432149014"/>
      <w:bookmarkStart w:id="191" w:name="_Toc26838"/>
      <w:bookmarkStart w:id="192" w:name="_Toc479184136"/>
      <w:bookmarkStart w:id="193" w:name="_Toc10429"/>
      <w:bookmarkStart w:id="194" w:name="_Toc422466737"/>
      <w:bookmarkStart w:id="195" w:name="_Toc6084"/>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三</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供应商的资格声明</w:t>
      </w:r>
      <w:bookmarkEnd w:id="190"/>
      <w:bookmarkEnd w:id="191"/>
      <w:bookmarkEnd w:id="192"/>
      <w:bookmarkEnd w:id="193"/>
      <w:bookmarkEnd w:id="194"/>
      <w:bookmarkEnd w:id="195"/>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1.名称及基本情况：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（3）成立或注册日期：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（4）公司性质：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（5）法定代表人或主要负责人：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（6）员工人数：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（7）注册资本：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（8）实收资本：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（9）上年末资产负债率：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1）固定资产</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原值：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净值：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2）流动资产：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3）长期负债：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4）短期负债：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2．与报价服务内容有关的情况：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（1）供应商提供此响应服务内容的经验（包括年限、项目业主、额定能力、商业运营的起始日期等）；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（2）服务网点分布（可另行附表）：</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服务网点名称和地址</w:t>
            </w:r>
          </w:p>
        </w:tc>
        <w:tc>
          <w:tcPr>
            <w:tcW w:w="173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主要服务范围</w:t>
            </w:r>
          </w:p>
        </w:tc>
        <w:tc>
          <w:tcPr>
            <w:tcW w:w="226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服务人员数</w:t>
            </w:r>
          </w:p>
        </w:tc>
        <w:tc>
          <w:tcPr>
            <w:tcW w:w="226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3．供应商认为需要声明的其他情况：</w:t>
      </w:r>
    </w:p>
    <w:p>
      <w:pPr>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兹证明上述声明是真实的、正确的，并提供了全部能提供的资料和数据，我们同意遵照</w:t>
      </w:r>
      <w:r>
        <w:rPr>
          <w:rFonts w:hint="eastAsia" w:asciiTheme="minorEastAsia" w:hAnsiTheme="minorEastAsia" w:eastAsiaTheme="minorEastAsia" w:cstheme="minorEastAsia"/>
          <w:bCs/>
          <w:szCs w:val="21"/>
          <w:u w:val="single"/>
        </w:rPr>
        <w:t>采购代理机构</w:t>
      </w:r>
      <w:r>
        <w:rPr>
          <w:rFonts w:hint="eastAsia" w:asciiTheme="minorEastAsia" w:hAnsiTheme="minorEastAsia" w:eastAsiaTheme="minorEastAsia" w:cstheme="minorEastAsia"/>
          <w:bCs/>
          <w:szCs w:val="21"/>
        </w:rPr>
        <w:t>要求出示的有关证明文件。</w:t>
      </w:r>
    </w:p>
    <w:p>
      <w:pPr>
        <w:spacing w:line="360" w:lineRule="auto"/>
        <w:ind w:firstLine="210" w:firstLineChars="100"/>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96" w:name="_Toc259028731"/>
      <w:bookmarkStart w:id="197" w:name="_Toc17331"/>
      <w:bookmarkStart w:id="198" w:name="_Toc479184137"/>
      <w:bookmarkStart w:id="199" w:name="_Toc450827823"/>
      <w:bookmarkStart w:id="200" w:name="_Toc17527"/>
      <w:bookmarkStart w:id="201" w:name="_Toc20174"/>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资格证明文件</w:t>
      </w:r>
      <w:bookmarkEnd w:id="196"/>
      <w:bookmarkEnd w:id="197"/>
      <w:bookmarkEnd w:id="198"/>
      <w:bookmarkEnd w:id="199"/>
      <w:bookmarkEnd w:id="200"/>
      <w:bookmarkEnd w:id="201"/>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提供第</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val="en-US" w:eastAsia="zh-CN"/>
        </w:rPr>
        <w:t>第二款</w:t>
      </w:r>
      <w:r>
        <w:rPr>
          <w:rFonts w:hint="eastAsia" w:asciiTheme="minorEastAsia" w:hAnsiTheme="minorEastAsia" w:eastAsiaTheme="minorEastAsia" w:cstheme="minorEastAsia"/>
          <w:szCs w:val="21"/>
        </w:rPr>
        <w:t>资格要求</w:t>
      </w:r>
      <w:r>
        <w:rPr>
          <w:rFonts w:hint="eastAsia" w:asciiTheme="minorEastAsia" w:hAnsiTheme="minorEastAsia" w:eastAsiaTheme="minorEastAsia" w:cstheme="minorEastAsia"/>
          <w:szCs w:val="21"/>
          <w:lang w:val="en-US" w:eastAsia="zh-CN"/>
        </w:rPr>
        <w:t>的</w:t>
      </w:r>
      <w:r>
        <w:rPr>
          <w:rFonts w:hint="eastAsia" w:asciiTheme="minorEastAsia" w:hAnsiTheme="minorEastAsia" w:eastAsiaTheme="minorEastAsia" w:cstheme="minorEastAsia"/>
          <w:szCs w:val="21"/>
        </w:rPr>
        <w:t>资格证明文件的</w:t>
      </w:r>
      <w:r>
        <w:rPr>
          <w:rFonts w:hint="eastAsia" w:asciiTheme="minorEastAsia" w:hAnsiTheme="minorEastAsia" w:eastAsiaTheme="minorEastAsia" w:cstheme="minorEastAsia"/>
          <w:szCs w:val="21"/>
          <w:lang w:val="en-US" w:eastAsia="zh-CN"/>
        </w:rPr>
        <w:t>真彩扫描件</w:t>
      </w:r>
      <w:r>
        <w:rPr>
          <w:rFonts w:hint="eastAsia" w:asciiTheme="minorEastAsia" w:hAnsiTheme="minorEastAsia" w:eastAsiaTheme="minorEastAsia" w:cstheme="minorEastAsia"/>
          <w:szCs w:val="21"/>
          <w:lang w:eastAsia="zh-CN"/>
        </w:rPr>
        <w:t>。</w:t>
      </w:r>
    </w:p>
    <w:p>
      <w:pPr>
        <w:rPr>
          <w:rFonts w:hint="eastAsia" w:asciiTheme="minorEastAsia" w:hAnsiTheme="minorEastAsia" w:eastAsiaTheme="minorEastAsia" w:cstheme="minorEastAsia"/>
          <w:szCs w:val="21"/>
        </w:rPr>
      </w:pPr>
    </w:p>
    <w:p>
      <w:pPr>
        <w:adjustRightInd w:val="0"/>
        <w:snapToGrid w:val="0"/>
        <w:spacing w:line="360" w:lineRule="auto"/>
        <w:ind w:left="-88" w:leftChars="-42"/>
        <w:jc w:val="center"/>
        <w:rPr>
          <w:rFonts w:hint="eastAsia" w:asciiTheme="minorEastAsia" w:hAnsiTheme="minorEastAsia" w:eastAsiaTheme="minorEastAsia" w:cstheme="minorEastAsia"/>
          <w:szCs w:val="21"/>
        </w:rPr>
      </w:pPr>
    </w:p>
    <w:p>
      <w:pPr>
        <w:spacing w:line="360" w:lineRule="auto"/>
        <w:ind w:left="168" w:leftChars="80"/>
        <w:jc w:val="center"/>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p>
    <w:p>
      <w:pPr>
        <w:spacing w:line="360" w:lineRule="auto"/>
        <w:ind w:left="168" w:leftChars="80"/>
        <w:jc w:val="center"/>
        <w:outlineLvl w:val="9"/>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bookmarkStart w:id="202" w:name="_Toc18555"/>
      <w:bookmarkStart w:id="203" w:name="_Toc290207179"/>
      <w:bookmarkStart w:id="204" w:name="_Toc364868916"/>
      <w:bookmarkStart w:id="205" w:name="_Toc32187"/>
      <w:bookmarkStart w:id="206" w:name="_Toc427239751"/>
      <w:bookmarkStart w:id="207" w:name="_Toc358447587"/>
      <w:bookmarkStart w:id="208" w:name="_Toc5793"/>
      <w:r>
        <w:rPr>
          <w:rFonts w:hint="eastAsia" w:asciiTheme="minorEastAsia" w:hAnsiTheme="minorEastAsia" w:eastAsiaTheme="minorEastAsia" w:cstheme="minorEastAsia"/>
          <w:b/>
          <w:bCs/>
          <w:kern w:val="0"/>
          <w:szCs w:val="21"/>
          <w:lang w:val="en-US" w:eastAsia="zh-CN"/>
        </w:rPr>
        <w:t>十五、</w:t>
      </w:r>
      <w:bookmarkEnd w:id="202"/>
      <w:bookmarkEnd w:id="203"/>
      <w:bookmarkEnd w:id="204"/>
      <w:bookmarkEnd w:id="205"/>
      <w:bookmarkEnd w:id="206"/>
      <w:bookmarkEnd w:id="207"/>
      <w:bookmarkEnd w:id="208"/>
      <w:bookmarkStart w:id="209" w:name="_Toc27229"/>
      <w:bookmarkStart w:id="210" w:name="_Toc479184138"/>
      <w:bookmarkStart w:id="211" w:name="_Toc460258123"/>
      <w:bookmarkStart w:id="212" w:name="_Toc29785"/>
      <w:r>
        <w:rPr>
          <w:rFonts w:hint="eastAsia" w:asciiTheme="minorEastAsia" w:hAnsiTheme="minorEastAsia" w:eastAsiaTheme="minorEastAsia" w:cstheme="minorEastAsia"/>
          <w:b/>
        </w:rPr>
        <w:t>报价技术文件</w:t>
      </w:r>
      <w:bookmarkEnd w:id="209"/>
      <w:bookmarkEnd w:id="210"/>
      <w:bookmarkEnd w:id="211"/>
      <w:bookmarkEnd w:id="212"/>
    </w:p>
    <w:p>
      <w:pPr>
        <w:rPr>
          <w:rFonts w:hint="eastAsia" w:asciiTheme="minorEastAsia" w:hAnsiTheme="minorEastAsia" w:eastAsiaTheme="minorEastAsia" w:cstheme="minorEastAsia"/>
          <w:szCs w:val="21"/>
        </w:rPr>
      </w:pPr>
    </w:p>
    <w:p>
      <w:pPr>
        <w:pStyle w:val="105"/>
        <w:spacing w:line="360" w:lineRule="auto"/>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由供应商自行编制，目录清晰、内容详尽、易于理解和评审并富有建设性的技术方案将在评审时具有优势。</w:t>
      </w:r>
    </w:p>
    <w:p>
      <w:pPr>
        <w:adjustRightInd w:val="0"/>
        <w:snapToGrid w:val="0"/>
        <w:spacing w:line="360" w:lineRule="auto"/>
        <w:ind w:left="-88" w:leftChars="-42" w:firstLine="422" w:firstLineChars="200"/>
        <w:jc w:val="left"/>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以下内容仅供参考，格式自拟。</w:t>
      </w:r>
    </w:p>
    <w:p>
      <w:pPr>
        <w:numPr>
          <w:ilvl w:val="1"/>
          <w:numId w:val="44"/>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项目概况及对本项目总体要求的理解</w:t>
      </w:r>
    </w:p>
    <w:p>
      <w:pPr>
        <w:numPr>
          <w:ilvl w:val="1"/>
          <w:numId w:val="44"/>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p>
    <w:p>
      <w:pPr>
        <w:numPr>
          <w:ilvl w:val="1"/>
          <w:numId w:val="44"/>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项目重点及难点解析</w:t>
      </w:r>
    </w:p>
    <w:p>
      <w:pPr>
        <w:numPr>
          <w:ilvl w:val="1"/>
          <w:numId w:val="44"/>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质量控制措施</w:t>
      </w:r>
    </w:p>
    <w:p>
      <w:pPr>
        <w:numPr>
          <w:ilvl w:val="1"/>
          <w:numId w:val="44"/>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进度控制措施</w:t>
      </w:r>
    </w:p>
    <w:p>
      <w:pPr>
        <w:numPr>
          <w:ilvl w:val="1"/>
          <w:numId w:val="44"/>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对本项目的合理化建议</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rPr>
        <w:br w:type="page"/>
      </w:r>
      <w:bookmarkStart w:id="213" w:name="_Toc2101"/>
      <w:bookmarkStart w:id="214" w:name="_Toc356836516"/>
      <w:bookmarkStart w:id="215" w:name="_Toc479184140"/>
      <w:bookmarkStart w:id="216" w:name="_Toc22465"/>
      <w:bookmarkStart w:id="217" w:name="_Toc8098"/>
      <w:bookmarkStart w:id="218" w:name="_Toc422466739"/>
      <w:bookmarkStart w:id="219" w:name="_Toc355802499"/>
      <w:bookmarkStart w:id="220" w:name="_Toc12119"/>
      <w:bookmarkStart w:id="221" w:name="_Toc432149016"/>
      <w:bookmarkStart w:id="222" w:name="_Toc29200"/>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lang w:val="en-US" w:eastAsia="zh-CN"/>
        </w:rPr>
        <w:t>六</w:t>
      </w:r>
      <w:r>
        <w:rPr>
          <w:rFonts w:hint="eastAsia" w:asciiTheme="minorEastAsia" w:hAnsiTheme="minorEastAsia" w:eastAsiaTheme="minorEastAsia" w:cstheme="minorEastAsia"/>
          <w:b/>
        </w:rPr>
        <w:t>、中小企业声明函</w:t>
      </w:r>
      <w:bookmarkEnd w:id="213"/>
      <w:bookmarkEnd w:id="214"/>
      <w:bookmarkEnd w:id="215"/>
      <w:bookmarkEnd w:id="216"/>
      <w:bookmarkEnd w:id="217"/>
      <w:bookmarkEnd w:id="218"/>
      <w:bookmarkEnd w:id="219"/>
      <w:bookmarkEnd w:id="220"/>
      <w:bookmarkEnd w:id="221"/>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22"/>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本公司郑重声明，根据《政府采购促进中小企业发展暂行办法》（财库[2011]181号）的规定，本公司为</w:t>
      </w:r>
      <w:bookmarkStart w:id="223" w:name="OLE_LINK5"/>
      <w:r>
        <w:rPr>
          <w:rFonts w:hint="eastAsia" w:asciiTheme="minorEastAsia" w:hAnsiTheme="minorEastAsia" w:eastAsiaTheme="minorEastAsia" w:cstheme="minorEastAsia"/>
          <w:spacing w:val="6"/>
          <w:szCs w:val="21"/>
        </w:rPr>
        <w:t>______（请填写：中型、小型、微型）企业</w:t>
      </w:r>
      <w:bookmarkEnd w:id="223"/>
      <w:r>
        <w:rPr>
          <w:rFonts w:hint="eastAsia" w:asciiTheme="minorEastAsia" w:hAnsiTheme="minorEastAsia" w:eastAsiaTheme="minorEastAsia" w:cstheme="minorEastAsia"/>
          <w:spacing w:val="6"/>
          <w:szCs w:val="21"/>
        </w:rPr>
        <w:t>。即，本公司同时满足以下条件：</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本公司对上述声明的真实性负责。如有虚假，将依法承担相应责任。</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附证明材料：</w:t>
      </w:r>
    </w:p>
    <w:p>
      <w:pPr>
        <w:numPr>
          <w:ilvl w:val="0"/>
          <w:numId w:val="45"/>
        </w:numPr>
        <w:spacing w:line="360" w:lineRule="auto"/>
        <w:ind w:firstLine="446" w:firstLineChars="200"/>
        <w:rPr>
          <w:rFonts w:hint="eastAsia" w:asciiTheme="minorEastAsia" w:hAnsiTheme="minorEastAsia" w:eastAsiaTheme="minorEastAsia" w:cstheme="minorEastAsia"/>
          <w:b/>
          <w:bCs/>
          <w:spacing w:val="6"/>
          <w:szCs w:val="21"/>
          <w:lang w:val="en-US" w:eastAsia="zh-CN"/>
        </w:rPr>
      </w:pPr>
      <w:r>
        <w:rPr>
          <w:rFonts w:hint="eastAsia" w:asciiTheme="minorEastAsia" w:hAnsiTheme="minorEastAsia" w:eastAsiaTheme="minorEastAsia" w:cstheme="minorEastAsia"/>
          <w:b/>
          <w:bCs/>
          <w:spacing w:val="6"/>
          <w:szCs w:val="21"/>
          <w:lang w:val="en-US" w:eastAsia="zh-CN"/>
        </w:rPr>
        <w:t>提供</w:t>
      </w:r>
      <w:r>
        <w:rPr>
          <w:rFonts w:hint="eastAsia" w:asciiTheme="minorEastAsia" w:hAnsiTheme="minorEastAsia" w:eastAsiaTheme="minorEastAsia" w:cstheme="minorEastAsia"/>
          <w:b/>
          <w:bCs/>
          <w:spacing w:val="6"/>
          <w:szCs w:val="21"/>
        </w:rPr>
        <w:t>供应商企业规模、年产值、员工数量及制造商企业规模、年产值、员工数量等数据资</w:t>
      </w:r>
      <w:r>
        <w:rPr>
          <w:rFonts w:hint="eastAsia" w:asciiTheme="minorEastAsia" w:hAnsiTheme="minorEastAsia" w:eastAsiaTheme="minorEastAsia" w:cstheme="minorEastAsia"/>
          <w:b/>
          <w:bCs/>
          <w:spacing w:val="6"/>
          <w:szCs w:val="21"/>
          <w:lang w:val="en-US" w:eastAsia="zh-CN"/>
        </w:rPr>
        <w:t>料。</w:t>
      </w:r>
    </w:p>
    <w:p>
      <w:pPr>
        <w:numPr>
          <w:ilvl w:val="0"/>
          <w:numId w:val="45"/>
        </w:numPr>
        <w:spacing w:line="360" w:lineRule="auto"/>
        <w:ind w:firstLine="446" w:firstLineChars="200"/>
        <w:rPr>
          <w:rFonts w:hint="eastAsia"/>
          <w:lang w:val="en-US" w:eastAsia="zh-CN"/>
        </w:rPr>
      </w:pPr>
      <w:r>
        <w:rPr>
          <w:rFonts w:hint="eastAsia" w:asciiTheme="minorEastAsia" w:hAnsiTheme="minorEastAsia" w:eastAsiaTheme="minorEastAsia" w:cstheme="minorEastAsia"/>
          <w:b/>
          <w:bCs/>
          <w:spacing w:val="6"/>
          <w:szCs w:val="21"/>
          <w:lang w:val="en-US" w:eastAsia="zh-CN"/>
        </w:rPr>
        <w:t>供应商非所投货物制造商的，还应当提供货物制造商的中小企业声明函，否则在评审时不予考虑。</w:t>
      </w:r>
    </w:p>
    <w:p>
      <w:pPr>
        <w:numPr>
          <w:ilvl w:val="0"/>
          <w:numId w:val="0"/>
        </w:numPr>
        <w:spacing w:line="360" w:lineRule="auto"/>
        <w:ind w:firstLine="444"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lang w:val="en-US" w:eastAsia="zh-CN"/>
        </w:rPr>
        <w:t>备注：未提供证明材料或材料不全的不予折扣。</w:t>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44" w:firstLineChars="200"/>
        <w:rPr>
          <w:rFonts w:hint="eastAsia" w:asciiTheme="minorEastAsia" w:hAnsiTheme="minorEastAsia" w:eastAsiaTheme="minorEastAsia" w:cstheme="minorEastAsia"/>
          <w:spacing w:val="6"/>
          <w:szCs w:val="21"/>
        </w:rPr>
      </w:pPr>
    </w:p>
    <w:p>
      <w:pPr>
        <w:autoSpaceDE w:val="0"/>
        <w:autoSpaceDN w:val="0"/>
        <w:adjustRightInd w:val="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 xml:space="preserve">              </w:t>
      </w:r>
      <w:bookmarkEnd w:id="124"/>
      <w:bookmarkEnd w:id="125"/>
      <w:bookmarkEnd w:id="126"/>
      <w:bookmarkEnd w:id="127"/>
    </w:p>
    <w:p>
      <w:pPr>
        <w:numPr>
          <w:ilvl w:val="0"/>
          <w:numId w:val="0"/>
        </w:numPr>
        <w:adjustRightInd w:val="0"/>
        <w:snapToGrid w:val="0"/>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spacing w:val="6"/>
          <w:szCs w:val="21"/>
        </w:rPr>
        <w:br w:type="page"/>
      </w:r>
      <w:bookmarkStart w:id="224" w:name="_Toc4700"/>
      <w:bookmarkStart w:id="225" w:name="_Toc7229"/>
      <w:bookmarkStart w:id="226" w:name="_Toc479184141"/>
      <w:bookmarkStart w:id="227" w:name="_Toc30406"/>
      <w:bookmarkStart w:id="228" w:name="_Toc476839034"/>
      <w:bookmarkStart w:id="229" w:name="_Toc4320"/>
      <w:r>
        <w:rPr>
          <w:rFonts w:hint="eastAsia" w:asciiTheme="minorEastAsia" w:hAnsiTheme="minorEastAsia" w:eastAsiaTheme="minorEastAsia" w:cstheme="minorEastAsia"/>
          <w:b/>
          <w:bCs/>
          <w:spacing w:val="6"/>
          <w:szCs w:val="21"/>
          <w:lang w:val="en-US" w:eastAsia="zh-CN"/>
        </w:rPr>
        <w:t>十七、</w:t>
      </w:r>
      <w:r>
        <w:rPr>
          <w:rFonts w:hint="eastAsia" w:asciiTheme="minorEastAsia" w:hAnsiTheme="minorEastAsia" w:eastAsiaTheme="minorEastAsia" w:cstheme="minorEastAsia"/>
          <w:b/>
          <w:bCs/>
          <w:lang w:val="zh-CN"/>
        </w:rPr>
        <w:t>监狱企业证</w:t>
      </w:r>
      <w:r>
        <w:rPr>
          <w:rFonts w:hint="eastAsia" w:asciiTheme="minorEastAsia" w:hAnsiTheme="minorEastAsia" w:eastAsiaTheme="minorEastAsia" w:cstheme="minorEastAsia"/>
          <w:b/>
          <w:lang w:val="zh-CN"/>
        </w:rPr>
        <w:t>明文</w:t>
      </w:r>
      <w:r>
        <w:rPr>
          <w:rFonts w:hint="eastAsia" w:asciiTheme="minorEastAsia" w:hAnsiTheme="minorEastAsia" w:eastAsiaTheme="minorEastAsia" w:cstheme="minorEastAsia"/>
          <w:b/>
        </w:rPr>
        <w:t>件</w:t>
      </w:r>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24"/>
    </w:p>
    <w:p>
      <w:pPr>
        <w:numPr>
          <w:ilvl w:val="0"/>
          <w:numId w:val="0"/>
        </w:numPr>
        <w:adjustRightInd w:val="0"/>
        <w:snapToGrid w:val="0"/>
        <w:jc w:val="center"/>
        <w:outlineLvl w:val="9"/>
        <w:rPr>
          <w:rFonts w:hint="eastAsia" w:asciiTheme="minorEastAsia" w:hAnsiTheme="minorEastAsia" w:eastAsiaTheme="minorEastAsia" w:cstheme="minorEastAsia"/>
          <w:spacing w:val="6"/>
          <w:szCs w:val="21"/>
        </w:rPr>
      </w:pPr>
    </w:p>
    <w:p>
      <w:pPr>
        <w:numPr>
          <w:ilvl w:val="0"/>
          <w:numId w:val="0"/>
        </w:numPr>
        <w:spacing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t>供应商如是监狱企业，提供相关证明文件。</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outlineLvl w:val="9"/>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numPr>
          <w:ilvl w:val="0"/>
          <w:numId w:val="0"/>
        </w:numPr>
        <w:adjustRightInd w:val="0"/>
        <w:snapToGrid w:val="0"/>
        <w:jc w:val="both"/>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numPr>
          <w:ilvl w:val="0"/>
          <w:numId w:val="0"/>
        </w:numPr>
        <w:adjustRightInd w:val="0"/>
        <w:snapToGrid w:val="0"/>
        <w:jc w:val="both"/>
        <w:outlineLvl w:val="9"/>
        <w:rPr>
          <w:rFonts w:hint="eastAsia" w:asciiTheme="minorEastAsia" w:hAnsiTheme="minorEastAsia" w:eastAsiaTheme="minorEastAsia" w:cstheme="minorEastAsia"/>
          <w:spacing w:val="6"/>
          <w:szCs w:val="21"/>
        </w:rPr>
      </w:pPr>
    </w:p>
    <w:p>
      <w:pPr>
        <w:numPr>
          <w:ilvl w:val="0"/>
          <w:numId w:val="0"/>
        </w:numPr>
        <w:adjustRightInd w:val="0"/>
        <w:snapToGrid w:val="0"/>
        <w:jc w:val="both"/>
        <w:outlineLvl w:val="9"/>
        <w:rPr>
          <w:rFonts w:hint="eastAsia" w:asciiTheme="minorEastAsia" w:hAnsiTheme="minorEastAsia" w:eastAsiaTheme="minorEastAsia" w:cstheme="minorEastAsia"/>
          <w:spacing w:val="6"/>
          <w:szCs w:val="21"/>
        </w:rPr>
      </w:pPr>
    </w:p>
    <w:p>
      <w:pPr>
        <w:outlineLvl w:val="9"/>
        <w:rPr>
          <w:rFonts w:hint="eastAsia"/>
        </w:rPr>
      </w:pP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p>
    <w:p>
      <w:pPr>
        <w:numPr>
          <w:ilvl w:val="0"/>
          <w:numId w:val="0"/>
        </w:numPr>
        <w:adjustRightInd w:val="0"/>
        <w:snapToGrid w:val="0"/>
        <w:jc w:val="center"/>
        <w:outlineLvl w:val="1"/>
        <w:rPr>
          <w:rFonts w:hint="eastAsia" w:asciiTheme="minorEastAsia" w:hAnsiTheme="minorEastAsia" w:eastAsiaTheme="minorEastAsia" w:cstheme="minorEastAsia"/>
          <w:b/>
          <w:lang w:val="zh-CN"/>
        </w:rPr>
      </w:pPr>
      <w:bookmarkStart w:id="230" w:name="_Toc10672"/>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b/>
          <w:lang w:val="en-US" w:eastAsia="zh-CN"/>
        </w:rPr>
        <w:t>十八</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b/>
          <w:lang w:val="zh-CN"/>
        </w:rPr>
        <w:t>残疾人福利性单位声明函（若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30"/>
    </w:p>
    <w:p>
      <w:pPr>
        <w:pStyle w:val="15"/>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5"/>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w:t>
      </w:r>
      <w:r>
        <w:rPr>
          <w:rFonts w:hint="eastAsia" w:asciiTheme="minorEastAsia" w:hAnsiTheme="minorEastAsia" w:eastAsiaTheme="minorEastAsia" w:cstheme="minorEastAsia"/>
          <w:color w:val="auto"/>
          <w:sz w:val="21"/>
          <w:u w:val="single"/>
          <w:lang w:val="en-US" w:eastAsia="zh-CN"/>
        </w:rPr>
        <w:t>供应商</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w:t>
      </w:r>
      <w:r>
        <w:rPr>
          <w:rFonts w:hint="eastAsia" w:asciiTheme="minorEastAsia" w:hAnsiTheme="minorEastAsia" w:eastAsiaTheme="minorEastAsia" w:cstheme="minorEastAsia"/>
          <w:color w:val="auto"/>
          <w:sz w:val="21"/>
          <w:lang w:eastAsia="zh-CN"/>
        </w:rPr>
        <w:t>。或者提供其他残疾人福利性单位制造的货物（不包括使用非残疾人福利性单位注册商标的货物）。</w:t>
      </w:r>
    </w:p>
    <w:p>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本单位对上述声明的真实性负责。如有虚假，将依法承担相应责任。</w:t>
      </w:r>
    </w:p>
    <w:p>
      <w:pPr>
        <w:pStyle w:val="15"/>
        <w:spacing w:line="360" w:lineRule="auto"/>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w:t>
      </w:r>
      <w:r>
        <w:rPr>
          <w:rFonts w:hint="eastAsia" w:asciiTheme="minorEastAsia" w:hAnsiTheme="minorEastAsia" w:eastAsiaTheme="minorEastAsia" w:cstheme="minorEastAsia"/>
          <w:color w:val="auto"/>
          <w:sz w:val="21"/>
          <w:lang w:val="en-US" w:eastAsia="zh-CN"/>
        </w:rPr>
        <w:t>供应商</w:t>
      </w:r>
      <w:r>
        <w:rPr>
          <w:rFonts w:hint="eastAsia" w:asciiTheme="minorEastAsia" w:hAnsiTheme="minorEastAsia" w:eastAsiaTheme="minorEastAsia" w:cstheme="minorEastAsia"/>
          <w:color w:val="auto"/>
          <w:sz w:val="21"/>
        </w:rPr>
        <w:t>所投货物为自己制造的，也应按本声明函格式填写。</w:t>
      </w:r>
    </w:p>
    <w:p>
      <w:pPr>
        <w:pStyle w:val="15"/>
        <w:spacing w:line="360" w:lineRule="auto"/>
        <w:ind w:left="1033" w:leftChars="342" w:hanging="315" w:hangingChars="150"/>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5"/>
        <w:spacing w:line="360" w:lineRule="auto"/>
        <w:ind w:left="1033" w:leftChars="342" w:hanging="315" w:hangingChars="1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制造商法定代表人（签字）：</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时                 间：           年          月          日</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br w:type="textWrapping"/>
      </w:r>
      <w:r>
        <w:rPr>
          <w:rFonts w:hint="eastAsia" w:asciiTheme="minorEastAsia" w:hAnsiTheme="minorEastAsia" w:eastAsiaTheme="minorEastAsia" w:cstheme="minorEastAsia"/>
          <w:b w:val="0"/>
          <w:bCs w:val="0"/>
          <w:szCs w:val="21"/>
          <w:lang w:val="zh-CN"/>
        </w:rPr>
        <w:t>备注：享受政府采购支持政策的残疾人福利性单位应当同时满足以下条件：</w:t>
      </w:r>
    </w:p>
    <w:p>
      <w:pPr>
        <w:numPr>
          <w:ilvl w:val="0"/>
          <w:numId w:val="46"/>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安置的残疾人占本单位在职职工人数的比例不低于 25%（含 25%），并且安置的残疾人人数不少于 10 人（含 10 人）；</w:t>
      </w:r>
    </w:p>
    <w:p>
      <w:pPr>
        <w:numPr>
          <w:ilvl w:val="0"/>
          <w:numId w:val="46"/>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依法与安置的每位残疾人签订了一年以上（含一年）的劳动合同或服务协议；</w:t>
      </w:r>
    </w:p>
    <w:p>
      <w:pPr>
        <w:numPr>
          <w:ilvl w:val="0"/>
          <w:numId w:val="46"/>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为安置的每位残疾人按月足额缴纳了基本养老保险、基本医疗保险、失业保险、工伤保险和生育保险等社会保险费；</w:t>
      </w:r>
    </w:p>
    <w:p>
      <w:pPr>
        <w:numPr>
          <w:ilvl w:val="0"/>
          <w:numId w:val="46"/>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通过银行等金融机构向安置的每位残疾人，按月支付了不低于单位所在区县适用的经省级人民政府批准的月最低工资标准的工资；</w:t>
      </w:r>
    </w:p>
    <w:p>
      <w:pPr>
        <w:numPr>
          <w:ilvl w:val="0"/>
          <w:numId w:val="46"/>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0"/>
        </w:numPr>
        <w:spacing w:before="100" w:beforeAutospacing="1" w:after="100" w:afterAutospacing="1" w:line="360" w:lineRule="auto"/>
        <w:jc w:val="center"/>
        <w:outlineLvl w:val="1"/>
        <w:rPr>
          <w:rFonts w:hint="eastAsia" w:asciiTheme="minorEastAsia" w:hAnsiTheme="minorEastAsia" w:eastAsiaTheme="minorEastAsia" w:cstheme="minorEastAsia"/>
          <w:bCs/>
          <w:szCs w:val="21"/>
          <w:u w:val="single"/>
        </w:rPr>
      </w:pPr>
      <w:bookmarkStart w:id="231" w:name="_Toc30654"/>
      <w:r>
        <w:rPr>
          <w:rFonts w:hint="eastAsia" w:asciiTheme="minorEastAsia" w:hAnsiTheme="minorEastAsia" w:eastAsiaTheme="minorEastAsia" w:cstheme="minorEastAsia"/>
          <w:b/>
          <w:lang w:val="en-US" w:eastAsia="zh-CN"/>
        </w:rPr>
        <w:t>十九、节能环保产品证明材料（若符合）</w:t>
      </w:r>
      <w:bookmarkEnd w:id="231"/>
    </w:p>
    <w:p>
      <w:pPr>
        <w:adjustRightInd w:val="0"/>
        <w:snapToGrid w:val="0"/>
        <w:spacing w:line="24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节能产品：</w:t>
      </w:r>
    </w:p>
    <w:tbl>
      <w:tblPr>
        <w:tblStyle w:val="27"/>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设备名称</w:t>
            </w: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品牌</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型号</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数量</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单价（万元）</w:t>
            </w: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总价（万元）</w:t>
            </w: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环保产品：</w:t>
      </w:r>
    </w:p>
    <w:tbl>
      <w:tblPr>
        <w:tblStyle w:val="2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设备名称</w:t>
            </w: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品牌</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型号</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数量</w:t>
            </w: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单价（万元）</w:t>
            </w: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lang w:val="en-US" w:eastAsia="zh-CN"/>
        </w:rPr>
        <w:t>注</w:t>
      </w:r>
      <w:r>
        <w:rPr>
          <w:rFonts w:hint="eastAsia" w:asciiTheme="minorEastAsia" w:hAnsiTheme="minorEastAsia" w:eastAsiaTheme="minorEastAsia" w:cstheme="minorEastAsia"/>
          <w:szCs w:val="21"/>
        </w:rPr>
        <w:t>：供应商所提供产品如为节能环保产品，则应按本磋商文件第</w:t>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政策支持</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提供相关证明材料，并将节能、环保产品分别列入上表中，未填写本表或未提供有效认证证书的不给予价格扣除。</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b w:val="0"/>
          <w:bCs w:val="0"/>
          <w:szCs w:val="21"/>
          <w:lang w:val="zh-CN"/>
        </w:rPr>
        <w:t>时                 间：           年          月          日</w:t>
      </w:r>
      <w:r>
        <w:rPr>
          <w:rFonts w:hint="eastAsia" w:asciiTheme="minorEastAsia" w:hAnsiTheme="minorEastAsia" w:eastAsiaTheme="minorEastAsia" w:cstheme="minorEastAsia"/>
          <w:szCs w:val="21"/>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u w:val="single"/>
        </w:rPr>
        <w:br w:type="textWrapping"/>
      </w:r>
    </w:p>
    <w:p>
      <w:pPr>
        <w:adjustRightInd w:val="0"/>
        <w:snapToGrid w:val="0"/>
        <w:spacing w:line="360" w:lineRule="auto"/>
        <w:jc w:val="center"/>
        <w:outlineLvl w:val="1"/>
        <w:rPr>
          <w:rFonts w:hint="eastAsia" w:asciiTheme="minorEastAsia" w:hAnsiTheme="minorEastAsia" w:eastAsiaTheme="minorEastAsia" w:cstheme="minorEastAsia"/>
          <w:b/>
        </w:rPr>
      </w:pPr>
      <w:bookmarkStart w:id="232" w:name="_Toc7013"/>
      <w:r>
        <w:rPr>
          <w:rFonts w:hint="eastAsia" w:asciiTheme="minorEastAsia" w:hAnsiTheme="minorEastAsia" w:eastAsiaTheme="minorEastAsia" w:cstheme="minorEastAsia"/>
          <w:b/>
          <w:bCs/>
          <w:spacing w:val="6"/>
          <w:szCs w:val="21"/>
          <w:lang w:val="en-US" w:eastAsia="zh-CN"/>
        </w:rPr>
        <w:t>二十</w:t>
      </w:r>
      <w:r>
        <w:rPr>
          <w:rFonts w:hint="eastAsia" w:asciiTheme="minorEastAsia" w:hAnsiTheme="minorEastAsia" w:eastAsiaTheme="minorEastAsia" w:cstheme="minorEastAsia"/>
          <w:b/>
          <w:bCs/>
          <w:spacing w:val="6"/>
          <w:szCs w:val="21"/>
        </w:rPr>
        <w:t>、</w:t>
      </w:r>
      <w:r>
        <w:rPr>
          <w:rFonts w:hint="eastAsia" w:asciiTheme="minorEastAsia" w:hAnsiTheme="minorEastAsia" w:eastAsiaTheme="minorEastAsia" w:cstheme="minorEastAsia"/>
          <w:b/>
        </w:rPr>
        <w:t>无重大违法记录声明</w:t>
      </w:r>
      <w:bookmarkEnd w:id="225"/>
      <w:bookmarkEnd w:id="226"/>
      <w:bookmarkEnd w:id="227"/>
      <w:bookmarkEnd w:id="228"/>
      <w:bookmarkEnd w:id="229"/>
      <w:bookmarkEnd w:id="232"/>
    </w:p>
    <w:p>
      <w:pPr>
        <w:spacing w:line="48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rPr>
        <w:t>磋商供应商应</w:t>
      </w:r>
      <w:r>
        <w:rPr>
          <w:rFonts w:hint="eastAsia" w:asciiTheme="minorEastAsia" w:hAnsiTheme="minorEastAsia" w:eastAsiaTheme="minorEastAsia" w:cstheme="minorEastAsia"/>
          <w:b/>
          <w:bCs/>
          <w:kern w:val="0"/>
          <w:sz w:val="24"/>
          <w:lang w:val="en-US" w:eastAsia="zh-CN"/>
        </w:rPr>
        <w:t>在此基础上，</w:t>
      </w:r>
      <w:r>
        <w:rPr>
          <w:rFonts w:hint="eastAsia" w:asciiTheme="minorEastAsia" w:hAnsiTheme="minorEastAsia" w:eastAsiaTheme="minorEastAsia" w:cstheme="minorEastAsia"/>
          <w:b/>
          <w:bCs/>
          <w:kern w:val="0"/>
          <w:sz w:val="24"/>
        </w:rPr>
        <w:t>根据本单位实际情况进行声明</w:t>
      </w:r>
      <w:r>
        <w:rPr>
          <w:rFonts w:hint="eastAsia" w:asciiTheme="minorEastAsia" w:hAnsiTheme="minorEastAsia" w:eastAsiaTheme="minorEastAsia" w:cstheme="minorEastAsia"/>
          <w:b/>
          <w:bCs/>
          <w:kern w:val="0"/>
          <w:sz w:val="24"/>
          <w:lang w:eastAsia="zh-CN"/>
        </w:rPr>
        <w:t>）</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采购人和采购代理机构：</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我方在此声明，我方在参加本</w:t>
      </w:r>
      <w:r>
        <w:rPr>
          <w:rFonts w:hint="eastAsia" w:asciiTheme="minorEastAsia" w:hAnsiTheme="minorEastAsia" w:eastAsiaTheme="minorEastAsia" w:cstheme="minorEastAsia"/>
          <w:kern w:val="0"/>
          <w:szCs w:val="21"/>
          <w:shd w:val="clear" w:color="auto" w:fill="FFFFFF"/>
        </w:rPr>
        <w:t>次政府采购活动前三年内，在经营活动中没有以下重大违法记录：</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1.我方因违法经营被追究过刑事责任；</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2.我方因违法经营被责令停产停业、吊销许可证或者执照；</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3.我方因违法经营被处以较大数额罚款等行政处罚。</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特此声明！</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ind w:firstLine="420" w:firstLineChars="200"/>
        <w:jc w:val="center"/>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val="0"/>
          <w:szCs w:val="21"/>
          <w:lang w:val="zh-CN"/>
        </w:rPr>
        <w:t>时                 间：           年          月          日</w:t>
      </w:r>
      <w:r>
        <w:rPr>
          <w:rFonts w:hint="eastAsia" w:asciiTheme="minorEastAsia" w:hAnsiTheme="minorEastAsia" w:eastAsiaTheme="minorEastAsia" w:cstheme="minorEastAsia"/>
          <w:szCs w:val="21"/>
        </w:rPr>
        <w:t xml:space="preserve"> </w:t>
      </w:r>
    </w:p>
    <w:p>
      <w:pPr>
        <w:ind w:firstLine="420" w:firstLineChars="200"/>
        <w:jc w:val="center"/>
        <w:outlineLvl w:val="1"/>
        <w:rPr>
          <w:rFonts w:hint="eastAsia" w:asciiTheme="minorEastAsia" w:hAnsiTheme="minorEastAsia" w:eastAsiaTheme="minorEastAsia" w:cstheme="minorEastAsia"/>
          <w:b/>
          <w:bCs/>
          <w:spacing w:val="6"/>
          <w:szCs w:val="21"/>
          <w:lang w:val="en-US" w:eastAsia="zh-CN"/>
        </w:rPr>
      </w:pPr>
      <w:bookmarkStart w:id="233" w:name="_Toc5812"/>
      <w:bookmarkStart w:id="234" w:name="_Toc26922"/>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b/>
          <w:bCs/>
          <w:spacing w:val="6"/>
          <w:szCs w:val="21"/>
          <w:lang w:val="en-US" w:eastAsia="zh-CN"/>
        </w:rPr>
        <w:t>二十一、磋商供应商认为应该提交的其它文件（格式自拟）</w:t>
      </w:r>
      <w:bookmarkEnd w:id="233"/>
      <w:bookmarkEnd w:id="234"/>
    </w:p>
    <w:sectPr>
      <w:footerReference r:id="rId7" w:type="default"/>
      <w:type w:val="continuous"/>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font-weight : 400">
    <w:altName w:val="hakuyoxingshu7000"/>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hakuyoxingshu7000">
    <w:panose1 w:val="02000600000000000000"/>
    <w:charset w:val="86"/>
    <w:family w:val="auto"/>
    <w:pitch w:val="default"/>
    <w:sig w:usb0="FFFFFFFF" w:usb1="E9FFFFFF" w:usb2="0000003F" w:usb3="00000000" w:csb0="603F00FF" w:csb1="FFFF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1"/>
      </w:rPr>
    </w:pPr>
    <w:r>
      <w:fldChar w:fldCharType="begin"/>
    </w:r>
    <w:r>
      <w:rPr>
        <w:rStyle w:val="31"/>
      </w:rPr>
      <w:instrText xml:space="preserve">PAGE  </w:instrText>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46</w:t>
    </w:r>
    <w: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9264;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EA7B7"/>
    <w:multiLevelType w:val="singleLevel"/>
    <w:tmpl w:val="C95EA7B7"/>
    <w:lvl w:ilvl="0" w:tentative="0">
      <w:start w:val="1"/>
      <w:numFmt w:val="decimal"/>
      <w:suff w:val="nothing"/>
      <w:lvlText w:val="%1、"/>
      <w:lvlJc w:val="left"/>
    </w:lvl>
  </w:abstractNum>
  <w:abstractNum w:abstractNumId="1">
    <w:nsid w:val="FF4B8943"/>
    <w:multiLevelType w:val="singleLevel"/>
    <w:tmpl w:val="FF4B8943"/>
    <w:lvl w:ilvl="0" w:tentative="0">
      <w:start w:val="1"/>
      <w:numFmt w:val="decimal"/>
      <w:suff w:val="nothing"/>
      <w:lvlText w:val="（%1）"/>
      <w:lvlJc w:val="left"/>
    </w:lvl>
  </w:abstractNum>
  <w:abstractNum w:abstractNumId="2">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
    <w:nsid w:val="044F5BAD"/>
    <w:multiLevelType w:val="singleLevel"/>
    <w:tmpl w:val="044F5BAD"/>
    <w:lvl w:ilvl="0" w:tentative="0">
      <w:start w:val="1"/>
      <w:numFmt w:val="decimal"/>
      <w:suff w:val="nothing"/>
      <w:lvlText w:val="（%1）"/>
      <w:lvlJc w:val="left"/>
    </w:lvl>
  </w:abstractNum>
  <w:abstractNum w:abstractNumId="5">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8">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15907297"/>
    <w:multiLevelType w:val="multilevel"/>
    <w:tmpl w:val="15907297"/>
    <w:lvl w:ilvl="0" w:tentative="0">
      <w:start w:val="1"/>
      <w:numFmt w:val="decimal"/>
      <w:pStyle w:val="87"/>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9"/>
      <w:lvlText w:val="%1.%2.%3"/>
      <w:lvlJc w:val="left"/>
      <w:pPr>
        <w:tabs>
          <w:tab w:val="left" w:pos="720"/>
        </w:tabs>
        <w:ind w:left="720" w:hanging="153"/>
      </w:pPr>
      <w:rPr>
        <w:rFonts w:hint="eastAsia"/>
      </w:rPr>
    </w:lvl>
    <w:lvl w:ilvl="3" w:tentative="0">
      <w:start w:val="1"/>
      <w:numFmt w:val="decimal"/>
      <w:pStyle w:val="86"/>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2">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1E84619A"/>
    <w:multiLevelType w:val="singleLevel"/>
    <w:tmpl w:val="1E84619A"/>
    <w:lvl w:ilvl="0" w:tentative="0">
      <w:start w:val="1"/>
      <w:numFmt w:val="decimal"/>
      <w:suff w:val="nothing"/>
      <w:lvlText w:val="%1、"/>
      <w:lvlJc w:val="left"/>
    </w:lvl>
  </w:abstractNum>
  <w:abstractNum w:abstractNumId="16">
    <w:nsid w:val="20BA2AF0"/>
    <w:multiLevelType w:val="singleLevel"/>
    <w:tmpl w:val="20BA2AF0"/>
    <w:lvl w:ilvl="0" w:tentative="0">
      <w:start w:val="1"/>
      <w:numFmt w:val="decimal"/>
      <w:suff w:val="space"/>
      <w:lvlText w:val="%1）"/>
      <w:lvlJc w:val="left"/>
    </w:lvl>
  </w:abstractNum>
  <w:abstractNum w:abstractNumId="17">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8">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9">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93"/>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0">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3">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4">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25">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6">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7">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8">
    <w:nsid w:val="4B331C36"/>
    <w:multiLevelType w:val="multilevel"/>
    <w:tmpl w:val="4B331C36"/>
    <w:lvl w:ilvl="0" w:tentative="0">
      <w:start w:val="1"/>
      <w:numFmt w:val="japaneseCounting"/>
      <w:pStyle w:val="98"/>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0">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2">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3">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4">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5">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6">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7">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8">
    <w:nsid w:val="6CEA2025"/>
    <w:multiLevelType w:val="multilevel"/>
    <w:tmpl w:val="6CEA2025"/>
    <w:lvl w:ilvl="0" w:tentative="0">
      <w:start w:val="1"/>
      <w:numFmt w:val="none"/>
      <w:pStyle w:val="75"/>
      <w:suff w:val="nothing"/>
      <w:lvlText w:val="%1"/>
      <w:lvlJc w:val="left"/>
      <w:pPr>
        <w:ind w:left="0" w:firstLine="0"/>
      </w:pPr>
      <w:rPr>
        <w:rFonts w:hint="default" w:ascii="Times New Roman" w:hAnsi="Times New Roman"/>
        <w:b/>
        <w:i w:val="0"/>
        <w:sz w:val="21"/>
      </w:rPr>
    </w:lvl>
    <w:lvl w:ilvl="1" w:tentative="0">
      <w:start w:val="1"/>
      <w:numFmt w:val="decimal"/>
      <w:pStyle w:val="78"/>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84"/>
      <w:suff w:val="nothing"/>
      <w:lvlText w:val="%1%2.%3　"/>
      <w:lvlJc w:val="left"/>
      <w:pPr>
        <w:ind w:left="720" w:firstLine="0"/>
      </w:pPr>
      <w:rPr>
        <w:rFonts w:hint="eastAsia" w:ascii="黑体" w:hAnsi="Times New Roman" w:eastAsia="黑体"/>
        <w:b w:val="0"/>
        <w:i w:val="0"/>
        <w:sz w:val="21"/>
      </w:rPr>
    </w:lvl>
    <w:lvl w:ilvl="3" w:tentative="0">
      <w:start w:val="1"/>
      <w:numFmt w:val="decimal"/>
      <w:pStyle w:val="83"/>
      <w:suff w:val="nothing"/>
      <w:lvlText w:val="%1%2.4.%4　"/>
      <w:lvlJc w:val="left"/>
      <w:pPr>
        <w:ind w:left="420" w:firstLine="0"/>
      </w:pPr>
      <w:rPr>
        <w:rFonts w:hint="eastAsia" w:ascii="黑体" w:hAnsi="Times New Roman" w:eastAsia="黑体"/>
        <w:b w:val="0"/>
        <w:i w:val="0"/>
        <w:sz w:val="21"/>
      </w:rPr>
    </w:lvl>
    <w:lvl w:ilvl="4" w:tentative="0">
      <w:start w:val="1"/>
      <w:numFmt w:val="decimal"/>
      <w:pStyle w:val="90"/>
      <w:suff w:val="nothing"/>
      <w:lvlText w:val="5.%12.5.%5　"/>
      <w:lvlJc w:val="left"/>
      <w:pPr>
        <w:ind w:left="42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40">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1">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3">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5">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38"/>
  </w:num>
  <w:num w:numId="2">
    <w:abstractNumId w:val="10"/>
  </w:num>
  <w:num w:numId="3">
    <w:abstractNumId w:val="19"/>
  </w:num>
  <w:num w:numId="4">
    <w:abstractNumId w:val="28"/>
  </w:num>
  <w:num w:numId="5">
    <w:abstractNumId w:val="13"/>
  </w:num>
  <w:num w:numId="6">
    <w:abstractNumId w:val="12"/>
  </w:num>
  <w:num w:numId="7">
    <w:abstractNumId w:val="1"/>
  </w:num>
  <w:num w:numId="8">
    <w:abstractNumId w:val="32"/>
  </w:num>
  <w:num w:numId="9">
    <w:abstractNumId w:val="15"/>
  </w:num>
  <w:num w:numId="10">
    <w:abstractNumId w:val="8"/>
  </w:num>
  <w:num w:numId="11">
    <w:abstractNumId w:val="14"/>
  </w:num>
  <w:num w:numId="12">
    <w:abstractNumId w:val="34"/>
  </w:num>
  <w:num w:numId="13">
    <w:abstractNumId w:val="44"/>
  </w:num>
  <w:num w:numId="14">
    <w:abstractNumId w:val="45"/>
  </w:num>
  <w:num w:numId="15">
    <w:abstractNumId w:val="27"/>
  </w:num>
  <w:num w:numId="16">
    <w:abstractNumId w:val="30"/>
  </w:num>
  <w:num w:numId="17">
    <w:abstractNumId w:val="33"/>
  </w:num>
  <w:num w:numId="18">
    <w:abstractNumId w:val="35"/>
  </w:num>
  <w:num w:numId="19">
    <w:abstractNumId w:val="3"/>
  </w:num>
  <w:num w:numId="20">
    <w:abstractNumId w:val="37"/>
  </w:num>
  <w:num w:numId="21">
    <w:abstractNumId w:val="5"/>
  </w:num>
  <w:num w:numId="22">
    <w:abstractNumId w:val="25"/>
  </w:num>
  <w:num w:numId="23">
    <w:abstractNumId w:val="21"/>
  </w:num>
  <w:num w:numId="24">
    <w:abstractNumId w:val="40"/>
  </w:num>
  <w:num w:numId="25">
    <w:abstractNumId w:val="11"/>
  </w:num>
  <w:num w:numId="26">
    <w:abstractNumId w:val="26"/>
  </w:num>
  <w:num w:numId="27">
    <w:abstractNumId w:val="7"/>
  </w:num>
  <w:num w:numId="28">
    <w:abstractNumId w:val="39"/>
  </w:num>
  <w:num w:numId="29">
    <w:abstractNumId w:val="43"/>
  </w:num>
  <w:num w:numId="30">
    <w:abstractNumId w:val="29"/>
  </w:num>
  <w:num w:numId="31">
    <w:abstractNumId w:val="23"/>
  </w:num>
  <w:num w:numId="32">
    <w:abstractNumId w:val="9"/>
  </w:num>
  <w:num w:numId="33">
    <w:abstractNumId w:val="20"/>
  </w:num>
  <w:num w:numId="34">
    <w:abstractNumId w:val="42"/>
  </w:num>
  <w:num w:numId="35">
    <w:abstractNumId w:val="24"/>
  </w:num>
  <w:num w:numId="36">
    <w:abstractNumId w:val="16"/>
  </w:num>
  <w:num w:numId="37">
    <w:abstractNumId w:val="41"/>
  </w:num>
  <w:num w:numId="38">
    <w:abstractNumId w:val="36"/>
  </w:num>
  <w:num w:numId="39">
    <w:abstractNumId w:val="17"/>
  </w:num>
  <w:num w:numId="40">
    <w:abstractNumId w:val="31"/>
  </w:num>
  <w:num w:numId="41">
    <w:abstractNumId w:val="2"/>
  </w:num>
  <w:num w:numId="42">
    <w:abstractNumId w:val="18"/>
  </w:num>
  <w:num w:numId="43">
    <w:abstractNumId w:val="22"/>
  </w:num>
  <w:num w:numId="44">
    <w:abstractNumId w:val="6"/>
  </w:num>
  <w:num w:numId="45">
    <w:abstractNumId w:val="0"/>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719C"/>
    <w:rsid w:val="003278E1"/>
    <w:rsid w:val="00330A2D"/>
    <w:rsid w:val="00330B2E"/>
    <w:rsid w:val="00330B59"/>
    <w:rsid w:val="003328A4"/>
    <w:rsid w:val="00332C49"/>
    <w:rsid w:val="00333FA6"/>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D2108"/>
    <w:rsid w:val="003D3DE1"/>
    <w:rsid w:val="003D43F4"/>
    <w:rsid w:val="003D4CCD"/>
    <w:rsid w:val="003E1DFB"/>
    <w:rsid w:val="003E3023"/>
    <w:rsid w:val="003E434A"/>
    <w:rsid w:val="003E5FD1"/>
    <w:rsid w:val="003F2162"/>
    <w:rsid w:val="003F2483"/>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22F1"/>
    <w:rsid w:val="005535DE"/>
    <w:rsid w:val="005538A7"/>
    <w:rsid w:val="0055465D"/>
    <w:rsid w:val="00554B6C"/>
    <w:rsid w:val="00554CD6"/>
    <w:rsid w:val="00555455"/>
    <w:rsid w:val="00555470"/>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6067"/>
    <w:rsid w:val="006C667E"/>
    <w:rsid w:val="006D001D"/>
    <w:rsid w:val="006D04DA"/>
    <w:rsid w:val="006D171A"/>
    <w:rsid w:val="006D1ABC"/>
    <w:rsid w:val="006D4C38"/>
    <w:rsid w:val="006D65EF"/>
    <w:rsid w:val="006D7C32"/>
    <w:rsid w:val="006E0B77"/>
    <w:rsid w:val="006E2B1D"/>
    <w:rsid w:val="006E3DDC"/>
    <w:rsid w:val="006E4106"/>
    <w:rsid w:val="006E43A8"/>
    <w:rsid w:val="006E506B"/>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3F0C"/>
    <w:rsid w:val="007B3F75"/>
    <w:rsid w:val="007B6DA5"/>
    <w:rsid w:val="007B732F"/>
    <w:rsid w:val="007C0895"/>
    <w:rsid w:val="007C1124"/>
    <w:rsid w:val="007C1383"/>
    <w:rsid w:val="007C1FED"/>
    <w:rsid w:val="007C31C0"/>
    <w:rsid w:val="007C3714"/>
    <w:rsid w:val="007C48B8"/>
    <w:rsid w:val="007C5ABA"/>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6041"/>
    <w:rsid w:val="00877518"/>
    <w:rsid w:val="00880645"/>
    <w:rsid w:val="00880C2C"/>
    <w:rsid w:val="00880D52"/>
    <w:rsid w:val="00883BAD"/>
    <w:rsid w:val="00885A85"/>
    <w:rsid w:val="00886B49"/>
    <w:rsid w:val="00886EA3"/>
    <w:rsid w:val="00887DFA"/>
    <w:rsid w:val="008907B5"/>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70FB"/>
    <w:rsid w:val="00952E9A"/>
    <w:rsid w:val="00954B96"/>
    <w:rsid w:val="0095669C"/>
    <w:rsid w:val="0095783C"/>
    <w:rsid w:val="00961751"/>
    <w:rsid w:val="009636A9"/>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D14"/>
    <w:rsid w:val="00A930B3"/>
    <w:rsid w:val="00A93E19"/>
    <w:rsid w:val="00A9510F"/>
    <w:rsid w:val="00A96B78"/>
    <w:rsid w:val="00AA2694"/>
    <w:rsid w:val="00AA415B"/>
    <w:rsid w:val="00AA4552"/>
    <w:rsid w:val="00AA5C52"/>
    <w:rsid w:val="00AA679C"/>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2D84"/>
    <w:rsid w:val="00CC11C4"/>
    <w:rsid w:val="00CC19CF"/>
    <w:rsid w:val="00CC1D01"/>
    <w:rsid w:val="00CC253A"/>
    <w:rsid w:val="00CC3BB3"/>
    <w:rsid w:val="00CC4DD4"/>
    <w:rsid w:val="00CC4DED"/>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79CB"/>
    <w:rsid w:val="00D25C8B"/>
    <w:rsid w:val="00D26C1D"/>
    <w:rsid w:val="00D27170"/>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4122"/>
    <w:rsid w:val="00EC61CE"/>
    <w:rsid w:val="00EC7ECD"/>
    <w:rsid w:val="00ED18AC"/>
    <w:rsid w:val="00ED298B"/>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74DB"/>
    <w:rsid w:val="00FE7B3D"/>
    <w:rsid w:val="00FF0B24"/>
    <w:rsid w:val="00FF14B0"/>
    <w:rsid w:val="00FF2088"/>
    <w:rsid w:val="00FF2ECB"/>
    <w:rsid w:val="00FF33F6"/>
    <w:rsid w:val="00FF349E"/>
    <w:rsid w:val="00FF3CAB"/>
    <w:rsid w:val="00FF3F80"/>
    <w:rsid w:val="00FF45DF"/>
    <w:rsid w:val="010B1330"/>
    <w:rsid w:val="01461ACD"/>
    <w:rsid w:val="018D0205"/>
    <w:rsid w:val="01C12A88"/>
    <w:rsid w:val="01D07706"/>
    <w:rsid w:val="0221271C"/>
    <w:rsid w:val="022D649C"/>
    <w:rsid w:val="02351774"/>
    <w:rsid w:val="023A6ECB"/>
    <w:rsid w:val="02420646"/>
    <w:rsid w:val="028223A8"/>
    <w:rsid w:val="029D4FA6"/>
    <w:rsid w:val="02A9706C"/>
    <w:rsid w:val="02D90C51"/>
    <w:rsid w:val="02DE374B"/>
    <w:rsid w:val="031C10FC"/>
    <w:rsid w:val="031C67BA"/>
    <w:rsid w:val="03511571"/>
    <w:rsid w:val="035E37BC"/>
    <w:rsid w:val="03A25185"/>
    <w:rsid w:val="03A92E0C"/>
    <w:rsid w:val="03A93F07"/>
    <w:rsid w:val="03DD17F0"/>
    <w:rsid w:val="03F730D5"/>
    <w:rsid w:val="040E4213"/>
    <w:rsid w:val="04137380"/>
    <w:rsid w:val="04160294"/>
    <w:rsid w:val="0421064D"/>
    <w:rsid w:val="0424709F"/>
    <w:rsid w:val="04273734"/>
    <w:rsid w:val="042C6AE4"/>
    <w:rsid w:val="0439748C"/>
    <w:rsid w:val="04663DEE"/>
    <w:rsid w:val="048B6224"/>
    <w:rsid w:val="049C3EF3"/>
    <w:rsid w:val="04BC1BA0"/>
    <w:rsid w:val="04CC4566"/>
    <w:rsid w:val="04FD23FC"/>
    <w:rsid w:val="05005426"/>
    <w:rsid w:val="055A38B5"/>
    <w:rsid w:val="059C5F8E"/>
    <w:rsid w:val="05AD5736"/>
    <w:rsid w:val="05CA2818"/>
    <w:rsid w:val="05FA06DD"/>
    <w:rsid w:val="06023A8F"/>
    <w:rsid w:val="0611621E"/>
    <w:rsid w:val="063F258E"/>
    <w:rsid w:val="065044F8"/>
    <w:rsid w:val="0653482B"/>
    <w:rsid w:val="06585481"/>
    <w:rsid w:val="06B7286F"/>
    <w:rsid w:val="06C116BD"/>
    <w:rsid w:val="06C767F8"/>
    <w:rsid w:val="06EA2FBD"/>
    <w:rsid w:val="06FE4AAE"/>
    <w:rsid w:val="070157D1"/>
    <w:rsid w:val="07117CDC"/>
    <w:rsid w:val="07354BE2"/>
    <w:rsid w:val="07506DDE"/>
    <w:rsid w:val="078360F1"/>
    <w:rsid w:val="079555F7"/>
    <w:rsid w:val="07AA21A6"/>
    <w:rsid w:val="07B323DD"/>
    <w:rsid w:val="07D33E7D"/>
    <w:rsid w:val="07DA2552"/>
    <w:rsid w:val="07E61182"/>
    <w:rsid w:val="07F876CF"/>
    <w:rsid w:val="07FA3FC0"/>
    <w:rsid w:val="08376BE0"/>
    <w:rsid w:val="08483779"/>
    <w:rsid w:val="085D5FC0"/>
    <w:rsid w:val="0886626A"/>
    <w:rsid w:val="08912C45"/>
    <w:rsid w:val="08AD0CF8"/>
    <w:rsid w:val="08AD503B"/>
    <w:rsid w:val="08C76CFD"/>
    <w:rsid w:val="08E340CC"/>
    <w:rsid w:val="08E95B0E"/>
    <w:rsid w:val="090C54BE"/>
    <w:rsid w:val="092936B1"/>
    <w:rsid w:val="092A049B"/>
    <w:rsid w:val="092B3782"/>
    <w:rsid w:val="096A4BCE"/>
    <w:rsid w:val="098226D8"/>
    <w:rsid w:val="09894939"/>
    <w:rsid w:val="09A02CD8"/>
    <w:rsid w:val="09E54A14"/>
    <w:rsid w:val="09F4276E"/>
    <w:rsid w:val="0A165448"/>
    <w:rsid w:val="0A502EA2"/>
    <w:rsid w:val="0A5758F7"/>
    <w:rsid w:val="0A67144A"/>
    <w:rsid w:val="0A71618F"/>
    <w:rsid w:val="0A7E1671"/>
    <w:rsid w:val="0AA37590"/>
    <w:rsid w:val="0AC16F66"/>
    <w:rsid w:val="0B1111D6"/>
    <w:rsid w:val="0B435CD5"/>
    <w:rsid w:val="0B456825"/>
    <w:rsid w:val="0B4B17AC"/>
    <w:rsid w:val="0B4F5787"/>
    <w:rsid w:val="0B625354"/>
    <w:rsid w:val="0B6438A9"/>
    <w:rsid w:val="0BC22757"/>
    <w:rsid w:val="0BCE3B70"/>
    <w:rsid w:val="0BD0342B"/>
    <w:rsid w:val="0BE3070D"/>
    <w:rsid w:val="0C367BBD"/>
    <w:rsid w:val="0C3C4113"/>
    <w:rsid w:val="0C4225D4"/>
    <w:rsid w:val="0C49239C"/>
    <w:rsid w:val="0C4E57C8"/>
    <w:rsid w:val="0C7336D0"/>
    <w:rsid w:val="0CC36F40"/>
    <w:rsid w:val="0CF02600"/>
    <w:rsid w:val="0D162766"/>
    <w:rsid w:val="0D41682C"/>
    <w:rsid w:val="0D50445B"/>
    <w:rsid w:val="0D7807F1"/>
    <w:rsid w:val="0D8100E4"/>
    <w:rsid w:val="0D895A46"/>
    <w:rsid w:val="0D9B67EB"/>
    <w:rsid w:val="0DB362DD"/>
    <w:rsid w:val="0DE86CEC"/>
    <w:rsid w:val="0E0A51BD"/>
    <w:rsid w:val="0E141CA7"/>
    <w:rsid w:val="0E386D2E"/>
    <w:rsid w:val="0E442D5B"/>
    <w:rsid w:val="0E4E7B59"/>
    <w:rsid w:val="0E6E5960"/>
    <w:rsid w:val="0EAE4301"/>
    <w:rsid w:val="0ED27024"/>
    <w:rsid w:val="0ED94F19"/>
    <w:rsid w:val="0EDC5EDB"/>
    <w:rsid w:val="0F1B0DB7"/>
    <w:rsid w:val="0F3425BB"/>
    <w:rsid w:val="0F6C7EA7"/>
    <w:rsid w:val="0FA03F81"/>
    <w:rsid w:val="0FA32A0E"/>
    <w:rsid w:val="0FC5121F"/>
    <w:rsid w:val="0FC52200"/>
    <w:rsid w:val="0FC57219"/>
    <w:rsid w:val="0FF11896"/>
    <w:rsid w:val="0FF743B8"/>
    <w:rsid w:val="104114BC"/>
    <w:rsid w:val="104F21E7"/>
    <w:rsid w:val="10681B45"/>
    <w:rsid w:val="10D545EB"/>
    <w:rsid w:val="10E51E7E"/>
    <w:rsid w:val="1109548A"/>
    <w:rsid w:val="11156035"/>
    <w:rsid w:val="111F2499"/>
    <w:rsid w:val="11296D36"/>
    <w:rsid w:val="1146103D"/>
    <w:rsid w:val="116C7384"/>
    <w:rsid w:val="11A20E56"/>
    <w:rsid w:val="12305D0B"/>
    <w:rsid w:val="12595354"/>
    <w:rsid w:val="12676ACE"/>
    <w:rsid w:val="128C79F5"/>
    <w:rsid w:val="12987FD1"/>
    <w:rsid w:val="12D57C7C"/>
    <w:rsid w:val="12DE2F04"/>
    <w:rsid w:val="12E1444B"/>
    <w:rsid w:val="12F453F7"/>
    <w:rsid w:val="13424AAD"/>
    <w:rsid w:val="135A65CD"/>
    <w:rsid w:val="13681291"/>
    <w:rsid w:val="139A72A6"/>
    <w:rsid w:val="13D75C16"/>
    <w:rsid w:val="14171AEC"/>
    <w:rsid w:val="141A71FC"/>
    <w:rsid w:val="14393E39"/>
    <w:rsid w:val="1439492C"/>
    <w:rsid w:val="144E282E"/>
    <w:rsid w:val="14905D77"/>
    <w:rsid w:val="14C13D98"/>
    <w:rsid w:val="14C818C6"/>
    <w:rsid w:val="14D17473"/>
    <w:rsid w:val="14D2285A"/>
    <w:rsid w:val="14E779E2"/>
    <w:rsid w:val="14F848F0"/>
    <w:rsid w:val="1533008F"/>
    <w:rsid w:val="153D3401"/>
    <w:rsid w:val="155142E7"/>
    <w:rsid w:val="15855A36"/>
    <w:rsid w:val="158E06A1"/>
    <w:rsid w:val="15932B1E"/>
    <w:rsid w:val="15AF36C0"/>
    <w:rsid w:val="15EE7CEF"/>
    <w:rsid w:val="160D691C"/>
    <w:rsid w:val="16333435"/>
    <w:rsid w:val="16391530"/>
    <w:rsid w:val="166C136C"/>
    <w:rsid w:val="168C0198"/>
    <w:rsid w:val="16C6539F"/>
    <w:rsid w:val="16C83962"/>
    <w:rsid w:val="16ED23AA"/>
    <w:rsid w:val="1730286B"/>
    <w:rsid w:val="173E2364"/>
    <w:rsid w:val="1761710C"/>
    <w:rsid w:val="17812612"/>
    <w:rsid w:val="17871823"/>
    <w:rsid w:val="1789592C"/>
    <w:rsid w:val="17933C9F"/>
    <w:rsid w:val="17B13E29"/>
    <w:rsid w:val="17D67A38"/>
    <w:rsid w:val="17DB1463"/>
    <w:rsid w:val="17ED5B45"/>
    <w:rsid w:val="18260DD1"/>
    <w:rsid w:val="182656C2"/>
    <w:rsid w:val="18303541"/>
    <w:rsid w:val="183735E3"/>
    <w:rsid w:val="18744310"/>
    <w:rsid w:val="18A12DFD"/>
    <w:rsid w:val="18A922F3"/>
    <w:rsid w:val="18B137E8"/>
    <w:rsid w:val="18D46399"/>
    <w:rsid w:val="18F56002"/>
    <w:rsid w:val="192F50C9"/>
    <w:rsid w:val="19633F03"/>
    <w:rsid w:val="199C3850"/>
    <w:rsid w:val="199E02FC"/>
    <w:rsid w:val="19BA1CE3"/>
    <w:rsid w:val="19DF55C2"/>
    <w:rsid w:val="19FA7D22"/>
    <w:rsid w:val="1A0C61A8"/>
    <w:rsid w:val="1A132F57"/>
    <w:rsid w:val="1A300E03"/>
    <w:rsid w:val="1A5F760F"/>
    <w:rsid w:val="1A6F3E95"/>
    <w:rsid w:val="1A6F6E85"/>
    <w:rsid w:val="1AB70FFB"/>
    <w:rsid w:val="1AD51B88"/>
    <w:rsid w:val="1B2058A0"/>
    <w:rsid w:val="1B566A66"/>
    <w:rsid w:val="1B8565CF"/>
    <w:rsid w:val="1B9104B0"/>
    <w:rsid w:val="1BAC363D"/>
    <w:rsid w:val="1BD60F79"/>
    <w:rsid w:val="1BD96570"/>
    <w:rsid w:val="1C0C60A0"/>
    <w:rsid w:val="1C41527E"/>
    <w:rsid w:val="1C49412F"/>
    <w:rsid w:val="1C4F5FC4"/>
    <w:rsid w:val="1C64078D"/>
    <w:rsid w:val="1C81524F"/>
    <w:rsid w:val="1CA121A3"/>
    <w:rsid w:val="1CDF257F"/>
    <w:rsid w:val="1CE40841"/>
    <w:rsid w:val="1CF405AE"/>
    <w:rsid w:val="1CFB22F4"/>
    <w:rsid w:val="1D014450"/>
    <w:rsid w:val="1D2A2C86"/>
    <w:rsid w:val="1D2A6659"/>
    <w:rsid w:val="1D41310E"/>
    <w:rsid w:val="1D426DC5"/>
    <w:rsid w:val="1D4377C2"/>
    <w:rsid w:val="1D54682E"/>
    <w:rsid w:val="1D575B51"/>
    <w:rsid w:val="1D9F4A19"/>
    <w:rsid w:val="1DA05599"/>
    <w:rsid w:val="1DAB519B"/>
    <w:rsid w:val="1DC65420"/>
    <w:rsid w:val="1DC94DC3"/>
    <w:rsid w:val="1E0649A4"/>
    <w:rsid w:val="1E316CE9"/>
    <w:rsid w:val="1E474E6F"/>
    <w:rsid w:val="1E4D30A6"/>
    <w:rsid w:val="1E6843C7"/>
    <w:rsid w:val="1EA60FCA"/>
    <w:rsid w:val="1EA87417"/>
    <w:rsid w:val="1ED70A99"/>
    <w:rsid w:val="1F353005"/>
    <w:rsid w:val="1F35766F"/>
    <w:rsid w:val="1F65672E"/>
    <w:rsid w:val="1F6B4880"/>
    <w:rsid w:val="1F6D18D3"/>
    <w:rsid w:val="1F855EC8"/>
    <w:rsid w:val="1F865B87"/>
    <w:rsid w:val="1F8D0E35"/>
    <w:rsid w:val="1FAD401E"/>
    <w:rsid w:val="1FB611E4"/>
    <w:rsid w:val="1FBA2E91"/>
    <w:rsid w:val="1FC02D54"/>
    <w:rsid w:val="1FD92D82"/>
    <w:rsid w:val="1FEE1F52"/>
    <w:rsid w:val="20950348"/>
    <w:rsid w:val="20981E88"/>
    <w:rsid w:val="20A10137"/>
    <w:rsid w:val="20B97750"/>
    <w:rsid w:val="20BD2343"/>
    <w:rsid w:val="20C125E5"/>
    <w:rsid w:val="20F77EBA"/>
    <w:rsid w:val="20FE0571"/>
    <w:rsid w:val="212F48FD"/>
    <w:rsid w:val="21B23C30"/>
    <w:rsid w:val="21D5663A"/>
    <w:rsid w:val="21DE0782"/>
    <w:rsid w:val="220D5F91"/>
    <w:rsid w:val="220F017A"/>
    <w:rsid w:val="22120332"/>
    <w:rsid w:val="223D6488"/>
    <w:rsid w:val="224F423C"/>
    <w:rsid w:val="227710AB"/>
    <w:rsid w:val="229B4E78"/>
    <w:rsid w:val="22C77F82"/>
    <w:rsid w:val="22D6265F"/>
    <w:rsid w:val="22E50F21"/>
    <w:rsid w:val="22F562BD"/>
    <w:rsid w:val="231C3AC6"/>
    <w:rsid w:val="23261385"/>
    <w:rsid w:val="233970A1"/>
    <w:rsid w:val="2390118C"/>
    <w:rsid w:val="23A33225"/>
    <w:rsid w:val="23A3458B"/>
    <w:rsid w:val="23A83880"/>
    <w:rsid w:val="23AC3B0D"/>
    <w:rsid w:val="23AE3EA4"/>
    <w:rsid w:val="23BD797B"/>
    <w:rsid w:val="23CC13DF"/>
    <w:rsid w:val="241374BB"/>
    <w:rsid w:val="24210897"/>
    <w:rsid w:val="242E0AC8"/>
    <w:rsid w:val="24474E0A"/>
    <w:rsid w:val="244E4AD0"/>
    <w:rsid w:val="246B4679"/>
    <w:rsid w:val="249900C5"/>
    <w:rsid w:val="24BF7D42"/>
    <w:rsid w:val="255D2F2A"/>
    <w:rsid w:val="256C5A3D"/>
    <w:rsid w:val="257963F1"/>
    <w:rsid w:val="25A7402B"/>
    <w:rsid w:val="25FE15DC"/>
    <w:rsid w:val="26806C09"/>
    <w:rsid w:val="26863962"/>
    <w:rsid w:val="26FA6E39"/>
    <w:rsid w:val="271E4603"/>
    <w:rsid w:val="272A0710"/>
    <w:rsid w:val="27555997"/>
    <w:rsid w:val="276E4B45"/>
    <w:rsid w:val="277E0E1B"/>
    <w:rsid w:val="27C13C20"/>
    <w:rsid w:val="27E47883"/>
    <w:rsid w:val="28120519"/>
    <w:rsid w:val="281327C3"/>
    <w:rsid w:val="28195AAE"/>
    <w:rsid w:val="28323569"/>
    <w:rsid w:val="28326E12"/>
    <w:rsid w:val="28504863"/>
    <w:rsid w:val="287013AF"/>
    <w:rsid w:val="28943CBF"/>
    <w:rsid w:val="28E96526"/>
    <w:rsid w:val="28F77A34"/>
    <w:rsid w:val="29213FAC"/>
    <w:rsid w:val="294019F3"/>
    <w:rsid w:val="295F6F3A"/>
    <w:rsid w:val="298168E8"/>
    <w:rsid w:val="29880DC9"/>
    <w:rsid w:val="299658C8"/>
    <w:rsid w:val="29C74336"/>
    <w:rsid w:val="2A0C4705"/>
    <w:rsid w:val="2A104C01"/>
    <w:rsid w:val="2A2219FF"/>
    <w:rsid w:val="2A2649D3"/>
    <w:rsid w:val="2A2F0453"/>
    <w:rsid w:val="2A375CB0"/>
    <w:rsid w:val="2A4F7A8E"/>
    <w:rsid w:val="2A5C693A"/>
    <w:rsid w:val="2A9D1044"/>
    <w:rsid w:val="2AA14EFF"/>
    <w:rsid w:val="2AE42B9F"/>
    <w:rsid w:val="2AFA4FF0"/>
    <w:rsid w:val="2AFF35D3"/>
    <w:rsid w:val="2B0A651F"/>
    <w:rsid w:val="2B132D50"/>
    <w:rsid w:val="2B6076B4"/>
    <w:rsid w:val="2B617D56"/>
    <w:rsid w:val="2BEB27E3"/>
    <w:rsid w:val="2BEB2E9D"/>
    <w:rsid w:val="2BF61207"/>
    <w:rsid w:val="2C2E6F83"/>
    <w:rsid w:val="2C620007"/>
    <w:rsid w:val="2C642E45"/>
    <w:rsid w:val="2CD367CC"/>
    <w:rsid w:val="2CDD2B9E"/>
    <w:rsid w:val="2D09394F"/>
    <w:rsid w:val="2D6345E9"/>
    <w:rsid w:val="2D7E4209"/>
    <w:rsid w:val="2D9B288E"/>
    <w:rsid w:val="2DBD42B5"/>
    <w:rsid w:val="2DCB5DC1"/>
    <w:rsid w:val="2DCE5309"/>
    <w:rsid w:val="2DE2242A"/>
    <w:rsid w:val="2E4225F7"/>
    <w:rsid w:val="2E463849"/>
    <w:rsid w:val="2E522374"/>
    <w:rsid w:val="2E5A5340"/>
    <w:rsid w:val="2E677780"/>
    <w:rsid w:val="2E6E73D5"/>
    <w:rsid w:val="2E81141D"/>
    <w:rsid w:val="2E9A7ADA"/>
    <w:rsid w:val="2EC304B4"/>
    <w:rsid w:val="2F1B0798"/>
    <w:rsid w:val="2F235807"/>
    <w:rsid w:val="2F4F0438"/>
    <w:rsid w:val="2F506BFB"/>
    <w:rsid w:val="2F7E2CC0"/>
    <w:rsid w:val="2F921764"/>
    <w:rsid w:val="2F98405A"/>
    <w:rsid w:val="2FD11EB8"/>
    <w:rsid w:val="303D5772"/>
    <w:rsid w:val="306E40F7"/>
    <w:rsid w:val="30B15581"/>
    <w:rsid w:val="30B337EA"/>
    <w:rsid w:val="30B93848"/>
    <w:rsid w:val="30BE1DE8"/>
    <w:rsid w:val="31253510"/>
    <w:rsid w:val="313177AD"/>
    <w:rsid w:val="31341EAD"/>
    <w:rsid w:val="31423CC5"/>
    <w:rsid w:val="3157256E"/>
    <w:rsid w:val="31665B97"/>
    <w:rsid w:val="31854B7E"/>
    <w:rsid w:val="31931C04"/>
    <w:rsid w:val="31E86EE4"/>
    <w:rsid w:val="31FD6157"/>
    <w:rsid w:val="32171B71"/>
    <w:rsid w:val="322B53E9"/>
    <w:rsid w:val="32651BE8"/>
    <w:rsid w:val="32915ABA"/>
    <w:rsid w:val="329C1497"/>
    <w:rsid w:val="32C8479B"/>
    <w:rsid w:val="32D72576"/>
    <w:rsid w:val="32D93319"/>
    <w:rsid w:val="330D0307"/>
    <w:rsid w:val="332C3D97"/>
    <w:rsid w:val="335C422F"/>
    <w:rsid w:val="3360351F"/>
    <w:rsid w:val="33620CB2"/>
    <w:rsid w:val="33B17CDB"/>
    <w:rsid w:val="33E04B57"/>
    <w:rsid w:val="33FA7456"/>
    <w:rsid w:val="34024883"/>
    <w:rsid w:val="342C6E98"/>
    <w:rsid w:val="343E2F3B"/>
    <w:rsid w:val="344F7140"/>
    <w:rsid w:val="34755DB1"/>
    <w:rsid w:val="349E0FB2"/>
    <w:rsid w:val="34A96A1A"/>
    <w:rsid w:val="34B370D1"/>
    <w:rsid w:val="34CA52FD"/>
    <w:rsid w:val="34E622D6"/>
    <w:rsid w:val="34F95068"/>
    <w:rsid w:val="3518700F"/>
    <w:rsid w:val="352F2FF3"/>
    <w:rsid w:val="35375748"/>
    <w:rsid w:val="35486C73"/>
    <w:rsid w:val="359E09BB"/>
    <w:rsid w:val="3600191D"/>
    <w:rsid w:val="361A4DE1"/>
    <w:rsid w:val="361F592F"/>
    <w:rsid w:val="362F79EA"/>
    <w:rsid w:val="364416D7"/>
    <w:rsid w:val="36516B14"/>
    <w:rsid w:val="36556C85"/>
    <w:rsid w:val="36660F9E"/>
    <w:rsid w:val="3675230B"/>
    <w:rsid w:val="36766F5C"/>
    <w:rsid w:val="36777C43"/>
    <w:rsid w:val="367E7A3F"/>
    <w:rsid w:val="36C1347A"/>
    <w:rsid w:val="36C31B41"/>
    <w:rsid w:val="36C532A1"/>
    <w:rsid w:val="36CE234D"/>
    <w:rsid w:val="36D347D3"/>
    <w:rsid w:val="36DA50A9"/>
    <w:rsid w:val="3736228A"/>
    <w:rsid w:val="37671725"/>
    <w:rsid w:val="376F122C"/>
    <w:rsid w:val="3798526A"/>
    <w:rsid w:val="37B72EB1"/>
    <w:rsid w:val="37C806F3"/>
    <w:rsid w:val="37C85C3C"/>
    <w:rsid w:val="37CF1603"/>
    <w:rsid w:val="38585500"/>
    <w:rsid w:val="385D1C71"/>
    <w:rsid w:val="388E1434"/>
    <w:rsid w:val="38BA5460"/>
    <w:rsid w:val="38C62FF5"/>
    <w:rsid w:val="38D62476"/>
    <w:rsid w:val="38E27127"/>
    <w:rsid w:val="38FD4116"/>
    <w:rsid w:val="39027E88"/>
    <w:rsid w:val="39075875"/>
    <w:rsid w:val="391904A1"/>
    <w:rsid w:val="391C718D"/>
    <w:rsid w:val="394D30B0"/>
    <w:rsid w:val="39624091"/>
    <w:rsid w:val="397C6037"/>
    <w:rsid w:val="39D43B66"/>
    <w:rsid w:val="39EC03FA"/>
    <w:rsid w:val="3A1E303B"/>
    <w:rsid w:val="3A1F74C9"/>
    <w:rsid w:val="3A2A1F54"/>
    <w:rsid w:val="3A2D40D1"/>
    <w:rsid w:val="3A314B02"/>
    <w:rsid w:val="3A5C2602"/>
    <w:rsid w:val="3A5E6F34"/>
    <w:rsid w:val="3A79657B"/>
    <w:rsid w:val="3A8B77C7"/>
    <w:rsid w:val="3A9A32EA"/>
    <w:rsid w:val="3ACD391F"/>
    <w:rsid w:val="3B026D00"/>
    <w:rsid w:val="3B1471CB"/>
    <w:rsid w:val="3B655681"/>
    <w:rsid w:val="3B6C4553"/>
    <w:rsid w:val="3B6F3ABC"/>
    <w:rsid w:val="3B7527F4"/>
    <w:rsid w:val="3BAA143A"/>
    <w:rsid w:val="3BC378A6"/>
    <w:rsid w:val="3BDC08FD"/>
    <w:rsid w:val="3BE42ECD"/>
    <w:rsid w:val="3BFE1CAB"/>
    <w:rsid w:val="3C10260E"/>
    <w:rsid w:val="3C274A05"/>
    <w:rsid w:val="3C7511AE"/>
    <w:rsid w:val="3CA977D2"/>
    <w:rsid w:val="3CC733AF"/>
    <w:rsid w:val="3CF76813"/>
    <w:rsid w:val="3CFC6063"/>
    <w:rsid w:val="3D1319B5"/>
    <w:rsid w:val="3D260CA6"/>
    <w:rsid w:val="3D520CCB"/>
    <w:rsid w:val="3D5C6974"/>
    <w:rsid w:val="3D6678B0"/>
    <w:rsid w:val="3D772181"/>
    <w:rsid w:val="3D823D30"/>
    <w:rsid w:val="3DCE6FB3"/>
    <w:rsid w:val="3DD16176"/>
    <w:rsid w:val="3DD4564A"/>
    <w:rsid w:val="3E0D7410"/>
    <w:rsid w:val="3E104E3F"/>
    <w:rsid w:val="3E1D6E9C"/>
    <w:rsid w:val="3E4A1BED"/>
    <w:rsid w:val="3E662345"/>
    <w:rsid w:val="3E82228B"/>
    <w:rsid w:val="3E8242C1"/>
    <w:rsid w:val="3EB33AF3"/>
    <w:rsid w:val="3EFD0DF6"/>
    <w:rsid w:val="3EFE49C6"/>
    <w:rsid w:val="3F0A5B5C"/>
    <w:rsid w:val="3F1A0890"/>
    <w:rsid w:val="3F3F5846"/>
    <w:rsid w:val="3F71500B"/>
    <w:rsid w:val="3F801023"/>
    <w:rsid w:val="3F8064EB"/>
    <w:rsid w:val="3F982DCA"/>
    <w:rsid w:val="3FD12D26"/>
    <w:rsid w:val="3FDD6DE9"/>
    <w:rsid w:val="3FDE4917"/>
    <w:rsid w:val="402F3ADF"/>
    <w:rsid w:val="40306F5A"/>
    <w:rsid w:val="40476BB3"/>
    <w:rsid w:val="40546FB6"/>
    <w:rsid w:val="40554803"/>
    <w:rsid w:val="407A60D5"/>
    <w:rsid w:val="40961808"/>
    <w:rsid w:val="40AB4DEE"/>
    <w:rsid w:val="40D24BBE"/>
    <w:rsid w:val="40EC4043"/>
    <w:rsid w:val="412008E0"/>
    <w:rsid w:val="413A6D3B"/>
    <w:rsid w:val="41515AC7"/>
    <w:rsid w:val="41902B9F"/>
    <w:rsid w:val="41C02331"/>
    <w:rsid w:val="41C13A63"/>
    <w:rsid w:val="41C67037"/>
    <w:rsid w:val="41D229E1"/>
    <w:rsid w:val="41EC6E94"/>
    <w:rsid w:val="41F72149"/>
    <w:rsid w:val="42415ACC"/>
    <w:rsid w:val="427D539F"/>
    <w:rsid w:val="42991E30"/>
    <w:rsid w:val="42CE0B28"/>
    <w:rsid w:val="42CF6367"/>
    <w:rsid w:val="42DE1CCC"/>
    <w:rsid w:val="42FC0B99"/>
    <w:rsid w:val="4308546B"/>
    <w:rsid w:val="43263445"/>
    <w:rsid w:val="434157E3"/>
    <w:rsid w:val="43494860"/>
    <w:rsid w:val="434D380E"/>
    <w:rsid w:val="43934189"/>
    <w:rsid w:val="439D4850"/>
    <w:rsid w:val="43C27232"/>
    <w:rsid w:val="43ED069F"/>
    <w:rsid w:val="442A6E5A"/>
    <w:rsid w:val="445C4B8F"/>
    <w:rsid w:val="44796121"/>
    <w:rsid w:val="44833851"/>
    <w:rsid w:val="44982752"/>
    <w:rsid w:val="44BF6F86"/>
    <w:rsid w:val="44C45031"/>
    <w:rsid w:val="44D53AB2"/>
    <w:rsid w:val="44F27B0D"/>
    <w:rsid w:val="45485BDE"/>
    <w:rsid w:val="45945C30"/>
    <w:rsid w:val="459F2306"/>
    <w:rsid w:val="45A832FE"/>
    <w:rsid w:val="45AB6174"/>
    <w:rsid w:val="45BA63E5"/>
    <w:rsid w:val="45CC5EDC"/>
    <w:rsid w:val="45F73D47"/>
    <w:rsid w:val="462D2575"/>
    <w:rsid w:val="46467FD8"/>
    <w:rsid w:val="46601D33"/>
    <w:rsid w:val="4666746C"/>
    <w:rsid w:val="467505FA"/>
    <w:rsid w:val="468720BA"/>
    <w:rsid w:val="46895AFC"/>
    <w:rsid w:val="46BC623F"/>
    <w:rsid w:val="46D855B9"/>
    <w:rsid w:val="470D2C74"/>
    <w:rsid w:val="477570F1"/>
    <w:rsid w:val="47B41AAA"/>
    <w:rsid w:val="47CD38AD"/>
    <w:rsid w:val="47DB16D8"/>
    <w:rsid w:val="48416760"/>
    <w:rsid w:val="48466F81"/>
    <w:rsid w:val="484D02A2"/>
    <w:rsid w:val="486B647A"/>
    <w:rsid w:val="48896934"/>
    <w:rsid w:val="48C12AEC"/>
    <w:rsid w:val="48D072A1"/>
    <w:rsid w:val="48D1341D"/>
    <w:rsid w:val="48D63F90"/>
    <w:rsid w:val="48E0279A"/>
    <w:rsid w:val="48E64C8E"/>
    <w:rsid w:val="48FA7B87"/>
    <w:rsid w:val="4919356E"/>
    <w:rsid w:val="492A7740"/>
    <w:rsid w:val="49300AA7"/>
    <w:rsid w:val="49391CB0"/>
    <w:rsid w:val="493C3A20"/>
    <w:rsid w:val="49401E21"/>
    <w:rsid w:val="49526EB9"/>
    <w:rsid w:val="49684311"/>
    <w:rsid w:val="496D00AD"/>
    <w:rsid w:val="49742114"/>
    <w:rsid w:val="49754CB4"/>
    <w:rsid w:val="49921F0F"/>
    <w:rsid w:val="49C87B2C"/>
    <w:rsid w:val="49CE6B8E"/>
    <w:rsid w:val="49D72FF3"/>
    <w:rsid w:val="49E0102B"/>
    <w:rsid w:val="4A2945F2"/>
    <w:rsid w:val="4A29762E"/>
    <w:rsid w:val="4A615154"/>
    <w:rsid w:val="4A96607C"/>
    <w:rsid w:val="4AB92E92"/>
    <w:rsid w:val="4B2134B8"/>
    <w:rsid w:val="4B24233C"/>
    <w:rsid w:val="4B330A0B"/>
    <w:rsid w:val="4B5E55F9"/>
    <w:rsid w:val="4B685D82"/>
    <w:rsid w:val="4B7B4674"/>
    <w:rsid w:val="4B7C663B"/>
    <w:rsid w:val="4B812078"/>
    <w:rsid w:val="4BF71347"/>
    <w:rsid w:val="4BF97932"/>
    <w:rsid w:val="4C141E75"/>
    <w:rsid w:val="4C2A4039"/>
    <w:rsid w:val="4CAE60E3"/>
    <w:rsid w:val="4CEE1D13"/>
    <w:rsid w:val="4D032DA9"/>
    <w:rsid w:val="4D0C6DBE"/>
    <w:rsid w:val="4D25615C"/>
    <w:rsid w:val="4D36054D"/>
    <w:rsid w:val="4D41137F"/>
    <w:rsid w:val="4D524AEA"/>
    <w:rsid w:val="4D5724F7"/>
    <w:rsid w:val="4D757452"/>
    <w:rsid w:val="4D8C3F82"/>
    <w:rsid w:val="4DBC14B8"/>
    <w:rsid w:val="4DE936C7"/>
    <w:rsid w:val="4DF23555"/>
    <w:rsid w:val="4E050D4C"/>
    <w:rsid w:val="4E06569E"/>
    <w:rsid w:val="4E093792"/>
    <w:rsid w:val="4E1D26B7"/>
    <w:rsid w:val="4E1F052C"/>
    <w:rsid w:val="4E451D41"/>
    <w:rsid w:val="4E7A454C"/>
    <w:rsid w:val="4E85341C"/>
    <w:rsid w:val="4E9B7B12"/>
    <w:rsid w:val="4EC47712"/>
    <w:rsid w:val="4EDD3C61"/>
    <w:rsid w:val="4EF1457F"/>
    <w:rsid w:val="4F2C40A0"/>
    <w:rsid w:val="4F2F3B98"/>
    <w:rsid w:val="4F380B7A"/>
    <w:rsid w:val="4F420D1A"/>
    <w:rsid w:val="4F4B0CB3"/>
    <w:rsid w:val="4F4F0EBF"/>
    <w:rsid w:val="4F8C4B40"/>
    <w:rsid w:val="4FAA5CD5"/>
    <w:rsid w:val="4FBABFDD"/>
    <w:rsid w:val="4FBD187E"/>
    <w:rsid w:val="4FD11AC0"/>
    <w:rsid w:val="4FFFFE96"/>
    <w:rsid w:val="502F75EB"/>
    <w:rsid w:val="50400243"/>
    <w:rsid w:val="50494336"/>
    <w:rsid w:val="50784012"/>
    <w:rsid w:val="50813C12"/>
    <w:rsid w:val="5087463E"/>
    <w:rsid w:val="50A11680"/>
    <w:rsid w:val="50B77550"/>
    <w:rsid w:val="50C773AE"/>
    <w:rsid w:val="50CD6602"/>
    <w:rsid w:val="510D0F23"/>
    <w:rsid w:val="51197B59"/>
    <w:rsid w:val="51215D4C"/>
    <w:rsid w:val="51615030"/>
    <w:rsid w:val="51627812"/>
    <w:rsid w:val="51D33F6D"/>
    <w:rsid w:val="52045DB4"/>
    <w:rsid w:val="522C275E"/>
    <w:rsid w:val="529000F6"/>
    <w:rsid w:val="5296149A"/>
    <w:rsid w:val="52A65672"/>
    <w:rsid w:val="52BA4073"/>
    <w:rsid w:val="52CD7B31"/>
    <w:rsid w:val="52D576F4"/>
    <w:rsid w:val="52DF170A"/>
    <w:rsid w:val="52E25B6D"/>
    <w:rsid w:val="52F362FB"/>
    <w:rsid w:val="52F4161A"/>
    <w:rsid w:val="52F965A5"/>
    <w:rsid w:val="53081AD8"/>
    <w:rsid w:val="530E6DD1"/>
    <w:rsid w:val="53235275"/>
    <w:rsid w:val="53240623"/>
    <w:rsid w:val="53321C03"/>
    <w:rsid w:val="533415F9"/>
    <w:rsid w:val="534823B8"/>
    <w:rsid w:val="535657D0"/>
    <w:rsid w:val="535868CC"/>
    <w:rsid w:val="53597EDB"/>
    <w:rsid w:val="538D066D"/>
    <w:rsid w:val="53934B1D"/>
    <w:rsid w:val="53A2278E"/>
    <w:rsid w:val="53CB788B"/>
    <w:rsid w:val="53E32E36"/>
    <w:rsid w:val="540B15AC"/>
    <w:rsid w:val="54203B94"/>
    <w:rsid w:val="5424233E"/>
    <w:rsid w:val="542A3DC2"/>
    <w:rsid w:val="542C299E"/>
    <w:rsid w:val="543642C1"/>
    <w:rsid w:val="5461235D"/>
    <w:rsid w:val="54667BA2"/>
    <w:rsid w:val="547E7555"/>
    <w:rsid w:val="54A01FAE"/>
    <w:rsid w:val="54A1363F"/>
    <w:rsid w:val="54C0256E"/>
    <w:rsid w:val="54C334B7"/>
    <w:rsid w:val="54D4667D"/>
    <w:rsid w:val="54D55C56"/>
    <w:rsid w:val="54EC389B"/>
    <w:rsid w:val="54F847D9"/>
    <w:rsid w:val="55126190"/>
    <w:rsid w:val="553D1731"/>
    <w:rsid w:val="555F3833"/>
    <w:rsid w:val="55667780"/>
    <w:rsid w:val="556E493A"/>
    <w:rsid w:val="55941D63"/>
    <w:rsid w:val="559C0CE1"/>
    <w:rsid w:val="55D11119"/>
    <w:rsid w:val="55DB1F79"/>
    <w:rsid w:val="560A42BD"/>
    <w:rsid w:val="560C1D89"/>
    <w:rsid w:val="56353B20"/>
    <w:rsid w:val="56443B98"/>
    <w:rsid w:val="56453A77"/>
    <w:rsid w:val="56757259"/>
    <w:rsid w:val="56CB4BCB"/>
    <w:rsid w:val="57391A95"/>
    <w:rsid w:val="57395545"/>
    <w:rsid w:val="573F3C9E"/>
    <w:rsid w:val="574C52C4"/>
    <w:rsid w:val="57526FDB"/>
    <w:rsid w:val="57572F35"/>
    <w:rsid w:val="575B33A4"/>
    <w:rsid w:val="57674A5D"/>
    <w:rsid w:val="57B25019"/>
    <w:rsid w:val="57BB6F5D"/>
    <w:rsid w:val="57C90530"/>
    <w:rsid w:val="57CE0836"/>
    <w:rsid w:val="57DF729E"/>
    <w:rsid w:val="57FB6CB9"/>
    <w:rsid w:val="582F44F7"/>
    <w:rsid w:val="583F27F2"/>
    <w:rsid w:val="58455B6D"/>
    <w:rsid w:val="584D29B0"/>
    <w:rsid w:val="584F7C49"/>
    <w:rsid w:val="5888302C"/>
    <w:rsid w:val="5889129A"/>
    <w:rsid w:val="58AD528C"/>
    <w:rsid w:val="58B31955"/>
    <w:rsid w:val="58BA1500"/>
    <w:rsid w:val="58BA45A1"/>
    <w:rsid w:val="594F6915"/>
    <w:rsid w:val="59737A65"/>
    <w:rsid w:val="59842DF4"/>
    <w:rsid w:val="59A0359A"/>
    <w:rsid w:val="59E52D9A"/>
    <w:rsid w:val="5A300449"/>
    <w:rsid w:val="5A482DEE"/>
    <w:rsid w:val="5A55295D"/>
    <w:rsid w:val="5A7E104A"/>
    <w:rsid w:val="5A8208A0"/>
    <w:rsid w:val="5A861FD5"/>
    <w:rsid w:val="5ADE2E08"/>
    <w:rsid w:val="5AE3253A"/>
    <w:rsid w:val="5AEA30C9"/>
    <w:rsid w:val="5AEA3475"/>
    <w:rsid w:val="5AF54C6B"/>
    <w:rsid w:val="5B087B94"/>
    <w:rsid w:val="5B0C2FBE"/>
    <w:rsid w:val="5B0E3E89"/>
    <w:rsid w:val="5B124740"/>
    <w:rsid w:val="5B3E7FCE"/>
    <w:rsid w:val="5B3F66E7"/>
    <w:rsid w:val="5B872AE6"/>
    <w:rsid w:val="5BA77753"/>
    <w:rsid w:val="5BC025EF"/>
    <w:rsid w:val="5C1203C7"/>
    <w:rsid w:val="5C1F35AE"/>
    <w:rsid w:val="5C3905BF"/>
    <w:rsid w:val="5C66397A"/>
    <w:rsid w:val="5C7349B6"/>
    <w:rsid w:val="5C824C05"/>
    <w:rsid w:val="5C8723CB"/>
    <w:rsid w:val="5C8725EE"/>
    <w:rsid w:val="5C9125C3"/>
    <w:rsid w:val="5CB0251A"/>
    <w:rsid w:val="5CB97030"/>
    <w:rsid w:val="5CC97332"/>
    <w:rsid w:val="5D187049"/>
    <w:rsid w:val="5D1D2427"/>
    <w:rsid w:val="5D6C3EA2"/>
    <w:rsid w:val="5D756277"/>
    <w:rsid w:val="5D955FBD"/>
    <w:rsid w:val="5DA62524"/>
    <w:rsid w:val="5DAC3919"/>
    <w:rsid w:val="5DB36259"/>
    <w:rsid w:val="5DBD33B2"/>
    <w:rsid w:val="5DC223CB"/>
    <w:rsid w:val="5DF66637"/>
    <w:rsid w:val="5DFF6858"/>
    <w:rsid w:val="5E185132"/>
    <w:rsid w:val="5E272402"/>
    <w:rsid w:val="5E2A0167"/>
    <w:rsid w:val="5E5D68E8"/>
    <w:rsid w:val="5E802A96"/>
    <w:rsid w:val="5E9074FF"/>
    <w:rsid w:val="5EB62A77"/>
    <w:rsid w:val="5EB80355"/>
    <w:rsid w:val="5EBB2226"/>
    <w:rsid w:val="5EBE5F24"/>
    <w:rsid w:val="5EF07004"/>
    <w:rsid w:val="5EFF4842"/>
    <w:rsid w:val="5F0E1E9A"/>
    <w:rsid w:val="5F860C23"/>
    <w:rsid w:val="5FC44411"/>
    <w:rsid w:val="605C7AA6"/>
    <w:rsid w:val="605F132B"/>
    <w:rsid w:val="605F50CE"/>
    <w:rsid w:val="608510A4"/>
    <w:rsid w:val="608762FF"/>
    <w:rsid w:val="609E1C45"/>
    <w:rsid w:val="60BD4FD1"/>
    <w:rsid w:val="60D507D0"/>
    <w:rsid w:val="60EA1511"/>
    <w:rsid w:val="60EB6C34"/>
    <w:rsid w:val="60FD5C7B"/>
    <w:rsid w:val="613D7E7B"/>
    <w:rsid w:val="617162E9"/>
    <w:rsid w:val="61A52BAA"/>
    <w:rsid w:val="61B160E0"/>
    <w:rsid w:val="61FA0AE4"/>
    <w:rsid w:val="623438BB"/>
    <w:rsid w:val="62343AB5"/>
    <w:rsid w:val="624B10F0"/>
    <w:rsid w:val="624F3E48"/>
    <w:rsid w:val="62635981"/>
    <w:rsid w:val="628B066D"/>
    <w:rsid w:val="629B3E75"/>
    <w:rsid w:val="629B5D43"/>
    <w:rsid w:val="62A36D1F"/>
    <w:rsid w:val="62A40365"/>
    <w:rsid w:val="62A469A9"/>
    <w:rsid w:val="62A92FF1"/>
    <w:rsid w:val="62B90FFE"/>
    <w:rsid w:val="62F6018D"/>
    <w:rsid w:val="63016E3A"/>
    <w:rsid w:val="63034141"/>
    <w:rsid w:val="63045E00"/>
    <w:rsid w:val="630A731B"/>
    <w:rsid w:val="63386B48"/>
    <w:rsid w:val="633A3FE7"/>
    <w:rsid w:val="63562840"/>
    <w:rsid w:val="637141EC"/>
    <w:rsid w:val="63805B1F"/>
    <w:rsid w:val="63834973"/>
    <w:rsid w:val="638F3DC7"/>
    <w:rsid w:val="6397194C"/>
    <w:rsid w:val="63DA4B5E"/>
    <w:rsid w:val="64273E62"/>
    <w:rsid w:val="642E2892"/>
    <w:rsid w:val="64AD7C37"/>
    <w:rsid w:val="64B05758"/>
    <w:rsid w:val="64BE4B0D"/>
    <w:rsid w:val="65075A96"/>
    <w:rsid w:val="650E600B"/>
    <w:rsid w:val="650F0C7B"/>
    <w:rsid w:val="65B221E6"/>
    <w:rsid w:val="65F63744"/>
    <w:rsid w:val="66426031"/>
    <w:rsid w:val="665809FD"/>
    <w:rsid w:val="66593B74"/>
    <w:rsid w:val="66651C8A"/>
    <w:rsid w:val="66675176"/>
    <w:rsid w:val="669F2C65"/>
    <w:rsid w:val="66B94751"/>
    <w:rsid w:val="66BE6B53"/>
    <w:rsid w:val="66C55FD8"/>
    <w:rsid w:val="66D333AF"/>
    <w:rsid w:val="67192A34"/>
    <w:rsid w:val="674A4927"/>
    <w:rsid w:val="677243C5"/>
    <w:rsid w:val="678568CD"/>
    <w:rsid w:val="67A24F14"/>
    <w:rsid w:val="67BB4EAD"/>
    <w:rsid w:val="67E453F6"/>
    <w:rsid w:val="67F130F8"/>
    <w:rsid w:val="67F84AFE"/>
    <w:rsid w:val="680878A3"/>
    <w:rsid w:val="68340476"/>
    <w:rsid w:val="683870E8"/>
    <w:rsid w:val="68457681"/>
    <w:rsid w:val="684977D5"/>
    <w:rsid w:val="68552C50"/>
    <w:rsid w:val="685D34E7"/>
    <w:rsid w:val="68A8123A"/>
    <w:rsid w:val="68B84F4C"/>
    <w:rsid w:val="69055229"/>
    <w:rsid w:val="6929374C"/>
    <w:rsid w:val="692F20BB"/>
    <w:rsid w:val="69784C3F"/>
    <w:rsid w:val="69C1095D"/>
    <w:rsid w:val="6A0138F7"/>
    <w:rsid w:val="6A1E155A"/>
    <w:rsid w:val="6A7B5447"/>
    <w:rsid w:val="6ADB012D"/>
    <w:rsid w:val="6AE3748E"/>
    <w:rsid w:val="6AF53FAE"/>
    <w:rsid w:val="6B1C3EC6"/>
    <w:rsid w:val="6B574638"/>
    <w:rsid w:val="6B615C8D"/>
    <w:rsid w:val="6B67068F"/>
    <w:rsid w:val="6B6E2E8D"/>
    <w:rsid w:val="6BAB6FBB"/>
    <w:rsid w:val="6BB568D4"/>
    <w:rsid w:val="6BDF79C7"/>
    <w:rsid w:val="6BE146ED"/>
    <w:rsid w:val="6C0B074D"/>
    <w:rsid w:val="6C1458EF"/>
    <w:rsid w:val="6C231806"/>
    <w:rsid w:val="6C275F8B"/>
    <w:rsid w:val="6C3B15FF"/>
    <w:rsid w:val="6C3B431E"/>
    <w:rsid w:val="6C3E5116"/>
    <w:rsid w:val="6C725FD7"/>
    <w:rsid w:val="6C852D02"/>
    <w:rsid w:val="6CC0649B"/>
    <w:rsid w:val="6CEA2C90"/>
    <w:rsid w:val="6CFA5C74"/>
    <w:rsid w:val="6D2C4A68"/>
    <w:rsid w:val="6D3B2E78"/>
    <w:rsid w:val="6D3C3AC0"/>
    <w:rsid w:val="6D410335"/>
    <w:rsid w:val="6D4305C3"/>
    <w:rsid w:val="6D48445E"/>
    <w:rsid w:val="6D500B73"/>
    <w:rsid w:val="6D666AA6"/>
    <w:rsid w:val="6D687043"/>
    <w:rsid w:val="6D7D6DC8"/>
    <w:rsid w:val="6D885EAB"/>
    <w:rsid w:val="6D953F0C"/>
    <w:rsid w:val="6DAB044E"/>
    <w:rsid w:val="6DB67EBB"/>
    <w:rsid w:val="6DED758E"/>
    <w:rsid w:val="6DEF52E3"/>
    <w:rsid w:val="6E0E6A1E"/>
    <w:rsid w:val="6E2D763E"/>
    <w:rsid w:val="6E420FB1"/>
    <w:rsid w:val="6E95768E"/>
    <w:rsid w:val="6EA14900"/>
    <w:rsid w:val="6EB27AA3"/>
    <w:rsid w:val="6EF9461D"/>
    <w:rsid w:val="6F1348E9"/>
    <w:rsid w:val="6F2A01FE"/>
    <w:rsid w:val="6F2A71A4"/>
    <w:rsid w:val="6F487F58"/>
    <w:rsid w:val="6F9415EA"/>
    <w:rsid w:val="6F9E0A8F"/>
    <w:rsid w:val="6FB72F84"/>
    <w:rsid w:val="6FCA5E7C"/>
    <w:rsid w:val="6FE3419F"/>
    <w:rsid w:val="6FF778F1"/>
    <w:rsid w:val="700346D4"/>
    <w:rsid w:val="700706FE"/>
    <w:rsid w:val="70287F2C"/>
    <w:rsid w:val="709A492D"/>
    <w:rsid w:val="70AF69EB"/>
    <w:rsid w:val="70F97D93"/>
    <w:rsid w:val="71181113"/>
    <w:rsid w:val="711D7CA6"/>
    <w:rsid w:val="71227E63"/>
    <w:rsid w:val="71614B6B"/>
    <w:rsid w:val="718D2905"/>
    <w:rsid w:val="719909D2"/>
    <w:rsid w:val="719B61D4"/>
    <w:rsid w:val="71A10922"/>
    <w:rsid w:val="71D214DD"/>
    <w:rsid w:val="72091DAA"/>
    <w:rsid w:val="72267D97"/>
    <w:rsid w:val="724E29D1"/>
    <w:rsid w:val="728564F5"/>
    <w:rsid w:val="728B7ACE"/>
    <w:rsid w:val="728E70EC"/>
    <w:rsid w:val="729701CD"/>
    <w:rsid w:val="72AB431D"/>
    <w:rsid w:val="72DA09BB"/>
    <w:rsid w:val="72E745EF"/>
    <w:rsid w:val="72F95434"/>
    <w:rsid w:val="730E0485"/>
    <w:rsid w:val="730E4D7D"/>
    <w:rsid w:val="731466EF"/>
    <w:rsid w:val="73212A01"/>
    <w:rsid w:val="73322FF0"/>
    <w:rsid w:val="733712FB"/>
    <w:rsid w:val="73460FB0"/>
    <w:rsid w:val="73513F28"/>
    <w:rsid w:val="735A7119"/>
    <w:rsid w:val="736127BE"/>
    <w:rsid w:val="739E0038"/>
    <w:rsid w:val="73B34591"/>
    <w:rsid w:val="73D850A2"/>
    <w:rsid w:val="73DE7F6C"/>
    <w:rsid w:val="73E365CE"/>
    <w:rsid w:val="73E64B1D"/>
    <w:rsid w:val="740735EA"/>
    <w:rsid w:val="7408106C"/>
    <w:rsid w:val="7490659B"/>
    <w:rsid w:val="749E2818"/>
    <w:rsid w:val="74BE4E97"/>
    <w:rsid w:val="74D504C8"/>
    <w:rsid w:val="74F679F1"/>
    <w:rsid w:val="74F841F7"/>
    <w:rsid w:val="75003D28"/>
    <w:rsid w:val="750445F2"/>
    <w:rsid w:val="751D637E"/>
    <w:rsid w:val="751F2555"/>
    <w:rsid w:val="753504B8"/>
    <w:rsid w:val="75466A74"/>
    <w:rsid w:val="758418D8"/>
    <w:rsid w:val="75A17528"/>
    <w:rsid w:val="75AA6AC3"/>
    <w:rsid w:val="75B749A9"/>
    <w:rsid w:val="75CD3F16"/>
    <w:rsid w:val="76781DCD"/>
    <w:rsid w:val="76D84698"/>
    <w:rsid w:val="775865D7"/>
    <w:rsid w:val="775B4584"/>
    <w:rsid w:val="776234AF"/>
    <w:rsid w:val="776D12AE"/>
    <w:rsid w:val="77AD0FE0"/>
    <w:rsid w:val="77BE7384"/>
    <w:rsid w:val="78821B50"/>
    <w:rsid w:val="788E2A2A"/>
    <w:rsid w:val="78BC088E"/>
    <w:rsid w:val="78C52EE0"/>
    <w:rsid w:val="78D23C9C"/>
    <w:rsid w:val="7913610A"/>
    <w:rsid w:val="791A167A"/>
    <w:rsid w:val="796B6F7E"/>
    <w:rsid w:val="79935707"/>
    <w:rsid w:val="799A2128"/>
    <w:rsid w:val="79C30D65"/>
    <w:rsid w:val="79CC3295"/>
    <w:rsid w:val="7A0B1561"/>
    <w:rsid w:val="7A25258A"/>
    <w:rsid w:val="7A2C646D"/>
    <w:rsid w:val="7A55546C"/>
    <w:rsid w:val="7A743686"/>
    <w:rsid w:val="7A824E2E"/>
    <w:rsid w:val="7A93705D"/>
    <w:rsid w:val="7A9E7BE0"/>
    <w:rsid w:val="7AFF6437"/>
    <w:rsid w:val="7B021BF1"/>
    <w:rsid w:val="7B583BC8"/>
    <w:rsid w:val="7B9F2862"/>
    <w:rsid w:val="7BA9751C"/>
    <w:rsid w:val="7BAB44F6"/>
    <w:rsid w:val="7BB856C6"/>
    <w:rsid w:val="7BBB27D3"/>
    <w:rsid w:val="7BC24A45"/>
    <w:rsid w:val="7BD52A90"/>
    <w:rsid w:val="7C076616"/>
    <w:rsid w:val="7C0D60AB"/>
    <w:rsid w:val="7C295DFC"/>
    <w:rsid w:val="7C3248CE"/>
    <w:rsid w:val="7C4B37FA"/>
    <w:rsid w:val="7C58255B"/>
    <w:rsid w:val="7C5B5FF8"/>
    <w:rsid w:val="7C910DB6"/>
    <w:rsid w:val="7CBA649A"/>
    <w:rsid w:val="7CF03F88"/>
    <w:rsid w:val="7CF73786"/>
    <w:rsid w:val="7D5E51C4"/>
    <w:rsid w:val="7D7525FB"/>
    <w:rsid w:val="7DC111D1"/>
    <w:rsid w:val="7DC43A43"/>
    <w:rsid w:val="7DC74225"/>
    <w:rsid w:val="7DDA69EF"/>
    <w:rsid w:val="7E6C26A2"/>
    <w:rsid w:val="7EB35583"/>
    <w:rsid w:val="7EB5276C"/>
    <w:rsid w:val="7EBC57D7"/>
    <w:rsid w:val="7ED0794B"/>
    <w:rsid w:val="7ED70A6F"/>
    <w:rsid w:val="7EE20D78"/>
    <w:rsid w:val="7F3206AA"/>
    <w:rsid w:val="7F5E6382"/>
    <w:rsid w:val="7F5F2553"/>
    <w:rsid w:val="7F89742A"/>
    <w:rsid w:val="7F9B22D0"/>
    <w:rsid w:val="7F9F74D0"/>
    <w:rsid w:val="7FA200C0"/>
    <w:rsid w:val="7FA23B7F"/>
    <w:rsid w:val="7FBE60DA"/>
    <w:rsid w:val="7FBF3588"/>
    <w:rsid w:val="7FDE4F4F"/>
    <w:rsid w:val="7FEB69A3"/>
    <w:rsid w:val="7FFB0146"/>
    <w:rsid w:val="7FFED145"/>
    <w:rsid w:val="7FFEF30F"/>
    <w:rsid w:val="DFBFB2EB"/>
    <w:rsid w:val="EFEBCEE2"/>
    <w:rsid w:val="FFF98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6"/>
    <w:pPr>
      <w:widowControl w:val="0"/>
      <w:autoSpaceDE w:val="0"/>
      <w:autoSpaceDN w:val="0"/>
      <w:adjustRightInd w:val="0"/>
    </w:pPr>
    <w:rPr>
      <w:rFonts w:ascii="黑体" w:hAnsi="Times New Roman" w:eastAsia="黑体" w:cs="Times New Roman"/>
      <w:sz w:val="21"/>
      <w:szCs w:val="22"/>
      <w:lang w:val="en-US" w:eastAsia="zh-CN" w:bidi="ar-SA"/>
    </w:rPr>
  </w:style>
  <w:style w:type="paragraph" w:styleId="7">
    <w:name w:val="Normal Indent"/>
    <w:basedOn w:val="1"/>
    <w:qFormat/>
    <w:uiPriority w:val="0"/>
    <w:pPr>
      <w:ind w:firstLine="420"/>
    </w:pPr>
    <w:rPr>
      <w:szCs w:val="20"/>
    </w:rPr>
  </w:style>
  <w:style w:type="paragraph" w:styleId="8">
    <w:name w:val="Document Map"/>
    <w:basedOn w:val="1"/>
    <w:link w:val="43"/>
    <w:qFormat/>
    <w:uiPriority w:val="0"/>
    <w:rPr>
      <w:rFonts w:ascii="宋体" w:hAnsi="Tahoma"/>
      <w:sz w:val="18"/>
      <w:szCs w:val="18"/>
    </w:rPr>
  </w:style>
  <w:style w:type="paragraph" w:styleId="9">
    <w:name w:val="annotation text"/>
    <w:basedOn w:val="1"/>
    <w:link w:val="72"/>
    <w:semiHidden/>
    <w:qFormat/>
    <w:uiPriority w:val="99"/>
    <w:pPr>
      <w:jc w:val="left"/>
    </w:pPr>
    <w:rPr>
      <w:rFonts w:ascii="Tahoma" w:hAnsi="Tahoma"/>
    </w:rPr>
  </w:style>
  <w:style w:type="paragraph" w:styleId="10">
    <w:name w:val="Body Text 3"/>
    <w:basedOn w:val="1"/>
    <w:qFormat/>
    <w:uiPriority w:val="0"/>
    <w:rPr>
      <w:kern w:val="0"/>
      <w:sz w:val="16"/>
      <w:szCs w:val="16"/>
    </w:r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4">
    <w:name w:val="toc 3"/>
    <w:basedOn w:val="1"/>
    <w:next w:val="1"/>
    <w:unhideWhenUsed/>
    <w:qFormat/>
    <w:uiPriority w:val="39"/>
    <w:pPr>
      <w:ind w:left="840" w:leftChars="400"/>
    </w:pPr>
    <w:rPr>
      <w:sz w:val="28"/>
    </w:rPr>
  </w:style>
  <w:style w:type="paragraph" w:styleId="15">
    <w:name w:val="Plain Text"/>
    <w:basedOn w:val="1"/>
    <w:qFormat/>
    <w:uiPriority w:val="0"/>
    <w:rPr>
      <w:rFonts w:ascii="宋体" w:hAnsi="Courier New" w:eastAsia="楷体_GB2312"/>
      <w:snapToGrid w:val="0"/>
      <w:color w:val="000000"/>
      <w:kern w:val="0"/>
      <w:sz w:val="32"/>
      <w:szCs w:val="21"/>
    </w:rPr>
  </w:style>
  <w:style w:type="paragraph" w:styleId="16">
    <w:name w:val="Date"/>
    <w:basedOn w:val="1"/>
    <w:next w:val="1"/>
    <w:qFormat/>
    <w:uiPriority w:val="0"/>
    <w:rPr>
      <w:rFonts w:ascii="楷体_GB2312" w:eastAsia="楷体_GB2312"/>
      <w:color w:val="000000"/>
      <w:kern w:val="0"/>
      <w:sz w:val="32"/>
      <w:szCs w:val="32"/>
    </w:rPr>
  </w:style>
  <w:style w:type="paragraph" w:styleId="17">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8">
    <w:name w:val="Balloon Text"/>
    <w:basedOn w:val="1"/>
    <w:unhideWhenUsed/>
    <w:qFormat/>
    <w:uiPriority w:val="0"/>
    <w:rPr>
      <w:sz w:val="18"/>
      <w:szCs w:val="18"/>
    </w:rPr>
  </w:style>
  <w:style w:type="paragraph" w:styleId="19">
    <w:name w:val="footer"/>
    <w:basedOn w:val="1"/>
    <w:link w:val="66"/>
    <w:qFormat/>
    <w:uiPriority w:val="99"/>
    <w:pPr>
      <w:tabs>
        <w:tab w:val="center" w:pos="4153"/>
        <w:tab w:val="right" w:pos="8306"/>
      </w:tabs>
      <w:snapToGrid w:val="0"/>
      <w:jc w:val="left"/>
    </w:pPr>
    <w:rPr>
      <w:rFonts w:ascii="Tahoma" w:hAnsi="Tahoma"/>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Body Text Indent 3"/>
    <w:basedOn w:val="1"/>
    <w:qFormat/>
    <w:uiPriority w:val="0"/>
    <w:pPr>
      <w:ind w:left="359" w:leftChars="171" w:firstLine="554" w:firstLineChars="198"/>
    </w:pPr>
    <w:rPr>
      <w:sz w:val="28"/>
      <w:szCs w:val="20"/>
    </w:rPr>
  </w:style>
  <w:style w:type="paragraph" w:styleId="23">
    <w:name w:val="toc 2"/>
    <w:basedOn w:val="1"/>
    <w:next w:val="1"/>
    <w:qFormat/>
    <w:uiPriority w:val="39"/>
    <w:pPr>
      <w:ind w:left="420" w:leftChars="200"/>
    </w:pPr>
  </w:style>
  <w:style w:type="paragraph" w:styleId="24">
    <w:name w:val="Body Text 2"/>
    <w:basedOn w:val="1"/>
    <w:qFormat/>
    <w:uiPriority w:val="0"/>
    <w:pPr>
      <w:spacing w:after="120" w:line="480" w:lineRule="auto"/>
    </w:pPr>
  </w:style>
  <w:style w:type="paragraph" w:styleId="25">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6">
    <w:name w:val="annotation subject"/>
    <w:basedOn w:val="9"/>
    <w:next w:val="9"/>
    <w:link w:val="70"/>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rFonts w:ascii="Tahoma" w:hAnsi="Tahoma"/>
      <w:b/>
      <w:bCs/>
      <w:sz w:val="24"/>
    </w:rPr>
  </w:style>
  <w:style w:type="character" w:styleId="31">
    <w:name w:val="page number"/>
    <w:basedOn w:val="29"/>
    <w:qFormat/>
    <w:uiPriority w:val="0"/>
  </w:style>
  <w:style w:type="character" w:styleId="32">
    <w:name w:val="FollowedHyperlink"/>
    <w:qFormat/>
    <w:uiPriority w:val="0"/>
    <w:rPr>
      <w:rFonts w:ascii="Tahoma" w:hAnsi="Tahoma"/>
      <w:color w:val="000000"/>
      <w:sz w:val="18"/>
      <w:szCs w:val="18"/>
      <w:u w:val="none"/>
    </w:rPr>
  </w:style>
  <w:style w:type="character" w:styleId="33">
    <w:name w:val="Emphasis"/>
    <w:basedOn w:val="29"/>
    <w:qFormat/>
    <w:uiPriority w:val="0"/>
  </w:style>
  <w:style w:type="character" w:styleId="34">
    <w:name w:val="HTML Definition"/>
    <w:basedOn w:val="29"/>
    <w:qFormat/>
    <w:uiPriority w:val="0"/>
  </w:style>
  <w:style w:type="character" w:styleId="35">
    <w:name w:val="HTML Variable"/>
    <w:basedOn w:val="29"/>
    <w:qFormat/>
    <w:uiPriority w:val="0"/>
  </w:style>
  <w:style w:type="character" w:styleId="36">
    <w:name w:val="Hyperlink"/>
    <w:qFormat/>
    <w:uiPriority w:val="99"/>
    <w:rPr>
      <w:rFonts w:ascii="Tahoma" w:hAnsi="Tahoma"/>
      <w:color w:val="0000FF"/>
      <w:sz w:val="24"/>
      <w:u w:val="single"/>
    </w:rPr>
  </w:style>
  <w:style w:type="character" w:styleId="37">
    <w:name w:val="HTML Code"/>
    <w:basedOn w:val="29"/>
    <w:qFormat/>
    <w:uiPriority w:val="0"/>
    <w:rPr>
      <w:rFonts w:ascii="serif" w:hAnsi="serif" w:eastAsia="serif" w:cs="serif"/>
      <w:sz w:val="21"/>
      <w:szCs w:val="21"/>
    </w:rPr>
  </w:style>
  <w:style w:type="character" w:styleId="38">
    <w:name w:val="annotation reference"/>
    <w:unhideWhenUsed/>
    <w:qFormat/>
    <w:uiPriority w:val="99"/>
    <w:rPr>
      <w:rFonts w:ascii="Tahoma" w:hAnsi="Tahoma"/>
      <w:sz w:val="21"/>
      <w:szCs w:val="21"/>
    </w:rPr>
  </w:style>
  <w:style w:type="character" w:styleId="39">
    <w:name w:val="HTML Cite"/>
    <w:basedOn w:val="29"/>
    <w:qFormat/>
    <w:uiPriority w:val="0"/>
  </w:style>
  <w:style w:type="character" w:styleId="40">
    <w:name w:val="HTML Keyboard"/>
    <w:basedOn w:val="29"/>
    <w:qFormat/>
    <w:uiPriority w:val="0"/>
    <w:rPr>
      <w:rFonts w:hint="default" w:ascii="serif" w:hAnsi="serif" w:eastAsia="serif" w:cs="serif"/>
      <w:sz w:val="21"/>
      <w:szCs w:val="21"/>
    </w:rPr>
  </w:style>
  <w:style w:type="character" w:styleId="41">
    <w:name w:val="HTML Sample"/>
    <w:basedOn w:val="29"/>
    <w:qFormat/>
    <w:uiPriority w:val="0"/>
    <w:rPr>
      <w:rFonts w:hint="default" w:ascii="serif" w:hAnsi="serif" w:eastAsia="serif" w:cs="serif"/>
      <w:sz w:val="21"/>
      <w:szCs w:val="21"/>
    </w:rPr>
  </w:style>
  <w:style w:type="character" w:customStyle="1" w:styleId="42">
    <w:name w:val="cfdate"/>
    <w:basedOn w:val="29"/>
    <w:qFormat/>
    <w:uiPriority w:val="0"/>
    <w:rPr>
      <w:color w:val="333333"/>
      <w:sz w:val="18"/>
      <w:szCs w:val="18"/>
    </w:rPr>
  </w:style>
  <w:style w:type="character" w:customStyle="1" w:styleId="43">
    <w:name w:val="文档结构图 字符"/>
    <w:link w:val="8"/>
    <w:qFormat/>
    <w:uiPriority w:val="0"/>
    <w:rPr>
      <w:rFonts w:ascii="宋体" w:hAnsi="Tahoma"/>
      <w:kern w:val="2"/>
      <w:sz w:val="18"/>
      <w:szCs w:val="18"/>
    </w:rPr>
  </w:style>
  <w:style w:type="character" w:customStyle="1" w:styleId="44">
    <w:name w:val="copyright"/>
    <w:basedOn w:val="29"/>
    <w:qFormat/>
    <w:uiPriority w:val="0"/>
  </w:style>
  <w:style w:type="character" w:customStyle="1" w:styleId="45">
    <w:name w:val="Char Char6"/>
    <w:qFormat/>
    <w:uiPriority w:val="0"/>
    <w:rPr>
      <w:rFonts w:ascii="Tahoma" w:hAnsi="Tahoma" w:eastAsia="宋体"/>
      <w:b/>
      <w:bCs/>
      <w:kern w:val="2"/>
      <w:sz w:val="32"/>
      <w:szCs w:val="32"/>
      <w:lang w:val="en-US" w:eastAsia="zh-CN" w:bidi="ar-SA"/>
    </w:rPr>
  </w:style>
  <w:style w:type="character" w:customStyle="1" w:styleId="46">
    <w:name w:val="qxdate"/>
    <w:basedOn w:val="29"/>
    <w:qFormat/>
    <w:uiPriority w:val="0"/>
    <w:rPr>
      <w:color w:val="333333"/>
      <w:sz w:val="18"/>
      <w:szCs w:val="18"/>
    </w:rPr>
  </w:style>
  <w:style w:type="character" w:customStyle="1" w:styleId="47">
    <w:name w:val="gjfg"/>
    <w:basedOn w:val="29"/>
    <w:qFormat/>
    <w:uiPriority w:val="0"/>
  </w:style>
  <w:style w:type="character" w:customStyle="1" w:styleId="48">
    <w:name w:val="Char Char3"/>
    <w:semiHidden/>
    <w:qFormat/>
    <w:uiPriority w:val="0"/>
    <w:rPr>
      <w:rFonts w:ascii="Tahoma" w:hAnsi="Tahoma" w:eastAsia="宋体"/>
      <w:kern w:val="2"/>
      <w:sz w:val="18"/>
      <w:szCs w:val="18"/>
      <w:lang w:val="en-US" w:eastAsia="zh-CN" w:bidi="ar-SA"/>
    </w:rPr>
  </w:style>
  <w:style w:type="character" w:customStyle="1" w:styleId="49">
    <w:name w:val="普通文字 Char2"/>
    <w:qFormat/>
    <w:uiPriority w:val="0"/>
    <w:rPr>
      <w:rFonts w:ascii="宋体" w:hAnsi="Courier New" w:eastAsia="楷体_GB2312"/>
      <w:snapToGrid w:val="0"/>
      <w:color w:val="000000"/>
      <w:sz w:val="32"/>
      <w:szCs w:val="21"/>
      <w:lang w:val="en-US" w:eastAsia="zh-CN" w:bidi="ar-SA"/>
    </w:rPr>
  </w:style>
  <w:style w:type="character" w:customStyle="1" w:styleId="50">
    <w:name w:val="Char Char4"/>
    <w:qFormat/>
    <w:uiPriority w:val="0"/>
    <w:rPr>
      <w:rFonts w:ascii="Tahoma" w:hAnsi="Tahoma" w:eastAsia="宋体"/>
      <w:kern w:val="2"/>
      <w:sz w:val="18"/>
      <w:szCs w:val="18"/>
      <w:lang w:val="en-US" w:eastAsia="zh-CN" w:bidi="ar-SA"/>
    </w:rPr>
  </w:style>
  <w:style w:type="character" w:customStyle="1" w:styleId="51">
    <w:name w:val="font51"/>
    <w:qFormat/>
    <w:uiPriority w:val="0"/>
    <w:rPr>
      <w:rFonts w:hint="eastAsia" w:ascii="宋体" w:hAnsi="宋体" w:eastAsia="宋体" w:cs="宋体"/>
      <w:color w:val="000000"/>
      <w:sz w:val="21"/>
      <w:szCs w:val="21"/>
      <w:u w:val="none"/>
    </w:rPr>
  </w:style>
  <w:style w:type="character" w:customStyle="1" w:styleId="52">
    <w:name w:val="Char Char1"/>
    <w:semiHidden/>
    <w:qFormat/>
    <w:uiPriority w:val="0"/>
    <w:rPr>
      <w:rFonts w:ascii="Tahoma" w:hAnsi="Tahoma" w:eastAsia="宋体"/>
      <w:kern w:val="2"/>
      <w:sz w:val="28"/>
      <w:lang w:val="en-US" w:eastAsia="zh-CN" w:bidi="ar-SA"/>
    </w:rPr>
  </w:style>
  <w:style w:type="character" w:customStyle="1" w:styleId="53">
    <w:name w:val="profont1"/>
    <w:qFormat/>
    <w:uiPriority w:val="0"/>
    <w:rPr>
      <w:rFonts w:hint="default" w:ascii="Verdana" w:hAnsi="Verdana"/>
      <w:b/>
      <w:bCs/>
      <w:color w:val="333333"/>
      <w:sz w:val="24"/>
      <w:szCs w:val="24"/>
      <w:u w:val="none"/>
    </w:rPr>
  </w:style>
  <w:style w:type="character" w:customStyle="1" w:styleId="54">
    <w:name w:val="标题 2 Char"/>
    <w:qFormat/>
    <w:uiPriority w:val="0"/>
    <w:rPr>
      <w:rFonts w:ascii="Arial" w:hAnsi="Arial" w:eastAsia="黑体"/>
      <w:b/>
      <w:bCs/>
      <w:kern w:val="2"/>
      <w:sz w:val="32"/>
      <w:szCs w:val="32"/>
      <w:lang w:val="en-US" w:eastAsia="zh-CN" w:bidi="ar-SA"/>
    </w:rPr>
  </w:style>
  <w:style w:type="character" w:customStyle="1" w:styleId="55">
    <w:name w:val="Char Char5"/>
    <w:qFormat/>
    <w:uiPriority w:val="0"/>
    <w:rPr>
      <w:rFonts w:ascii="Tahoma" w:hAnsi="Tahoma" w:eastAsia="宋体"/>
      <w:kern w:val="2"/>
      <w:sz w:val="18"/>
      <w:szCs w:val="18"/>
      <w:lang w:val="en-US" w:eastAsia="zh-CN" w:bidi="ar-SA"/>
    </w:rPr>
  </w:style>
  <w:style w:type="character" w:customStyle="1" w:styleId="56">
    <w:name w:val="标题 1.1 Char1"/>
    <w:qFormat/>
    <w:uiPriority w:val="0"/>
    <w:rPr>
      <w:rFonts w:ascii="Arial" w:hAnsi="Arial" w:eastAsia="黑体"/>
      <w:b/>
      <w:bCs/>
      <w:kern w:val="2"/>
      <w:sz w:val="32"/>
      <w:szCs w:val="32"/>
      <w:lang w:val="en-US" w:eastAsia="zh-CN" w:bidi="ar-SA"/>
    </w:rPr>
  </w:style>
  <w:style w:type="character" w:customStyle="1" w:styleId="57">
    <w:name w:val="font01"/>
    <w:qFormat/>
    <w:uiPriority w:val="0"/>
    <w:rPr>
      <w:rFonts w:hint="eastAsia" w:ascii="宋体" w:hAnsi="宋体" w:eastAsia="宋体" w:cs="宋体"/>
      <w:color w:val="000000"/>
      <w:sz w:val="24"/>
      <w:szCs w:val="24"/>
      <w:u w:val="none"/>
    </w:rPr>
  </w:style>
  <w:style w:type="character" w:customStyle="1" w:styleId="58">
    <w:name w:val="font11"/>
    <w:qFormat/>
    <w:uiPriority w:val="0"/>
    <w:rPr>
      <w:rFonts w:hint="eastAsia" w:ascii="宋体" w:hAnsi="宋体" w:eastAsia="宋体" w:cs="宋体"/>
      <w:b/>
      <w:color w:val="000000"/>
      <w:sz w:val="24"/>
      <w:szCs w:val="24"/>
      <w:u w:val="none"/>
    </w:rPr>
  </w:style>
  <w:style w:type="character" w:customStyle="1" w:styleId="59">
    <w:name w:val="Char Char"/>
    <w:qFormat/>
    <w:uiPriority w:val="0"/>
    <w:rPr>
      <w:rFonts w:ascii="Tahoma" w:hAnsi="Tahoma"/>
      <w:kern w:val="2"/>
      <w:sz w:val="21"/>
      <w:szCs w:val="24"/>
    </w:rPr>
  </w:style>
  <w:style w:type="character" w:customStyle="1" w:styleId="60">
    <w:name w:val="style111"/>
    <w:qFormat/>
    <w:uiPriority w:val="0"/>
    <w:rPr>
      <w:rFonts w:ascii="Tahoma" w:hAnsi="Tahoma"/>
      <w:sz w:val="22"/>
      <w:szCs w:val="22"/>
    </w:rPr>
  </w:style>
  <w:style w:type="character" w:customStyle="1" w:styleId="61">
    <w:name w:val="displayarti"/>
    <w:basedOn w:val="29"/>
    <w:qFormat/>
    <w:uiPriority w:val="0"/>
    <w:rPr>
      <w:color w:val="FFFFFF"/>
      <w:shd w:val="clear" w:color="auto" w:fill="A00000"/>
    </w:rPr>
  </w:style>
  <w:style w:type="character" w:customStyle="1" w:styleId="62">
    <w:name w:val="Char Char7"/>
    <w:qFormat/>
    <w:uiPriority w:val="0"/>
    <w:rPr>
      <w:rFonts w:ascii="Tahoma" w:hAnsi="Tahoma" w:eastAsia="宋体"/>
      <w:b/>
      <w:bCs/>
      <w:kern w:val="44"/>
      <w:sz w:val="44"/>
      <w:szCs w:val="44"/>
      <w:lang w:val="en-US" w:eastAsia="zh-CN" w:bidi="ar-SA"/>
    </w:rPr>
  </w:style>
  <w:style w:type="character" w:customStyle="1" w:styleId="63">
    <w:name w:val="font31"/>
    <w:qFormat/>
    <w:uiPriority w:val="0"/>
    <w:rPr>
      <w:rFonts w:hint="eastAsia" w:ascii="宋体" w:hAnsi="宋体" w:eastAsia="宋体" w:cs="宋体"/>
      <w:color w:val="000000"/>
      <w:sz w:val="21"/>
      <w:szCs w:val="21"/>
      <w:u w:val="none"/>
    </w:rPr>
  </w:style>
  <w:style w:type="character" w:customStyle="1" w:styleId="64">
    <w:name w:val="Char Char2"/>
    <w:qFormat/>
    <w:uiPriority w:val="0"/>
    <w:rPr>
      <w:rFonts w:ascii="华文仿宋" w:hAnsi="华文仿宋" w:eastAsia="华文仿宋"/>
      <w:color w:val="000000"/>
      <w:sz w:val="32"/>
      <w:szCs w:val="32"/>
      <w:lang w:val="en-US" w:eastAsia="zh-CN" w:bidi="ar-SA"/>
    </w:rPr>
  </w:style>
  <w:style w:type="character" w:customStyle="1" w:styleId="65">
    <w:name w:val="style51"/>
    <w:qFormat/>
    <w:uiPriority w:val="0"/>
    <w:rPr>
      <w:rFonts w:ascii="Tahoma" w:hAnsi="Tahoma"/>
      <w:b/>
      <w:bCs/>
      <w:color w:val="814107"/>
      <w:sz w:val="21"/>
      <w:szCs w:val="21"/>
    </w:rPr>
  </w:style>
  <w:style w:type="character" w:customStyle="1" w:styleId="66">
    <w:name w:val="页脚 字符"/>
    <w:link w:val="19"/>
    <w:qFormat/>
    <w:uiPriority w:val="99"/>
    <w:rPr>
      <w:rFonts w:ascii="Tahoma" w:hAnsi="Tahoma"/>
      <w:kern w:val="2"/>
      <w:sz w:val="18"/>
      <w:szCs w:val="18"/>
    </w:rPr>
  </w:style>
  <w:style w:type="character" w:customStyle="1" w:styleId="67">
    <w:name w:val="标题 1.1 Char"/>
    <w:qFormat/>
    <w:uiPriority w:val="0"/>
    <w:rPr>
      <w:rFonts w:ascii="仿宋_GB2312" w:hAnsi="Arial" w:eastAsia="仿宋_GB2312" w:cs="Arial"/>
      <w:b/>
      <w:bCs/>
      <w:kern w:val="2"/>
      <w:sz w:val="24"/>
      <w:szCs w:val="24"/>
      <w:lang w:val="en-US" w:eastAsia="zh-CN" w:bidi="ar-SA"/>
    </w:rPr>
  </w:style>
  <w:style w:type="character" w:customStyle="1" w:styleId="68">
    <w:name w:val="普通文字 Char1"/>
    <w:qFormat/>
    <w:uiPriority w:val="0"/>
    <w:rPr>
      <w:rFonts w:ascii="宋体" w:hAnsi="Courier New" w:eastAsia="宋体"/>
      <w:kern w:val="2"/>
      <w:sz w:val="21"/>
      <w:szCs w:val="21"/>
      <w:lang w:val="en-US" w:eastAsia="zh-CN" w:bidi="ar-SA"/>
    </w:rPr>
  </w:style>
  <w:style w:type="character" w:customStyle="1" w:styleId="69">
    <w:name w:val="font41"/>
    <w:qFormat/>
    <w:uiPriority w:val="0"/>
    <w:rPr>
      <w:rFonts w:ascii="font-weight : 400" w:hAnsi="font-weight : 400" w:eastAsia="font-weight : 400" w:cs="font-weight : 400"/>
      <w:color w:val="000000"/>
      <w:sz w:val="21"/>
      <w:szCs w:val="21"/>
      <w:u w:val="none"/>
    </w:rPr>
  </w:style>
  <w:style w:type="character" w:customStyle="1" w:styleId="70">
    <w:name w:val="批注主题 字符"/>
    <w:link w:val="26"/>
    <w:qFormat/>
    <w:uiPriority w:val="0"/>
    <w:rPr>
      <w:rFonts w:ascii="Tahoma" w:hAnsi="Tahoma"/>
      <w:b/>
      <w:bCs/>
      <w:kern w:val="2"/>
      <w:sz w:val="21"/>
      <w:szCs w:val="24"/>
    </w:rPr>
  </w:style>
  <w:style w:type="character" w:customStyle="1" w:styleId="71">
    <w:name w:val="redfilefwwh"/>
    <w:basedOn w:val="29"/>
    <w:qFormat/>
    <w:uiPriority w:val="0"/>
    <w:rPr>
      <w:color w:val="BA2636"/>
      <w:sz w:val="18"/>
      <w:szCs w:val="18"/>
    </w:rPr>
  </w:style>
  <w:style w:type="character" w:customStyle="1" w:styleId="72">
    <w:name w:val="批注文字 字符"/>
    <w:link w:val="9"/>
    <w:semiHidden/>
    <w:qFormat/>
    <w:uiPriority w:val="99"/>
    <w:rPr>
      <w:rFonts w:ascii="Tahoma" w:hAnsi="Tahoma"/>
      <w:kern w:val="2"/>
      <w:sz w:val="21"/>
      <w:szCs w:val="24"/>
    </w:rPr>
  </w:style>
  <w:style w:type="character" w:customStyle="1" w:styleId="73">
    <w:name w:val="redfilenumber"/>
    <w:basedOn w:val="29"/>
    <w:qFormat/>
    <w:uiPriority w:val="0"/>
    <w:rPr>
      <w:color w:val="BA2636"/>
      <w:sz w:val="18"/>
      <w:szCs w:val="18"/>
    </w:rPr>
  </w:style>
  <w:style w:type="paragraph" w:customStyle="1" w:styleId="74">
    <w:name w:val="Char1 Char Char Char"/>
    <w:basedOn w:val="1"/>
    <w:qFormat/>
    <w:uiPriority w:val="0"/>
    <w:pPr>
      <w:adjustRightInd w:val="0"/>
      <w:spacing w:line="360" w:lineRule="auto"/>
    </w:pPr>
    <w:rPr>
      <w:kern w:val="0"/>
      <w:sz w:val="24"/>
      <w:szCs w:val="20"/>
    </w:rPr>
  </w:style>
  <w:style w:type="paragraph" w:customStyle="1" w:styleId="7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6">
    <w:name w:val="_Style 2"/>
    <w:basedOn w:val="1"/>
    <w:qFormat/>
    <w:uiPriority w:val="34"/>
    <w:pPr>
      <w:ind w:firstLine="420" w:firstLineChars="200"/>
    </w:pPr>
  </w:style>
  <w:style w:type="paragraph" w:customStyle="1" w:styleId="77">
    <w:name w:val="Char Char Char Char Char Char"/>
    <w:basedOn w:val="1"/>
    <w:qFormat/>
    <w:uiPriority w:val="0"/>
    <w:rPr>
      <w:rFonts w:ascii="Tahoma" w:hAnsi="Tahoma"/>
      <w:sz w:val="24"/>
    </w:rPr>
  </w:style>
  <w:style w:type="paragraph" w:customStyle="1" w:styleId="78">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9">
    <w:name w:val="Char Char Char"/>
    <w:basedOn w:val="1"/>
    <w:qFormat/>
    <w:uiPriority w:val="0"/>
    <w:rPr>
      <w:rFonts w:ascii="Tahoma" w:hAnsi="Tahoma"/>
      <w:sz w:val="24"/>
      <w:szCs w:val="20"/>
    </w:rPr>
  </w:style>
  <w:style w:type="paragraph" w:customStyle="1" w:styleId="8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1">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8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二级条标题"/>
    <w:basedOn w:val="84"/>
    <w:next w:val="1"/>
    <w:qFormat/>
    <w:uiPriority w:val="0"/>
    <w:pPr>
      <w:numPr>
        <w:ilvl w:val="3"/>
      </w:numPr>
      <w:outlineLvl w:val="3"/>
    </w:pPr>
  </w:style>
  <w:style w:type="paragraph" w:customStyle="1" w:styleId="84">
    <w:name w:val="一级条标题"/>
    <w:basedOn w:val="78"/>
    <w:next w:val="1"/>
    <w:qFormat/>
    <w:uiPriority w:val="0"/>
    <w:pPr>
      <w:numPr>
        <w:ilvl w:val="2"/>
      </w:numPr>
      <w:spacing w:beforeLines="0" w:afterLines="0"/>
      <w:outlineLvl w:val="2"/>
    </w:pPr>
  </w:style>
  <w:style w:type="paragraph" w:customStyle="1" w:styleId="85">
    <w:name w:val="Char Char Char1"/>
    <w:basedOn w:val="1"/>
    <w:qFormat/>
    <w:uiPriority w:val="0"/>
    <w:rPr>
      <w:rFonts w:ascii="Tahoma" w:hAnsi="Tahoma"/>
      <w:sz w:val="24"/>
      <w:szCs w:val="20"/>
    </w:rPr>
  </w:style>
  <w:style w:type="paragraph" w:customStyle="1" w:styleId="86">
    <w:name w:val="样式5"/>
    <w:basedOn w:val="87"/>
    <w:qFormat/>
    <w:uiPriority w:val="0"/>
    <w:pPr>
      <w:numPr>
        <w:ilvl w:val="3"/>
      </w:numPr>
      <w:tabs>
        <w:tab w:val="left" w:pos="432"/>
      </w:tabs>
      <w:spacing w:before="156"/>
    </w:pPr>
  </w:style>
  <w:style w:type="paragraph" w:customStyle="1" w:styleId="87">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8">
    <w:name w:val="Char"/>
    <w:basedOn w:val="1"/>
    <w:qFormat/>
    <w:uiPriority w:val="0"/>
    <w:pPr>
      <w:adjustRightInd w:val="0"/>
      <w:spacing w:line="360" w:lineRule="auto"/>
    </w:pPr>
    <w:rPr>
      <w:kern w:val="0"/>
      <w:sz w:val="24"/>
      <w:szCs w:val="20"/>
    </w:rPr>
  </w:style>
  <w:style w:type="paragraph" w:customStyle="1" w:styleId="89">
    <w:name w:val="Char1"/>
    <w:basedOn w:val="1"/>
    <w:qFormat/>
    <w:uiPriority w:val="0"/>
    <w:pPr>
      <w:adjustRightInd w:val="0"/>
      <w:spacing w:line="360" w:lineRule="auto"/>
    </w:pPr>
    <w:rPr>
      <w:kern w:val="0"/>
      <w:sz w:val="24"/>
      <w:szCs w:val="20"/>
    </w:rPr>
  </w:style>
  <w:style w:type="paragraph" w:customStyle="1" w:styleId="90">
    <w:name w:val="三级条标题"/>
    <w:basedOn w:val="83"/>
    <w:next w:val="1"/>
    <w:qFormat/>
    <w:uiPriority w:val="0"/>
    <w:pPr>
      <w:numPr>
        <w:ilvl w:val="4"/>
      </w:numPr>
      <w:outlineLvl w:val="4"/>
    </w:pPr>
  </w:style>
  <w:style w:type="paragraph" w:customStyle="1" w:styleId="91">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Char Char Char Char Char Char Char"/>
    <w:basedOn w:val="1"/>
    <w:qFormat/>
    <w:uiPriority w:val="0"/>
    <w:rPr>
      <w:rFonts w:ascii="Tahoma" w:hAnsi="Tahoma" w:cs="Arial"/>
      <w:szCs w:val="21"/>
    </w:rPr>
  </w:style>
  <w:style w:type="paragraph" w:customStyle="1" w:styleId="93">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94">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5">
    <w:name w:val="五级条标题"/>
    <w:basedOn w:val="96"/>
    <w:next w:val="1"/>
    <w:qFormat/>
    <w:uiPriority w:val="0"/>
    <w:pPr>
      <w:numPr>
        <w:ilvl w:val="6"/>
      </w:numPr>
      <w:outlineLvl w:val="6"/>
    </w:pPr>
  </w:style>
  <w:style w:type="paragraph" w:customStyle="1" w:styleId="96">
    <w:name w:val="四级条标题"/>
    <w:basedOn w:val="90"/>
    <w:next w:val="1"/>
    <w:qFormat/>
    <w:uiPriority w:val="0"/>
    <w:pPr>
      <w:numPr>
        <w:ilvl w:val="5"/>
      </w:numPr>
      <w:outlineLvl w:val="5"/>
    </w:pPr>
  </w:style>
  <w:style w:type="paragraph" w:customStyle="1" w:styleId="97">
    <w:name w:val="Normal Indent1"/>
    <w:basedOn w:val="1"/>
    <w:qFormat/>
    <w:uiPriority w:val="99"/>
    <w:pPr>
      <w:autoSpaceDE w:val="0"/>
      <w:autoSpaceDN w:val="0"/>
      <w:adjustRightInd w:val="0"/>
      <w:ind w:firstLine="420"/>
    </w:pPr>
    <w:rPr>
      <w:kern w:val="0"/>
      <w:szCs w:val="21"/>
    </w:rPr>
  </w:style>
  <w:style w:type="paragraph" w:customStyle="1" w:styleId="98">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9">
    <w:name w:val="样式6"/>
    <w:basedOn w:val="87"/>
    <w:qFormat/>
    <w:uiPriority w:val="0"/>
    <w:pPr>
      <w:numPr>
        <w:ilvl w:val="2"/>
      </w:numPr>
      <w:tabs>
        <w:tab w:val="clear" w:pos="432"/>
      </w:tabs>
      <w:spacing w:before="156"/>
      <w:outlineLvl w:val="4"/>
    </w:pPr>
    <w:rPr>
      <w:rFonts w:ascii="MS Shell Dlg" w:hAnsi="MS Shell Dlg"/>
    </w:rPr>
  </w:style>
  <w:style w:type="paragraph" w:customStyle="1" w:styleId="100">
    <w:name w:val="List Paragraph"/>
    <w:basedOn w:val="1"/>
    <w:qFormat/>
    <w:uiPriority w:val="34"/>
    <w:pPr>
      <w:ind w:firstLine="420" w:firstLineChars="200"/>
    </w:pPr>
    <w:rPr>
      <w:sz w:val="28"/>
    </w:rPr>
  </w:style>
  <w:style w:type="paragraph" w:customStyle="1" w:styleId="101">
    <w:name w:val="列出段落1"/>
    <w:basedOn w:val="1"/>
    <w:qFormat/>
    <w:uiPriority w:val="0"/>
    <w:pPr>
      <w:ind w:firstLine="420" w:firstLineChars="200"/>
    </w:pPr>
    <w:rPr>
      <w:rFonts w:ascii="Calibri" w:hAnsi="Calibri"/>
      <w:kern w:val="0"/>
      <w:sz w:val="20"/>
      <w:szCs w:val="20"/>
    </w:rPr>
  </w:style>
  <w:style w:type="paragraph" w:customStyle="1" w:styleId="10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3">
    <w:name w:val="Table Paragraph"/>
    <w:basedOn w:val="1"/>
    <w:unhideWhenUsed/>
    <w:qFormat/>
    <w:uiPriority w:val="1"/>
    <w:rPr>
      <w:rFonts w:hint="eastAsia"/>
      <w:sz w:val="24"/>
    </w:rPr>
  </w:style>
  <w:style w:type="paragraph" w:customStyle="1" w:styleId="104">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105">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6">
    <w:name w:val="fontstrikethrough"/>
    <w:basedOn w:val="29"/>
    <w:qFormat/>
    <w:uiPriority w:val="0"/>
    <w:rPr>
      <w:strike/>
    </w:rPr>
  </w:style>
  <w:style w:type="paragraph" w:customStyle="1" w:styleId="107">
    <w:name w:val="lemmawgt-lemmatitle-title"/>
    <w:basedOn w:val="1"/>
    <w:qFormat/>
    <w:uiPriority w:val="0"/>
    <w:pPr>
      <w:spacing w:before="0" w:beforeAutospacing="0" w:after="75" w:afterAutospacing="0" w:line="585" w:lineRule="atLeast"/>
      <w:ind w:left="0" w:right="0"/>
      <w:jc w:val="left"/>
    </w:pPr>
    <w:rPr>
      <w:kern w:val="0"/>
      <w:lang w:val="en-US" w:eastAsia="zh-CN" w:bidi="ar"/>
    </w:rPr>
  </w:style>
  <w:style w:type="character" w:customStyle="1" w:styleId="108">
    <w:name w:val="fontborder"/>
    <w:basedOn w:val="29"/>
    <w:qFormat/>
    <w:uiPriority w:val="0"/>
    <w:rPr>
      <w:bdr w:val="single" w:color="000000" w:sz="6" w:space="0"/>
    </w:rPr>
  </w:style>
  <w:style w:type="character" w:customStyle="1" w:styleId="109">
    <w:name w:val="lemmawgt-lemmatitle-title1"/>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4469</Words>
  <Characters>25479</Characters>
  <Lines>212</Lines>
  <Paragraphs>59</Paragraphs>
  <TotalTime>0</TotalTime>
  <ScaleCrop>false</ScaleCrop>
  <LinksUpToDate>false</LinksUpToDate>
  <CharactersWithSpaces>29889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2018-07-03T23:53:00Z</dcterms:created>
  <dc:creator>风之客</dc:creator>
  <cp:lastModifiedBy>everything</cp:lastModifiedBy>
  <cp:lastPrinted>2020-10-31T01:53:00Z</cp:lastPrinted>
  <dcterms:modified xsi:type="dcterms:W3CDTF">2020-11-02T02:41:58Z</dcterms:modified>
  <dc:title>湖 北  招 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