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0"/>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jc w:val="center"/>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2" w:after="1"/>
        <w:rPr>
          <w:rFonts w:hint="eastAsia" w:asciiTheme="minorEastAsia" w:hAnsiTheme="minorEastAsia" w:eastAsiaTheme="minorEastAsia" w:cstheme="minorEastAsia"/>
          <w:color w:val="auto"/>
          <w:sz w:val="11"/>
        </w:rPr>
      </w:pPr>
    </w:p>
    <w:tbl>
      <w:tblPr>
        <w:tblStyle w:val="26"/>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3" w:line="242" w:lineRule="auto"/>
              <w:ind w:left="55" w:right="136"/>
              <w:jc w:val="both"/>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eastAsia="宋体" w:cs="宋体"/>
                <w:b/>
                <w:color w:val="000000" w:themeColor="text1"/>
                <w:sz w:val="28"/>
                <w:lang w:val="en-US" w:eastAsia="zh-CN"/>
                <w14:textFill>
                  <w14:solidFill>
                    <w14:schemeClr w14:val="tx1"/>
                  </w14:solidFill>
                </w14:textFill>
              </w:rPr>
              <w:t>项 目  编 号：</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right="136"/>
              <w:jc w:val="both"/>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eastAsia="宋体" w:cs="宋体"/>
                <w:b/>
                <w:color w:val="000000" w:themeColor="text1"/>
                <w:sz w:val="28"/>
                <w:lang w:val="en-US" w:eastAsia="zh-CN"/>
                <w14:textFill>
                  <w14:solidFill>
                    <w14:schemeClr w14:val="tx1"/>
                  </w14:solidFill>
                </w14:textFill>
              </w:rPr>
              <w:t xml:space="preserve">ZJZB-202010-283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3"/>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项</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目</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名</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称：</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right="136"/>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宋体" w:hAnsi="宋体" w:eastAsia="宋体" w:cs="宋体"/>
                <w:b/>
                <w:color w:val="000000" w:themeColor="text1"/>
                <w:sz w:val="28"/>
                <w:lang w:val="en-US" w:eastAsia="zh-CN"/>
                <w14:textFill>
                  <w14:solidFill>
                    <w14:schemeClr w14:val="tx1"/>
                  </w14:solidFill>
                </w14:textFill>
              </w:rPr>
              <w:t>湖北军山工贸有限公司缝纫机设备采购项目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采</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购</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方 式</w:t>
            </w:r>
            <w:r>
              <w:rPr>
                <w:rFonts w:hint="eastAsia" w:asciiTheme="minorEastAsia" w:hAnsiTheme="minorEastAsia" w:eastAsiaTheme="minorEastAsia" w:cstheme="minorEastAsia"/>
                <w:b/>
                <w:color w:val="000000" w:themeColor="text1"/>
                <w:sz w:val="28"/>
                <w14:textFill>
                  <w14:solidFill>
                    <w14:schemeClr w14:val="tx1"/>
                  </w14:solidFill>
                </w14:textFill>
              </w:rPr>
              <w:t>：</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采 购  类 别：</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货物</w:t>
            </w:r>
          </w:p>
        </w:tc>
      </w:tr>
    </w:tbl>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1"/>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人：</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宋体" w:hAnsi="宋体" w:eastAsia="宋体" w:cs="宋体"/>
                <w:b/>
                <w:color w:val="000000" w:themeColor="text1"/>
                <w:sz w:val="28"/>
                <w:lang w:val="en-US" w:eastAsia="zh-CN"/>
                <w14:textFill>
                  <w14:solidFill>
                    <w14:schemeClr w14:val="tx1"/>
                  </w14:solidFill>
                </w14:textFill>
              </w:rPr>
              <w:t>湖北军山工贸有限公司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采购代理机构：</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 ：</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2020年 10月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tabs>
          <w:tab w:val="center" w:pos="4597"/>
          <w:tab w:val="left" w:pos="6772"/>
        </w:tabs>
        <w:jc w:val="left"/>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ab/>
      </w:r>
      <w:r>
        <w:rPr>
          <w:rFonts w:hint="eastAsia" w:asciiTheme="minorEastAsia" w:hAnsiTheme="minorEastAsia" w:eastAsiaTheme="minorEastAsia" w:cstheme="minorEastAsia"/>
          <w:b/>
          <w:bCs/>
          <w:sz w:val="44"/>
          <w:szCs w:val="44"/>
          <w:lang w:val="zh-CN"/>
        </w:rPr>
        <w:t>目  录</w:t>
      </w:r>
      <w:r>
        <w:rPr>
          <w:rFonts w:hint="eastAsia" w:asciiTheme="minorEastAsia" w:hAnsiTheme="minorEastAsia" w:eastAsiaTheme="minorEastAsia" w:cstheme="minorEastAsia"/>
          <w:b/>
          <w:bCs/>
          <w:sz w:val="44"/>
          <w:szCs w:val="44"/>
          <w:lang w:val="zh-CN"/>
        </w:rPr>
        <w:tab/>
      </w:r>
    </w:p>
    <w:p>
      <w:pPr>
        <w:jc w:val="center"/>
        <w:rPr>
          <w:rFonts w:hint="eastAsia"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_Toc1628 </w:instrText>
      </w:r>
      <w:r>
        <w:rPr>
          <w:rFonts w:hint="eastAsia" w:asciiTheme="minorEastAsia" w:hAnsiTheme="minorEastAsia" w:eastAsiaTheme="minorEastAsia" w:cstheme="minorEastAsia"/>
        </w:rPr>
        <w:fldChar w:fldCharType="separate"/>
      </w:r>
      <w:r>
        <w:rPr>
          <w:rFonts w:hint="default"/>
          <w:bCs/>
          <w:szCs w:val="36"/>
        </w:rPr>
        <w:t xml:space="preserve">第一章 </w:t>
      </w:r>
      <w:r>
        <w:rPr>
          <w:rFonts w:hint="eastAsia" w:ascii="宋体" w:hAnsi="宋体" w:cs="宋体"/>
          <w:szCs w:val="36"/>
        </w:rPr>
        <w:t>竞争性磋商公告</w:t>
      </w:r>
      <w:r>
        <w:tab/>
      </w:r>
      <w:r>
        <w:fldChar w:fldCharType="begin"/>
      </w:r>
      <w:r>
        <w:instrText xml:space="preserve"> PAGEREF _Toc1628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_Toc24710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一、 项目基本情况</w:t>
      </w:r>
      <w:r>
        <w:tab/>
      </w:r>
      <w:r>
        <w:fldChar w:fldCharType="begin"/>
      </w:r>
      <w:r>
        <w:instrText xml:space="preserve"> PAGEREF _Toc24710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_Toc20667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二、 申请人的资格要求</w:t>
      </w:r>
      <w:r>
        <w:tab/>
      </w:r>
      <w:r>
        <w:fldChar w:fldCharType="begin"/>
      </w:r>
      <w:r>
        <w:instrText xml:space="preserve"> PAGEREF _Toc20667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_Toc30193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三、 获取</w:t>
      </w:r>
      <w:r>
        <w:rPr>
          <w:rFonts w:hint="eastAsia" w:ascii="宋体" w:hAnsi="宋体" w:eastAsia="宋体" w:cs="宋体"/>
          <w:szCs w:val="21"/>
          <w:lang w:eastAsia="zh-CN"/>
        </w:rPr>
        <w:t>采购</w:t>
      </w:r>
      <w:r>
        <w:rPr>
          <w:rFonts w:hint="eastAsia" w:ascii="宋体" w:hAnsi="宋体" w:eastAsia="宋体" w:cs="宋体"/>
          <w:szCs w:val="21"/>
        </w:rPr>
        <w:t>文件</w:t>
      </w:r>
      <w:r>
        <w:tab/>
      </w:r>
      <w:r>
        <w:fldChar w:fldCharType="begin"/>
      </w:r>
      <w:r>
        <w:instrText xml:space="preserve"> PAGEREF _Toc30193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_Toc3841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 xml:space="preserve">四、 </w:t>
      </w:r>
      <w:r>
        <w:rPr>
          <w:rFonts w:hint="eastAsia" w:ascii="宋体" w:hAnsi="宋体" w:eastAsia="宋体" w:cs="宋体"/>
          <w:szCs w:val="21"/>
          <w:lang w:eastAsia="zh-CN"/>
        </w:rPr>
        <w:t>响应文件提交</w:t>
      </w:r>
      <w:r>
        <w:tab/>
      </w:r>
      <w:r>
        <w:fldChar w:fldCharType="begin"/>
      </w:r>
      <w:r>
        <w:instrText xml:space="preserve"> PAGEREF _Toc3841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_Toc11052 </w:instrText>
      </w:r>
      <w:r>
        <w:rPr>
          <w:rFonts w:hint="eastAsia" w:asciiTheme="minorEastAsia" w:hAnsiTheme="minorEastAsia" w:eastAsiaTheme="minorEastAsia" w:cstheme="minorEastAsia"/>
        </w:rPr>
        <w:fldChar w:fldCharType="separate"/>
      </w:r>
      <w:r>
        <w:rPr>
          <w:rFonts w:hint="eastAsia" w:eastAsia="宋体"/>
          <w:szCs w:val="21"/>
          <w:lang w:eastAsia="zh-CN"/>
        </w:rPr>
        <w:t xml:space="preserve">五、 </w:t>
      </w:r>
      <w:r>
        <w:rPr>
          <w:rFonts w:hint="eastAsia" w:ascii="宋体" w:hAnsi="宋体" w:eastAsia="宋体" w:cs="宋体"/>
          <w:szCs w:val="21"/>
          <w:lang w:eastAsia="zh-CN"/>
        </w:rPr>
        <w:t>开启</w:t>
      </w:r>
      <w:r>
        <w:tab/>
      </w:r>
      <w:r>
        <w:fldChar w:fldCharType="begin"/>
      </w:r>
      <w:r>
        <w:instrText xml:space="preserve"> PAGEREF _Toc11052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_Toc23624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六、 公告期限</w:t>
      </w:r>
      <w:r>
        <w:tab/>
      </w:r>
      <w:r>
        <w:fldChar w:fldCharType="begin"/>
      </w:r>
      <w:r>
        <w:instrText xml:space="preserve"> PAGEREF _Toc23624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_Toc17673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七、 其他补充事宜</w:t>
      </w:r>
      <w:r>
        <w:tab/>
      </w:r>
      <w:r>
        <w:fldChar w:fldCharType="begin"/>
      </w:r>
      <w:r>
        <w:instrText xml:space="preserve"> PAGEREF _Toc17673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_Toc12218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八、 凡对本次采购提出询问，请按以下方式联系</w:t>
      </w:r>
      <w:r>
        <w:tab/>
      </w:r>
      <w:r>
        <w:fldChar w:fldCharType="begin"/>
      </w:r>
      <w:r>
        <w:instrText xml:space="preserve"> PAGEREF _Toc12218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_Toc30016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九、 注意事项</w:t>
      </w:r>
      <w:r>
        <w:tab/>
      </w:r>
      <w:r>
        <w:fldChar w:fldCharType="begin"/>
      </w:r>
      <w:r>
        <w:instrText xml:space="preserve"> PAGEREF _Toc30016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_Toc30354 </w:instrText>
      </w:r>
      <w:r>
        <w:fldChar w:fldCharType="separate"/>
      </w:r>
      <w:r>
        <w:t>11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_Toc5340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_Toc5340 </w:instrText>
      </w:r>
      <w:r>
        <w:fldChar w:fldCharType="separate"/>
      </w:r>
      <w:r>
        <w:t>11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_Toc19309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_Toc19309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_Toc19164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_Toc19164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_Toc7383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_Toc7383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_Toc18687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_Toc18687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_Toc25967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_Toc25967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_Toc22488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_Toc22488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_Toc27172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_Toc27172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_Toc29851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_Toc29851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_Toc22354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_Toc5704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_Toc5704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_Toc7112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_Toc7112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_Toc7443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_Toc7443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_Toc6398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_Toc6398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_Toc17989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_Toc17989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_Toc14856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_Toc14856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_Toc4071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_Toc4071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_Toc20227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_Toc20227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_Toc4849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_Toc4849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_Toc14612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_Toc14612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_Toc20441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_Toc20441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_Toc4910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_Toc4910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_Toc2229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_Toc9786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_Toc23886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_Toc23886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_Toc11099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_Toc11099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_Toc16589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_Toc16589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_Toc13658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_Toc13658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_Toc24054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_Toc8841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_Toc8841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_Toc26119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_Toc26119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_Toc17050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_Toc17050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_Toc26543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_Toc26543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_Toc30772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_Toc30407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_Toc7258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_Toc7258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_Toc29351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_Toc23007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_Toc23007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_Toc26703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_Toc10603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_Toc10603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_Toc14017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_Toc14017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_Toc6896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_Toc6896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_Toc3901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_Toc3901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_Toc16251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_Toc30779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_Toc30779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_Toc24256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_Toc24256 </w:instrText>
      </w:r>
      <w:r>
        <w:fldChar w:fldCharType="separate"/>
      </w:r>
      <w:r>
        <w:t>28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_Toc29013 </w:instrText>
      </w:r>
      <w:r>
        <w:fldChar w:fldCharType="separate"/>
      </w:r>
      <w:r>
        <w:t>28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_Toc15828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_Toc15828 </w:instrText>
      </w:r>
      <w:r>
        <w:fldChar w:fldCharType="separate"/>
      </w:r>
      <w:r>
        <w:t>32</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_Toc1933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_Toc1933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_Toc10483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_Toc10483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_Toc25729 </w:instrText>
      </w:r>
      <w:r>
        <w:fldChar w:fldCharType="separate"/>
      </w:r>
      <w:r>
        <w:t>37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_Toc16455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评分细则</w:t>
      </w:r>
      <w:r>
        <w:tab/>
      </w:r>
      <w:r>
        <w:fldChar w:fldCharType="begin"/>
      </w:r>
      <w:r>
        <w:instrText xml:space="preserve"> PAGEREF _Toc16455 </w:instrText>
      </w:r>
      <w:r>
        <w:fldChar w:fldCharType="separate"/>
      </w:r>
      <w:r>
        <w:t>38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评定办法</w:t>
      </w:r>
      <w:r>
        <w:tab/>
      </w:r>
      <w:r>
        <w:fldChar w:fldCharType="begin"/>
      </w:r>
      <w:r>
        <w:instrText xml:space="preserve"> PAGEREF _Toc30868 </w:instrText>
      </w:r>
      <w:r>
        <w:fldChar w:fldCharType="separate"/>
      </w:r>
      <w:r>
        <w:t>41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_Toc18437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_Toc18437 </w:instrText>
      </w:r>
      <w:r>
        <w:fldChar w:fldCharType="separate"/>
      </w:r>
      <w:r>
        <w:t>42</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_Toc7958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_Toc7958 </w:instrText>
      </w:r>
      <w:r>
        <w:fldChar w:fldCharType="separate"/>
      </w:r>
      <w:r>
        <w:t>44</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_Toc32354 </w:instrText>
      </w:r>
      <w:r>
        <w:fldChar w:fldCharType="separate"/>
      </w:r>
      <w:r>
        <w:t>46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_Toc21743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一</w:t>
      </w:r>
      <w:r>
        <w:rPr>
          <w:rFonts w:hint="eastAsia" w:ascii="宋体" w:hAnsi="宋体" w:eastAsia="宋体" w:cs="宋体"/>
          <w:szCs w:val="21"/>
          <w:lang w:eastAsia="zh-CN"/>
        </w:rPr>
        <w:t>、</w:t>
      </w:r>
      <w:r>
        <w:rPr>
          <w:rFonts w:hint="eastAsia" w:ascii="宋体" w:hAnsi="宋体" w:eastAsia="宋体" w:cs="宋体"/>
          <w:szCs w:val="21"/>
        </w:rPr>
        <w:t>评分标准索引表</w:t>
      </w:r>
      <w:r>
        <w:tab/>
      </w:r>
      <w:r>
        <w:fldChar w:fldCharType="begin"/>
      </w:r>
      <w:r>
        <w:instrText xml:space="preserve"> PAGEREF _Toc21743 </w:instrText>
      </w:r>
      <w:r>
        <w:fldChar w:fldCharType="separate"/>
      </w:r>
      <w:r>
        <w:t>47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_Toc20006 </w:instrText>
      </w:r>
      <w:r>
        <w:fldChar w:fldCharType="separate"/>
      </w:r>
      <w:r>
        <w:t>48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_Toc7513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、法定代表人授权书</w:t>
      </w:r>
      <w:r>
        <w:tab/>
      </w:r>
      <w:r>
        <w:fldChar w:fldCharType="begin"/>
      </w:r>
      <w:r>
        <w:instrText xml:space="preserve"> PAGEREF _Toc7513 </w:instrText>
      </w:r>
      <w:r>
        <w:fldChar w:fldCharType="separate"/>
      </w:r>
      <w:r>
        <w:t>49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_Toc10986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_Toc10986 </w:instrText>
      </w:r>
      <w:r>
        <w:fldChar w:fldCharType="separate"/>
      </w:r>
      <w:r>
        <w:t>50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_Toc19882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五</w:t>
      </w:r>
      <w:r>
        <w:rPr>
          <w:rFonts w:hint="eastAsia" w:asciiTheme="minorEastAsia" w:hAnsiTheme="minorEastAsia" w:eastAsiaTheme="minorEastAsia" w:cstheme="minorEastAsia"/>
          <w:bCs/>
          <w:szCs w:val="21"/>
        </w:rPr>
        <w:t>、报价一览表</w:t>
      </w:r>
      <w:r>
        <w:tab/>
      </w:r>
      <w:r>
        <w:fldChar w:fldCharType="begin"/>
      </w:r>
      <w:r>
        <w:instrText xml:space="preserve"> PAGEREF _Toc19882 </w:instrText>
      </w:r>
      <w:r>
        <w:fldChar w:fldCharType="separate"/>
      </w:r>
      <w:r>
        <w:t>51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报价费用构成表</w:t>
      </w:r>
      <w:r>
        <w:tab/>
      </w:r>
      <w:r>
        <w:fldChar w:fldCharType="begin"/>
      </w:r>
      <w:r>
        <w:instrText xml:space="preserve"> PAGEREF _Toc3144 </w:instrText>
      </w:r>
      <w:r>
        <w:fldChar w:fldCharType="separate"/>
      </w:r>
      <w:r>
        <w:t>52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七</w:t>
      </w:r>
      <w:r>
        <w:rPr>
          <w:rFonts w:hint="eastAsia" w:asciiTheme="minorEastAsia" w:hAnsiTheme="minorEastAsia" w:eastAsiaTheme="minorEastAsia" w:cstheme="minorEastAsia"/>
          <w:bCs/>
          <w:szCs w:val="21"/>
        </w:rPr>
        <w:t>、耗材清单</w:t>
      </w:r>
      <w:r>
        <w:tab/>
      </w:r>
      <w:r>
        <w:fldChar w:fldCharType="begin"/>
      </w:r>
      <w:r>
        <w:instrText xml:space="preserve"> PAGEREF _Toc66 </w:instrText>
      </w:r>
      <w:r>
        <w:fldChar w:fldCharType="separate"/>
      </w:r>
      <w:r>
        <w:t>53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_Toc26501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八、拟投入设备/备件、工具情况</w:t>
      </w:r>
      <w:r>
        <w:tab/>
      </w:r>
      <w:r>
        <w:fldChar w:fldCharType="begin"/>
      </w:r>
      <w:r>
        <w:instrText xml:space="preserve"> PAGEREF _Toc26501 </w:instrText>
      </w:r>
      <w:r>
        <w:fldChar w:fldCharType="separate"/>
      </w:r>
      <w:r>
        <w:t>54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_Toc12313 </w:instrText>
      </w:r>
      <w:r>
        <w:fldChar w:fldCharType="separate"/>
      </w:r>
      <w:r>
        <w:t>55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十</w:t>
      </w:r>
      <w:r>
        <w:rPr>
          <w:rFonts w:hint="eastAsia" w:asciiTheme="minorEastAsia" w:hAnsiTheme="minorEastAsia" w:eastAsiaTheme="minorEastAsia" w:cstheme="minorEastAsia"/>
          <w:bCs/>
          <w:szCs w:val="21"/>
        </w:rPr>
        <w:t>、偏离说明表</w:t>
      </w:r>
      <w:r>
        <w:tab/>
      </w:r>
      <w:r>
        <w:fldChar w:fldCharType="begin"/>
      </w:r>
      <w:r>
        <w:instrText xml:space="preserve"> PAGEREF _Toc17270 </w:instrText>
      </w:r>
      <w:r>
        <w:fldChar w:fldCharType="separate"/>
      </w:r>
      <w:r>
        <w:t>56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kern w:val="0"/>
          <w:szCs w:val="21"/>
          <w:lang w:eastAsia="zh-CN"/>
        </w:rPr>
        <w:t>一</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_Toc18816 </w:instrText>
      </w:r>
      <w:r>
        <w:fldChar w:fldCharType="separate"/>
      </w:r>
      <w:r>
        <w:t>57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_Toc8374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二</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_Toc8374 </w:instrText>
      </w:r>
      <w:r>
        <w:fldChar w:fldCharType="separate"/>
      </w:r>
      <w:r>
        <w:t>58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_Toc8711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_Toc8711 </w:instrText>
      </w:r>
      <w:r>
        <w:fldChar w:fldCharType="separate"/>
      </w:r>
      <w:r>
        <w:t>59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_Toc103 </w:instrText>
      </w:r>
      <w:r>
        <w:fldChar w:fldCharType="separate"/>
      </w:r>
      <w:r>
        <w:t>60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十五、</w:t>
      </w:r>
      <w:r>
        <w:rPr>
          <w:rFonts w:hint="eastAsia" w:asciiTheme="minorEastAsia" w:hAnsiTheme="minorEastAsia" w:eastAsiaTheme="minorEastAsia" w:cstheme="minorEastAsia"/>
          <w:bCs/>
          <w:kern w:val="0"/>
          <w:szCs w:val="21"/>
        </w:rPr>
        <w:t>报价技术文件</w:t>
      </w:r>
      <w:r>
        <w:tab/>
      </w:r>
      <w:r>
        <w:fldChar w:fldCharType="begin"/>
      </w:r>
      <w:r>
        <w:instrText xml:space="preserve"> PAGEREF _Toc6332 </w:instrText>
      </w:r>
      <w:r>
        <w:fldChar w:fldCharType="separate"/>
      </w:r>
      <w:r>
        <w:t>61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_Toc26126 </w:instrText>
      </w:r>
      <w:r>
        <w:fldChar w:fldCharType="separate"/>
      </w:r>
      <w:r>
        <w:t>62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_Toc26897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十七、</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_Toc26897 </w:instrText>
      </w:r>
      <w:r>
        <w:fldChar w:fldCharType="separate"/>
      </w:r>
      <w:r>
        <w:t>63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_Toc21843 </w:instrText>
      </w:r>
      <w:r>
        <w:fldChar w:fldCharType="separate"/>
      </w:r>
      <w:r>
        <w:t>64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十九、节能环保产品证明材料（若符合）</w:t>
      </w:r>
      <w:r>
        <w:tab/>
      </w:r>
      <w:r>
        <w:fldChar w:fldCharType="begin"/>
      </w:r>
      <w:r>
        <w:instrText xml:space="preserve"> PAGEREF _Toc20002 </w:instrText>
      </w:r>
      <w:r>
        <w:fldChar w:fldCharType="separate"/>
      </w:r>
      <w:r>
        <w:t>65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二十</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_Toc4769 </w:instrText>
      </w:r>
      <w:r>
        <w:fldChar w:fldCharType="separate"/>
      </w:r>
      <w:r>
        <w:t>66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shd w:val="clear" w:color="auto" w:fill="FFFFFF"/>
          <w:lang w:val="en-US" w:eastAsia="zh-CN"/>
        </w:rPr>
        <w:t>二十一</w:t>
      </w:r>
      <w:r>
        <w:rPr>
          <w:rFonts w:hint="eastAsia" w:asciiTheme="minorEastAsia" w:hAnsiTheme="minorEastAsia" w:eastAsiaTheme="minorEastAsia" w:cstheme="minorEastAsia"/>
          <w:bCs/>
          <w:kern w:val="0"/>
          <w:szCs w:val="21"/>
          <w:shd w:val="clear" w:color="auto" w:fill="FFFFFF"/>
        </w:rPr>
        <w:t>、磋商供应商认为应该提交的其它文件（格式自拟）</w:t>
      </w:r>
      <w:r>
        <w:tab/>
      </w:r>
      <w:r>
        <w:fldChar w:fldCharType="begin"/>
      </w:r>
      <w:r>
        <w:instrText xml:space="preserve"> PAGEREF _Toc16716 </w:instrText>
      </w:r>
      <w:r>
        <w:fldChar w:fldCharType="separate"/>
      </w:r>
      <w:r>
        <w:t>66</w:t>
      </w:r>
      <w:r>
        <w:fldChar w:fldCharType="end"/>
      </w:r>
      <w:r>
        <w:rPr>
          <w:rFonts w:hint="eastAsia" w:asciiTheme="minorEastAsia" w:hAnsiTheme="minorEastAsia" w:eastAsiaTheme="minorEastAsia" w:cstheme="minorEastAsia"/>
        </w:rPr>
        <w:fldChar w:fldCharType="end"/>
      </w:r>
    </w:p>
    <w:p>
      <w:pPr>
        <w:jc w:val="left"/>
        <w:rPr>
          <w:rFonts w:hint="eastAsia"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numPr>
          <w:ilvl w:val="0"/>
          <w:numId w:val="5"/>
        </w:numPr>
        <w:spacing w:line="360" w:lineRule="auto"/>
        <w:jc w:val="center"/>
        <w:outlineLvl w:val="0"/>
        <w:rPr>
          <w:rFonts w:hint="eastAsia"/>
          <w:b/>
          <w:bCs/>
          <w:sz w:val="24"/>
          <w:szCs w:val="24"/>
        </w:rPr>
      </w:pPr>
      <w:bookmarkStart w:id="0" w:name="_Toc6866"/>
      <w:bookmarkStart w:id="1" w:name="_Toc1628"/>
      <w:r>
        <w:rPr>
          <w:rFonts w:hint="eastAsia" w:ascii="宋体" w:hAnsi="宋体" w:cs="宋体"/>
          <w:b/>
          <w:sz w:val="36"/>
          <w:szCs w:val="36"/>
        </w:rPr>
        <w:t>竞争性磋商公告</w:t>
      </w:r>
      <w:bookmarkEnd w:id="0"/>
      <w:bookmarkEnd w:id="1"/>
      <w:bookmarkStart w:id="2" w:name="_Toc152042288"/>
      <w:bookmarkStart w:id="3" w:name="_Toc152045512"/>
      <w:bookmarkStart w:id="4" w:name="_Toc9976"/>
      <w:bookmarkStart w:id="5" w:name="_Toc144974480"/>
      <w:bookmarkStart w:id="6" w:name="_Toc524908844"/>
      <w:bookmarkStart w:id="7" w:name="_Toc179632528"/>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湖北军山工贸有限公司缝纫机设备采购项目</w:t>
      </w:r>
      <w:r>
        <w:rPr>
          <w:rFonts w:hint="eastAsia" w:ascii="宋体" w:hAnsi="宋体" w:eastAsia="宋体" w:cs="宋体"/>
          <w:color w:val="auto"/>
          <w:sz w:val="21"/>
          <w:szCs w:val="21"/>
          <w:u w:val="none"/>
          <w:lang w:val="en-US" w:eastAsia="zh-CN"/>
        </w:rPr>
        <w:t>的潜在供应商应在</w:t>
      </w:r>
      <w:r>
        <w:rPr>
          <w:rFonts w:hint="eastAsia" w:ascii="宋体" w:hAnsi="宋体" w:eastAsia="宋体" w:cs="宋体"/>
          <w:color w:val="000000"/>
          <w:sz w:val="21"/>
          <w:szCs w:val="21"/>
          <w:u w:val="single"/>
        </w:rPr>
        <w:t>中经国际招标集团有限公司</w:t>
      </w:r>
      <w:r>
        <w:rPr>
          <w:rFonts w:hint="eastAsia" w:ascii="宋体" w:hAnsi="宋体" w:eastAsia="宋体" w:cs="宋体"/>
          <w:color w:val="000000"/>
          <w:sz w:val="21"/>
          <w:szCs w:val="21"/>
          <w:u w:val="single"/>
          <w:lang w:eastAsia="zh-CN"/>
        </w:rPr>
        <w:t>（武昌区中北路岳家嘴立交山河企业大厦</w:t>
      </w:r>
      <w:r>
        <w:rPr>
          <w:rFonts w:hint="eastAsia" w:ascii="宋体" w:hAnsi="宋体" w:eastAsia="宋体" w:cs="宋体"/>
          <w:color w:val="000000"/>
          <w:sz w:val="21"/>
          <w:szCs w:val="21"/>
          <w:u w:val="single"/>
          <w:lang w:val="en-US" w:eastAsia="zh-CN"/>
        </w:rPr>
        <w:t>48楼</w:t>
      </w:r>
      <w:r>
        <w:rPr>
          <w:rFonts w:hint="eastAsia" w:ascii="宋体" w:hAnsi="宋体" w:eastAsia="宋体" w:cs="宋体"/>
          <w:color w:val="000000"/>
          <w:sz w:val="21"/>
          <w:szCs w:val="21"/>
          <w:u w:val="single"/>
          <w:lang w:eastAsia="zh-CN"/>
        </w:rPr>
        <w:t>480</w:t>
      </w:r>
      <w:r>
        <w:rPr>
          <w:rFonts w:hint="eastAsia" w:ascii="宋体" w:hAnsi="宋体" w:eastAsia="宋体" w:cs="宋体"/>
          <w:color w:val="auto"/>
          <w:sz w:val="21"/>
          <w:szCs w:val="21"/>
          <w:u w:val="single"/>
          <w:lang w:eastAsia="zh-CN"/>
        </w:rPr>
        <w:t>5室）</w:t>
      </w:r>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000000"/>
          <w:sz w:val="21"/>
          <w:szCs w:val="21"/>
        </w:rPr>
        <w:t>文件，并</w:t>
      </w:r>
      <w:r>
        <w:rPr>
          <w:rFonts w:hint="eastAsia" w:ascii="宋体" w:hAnsi="宋体" w:eastAsia="宋体" w:cs="宋体"/>
          <w:color w:val="auto"/>
          <w:sz w:val="21"/>
          <w:szCs w:val="21"/>
        </w:rPr>
        <w:t>于</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11</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14</w:t>
      </w:r>
      <w:r>
        <w:rPr>
          <w:rFonts w:hint="eastAsia" w:ascii="宋体" w:hAnsi="宋体" w:eastAsia="宋体" w:cs="宋体"/>
          <w:color w:val="auto"/>
          <w:sz w:val="21"/>
          <w:szCs w:val="21"/>
          <w:u w:val="single"/>
        </w:rPr>
        <w:t>点</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分</w:t>
      </w:r>
      <w:r>
        <w:rPr>
          <w:rFonts w:hint="eastAsia" w:ascii="宋体" w:hAnsi="宋体" w:eastAsia="宋体" w:cs="宋体"/>
          <w:color w:val="auto"/>
          <w:sz w:val="21"/>
          <w:szCs w:val="21"/>
        </w:rPr>
        <w:t>（北京时间）前递交</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4"/>
        <w:numPr>
          <w:ilvl w:val="0"/>
          <w:numId w:val="6"/>
        </w:numPr>
        <w:spacing w:line="360" w:lineRule="auto"/>
        <w:jc w:val="left"/>
        <w:rPr>
          <w:rFonts w:hint="eastAsia" w:ascii="宋体" w:hAnsi="宋体" w:eastAsia="宋体" w:cs="宋体"/>
          <w:color w:val="000000"/>
          <w:sz w:val="21"/>
          <w:szCs w:val="21"/>
        </w:rPr>
      </w:pPr>
      <w:bookmarkStart w:id="8" w:name="_Toc24710"/>
      <w:r>
        <w:rPr>
          <w:rFonts w:hint="eastAsia" w:ascii="宋体" w:hAnsi="宋体" w:eastAsia="宋体" w:cs="宋体"/>
          <w:color w:val="000000"/>
          <w:sz w:val="21"/>
          <w:szCs w:val="21"/>
        </w:rPr>
        <w:t>项目基本情况</w:t>
      </w:r>
      <w:bookmarkEnd w:id="8"/>
    </w:p>
    <w:p>
      <w:pPr>
        <w:spacing w:line="360" w:lineRule="auto"/>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1、项目编号：ZJZB-202010-283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FF0000"/>
          <w:sz w:val="21"/>
          <w:szCs w:val="21"/>
        </w:rPr>
        <w:br w:type="textWrapping"/>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、项目名称：湖北军山工贸有限公司缝纫机设备采购项目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4、采购方式：竞争性磋商</w:t>
      </w:r>
    </w:p>
    <w:p>
      <w:pPr>
        <w:spacing w:line="360" w:lineRule="auto"/>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、预算</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金额</w:t>
      </w:r>
      <w:r>
        <w:rPr>
          <w:rFonts w:hint="eastAsia" w:asciiTheme="minorEastAsia" w:hAnsiTheme="minorEastAsia" w:eastAsiaTheme="minorEastAsia" w:cstheme="minorEastAsia"/>
          <w:color w:val="000000" w:themeColor="text1"/>
          <w:sz w:val="21"/>
          <w:szCs w:val="21"/>
          <w14:textFill>
            <w14:solidFill>
              <w14:schemeClr w14:val="tx1"/>
            </w14:solidFill>
          </w14:textFill>
        </w:rPr>
        <w:t>：人民币</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71.64</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万元（含财政资金</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万元，其他资金</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71.64</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6、最高限价：</w:t>
      </w:r>
      <w:r>
        <w:rPr>
          <w:rFonts w:hint="eastAsia" w:asciiTheme="minorEastAsia" w:hAnsiTheme="minorEastAsia" w:eastAsiaTheme="minorEastAsia" w:cstheme="minorEastAsia"/>
          <w:color w:val="000000" w:themeColor="text1"/>
          <w:sz w:val="21"/>
          <w:szCs w:val="21"/>
          <w14:textFill>
            <w14:solidFill>
              <w14:schemeClr w14:val="tx1"/>
            </w14:solidFill>
          </w14:textFill>
        </w:rPr>
        <w:t>人民币</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71.64</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采购需求：</w:t>
      </w:r>
      <w:r>
        <w:rPr>
          <w:rFonts w:hint="eastAsia" w:asciiTheme="minorEastAsia" w:hAnsiTheme="minorEastAsia" w:eastAsiaTheme="minorEastAsia" w:cstheme="minorEastAsia"/>
          <w:color w:val="auto"/>
          <w:sz w:val="21"/>
          <w:szCs w:val="21"/>
        </w:rPr>
        <w:t>(详</w:t>
      </w:r>
      <w:r>
        <w:rPr>
          <w:rFonts w:hint="eastAsia" w:asciiTheme="minorEastAsia" w:hAnsiTheme="minorEastAsia" w:eastAsiaTheme="minorEastAsia" w:cstheme="minorEastAsia"/>
          <w:color w:val="000000"/>
          <w:sz w:val="21"/>
          <w:szCs w:val="21"/>
        </w:rPr>
        <w:t>见采购文件第三章“项目采购需求”）</w:t>
      </w:r>
    </w:p>
    <w:tbl>
      <w:tblPr>
        <w:tblStyle w:val="27"/>
        <w:tblpPr w:leftFromText="180" w:rightFromText="180" w:vertAnchor="text" w:horzAnchor="page" w:tblpXSpec="center" w:tblpY="33"/>
        <w:tblOverlap w:val="never"/>
        <w:tblW w:w="4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4847"/>
        <w:gridCol w:w="115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品名</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数量</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全自动贴袋机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全自动双针订襻机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开袋机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森本橡筋拉腰机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辘脚机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3针6线包袋机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绘图仪</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AO读图仪</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配套品牌电脑</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电脑花样机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电脑平缝机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自动送扣钉扣机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92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上腰专用单杆双针机</w:t>
            </w:r>
          </w:p>
        </w:tc>
        <w:tc>
          <w:tcPr>
            <w:tcW w:w="69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20"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r>
    </w:tbl>
    <w:p>
      <w:pPr>
        <w:outlineLvl w:val="9"/>
        <w:rPr>
          <w:rFonts w:hint="eastAsia"/>
        </w:rPr>
      </w:pPr>
    </w:p>
    <w:p>
      <w:pPr>
        <w:spacing w:line="360" w:lineRule="auto"/>
        <w:ind w:firstLine="420" w:firstLineChars="200"/>
        <w:jc w:val="left"/>
        <w:rPr>
          <w:rFonts w:hint="eastAsia" w:ascii="宋体" w:hAnsi="宋体" w:eastAsia="宋体" w:cs="宋体"/>
          <w:color w:val="auto"/>
          <w:sz w:val="21"/>
          <w:szCs w:val="21"/>
          <w:highlight w:val="yellow"/>
        </w:rPr>
      </w:pPr>
    </w:p>
    <w:p>
      <w:pPr>
        <w:numPr>
          <w:ilvl w:val="0"/>
          <w:numId w:val="7"/>
        </w:numPr>
        <w:spacing w:line="360" w:lineRule="auto"/>
        <w:ind w:left="420" w:left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类别：</w:t>
      </w:r>
      <w:r>
        <w:rPr>
          <w:rFonts w:hint="eastAsia" w:ascii="宋体" w:hAnsi="宋体" w:eastAsia="宋体" w:cs="宋体"/>
          <w:color w:val="000000" w:themeColor="text1"/>
          <w:szCs w:val="21"/>
          <w:lang w:val="en-US" w:eastAsia="zh-CN"/>
          <w14:textFill>
            <w14:solidFill>
              <w14:schemeClr w14:val="tx1"/>
            </w14:solidFill>
          </w14:textFill>
        </w:rPr>
        <w:t>货物</w:t>
      </w:r>
    </w:p>
    <w:p>
      <w:pPr>
        <w:numPr>
          <w:ilvl w:val="0"/>
          <w:numId w:val="7"/>
        </w:numPr>
        <w:spacing w:line="360" w:lineRule="auto"/>
        <w:ind w:left="420" w:leftChars="200"/>
        <w:jc w:val="left"/>
        <w:rPr>
          <w:rFonts w:ascii="宋体" w:hAnsi="宋体" w:cs="宋体"/>
          <w:color w:val="000000" w:themeColor="text1"/>
          <w:szCs w:val="21"/>
          <w14:textFill>
            <w14:solidFill>
              <w14:schemeClr w14:val="tx1"/>
            </w14:solidFill>
          </w14:textFill>
        </w:rPr>
      </w:pPr>
      <w:r>
        <w:rPr>
          <w:rFonts w:hint="eastAsia" w:ascii="宋体" w:hAnsi="宋体" w:eastAsia="宋体" w:cs="宋体"/>
          <w:b w:val="0"/>
          <w:bCs w:val="0"/>
          <w:kern w:val="2"/>
          <w:sz w:val="21"/>
          <w:szCs w:val="21"/>
          <w:lang w:val="en-US" w:eastAsia="zh-CN" w:bidi="ar-SA"/>
        </w:rPr>
        <w:t>交货期：</w:t>
      </w:r>
      <w:r>
        <w:rPr>
          <w:rFonts w:hint="eastAsia" w:ascii="宋体" w:hAnsi="宋体" w:cs="宋体"/>
          <w:color w:val="000000" w:themeColor="text1"/>
          <w:szCs w:val="21"/>
          <w14:textFill>
            <w14:solidFill>
              <w14:schemeClr w14:val="tx1"/>
            </w14:solidFill>
          </w14:textFill>
        </w:rPr>
        <w:t>合同签订后</w:t>
      </w:r>
      <w:r>
        <w:rPr>
          <w:rFonts w:hint="eastAsia"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日历天内供货，供货完成后</w:t>
      </w:r>
      <w:r>
        <w:rPr>
          <w:rFonts w:hint="eastAsia" w:ascii="宋体" w:hAnsi="宋体" w:cs="宋体"/>
          <w:color w:val="000000" w:themeColor="text1"/>
          <w:szCs w:val="21"/>
          <w:u w:val="single"/>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天内完成安装调试</w:t>
      </w:r>
    </w:p>
    <w:p>
      <w:pPr>
        <w:numPr>
          <w:ilvl w:val="0"/>
          <w:numId w:val="7"/>
        </w:numPr>
        <w:spacing w:line="360" w:lineRule="auto"/>
        <w:ind w:left="420" w:leftChars="200"/>
        <w:jc w:val="left"/>
        <w:rPr>
          <w:rFonts w:hint="eastAsia" w:ascii="宋体" w:hAnsi="宋体" w:eastAsia="宋体" w:cs="宋体"/>
          <w:color w:val="000000"/>
          <w:sz w:val="21"/>
          <w:szCs w:val="21"/>
        </w:rPr>
      </w:pPr>
      <w:r>
        <w:rPr>
          <w:rFonts w:hint="eastAsia" w:ascii="宋体" w:hAnsi="宋体" w:eastAsia="宋体" w:cs="宋体"/>
          <w:b w:val="0"/>
          <w:bCs w:val="0"/>
          <w:kern w:val="2"/>
          <w:sz w:val="21"/>
          <w:szCs w:val="21"/>
          <w:lang w:val="en-US" w:eastAsia="zh-CN" w:bidi="ar-SA"/>
        </w:rPr>
        <w:t>质保期/保修期：</w:t>
      </w:r>
      <w:r>
        <w:rPr>
          <w:rFonts w:hint="eastAsia" w:ascii="宋体" w:hAnsi="宋体" w:cs="宋体"/>
          <w:color w:val="000000" w:themeColor="text1"/>
          <w:szCs w:val="21"/>
          <w14:textFill>
            <w14:solidFill>
              <w14:schemeClr w14:val="tx1"/>
            </w14:solidFill>
          </w14:textFill>
        </w:rPr>
        <w:t>验收合格之日算起，质保期限为</w:t>
      </w:r>
      <w:r>
        <w:rPr>
          <w:rFonts w:hint="eastAsia" w:ascii="宋体" w:hAnsi="宋体" w:cs="宋体"/>
          <w:color w:val="000000" w:themeColor="text1"/>
          <w:szCs w:val="21"/>
          <w:lang w:eastAsia="zh-CN"/>
          <w14:textFill>
            <w14:solidFill>
              <w14:schemeClr w14:val="tx1"/>
            </w14:solidFill>
          </w14:textFill>
        </w:rPr>
        <w:t>三</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eastAsia="zh-CN"/>
          <w14:textFill>
            <w14:solidFill>
              <w14:schemeClr w14:val="tx1"/>
            </w14:solidFill>
          </w14:textFill>
        </w:rPr>
        <w:t>。</w:t>
      </w:r>
    </w:p>
    <w:p>
      <w:pPr>
        <w:numPr>
          <w:ilvl w:val="0"/>
          <w:numId w:val="7"/>
        </w:numPr>
        <w:spacing w:line="360" w:lineRule="auto"/>
        <w:ind w:left="420" w:left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质量标准：达到国家或行业颁布的其他现行各项技术标准和验收规范规定</w:t>
      </w:r>
    </w:p>
    <w:p>
      <w:pPr>
        <w:numPr>
          <w:ilvl w:val="0"/>
          <w:numId w:val="7"/>
        </w:numPr>
        <w:spacing w:line="360" w:lineRule="auto"/>
        <w:ind w:left="420" w:left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其他</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竞标</w:t>
      </w:r>
      <w:r>
        <w:rPr>
          <w:rFonts w:hint="eastAsia" w:ascii="宋体" w:hAnsi="宋体" w:eastAsia="宋体" w:cs="宋体"/>
          <w:color w:val="000000" w:themeColor="text1"/>
          <w:sz w:val="21"/>
          <w:szCs w:val="21"/>
          <w14:textFill>
            <w14:solidFill>
              <w14:schemeClr w14:val="tx1"/>
            </w14:solidFill>
          </w14:textFill>
        </w:rPr>
        <w:t>的报价超过该包采购最高限价的，该包</w:t>
      </w:r>
      <w:r>
        <w:rPr>
          <w:rFonts w:hint="eastAsia" w:ascii="宋体" w:hAnsi="宋体" w:eastAsia="宋体" w:cs="宋体"/>
          <w:color w:val="000000" w:themeColor="text1"/>
          <w:sz w:val="21"/>
          <w:szCs w:val="21"/>
          <w:lang w:eastAsia="zh-CN"/>
          <w14:textFill>
            <w14:solidFill>
              <w14:schemeClr w14:val="tx1"/>
            </w14:solidFill>
          </w14:textFill>
        </w:rPr>
        <w:t>竞标</w:t>
      </w:r>
      <w:r>
        <w:rPr>
          <w:rFonts w:hint="eastAsia" w:ascii="宋体" w:hAnsi="宋体" w:eastAsia="宋体" w:cs="宋体"/>
          <w:color w:val="000000" w:themeColor="text1"/>
          <w:sz w:val="21"/>
          <w:szCs w:val="21"/>
          <w14:textFill>
            <w14:solidFill>
              <w14:schemeClr w14:val="tx1"/>
            </w14:solidFill>
          </w14:textFill>
        </w:rPr>
        <w:t>无效；</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报价须包含该采购</w:t>
      </w:r>
      <w:r>
        <w:rPr>
          <w:rFonts w:hint="eastAsia" w:ascii="宋体" w:hAnsi="宋体" w:eastAsia="宋体" w:cs="宋体"/>
          <w:color w:val="000000" w:themeColor="text1"/>
          <w:sz w:val="21"/>
          <w:szCs w:val="21"/>
          <w:lang w:eastAsia="zh-CN"/>
          <w14:textFill>
            <w14:solidFill>
              <w14:schemeClr w14:val="tx1"/>
            </w14:solidFill>
          </w14:textFill>
        </w:rPr>
        <w:t>需求</w:t>
      </w:r>
      <w:r>
        <w:rPr>
          <w:rFonts w:hint="eastAsia" w:ascii="宋体" w:hAnsi="宋体" w:eastAsia="宋体" w:cs="宋体"/>
          <w:color w:val="000000" w:themeColor="text1"/>
          <w:sz w:val="21"/>
          <w:szCs w:val="21"/>
          <w14:textFill>
            <w14:solidFill>
              <w14:schemeClr w14:val="tx1"/>
            </w14:solidFill>
          </w14:textFill>
        </w:rPr>
        <w:t>的全部内容。</w:t>
      </w:r>
    </w:p>
    <w:p>
      <w:pPr>
        <w:numPr>
          <w:ilvl w:val="0"/>
          <w:numId w:val="0"/>
        </w:numPr>
        <w:spacing w:line="360" w:lineRule="auto"/>
        <w:jc w:val="left"/>
        <w:rPr>
          <w:rFonts w:hint="eastAsia" w:ascii="宋体" w:hAnsi="宋体" w:eastAsia="宋体" w:cs="宋体"/>
          <w:strike/>
          <w:dstrike w:val="0"/>
          <w:sz w:val="21"/>
          <w:szCs w:val="21"/>
          <w:lang w:eastAsia="zh-CN"/>
        </w:rPr>
      </w:pP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、合同履行期限</w:t>
      </w:r>
      <w:r>
        <w:rPr>
          <w:rFonts w:hint="eastAsia" w:ascii="宋体" w:hAnsi="宋体" w:eastAsia="宋体" w:cs="宋体"/>
          <w:color w:val="000000" w:themeColor="text1"/>
          <w:sz w:val="21"/>
          <w:szCs w:val="21"/>
          <w:lang w:eastAsia="zh-CN"/>
          <w14:textFill>
            <w14:solidFill>
              <w14:schemeClr w14:val="tx1"/>
            </w14:solidFill>
          </w14:textFill>
        </w:rPr>
        <w:t>：合同签订后10日历天内供货，供货完成后20天内完成安装调试</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FF0000"/>
          <w:sz w:val="21"/>
          <w:szCs w:val="21"/>
          <w:u w:val="none"/>
          <w:lang w:eastAsia="zh-CN"/>
        </w:rPr>
        <w:t xml:space="preserve">  </w:t>
      </w:r>
      <w:r>
        <w:rPr>
          <w:rFonts w:hint="eastAsia" w:ascii="宋体" w:hAnsi="宋体" w:eastAsia="宋体" w:cs="宋体"/>
          <w:color w:val="FF0000"/>
          <w:sz w:val="21"/>
          <w:szCs w:val="21"/>
          <w:u w:val="none"/>
          <w:lang w:val="en-US" w:eastAsia="zh-CN"/>
        </w:rPr>
        <w:t xml:space="preserve"> </w:t>
      </w:r>
      <w:r>
        <w:rPr>
          <w:rFonts w:hint="eastAsia" w:ascii="宋体" w:hAnsi="宋体" w:eastAsia="宋体" w:cs="宋体"/>
          <w:color w:val="FF0000"/>
          <w:sz w:val="21"/>
          <w:szCs w:val="21"/>
          <w:u w:val="single"/>
          <w:lang w:val="en-US" w:eastAsia="zh-CN"/>
        </w:rPr>
        <w:t xml:space="preserve">                </w:t>
      </w:r>
    </w:p>
    <w:p>
      <w:pPr>
        <w:numPr>
          <w:ilvl w:val="0"/>
          <w:numId w:val="0"/>
        </w:num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本项目</w:t>
      </w:r>
      <w:r>
        <w:rPr>
          <w:rFonts w:hint="eastAsia" w:ascii="宋体" w:hAnsi="宋体" w:eastAsia="宋体" w:cs="宋体"/>
          <w:color w:val="000000" w:themeColor="text1"/>
          <w:sz w:val="21"/>
          <w:szCs w:val="21"/>
          <w:u w:val="single"/>
          <w:lang w:val="en-US" w:eastAsia="zh-CN"/>
          <w14:textFill>
            <w14:solidFill>
              <w14:schemeClr w14:val="tx1"/>
            </w14:solidFill>
          </w14:textFill>
        </w:rPr>
        <w:t>不接受</w:t>
      </w:r>
      <w:r>
        <w:rPr>
          <w:rFonts w:hint="eastAsia" w:ascii="宋体" w:hAnsi="宋体" w:eastAsia="宋体" w:cs="宋体"/>
          <w:color w:val="000000" w:themeColor="text1"/>
          <w:sz w:val="21"/>
          <w:szCs w:val="21"/>
          <w:lang w:val="en-US" w:eastAsia="zh-CN"/>
          <w14:textFill>
            <w14:solidFill>
              <w14:schemeClr w14:val="tx1"/>
            </w14:solidFill>
          </w14:textFill>
        </w:rPr>
        <w:t>联合体竞标；</w:t>
      </w:r>
    </w:p>
    <w:p>
      <w:pPr>
        <w:pStyle w:val="4"/>
        <w:numPr>
          <w:ilvl w:val="0"/>
          <w:numId w:val="6"/>
        </w:numPr>
        <w:spacing w:line="360" w:lineRule="auto"/>
        <w:jc w:val="left"/>
        <w:rPr>
          <w:rFonts w:hint="eastAsia" w:ascii="宋体" w:hAnsi="宋体" w:eastAsia="宋体" w:cs="宋体"/>
          <w:sz w:val="21"/>
          <w:szCs w:val="21"/>
        </w:rPr>
      </w:pPr>
      <w:bookmarkStart w:id="9" w:name="_Toc20667"/>
      <w:r>
        <w:rPr>
          <w:rFonts w:hint="eastAsia" w:ascii="宋体" w:hAnsi="宋体" w:eastAsia="宋体" w:cs="宋体"/>
          <w:sz w:val="21"/>
          <w:szCs w:val="21"/>
        </w:rPr>
        <w:t>申请人的资格要求</w:t>
      </w:r>
      <w:bookmarkEnd w:id="9"/>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满足《中华人民共和国政府采购法》第二十二条规定；</w:t>
      </w:r>
    </w:p>
    <w:p>
      <w:pPr>
        <w:spacing w:line="360" w:lineRule="auto"/>
        <w:ind w:left="44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1.1具有独立承担民事责任的能力；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1.2具有良好的商业信誉和健全的财务会计制度；</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1.3具有履行合同所必需的设备和专业技术能力；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1.4有依法缴纳税收和社会保障资金的良好记录；</w:t>
      </w:r>
    </w:p>
    <w:p>
      <w:pPr>
        <w:spacing w:line="360" w:lineRule="auto"/>
        <w:ind w:left="420" w:firstLine="315" w:firstLineChars="150"/>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1.5参加政府采购活动前三年内，在经营活动中没有重大违法记录</w:t>
      </w:r>
      <w:r>
        <w:rPr>
          <w:rFonts w:hint="eastAsia" w:asciiTheme="minorEastAsia" w:hAnsiTheme="minorEastAsia" w:eastAsiaTheme="minorEastAsia" w:cstheme="minorEastAsia"/>
          <w:color w:val="000000"/>
          <w:sz w:val="21"/>
          <w:szCs w:val="21"/>
          <w:lang w:eastAsia="zh-CN"/>
        </w:rPr>
        <w:t>；（重大违法记录是指供应商因违法经营受到刑事处罚或者责令停产停业、吊销许可证或者执照、较大数额罚款等行政处罚）</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1.6法律、行政法规规定的其他条件；</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单位负责人为同一人或者存在直接控股、管理关系的不同投标人，不得参加本项目同一合同项下的政府采购活动。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为本采购项目提供整体设计、规范编制或者项目管理、监理、检测等服务的，不得再参加本项目的其他招标采购活动。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未被列入失信被执行人、重大税收违法案件当事人名单，未被列入政府采购严重违法失信行为记录名单。</w:t>
      </w:r>
    </w:p>
    <w:p>
      <w:pPr>
        <w:numPr>
          <w:ilvl w:val="0"/>
          <w:numId w:val="8"/>
        </w:numPr>
        <w:spacing w:line="360" w:lineRule="auto"/>
        <w:ind w:firstLine="420" w:firstLineChars="200"/>
        <w:jc w:val="left"/>
        <w:rPr>
          <w:rFonts w:hint="eastAsia" w:asciiTheme="minorEastAsia" w:hAnsiTheme="minorEastAsia" w:eastAsiaTheme="minorEastAsia" w:cstheme="minorEastAsia"/>
          <w:strike w:val="0"/>
          <w:dstrike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落实政府采购政策需满足的资格要求：</w:t>
      </w:r>
      <w:r>
        <w:rPr>
          <w:rFonts w:hint="eastAsia" w:asciiTheme="minorEastAsia" w:hAnsiTheme="minorEastAsia" w:eastAsiaTheme="minorEastAsia" w:cstheme="minorEastAsia"/>
          <w:strike w:val="0"/>
          <w:dstrike w:val="0"/>
          <w:color w:val="000000" w:themeColor="text1"/>
          <w:sz w:val="21"/>
          <w:szCs w:val="21"/>
          <w14:textFill>
            <w14:solidFill>
              <w14:schemeClr w14:val="tx1"/>
            </w14:solidFill>
          </w14:textFill>
        </w:rPr>
        <w:t>详见</w:t>
      </w:r>
      <w:r>
        <w:rPr>
          <w:rFonts w:hint="eastAsia" w:asciiTheme="minorEastAsia" w:hAnsiTheme="minorEastAsia" w:eastAsiaTheme="minorEastAsia" w:cstheme="minorEastAsia"/>
          <w:strike w:val="0"/>
          <w:dstrike w:val="0"/>
          <w:color w:val="000000" w:themeColor="text1"/>
          <w:sz w:val="21"/>
          <w:szCs w:val="21"/>
          <w:lang w:val="en-US" w:eastAsia="zh-CN"/>
          <w14:textFill>
            <w14:solidFill>
              <w14:schemeClr w14:val="tx1"/>
            </w14:solidFill>
          </w14:textFill>
        </w:rPr>
        <w:t>采购</w:t>
      </w:r>
      <w:r>
        <w:rPr>
          <w:rFonts w:hint="eastAsia" w:asciiTheme="minorEastAsia" w:hAnsiTheme="minorEastAsia" w:eastAsiaTheme="minorEastAsia" w:cstheme="minorEastAsia"/>
          <w:strike w:val="0"/>
          <w:dstrike w:val="0"/>
          <w:color w:val="000000" w:themeColor="text1"/>
          <w:sz w:val="21"/>
          <w:szCs w:val="21"/>
          <w14:textFill>
            <w14:solidFill>
              <w14:schemeClr w14:val="tx1"/>
            </w14:solidFill>
          </w14:textFill>
        </w:rPr>
        <w:t>文件；</w:t>
      </w:r>
    </w:p>
    <w:p>
      <w:pPr>
        <w:numPr>
          <w:ilvl w:val="0"/>
          <w:numId w:val="8"/>
        </w:numPr>
        <w:spacing w:line="360" w:lineRule="auto"/>
        <w:ind w:firstLine="422" w:firstLineChars="200"/>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本项目的特定资格要求：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6.2供应商营业执照的经营范围需满足采购需求；</w:t>
      </w:r>
    </w:p>
    <w:p>
      <w:pPr>
        <w:pStyle w:val="4"/>
        <w:numPr>
          <w:ilvl w:val="0"/>
          <w:numId w:val="6"/>
        </w:numPr>
        <w:spacing w:line="360" w:lineRule="auto"/>
        <w:jc w:val="left"/>
        <w:rPr>
          <w:rFonts w:hint="eastAsia" w:ascii="宋体" w:hAnsi="宋体" w:eastAsia="宋体" w:cs="宋体"/>
          <w:sz w:val="21"/>
          <w:szCs w:val="21"/>
        </w:rPr>
      </w:pPr>
      <w:bookmarkStart w:id="10" w:name="_Toc30193"/>
      <w:bookmarkStart w:id="11" w:name="_Toc334539185"/>
      <w:r>
        <w:rPr>
          <w:rFonts w:hint="eastAsia" w:ascii="宋体" w:hAnsi="宋体" w:eastAsia="宋体" w:cs="宋体"/>
          <w:sz w:val="21"/>
          <w:szCs w:val="21"/>
        </w:rPr>
        <w:t>获取</w:t>
      </w:r>
      <w:r>
        <w:rPr>
          <w:rFonts w:hint="eastAsia" w:ascii="宋体" w:hAnsi="宋体" w:eastAsia="宋体" w:cs="宋体"/>
          <w:sz w:val="21"/>
          <w:szCs w:val="21"/>
          <w:lang w:eastAsia="zh-CN"/>
        </w:rPr>
        <w:t>采购</w:t>
      </w:r>
      <w:r>
        <w:rPr>
          <w:rFonts w:hint="eastAsia" w:ascii="宋体" w:hAnsi="宋体" w:eastAsia="宋体" w:cs="宋体"/>
          <w:sz w:val="21"/>
          <w:szCs w:val="21"/>
        </w:rPr>
        <w:t>文件</w:t>
      </w:r>
      <w:bookmarkEnd w:id="10"/>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22</w:t>
      </w:r>
      <w:r>
        <w:rPr>
          <w:rFonts w:hint="eastAsia" w:ascii="宋体" w:hAnsi="宋体" w:eastAsia="宋体" w:cs="宋体"/>
          <w:sz w:val="21"/>
          <w:szCs w:val="21"/>
          <w:u w:val="single"/>
        </w:rPr>
        <w:t>日至</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28</w:t>
      </w:r>
      <w:r>
        <w:rPr>
          <w:rFonts w:hint="eastAsia" w:ascii="宋体" w:hAnsi="宋体" w:eastAsia="宋体" w:cs="宋体"/>
          <w:sz w:val="21"/>
          <w:szCs w:val="21"/>
          <w:u w:val="single"/>
        </w:rPr>
        <w:t>日</w:t>
      </w:r>
      <w:r>
        <w:rPr>
          <w:rFonts w:hint="eastAsia" w:ascii="宋体" w:hAnsi="宋体" w:eastAsia="宋体" w:cs="宋体"/>
          <w:sz w:val="21"/>
          <w:szCs w:val="21"/>
        </w:rPr>
        <w:t>（提供期限自本公告发布</w:t>
      </w:r>
      <w:r>
        <w:rPr>
          <w:rFonts w:hint="eastAsia" w:ascii="宋体" w:hAnsi="宋体" w:eastAsia="宋体" w:cs="宋体"/>
          <w:sz w:val="21"/>
          <w:szCs w:val="21"/>
          <w:lang w:eastAsia="zh-CN"/>
        </w:rPr>
        <w:t>之</w:t>
      </w:r>
      <w:r>
        <w:rPr>
          <w:rFonts w:hint="eastAsia" w:ascii="宋体" w:hAnsi="宋体" w:eastAsia="宋体" w:cs="宋体"/>
          <w:sz w:val="21"/>
          <w:szCs w:val="21"/>
        </w:rPr>
        <w:t>日起</w:t>
      </w:r>
      <w:r>
        <w:rPr>
          <w:rFonts w:hint="eastAsia" w:ascii="宋体" w:hAnsi="宋体" w:eastAsia="宋体" w:cs="宋体"/>
          <w:sz w:val="21"/>
          <w:szCs w:val="21"/>
          <w:lang w:eastAsia="zh-CN"/>
        </w:rPr>
        <w:t>至少</w:t>
      </w:r>
      <w:r>
        <w:rPr>
          <w:rFonts w:hint="eastAsia" w:ascii="宋体" w:hAnsi="宋体" w:eastAsia="宋体" w:cs="宋体"/>
          <w:sz w:val="21"/>
          <w:szCs w:val="21"/>
        </w:rPr>
        <w:t>5个工作日），每天上午</w:t>
      </w:r>
      <w:r>
        <w:rPr>
          <w:rFonts w:hint="eastAsia" w:ascii="宋体" w:hAnsi="宋体" w:eastAsia="宋体" w:cs="宋体"/>
          <w:sz w:val="21"/>
          <w:szCs w:val="21"/>
          <w:lang w:val="en-US" w:eastAsia="zh-CN"/>
        </w:rPr>
        <w:t>09:00</w:t>
      </w:r>
      <w:r>
        <w:rPr>
          <w:rFonts w:hint="eastAsia" w:ascii="宋体" w:hAnsi="宋体" w:eastAsia="宋体" w:cs="宋体"/>
          <w:sz w:val="21"/>
          <w:szCs w:val="21"/>
        </w:rPr>
        <w:t>至</w:t>
      </w:r>
      <w:r>
        <w:rPr>
          <w:rFonts w:hint="eastAsia" w:ascii="宋体" w:hAnsi="宋体" w:eastAsia="宋体" w:cs="宋体"/>
          <w:sz w:val="21"/>
          <w:szCs w:val="21"/>
          <w:lang w:val="en-US" w:eastAsia="zh-CN"/>
        </w:rPr>
        <w:t>12:00</w:t>
      </w:r>
      <w:r>
        <w:rPr>
          <w:rFonts w:hint="eastAsia" w:ascii="宋体" w:hAnsi="宋体" w:eastAsia="宋体" w:cs="宋体"/>
          <w:sz w:val="21"/>
          <w:szCs w:val="21"/>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至</w:t>
      </w:r>
      <w:r>
        <w:rPr>
          <w:rFonts w:hint="eastAsia" w:ascii="宋体" w:hAnsi="宋体" w:eastAsia="宋体" w:cs="宋体"/>
          <w:sz w:val="21"/>
          <w:szCs w:val="21"/>
          <w:lang w:val="en-US" w:eastAsia="zh-CN"/>
        </w:rPr>
        <w:t>17:00</w:t>
      </w:r>
      <w:r>
        <w:rPr>
          <w:rFonts w:hint="eastAsia" w:ascii="宋体" w:hAnsi="宋体" w:eastAsia="宋体" w:cs="宋体"/>
          <w:sz w:val="21"/>
          <w:szCs w:val="21"/>
        </w:rPr>
        <w:t>（北京时间，法定节假日除外）</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地点：武昌区中北路岳家嘴立交山河企业大厦</w:t>
      </w:r>
      <w:r>
        <w:rPr>
          <w:rFonts w:hint="eastAsia" w:ascii="宋体" w:hAnsi="宋体" w:eastAsia="宋体" w:cs="宋体"/>
          <w:sz w:val="21"/>
          <w:szCs w:val="21"/>
          <w:lang w:val="en-US" w:eastAsia="zh-CN"/>
        </w:rPr>
        <w:t>48楼</w:t>
      </w:r>
      <w:r>
        <w:rPr>
          <w:rFonts w:hint="eastAsia" w:ascii="宋体" w:hAnsi="宋体" w:eastAsia="宋体" w:cs="宋体"/>
          <w:sz w:val="21"/>
          <w:szCs w:val="21"/>
        </w:rPr>
        <w:t>4805室；</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color w:val="auto"/>
          <w:sz w:val="21"/>
          <w:szCs w:val="21"/>
          <w:lang w:eastAsia="zh-CN"/>
        </w:rPr>
        <w:t>现场获取</w:t>
      </w:r>
      <w:r>
        <w:rPr>
          <w:rFonts w:hint="eastAsia" w:ascii="宋体" w:hAnsi="宋体" w:eastAsia="宋体" w:cs="宋体"/>
          <w:b w:val="0"/>
          <w:bCs w:val="0"/>
          <w:color w:val="auto"/>
          <w:sz w:val="21"/>
          <w:szCs w:val="21"/>
        </w:rPr>
        <w:t>：</w:t>
      </w:r>
      <w:bookmarkEnd w:id="11"/>
      <w:r>
        <w:rPr>
          <w:rFonts w:hint="eastAsia" w:ascii="宋体" w:hAnsi="宋体" w:eastAsia="宋体" w:cs="宋体"/>
          <w:b w:val="0"/>
          <w:bCs w:val="0"/>
          <w:color w:val="auto"/>
          <w:sz w:val="21"/>
          <w:szCs w:val="21"/>
        </w:rPr>
        <w:t>1）法定代表人领取的，凭法定代表人身份证明书（格式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）及法定代表人身份证原件领取；2）法定代表人委托他人领取的，凭法定代表人授权书（格式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）及受托人身份证原件领取</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）加盖</w:t>
      </w:r>
      <w:r>
        <w:rPr>
          <w:rFonts w:hint="eastAsia" w:ascii="宋体" w:hAnsi="宋体" w:eastAsia="宋体" w:cs="宋体"/>
          <w:b w:val="0"/>
          <w:bCs w:val="0"/>
          <w:color w:val="auto"/>
          <w:sz w:val="21"/>
          <w:szCs w:val="21"/>
          <w:lang w:val="en-US" w:eastAsia="zh-CN"/>
        </w:rPr>
        <w:t>公章</w:t>
      </w:r>
      <w:r>
        <w:rPr>
          <w:rFonts w:hint="eastAsia" w:ascii="宋体" w:hAnsi="宋体" w:eastAsia="宋体" w:cs="宋体"/>
          <w:b w:val="0"/>
          <w:bCs w:val="0"/>
          <w:color w:val="auto"/>
          <w:sz w:val="21"/>
          <w:szCs w:val="21"/>
        </w:rPr>
        <w:t>的营业执照</w:t>
      </w:r>
      <w:r>
        <w:rPr>
          <w:rFonts w:hint="eastAsia" w:ascii="宋体" w:hAnsi="宋体" w:eastAsia="宋体" w:cs="宋体"/>
          <w:b w:val="0"/>
          <w:bCs w:val="0"/>
          <w:color w:val="auto"/>
          <w:sz w:val="21"/>
          <w:szCs w:val="21"/>
          <w:lang w:val="en-US" w:eastAsia="zh-CN"/>
        </w:rPr>
        <w:t>真彩扫描件、项目报名表</w:t>
      </w:r>
      <w:r>
        <w:rPr>
          <w:rFonts w:hint="eastAsia" w:ascii="宋体" w:hAnsi="宋体" w:eastAsia="宋体" w:cs="宋体"/>
          <w:b w:val="0"/>
          <w:bCs w:val="0"/>
          <w:color w:val="auto"/>
          <w:sz w:val="21"/>
          <w:szCs w:val="21"/>
        </w:rPr>
        <w:t>（格式见附件）</w:t>
      </w:r>
      <w:r>
        <w:rPr>
          <w:rFonts w:hint="eastAsia" w:ascii="宋体" w:hAnsi="宋体" w:eastAsia="宋体" w:cs="宋体"/>
          <w:b w:val="0"/>
          <w:bCs w:val="0"/>
          <w:color w:val="auto"/>
          <w:sz w:val="21"/>
          <w:szCs w:val="21"/>
          <w:lang w:val="en-US" w:eastAsia="zh-CN"/>
        </w:rPr>
        <w:t>、供应商信用承诺书（格式见附件）、《中小企业声明函》扫描件，格式详见《政府采购促进中小企业发展暂行办法》(财库【2011】181号)（如项目非专门面向中小微企业，则不需要中小企业声明函）；</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sz w:val="21"/>
          <w:szCs w:val="21"/>
          <w:lang w:val="en-US" w:eastAsia="zh-CN"/>
        </w:rPr>
        <w:t>售价：采购文件</w:t>
      </w:r>
      <w:r>
        <w:rPr>
          <w:rFonts w:hint="eastAsia" w:ascii="宋体" w:hAnsi="宋体" w:eastAsia="宋体" w:cs="宋体"/>
          <w:color w:val="auto"/>
          <w:sz w:val="21"/>
          <w:szCs w:val="21"/>
          <w:lang w:val="en-US" w:eastAsia="zh-CN"/>
        </w:rPr>
        <w:t>人民币400元/本，</w:t>
      </w:r>
      <w:r>
        <w:rPr>
          <w:rFonts w:hint="eastAsia" w:ascii="宋体" w:hAnsi="宋体" w:eastAsia="宋体" w:cs="宋体"/>
          <w:sz w:val="21"/>
          <w:szCs w:val="21"/>
          <w:lang w:val="en-US" w:eastAsia="zh-CN"/>
        </w:rPr>
        <w:t>售后不退，不办理邮寄；</w:t>
      </w:r>
    </w:p>
    <w:p>
      <w:pPr>
        <w:pStyle w:val="4"/>
        <w:numPr>
          <w:ilvl w:val="0"/>
          <w:numId w:val="6"/>
        </w:numPr>
        <w:spacing w:line="360" w:lineRule="auto"/>
        <w:jc w:val="left"/>
        <w:rPr>
          <w:rFonts w:hint="eastAsia" w:ascii="宋体" w:hAnsi="宋体" w:eastAsia="宋体" w:cs="宋体"/>
          <w:sz w:val="21"/>
          <w:szCs w:val="21"/>
        </w:rPr>
      </w:pPr>
      <w:bookmarkStart w:id="12" w:name="_Toc3841"/>
      <w:r>
        <w:rPr>
          <w:rFonts w:hint="eastAsia" w:ascii="宋体" w:hAnsi="宋体" w:eastAsia="宋体" w:cs="宋体"/>
          <w:sz w:val="21"/>
          <w:szCs w:val="21"/>
          <w:lang w:eastAsia="zh-CN"/>
        </w:rPr>
        <w:t>响应文件提交</w:t>
      </w:r>
      <w:bookmarkEnd w:id="12"/>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开始时间：2020年11月2日08点30分（北京时间）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截止时间：2020年11月2日14点00分（北京时间）</w:t>
      </w:r>
    </w:p>
    <w:p>
      <w:pPr>
        <w:numPr>
          <w:ilvl w:val="0"/>
          <w:numId w:val="0"/>
        </w:numPr>
        <w:spacing w:line="360" w:lineRule="auto"/>
        <w:ind w:firstLine="420" w:firstLineChars="200"/>
        <w:jc w:val="left"/>
        <w:outlineLvl w:val="9"/>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地点：武昌区中北路岳家嘴立交山河企业大厦4806室</w:t>
      </w:r>
    </w:p>
    <w:p>
      <w:pPr>
        <w:pStyle w:val="4"/>
        <w:numPr>
          <w:ilvl w:val="0"/>
          <w:numId w:val="6"/>
        </w:numPr>
        <w:spacing w:line="360" w:lineRule="auto"/>
        <w:jc w:val="left"/>
        <w:rPr>
          <w:rFonts w:hint="eastAsia" w:eastAsia="宋体"/>
          <w:sz w:val="21"/>
          <w:szCs w:val="21"/>
          <w:lang w:eastAsia="zh-CN"/>
        </w:rPr>
      </w:pPr>
      <w:bookmarkStart w:id="13" w:name="_Toc11052"/>
      <w:r>
        <w:rPr>
          <w:rFonts w:hint="eastAsia" w:ascii="宋体" w:hAnsi="宋体" w:eastAsia="宋体" w:cs="宋体"/>
          <w:sz w:val="21"/>
          <w:szCs w:val="21"/>
          <w:lang w:eastAsia="zh-CN"/>
        </w:rPr>
        <w:t>开启</w:t>
      </w:r>
      <w:bookmarkEnd w:id="13"/>
    </w:p>
    <w:p>
      <w:pPr>
        <w:numPr>
          <w:ilvl w:val="0"/>
          <w:numId w:val="0"/>
        </w:numPr>
        <w:spacing w:line="360" w:lineRule="auto"/>
        <w:ind w:leftChars="0" w:firstLine="420" w:firstLineChars="200"/>
        <w:jc w:val="left"/>
        <w:outlineLvl w:val="9"/>
        <w:rPr>
          <w:rFonts w:hint="eastAsia" w:eastAsia="宋体"/>
          <w:sz w:val="21"/>
          <w:szCs w:val="21"/>
          <w:lang w:eastAsia="zh-CN"/>
        </w:rPr>
      </w:pPr>
      <w:r>
        <w:rPr>
          <w:rFonts w:hint="eastAsia" w:ascii="宋体" w:hAnsi="宋体" w:eastAsia="宋体" w:cs="宋体"/>
          <w:sz w:val="21"/>
          <w:szCs w:val="21"/>
          <w:lang w:val="en-US" w:eastAsia="zh-CN"/>
        </w:rPr>
        <w:t>时间：</w:t>
      </w:r>
      <w:r>
        <w:rPr>
          <w:rFonts w:hint="eastAsia" w:asciiTheme="minorEastAsia" w:hAnsiTheme="minorEastAsia" w:eastAsiaTheme="minorEastAsia" w:cstheme="minorEastAsia"/>
          <w:sz w:val="21"/>
          <w:szCs w:val="21"/>
          <w:lang w:val="en-US" w:eastAsia="zh-CN"/>
        </w:rPr>
        <w:t>2020年11月2日14点00分</w:t>
      </w:r>
      <w:r>
        <w:rPr>
          <w:rFonts w:hint="eastAsia" w:ascii="宋体" w:hAnsi="宋体" w:eastAsia="宋体" w:cs="宋体"/>
          <w:sz w:val="21"/>
          <w:szCs w:val="21"/>
          <w:lang w:eastAsia="zh-CN"/>
        </w:rPr>
        <w:t>（北京时间）</w:t>
      </w:r>
    </w:p>
    <w:p>
      <w:pPr>
        <w:pStyle w:val="4"/>
        <w:numPr>
          <w:ilvl w:val="0"/>
          <w:numId w:val="6"/>
        </w:numPr>
        <w:spacing w:line="360" w:lineRule="auto"/>
        <w:jc w:val="left"/>
        <w:rPr>
          <w:rFonts w:hint="eastAsia" w:ascii="宋体" w:hAnsi="宋体" w:eastAsia="宋体" w:cs="宋体"/>
          <w:sz w:val="21"/>
          <w:szCs w:val="21"/>
        </w:rPr>
      </w:pPr>
      <w:bookmarkStart w:id="14" w:name="_Toc23624"/>
      <w:r>
        <w:rPr>
          <w:rFonts w:hint="eastAsia" w:ascii="宋体" w:hAnsi="宋体" w:eastAsia="宋体" w:cs="宋体"/>
          <w:sz w:val="21"/>
          <w:szCs w:val="21"/>
        </w:rPr>
        <w:t>公告期限</w:t>
      </w:r>
      <w:bookmarkEnd w:id="14"/>
    </w:p>
    <w:p>
      <w:pPr>
        <w:spacing w:line="360" w:lineRule="auto"/>
        <w:ind w:firstLine="420" w:firstLineChars="200"/>
        <w:jc w:val="left"/>
        <w:rPr>
          <w:rFonts w:hint="eastAsia" w:ascii="宋体" w:hAnsi="宋体" w:eastAsia="宋体" w:cs="宋体"/>
          <w:sz w:val="21"/>
          <w:szCs w:val="21"/>
          <w:lang w:eastAsia="zh-CN"/>
        </w:rPr>
      </w:pPr>
      <w:bookmarkStart w:id="15" w:name="_Toc6021"/>
      <w:bookmarkStart w:id="16" w:name="_Toc320898024"/>
      <w:bookmarkStart w:id="17" w:name="_Toc317262251"/>
      <w:bookmarkStart w:id="18" w:name="_Toc259607751"/>
      <w:bookmarkStart w:id="19" w:name="_Toc334539188"/>
      <w:bookmarkStart w:id="20" w:name="_Toc276368888"/>
      <w:r>
        <w:rPr>
          <w:rFonts w:hint="eastAsia" w:ascii="宋体" w:hAnsi="宋体" w:eastAsia="宋体" w:cs="宋体"/>
          <w:sz w:val="21"/>
          <w:szCs w:val="21"/>
          <w:lang w:val="en-US" w:eastAsia="zh-CN"/>
        </w:rPr>
        <w:t>自本公告发布之日起</w:t>
      </w:r>
      <w:r>
        <w:rPr>
          <w:rFonts w:hint="eastAsia" w:ascii="宋体" w:hAnsi="宋体" w:eastAsia="宋体" w:cs="宋体"/>
          <w:sz w:val="21"/>
          <w:szCs w:val="21"/>
          <w:lang w:eastAsia="zh-CN"/>
        </w:rPr>
        <w:t>至少</w:t>
      </w:r>
      <w:r>
        <w:rPr>
          <w:rFonts w:hint="eastAsia" w:ascii="宋体" w:hAnsi="宋体" w:eastAsia="宋体" w:cs="宋体"/>
          <w:sz w:val="21"/>
          <w:szCs w:val="21"/>
          <w:lang w:val="en-US" w:eastAsia="zh-CN"/>
        </w:rPr>
        <w:t>5个工作日</w:t>
      </w:r>
    </w:p>
    <w:bookmarkEnd w:id="15"/>
    <w:bookmarkEnd w:id="16"/>
    <w:bookmarkEnd w:id="17"/>
    <w:bookmarkEnd w:id="18"/>
    <w:bookmarkEnd w:id="19"/>
    <w:bookmarkEnd w:id="20"/>
    <w:p>
      <w:pPr>
        <w:pStyle w:val="4"/>
        <w:numPr>
          <w:ilvl w:val="0"/>
          <w:numId w:val="6"/>
        </w:numPr>
        <w:spacing w:line="360" w:lineRule="auto"/>
        <w:jc w:val="left"/>
        <w:rPr>
          <w:rFonts w:hint="eastAsia" w:ascii="宋体" w:hAnsi="宋体" w:eastAsia="宋体" w:cs="宋体"/>
          <w:sz w:val="21"/>
          <w:szCs w:val="21"/>
        </w:rPr>
      </w:pPr>
      <w:bookmarkStart w:id="21" w:name="_Toc17673"/>
      <w:r>
        <w:rPr>
          <w:rFonts w:hint="eastAsia" w:ascii="宋体" w:hAnsi="宋体" w:eastAsia="宋体" w:cs="宋体"/>
          <w:sz w:val="21"/>
          <w:szCs w:val="21"/>
        </w:rPr>
        <w:t>其他补充事宜</w:t>
      </w:r>
      <w:bookmarkEnd w:id="21"/>
    </w:p>
    <w:p>
      <w:pPr>
        <w:numPr>
          <w:ilvl w:val="0"/>
          <w:numId w:val="0"/>
        </w:numPr>
        <w:spacing w:line="360" w:lineRule="auto"/>
        <w:ind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bookmarkStart w:id="22" w:name="_Toc259028279"/>
      <w:r>
        <w:rPr>
          <w:rFonts w:hint="eastAsia" w:ascii="宋体" w:hAnsi="宋体" w:eastAsia="宋体" w:cs="宋体"/>
          <w:color w:val="000000" w:themeColor="text1"/>
          <w:sz w:val="21"/>
          <w:szCs w:val="21"/>
          <w:lang w:val="en-US" w:eastAsia="zh-CN"/>
          <w14:textFill>
            <w14:solidFill>
              <w14:schemeClr w14:val="tx1"/>
            </w14:solidFill>
          </w14:textFill>
        </w:rPr>
        <w:t>1.本项目是否专门面向中小企业、监狱企业、残疾人福利性单位：否</w:t>
      </w:r>
    </w:p>
    <w:p>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3.供应商如需查询技术要求可直接到我处查阅采购文件第三章相关内容。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4.本项目将在以下网站发布所有信息，请参加本项目竞标的供应商密切关注。</w:t>
      </w:r>
      <w:r>
        <w:rPr>
          <w:rFonts w:hint="eastAsia" w:ascii="宋体" w:hAnsi="宋体" w:eastAsia="宋体" w:cs="宋体"/>
          <w:sz w:val="21"/>
          <w:szCs w:val="21"/>
          <w:lang w:val="en-US" w:eastAsia="zh-CN"/>
        </w:rPr>
        <w:br w:type="textWrapping"/>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《中经国际招标集团有限公司官网》（网址：</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"http://www.ceitcl.com/）"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http://www.ceitcl.com/）</w:t>
      </w:r>
      <w:r>
        <w:rPr>
          <w:rFonts w:hint="eastAsia" w:ascii="宋体" w:hAnsi="宋体" w:eastAsia="宋体" w:cs="宋体"/>
          <w:sz w:val="21"/>
          <w:szCs w:val="21"/>
          <w:lang w:val="en-US" w:eastAsia="zh-CN"/>
        </w:rPr>
        <w:fldChar w:fldCharType="end"/>
      </w:r>
    </w:p>
    <w:bookmarkEnd w:id="22"/>
    <w:p>
      <w:pPr>
        <w:pStyle w:val="4"/>
        <w:numPr>
          <w:ilvl w:val="0"/>
          <w:numId w:val="6"/>
        </w:numPr>
        <w:spacing w:line="360" w:lineRule="auto"/>
        <w:jc w:val="left"/>
        <w:rPr>
          <w:rFonts w:hint="eastAsia" w:ascii="宋体" w:hAnsi="宋体" w:eastAsia="宋体" w:cs="宋体"/>
          <w:sz w:val="21"/>
          <w:szCs w:val="21"/>
        </w:rPr>
      </w:pPr>
      <w:bookmarkStart w:id="23" w:name="_Toc12218"/>
      <w:r>
        <w:rPr>
          <w:rFonts w:hint="eastAsia" w:ascii="宋体" w:hAnsi="宋体" w:eastAsia="宋体" w:cs="宋体"/>
          <w:sz w:val="21"/>
          <w:szCs w:val="21"/>
        </w:rPr>
        <w:t>凡对本次采购提出询问，请按以下方式联系</w:t>
      </w:r>
      <w:bookmarkEnd w:id="23"/>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1.采购人信息</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w:t>
      </w:r>
      <w:r>
        <w:rPr>
          <w:rFonts w:hint="eastAsia" w:ascii="宋体" w:hAnsi="宋体" w:eastAsia="宋体" w:cs="宋体"/>
          <w:color w:val="000000" w:themeColor="text1"/>
          <w:sz w:val="21"/>
          <w:szCs w:val="21"/>
          <w14:textFill>
            <w14:solidFill>
              <w14:schemeClr w14:val="tx1"/>
            </w14:solidFill>
          </w14:textFill>
        </w:rPr>
        <w:t>湖北军山工贸有限公司</w:t>
      </w:r>
      <w:r>
        <w:rPr>
          <w:rFonts w:hint="eastAsia" w:ascii="宋体" w:hAnsi="宋体" w:eastAsia="宋体" w:cs="宋体"/>
          <w:color w:val="000000" w:themeColor="text1"/>
          <w:sz w:val="21"/>
          <w:szCs w:val="21"/>
          <w:lang w:eastAsia="zh-CN"/>
          <w14:textFill>
            <w14:solidFill>
              <w14:schemeClr w14:val="tx1"/>
            </w14:solidFill>
          </w14:textFill>
        </w:rPr>
        <w:t>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址：</w:t>
      </w:r>
      <w:r>
        <w:rPr>
          <w:rFonts w:hint="eastAsia" w:ascii="宋体" w:hAnsi="宋体" w:eastAsia="宋体" w:cs="宋体"/>
          <w:color w:val="000000" w:themeColor="text1"/>
          <w:sz w:val="21"/>
          <w:szCs w:val="21"/>
          <w14:textFill>
            <w14:solidFill>
              <w14:schemeClr w14:val="tx1"/>
            </w14:solidFill>
          </w14:textFill>
        </w:rPr>
        <w:t>湖北省武汉市经济技术开发区大军山特1号</w:t>
      </w:r>
      <w:r>
        <w:rPr>
          <w:rFonts w:hint="eastAsia" w:ascii="宋体" w:hAnsi="宋体" w:eastAsia="宋体" w:cs="宋体"/>
          <w:color w:val="000000" w:themeColor="text1"/>
          <w:sz w:val="21"/>
          <w:szCs w:val="21"/>
          <w:lang w:eastAsia="zh-CN"/>
          <w14:textFill>
            <w14:solidFill>
              <w14:schemeClr w14:val="tx1"/>
            </w14:solidFill>
          </w14:textFill>
        </w:rPr>
        <w:t>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联系方式：张警官</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方警官，84937016</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 xml:space="preserve">84937029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2.采购代理机构信息</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名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称：中经国际招标集团有限公司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　址：武昌区中北路岳家嘴立交山河企业大厦</w:t>
      </w:r>
      <w:r>
        <w:rPr>
          <w:rFonts w:hint="eastAsia" w:ascii="宋体" w:hAnsi="宋体" w:eastAsia="宋体" w:cs="宋体"/>
          <w:color w:val="000000" w:themeColor="text1"/>
          <w:sz w:val="21"/>
          <w:szCs w:val="21"/>
          <w:lang w:val="en-US" w:eastAsia="zh-CN"/>
          <w14:textFill>
            <w14:solidFill>
              <w14:schemeClr w14:val="tx1"/>
            </w14:solidFill>
          </w14:textFill>
        </w:rPr>
        <w:t>48楼4805、</w:t>
      </w:r>
      <w:r>
        <w:rPr>
          <w:rFonts w:hint="eastAsia" w:ascii="宋体" w:hAnsi="宋体" w:eastAsia="宋体" w:cs="宋体"/>
          <w:color w:val="000000" w:themeColor="text1"/>
          <w:sz w:val="21"/>
          <w:szCs w:val="21"/>
          <w:lang w:eastAsia="zh-CN"/>
          <w14:textFill>
            <w14:solidFill>
              <w14:schemeClr w14:val="tx1"/>
            </w14:solidFill>
          </w14:textFill>
        </w:rPr>
        <w:t>4806室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联系方式：</w:t>
      </w:r>
      <w:r>
        <w:rPr>
          <w:rFonts w:hint="eastAsia" w:ascii="宋体" w:hAnsi="宋体" w:eastAsia="宋体" w:cs="宋体"/>
          <w:color w:val="000000" w:themeColor="text1"/>
          <w:sz w:val="21"/>
          <w:szCs w:val="21"/>
          <w:lang w:val="en-US" w:eastAsia="zh-CN"/>
          <w14:textFill>
            <w14:solidFill>
              <w14:schemeClr w14:val="tx1"/>
            </w14:solidFill>
          </w14:textFill>
        </w:rPr>
        <w:t>027-87820788</w:t>
      </w:r>
      <w:r>
        <w:rPr>
          <w:rFonts w:hint="eastAsia" w:ascii="宋体" w:hAnsi="宋体" w:eastAsia="宋体" w:cs="宋体"/>
          <w:color w:val="000000" w:themeColor="text1"/>
          <w:sz w:val="21"/>
          <w:szCs w:val="21"/>
          <w:lang w:eastAsia="zh-CN"/>
          <w14:textFill>
            <w14:solidFill>
              <w14:schemeClr w14:val="tx1"/>
            </w14:solidFill>
          </w14:textFill>
        </w:rPr>
        <w:t>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3.项目联系方式</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项目联系人：张梦、</w:t>
      </w:r>
      <w:r>
        <w:rPr>
          <w:rFonts w:hint="eastAsia" w:ascii="宋体" w:hAnsi="宋体" w:cs="宋体"/>
          <w:color w:val="000000" w:themeColor="text1"/>
          <w:sz w:val="21"/>
          <w:szCs w:val="21"/>
          <w:lang w:eastAsia="zh-CN"/>
          <w14:textFill>
            <w14:solidFill>
              <w14:schemeClr w14:val="tx1"/>
            </w14:solidFill>
          </w14:textFill>
        </w:rPr>
        <w:t>方雪菲、杨琳丽</w:t>
      </w:r>
    </w:p>
    <w:p>
      <w:pPr>
        <w:spacing w:line="360" w:lineRule="auto"/>
        <w:ind w:firstLine="42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　话：</w:t>
      </w:r>
      <w:r>
        <w:rPr>
          <w:rFonts w:hint="eastAsia" w:ascii="宋体" w:hAnsi="宋体" w:eastAsia="宋体" w:cs="宋体"/>
          <w:color w:val="000000" w:themeColor="text1"/>
          <w:sz w:val="21"/>
          <w:szCs w:val="21"/>
          <w:lang w:val="en-US" w:eastAsia="zh-CN"/>
          <w14:textFill>
            <w14:solidFill>
              <w14:schemeClr w14:val="tx1"/>
            </w14:solidFill>
          </w14:textFill>
        </w:rPr>
        <w:t>027-87820788</w:t>
      </w:r>
      <w:r>
        <w:rPr>
          <w:rFonts w:hint="eastAsia" w:ascii="宋体" w:hAnsi="宋体" w:eastAsia="宋体" w:cs="宋体"/>
          <w:color w:val="000000" w:themeColor="text1"/>
          <w:sz w:val="21"/>
          <w:szCs w:val="21"/>
          <w:lang w:eastAsia="zh-CN"/>
          <w14:textFill>
            <w14:solidFill>
              <w14:schemeClr w14:val="tx1"/>
            </w14:solidFill>
          </w14:textFill>
        </w:rPr>
        <w:t>　　</w:t>
      </w:r>
    </w:p>
    <w:p>
      <w:pPr>
        <w:pStyle w:val="4"/>
        <w:numPr>
          <w:ilvl w:val="0"/>
          <w:numId w:val="6"/>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24" w:name="_Toc30016"/>
      <w:r>
        <w:rPr>
          <w:rFonts w:hint="eastAsia" w:asciiTheme="minorEastAsia" w:hAnsiTheme="minorEastAsia" w:eastAsiaTheme="minorEastAsia" w:cstheme="minorEastAsia"/>
          <w:sz w:val="21"/>
          <w:szCs w:val="21"/>
        </w:rPr>
        <w:t>注意事项</w:t>
      </w:r>
      <w:bookmarkEnd w:id="24"/>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hint="eastAsia" w:asciiTheme="minorEastAsia" w:hAnsiTheme="minorEastAsia" w:eastAsiaTheme="minorEastAsia" w:cstheme="minorEastAsia"/>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widowControl/>
        <w:spacing w:line="360" w:lineRule="auto"/>
        <w:jc w:val="center"/>
        <w:textAlignment w:val="bottom"/>
        <w:rPr>
          <w:rFonts w:ascii="宋体" w:hAnsi="宋体"/>
          <w:b/>
          <w:color w:val="000000"/>
          <w:sz w:val="21"/>
          <w:szCs w:val="21"/>
        </w:rPr>
      </w:pPr>
      <w:r>
        <w:rPr>
          <w:rFonts w:hint="eastAsia" w:ascii="宋体" w:hAnsi="宋体"/>
          <w:b/>
          <w:color w:val="000000"/>
          <w:sz w:val="24"/>
          <w:szCs w:val="24"/>
          <w:lang w:val="zh-CN"/>
        </w:rPr>
        <w:t>签署“七不准”承诺书</w:t>
      </w:r>
    </w:p>
    <w:p>
      <w:pPr>
        <w:widowControl/>
        <w:spacing w:line="360" w:lineRule="auto"/>
        <w:textAlignment w:val="bottom"/>
        <w:rPr>
          <w:rFonts w:hint="eastAsia" w:ascii="宋体" w:hAnsi="宋体"/>
          <w:bCs/>
          <w:color w:val="000000"/>
          <w:sz w:val="21"/>
          <w:szCs w:val="21"/>
        </w:rPr>
      </w:pPr>
      <w:r>
        <w:rPr>
          <w:rFonts w:hint="eastAsia" w:ascii="宋体" w:hAnsi="宋体"/>
          <w:sz w:val="21"/>
          <w:szCs w:val="21"/>
        </w:rPr>
        <w:t>湖北军山工贸有限公司</w:t>
      </w:r>
      <w:r>
        <w:rPr>
          <w:rFonts w:hint="eastAsia" w:ascii="宋体" w:hAnsi="宋体"/>
          <w:bCs/>
          <w:color w:val="000000"/>
          <w:sz w:val="21"/>
          <w:szCs w:val="21"/>
        </w:rPr>
        <w:t>：</w:t>
      </w:r>
    </w:p>
    <w:p>
      <w:pPr>
        <w:widowControl/>
        <w:spacing w:line="360" w:lineRule="auto"/>
        <w:textAlignment w:val="bottom"/>
        <w:rPr>
          <w:rFonts w:ascii="宋体" w:hAnsi="宋体"/>
          <w:bCs/>
          <w:color w:val="000000"/>
          <w:sz w:val="21"/>
          <w:szCs w:val="21"/>
        </w:rPr>
      </w:pPr>
    </w:p>
    <w:p>
      <w:pPr>
        <w:widowControl/>
        <w:spacing w:line="360" w:lineRule="auto"/>
        <w:textAlignment w:val="bottom"/>
        <w:rPr>
          <w:rFonts w:ascii="宋体" w:hAnsi="宋体"/>
          <w:bCs/>
          <w:color w:val="000000"/>
          <w:sz w:val="21"/>
          <w:szCs w:val="21"/>
        </w:rPr>
      </w:pPr>
      <w:r>
        <w:rPr>
          <w:rFonts w:hint="eastAsia" w:ascii="宋体" w:hAnsi="宋体"/>
          <w:bCs/>
          <w:color w:val="000000"/>
          <w:sz w:val="21"/>
          <w:szCs w:val="21"/>
        </w:rPr>
        <w:t xml:space="preserve">    本人完全理解并接受《湖北省监狱人民警察“七不准”规定》第四条 “不准亲属在本系统经商、办企业、承揽工程” 之内容，承诺保证与贵单位民警无亲属关系。</w:t>
      </w:r>
    </w:p>
    <w:p>
      <w:pPr>
        <w:widowControl/>
        <w:spacing w:line="360" w:lineRule="auto"/>
        <w:ind w:firstLine="420"/>
        <w:textAlignment w:val="bottom"/>
        <w:rPr>
          <w:rFonts w:hint="eastAsia" w:ascii="宋体" w:hAnsi="宋体"/>
          <w:bCs/>
          <w:color w:val="000000"/>
          <w:sz w:val="21"/>
          <w:szCs w:val="21"/>
        </w:rPr>
      </w:pPr>
      <w:r>
        <w:rPr>
          <w:rFonts w:hint="eastAsia" w:ascii="宋体" w:hAnsi="宋体"/>
          <w:bCs/>
          <w:color w:val="000000"/>
          <w:sz w:val="21"/>
          <w:szCs w:val="21"/>
        </w:rPr>
        <w:t>本人如因违背上述承诺，在贵单位经商（参加招投标活动）、办企业、承揽工程，无条件接受贵单位单方面终止合同（协议），并自愿承担由此造成的一切损失。</w:t>
      </w:r>
    </w:p>
    <w:p>
      <w:pPr>
        <w:widowControl/>
        <w:spacing w:line="360" w:lineRule="auto"/>
        <w:ind w:firstLine="420"/>
        <w:textAlignment w:val="bottom"/>
        <w:rPr>
          <w:rFonts w:ascii="宋体" w:hAnsi="宋体"/>
          <w:bCs/>
          <w:color w:val="000000"/>
          <w:sz w:val="21"/>
          <w:szCs w:val="21"/>
        </w:rPr>
      </w:pPr>
    </w:p>
    <w:p>
      <w:pPr>
        <w:widowControl/>
        <w:spacing w:line="360" w:lineRule="auto"/>
        <w:textAlignment w:val="bottom"/>
        <w:rPr>
          <w:rFonts w:ascii="宋体" w:hAnsi="宋体"/>
          <w:bCs/>
          <w:color w:val="000000"/>
          <w:sz w:val="21"/>
          <w:szCs w:val="21"/>
        </w:rPr>
      </w:pPr>
      <w:r>
        <w:rPr>
          <w:rFonts w:hint="eastAsia" w:ascii="宋体" w:hAnsi="宋体"/>
          <w:bCs/>
          <w:color w:val="000000"/>
          <w:sz w:val="21"/>
          <w:szCs w:val="21"/>
        </w:rPr>
        <w:t xml:space="preserve">                                                                   承诺人（签章）：  </w:t>
      </w:r>
    </w:p>
    <w:p>
      <w:pPr>
        <w:widowControl/>
        <w:spacing w:line="360" w:lineRule="auto"/>
        <w:textAlignment w:val="bottom"/>
        <w:rPr>
          <w:rFonts w:ascii="宋体" w:hAnsi="宋体"/>
          <w:bCs/>
          <w:color w:val="000000"/>
          <w:sz w:val="21"/>
          <w:szCs w:val="21"/>
        </w:rPr>
      </w:pPr>
      <w:r>
        <w:rPr>
          <w:rFonts w:hint="eastAsia" w:ascii="宋体" w:hAnsi="宋体"/>
          <w:bCs/>
          <w:color w:val="000000"/>
          <w:sz w:val="21"/>
          <w:szCs w:val="21"/>
        </w:rPr>
        <w:t xml:space="preserve">                                                                   年   月   日</w:t>
      </w:r>
    </w:p>
    <w:p>
      <w:pPr>
        <w:outlineLvl w:val="9"/>
        <w:rPr>
          <w:rFonts w:hint="eastAsia"/>
        </w:rPr>
      </w:pPr>
    </w:p>
    <w:p>
      <w:pPr>
        <w:outlineLvl w:val="9"/>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pStyle w:val="20"/>
        <w:rPr>
          <w:rFonts w:hint="eastAsia" w:asciiTheme="minorEastAsia" w:hAnsiTheme="minorEastAsia" w:eastAsiaTheme="minorEastAsia" w:cstheme="minorEastAsia"/>
        </w:rPr>
      </w:pPr>
    </w:p>
    <w:p>
      <w:pPr>
        <w:numPr>
          <w:ilvl w:val="0"/>
          <w:numId w:val="4"/>
        </w:numPr>
        <w:jc w:val="center"/>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2"/>
          <w:szCs w:val="32"/>
        </w:rPr>
      </w:pPr>
      <w:bookmarkStart w:id="25" w:name="_Toc30354"/>
      <w:r>
        <w:rPr>
          <w:rFonts w:hint="eastAsia" w:asciiTheme="minorEastAsia" w:hAnsiTheme="minorEastAsia" w:eastAsiaTheme="minorEastAsia" w:cstheme="minorEastAsia"/>
          <w:sz w:val="36"/>
          <w:szCs w:val="36"/>
        </w:rPr>
        <w:t>供应商须知</w:t>
      </w:r>
      <w:bookmarkEnd w:id="25"/>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26" w:name="_Toc5340"/>
      <w:r>
        <w:rPr>
          <w:rFonts w:hint="eastAsia" w:asciiTheme="minorEastAsia" w:hAnsiTheme="minorEastAsia" w:eastAsiaTheme="minorEastAsia" w:cstheme="minorEastAsia"/>
          <w:b/>
          <w:szCs w:val="21"/>
        </w:rPr>
        <w:t>《供应商须知前附表》</w:t>
      </w:r>
      <w:bookmarkEnd w:id="26"/>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条款号</w:t>
            </w:r>
          </w:p>
        </w:tc>
        <w:tc>
          <w:tcPr>
            <w:tcW w:w="2127"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0" w:beforeAutospacing="0" w:after="0" w:afterAutospacing="0" w:line="360" w:lineRule="auto"/>
              <w:jc w:val="center"/>
              <w:rPr>
                <w:rFonts w:hint="eastAsia" w:asciiTheme="minorEastAsia" w:hAnsiTheme="minorEastAsia" w:eastAsiaTheme="minorEastAsia" w:cstheme="minorEastAsia"/>
                <w:color w:val="FF0000"/>
                <w:kern w:val="2"/>
                <w:sz w:val="21"/>
                <w:szCs w:val="21"/>
                <w:lang w:val="zh-CN"/>
              </w:rPr>
            </w:pPr>
            <w:r>
              <w:rPr>
                <w:rFonts w:hint="eastAsia" w:ascii="宋体" w:hAnsi="宋体" w:eastAsia="宋体" w:cs="宋体"/>
                <w:color w:val="auto"/>
                <w:kern w:val="2"/>
                <w:sz w:val="21"/>
                <w:szCs w:val="21"/>
                <w:lang w:val="zh-CN"/>
              </w:rPr>
              <w:t>招标人</w:t>
            </w:r>
          </w:p>
        </w:tc>
        <w:tc>
          <w:tcPr>
            <w:tcW w:w="6130" w:type="dxa"/>
            <w:vAlign w:val="center"/>
          </w:tcPr>
          <w:p>
            <w:pPr>
              <w:autoSpaceDE w:val="0"/>
              <w:autoSpaceDN w:val="0"/>
              <w:adjustRightInd w:val="0"/>
              <w:spacing w:line="360" w:lineRule="auto"/>
              <w:rPr>
                <w:rFonts w:hint="eastAsia" w:asciiTheme="minorEastAsia" w:hAnsiTheme="minorEastAsia" w:eastAsiaTheme="minorEastAsia" w:cstheme="minorEastAsia"/>
                <w:color w:val="FF0000"/>
                <w:sz w:val="21"/>
                <w:szCs w:val="21"/>
                <w:lang w:val="zh-CN"/>
              </w:rPr>
            </w:pPr>
            <w:r>
              <w:rPr>
                <w:rFonts w:hint="eastAsia" w:ascii="宋体" w:hAnsi="宋体"/>
                <w:color w:val="auto"/>
                <w:sz w:val="21"/>
                <w:szCs w:val="21"/>
              </w:rPr>
              <w:t>湖北军山工贸有限公司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127" w:type="dxa"/>
            <w:vAlign w:val="center"/>
          </w:tcPr>
          <w:p>
            <w:pPr>
              <w:pStyle w:val="24"/>
              <w:widowControl w:val="0"/>
              <w:autoSpaceDE w:val="0"/>
              <w:autoSpaceDN w:val="0"/>
              <w:adjustRightInd w:val="0"/>
              <w:spacing w:before="0" w:beforeAutospacing="0" w:after="0" w:afterAutospacing="0" w:line="360" w:lineRule="auto"/>
              <w:jc w:val="center"/>
              <w:rPr>
                <w:rFonts w:hint="eastAsia" w:asciiTheme="minorEastAsia" w:hAnsiTheme="minorEastAsia" w:eastAsiaTheme="minorEastAsia" w:cstheme="minorEastAsia"/>
                <w:color w:val="FF0000"/>
                <w:kern w:val="2"/>
                <w:sz w:val="21"/>
                <w:szCs w:val="21"/>
                <w:lang w:val="zh-CN"/>
              </w:rPr>
            </w:pPr>
            <w:r>
              <w:rPr>
                <w:rFonts w:hint="eastAsia" w:ascii="宋体" w:hAnsi="宋体" w:eastAsia="宋体" w:cs="宋体"/>
                <w:color w:val="auto"/>
                <w:kern w:val="2"/>
                <w:sz w:val="21"/>
                <w:szCs w:val="21"/>
                <w:lang w:val="zh-CN"/>
              </w:rPr>
              <w:t>监管部门</w:t>
            </w:r>
          </w:p>
        </w:tc>
        <w:tc>
          <w:tcPr>
            <w:tcW w:w="6130" w:type="dxa"/>
            <w:vAlign w:val="center"/>
          </w:tcPr>
          <w:p>
            <w:pPr>
              <w:autoSpaceDE w:val="0"/>
              <w:autoSpaceDN w:val="0"/>
              <w:adjustRightInd w:val="0"/>
              <w:spacing w:line="360" w:lineRule="auto"/>
              <w:rPr>
                <w:rFonts w:hint="eastAsia" w:asciiTheme="minorEastAsia" w:hAnsiTheme="minorEastAsia" w:eastAsiaTheme="minorEastAsia" w:cstheme="minorEastAsia"/>
                <w:color w:val="FF0000"/>
                <w:sz w:val="21"/>
                <w:szCs w:val="21"/>
                <w:lang w:val="zh-CN"/>
              </w:rPr>
            </w:pPr>
            <w:r>
              <w:rPr>
                <w:rFonts w:hint="eastAsia" w:ascii="宋体" w:hAnsi="宋体"/>
                <w:color w:val="auto"/>
                <w:sz w:val="21"/>
                <w:szCs w:val="21"/>
              </w:rPr>
              <w:t>湖北军山工贸有限公司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rPr>
              <w:t>招标代理服务费</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根据国家发展与改革委员会办公厅发改办价格【2003】857号文的规定，经与</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协商，由</w:t>
            </w:r>
            <w:r>
              <w:rPr>
                <w:rFonts w:hint="eastAsia" w:asciiTheme="minorEastAsia" w:hAnsiTheme="minorEastAsia" w:eastAsia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按国家发展计划委员会计价格【2002】1980号文规定</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取费标准向采</w:t>
            </w:r>
            <w:r>
              <w:rPr>
                <w:rFonts w:hint="eastAsia" w:asciiTheme="minorEastAsia" w:hAnsiTheme="minorEastAsia" w:eastAsiaTheme="minorEastAsia" w:cstheme="minorEastAsia"/>
                <w:color w:val="auto"/>
                <w:sz w:val="21"/>
                <w:szCs w:val="21"/>
                <w:highlight w:val="none"/>
              </w:rPr>
              <w:t>购代理机构支付招标代理服务费。招标代理服务费由</w:t>
            </w:r>
            <w:r>
              <w:rPr>
                <w:rFonts w:hint="eastAsia" w:asciiTheme="minorEastAsia" w:hAnsiTheme="minorEastAsia" w:eastAsiaTheme="minorEastAsia" w:cstheme="minorEastAsia"/>
                <w:color w:val="auto"/>
                <w:sz w:val="21"/>
                <w:szCs w:val="21"/>
                <w:highlight w:val="none"/>
                <w:lang w:eastAsia="zh-CN"/>
              </w:rPr>
              <w:t>中标人</w:t>
            </w:r>
            <w:r>
              <w:rPr>
                <w:rFonts w:hint="eastAsia" w:asciiTheme="minorEastAsia" w:hAnsiTheme="minorEastAsia" w:eastAsiaTheme="minorEastAsia" w:cstheme="minorEastAsia"/>
                <w:color w:val="auto"/>
                <w:sz w:val="21"/>
                <w:szCs w:val="21"/>
                <w:highlight w:val="none"/>
              </w:rPr>
              <w:t>在领取成交通知书的同时，向采购代理机构支付</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详见成交公告</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供应商</w:t>
            </w:r>
            <w:r>
              <w:rPr>
                <w:rFonts w:hint="eastAsia" w:asciiTheme="minorEastAsia" w:hAnsiTheme="minorEastAsia" w:eastAsiaTheme="minorEastAsia" w:cstheme="minorEastAsia"/>
                <w:b w:val="0"/>
                <w:bCs w:val="0"/>
                <w:sz w:val="21"/>
                <w:szCs w:val="21"/>
                <w:lang w:val="zh-CN"/>
              </w:rPr>
              <w:t>对</w:t>
            </w:r>
            <w:r>
              <w:rPr>
                <w:rFonts w:hint="eastAsia" w:asciiTheme="minorEastAsia" w:hAnsiTheme="minorEastAsia" w:eastAsiaTheme="minorEastAsia" w:cstheme="minorEastAsia"/>
                <w:b w:val="0"/>
                <w:bCs w:val="0"/>
                <w:sz w:val="21"/>
                <w:szCs w:val="21"/>
                <w:lang w:val="en-US" w:eastAsia="zh-CN"/>
              </w:rPr>
              <w:t>磋商</w:t>
            </w:r>
            <w:r>
              <w:rPr>
                <w:rFonts w:hint="eastAsia" w:asciiTheme="minorEastAsia" w:hAnsiTheme="minorEastAsia" w:eastAsiaTheme="minorEastAsia" w:cstheme="minorEastAsia"/>
                <w:b w:val="0"/>
                <w:bCs w:val="0"/>
                <w:sz w:val="21"/>
                <w:szCs w:val="21"/>
                <w:lang w:val="zh-CN"/>
              </w:rPr>
              <w:t>文件有异议</w:t>
            </w:r>
            <w:r>
              <w:rPr>
                <w:rFonts w:hint="eastAsia" w:asciiTheme="minorEastAsia" w:hAnsiTheme="minorEastAsia" w:eastAsiaTheme="minorEastAsia" w:cstheme="minorEastAsia"/>
                <w:b w:val="0"/>
                <w:bCs w:val="0"/>
                <w:sz w:val="21"/>
                <w:szCs w:val="21"/>
                <w:lang w:val="en-US" w:eastAsia="zh-CN"/>
              </w:rPr>
              <w:t>或疑问</w:t>
            </w:r>
            <w:r>
              <w:rPr>
                <w:rFonts w:hint="eastAsia" w:asciiTheme="minorEastAsia" w:hAnsiTheme="minorEastAsia" w:eastAsiaTheme="minorEastAsia" w:cstheme="minorEastAsia"/>
                <w:b w:val="0"/>
                <w:bCs w:val="0"/>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lang w:val="zh-CN"/>
              </w:rPr>
              <w:t>月</w:t>
            </w:r>
            <w:r>
              <w:rPr>
                <w:rFonts w:hint="eastAsia" w:asciiTheme="minorEastAsia" w:hAnsiTheme="minorEastAsia" w:eastAsiaTheme="minorEastAsia" w:cstheme="minorEastAsia"/>
                <w:b w:val="0"/>
                <w:bCs w:val="0"/>
                <w:sz w:val="21"/>
                <w:szCs w:val="21"/>
                <w:lang w:val="en-US" w:eastAsia="zh-CN"/>
              </w:rPr>
              <w:t>29</w:t>
            </w:r>
            <w:r>
              <w:rPr>
                <w:rFonts w:hint="eastAsia" w:asciiTheme="minorEastAsia" w:hAnsiTheme="minorEastAsia" w:eastAsiaTheme="minorEastAsia" w:cstheme="minorEastAsia"/>
                <w:b w:val="0"/>
                <w:bCs w:val="0"/>
                <w:sz w:val="21"/>
                <w:szCs w:val="21"/>
                <w:lang w:val="zh-CN"/>
              </w:rPr>
              <w:t>日</w:t>
            </w:r>
            <w:r>
              <w:rPr>
                <w:rFonts w:hint="eastAsia" w:asciiTheme="minorEastAsia" w:hAnsiTheme="minorEastAsia" w:eastAsiaTheme="minorEastAsia" w:cstheme="minorEastAsia"/>
                <w:b w:val="0"/>
                <w:bCs w:val="0"/>
                <w:sz w:val="21"/>
                <w:szCs w:val="21"/>
                <w:lang w:val="en-US" w:eastAsia="zh-CN"/>
              </w:rPr>
              <w:t>17</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color w:val="000000" w:themeColor="text1"/>
                <w:kern w:val="2"/>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zh-CN" w:eastAsia="zh-CN" w:bidi="ar-SA"/>
                <w14:textFill>
                  <w14:solidFill>
                    <w14:schemeClr w14:val="tx1"/>
                  </w14:solidFill>
                </w14:textFill>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对多</w:t>
            </w:r>
            <w:r>
              <w:rPr>
                <w:rFonts w:hint="eastAsia" w:asciiTheme="minorEastAsia" w:hAnsiTheme="minorEastAsia" w:eastAsiaTheme="minorEastAsia" w:cstheme="minorEastAsia"/>
                <w:snapToGrid w:val="0"/>
                <w:color w:val="000000" w:themeColor="text1"/>
                <w:kern w:val="0"/>
                <w:sz w:val="21"/>
                <w:szCs w:val="21"/>
                <w:lang w:val="en-US" w:eastAsia="zh-CN"/>
                <w14:textFill>
                  <w14:solidFill>
                    <w14:schemeClr w14:val="tx1"/>
                  </w14:solidFill>
                </w14:textFill>
              </w:rPr>
              <w:t>包</w:t>
            </w: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采购的规定</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备选方案</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 xml:space="preserve">本次采购  </w:t>
            </w:r>
            <w:r>
              <w:rPr>
                <w:rFonts w:hint="eastAsia" w:asciiTheme="minorEastAsia" w:hAnsiTheme="minorEastAsia" w:eastAsiaTheme="minorEastAsia" w:cstheme="minorEastAsia"/>
                <w:color w:val="000000" w:themeColor="text1"/>
                <w:sz w:val="21"/>
                <w:szCs w:val="21"/>
                <w:u w:val="single"/>
                <w:lang w:val="zh-CN"/>
                <w14:textFill>
                  <w14:solidFill>
                    <w14:schemeClr w14:val="tx1"/>
                  </w14:solidFill>
                </w14:textFill>
              </w:rPr>
              <w:t>不接受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联合体磋商</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 xml:space="preserve">本次采购  </w:t>
            </w:r>
            <w:r>
              <w:rPr>
                <w:rFonts w:hint="eastAsia" w:asciiTheme="minorEastAsia" w:hAnsiTheme="minorEastAsia" w:eastAsiaTheme="minorEastAsia" w:cstheme="minorEastAsia"/>
                <w:color w:val="000000" w:themeColor="text1"/>
                <w:sz w:val="21"/>
                <w:szCs w:val="21"/>
                <w:u w:val="single"/>
                <w:lang w:val="zh-CN"/>
                <w14:textFill>
                  <w14:solidFill>
                    <w14:schemeClr w14:val="tx1"/>
                  </w14:solidFill>
                </w14:textFill>
              </w:rPr>
              <w:t>不接受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sz w:val="21"/>
                <w:szCs w:val="21"/>
                <w:lang w:val="zh-CN"/>
              </w:rPr>
              <w:t>应提交的其它资格证明文件（实质性要求）</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w:t>
            </w:r>
            <w:r>
              <w:rPr>
                <w:rFonts w:hint="eastAsia" w:asciiTheme="minorEastAsia" w:hAnsiTheme="minorEastAsia" w:eastAsiaTheme="minorEastAsia" w:cstheme="minorEastAsia"/>
                <w:sz w:val="21"/>
                <w:szCs w:val="21"/>
                <w:lang w:val="en-US" w:eastAsia="zh-CN"/>
              </w:rPr>
              <w:t>竞争性磋商</w:t>
            </w:r>
            <w:r>
              <w:rPr>
                <w:rFonts w:hint="eastAsia" w:asciiTheme="minorEastAsia" w:hAnsiTheme="minorEastAsia" w:eastAsiaTheme="minorEastAsia" w:cstheme="minorEastAsia"/>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1、具有独立承担民事责任的能力（经营范围需满足采购需求）；</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投标文件截止时间当月成立但因税务机关原因导致其尚未依法缴纳税收的供应商，提供依法缴纳税收承诺书原件（格式自拟），该承诺书视同税收缴纳凭据。（5）递交投标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6、符合本文件第一章第二款资格要求的所有证明资料。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供应商不得存在的其他情形</w:t>
            </w:r>
          </w:p>
        </w:tc>
        <w:tc>
          <w:tcPr>
            <w:tcW w:w="6130" w:type="dxa"/>
            <w:vAlign w:val="center"/>
          </w:tcPr>
          <w:p>
            <w:pPr>
              <w:numPr>
                <w:ilvl w:val="0"/>
                <w:numId w:val="9"/>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与采购人存在利害关系可能影响</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9"/>
              </w:num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eastAsia="zh-CN"/>
              </w:rPr>
              <w:t>壹万肆仟</w:t>
            </w:r>
            <w:r>
              <w:rPr>
                <w:rFonts w:hint="eastAsia" w:asciiTheme="minorEastAsia" w:hAnsiTheme="minorEastAsia" w:eastAsiaTheme="minorEastAsia" w:cstheme="minorEastAsia"/>
                <w:color w:val="auto"/>
                <w:sz w:val="21"/>
                <w:szCs w:val="21"/>
              </w:rPr>
              <w:t>元整(￥</w:t>
            </w:r>
            <w:r>
              <w:rPr>
                <w:rFonts w:hint="eastAsia" w:asciiTheme="minorEastAsia" w:hAnsiTheme="minorEastAsia" w:eastAsiaTheme="minorEastAsia" w:cstheme="minorEastAsia"/>
                <w:color w:val="auto"/>
                <w:sz w:val="21"/>
                <w:szCs w:val="21"/>
                <w:lang w:val="en-US" w:eastAsia="zh-CN"/>
              </w:rPr>
              <w:t>14000</w:t>
            </w:r>
            <w:r>
              <w:rPr>
                <w:rFonts w:hint="eastAsia" w:asciiTheme="minorEastAsia" w:hAnsiTheme="minorEastAsia" w:eastAsiaTheme="minorEastAsia" w:cstheme="minorEastAsia"/>
                <w:color w:val="auto"/>
                <w:sz w:val="21"/>
                <w:szCs w:val="21"/>
              </w:rPr>
              <w:t>.00元)</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w:t>
            </w:r>
            <w:r>
              <w:rPr>
                <w:rFonts w:hint="eastAsia" w:asciiTheme="minorEastAsia" w:hAnsiTheme="minorEastAsia" w:eastAsiaTheme="minorEastAsia" w:cstheme="minorEastAsia"/>
                <w:color w:val="auto"/>
                <w:sz w:val="21"/>
                <w:szCs w:val="21"/>
                <w:lang w:eastAsia="zh-CN"/>
              </w:rPr>
              <w:t>，以采购代理公司银行到账信息为准。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磋商有效期</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自磋商截止时间起共</w:t>
            </w:r>
            <w:r>
              <w:rPr>
                <w:rFonts w:hint="eastAsia" w:asciiTheme="minorEastAsia" w:hAnsiTheme="minorEastAsia" w:eastAsiaTheme="minorEastAsia" w:cstheme="minorEastAsia"/>
                <w:kern w:val="0"/>
                <w:sz w:val="21"/>
                <w:szCs w:val="21"/>
                <w:u w:val="single"/>
                <w:lang w:val="en-US" w:eastAsia="zh-CN"/>
              </w:rPr>
              <w:t xml:space="preserve"> 90 </w:t>
            </w:r>
            <w:r>
              <w:rPr>
                <w:rFonts w:hint="eastAsia" w:asciiTheme="minorEastAsia" w:hAnsiTheme="minorEastAsia" w:eastAsiaTheme="minorEastAsia" w:cstheme="minorEastAsia"/>
                <w:kern w:val="0"/>
                <w:sz w:val="21"/>
                <w:szCs w:val="21"/>
              </w:rPr>
              <w:t>日历天</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竞争性磋商响应文件正、副本数量</w:t>
            </w:r>
          </w:p>
        </w:tc>
        <w:tc>
          <w:tcPr>
            <w:tcW w:w="6130"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投标文件纸质版：正本一份（需为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彩色打印</w:t>
            </w:r>
            <w:r>
              <w:rPr>
                <w:rFonts w:hint="eastAsia" w:asciiTheme="minorEastAsia" w:hAnsiTheme="minorEastAsia" w:eastAsiaTheme="minorEastAsia" w:cstheme="minorEastAsia"/>
                <w:color w:val="000000" w:themeColor="text1"/>
                <w:sz w:val="21"/>
                <w:szCs w:val="21"/>
                <w14:textFill>
                  <w14:solidFill>
                    <w14:schemeClr w14:val="tx1"/>
                  </w14:solidFill>
                </w14:textFill>
              </w:rPr>
              <w:t>件），副本</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两 </w:t>
            </w:r>
            <w:r>
              <w:rPr>
                <w:rFonts w:hint="eastAsia" w:asciiTheme="minorEastAsia" w:hAnsiTheme="minorEastAsia" w:eastAsiaTheme="minorEastAsia" w:cstheme="minorEastAsia"/>
                <w:color w:val="000000" w:themeColor="text1"/>
                <w:sz w:val="21"/>
                <w:szCs w:val="21"/>
                <w14:textFill>
                  <w14:solidFill>
                    <w14:schemeClr w14:val="tx1"/>
                  </w14:solidFill>
                </w14:textFill>
              </w:rPr>
              <w:t>份</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autoSpaceDE w:val="0"/>
              <w:autoSpaceDN w:val="0"/>
              <w:snapToGrid w:val="0"/>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投标文件电子版：</w:t>
            </w:r>
          </w:p>
          <w:p>
            <w:pPr>
              <w:autoSpaceDE w:val="0"/>
              <w:autoSpaceDN w:val="0"/>
              <w:snapToGrid w:val="0"/>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□不要求</w:t>
            </w:r>
          </w:p>
          <w:p>
            <w:pPr>
              <w:autoSpaceDE w:val="0"/>
              <w:autoSpaceDN w:val="0"/>
              <w:snapToGrid w:val="0"/>
              <w:spacing w:line="240" w:lineRule="auto"/>
              <w:jc w:val="left"/>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bdr w:val="single" w:color="auto" w:sz="4" w:space="0"/>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要求，投标文件电子版内容：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与正本保持一致</w:t>
            </w:r>
          </w:p>
          <w:p>
            <w:pPr>
              <w:autoSpaceDE w:val="0"/>
              <w:autoSpaceDN w:val="0"/>
              <w:snapToGrid w:val="0"/>
              <w:spacing w:line="240" w:lineRule="auto"/>
              <w:ind w:firstLine="840" w:firstLineChars="4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投标文件电子版格式：</w:t>
            </w:r>
            <w:r>
              <w:rPr>
                <w:rFonts w:hint="eastAsia" w:asciiTheme="minorEastAsia" w:hAnsiTheme="minorEastAsia" w:eastAsiaTheme="minorEastAsia" w:cstheme="minorEastAsia"/>
                <w:color w:val="000000" w:themeColor="text1"/>
                <w:sz w:val="21"/>
                <w:szCs w:val="21"/>
                <w:u w:val="single"/>
                <w:shd w:val="clear" w:color="auto" w:fill="FFFFFF"/>
                <w:lang w:val="en-US" w:eastAsia="zh-CN"/>
                <w14:textFill>
                  <w14:solidFill>
                    <w14:schemeClr w14:val="tx1"/>
                  </w14:solidFill>
                </w14:textFill>
              </w:rPr>
              <w:t>WORD</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格式</w:t>
            </w:r>
            <w:r>
              <w:rPr>
                <w:rFonts w:hint="eastAsia" w:asciiTheme="minorEastAsia" w:hAnsiTheme="minorEastAsia" w:eastAsiaTheme="minorEastAsia" w:cstheme="minorEastAsia"/>
                <w:color w:val="000000" w:themeColor="text1"/>
                <w:sz w:val="21"/>
                <w:szCs w:val="21"/>
                <w:u w:val="single"/>
                <w:shd w:val="clear" w:color="auto" w:fill="FFFFFF"/>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加盖公章后的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PDF</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扫描件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格式</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w:t>
            </w:r>
          </w:p>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投标文件电子版形式：</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U盘1份</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3、手持</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法定代表人授权委托书（或法定代表人身份证明书）、单独</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密封</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提供的报价一览表、优惠声明（如有）</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w:t>
            </w:r>
          </w:p>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纸质投标文件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采用胶粘方</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kern w:val="0"/>
                <w:sz w:val="21"/>
                <w:szCs w:val="21"/>
                <w:lang w:val="zh-CN"/>
              </w:rPr>
              <w:t>竞争性磋商响应文件的密封和标记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kern w:val="0"/>
                <w:sz w:val="21"/>
                <w:szCs w:val="21"/>
              </w:rPr>
              <w:t>本条款细化为：响应文件</w:t>
            </w:r>
            <w:r>
              <w:rPr>
                <w:rFonts w:hint="eastAsia" w:asciiTheme="minorEastAsia" w:hAnsiTheme="minorEastAsia" w:eastAsiaTheme="minorEastAsia" w:cstheme="minorEastAsia"/>
                <w:kern w:val="0"/>
                <w:sz w:val="21"/>
                <w:szCs w:val="21"/>
                <w:lang w:eastAsia="zh-CN"/>
              </w:rPr>
              <w:t>正本</w:t>
            </w:r>
            <w:r>
              <w:rPr>
                <w:rFonts w:hint="eastAsia" w:asciiTheme="minorEastAsia" w:hAnsiTheme="minorEastAsia" w:eastAsiaTheme="minorEastAsia" w:cstheme="minorEastAsia"/>
                <w:kern w:val="0"/>
                <w:sz w:val="21"/>
                <w:szCs w:val="21"/>
              </w:rPr>
              <w:t>需逐页加盖供应商单位公章，不得使用单位其他专用章代替。</w:t>
            </w:r>
            <w:r>
              <w:rPr>
                <w:rFonts w:hint="eastAsia" w:asciiTheme="minorEastAsia" w:hAnsiTheme="minorEastAsia" w:eastAsiaTheme="minorEastAsia" w:cstheme="minorEastAsia"/>
                <w:kern w:val="0"/>
                <w:sz w:val="21"/>
                <w:szCs w:val="21"/>
                <w:lang w:eastAsia="zh-CN"/>
              </w:rPr>
              <w:t>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样品</w:t>
            </w:r>
          </w:p>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（本项目不适用）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未成交供应商在成交公告发布之日起5个工作日内退还，具体电话通知。成交供应商样品移交采购人作为验收依据，不予退还。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响应文件送达地点及递交截止时间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sz w:val="21"/>
                <w:szCs w:val="21"/>
                <w:lang w:val="en-US" w:eastAsia="zh-CN"/>
              </w:rPr>
              <w:t>为磋商小组详细介绍供应商公司情况及项目了解情况的</w:t>
            </w:r>
            <w:r>
              <w:rPr>
                <w:rFonts w:hint="eastAsia" w:asciiTheme="minorEastAsia" w:hAnsiTheme="minorEastAsia" w:eastAsiaTheme="minorEastAsia" w:cstheme="minorEastAsia"/>
                <w:b/>
                <w:bCs/>
                <w:sz w:val="21"/>
                <w:szCs w:val="21"/>
                <w:lang w:val="zh-CN" w:eastAsia="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 w:val="21"/>
                <w:szCs w:val="21"/>
                <w:lang w:val="en-US" w:eastAsia="zh-CN"/>
              </w:rPr>
              <w:t>在指定地点以</w:t>
            </w:r>
            <w:r>
              <w:rPr>
                <w:rFonts w:hint="eastAsia" w:asciiTheme="minorEastAsia" w:hAnsiTheme="minorEastAsia" w:eastAsiaTheme="minorEastAsia" w:cstheme="minorEastAsia"/>
                <w:snapToGrid w:val="0"/>
                <w:kern w:val="0"/>
                <w:sz w:val="21"/>
                <w:szCs w:val="21"/>
                <w:lang w:val="zh-CN"/>
              </w:rPr>
              <w:t>密封</w:t>
            </w:r>
            <w:r>
              <w:rPr>
                <w:rFonts w:hint="eastAsia" w:asciiTheme="minorEastAsia" w:hAnsiTheme="minorEastAsia" w:eastAsiaTheme="minorEastAsia" w:cstheme="minorEastAsia"/>
                <w:snapToGrid w:val="0"/>
                <w:kern w:val="0"/>
                <w:sz w:val="21"/>
                <w:szCs w:val="21"/>
                <w:lang w:val="en-US" w:eastAsia="zh-CN"/>
              </w:rPr>
              <w:t>等形式</w:t>
            </w:r>
            <w:r>
              <w:rPr>
                <w:rFonts w:hint="eastAsia" w:asciiTheme="minorEastAsia" w:hAnsiTheme="minorEastAsia" w:eastAsiaTheme="minorEastAsia" w:cstheme="minorEastAsia"/>
                <w:snapToGrid w:val="0"/>
                <w:kern w:val="0"/>
                <w:sz w:val="21"/>
                <w:szCs w:val="21"/>
                <w:lang w:val="zh-CN"/>
              </w:rPr>
              <w:t>递交</w:t>
            </w:r>
            <w:r>
              <w:rPr>
                <w:rFonts w:hint="eastAsia" w:asciiTheme="minorEastAsia" w:hAnsiTheme="minorEastAsia" w:eastAsiaTheme="minorEastAsia" w:cstheme="minorEastAsia"/>
                <w:snapToGrid w:val="0"/>
                <w:kern w:val="0"/>
                <w:sz w:val="21"/>
                <w:szCs w:val="21"/>
                <w:lang w:val="en-US" w:eastAsia="zh-CN"/>
              </w:rPr>
              <w:t>给采购代理机构指定现场工作人员或</w:t>
            </w:r>
            <w:r>
              <w:rPr>
                <w:rFonts w:hint="eastAsia" w:asciiTheme="minorEastAsia" w:hAnsiTheme="minorEastAsia" w:eastAsiaTheme="minorEastAsia" w:cstheme="minorEastAsia"/>
                <w:snapToGrid w:val="0"/>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推荐成交候选</w:t>
            </w:r>
            <w:r>
              <w:rPr>
                <w:rFonts w:hint="eastAsia" w:asciiTheme="minorEastAsia" w:hAnsiTheme="minorEastAsia" w:eastAsiaTheme="minorEastAsia" w:cstheme="minorEastAsia"/>
                <w:snapToGrid w:val="0"/>
                <w:color w:val="000000" w:themeColor="text1"/>
                <w:kern w:val="0"/>
                <w:sz w:val="21"/>
                <w:szCs w:val="21"/>
                <w:lang w:val="en-US" w:eastAsia="zh-CN"/>
                <w14:textFill>
                  <w14:solidFill>
                    <w14:schemeClr w14:val="tx1"/>
                  </w14:solidFill>
                </w14:textFill>
              </w:rPr>
              <w:t>供应商</w:t>
            </w: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本项目推荐</w:t>
            </w:r>
            <w:r>
              <w:rPr>
                <w:rFonts w:hint="eastAsia" w:asciiTheme="minorEastAsia" w:hAnsiTheme="minorEastAsia" w:eastAsiaTheme="minorEastAsia" w:cstheme="minorEastAsia"/>
                <w:bCs/>
                <w:color w:val="000000" w:themeColor="text1"/>
                <w:kern w:val="44"/>
                <w:sz w:val="21"/>
                <w:szCs w:val="21"/>
                <w:u w:val="singl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成交通知书的领</w:t>
            </w:r>
            <w:r>
              <w:rPr>
                <w:rFonts w:hint="eastAsia" w:asciiTheme="minorEastAsia" w:hAnsiTheme="minorEastAsia" w:eastAsiaTheme="minorEastAsia" w:cstheme="minorEastAsia"/>
                <w:snapToGrid w:val="0"/>
                <w:color w:val="000000" w:themeColor="text1"/>
                <w:kern w:val="0"/>
                <w:sz w:val="21"/>
                <w:szCs w:val="21"/>
                <w:lang w:val="en-US" w:eastAsia="zh-CN"/>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发布以后即可</w:t>
            </w:r>
            <w:r>
              <w:rPr>
                <w:rFonts w:hint="eastAsia" w:asciiTheme="minorEastAsia" w:hAnsiTheme="minorEastAsia" w:eastAsiaTheme="minorEastAsia" w:cstheme="minorEastAsia"/>
                <w:bCs/>
                <w:color w:val="000000" w:themeColor="text1"/>
                <w:kern w:val="44"/>
                <w:sz w:val="21"/>
                <w:szCs w:val="21"/>
                <w:lang w:val="en-US" w:eastAsia="zh-CN"/>
                <w14:textFill>
                  <w14:solidFill>
                    <w14:schemeClr w14:val="tx1"/>
                  </w14:solidFill>
                </w14:textFill>
              </w:rPr>
              <w:t>联系采购代理机构</w:t>
            </w: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本项目竞标报价为“交钥匙”价，</w:t>
            </w:r>
            <w:r>
              <w:rPr>
                <w:rFonts w:hint="eastAsia" w:ascii="宋体" w:hAnsi="宋体" w:cs="宋体"/>
                <w:color w:val="000000"/>
                <w:szCs w:val="21"/>
              </w:rPr>
              <w:t>且须精确到小数点后两位</w:t>
            </w:r>
            <w:r>
              <w:rPr>
                <w:rFonts w:hint="eastAsia" w:asciiTheme="minorEastAsia" w:hAnsiTheme="minorEastAsia" w:eastAsiaTheme="minorEastAsia" w:cstheme="minorEastAsia"/>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竞标报价应包括完成该项目的货物</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本身</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各供应商按此要求进行报价，同时在合同实施过程中还将发生的其它费用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对于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文件未列明，而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供应商认为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必须</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的费用也需列入总报价。在合同实施时，采购人将不予支付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采购人不组织统一踏勘，</w:t>
            </w:r>
            <w:r>
              <w:rPr>
                <w:rFonts w:hint="eastAsia" w:asciiTheme="minorEastAsia" w:hAnsiTheme="minorEastAsia" w:eastAsiaTheme="minorEastAsia" w:cstheme="minorEastAsia"/>
                <w:color w:val="000000" w:themeColor="text1"/>
                <w:sz w:val="21"/>
                <w:szCs w:val="21"/>
                <w14:textFill>
                  <w14:solidFill>
                    <w14:schemeClr w14:val="tx1"/>
                  </w14:solidFill>
                </w14:textFill>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□组织，踏勘时间：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踏勘集中地点：</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踏勘联系人：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注：1、</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采购人在踏勘现场中介绍的项目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背景及项目现场</w:t>
            </w:r>
            <w:r>
              <w:rPr>
                <w:rFonts w:hint="eastAsia" w:asciiTheme="minorEastAsia" w:hAnsiTheme="minorEastAsia" w:eastAsiaTheme="minorEastAsia" w:cstheme="minorEastAsia"/>
                <w:color w:val="000000" w:themeColor="text1"/>
                <w:sz w:val="21"/>
                <w:szCs w:val="21"/>
                <w14:textFill>
                  <w14:solidFill>
                    <w14:schemeClr w14:val="tx1"/>
                  </w14:solidFill>
                </w14:textFill>
              </w:rPr>
              <w:t>和相关的周边环境情况，供应商在编制响应文件时参考，采购人和采购代理机构不对供应商据此作出的判断和决策负责。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核心产品</w:t>
            </w:r>
          </w:p>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【本项目不适用】</w:t>
            </w:r>
          </w:p>
        </w:tc>
        <w:tc>
          <w:tcPr>
            <w:tcW w:w="6130" w:type="dxa"/>
            <w:vAlign w:val="center"/>
          </w:tcPr>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本项目核心产品：</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1.提供相同品牌产品且通过资格审查、符合性审查的不同供应商参</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加同一合同项下投标的，按一家供应商计算，评审后得分最高的同</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品牌供应商获得成交供应商推荐资格；评审得分相同的，采取随机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抽取方式确定，其他同品牌供应商不作为中标候选人。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2.若核心产品不止 1 个，各供应商所投任一核心产品的品牌相同，</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则按一家供应商计算。</w:t>
            </w:r>
          </w:p>
        </w:tc>
      </w:tr>
    </w:tbl>
    <w:p>
      <w:pPr>
        <w:spacing w:line="360" w:lineRule="auto"/>
        <w:outlineLvl w:val="1"/>
        <w:rPr>
          <w:rFonts w:hint="eastAsia" w:asciiTheme="minorEastAsia" w:hAnsiTheme="minorEastAsia" w:eastAsiaTheme="minorEastAsia" w:cstheme="minorEastAsia"/>
          <w:b/>
          <w:szCs w:val="21"/>
        </w:rPr>
      </w:pPr>
      <w:bookmarkStart w:id="27" w:name="_Toc19309"/>
      <w:r>
        <w:rPr>
          <w:rFonts w:hint="eastAsia" w:asciiTheme="minorEastAsia" w:hAnsiTheme="minorEastAsia" w:eastAsiaTheme="minorEastAsia" w:cstheme="minorEastAsia"/>
          <w:b/>
          <w:szCs w:val="21"/>
        </w:rPr>
        <w:t>供应商须知</w:t>
      </w:r>
      <w:bookmarkEnd w:id="27"/>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28" w:name="_Toc19164"/>
      <w:r>
        <w:rPr>
          <w:rFonts w:hint="eastAsia" w:asciiTheme="minorEastAsia" w:hAnsiTheme="minorEastAsia" w:eastAsiaTheme="minorEastAsia" w:cstheme="minorEastAsia"/>
          <w:b/>
          <w:szCs w:val="21"/>
        </w:rPr>
        <w:t>总则</w:t>
      </w:r>
      <w:bookmarkEnd w:id="28"/>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29" w:name="_Toc7383"/>
      <w:bookmarkStart w:id="30" w:name="_Toc27243"/>
      <w:r>
        <w:rPr>
          <w:rFonts w:hint="eastAsia" w:asciiTheme="minorEastAsia" w:hAnsiTheme="minorEastAsia" w:eastAsiaTheme="minorEastAsia" w:cstheme="minorEastAsia"/>
          <w:b/>
          <w:szCs w:val="21"/>
        </w:rPr>
        <w:t>适用法律及范围</w:t>
      </w:r>
      <w:bookmarkEnd w:id="29"/>
      <w:bookmarkEnd w:id="30"/>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1" w:name="_Toc18687"/>
      <w:bookmarkStart w:id="32" w:name="_Toc30547"/>
      <w:r>
        <w:rPr>
          <w:rFonts w:hint="eastAsia" w:asciiTheme="minorEastAsia" w:hAnsiTheme="minorEastAsia" w:eastAsiaTheme="minorEastAsia" w:cstheme="minorEastAsia"/>
          <w:b/>
          <w:szCs w:val="21"/>
        </w:rPr>
        <w:t>定义</w:t>
      </w:r>
      <w:bookmarkEnd w:id="31"/>
      <w:bookmarkEnd w:id="32"/>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3" w:name="_Toc30503"/>
      <w:bookmarkStart w:id="34" w:name="_Toc25967"/>
      <w:r>
        <w:rPr>
          <w:rFonts w:hint="eastAsia" w:asciiTheme="minorEastAsia" w:hAnsiTheme="minorEastAsia" w:eastAsiaTheme="minorEastAsia" w:cstheme="minorEastAsia"/>
          <w:b/>
          <w:snapToGrid w:val="0"/>
          <w:kern w:val="0"/>
          <w:szCs w:val="21"/>
          <w:lang w:val="zh-CN"/>
        </w:rPr>
        <w:t>工程、货物及服务</w:t>
      </w:r>
      <w:bookmarkEnd w:id="33"/>
      <w:bookmarkEnd w:id="34"/>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5" w:name="_Toc9974"/>
      <w:bookmarkStart w:id="36" w:name="_Toc22488"/>
      <w:r>
        <w:rPr>
          <w:rFonts w:hint="eastAsia" w:asciiTheme="minorEastAsia" w:hAnsiTheme="minorEastAsia" w:eastAsiaTheme="minorEastAsia" w:cstheme="minorEastAsia"/>
          <w:b/>
          <w:szCs w:val="21"/>
        </w:rPr>
        <w:t>费用</w:t>
      </w:r>
      <w:bookmarkEnd w:id="35"/>
      <w:bookmarkEnd w:id="36"/>
      <w:r>
        <w:rPr>
          <w:rFonts w:hint="eastAsia" w:asciiTheme="minorEastAsia" w:hAnsiTheme="minorEastAsia" w:eastAsiaTheme="minorEastAsia" w:cstheme="minorEastAsia"/>
          <w:b/>
          <w:szCs w:val="21"/>
        </w:rPr>
        <w:t xml:space="preserve">  </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注：招标代理服务收费按差额定率累进法计算。例如：某货物招标代理业务中标金额为6000万元，计算招标代理服务收费额如下：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100---500：400×1.100％=44000.000元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500---1000：500×0.800％=40000.000元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1000---5000：4000×0.500％=200000.000元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5000---6000：1000×0.250％=25000.000元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合计收费=324000.000元</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37" w:name="_Toc27172"/>
      <w:r>
        <w:rPr>
          <w:rFonts w:hint="eastAsia" w:asciiTheme="minorEastAsia" w:hAnsiTheme="minorEastAsia" w:eastAsiaTheme="minorEastAsia" w:cstheme="minorEastAsia"/>
          <w:b/>
          <w:szCs w:val="21"/>
        </w:rPr>
        <w:t>竞争性磋商采购文件</w:t>
      </w:r>
      <w:bookmarkEnd w:id="37"/>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8" w:name="_Toc29851"/>
      <w:bookmarkStart w:id="39" w:name="_Toc4547"/>
      <w:r>
        <w:rPr>
          <w:rFonts w:hint="eastAsia" w:asciiTheme="minorEastAsia" w:hAnsiTheme="minorEastAsia" w:eastAsiaTheme="minorEastAsia" w:cstheme="minorEastAsia"/>
          <w:b/>
          <w:szCs w:val="21"/>
        </w:rPr>
        <w:t>竞争性磋商采购文件的构成</w:t>
      </w:r>
      <w:bookmarkEnd w:id="38"/>
      <w:bookmarkEnd w:id="39"/>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磋商小组</w:t>
      </w:r>
      <w:r>
        <w:rPr>
          <w:rFonts w:hint="eastAsia" w:asciiTheme="minorEastAsia" w:hAnsiTheme="minorEastAsia" w:eastAsiaTheme="minorEastAsia" w:cstheme="minorEastAsia"/>
          <w:szCs w:val="21"/>
        </w:rPr>
        <w:t>在磋商过程中发出的对本磋商文件的实质性变动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0" w:name="_Toc22354"/>
      <w:bookmarkStart w:id="41" w:name="_Toc29700"/>
      <w:r>
        <w:rPr>
          <w:rFonts w:hint="eastAsia" w:asciiTheme="minorEastAsia" w:hAnsiTheme="minorEastAsia" w:eastAsiaTheme="minorEastAsia" w:cstheme="minorEastAsia"/>
          <w:b/>
          <w:snapToGrid w:val="0"/>
          <w:kern w:val="0"/>
          <w:szCs w:val="21"/>
          <w:lang w:val="zh-CN"/>
        </w:rPr>
        <w:t>竞争性磋商采购文件的澄清</w:t>
      </w:r>
      <w:bookmarkEnd w:id="40"/>
      <w:bookmarkEnd w:id="41"/>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2" w:name="_Toc5704"/>
      <w:bookmarkStart w:id="43" w:name="_Toc31761"/>
      <w:r>
        <w:rPr>
          <w:rFonts w:hint="eastAsia" w:asciiTheme="minorEastAsia" w:hAnsiTheme="minorEastAsia" w:eastAsiaTheme="minorEastAsia" w:cstheme="minorEastAsia"/>
          <w:b/>
          <w:snapToGrid w:val="0"/>
          <w:kern w:val="0"/>
          <w:szCs w:val="21"/>
          <w:lang w:val="zh-CN"/>
        </w:rPr>
        <w:t>竞争性磋商采购文件的修改</w:t>
      </w:r>
      <w:bookmarkEnd w:id="42"/>
      <w:bookmarkEnd w:id="43"/>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4" w:name="_Toc7112"/>
      <w:r>
        <w:rPr>
          <w:rFonts w:hint="eastAsia" w:asciiTheme="minorEastAsia" w:hAnsiTheme="minorEastAsia" w:eastAsiaTheme="minorEastAsia" w:cstheme="minorEastAsia"/>
          <w:b/>
          <w:szCs w:val="21"/>
        </w:rPr>
        <w:t>竞争性磋商响应文件</w:t>
      </w:r>
      <w:bookmarkEnd w:id="44"/>
    </w:p>
    <w:p>
      <w:pPr>
        <w:numPr>
          <w:ilvl w:val="0"/>
          <w:numId w:val="11"/>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45" w:name="_Toc30987"/>
      <w:bookmarkStart w:id="46" w:name="_Toc7443"/>
      <w:r>
        <w:rPr>
          <w:rFonts w:hint="eastAsia" w:asciiTheme="minorEastAsia" w:hAnsiTheme="minorEastAsia" w:eastAsiaTheme="minorEastAsia" w:cstheme="minorEastAsia"/>
          <w:b/>
          <w:snapToGrid w:val="0"/>
          <w:kern w:val="0"/>
          <w:szCs w:val="21"/>
          <w:lang w:val="zh-CN"/>
        </w:rPr>
        <w:t>语言和计量单位</w:t>
      </w:r>
      <w:bookmarkEnd w:id="45"/>
      <w:bookmarkEnd w:id="46"/>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7" w:name="_Toc6398"/>
      <w:bookmarkStart w:id="48" w:name="_Toc32272"/>
      <w:r>
        <w:rPr>
          <w:rFonts w:hint="eastAsia" w:asciiTheme="minorEastAsia" w:hAnsiTheme="minorEastAsia" w:eastAsiaTheme="minorEastAsia" w:cstheme="minorEastAsia"/>
          <w:b/>
          <w:snapToGrid w:val="0"/>
          <w:kern w:val="0"/>
          <w:szCs w:val="21"/>
          <w:lang w:val="zh-CN"/>
        </w:rPr>
        <w:t>竞争性磋商响应文件的构成</w:t>
      </w:r>
      <w:bookmarkEnd w:id="47"/>
      <w:bookmarkEnd w:id="48"/>
    </w:p>
    <w:p>
      <w:pPr>
        <w:numPr>
          <w:ilvl w:val="1"/>
          <w:numId w:val="20"/>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9" w:name="_Toc17989"/>
      <w:bookmarkStart w:id="50" w:name="_Toc25217"/>
      <w:r>
        <w:rPr>
          <w:rFonts w:hint="eastAsia" w:asciiTheme="minorEastAsia" w:hAnsiTheme="minorEastAsia" w:eastAsiaTheme="minorEastAsia" w:cstheme="minorEastAsia"/>
          <w:b/>
          <w:snapToGrid w:val="0"/>
          <w:kern w:val="0"/>
          <w:szCs w:val="21"/>
          <w:lang w:val="zh-CN"/>
        </w:rPr>
        <w:t>竞争性磋商响应文件的编制</w:t>
      </w:r>
      <w:bookmarkEnd w:id="49"/>
      <w:bookmarkEnd w:id="50"/>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1" w:name="_Toc24544"/>
      <w:bookmarkStart w:id="52" w:name="_Toc14856"/>
      <w:r>
        <w:rPr>
          <w:rFonts w:hint="eastAsia" w:asciiTheme="minorEastAsia" w:hAnsiTheme="minorEastAsia" w:eastAsiaTheme="minorEastAsia" w:cstheme="minorEastAsia"/>
          <w:b/>
          <w:snapToGrid w:val="0"/>
          <w:kern w:val="0"/>
          <w:szCs w:val="21"/>
          <w:lang w:val="zh-CN"/>
        </w:rPr>
        <w:t>磋商报价</w:t>
      </w:r>
      <w:bookmarkEnd w:id="51"/>
      <w:bookmarkEnd w:id="52"/>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3" w:name="_Toc6176"/>
      <w:bookmarkStart w:id="54" w:name="_Toc4071"/>
      <w:r>
        <w:rPr>
          <w:rFonts w:hint="eastAsia" w:asciiTheme="minorEastAsia" w:hAnsiTheme="minorEastAsia" w:eastAsiaTheme="minorEastAsia" w:cstheme="minorEastAsia"/>
          <w:b/>
          <w:snapToGrid w:val="0"/>
          <w:kern w:val="0"/>
          <w:szCs w:val="21"/>
          <w:lang w:val="zh-CN"/>
        </w:rPr>
        <w:t>备选方案</w:t>
      </w:r>
      <w:bookmarkEnd w:id="53"/>
      <w:bookmarkEnd w:id="54"/>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5" w:name="_Toc20227"/>
      <w:bookmarkStart w:id="56" w:name="_Toc3324"/>
      <w:r>
        <w:rPr>
          <w:rFonts w:hint="eastAsia" w:asciiTheme="minorEastAsia" w:hAnsiTheme="minorEastAsia" w:eastAsiaTheme="minorEastAsia" w:cstheme="minorEastAsia"/>
          <w:b/>
          <w:snapToGrid w:val="0"/>
          <w:kern w:val="0"/>
          <w:szCs w:val="21"/>
          <w:lang w:val="zh-CN"/>
        </w:rPr>
        <w:t>联合体</w:t>
      </w:r>
      <w:bookmarkEnd w:id="55"/>
      <w:bookmarkEnd w:id="56"/>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7" w:name="_Toc4849"/>
      <w:bookmarkStart w:id="58" w:name="_Toc2434"/>
      <w:r>
        <w:rPr>
          <w:rFonts w:hint="eastAsia" w:asciiTheme="minorEastAsia" w:hAnsiTheme="minorEastAsia" w:eastAsiaTheme="minorEastAsia" w:cstheme="minorEastAsia"/>
          <w:b/>
          <w:snapToGrid w:val="0"/>
          <w:kern w:val="0"/>
          <w:szCs w:val="21"/>
          <w:lang w:val="zh-CN"/>
        </w:rPr>
        <w:t>供应商资格证明文件</w:t>
      </w:r>
      <w:bookmarkEnd w:id="57"/>
      <w:bookmarkEnd w:id="58"/>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hint="eastAsia" w:eastAsiaTheme="minorEastAsia"/>
          <w:lang w:val="en-US" w:eastAsia="zh-CN"/>
        </w:rPr>
      </w:pPr>
      <w:r>
        <w:rPr>
          <w:rFonts w:hint="eastAsia" w:asciiTheme="minorEastAsia" w:hAnsiTheme="minorEastAsia" w:eastAsiaTheme="minorEastAsia" w:cstheme="minorEastAsia"/>
          <w:snapToGrid w:val="0"/>
          <w:kern w:val="0"/>
          <w:szCs w:val="21"/>
          <w:lang w:val="en-US" w:eastAsia="zh-CN"/>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9" w:name="_Toc9935"/>
      <w:bookmarkStart w:id="60" w:name="_Toc14612"/>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59"/>
      <w:bookmarkEnd w:id="60"/>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1" w:name="_Toc20441"/>
      <w:bookmarkStart w:id="62" w:name="_Toc27068"/>
      <w:r>
        <w:rPr>
          <w:rFonts w:hint="eastAsia" w:asciiTheme="minorEastAsia" w:hAnsiTheme="minorEastAsia" w:eastAsiaTheme="minorEastAsia" w:cstheme="minorEastAsia"/>
          <w:b/>
          <w:snapToGrid w:val="0"/>
          <w:color w:val="auto"/>
          <w:kern w:val="0"/>
          <w:szCs w:val="21"/>
          <w:lang w:val="zh-CN"/>
        </w:rPr>
        <w:t>磋商保证金</w:t>
      </w:r>
      <w:bookmarkEnd w:id="61"/>
      <w:bookmarkEnd w:id="62"/>
    </w:p>
    <w:p>
      <w:pPr>
        <w:numPr>
          <w:ilvl w:val="1"/>
          <w:numId w:val="28"/>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3" w:name="_Toc5668"/>
      <w:bookmarkStart w:id="64" w:name="_Toc4910"/>
      <w:r>
        <w:rPr>
          <w:rFonts w:hint="eastAsia" w:asciiTheme="minorEastAsia" w:hAnsiTheme="minorEastAsia" w:eastAsiaTheme="minorEastAsia" w:cstheme="minorEastAsia"/>
          <w:b/>
          <w:snapToGrid w:val="0"/>
          <w:kern w:val="0"/>
          <w:szCs w:val="21"/>
          <w:lang w:val="zh-CN"/>
        </w:rPr>
        <w:t>磋商有效期</w:t>
      </w:r>
      <w:bookmarkEnd w:id="63"/>
      <w:bookmarkEnd w:id="64"/>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5" w:name="_Toc2229"/>
      <w:bookmarkStart w:id="66" w:name="_Toc8272"/>
      <w:r>
        <w:rPr>
          <w:rFonts w:hint="eastAsia" w:asciiTheme="minorEastAsia" w:hAnsiTheme="minorEastAsia" w:eastAsiaTheme="minorEastAsia" w:cstheme="minorEastAsia"/>
          <w:b/>
          <w:snapToGrid w:val="0"/>
          <w:kern w:val="0"/>
          <w:szCs w:val="21"/>
          <w:lang w:val="zh-CN"/>
        </w:rPr>
        <w:t>竞争性磋商响应文件的装订、签署和数量</w:t>
      </w:r>
      <w:bookmarkEnd w:id="65"/>
      <w:bookmarkEnd w:id="66"/>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67" w:name="_Toc9786"/>
      <w:r>
        <w:rPr>
          <w:rFonts w:hint="eastAsia" w:asciiTheme="minorEastAsia" w:hAnsiTheme="minorEastAsia" w:eastAsiaTheme="minorEastAsia" w:cstheme="minorEastAsia"/>
          <w:b/>
          <w:szCs w:val="21"/>
        </w:rPr>
        <w:t>竞争性磋商响应文件的递交</w:t>
      </w:r>
      <w:bookmarkEnd w:id="67"/>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8" w:name="_Toc23886"/>
      <w:bookmarkStart w:id="69" w:name="_Toc27305"/>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8"/>
      <w:bookmarkEnd w:id="69"/>
    </w:p>
    <w:p>
      <w:pPr>
        <w:numPr>
          <w:ilvl w:val="1"/>
          <w:numId w:val="3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lang w:val="en-US" w:eastAsia="zh-CN"/>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lang w:val="en-US" w:eastAsia="zh-CN"/>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0" w:name="_Toc11099"/>
      <w:bookmarkStart w:id="71" w:name="_Toc17857"/>
      <w:r>
        <w:rPr>
          <w:rFonts w:hint="eastAsia" w:asciiTheme="minorEastAsia" w:hAnsiTheme="minorEastAsia" w:eastAsiaTheme="minorEastAsia" w:cstheme="minorEastAsia"/>
          <w:b/>
          <w:snapToGrid w:val="0"/>
          <w:kern w:val="0"/>
          <w:szCs w:val="21"/>
          <w:lang w:val="zh-CN"/>
        </w:rPr>
        <w:t>竞争性磋商响应文件的送达地点及截止时间</w:t>
      </w:r>
      <w:bookmarkEnd w:id="70"/>
      <w:bookmarkEnd w:id="71"/>
    </w:p>
    <w:p>
      <w:pPr>
        <w:keepNext w:val="0"/>
        <w:keepLines w:val="0"/>
        <w:pageBreakBefore w:val="0"/>
        <w:widowControl w:val="0"/>
        <w:shd w:val="clear"/>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b/>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2" w:name="_Toc16589"/>
      <w:bookmarkStart w:id="73" w:name="_Toc31376"/>
      <w:r>
        <w:rPr>
          <w:rFonts w:hint="eastAsia" w:asciiTheme="minorEastAsia" w:hAnsiTheme="minorEastAsia" w:eastAsiaTheme="minorEastAsia" w:cstheme="minorEastAsia"/>
          <w:b/>
          <w:snapToGrid w:val="0"/>
          <w:kern w:val="0"/>
          <w:szCs w:val="21"/>
          <w:lang w:val="zh-CN"/>
        </w:rPr>
        <w:t>迟交的竞争性磋商响应文件</w:t>
      </w:r>
      <w:bookmarkEnd w:id="72"/>
      <w:bookmarkEnd w:id="73"/>
    </w:p>
    <w:p>
      <w:pPr>
        <w:numPr>
          <w:ilvl w:val="1"/>
          <w:numId w:val="33"/>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4" w:name="_Toc13658"/>
      <w:bookmarkStart w:id="75" w:name="_Toc31760"/>
      <w:r>
        <w:rPr>
          <w:rFonts w:hint="eastAsia" w:asciiTheme="minorEastAsia" w:hAnsiTheme="minorEastAsia" w:eastAsiaTheme="minorEastAsia" w:cstheme="minorEastAsia"/>
          <w:b/>
          <w:snapToGrid w:val="0"/>
          <w:kern w:val="0"/>
          <w:szCs w:val="21"/>
          <w:lang w:val="zh-CN"/>
        </w:rPr>
        <w:t>竞争性磋商响应文件的补充、修改或者撤回</w:t>
      </w:r>
      <w:bookmarkEnd w:id="74"/>
      <w:bookmarkEnd w:id="75"/>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76" w:name="_Toc24054"/>
      <w:r>
        <w:rPr>
          <w:rFonts w:hint="eastAsia" w:asciiTheme="minorEastAsia" w:hAnsiTheme="minorEastAsia" w:eastAsiaTheme="minorEastAsia" w:cstheme="minorEastAsia"/>
          <w:b/>
          <w:szCs w:val="21"/>
        </w:rPr>
        <w:t>磋商程序及步骤</w:t>
      </w:r>
      <w:bookmarkEnd w:id="76"/>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7" w:name="_Toc8841"/>
      <w:bookmarkStart w:id="78" w:name="_Toc22624"/>
      <w:r>
        <w:rPr>
          <w:rFonts w:hint="eastAsia" w:asciiTheme="minorEastAsia" w:hAnsiTheme="minorEastAsia" w:eastAsiaTheme="minorEastAsia" w:cstheme="minorEastAsia"/>
          <w:b/>
        </w:rPr>
        <w:t>竞争性磋商小组</w:t>
      </w:r>
      <w:bookmarkEnd w:id="77"/>
      <w:bookmarkEnd w:id="78"/>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9" w:name="_Toc26119"/>
      <w:bookmarkStart w:id="80" w:name="_Toc21483"/>
      <w:r>
        <w:rPr>
          <w:rFonts w:hint="eastAsia" w:asciiTheme="minorEastAsia" w:hAnsiTheme="minorEastAsia" w:eastAsiaTheme="minorEastAsia" w:cstheme="minorEastAsia"/>
          <w:b/>
        </w:rPr>
        <w:t>磋商代表</w:t>
      </w:r>
      <w:bookmarkEnd w:id="79"/>
      <w:bookmarkEnd w:id="80"/>
    </w:p>
    <w:p>
      <w:pPr>
        <w:keepNext w:val="0"/>
        <w:keepLines w:val="0"/>
        <w:pageBreakBefore w:val="0"/>
        <w:widowControl w:val="0"/>
        <w:tabs>
          <w:tab w:val="left" w:pos="864"/>
          <w:tab w:val="left" w:pos="108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lang w:val="en-US" w:eastAsia="zh-CN"/>
        </w:rPr>
      </w:pPr>
      <w:bookmarkStart w:id="81" w:name="_Toc32662"/>
      <w:bookmarkStart w:id="82" w:name="_Toc9967"/>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1"/>
      <w:bookmarkEnd w:id="82"/>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3" w:name="_Toc17050"/>
      <w:r>
        <w:rPr>
          <w:rFonts w:hint="eastAsia" w:asciiTheme="minorEastAsia" w:hAnsiTheme="minorEastAsia" w:eastAsiaTheme="minorEastAsia" w:cstheme="minorEastAsia"/>
          <w:b/>
        </w:rPr>
        <w:t>资格审查和符合性审查</w:t>
      </w:r>
      <w:bookmarkEnd w:id="83"/>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4" w:name="_Toc26543"/>
      <w:r>
        <w:rPr>
          <w:rFonts w:hint="eastAsia" w:asciiTheme="minorEastAsia" w:hAnsiTheme="minorEastAsia" w:eastAsiaTheme="minorEastAsia" w:cstheme="minorEastAsia"/>
          <w:b/>
        </w:rPr>
        <w:t>磋商</w:t>
      </w:r>
      <w:bookmarkEnd w:id="84"/>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26.4竞标报价有算术错误的，磋商小组按照以下原则对磋商报价进行修正，修正的价格经供应商书面确认后具有约束力。供应商不接受修正价格的，磋商小组应当否决其竞标。</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（1）竞标文件中的大写金额与小写金额不一致的，以大写金额为准；</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（2）总价金额与根据单价计算出的结果不一致的，以单价金额为准修正总价，但单价金额小数点有明显错误的除外。</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bCs/>
          <w:kern w:val="44"/>
          <w:szCs w:val="21"/>
        </w:rPr>
        <w:t>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w:t>
      </w:r>
      <w:r>
        <w:rPr>
          <w:rFonts w:hint="eastAsia" w:asciiTheme="minorEastAsia" w:hAnsiTheme="minorEastAsia" w:eastAsiaTheme="minorEastAsia" w:cstheme="minorEastAsia"/>
          <w:bCs/>
          <w:kern w:val="44"/>
          <w:szCs w:val="21"/>
          <w:lang w:val="en-US" w:eastAsia="zh-CN"/>
        </w:rPr>
        <w:t>8</w:t>
      </w:r>
      <w:r>
        <w:rPr>
          <w:rFonts w:hint="eastAsia" w:asciiTheme="minorEastAsia" w:hAnsiTheme="minorEastAsia" w:eastAsiaTheme="minorEastAsia" w:cstheme="minorEastAsia"/>
          <w:bCs/>
          <w:kern w:val="44"/>
          <w:szCs w:val="21"/>
        </w:rPr>
        <w:t>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5" w:name="_Toc30772"/>
      <w:r>
        <w:rPr>
          <w:rFonts w:hint="eastAsia" w:asciiTheme="minorEastAsia" w:hAnsiTheme="minorEastAsia" w:eastAsiaTheme="minorEastAsia" w:cstheme="minorEastAsia"/>
          <w:b/>
          <w:lang w:val="zh-CN"/>
        </w:rPr>
        <w:t>保密</w:t>
      </w:r>
      <w:bookmarkEnd w:id="85"/>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5"/>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6" w:name="_Toc30407"/>
      <w:r>
        <w:rPr>
          <w:rFonts w:hint="eastAsia" w:asciiTheme="minorEastAsia" w:hAnsiTheme="minorEastAsia" w:eastAsiaTheme="minorEastAsia" w:cstheme="minorEastAsia"/>
          <w:b/>
          <w:szCs w:val="21"/>
        </w:rPr>
        <w:t>成交与签订合同</w:t>
      </w:r>
      <w:bookmarkEnd w:id="86"/>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7" w:name="_Toc7258"/>
      <w:r>
        <w:rPr>
          <w:rFonts w:hint="eastAsia" w:asciiTheme="minorEastAsia" w:hAnsiTheme="minorEastAsia" w:eastAsiaTheme="minorEastAsia" w:cstheme="minorEastAsia"/>
          <w:b/>
          <w:lang w:val="zh-CN"/>
        </w:rPr>
        <w:t>合同授予标准</w:t>
      </w:r>
      <w:bookmarkEnd w:id="87"/>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w:t>
      </w:r>
      <w:r>
        <w:rPr>
          <w:rFonts w:hint="eastAsia" w:asciiTheme="minorEastAsia" w:hAnsiTheme="minorEastAsia" w:eastAsiaTheme="minorEastAsia" w:cstheme="minorEastAsia"/>
          <w:iCs/>
          <w:snapToGrid w:val="0"/>
          <w:kern w:val="0"/>
          <w:szCs w:val="21"/>
          <w:lang w:val="en-US" w:eastAsia="zh-CN"/>
        </w:rPr>
        <w:t xml:space="preserve"> </w:t>
      </w:r>
      <w:r>
        <w:rPr>
          <w:rFonts w:hint="eastAsia" w:asciiTheme="minorEastAsia" w:hAnsiTheme="minorEastAsia" w:eastAsiaTheme="minorEastAsia" w:cstheme="minorEastAsia"/>
          <w:iCs/>
          <w:snapToGrid w:val="0"/>
          <w:kern w:val="0"/>
          <w:szCs w:val="21"/>
          <w:lang w:val="zh-CN"/>
        </w:rPr>
        <w:t>采购人将把合同授予排名第一的供应商，特殊情况按本须知29.3的规定执行。</w:t>
      </w:r>
    </w:p>
    <w:p>
      <w:pPr>
        <w:outlineLvl w:val="9"/>
        <w:rPr>
          <w:rFonts w:ascii="宋体" w:hAnsi="宋体" w:eastAsia="宋体" w:cs="宋体"/>
          <w:sz w:val="24"/>
          <w:szCs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2 </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eastAsia="宋体" w:cs="宋体"/>
          <w:sz w:val="24"/>
          <w:szCs w:val="24"/>
        </w:rPr>
        <w:t xml:space="preserve"> </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28.</w:t>
      </w:r>
      <w:r>
        <w:rPr>
          <w:rFonts w:hint="eastAsia" w:asciiTheme="minorEastAsia" w:hAnsiTheme="minorEastAsia" w:eastAsiaTheme="minorEastAsia" w:cstheme="minorEastAsia"/>
          <w:snapToGrid w:val="0"/>
          <w:kern w:val="0"/>
          <w:szCs w:val="21"/>
          <w:lang w:val="en-US" w:eastAsia="zh-CN"/>
        </w:rPr>
        <w:t xml:space="preserve">3 </w:t>
      </w:r>
      <w:r>
        <w:rPr>
          <w:rFonts w:hint="eastAsia" w:asciiTheme="minorEastAsia" w:hAnsiTheme="minorEastAsia" w:eastAsiaTheme="minorEastAsia" w:cstheme="minorEastAsia"/>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28.</w:t>
      </w:r>
      <w:r>
        <w:rPr>
          <w:rFonts w:hint="eastAsia" w:asciiTheme="minorEastAsia" w:hAnsiTheme="minorEastAsia" w:eastAsiaTheme="minorEastAsia" w:cstheme="minorEastAsia"/>
          <w:snapToGrid w:val="0"/>
          <w:kern w:val="0"/>
          <w:szCs w:val="21"/>
          <w:lang w:val="en-US" w:eastAsia="zh-CN"/>
        </w:rPr>
        <w:t xml:space="preserve">4 </w:t>
      </w:r>
      <w:r>
        <w:rPr>
          <w:rFonts w:hint="eastAsia" w:asciiTheme="minorEastAsia" w:hAnsiTheme="minorEastAsia" w:eastAsiaTheme="minorEastAsia" w:cstheme="minorEastAsia"/>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5 </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8" w:name="_Toc29351"/>
      <w:r>
        <w:rPr>
          <w:rFonts w:hint="eastAsia" w:asciiTheme="minorEastAsia" w:hAnsiTheme="minorEastAsia" w:eastAsiaTheme="minorEastAsia" w:cstheme="minorEastAsia"/>
          <w:b/>
          <w:lang w:val="zh-CN"/>
        </w:rPr>
        <w:t>签订合同</w:t>
      </w:r>
      <w:bookmarkEnd w:id="88"/>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89" w:name="_Toc14510"/>
      <w:bookmarkStart w:id="90" w:name="_Toc13988"/>
      <w:bookmarkStart w:id="91" w:name="_Toc4883"/>
      <w:bookmarkStart w:id="92" w:name="_Toc23007"/>
      <w:r>
        <w:rPr>
          <w:rFonts w:hint="eastAsia" w:asciiTheme="minorEastAsia" w:hAnsiTheme="minorEastAsia" w:eastAsiaTheme="minorEastAsia" w:cstheme="minorEastAsia"/>
          <w:b/>
          <w:szCs w:val="21"/>
          <w:lang w:val="zh-CN"/>
        </w:rPr>
        <w:t>质疑和投诉</w:t>
      </w:r>
      <w:bookmarkEnd w:id="89"/>
      <w:bookmarkEnd w:id="90"/>
      <w:bookmarkEnd w:id="91"/>
      <w:bookmarkEnd w:id="92"/>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3" w:name="_Toc26703"/>
      <w:r>
        <w:rPr>
          <w:rFonts w:hint="eastAsia" w:asciiTheme="minorEastAsia" w:hAnsiTheme="minorEastAsia" w:eastAsiaTheme="minorEastAsia" w:cstheme="minorEastAsia"/>
          <w:b/>
          <w:lang w:val="zh-CN"/>
        </w:rPr>
        <w:t>质疑</w:t>
      </w:r>
      <w:bookmarkEnd w:id="93"/>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质疑书应当包括下列主要内容：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（5）提出质疑的日期；</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4" w:name="_Toc10603"/>
      <w:r>
        <w:rPr>
          <w:rFonts w:hint="eastAsia" w:asciiTheme="minorEastAsia" w:hAnsiTheme="minorEastAsia" w:eastAsiaTheme="minorEastAsia" w:cstheme="minorEastAsia"/>
          <w:b/>
          <w:lang w:val="zh-CN"/>
        </w:rPr>
        <w:t>质疑回复</w:t>
      </w:r>
      <w:bookmarkEnd w:id="94"/>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5" w:name="_Toc14017"/>
      <w:r>
        <w:rPr>
          <w:rFonts w:hint="eastAsia" w:asciiTheme="minorEastAsia" w:hAnsiTheme="minorEastAsia" w:eastAsiaTheme="minorEastAsia" w:cstheme="minorEastAsia"/>
          <w:b/>
          <w:lang w:val="zh-CN"/>
        </w:rPr>
        <w:t>投诉</w:t>
      </w:r>
      <w:bookmarkEnd w:id="95"/>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96" w:name="_Toc14767"/>
      <w:bookmarkStart w:id="97" w:name="_Toc28705"/>
      <w:bookmarkStart w:id="98" w:name="_Toc6896"/>
      <w:bookmarkStart w:id="99" w:name="_Toc5571"/>
      <w:r>
        <w:rPr>
          <w:rFonts w:hint="eastAsia" w:asciiTheme="minorEastAsia" w:hAnsiTheme="minorEastAsia" w:eastAsiaTheme="minorEastAsia" w:cstheme="minorEastAsia"/>
          <w:b/>
          <w:szCs w:val="21"/>
          <w:lang w:val="zh-CN"/>
        </w:rPr>
        <w:t>政策</w:t>
      </w:r>
      <w:bookmarkEnd w:id="96"/>
      <w:bookmarkEnd w:id="97"/>
      <w:bookmarkEnd w:id="98"/>
      <w:bookmarkEnd w:id="99"/>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100" w:name="_Toc3901"/>
      <w:r>
        <w:rPr>
          <w:rFonts w:hint="eastAsia" w:asciiTheme="minorEastAsia" w:hAnsiTheme="minorEastAsia" w:eastAsiaTheme="minorEastAsia" w:cstheme="minorEastAsia"/>
          <w:b/>
          <w:lang w:val="en-US" w:eastAsia="zh-CN"/>
        </w:rPr>
        <w:t>政府采购政策</w:t>
      </w:r>
      <w:bookmarkEnd w:id="100"/>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为促进中小企业发展，本项目供应商如符合工信部联企业【</w:t>
      </w:r>
      <w:r>
        <w:rPr>
          <w:rFonts w:hint="eastAsia" w:ascii="宋体" w:hAnsi="宋体" w:cs="宋体"/>
          <w:snapToGrid w:val="0"/>
          <w:kern w:val="0"/>
          <w:szCs w:val="21"/>
          <w:lang w:val="en-US" w:eastAsia="zh-CN"/>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33.3 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33.4 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rPr>
      </w:pPr>
      <w:r>
        <w:rPr>
          <w:rFonts w:hint="eastAsia" w:ascii="宋体" w:hAnsi="宋体" w:cs="宋体"/>
          <w:snapToGrid w:val="0"/>
          <w:kern w:val="0"/>
          <w:szCs w:val="21"/>
          <w:lang w:val="zh-CN" w:eastAsia="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eastAsia="zh-CN"/>
        </w:rPr>
        <w:t>.</w:t>
      </w:r>
      <w:r>
        <w:rPr>
          <w:rFonts w:hint="eastAsia" w:ascii="宋体" w:hAnsi="宋体" w:cs="宋体"/>
          <w:snapToGrid w:val="0"/>
          <w:kern w:val="0"/>
          <w:szCs w:val="21"/>
          <w:lang w:val="en-US" w:eastAsia="zh-CN"/>
        </w:rPr>
        <w:t>5 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lang w:val="en-US" w:eastAsia="zh-CN"/>
        </w:rPr>
        <w:t xml:space="preserve">6 </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200" w:firstLine="211" w:firstLineChars="100"/>
        <w:jc w:val="left"/>
        <w:textAlignment w:val="auto"/>
        <w:rPr>
          <w:rFonts w:hint="eastAsia"/>
          <w:b/>
          <w:bCs/>
          <w:lang w:val="zh-CN"/>
        </w:rPr>
      </w:pPr>
      <w:r>
        <w:rPr>
          <w:rFonts w:hint="eastAsia" w:ascii="宋体" w:hAnsi="宋体" w:cs="宋体"/>
          <w:b/>
          <w:bCs/>
          <w:snapToGrid w:val="0"/>
          <w:kern w:val="0"/>
          <w:szCs w:val="21"/>
          <w:lang w:val="zh-CN"/>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1" w:name="_Toc16251"/>
      <w:r>
        <w:rPr>
          <w:rFonts w:hint="eastAsia" w:asciiTheme="minorEastAsia" w:hAnsiTheme="minorEastAsia" w:eastAsiaTheme="minorEastAsia" w:cstheme="minorEastAsia"/>
          <w:b/>
          <w:szCs w:val="21"/>
          <w:lang w:val="zh-CN"/>
        </w:rPr>
        <w:t>其他要求</w:t>
      </w:r>
      <w:bookmarkEnd w:id="101"/>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2" w:name="_Toc30779"/>
      <w:r>
        <w:rPr>
          <w:rFonts w:hint="eastAsia" w:asciiTheme="minorEastAsia" w:hAnsiTheme="minorEastAsia" w:eastAsiaTheme="minorEastAsia" w:cstheme="minorEastAsia"/>
          <w:b/>
          <w:szCs w:val="21"/>
          <w:lang w:val="zh-CN"/>
        </w:rPr>
        <w:t>适用法律</w:t>
      </w:r>
      <w:bookmarkEnd w:id="102"/>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103" w:name="_Toc24256"/>
      <w:r>
        <w:rPr>
          <w:rFonts w:hint="eastAsia" w:asciiTheme="minorEastAsia" w:hAnsiTheme="minorEastAsia" w:eastAsiaTheme="minorEastAsia" w:cstheme="minorEastAsia"/>
          <w:b/>
          <w:bCs/>
          <w:sz w:val="36"/>
          <w:szCs w:val="36"/>
        </w:rPr>
        <w:t>采购需求</w:t>
      </w:r>
      <w:bookmarkEnd w:id="103"/>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04" w:name="_Toc29013"/>
      <w:r>
        <w:rPr>
          <w:rFonts w:hint="eastAsia" w:asciiTheme="minorEastAsia" w:hAnsiTheme="minorEastAsia" w:eastAsiaTheme="minorEastAsia" w:cstheme="minorEastAsia"/>
          <w:b/>
          <w:bCs/>
          <w:color w:val="auto"/>
          <w:sz w:val="24"/>
          <w:szCs w:val="24"/>
          <w:lang w:val="en-US" w:eastAsia="zh-CN"/>
        </w:rPr>
        <w:t>一、技术需求</w:t>
      </w:r>
      <w:bookmarkEnd w:id="104"/>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1、设备/货物清单</w:t>
      </w:r>
    </w:p>
    <w:tbl>
      <w:tblPr>
        <w:tblStyle w:val="27"/>
        <w:tblpPr w:leftFromText="180" w:rightFromText="180" w:vertAnchor="text" w:horzAnchor="page" w:tblpXSpec="center" w:tblpY="33"/>
        <w:tblOverlap w:val="never"/>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34"/>
        <w:gridCol w:w="2311"/>
        <w:gridCol w:w="3683"/>
        <w:gridCol w:w="74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03"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4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品名</w:t>
            </w:r>
          </w:p>
        </w:tc>
        <w:tc>
          <w:tcPr>
            <w:tcW w:w="1210"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性能</w:t>
            </w:r>
          </w:p>
        </w:tc>
        <w:tc>
          <w:tcPr>
            <w:tcW w:w="192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参数</w:t>
            </w:r>
          </w:p>
        </w:tc>
        <w:tc>
          <w:tcPr>
            <w:tcW w:w="391"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数量</w:t>
            </w:r>
          </w:p>
        </w:tc>
        <w:tc>
          <w:tcPr>
            <w:tcW w:w="675"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推荐品牌</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03" w:type="pct"/>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全自动贴袋机</w:t>
            </w: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实现口袋一系列工序自动化，在提高生产效率同时，提高品质。实现从口袋折边、裁片的定位设置、订口袋、套结、堆放为止，无技能要求就能操作。折边与缝制的循环作业只需要一台机器。</w:t>
            </w:r>
            <w:r>
              <w:rPr>
                <w:rFonts w:hint="eastAsia" w:ascii="宋体" w:hAnsi="宋体" w:eastAsia="宋体" w:cs="宋体"/>
                <w:sz w:val="21"/>
                <w:szCs w:val="21"/>
                <w:lang w:eastAsia="zh-CN"/>
              </w:rPr>
              <w:t>机头为花样机头。配十套齐码模板。</w:t>
            </w:r>
          </w:p>
        </w:tc>
        <w:tc>
          <w:tcPr>
            <w:tcW w:w="1929" w:type="pct"/>
            <w:vAlign w:val="center"/>
          </w:tcPr>
          <w:p>
            <w:pPr>
              <w:keepNext w:val="0"/>
              <w:keepLines w:val="0"/>
              <w:pageBreakBefore w:val="0"/>
              <w:kinsoku/>
              <w:wordWrap/>
              <w:overflowPunct/>
              <w:topLinePunct w:val="0"/>
              <w:autoSpaceDE/>
              <w:autoSpaceDN/>
              <w:bidi w:val="0"/>
              <w:adjustRightInd/>
              <w:snapToGrid/>
              <w:ind w:left="1260" w:hanging="1260" w:hangingChars="6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针</w:t>
            </w:r>
            <w:r>
              <w:rPr>
                <w:rFonts w:hint="eastAsia" w:ascii="宋体" w:hAnsi="宋体" w:eastAsia="宋体" w:cs="宋体"/>
                <w:sz w:val="21"/>
                <w:szCs w:val="21"/>
              </w:rPr>
              <w:t>距长度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0.05-12.7mm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压脚高度  最大/Max. 30mm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大压脚形式  最大/Max. 30mm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缝制区域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最大Max.210×210mm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可储存针数 内置内存可储存500000针</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压脚驱动方式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气动</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两步压脚  一体式压脚</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扫线装置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标准装备</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压脚提升量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22mm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间歇压脚上行程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0或2-10mm</w:t>
            </w:r>
          </w:p>
        </w:tc>
        <w:tc>
          <w:tcPr>
            <w:tcW w:w="391"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1台</w:t>
            </w:r>
          </w:p>
        </w:tc>
        <w:tc>
          <w:tcPr>
            <w:tcW w:w="675"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舒普SP-1310TD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03" w:type="pct"/>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全自动双针订襻机</w:t>
            </w: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用于牛仔裤和休闲裤裤耳的一次成型，设备操作简单易学，省时省力。自动筛选、自动折边及套结等工序一次性完成，机械结构简单，操作方便调整灵活、生产效率高等优点。拥有快捷的操作系统，完全可视化的人机界面。可直接编辑花样，并集合了数据的管理和可视化摸屏操作优点。裤袢接头自动去除，长度可调。</w:t>
            </w:r>
          </w:p>
        </w:tc>
        <w:tc>
          <w:tcPr>
            <w:tcW w:w="1929"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最高缝纫速度  2,700 rpm    缝制间距 3.4mm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旋梭   垂直半回转旋梭 油芯注油</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机针    DP×17#19#-#21</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线规格范围  棉线#30-#50 细纱线30-#50</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更换针数   操作盘选择方式</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加固缝图案记忆量标准容量  9个图案</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加固缝宽度  1.0mm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压脚上升量  21mm（从针板平面到压脚底面）</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送布方式  连续送布（脉冲马达驱动方式）</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电源  AC220V   气压  0.5 Mpa 1.8L/min</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旋梭  垂直半回转旋梭 油芯注油</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标准容量    9个图案</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线迹调整方式  操作盘输入方式</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加固缝长度 5.0mm-22.0mm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裤带宽度   7-20mm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加固缝裤带长度   45.0-75mm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缝纫机驱动方式  缝纫机DD,AC伺服马达（550W)</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针部手动调整方式</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旋梭脉冲马达驱动方式（0.01mm单位）</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舒普SP-254-ZD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03" w:type="pct"/>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开袋机</w:t>
            </w: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自动开袋机能够高速缝制薄料到中厚料各类口袋，包括单镶边口袋，双镶边口袋，斜口袋，带袋盖口袋。配上专用附件后，可为口袋缝制拉链。大压板的传送和角刀系统均由各自独立的电机驱动，中刀机构由一个电机单独驱动。设置方便、灵活。袋盖检测器可提供自动缝制袋盖的信号通过编程可设置大压板的初始位置。</w:t>
            </w:r>
            <w:r>
              <w:rPr>
                <w:rFonts w:hint="eastAsia" w:ascii="宋体" w:hAnsi="宋体" w:eastAsia="宋体" w:cs="宋体"/>
                <w:sz w:val="21"/>
                <w:szCs w:val="21"/>
                <w:lang w:eastAsia="zh-CN"/>
              </w:rPr>
              <w:t>配四套不同规格模板或夹具。</w:t>
            </w:r>
          </w:p>
        </w:tc>
        <w:tc>
          <w:tcPr>
            <w:tcW w:w="1929"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开袋的种类（有／无袋盖）</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针间距8-30mm(每2mm间隔）标准：12mm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缝制长度20-200mm|最大240mm选购件）</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针制长度0.5-3.5mm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加固缝部位针距（密缝）0.5-5mm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加固缝部位针距（倒缝）0.5-5mm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缝制速度最大3,000rpm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程序数50</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循环程序数6</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使用旋梭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标准水平旋梭</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耗气量16NL</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功率800W</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生产能力1600-2000</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标准（BASS3200)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3" w:type="pct"/>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森本橡筋拉腰机</w:t>
            </w: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不少于12针休闲，牛仔上腰缝纫机。</w:t>
            </w:r>
            <w:r>
              <w:rPr>
                <w:rFonts w:hint="eastAsia" w:ascii="宋体" w:hAnsi="宋体" w:eastAsia="宋体" w:cs="宋体"/>
                <w:sz w:val="21"/>
                <w:szCs w:val="21"/>
                <w:lang w:eastAsia="zh-CN"/>
              </w:rPr>
              <w:t>腰头切断，缝合等一次完成，配拉筒。</w:t>
            </w:r>
          </w:p>
        </w:tc>
        <w:tc>
          <w:tcPr>
            <w:tcW w:w="1929"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机针，</w:t>
            </w:r>
            <w:r>
              <w:rPr>
                <w:rFonts w:hint="eastAsia" w:ascii="宋体" w:hAnsi="宋体" w:eastAsia="宋体" w:cs="宋体"/>
                <w:sz w:val="21"/>
                <w:szCs w:val="21"/>
                <w:lang w:val="en-US" w:eastAsia="zh-CN"/>
              </w:rPr>
              <w:t>TVX5，21</w:t>
            </w:r>
            <w:bookmarkStart w:id="232" w:name="_GoBack"/>
            <w:bookmarkEnd w:id="232"/>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压脚高度10MM</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森本FX4413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03" w:type="pct"/>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辘脚机</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休闲，牛仔裤等裤脚车缝一次完成，具有速度快，操作方便，锁式，链式可互换使用锁式辘脚机整机＋锁式互换部件车缝裤脚边，皮带式拖轮送布装置，保证高低缝针码一致：可轻松车缝裤褶，适应于各种厚薄料，无需任何调整仍保持产品质量；微型圆嘴机头，适用于童装及女装。通过更换零件锁式线迹与链式线迹可快速切换，配十个不同规格拉筒或模具。</w:t>
            </w:r>
          </w:p>
        </w:tc>
        <w:tc>
          <w:tcPr>
            <w:tcW w:w="1929"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最高车缝速度</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3500转／分钟</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4000转／分钟</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机针型号 DPX17 18#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Dv57 18</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机针高度 15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12</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标准卷边 9-30</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电源电压 220 V,S0/60Hz</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总功率1.4kw</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压缩空</w:t>
            </w:r>
            <w:r>
              <w:rPr>
                <w:rFonts w:hint="eastAsia" w:ascii="宋体" w:hAnsi="宋体" w:eastAsia="宋体" w:cs="宋体"/>
                <w:sz w:val="21"/>
                <w:szCs w:val="21"/>
                <w:lang w:eastAsia="zh-CN"/>
              </w:rPr>
              <w:t>气</w:t>
            </w:r>
            <w:r>
              <w:rPr>
                <w:rFonts w:hint="eastAsia" w:ascii="宋体" w:hAnsi="宋体" w:eastAsia="宋体" w:cs="宋体"/>
                <w:sz w:val="21"/>
                <w:szCs w:val="21"/>
              </w:rPr>
              <w:t>0.55Mpa</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耐拓NT5003CA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03" w:type="pct"/>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89" w:type="pct"/>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3针6线包袋机</w:t>
            </w: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西裤，大衣等补强带，中厚布料包边等工序，带拉筒，包边线为四线，四线内包拉条。</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p>
        </w:tc>
        <w:tc>
          <w:tcPr>
            <w:tcW w:w="1929"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最</w:t>
            </w:r>
            <w:r>
              <w:rPr>
                <w:rFonts w:hint="eastAsia" w:ascii="宋体" w:hAnsi="宋体" w:eastAsia="宋体" w:cs="宋体"/>
                <w:sz w:val="21"/>
                <w:szCs w:val="21"/>
              </w:rPr>
              <w:t>快缝制速度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7,000sti/min</w:t>
            </w:r>
          </w:p>
          <w:p>
            <w:pPr>
              <w:keepNext w:val="0"/>
              <w:keepLines w:val="0"/>
              <w:pageBreakBefore w:val="0"/>
              <w:tabs>
                <w:tab w:val="left" w:pos="1884"/>
              </w:tabs>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针距长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0.6~3.8mm</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差动比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缩小1:2 ，扩大1:0.7</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针杆行程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24.5mm</w:t>
            </w:r>
          </w:p>
          <w:p>
            <w:pPr>
              <w:keepNext w:val="0"/>
              <w:keepLines w:val="0"/>
              <w:pageBreakBefore w:val="0"/>
              <w:tabs>
                <w:tab w:val="left" w:pos="2184"/>
              </w:tabs>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针倾斜角度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w:t>
            </w:r>
          </w:p>
          <w:p>
            <w:pPr>
              <w:keepNext w:val="0"/>
              <w:keepLines w:val="0"/>
              <w:pageBreakBefore w:val="0"/>
              <w:tabs>
                <w:tab w:val="left" w:pos="2199"/>
              </w:tabs>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针杆套筒</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上下套筒方式</w:t>
            </w:r>
          </w:p>
          <w:p>
            <w:pPr>
              <w:keepNext w:val="0"/>
              <w:keepLines w:val="0"/>
              <w:pageBreakBefore w:val="0"/>
              <w:tabs>
                <w:tab w:val="left" w:pos="2274"/>
              </w:tabs>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使用针 DC×27</w:t>
            </w:r>
          </w:p>
          <w:p>
            <w:pPr>
              <w:keepNext w:val="0"/>
              <w:keepLines w:val="0"/>
              <w:pageBreakBefore w:val="0"/>
              <w:tabs>
                <w:tab w:val="left" w:pos="2559"/>
              </w:tabs>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最大压脚抬升量</w:t>
            </w:r>
            <w:r>
              <w:rPr>
                <w:rFonts w:hint="eastAsia" w:ascii="宋体" w:hAnsi="宋体" w:eastAsia="宋体" w:cs="宋体"/>
                <w:sz w:val="21"/>
                <w:szCs w:val="21"/>
                <w:lang w:val="en-US" w:eastAsia="zh-CN"/>
              </w:rPr>
              <w:t xml:space="preserve"> 7</w:t>
            </w:r>
            <w:r>
              <w:rPr>
                <w:rFonts w:hint="eastAsia" w:ascii="宋体" w:hAnsi="宋体" w:eastAsia="宋体" w:cs="宋体"/>
                <w:sz w:val="21"/>
                <w:szCs w:val="21"/>
              </w:rPr>
              <w:t>mm大压脚压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63.7N</w:t>
            </w:r>
          </w:p>
          <w:p>
            <w:pPr>
              <w:keepNext w:val="0"/>
              <w:keepLines w:val="0"/>
              <w:pageBreakBefore w:val="0"/>
              <w:tabs>
                <w:tab w:val="left" w:pos="2694"/>
              </w:tabs>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针迹调节方式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按钮式</w:t>
            </w:r>
          </w:p>
          <w:p>
            <w:pPr>
              <w:keepNext w:val="0"/>
              <w:keepLines w:val="0"/>
              <w:pageBreakBefore w:val="0"/>
              <w:tabs>
                <w:tab w:val="left" w:pos="2754"/>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差动调节方式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扳手式（带微调整装置）</w:t>
            </w:r>
          </w:p>
          <w:p>
            <w:pPr>
              <w:keepNext w:val="0"/>
              <w:keepLines w:val="0"/>
              <w:pageBreakBefore w:val="0"/>
              <w:tabs>
                <w:tab w:val="left" w:pos="291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供油方</w:t>
            </w:r>
            <w:r>
              <w:rPr>
                <w:rFonts w:hint="eastAsia" w:ascii="宋体" w:hAnsi="宋体" w:eastAsia="宋体" w:cs="宋体"/>
                <w:sz w:val="21"/>
                <w:szCs w:val="21"/>
                <w:lang w:eastAsia="zh-CN"/>
              </w:rPr>
              <w:t>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自动供油（针杆机构以及上弯针无供油）</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2</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重机MO-6816D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3" w:type="pc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489" w:type="pc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绘图仪</w:t>
            </w: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color w:val="000000"/>
                <w:kern w:val="0"/>
                <w:sz w:val="21"/>
                <w:szCs w:val="21"/>
              </w:rPr>
              <w:t>双向高速喷墨机服装CAD绘图仪</w:t>
            </w:r>
            <w:r>
              <w:rPr>
                <w:rFonts w:hint="eastAsia" w:ascii="宋体" w:hAnsi="宋体" w:eastAsia="宋体" w:cs="宋体"/>
                <w:color w:val="000000"/>
                <w:kern w:val="0"/>
                <w:sz w:val="21"/>
                <w:szCs w:val="21"/>
                <w:lang w:eastAsia="zh-CN"/>
              </w:rPr>
              <w:t>（含培训）</w:t>
            </w:r>
          </w:p>
        </w:tc>
        <w:tc>
          <w:tcPr>
            <w:tcW w:w="1929" w:type="pct"/>
            <w:vAlign w:val="center"/>
          </w:tcPr>
          <w:p>
            <w:pPr>
              <w:keepNext w:val="0"/>
              <w:keepLines w:val="0"/>
              <w:pageBreakBefore w:val="0"/>
              <w:widowControl/>
              <w:numPr>
                <w:ilvl w:val="0"/>
                <w:numId w:val="37"/>
              </w:numPr>
              <w:kinsoku/>
              <w:wordWrap/>
              <w:overflowPunct/>
              <w:topLinePunct w:val="0"/>
              <w:autoSpaceDE/>
              <w:autoSpaceDN/>
              <w:bidi w:val="0"/>
              <w:adjustRightInd/>
              <w:snapToGrid/>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最大进纸宽度：2000MM</w:t>
            </w:r>
          </w:p>
          <w:p>
            <w:pPr>
              <w:keepNext w:val="0"/>
              <w:keepLines w:val="0"/>
              <w:pageBreakBefore w:val="0"/>
              <w:widowControl/>
              <w:numPr>
                <w:ilvl w:val="0"/>
                <w:numId w:val="37"/>
              </w:numPr>
              <w:kinsoku/>
              <w:wordWrap/>
              <w:overflowPunct/>
              <w:topLinePunct w:val="0"/>
              <w:autoSpaceDE/>
              <w:autoSpaceDN/>
              <w:bidi w:val="0"/>
              <w:adjustRightInd/>
              <w:snapToGrid/>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最大绘图宽度：1900MM</w:t>
            </w:r>
          </w:p>
          <w:p>
            <w:pPr>
              <w:keepNext w:val="0"/>
              <w:keepLines w:val="0"/>
              <w:pageBreakBefore w:val="0"/>
              <w:widowControl/>
              <w:numPr>
                <w:ilvl w:val="0"/>
                <w:numId w:val="37"/>
              </w:numPr>
              <w:kinsoku/>
              <w:wordWrap/>
              <w:overflowPunct/>
              <w:topLinePunct w:val="0"/>
              <w:autoSpaceDE/>
              <w:autoSpaceDN/>
              <w:bidi w:val="0"/>
              <w:adjustRightInd/>
              <w:snapToGrid/>
              <w:ind w:left="360" w:leftChars="0" w:hanging="360" w:firstLineChars="0"/>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连供供墨（双墨头或四墨头）</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03" w:type="pc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489" w:type="pc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AO读图仪</w:t>
            </w: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color w:val="000000"/>
                <w:kern w:val="0"/>
                <w:sz w:val="21"/>
                <w:szCs w:val="21"/>
              </w:rPr>
              <w:t>数字化仪</w:t>
            </w:r>
            <w:r>
              <w:rPr>
                <w:rFonts w:hint="eastAsia" w:ascii="宋体" w:hAnsi="宋体" w:eastAsia="宋体" w:cs="宋体"/>
                <w:color w:val="000000"/>
                <w:kern w:val="0"/>
                <w:sz w:val="21"/>
                <w:szCs w:val="21"/>
                <w:lang w:eastAsia="zh-CN"/>
              </w:rPr>
              <w:t>（含培训）</w:t>
            </w:r>
          </w:p>
        </w:tc>
        <w:tc>
          <w:tcPr>
            <w:tcW w:w="1929" w:type="pct"/>
            <w:vAlign w:val="center"/>
          </w:tcPr>
          <w:p>
            <w:pPr>
              <w:keepNext w:val="0"/>
              <w:keepLines w:val="0"/>
              <w:pageBreakBefore w:val="0"/>
              <w:widowControl/>
              <w:numPr>
                <w:ilvl w:val="0"/>
                <w:numId w:val="38"/>
              </w:numPr>
              <w:kinsoku/>
              <w:wordWrap/>
              <w:overflowPunct/>
              <w:topLinePunct w:val="0"/>
              <w:autoSpaceDE/>
              <w:autoSpaceDN/>
              <w:bidi w:val="0"/>
              <w:adjustRightInd/>
              <w:snapToGrid/>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适用于CAD、GIS、数字制图等领域</w:t>
            </w:r>
          </w:p>
          <w:p>
            <w:pPr>
              <w:keepNext w:val="0"/>
              <w:keepLines w:val="0"/>
              <w:pageBreakBefore w:val="0"/>
              <w:widowControl/>
              <w:numPr>
                <w:ilvl w:val="0"/>
                <w:numId w:val="38"/>
              </w:numPr>
              <w:kinsoku/>
              <w:wordWrap/>
              <w:overflowPunct/>
              <w:topLinePunct w:val="0"/>
              <w:autoSpaceDE/>
              <w:autoSpaceDN/>
              <w:bidi w:val="0"/>
              <w:adjustRightInd/>
              <w:snapToGrid/>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AO读图仪幅面：1219MM*914MM</w:t>
            </w:r>
          </w:p>
          <w:p>
            <w:pPr>
              <w:keepNext w:val="0"/>
              <w:keepLines w:val="0"/>
              <w:pageBreakBefore w:val="0"/>
              <w:widowControl/>
              <w:numPr>
                <w:ilvl w:val="0"/>
                <w:numId w:val="38"/>
              </w:numPr>
              <w:kinsoku/>
              <w:wordWrap/>
              <w:overflowPunct/>
              <w:topLinePunct w:val="0"/>
              <w:autoSpaceDE/>
              <w:autoSpaceDN/>
              <w:bidi w:val="0"/>
              <w:adjustRightInd/>
              <w:snapToGrid/>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精度0.23MM、0.127MM两档</w:t>
            </w:r>
          </w:p>
          <w:p>
            <w:pPr>
              <w:keepNext w:val="0"/>
              <w:keepLines w:val="0"/>
              <w:pageBreakBefore w:val="0"/>
              <w:widowControl/>
              <w:numPr>
                <w:ilvl w:val="0"/>
                <w:numId w:val="38"/>
              </w:numPr>
              <w:kinsoku/>
              <w:wordWrap/>
              <w:overflowPunct/>
              <w:topLinePunct w:val="0"/>
              <w:autoSpaceDE/>
              <w:autoSpaceDN/>
              <w:bidi w:val="0"/>
              <w:adjustRightInd/>
              <w:snapToGrid/>
              <w:ind w:left="360" w:leftChars="0" w:hanging="360" w:firstLineChars="0"/>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数据输出速率10100对/秒</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03" w:type="pc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489" w:type="pc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配套品牌电脑</w:t>
            </w:r>
          </w:p>
        </w:tc>
        <w:tc>
          <w:tcPr>
            <w:tcW w:w="1210" w:type="pct"/>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color w:val="000000"/>
                <w:kern w:val="0"/>
                <w:sz w:val="21"/>
                <w:szCs w:val="21"/>
              </w:rPr>
              <w:t>含27英寸显示屏</w:t>
            </w:r>
          </w:p>
        </w:tc>
        <w:tc>
          <w:tcPr>
            <w:tcW w:w="1929" w:type="pct"/>
            <w:vAlign w:val="center"/>
          </w:tcPr>
          <w:p>
            <w:pPr>
              <w:keepNext w:val="0"/>
              <w:keepLines w:val="0"/>
              <w:pageBreakBefore w:val="0"/>
              <w:widowControl/>
              <w:numPr>
                <w:ilvl w:val="0"/>
                <w:numId w:val="39"/>
              </w:numPr>
              <w:kinsoku/>
              <w:wordWrap/>
              <w:overflowPunct/>
              <w:topLinePunct w:val="0"/>
              <w:autoSpaceDE/>
              <w:autoSpaceDN/>
              <w:bidi w:val="0"/>
              <w:adjustRightInd/>
              <w:snapToGrid/>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内存8G</w:t>
            </w:r>
          </w:p>
          <w:p>
            <w:pPr>
              <w:keepNext w:val="0"/>
              <w:keepLines w:val="0"/>
              <w:pageBreakBefore w:val="0"/>
              <w:widowControl/>
              <w:numPr>
                <w:ilvl w:val="0"/>
                <w:numId w:val="39"/>
              </w:numPr>
              <w:kinsoku/>
              <w:wordWrap/>
              <w:overflowPunct/>
              <w:topLinePunct w:val="0"/>
              <w:autoSpaceDE/>
              <w:autoSpaceDN/>
              <w:bidi w:val="0"/>
              <w:adjustRightInd/>
              <w:snapToGrid/>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硬盘512G固态硬盘</w:t>
            </w:r>
          </w:p>
          <w:p>
            <w:pPr>
              <w:keepNext w:val="0"/>
              <w:keepLines w:val="0"/>
              <w:pageBreakBefore w:val="0"/>
              <w:widowControl/>
              <w:numPr>
                <w:ilvl w:val="0"/>
                <w:numId w:val="39"/>
              </w:numPr>
              <w:kinsoku/>
              <w:wordWrap/>
              <w:overflowPunct/>
              <w:topLinePunct w:val="0"/>
              <w:autoSpaceDE/>
              <w:autoSpaceDN/>
              <w:bidi w:val="0"/>
              <w:adjustRightInd/>
              <w:snapToGrid/>
              <w:ind w:left="360" w:leftChars="0" w:hanging="360" w:firstLineChars="0"/>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含相关正版软件（打版放码及超级排料系统）</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03" w:type="pct"/>
            <w:vAlign w:val="center"/>
          </w:tcPr>
          <w:p>
            <w:pPr>
              <w:keepNext w:val="0"/>
              <w:keepLines w:val="0"/>
              <w:pageBreakBefore w:val="0"/>
              <w:tabs>
                <w:tab w:val="left" w:pos="2079"/>
              </w:tabs>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89" w:type="pct"/>
            <w:vAlign w:val="center"/>
          </w:tcPr>
          <w:p>
            <w:pPr>
              <w:keepNext w:val="0"/>
              <w:keepLines w:val="0"/>
              <w:pageBreakBefore w:val="0"/>
              <w:tabs>
                <w:tab w:val="left" w:pos="2079"/>
              </w:tabs>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电脑花样机</w:t>
            </w:r>
          </w:p>
        </w:tc>
        <w:tc>
          <w:tcPr>
            <w:tcW w:w="1210" w:type="pct"/>
            <w:vAlign w:val="center"/>
          </w:tcPr>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可变多段张力</w:t>
            </w:r>
            <w:r>
              <w:rPr>
                <w:rFonts w:hint="eastAsia" w:ascii="宋体" w:hAnsi="宋体" w:eastAsia="宋体" w:cs="宋体"/>
                <w:sz w:val="21"/>
                <w:szCs w:val="21"/>
                <w:lang w:eastAsia="zh-CN"/>
              </w:rPr>
              <w:t>、</w:t>
            </w:r>
            <w:r>
              <w:rPr>
                <w:rFonts w:hint="eastAsia" w:ascii="宋体" w:hAnsi="宋体" w:eastAsia="宋体" w:cs="宋体"/>
                <w:sz w:val="21"/>
                <w:szCs w:val="21"/>
              </w:rPr>
              <w:t>面线夹持功能</w:t>
            </w:r>
            <w:r>
              <w:rPr>
                <w:rFonts w:hint="eastAsia" w:ascii="宋体" w:hAnsi="宋体" w:eastAsia="宋体" w:cs="宋体"/>
                <w:sz w:val="21"/>
                <w:szCs w:val="21"/>
                <w:lang w:eastAsia="zh-CN"/>
              </w:rPr>
              <w:t>、</w:t>
            </w:r>
            <w:r>
              <w:rPr>
                <w:rFonts w:hint="eastAsia" w:ascii="宋体" w:hAnsi="宋体" w:eastAsia="宋体" w:cs="宋体"/>
                <w:sz w:val="21"/>
                <w:szCs w:val="21"/>
              </w:rPr>
              <w:t>断线检测功能</w:t>
            </w:r>
            <w:r>
              <w:rPr>
                <w:rFonts w:hint="eastAsia" w:ascii="宋体" w:hAnsi="宋体" w:eastAsia="宋体" w:cs="宋体"/>
                <w:sz w:val="21"/>
                <w:szCs w:val="21"/>
                <w:lang w:eastAsia="zh-CN"/>
              </w:rPr>
              <w:t>、</w:t>
            </w:r>
            <w:r>
              <w:rPr>
                <w:rFonts w:hint="eastAsia" w:ascii="宋体" w:hAnsi="宋体" w:eastAsia="宋体" w:cs="宋体"/>
                <w:sz w:val="21"/>
                <w:szCs w:val="21"/>
              </w:rPr>
              <w:t>针杆无油</w:t>
            </w:r>
            <w:r>
              <w:rPr>
                <w:rFonts w:hint="eastAsia" w:ascii="宋体" w:hAnsi="宋体" w:eastAsia="宋体" w:cs="宋体"/>
                <w:sz w:val="21"/>
                <w:szCs w:val="21"/>
                <w:lang w:eastAsia="zh-CN"/>
              </w:rPr>
              <w:t>、</w:t>
            </w:r>
            <w:r>
              <w:rPr>
                <w:rFonts w:hint="eastAsia" w:ascii="宋体" w:hAnsi="宋体" w:eastAsia="宋体" w:cs="宋体"/>
                <w:sz w:val="21"/>
                <w:szCs w:val="21"/>
              </w:rPr>
              <w:t>使用PD300编程软件,可快速简便的编辑花样,HB款更可兼容DADE,PLK格式花样编辑,修改花样更简便大屏幕液皛操作界面,全新的触摸屏控制,只需手指轻触即可完成人机对话。根据图标和命令,轻松创建缝纫数据。</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p>
        </w:tc>
        <w:tc>
          <w:tcPr>
            <w:tcW w:w="1929" w:type="pct"/>
            <w:vAlign w:val="center"/>
          </w:tcPr>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线迹型式</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单针平缝</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最高缝纫速度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 800 rpm</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缝制区域(X×Y)</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最大300×200mm</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送布装置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间歇送布(脉冲马达驱动)</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针距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0.05-127mm</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最大针数20.000针/个图案</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两步压脚</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数据存储方式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任意缝纫图案</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马达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AC伺服马达</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单相220V三相380V</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舒普SP-3020AS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03" w:type="pct"/>
            <w:vAlign w:val="center"/>
          </w:tcPr>
          <w:p>
            <w:pPr>
              <w:keepNext w:val="0"/>
              <w:keepLines w:val="0"/>
              <w:pageBreakBefore w:val="0"/>
              <w:tabs>
                <w:tab w:val="left" w:pos="2079"/>
              </w:tabs>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89" w:type="pct"/>
            <w:vAlign w:val="center"/>
          </w:tcPr>
          <w:p>
            <w:pPr>
              <w:keepNext w:val="0"/>
              <w:keepLines w:val="0"/>
              <w:pageBreakBefore w:val="0"/>
              <w:tabs>
                <w:tab w:val="left" w:pos="2079"/>
              </w:tabs>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电脑平缝机</w:t>
            </w:r>
          </w:p>
        </w:tc>
        <w:tc>
          <w:tcPr>
            <w:tcW w:w="1210" w:type="pct"/>
            <w:vAlign w:val="center"/>
          </w:tcPr>
          <w:p>
            <w:pPr>
              <w:keepNext w:val="0"/>
              <w:keepLines w:val="0"/>
              <w:pageBreakBefore w:val="0"/>
              <w:tabs>
                <w:tab w:val="left" w:pos="2079"/>
              </w:tabs>
              <w:kinsoku/>
              <w:wordWrap/>
              <w:overflowPunct/>
              <w:topLinePunct w:val="0"/>
              <w:autoSpaceDE/>
              <w:autoSpaceDN/>
              <w:bidi w:val="0"/>
              <w:adjustRightInd/>
              <w:snapToGrid/>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929" w:type="pct"/>
            <w:vAlign w:val="center"/>
          </w:tcPr>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无线头，防鸟巢功能，配不同规格及用途专用压脚5套</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lang w:val="en-US" w:eastAsia="zh-CN"/>
              </w:rPr>
              <w:t>30</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重机DDL8000SMS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03" w:type="pct"/>
            <w:vAlign w:val="center"/>
          </w:tcPr>
          <w:p>
            <w:pPr>
              <w:keepNext w:val="0"/>
              <w:keepLines w:val="0"/>
              <w:pageBreakBefore w:val="0"/>
              <w:tabs>
                <w:tab w:val="left" w:pos="2079"/>
              </w:tabs>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89" w:type="pct"/>
            <w:vAlign w:val="center"/>
          </w:tcPr>
          <w:p>
            <w:pPr>
              <w:keepNext w:val="0"/>
              <w:keepLines w:val="0"/>
              <w:pageBreakBefore w:val="0"/>
              <w:tabs>
                <w:tab w:val="left" w:pos="2079"/>
              </w:tabs>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自动送扣钉扣机</w:t>
            </w:r>
          </w:p>
        </w:tc>
        <w:tc>
          <w:tcPr>
            <w:tcW w:w="1210" w:type="pct"/>
            <w:vAlign w:val="center"/>
          </w:tcPr>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重机LK1903SS</w:t>
            </w:r>
            <w:r>
              <w:rPr>
                <w:rFonts w:hint="eastAsia" w:ascii="宋体" w:hAnsi="宋体" w:eastAsia="宋体" w:cs="宋体"/>
                <w:sz w:val="21"/>
                <w:szCs w:val="21"/>
                <w:lang w:eastAsia="zh-CN"/>
              </w:rPr>
              <w:t>机头，</w:t>
            </w:r>
            <w:r>
              <w:rPr>
                <w:rFonts w:hint="eastAsia" w:ascii="宋体" w:hAnsi="宋体" w:eastAsia="宋体" w:cs="宋体"/>
                <w:sz w:val="21"/>
                <w:szCs w:val="21"/>
              </w:rPr>
              <w:t>标准配备了コ字、X字、Z字等55个缝制花样，缝制形状、钮孔间隔、针数等都可以在操作面板上直接简单的变更。自动送扣，自动识别等</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p>
        </w:tc>
        <w:tc>
          <w:tcPr>
            <w:tcW w:w="1929" w:type="pct"/>
            <w:vAlign w:val="center"/>
          </w:tcPr>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最快缝制速度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 700sti/min</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种类:圆形平扣</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钮</w:t>
            </w:r>
            <w:r>
              <w:rPr>
                <w:rFonts w:hint="eastAsia" w:ascii="宋体" w:hAnsi="宋体" w:eastAsia="宋体" w:cs="宋体"/>
                <w:sz w:val="21"/>
                <w:szCs w:val="21"/>
              </w:rPr>
              <w:t>扣尺寸:q8~p32mm</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301:q8~q20</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选购件:φ15~32</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缝制针距长度0.1~10mm(0.1mm单位)</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压脚拾升量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最大13mm</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可储存200花样</w:t>
            </w: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重机LK1903SS机头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3" w:type="pct"/>
            <w:vAlign w:val="center"/>
          </w:tcPr>
          <w:p>
            <w:pPr>
              <w:keepNext w:val="0"/>
              <w:keepLines w:val="0"/>
              <w:pageBreakBefore w:val="0"/>
              <w:tabs>
                <w:tab w:val="left" w:pos="2079"/>
              </w:tabs>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89" w:type="pct"/>
            <w:vAlign w:val="center"/>
          </w:tcPr>
          <w:p>
            <w:pPr>
              <w:keepNext w:val="0"/>
              <w:keepLines w:val="0"/>
              <w:pageBreakBefore w:val="0"/>
              <w:tabs>
                <w:tab w:val="left" w:pos="2079"/>
              </w:tabs>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上腰专用单杆双针机</w:t>
            </w:r>
          </w:p>
        </w:tc>
        <w:tc>
          <w:tcPr>
            <w:tcW w:w="1210" w:type="pct"/>
            <w:vAlign w:val="center"/>
          </w:tcPr>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锁式线迹双针平缝机，气动控制操作轻松方便；可节省一道工序，极大的提高工作效率，是缝制品质更加完美。 适用于牛仔、休闲装裤腰、下摆等缝制。气动针杆离合，脚踏阀控制。采用带挡边的浮动压脚，在缝料左右厚度不同时可自动调整压脚高度，缝制效果更加平整美观。附加后拖轮装置，可轻松应对牛仔裤等较难输送布料的缝制工序，通过调整，可实现直拖布和斜拖布两种形式。 特别适合裤腰等专道工序的缝制。配置气动脚踏阀。自动跳针免拆线</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p>
        </w:tc>
        <w:tc>
          <w:tcPr>
            <w:tcW w:w="1929" w:type="pct"/>
            <w:vAlign w:val="center"/>
          </w:tcPr>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配置后拖装置和浮动压脚，配置上下卷筒，方便缝制牛仔裤腰，缝制美观、快捷，大幅提高工作效率。针位宽度可调</w:t>
            </w:r>
          </w:p>
          <w:p>
            <w:pPr>
              <w:keepNext w:val="0"/>
              <w:keepLines w:val="0"/>
              <w:pageBreakBefore w:val="0"/>
              <w:tabs>
                <w:tab w:val="left" w:pos="207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p>
        </w:tc>
        <w:tc>
          <w:tcPr>
            <w:tcW w:w="391"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宋体" w:hAnsi="宋体" w:cs="宋体"/>
                <w:sz w:val="21"/>
                <w:szCs w:val="21"/>
                <w:lang w:val="en-US" w:eastAsia="zh-CN"/>
              </w:rPr>
              <w:t>台</w:t>
            </w:r>
          </w:p>
        </w:tc>
        <w:tc>
          <w:tcPr>
            <w:tcW w:w="675"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标准GC-9420H/P</w:t>
            </w:r>
          </w:p>
        </w:tc>
      </w:tr>
    </w:tbl>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注：以上清单需求表中如出现涉及固定规格型号、尺寸及重量的均为参考，允许略有误差，但投标人报价的产品必须符合采购人使用功能及质量要求，并提供相应技术参数证明其符合采购需求或优于采购需求，否则视其为不满足采购需求。如涉及固定厂家品牌也均为参考或推荐，并要求其唯一性，投标人可提供同等质量标准或更高标准产品，并提供相应技术参数证明其符合采购需求或优于采购需求，否则视其为不满足采购需求。</w:t>
      </w:r>
    </w:p>
    <w:p>
      <w:pPr>
        <w:autoSpaceDE w:val="0"/>
        <w:autoSpaceDN w:val="0"/>
        <w:adjustRightInd w:val="0"/>
        <w:spacing w:line="360" w:lineRule="auto"/>
        <w:outlineLvl w:val="9"/>
        <w:rPr>
          <w:rFonts w:ascii="宋体" w:hAnsi="宋体" w:eastAsia="宋体" w:cs="宋体"/>
          <w:sz w:val="24"/>
          <w:szCs w:val="24"/>
        </w:rPr>
      </w:pPr>
      <w:r>
        <w:rPr>
          <w:rFonts w:ascii="宋体" w:hAnsi="宋体" w:eastAsia="宋体" w:cs="宋体"/>
          <w:sz w:val="24"/>
          <w:szCs w:val="24"/>
        </w:rPr>
        <w:t xml:space="preserve"> </w:t>
      </w:r>
      <w:bookmarkStart w:id="105" w:name="_Toc15828"/>
    </w:p>
    <w:p>
      <w:pPr>
        <w:rPr>
          <w:rFonts w:ascii="宋体" w:hAnsi="宋体" w:eastAsia="宋体" w:cs="宋体"/>
          <w:sz w:val="24"/>
          <w:szCs w:val="24"/>
        </w:rPr>
      </w:pPr>
      <w:r>
        <w:rPr>
          <w:rFonts w:ascii="宋体" w:hAnsi="宋体" w:eastAsia="宋体" w:cs="宋体"/>
          <w:sz w:val="24"/>
          <w:szCs w:val="24"/>
        </w:rPr>
        <w:br w:type="page"/>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二、商务需求</w:t>
      </w:r>
      <w:bookmarkEnd w:id="105"/>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1、违约责任：</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所有拟派服务人员及设备均需按照磋商文件指标要求及竞标响应情况进行检查核对后方可签订合同，不满足磋商文件要求的，采购人有权不对其进行验收；同时采购人有权对成交供应商进行双倍罚款或取消合同。</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1.2若非采购人原因，成交供应商逾期签订合同的，成交供应商向采购人支付逾期违约金，逾期违约金为每天1000.00元人民币，但其最终累计金额不超过合同价款的10%。</w:t>
      </w:r>
    </w:p>
    <w:p>
      <w:pPr>
        <w:autoSpaceDE w:val="0"/>
        <w:autoSpaceDN w:val="0"/>
        <w:adjustRightInd w:val="0"/>
        <w:spacing w:line="360" w:lineRule="auto"/>
        <w:ind w:firstLine="420" w:firstLineChars="200"/>
      </w:pPr>
      <w:r>
        <w:rPr>
          <w:rFonts w:hint="eastAsia" w:asciiTheme="minorEastAsia" w:hAnsiTheme="minorEastAsia" w:eastAsiaTheme="minorEastAsia" w:cstheme="minorEastAsia"/>
          <w:szCs w:val="21"/>
        </w:rPr>
        <w:t>1.3因成交供应商原因服务质量及诚信要求达不到约定的标准，由成交供应商向采购人支付合同价款10%的违约金。</w:t>
      </w:r>
    </w:p>
    <w:p>
      <w:pPr>
        <w:autoSpaceDE w:val="0"/>
        <w:autoSpaceDN w:val="0"/>
        <w:adjustRightInd w:val="0"/>
        <w:spacing w:line="360" w:lineRule="auto"/>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2、产品质量要求：</w:t>
      </w:r>
    </w:p>
    <w:p>
      <w:pPr>
        <w:autoSpaceDE w:val="0"/>
        <w:autoSpaceDN w:val="0"/>
        <w:adjustRightInd w:val="0"/>
        <w:spacing w:line="360" w:lineRule="auto"/>
        <w:ind w:firstLine="420" w:firstLineChars="20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2.1满足执行的国家相关标准、行业标准、地方标准或其他标准，规范；</w:t>
      </w:r>
    </w:p>
    <w:p>
      <w:pPr>
        <w:autoSpaceDE w:val="0"/>
        <w:autoSpaceDN w:val="0"/>
        <w:adjustRightInd w:val="0"/>
        <w:spacing w:line="360" w:lineRule="auto"/>
        <w:ind w:firstLine="420" w:firstLineChars="20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2.2所有产品满足招标文件的要求及投标文件的承诺；</w:t>
      </w:r>
    </w:p>
    <w:p>
      <w:pPr>
        <w:autoSpaceDE w:val="0"/>
        <w:autoSpaceDN w:val="0"/>
        <w:adjustRightInd w:val="0"/>
        <w:spacing w:line="360" w:lineRule="auto"/>
        <w:ind w:firstLine="420" w:firstLineChars="20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3向采购人供应货物保证所供货物的完整性，不得有已拆封、缺损等情况出现。如发现必须及时收回，并承担一切法律责任，采购人有权拒绝验收，投标人必须无条件接受退货，由此造成的法律责任和经济损失由供货商负责。投标人所供货物如有质量问题，在接到采购人的通知后，在 3 个工作日内应负责包退、包换，不能以已加工等理由拒绝，由此造成的损失及费用由投标人承担。</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3、产品进场安装、调试及验收：安装、校准和初始试运行在到货</w:t>
      </w:r>
      <w:r>
        <w:rPr>
          <w:rFonts w:hint="eastAsia" w:ascii="宋体" w:hAnsi="宋体" w:cs="宋体"/>
          <w:b w:val="0"/>
          <w:bCs w:val="0"/>
          <w:color w:val="auto"/>
          <w:sz w:val="21"/>
          <w:szCs w:val="21"/>
          <w:lang w:val="en-US" w:eastAsia="zh-CN"/>
        </w:rPr>
        <w:t>20</w:t>
      </w:r>
      <w:r>
        <w:rPr>
          <w:rFonts w:hint="eastAsia" w:ascii="宋体" w:hAnsi="宋体" w:eastAsia="宋体" w:cs="宋体"/>
          <w:b w:val="0"/>
          <w:bCs w:val="0"/>
          <w:color w:val="auto"/>
          <w:sz w:val="21"/>
          <w:szCs w:val="21"/>
          <w:lang w:val="en-US" w:eastAsia="zh-CN"/>
        </w:rPr>
        <w:t>日内由卖方到用户处进行安装调试，并对设备使用者2-5人进行设备操作和维护进行培训，使被培训人员达到能够熟练使用。累计培训时间不少于5个工作日，培训费用由卖方承担。最终的验收在用户所在地进行，内容包括：各项参数及性能检验、设备精度检测等。</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、交货地点：</w:t>
      </w:r>
      <w:r>
        <w:rPr>
          <w:rFonts w:hint="eastAsia" w:asciiTheme="minorEastAsia" w:hAnsiTheme="minorEastAsia" w:eastAsiaTheme="minorEastAsia" w:cstheme="minorEastAsia"/>
          <w:color w:val="000000" w:themeColor="text1"/>
          <w:sz w:val="21"/>
          <w:szCs w:val="21"/>
          <w14:textFill>
            <w14:solidFill>
              <w14:schemeClr w14:val="tx1"/>
            </w14:solidFill>
          </w14:textFill>
        </w:rPr>
        <w:t>湖北军山工贸有限公司</w:t>
      </w:r>
      <w:r>
        <w:rPr>
          <w:rFonts w:hint="eastAsia" w:asciiTheme="minorEastAsia" w:hAnsiTheme="minorEastAsia" w:eastAsiaTheme="minorEastAsia" w:cstheme="minorEastAsia"/>
          <w:szCs w:val="21"/>
        </w:rPr>
        <w:t>指定地点</w:t>
      </w: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、交货期：合同签订后10日历天内供货，供货完成后20天内完成安装调试</w:t>
      </w:r>
    </w:p>
    <w:p>
      <w:pPr>
        <w:spacing w:line="360" w:lineRule="auto"/>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、质保期/保修期：验收合格之日算起，质保期限为</w:t>
      </w:r>
      <w:r>
        <w:rPr>
          <w:rFonts w:hint="eastAsia" w:ascii="宋体" w:hAnsi="宋体" w:cs="宋体"/>
          <w:color w:val="000000" w:themeColor="text1"/>
          <w:szCs w:val="21"/>
          <w:lang w:eastAsia="zh-CN"/>
          <w14:textFill>
            <w14:solidFill>
              <w14:schemeClr w14:val="tx1"/>
            </w14:solidFill>
          </w14:textFill>
        </w:rPr>
        <w:t>三</w:t>
      </w:r>
      <w:r>
        <w:rPr>
          <w:rFonts w:hint="eastAsia" w:ascii="宋体" w:hAnsi="宋体" w:cs="宋体"/>
          <w:color w:val="000000" w:themeColor="text1"/>
          <w:szCs w:val="21"/>
          <w14:textFill>
            <w14:solidFill>
              <w14:schemeClr w14:val="tx1"/>
            </w14:solidFill>
          </w14:textFill>
        </w:rPr>
        <w:t>年</w:t>
      </w:r>
    </w:p>
    <w:p>
      <w:pPr>
        <w:autoSpaceDE w:val="0"/>
        <w:autoSpaceDN w:val="0"/>
        <w:adjustRightInd w:val="0"/>
        <w:spacing w:line="360" w:lineRule="auto"/>
        <w:jc w:val="left"/>
        <w:rPr>
          <w:rFonts w:hint="eastAsia" w:ascii="宋体" w:hAnsi="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、付款方式：本项目无预付款，成交供应商按时提供设备并安装完毕，采购人验收合格后</w:t>
      </w:r>
      <w:r>
        <w:rPr>
          <w:rFonts w:hint="eastAsia" w:ascii="宋体" w:hAnsi="宋体" w:cs="宋体"/>
          <w:b w:val="0"/>
          <w:bCs w:val="0"/>
          <w:color w:val="000000" w:themeColor="text1"/>
          <w:kern w:val="2"/>
          <w:sz w:val="21"/>
          <w:szCs w:val="21"/>
          <w:lang w:val="en-US" w:eastAsia="zh-CN" w:bidi="ar-SA"/>
          <w14:textFill>
            <w14:solidFill>
              <w14:schemeClr w14:val="tx1"/>
            </w14:solidFill>
          </w14:textFill>
        </w:rPr>
        <w:t>支付至合同款的97%，留3%作为质保金，质保期满两年后无质量争议一次性支付完成。</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、成交供应商（乙方）应遵守的规定:</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由于监狱工作的特殊性，乙方应认真教育本单位工作人员严格遵守监狱的相关管理规定。</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（一）乙方人员必须遵守法律法规，不得假借监狱名义从事有损监狱形象的行为。</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（二）乙方人员进入监管区应提高警惕，注意人身安全保护，加强自我防范意识；自觉与罪犯划清界线，防止被罪犯利用。</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（三）乙方人员进入监管区必须衣着整齐，举止文明；女士不得进入监区。</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（四）凡需进入监管区的乙方人员必须由合作方开具委派证明和身份证明原件，向甲方提出申请，经核准后办理相关手续。</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（五）乙方车辆应凭审批手续并由监狱警察带领或监狱指定人员驾驶，方可进出监管区大门。</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（六）所有进出监管区大门的乙方人员、车辆和物品应接受监门警察和监门哨兵的检查，凭通行证件或经监狱审批的手续，人证相符、手续齐全方可进出监管区大门。</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乙方人员进出监管区大门必须遵守《监狱监管区大门管理规定》。凭有效身份证件办理《外来人员通行证》或《外来人员临时通行证》，由监狱相关部门警察带入带出，并接受监门武警和值班警察的检查管理。</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乙方人员不得携带管控物品（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进入监管区，进入监管区时必须按规定将移动电话等物品保管在贮物箱。</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（九）乙方人员进入监管区大门后，必须将《外来人员通行证》或《外来人员临时通行证》挂于胸前，并妥善保管。</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（十）乙方人员在监管区内必须遵守监狱的下列规定：</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1、不得擅自与罪犯接触，与罪犯认老乡、攀亲结友；</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2、不得为罪犯携带现金、酒类、熟食类物品或传带、保管任何物品； </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3、不得为罪犯邮寄信件、捎口信或替罪犯打电话；</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4、不得在监管区拍照、摄像或录音；</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5、不得在监管区内随意走动，非经许可不得进入监舍区；</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6、不得向无关人员谈及监狱工作秘密，或从事其它有碍监管安全的行为。</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（十一）乙方车辆应按指定位置停放并熄火，拔下钥匙，锁紧车门窗。所有车辆在当天16:30时前应驶离监管区。</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（十二）乙方人员若违反本管理规定，甲方将责成乙方将其解聘、辞退或调离，情节严重的将与乙方解除合同，有违法行为的送司法机关处理。</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注：</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1、资格审查因素等证明材料须提供网上图片或查询方式以供磋商小组核查，响应文件内附相关证书真彩扫描件。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b/>
          <w:bCs/>
          <w:color w:val="FF0000"/>
          <w:szCs w:val="21"/>
          <w:lang w:val="en-US" w:eastAsia="zh-CN"/>
        </w:rPr>
      </w:pPr>
      <w:r>
        <w:rPr>
          <w:rFonts w:hint="eastAsia" w:asciiTheme="minorEastAsia" w:hAnsiTheme="minorEastAsia" w:eastAsiaTheme="minorEastAsia" w:cstheme="minorEastAsia"/>
          <w:szCs w:val="21"/>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bCs/>
          <w:color w:val="FF0000"/>
          <w:szCs w:val="21"/>
          <w:lang w:val="en-US" w:eastAsia="zh-CN"/>
        </w:rPr>
        <w:br w:type="textWrapping"/>
      </w:r>
    </w:p>
    <w:p>
      <w:pPr>
        <w:rPr>
          <w:rFonts w:hint="eastAsia" w:asciiTheme="minorEastAsia" w:hAnsiTheme="minorEastAsia" w:eastAsiaTheme="minorEastAsia" w:cstheme="minorEastAsia"/>
          <w:b/>
          <w:bCs/>
          <w:color w:val="FF0000"/>
          <w:szCs w:val="21"/>
          <w:lang w:val="en-US" w:eastAsia="zh-CN"/>
        </w:rPr>
      </w:pPr>
      <w:r>
        <w:rPr>
          <w:rFonts w:hint="eastAsia" w:asciiTheme="minorEastAsia" w:hAnsiTheme="minorEastAsia" w:eastAsiaTheme="minorEastAsia" w:cstheme="minorEastAsia"/>
          <w:b/>
          <w:bCs/>
          <w:color w:val="FF0000"/>
          <w:szCs w:val="21"/>
          <w:lang w:val="en-US" w:eastAsia="zh-CN"/>
        </w:rPr>
        <w:br w:type="page"/>
      </w:r>
    </w:p>
    <w:p>
      <w:pPr>
        <w:pStyle w:val="3"/>
        <w:numPr>
          <w:ilvl w:val="0"/>
          <w:numId w:val="4"/>
        </w:numPr>
        <w:jc w:val="center"/>
        <w:rPr>
          <w:rFonts w:hint="eastAsia" w:asciiTheme="minorEastAsia" w:hAnsiTheme="minorEastAsia" w:eastAsiaTheme="minorEastAsia" w:cstheme="minorEastAsia"/>
          <w:szCs w:val="21"/>
        </w:rPr>
      </w:pPr>
      <w:bookmarkStart w:id="106" w:name="_Toc1933"/>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06"/>
    </w:p>
    <w:p>
      <w:pPr>
        <w:spacing w:line="360" w:lineRule="auto"/>
        <w:outlineLvl w:val="1"/>
        <w:rPr>
          <w:rFonts w:hint="eastAsia" w:asciiTheme="minorEastAsia" w:hAnsiTheme="minorEastAsia" w:eastAsiaTheme="minorEastAsia" w:cstheme="minorEastAsia"/>
          <w:b/>
          <w:szCs w:val="21"/>
        </w:rPr>
      </w:pPr>
      <w:bookmarkStart w:id="107" w:name="_Toc10483"/>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07"/>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lang w:val="zh-CN"/>
              </w:rPr>
            </w:pPr>
            <w:r>
              <w:rPr>
                <w:rFonts w:hint="eastAsia" w:ascii="Times New Roman" w:hAnsi="Times New Roman" w:cs="Times New Roman"/>
                <w:lang w:val="zh-CN"/>
              </w:rPr>
              <w:t>2、参与本项目采购活动前，已为本项目提供过整体设计、规范编制或者项目管理、监理、检测等服务的供应商。</w:t>
            </w:r>
          </w:p>
          <w:p>
            <w:pPr>
              <w:widowControl/>
              <w:spacing w:line="280" w:lineRule="exact"/>
              <w:jc w:val="left"/>
              <w:rPr>
                <w:rFonts w:hint="eastAsia"/>
                <w:lang w:val="zh-CN"/>
              </w:rPr>
            </w:pPr>
            <w:r>
              <w:rPr>
                <w:rFonts w:hint="eastAsia" w:ascii="Times New Roman" w:hAnsi="Times New Roman" w:cs="Times New Roman"/>
                <w:b w:val="0"/>
                <w:bCs w:val="0"/>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kern w:val="0"/>
                <w:szCs w:val="21"/>
              </w:rPr>
              <w:t>磋商保证金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是否</w:t>
            </w:r>
            <w:r>
              <w:rPr>
                <w:rFonts w:hint="eastAsia" w:asciiTheme="minorEastAsia" w:hAnsiTheme="minorEastAsia" w:eastAsiaTheme="minorEastAsia" w:cstheme="minorEastAsia"/>
                <w:kern w:val="0"/>
                <w:szCs w:val="21"/>
                <w:lang w:val="en-US" w:eastAsia="zh-CN"/>
              </w:rPr>
              <w:t>未</w:t>
            </w:r>
            <w:r>
              <w:rPr>
                <w:rFonts w:hint="eastAsia" w:asciiTheme="minorEastAsia" w:hAnsiTheme="minorEastAsia" w:eastAsiaTheme="minorEastAsia" w:cstheme="minorEastAsia"/>
                <w:kern w:val="0"/>
                <w:szCs w:val="21"/>
              </w:rPr>
              <w:t>超出经营范围</w:t>
            </w:r>
            <w:r>
              <w:rPr>
                <w:rFonts w:hint="eastAsia" w:asciiTheme="minorEastAsia" w:hAnsiTheme="minorEastAsia" w:eastAsiaTheme="minorEastAsia" w:cstheme="minorEastAsia"/>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磋商</w:t>
            </w:r>
            <w:r>
              <w:rPr>
                <w:rFonts w:hint="eastAsia" w:asciiTheme="minorEastAsia" w:hAnsiTheme="minorEastAsia" w:eastAsiaTheme="minorEastAsia" w:cstheme="minorEastAsia"/>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信誉情况</w:t>
            </w:r>
          </w:p>
        </w:tc>
        <w:tc>
          <w:tcPr>
            <w:tcW w:w="4730" w:type="dxa"/>
            <w:vAlign w:val="center"/>
          </w:tcPr>
          <w:p>
            <w:pPr>
              <w:widowControl/>
              <w:rPr>
                <w:rFonts w:hint="eastAsia" w:asciiTheme="minorEastAsia" w:hAnsiTheme="minorEastAsia" w:eastAsiaTheme="minorEastAsia" w:cstheme="minorEastAsia"/>
                <w:kern w:val="0"/>
                <w:szCs w:val="21"/>
                <w:lang w:val="en-US" w:eastAsia="zh-CN"/>
              </w:rPr>
            </w:pPr>
            <w:r>
              <w:rPr>
                <w:rFonts w:hint="eastAsia" w:ascii="宋体" w:hAnsi="宋体" w:cs="宋体"/>
                <w:kern w:val="0"/>
                <w:szCs w:val="21"/>
              </w:rPr>
              <w:t>参加本</w:t>
            </w:r>
            <w:r>
              <w:rPr>
                <w:rFonts w:hint="eastAsia" w:ascii="宋体" w:hAnsi="宋体" w:cs="宋体"/>
                <w:kern w:val="0"/>
                <w:szCs w:val="21"/>
                <w:shd w:val="clear" w:color="auto" w:fill="FFFFFF"/>
              </w:rPr>
              <w:t>次政府采购活动前三年内，是否有不良经济纠纷记录和违法行为</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供应商提供声明或承诺书，格式自拟</w:t>
            </w:r>
            <w:r>
              <w:rPr>
                <w:rFonts w:hint="eastAsia" w:ascii="宋体" w:hAnsi="宋体" w:cs="宋体"/>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技术参数及商务需求</w:t>
            </w:r>
            <w:r>
              <w:rPr>
                <w:rFonts w:hint="eastAsia" w:asciiTheme="minorEastAsia" w:hAnsiTheme="minorEastAsia" w:eastAsiaTheme="minorEastAsia" w:cstheme="minorEastAsia"/>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rPr>
              <w:t>其他要求</w:t>
            </w: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p>
        </w:tc>
        <w:tc>
          <w:tcPr>
            <w:tcW w:w="4730" w:type="dxa"/>
            <w:vAlign w:val="center"/>
          </w:tcPr>
          <w:p>
            <w:pPr>
              <w:autoSpaceDE w:val="0"/>
              <w:autoSpaceDN w:val="0"/>
              <w:adjustRightInd w:val="0"/>
              <w:snapToGrid w:val="0"/>
              <w:rPr>
                <w:rFonts w:hint="eastAsia" w:ascii="宋体" w:hAnsi="宋体"/>
                <w:szCs w:val="21"/>
              </w:rPr>
            </w:pPr>
            <w:r>
              <w:rPr>
                <w:rFonts w:hint="eastAsia" w:ascii="宋体" w:hAnsi="宋体"/>
                <w:szCs w:val="21"/>
              </w:rPr>
              <w:t>供应商未有下列任一情形：</w:t>
            </w:r>
          </w:p>
          <w:p>
            <w:pPr>
              <w:autoSpaceDE w:val="0"/>
              <w:autoSpaceDN w:val="0"/>
              <w:adjustRightInd w:val="0"/>
              <w:snapToGrid w:val="0"/>
              <w:rPr>
                <w:rFonts w:hint="eastAsia" w:ascii="宋体" w:hAnsi="宋体"/>
                <w:szCs w:val="21"/>
              </w:rPr>
            </w:pPr>
            <w:r>
              <w:rPr>
                <w:rFonts w:hint="eastAsia" w:ascii="宋体" w:hAnsi="宋体"/>
                <w:szCs w:val="21"/>
              </w:rPr>
              <w:t>（1）不同供应商的响应文件由同一单位或者个人编制；</w:t>
            </w:r>
          </w:p>
          <w:p>
            <w:pPr>
              <w:autoSpaceDE w:val="0"/>
              <w:autoSpaceDN w:val="0"/>
              <w:adjustRightInd w:val="0"/>
              <w:snapToGrid w:val="0"/>
              <w:rPr>
                <w:rFonts w:hint="eastAsia" w:ascii="宋体" w:hAnsi="宋体"/>
                <w:szCs w:val="21"/>
              </w:rPr>
            </w:pPr>
            <w:r>
              <w:rPr>
                <w:rFonts w:hint="eastAsia" w:ascii="宋体" w:hAnsi="宋体"/>
                <w:szCs w:val="21"/>
              </w:rPr>
              <w:t>（2）不同供应商委托同一单位或者个人办理投标事宜；</w:t>
            </w:r>
          </w:p>
          <w:p>
            <w:pPr>
              <w:autoSpaceDE w:val="0"/>
              <w:autoSpaceDN w:val="0"/>
              <w:adjustRightInd w:val="0"/>
              <w:snapToGrid w:val="0"/>
              <w:rPr>
                <w:rFonts w:hint="eastAsia" w:ascii="宋体" w:hAnsi="宋体"/>
                <w:szCs w:val="21"/>
              </w:rPr>
            </w:pPr>
            <w:r>
              <w:rPr>
                <w:rFonts w:hint="eastAsia" w:ascii="宋体" w:hAnsi="宋体"/>
                <w:szCs w:val="21"/>
              </w:rPr>
              <w:t>（3）不同供应商的响应文件载明的项目管理成员或者联系人员为同一人；</w:t>
            </w:r>
          </w:p>
          <w:p>
            <w:pPr>
              <w:autoSpaceDE w:val="0"/>
              <w:autoSpaceDN w:val="0"/>
              <w:adjustRightInd w:val="0"/>
              <w:snapToGrid w:val="0"/>
              <w:rPr>
                <w:rFonts w:hint="eastAsia" w:ascii="宋体" w:hAnsi="宋体"/>
                <w:szCs w:val="21"/>
              </w:rPr>
            </w:pPr>
            <w:r>
              <w:rPr>
                <w:rFonts w:hint="eastAsia" w:ascii="宋体" w:hAnsi="宋体"/>
                <w:szCs w:val="21"/>
              </w:rPr>
              <w:t>（4）不同供应商的响应文件异常一致或者投标报价呈规律性差异；</w:t>
            </w:r>
          </w:p>
          <w:p>
            <w:pPr>
              <w:autoSpaceDE w:val="0"/>
              <w:autoSpaceDN w:val="0"/>
              <w:adjustRightInd w:val="0"/>
              <w:snapToGrid w:val="0"/>
              <w:rPr>
                <w:rFonts w:hint="eastAsia" w:ascii="宋体" w:hAnsi="宋体"/>
                <w:szCs w:val="21"/>
              </w:rPr>
            </w:pPr>
            <w:r>
              <w:rPr>
                <w:rFonts w:hint="eastAsia" w:ascii="宋体" w:hAnsi="宋体"/>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其他要求</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二</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宋体" w:hAnsi="宋体" w:cs="宋体"/>
                <w:kern w:val="0"/>
                <w:sz w:val="21"/>
                <w:szCs w:val="21"/>
                <w:lang w:val="en-US" w:eastAsia="zh-CN"/>
              </w:rPr>
              <w:t>磋商</w:t>
            </w:r>
            <w:r>
              <w:rPr>
                <w:rFonts w:hint="eastAsia" w:ascii="宋体" w:hAnsi="宋体" w:cs="宋体"/>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w:t>
            </w:r>
            <w:r>
              <w:rPr>
                <w:rFonts w:hint="eastAsia" w:asciiTheme="minorEastAsia" w:hAnsiTheme="minorEastAsia" w:eastAsiaTheme="minorEastAsia" w:cstheme="minorEastAsia"/>
                <w:kern w:val="0"/>
                <w:szCs w:val="21"/>
                <w:lang w:val="en-US" w:eastAsia="zh-CN"/>
              </w:rPr>
              <w:t>资格性和符合性审查</w:t>
            </w:r>
            <w:r>
              <w:rPr>
                <w:rFonts w:hint="eastAsia" w:asciiTheme="minorEastAsia" w:hAnsiTheme="minorEastAsia" w:eastAsiaTheme="minorEastAsia" w:cstheme="minorEastAsia"/>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lang w:val="en-US" w:eastAsia="zh-CN"/>
                <w14:textFill>
                  <w14:solidFill>
                    <w14:schemeClr w14:val="tx1"/>
                  </w14:solidFill>
                </w14:textFill>
              </w:rPr>
              <w:t>3.</w:t>
            </w:r>
          </w:p>
        </w:tc>
        <w:tc>
          <w:tcPr>
            <w:tcW w:w="851" w:type="dxa"/>
            <w:vAlign w:val="center"/>
          </w:tcPr>
          <w:p>
            <w:pPr>
              <w:widowControl/>
              <w:jc w:val="center"/>
              <w:rPr>
                <w:rFonts w:hint="eastAsia"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相同品牌</w:t>
            </w:r>
          </w:p>
        </w:tc>
        <w:tc>
          <w:tcPr>
            <w:tcW w:w="3101" w:type="dxa"/>
            <w:vAlign w:val="center"/>
          </w:tcPr>
          <w:p>
            <w:pPr>
              <w:jc w:val="center"/>
              <w:rPr>
                <w:rFonts w:hint="eastAsia"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相同品牌处理原则</w:t>
            </w:r>
          </w:p>
          <w:p>
            <w:pPr>
              <w:jc w:val="center"/>
              <w:rPr>
                <w:rFonts w:hint="eastAsia"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【本项目不适用】</w:t>
            </w:r>
          </w:p>
        </w:tc>
        <w:tc>
          <w:tcPr>
            <w:tcW w:w="4730" w:type="dxa"/>
            <w:vAlign w:val="center"/>
          </w:tcPr>
          <w:p>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提供相同品牌产品且通过资格审查、符合性审查的不同供应商参加同一合同项下竞标的，按一家供应商计算，评审后得分最高的同品牌供应商获得成交候选供应商推荐资格；评审得分相同的，由采购人确定或者采购人委托磋商小组以投票方式确定一个供应商获得成交候选供应商推荐资格，其他同品牌供应商不作为成交候选供应商。 </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非单一产品采购项目，采购人应当根据采购项目技术构成、产品价格比重等合理确定一个核心产品，并以“核心产品”在磋商文件中标注。若核心产品不止</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个，各供应商所投任一核心产品的品牌相同，则按一家供应商计算。</w:t>
            </w:r>
          </w:p>
          <w:p>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多家供应商提供的核心产品品牌相同的，按</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上述</w:t>
            </w:r>
            <w:r>
              <w:rPr>
                <w:rFonts w:hint="eastAsia" w:asciiTheme="minorEastAsia" w:hAnsiTheme="minorEastAsia" w:eastAsiaTheme="minorEastAsia" w:cstheme="minorEastAsia"/>
                <w:color w:val="000000" w:themeColor="text1"/>
                <w:szCs w:val="21"/>
                <w14:textFill>
                  <w14:solidFill>
                    <w14:schemeClr w14:val="tx1"/>
                  </w14:solidFill>
                </w14:textFill>
              </w:rPr>
              <w:t>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标需同时提供制造商及代理商双方的数据资料（制造商直接</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标的仅需提供制造商数据资料），如果数据资料与声明函不一致的，由</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判定。经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 号文中对中小企业划型标准的，将根据财库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181</w:t>
            </w:r>
            <w:r>
              <w:rPr>
                <w:rFonts w:hint="eastAsia" w:asciiTheme="minorEastAsia" w:hAnsiTheme="minorEastAsia" w:eastAsiaTheme="minorEastAsia" w:cstheme="minorEastAsia"/>
                <w:kern w:val="0"/>
                <w:szCs w:val="21"/>
                <w:lang w:val="en-US" w:eastAsia="zh-CN"/>
              </w:rPr>
              <w:t>号</w:t>
            </w:r>
            <w:r>
              <w:rPr>
                <w:rFonts w:hint="eastAsia" w:asciiTheme="minorEastAsia" w:hAnsiTheme="minorEastAsia" w:eastAsiaTheme="minorEastAsia" w:cstheme="minorEastAsia"/>
                <w:kern w:val="0"/>
                <w:szCs w:val="21"/>
              </w:rPr>
              <w:t>文的相关规定在评定时对小型和微型企业产品的价格给予</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2014</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属于监狱企业的，在评定时视同中小企业</w:t>
            </w:r>
            <w:r>
              <w:rPr>
                <w:rFonts w:hint="eastAsia" w:asciiTheme="minorEastAsia" w:hAnsiTheme="minorEastAsia" w:eastAsiaTheme="minorEastAsia" w:cstheme="minorEastAsia"/>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szCs w:val="21"/>
        </w:rPr>
      </w:pPr>
      <w:bookmarkStart w:id="108" w:name="_Toc25729"/>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08"/>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szCs w:val="21"/>
        </w:rPr>
      </w:pPr>
    </w:p>
    <w:p>
      <w:pPr>
        <w:pStyle w:val="20"/>
        <w:rPr>
          <w:rFonts w:hint="eastAsia" w:asciiTheme="minorEastAsia" w:hAnsiTheme="minorEastAsia" w:eastAsiaTheme="minorEastAsia" w:cstheme="minorEastAsia"/>
        </w:rPr>
      </w:pPr>
    </w:p>
    <w:p>
      <w:pPr>
        <w:spacing w:line="360" w:lineRule="auto"/>
        <w:outlineLvl w:val="1"/>
        <w:rPr>
          <w:rFonts w:hint="eastAsia" w:asciiTheme="minorEastAsia" w:hAnsiTheme="minorEastAsia" w:eastAsiaTheme="minorEastAsia" w:cstheme="minorEastAsia"/>
          <w:b/>
          <w:szCs w:val="21"/>
        </w:rPr>
      </w:pPr>
      <w:bookmarkStart w:id="109" w:name="_Toc16455"/>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评分细则</w:t>
      </w:r>
      <w:bookmarkEnd w:id="109"/>
    </w:p>
    <w:tbl>
      <w:tblPr>
        <w:tblStyle w:val="26"/>
        <w:tblW w:w="93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524"/>
        <w:gridCol w:w="6364"/>
        <w:gridCol w:w="7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tcBorders>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524" w:type="dxa"/>
            <w:tcBorders>
              <w:top w:val="single" w:color="auto" w:sz="12" w:space="0"/>
            </w:tcBorders>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6364" w:type="dxa"/>
            <w:tcBorders>
              <w:top w:val="single" w:color="auto" w:sz="12" w:space="0"/>
            </w:tcBorders>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737" w:type="dxa"/>
            <w:tcBorders>
              <w:top w:val="single" w:color="auto" w:sz="12" w:space="0"/>
            </w:tcBorders>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bidi="ar"/>
                <w14:textFill>
                  <w14:solidFill>
                    <w14:schemeClr w14:val="tx1"/>
                  </w14:solidFill>
                </w14:textFill>
              </w:rPr>
              <w:t>竞标</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报价</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Cs w:val="21"/>
                <w:lang w:val="en-US" w:eastAsia="zh-CN" w:bidi="ar"/>
                <w14:textFill>
                  <w14:solidFill>
                    <w14:schemeClr w14:val="tx1"/>
                  </w14:solidFill>
                </w14:textFill>
              </w:rPr>
              <w:t>30</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分</w:t>
            </w:r>
          </w:p>
        </w:tc>
        <w:tc>
          <w:tcPr>
            <w:tcW w:w="1524" w:type="dxa"/>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bidi="ar"/>
                <w14:textFill>
                  <w14:solidFill>
                    <w14:schemeClr w14:val="tx1"/>
                  </w14:solidFill>
                </w14:textFill>
              </w:rPr>
              <w:t>最后</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报价</w:t>
            </w:r>
          </w:p>
        </w:tc>
        <w:tc>
          <w:tcPr>
            <w:tcW w:w="6364" w:type="dxa"/>
            <w:vAlign w:val="center"/>
          </w:tcPr>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1、报价采用低价优先法计算，即满足</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14:textFill>
                  <w14:solidFill>
                    <w14:schemeClr w14:val="tx1"/>
                  </w14:solidFill>
                </w14:textFill>
              </w:rPr>
              <w:t>采购文件要求且报价最低的报价为磋商基准价，其报价分为满分</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14:textFill>
                  <w14:solidFill>
                    <w14:schemeClr w14:val="tx1"/>
                  </w14:solidFill>
                </w14:textFill>
              </w:rPr>
              <w:t>分</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2、其他供应商的报价分按照下列公式计算：</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报价分=（磋商基准价/磋商报价）×</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30</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备注：</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14:textFill>
                  <w14:solidFill>
                    <w14:schemeClr w14:val="tx1"/>
                  </w14:solidFill>
                </w14:textFill>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14:textFill>
                  <w14:solidFill>
                    <w14:schemeClr w14:val="tx1"/>
                  </w14:solidFill>
                </w14:textFill>
              </w:rPr>
              <w:t>符合本磋商文件第</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14:textFill>
                  <w14:solidFill>
                    <w14:schemeClr w14:val="tx1"/>
                  </w14:solidFill>
                </w14:textFill>
              </w:rPr>
              <w:t>章“政策支持”</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条件</w:t>
            </w:r>
            <w:r>
              <w:rPr>
                <w:rFonts w:hint="eastAsia" w:asciiTheme="minorEastAsia" w:hAnsiTheme="minorEastAsia" w:eastAsiaTheme="minorEastAsia" w:cstheme="minorEastAsia"/>
                <w:b/>
                <w:bCs/>
                <w:color w:val="000000" w:themeColor="text1"/>
                <w14:textFill>
                  <w14:solidFill>
                    <w14:schemeClr w14:val="tx1"/>
                  </w14:solidFill>
                </w14:textFill>
              </w:rPr>
              <w:t>的，在评审时予以价格扣除，用扣除后的价格参与评审。</w:t>
            </w:r>
          </w:p>
        </w:tc>
        <w:tc>
          <w:tcPr>
            <w:tcW w:w="737" w:type="dxa"/>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bidi="ar"/>
                <w14:textFill>
                  <w14:solidFill>
                    <w14:schemeClr w14:val="tx1"/>
                  </w14:solidFill>
                </w14:textFill>
              </w:rPr>
              <w:t>30</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trPr>
        <w:tc>
          <w:tcPr>
            <w:tcW w:w="736" w:type="dxa"/>
            <w:vMerge w:val="restart"/>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商务</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0分</w:t>
            </w:r>
          </w:p>
        </w:tc>
        <w:tc>
          <w:tcPr>
            <w:tcW w:w="1524" w:type="dxa"/>
            <w:vMerge w:val="restart"/>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认证证书</w:t>
            </w:r>
          </w:p>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color w:val="000000" w:themeColor="text1"/>
                <w:spacing w:val="-6"/>
                <w:kern w:val="0"/>
                <w:sz w:val="21"/>
                <w:szCs w:val="21"/>
                <w14:textFill>
                  <w14:solidFill>
                    <w14:schemeClr w14:val="tx1"/>
                  </w14:solidFill>
                </w14:textFill>
              </w:rPr>
            </w:pPr>
          </w:p>
        </w:tc>
        <w:tc>
          <w:tcPr>
            <w:tcW w:w="6364" w:type="dxa"/>
            <w:vAlign w:val="center"/>
          </w:tcPr>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供应商提供</w:t>
            </w:r>
            <w:r>
              <w:rPr>
                <w:rFonts w:hint="eastAsia" w:ascii="宋体" w:hAnsi="宋体" w:eastAsia="宋体" w:cs="宋体"/>
                <w:color w:val="000000" w:themeColor="text1"/>
                <w:sz w:val="21"/>
                <w:szCs w:val="21"/>
                <w14:textFill>
                  <w14:solidFill>
                    <w14:schemeClr w14:val="tx1"/>
                  </w14:solidFill>
                </w14:textFill>
              </w:rPr>
              <w:t>质量管理体系认证证书得1分；没有不得分；</w:t>
            </w:r>
          </w:p>
        </w:tc>
        <w:tc>
          <w:tcPr>
            <w:tcW w:w="737" w:type="dxa"/>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trPr>
        <w:tc>
          <w:tcPr>
            <w:tcW w:w="736" w:type="dxa"/>
            <w:vMerge w:val="continue"/>
            <w:vAlign w:val="center"/>
          </w:tcPr>
          <w:p>
            <w:pPr>
              <w:keepNext w:val="0"/>
              <w:keepLines w:val="0"/>
              <w:pageBreakBefore w:val="0"/>
              <w:kinsoku/>
              <w:wordWrap/>
              <w:overflowPunct/>
              <w:topLinePunct w:val="0"/>
              <w:bidi w:val="0"/>
              <w:snapToGrid/>
              <w:spacing w:line="360" w:lineRule="auto"/>
              <w:rPr>
                <w:color w:val="000000" w:themeColor="text1"/>
                <w14:textFill>
                  <w14:solidFill>
                    <w14:schemeClr w14:val="tx1"/>
                  </w14:solidFill>
                </w14:textFill>
              </w:rPr>
            </w:pPr>
          </w:p>
        </w:tc>
        <w:tc>
          <w:tcPr>
            <w:tcW w:w="1524" w:type="dxa"/>
            <w:vMerge w:val="continue"/>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color w:val="000000" w:themeColor="text1"/>
                <w14:textFill>
                  <w14:solidFill>
                    <w14:schemeClr w14:val="tx1"/>
                  </w14:solidFill>
                </w14:textFill>
              </w:rPr>
            </w:pPr>
          </w:p>
        </w:tc>
        <w:tc>
          <w:tcPr>
            <w:tcW w:w="6364" w:type="dxa"/>
            <w:vAlign w:val="center"/>
          </w:tcPr>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供应商提供环境管理体系认证证书</w:t>
            </w:r>
            <w:r>
              <w:rPr>
                <w:rFonts w:hint="eastAsia" w:ascii="宋体" w:hAnsi="宋体" w:eastAsia="宋体" w:cs="宋体"/>
                <w:color w:val="000000" w:themeColor="text1"/>
                <w:sz w:val="21"/>
                <w:szCs w:val="21"/>
                <w14:textFill>
                  <w14:solidFill>
                    <w14:schemeClr w14:val="tx1"/>
                  </w14:solidFill>
                </w14:textFill>
              </w:rPr>
              <w:t>得1分；没有不得分；</w:t>
            </w:r>
          </w:p>
        </w:tc>
        <w:tc>
          <w:tcPr>
            <w:tcW w:w="737" w:type="dxa"/>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trPr>
        <w:tc>
          <w:tcPr>
            <w:tcW w:w="736" w:type="dxa"/>
            <w:vMerge w:val="continue"/>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p>
        </w:tc>
        <w:tc>
          <w:tcPr>
            <w:tcW w:w="1524" w:type="dxa"/>
            <w:vMerge w:val="continue"/>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p>
        </w:tc>
        <w:tc>
          <w:tcPr>
            <w:tcW w:w="6364" w:type="dxa"/>
            <w:vAlign w:val="center"/>
          </w:tcPr>
          <w:p>
            <w:pPr>
              <w:keepNext w:val="0"/>
              <w:keepLines w:val="0"/>
              <w:pageBreakBefore w:val="0"/>
              <w:widowControl/>
              <w:kinsoku/>
              <w:wordWrap/>
              <w:overflowPunct/>
              <w:topLinePunct w:val="0"/>
              <w:bidi w:val="0"/>
              <w:snapToGrid/>
              <w:spacing w:line="360" w:lineRule="auto"/>
              <w:jc w:val="left"/>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供应商提供职业健康安全管理体系认证证书</w:t>
            </w:r>
            <w:r>
              <w:rPr>
                <w:rFonts w:hint="eastAsia" w:ascii="宋体" w:hAnsi="宋体" w:eastAsia="宋体" w:cs="宋体"/>
                <w:color w:val="000000" w:themeColor="text1"/>
                <w:sz w:val="21"/>
                <w:szCs w:val="21"/>
                <w14:textFill>
                  <w14:solidFill>
                    <w14:schemeClr w14:val="tx1"/>
                  </w14:solidFill>
                </w14:textFill>
              </w:rPr>
              <w:t>得1分；没有不得分；</w:t>
            </w:r>
          </w:p>
        </w:tc>
        <w:tc>
          <w:tcPr>
            <w:tcW w:w="737" w:type="dxa"/>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4" w:hRule="atLeast"/>
        </w:trPr>
        <w:tc>
          <w:tcPr>
            <w:tcW w:w="736" w:type="dxa"/>
            <w:vMerge w:val="continue"/>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000000" w:themeColor="text1"/>
                <w:spacing w:val="-6"/>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bidi w:val="0"/>
              <w:snapToGrid/>
              <w:spacing w:line="360" w:lineRule="auto"/>
              <w:jc w:val="center"/>
              <w:textAlignment w:val="center"/>
              <w:rPr>
                <w:rFonts w:hint="eastAsia" w:asciiTheme="minorEastAsia" w:hAnsiTheme="minorEastAsia" w:eastAsiaTheme="minorEastAsia" w:cstheme="minorEastAsia"/>
                <w:color w:val="000000" w:themeColor="text1"/>
                <w:spacing w:val="-6"/>
                <w:kern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类似业绩</w:t>
            </w:r>
          </w:p>
        </w:tc>
        <w:tc>
          <w:tcPr>
            <w:tcW w:w="6364"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rPr>
                <w:rFonts w:hint="eastAsia" w:asciiTheme="minorEastAsia" w:hAnsiTheme="minorEastAsia" w:eastAsiaTheme="minorEastAsia" w:cstheme="minorEastAsia"/>
                <w:color w:val="000000" w:themeColor="text1"/>
                <w:spacing w:val="-6"/>
                <w:kern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近三年（磋商截止前36个月）类似业绩（需提供合同或中标通知书</w:t>
            </w:r>
            <w:r>
              <w:rPr>
                <w:rFonts w:hint="eastAsia" w:ascii="宋体" w:hAnsi="宋体" w:eastAsia="宋体" w:cs="宋体"/>
                <w:color w:val="000000" w:themeColor="text1"/>
                <w:sz w:val="21"/>
                <w:szCs w:val="21"/>
                <w:lang w:val="en-US" w:eastAsia="zh-CN"/>
                <w14:textFill>
                  <w14:solidFill>
                    <w14:schemeClr w14:val="tx1"/>
                  </w14:solidFill>
                </w14:textFill>
              </w:rPr>
              <w:t>复印件</w:t>
            </w:r>
            <w:r>
              <w:rPr>
                <w:rFonts w:hint="eastAsia" w:ascii="宋体" w:hAnsi="宋体" w:eastAsia="宋体" w:cs="宋体"/>
                <w:color w:val="000000" w:themeColor="text1"/>
                <w:sz w:val="21"/>
                <w:szCs w:val="21"/>
                <w:lang w:eastAsia="zh-CN"/>
                <w14:textFill>
                  <w14:solidFill>
                    <w14:schemeClr w14:val="tx1"/>
                  </w14:solidFill>
                </w14:textFill>
              </w:rPr>
              <w:t>加盖投标人公章），提供一个得</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分，最高</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分。</w:t>
            </w:r>
          </w:p>
        </w:tc>
        <w:tc>
          <w:tcPr>
            <w:tcW w:w="737" w:type="dxa"/>
            <w:tcBorders>
              <w:bottom w:val="single" w:color="auto" w:sz="4" w:space="0"/>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tcBorders>
              <w:top w:val="single" w:color="auto" w:sz="4" w:space="0"/>
            </w:tcBorders>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Theme="minorEastAsia" w:hAnsiTheme="minorEastAsia" w:eastAsiaTheme="minorEastAsia" w:cstheme="minorEastAsia"/>
                <w:color w:val="000000" w:themeColor="text1"/>
                <w:spacing w:val="-6"/>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用户反馈</w:t>
            </w:r>
          </w:p>
        </w:tc>
        <w:tc>
          <w:tcPr>
            <w:tcW w:w="6364" w:type="dxa"/>
            <w:tcBorders>
              <w:top w:val="single" w:color="auto" w:sz="4" w:space="0"/>
            </w:tcBorders>
            <w:vAlign w:val="center"/>
          </w:tcPr>
          <w:p>
            <w:pPr>
              <w:keepNext w:val="0"/>
              <w:keepLines w:val="0"/>
              <w:pageBreakBefore w:val="0"/>
              <w:widowControl/>
              <w:kinsoku/>
              <w:wordWrap/>
              <w:overflowPunct/>
              <w:topLinePunct w:val="0"/>
              <w:bidi w:val="0"/>
              <w:snapToGrid/>
              <w:spacing w:line="360" w:lineRule="auto"/>
              <w:jc w:val="left"/>
              <w:rPr>
                <w:rFonts w:hint="eastAsia" w:asciiTheme="minorEastAsia" w:hAnsiTheme="minorEastAsia" w:eastAsiaTheme="minorEastAsia" w:cstheme="minorEastAsia"/>
                <w:color w:val="000000" w:themeColor="text1"/>
                <w:spacing w:val="-6"/>
                <w:kern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近三年（磋商截止前36个月）</w:t>
            </w:r>
            <w:r>
              <w:rPr>
                <w:rFonts w:hint="eastAsia" w:ascii="宋体" w:hAnsi="宋体" w:eastAsia="宋体" w:cs="宋体"/>
                <w:color w:val="000000" w:themeColor="text1"/>
                <w:sz w:val="21"/>
                <w:szCs w:val="21"/>
                <w:lang w:val="en-US" w:eastAsia="zh-CN"/>
                <w14:textFill>
                  <w14:solidFill>
                    <w14:schemeClr w14:val="tx1"/>
                  </w14:solidFill>
                </w14:textFill>
              </w:rPr>
              <w:t>以来，用户评价满意证明，每提供一个用户单位的得1分，最多得6分。（需提供不同单位出具加盖公章的满意评价证明）</w:t>
            </w:r>
          </w:p>
        </w:tc>
        <w:tc>
          <w:tcPr>
            <w:tcW w:w="737" w:type="dxa"/>
            <w:tcBorders>
              <w:top w:val="single" w:color="auto" w:sz="4" w:space="0"/>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tcBorders>
              <w:top w:val="single" w:color="auto" w:sz="4" w:space="0"/>
            </w:tcBorders>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财务状况</w:t>
            </w:r>
          </w:p>
        </w:tc>
        <w:tc>
          <w:tcPr>
            <w:tcW w:w="6364" w:type="dxa"/>
            <w:tcBorders>
              <w:top w:val="single" w:color="auto" w:sz="4" w:space="0"/>
            </w:tcBorders>
            <w:vAlign w:val="center"/>
          </w:tcPr>
          <w:p>
            <w:pPr>
              <w:keepNext w:val="0"/>
              <w:keepLines w:val="0"/>
              <w:pageBreakBefore w:val="0"/>
              <w:kinsoku/>
              <w:wordWrap/>
              <w:overflowPunct/>
              <w:topLinePunct w:val="0"/>
              <w:bidi w:val="0"/>
              <w:snapToGrid/>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根据供应商提供的近三年（2017年、2018年、2019年）财务报告，对其经营状况、财务状况相互比较：</w:t>
            </w:r>
          </w:p>
          <w:p>
            <w:pPr>
              <w:keepNext w:val="0"/>
              <w:keepLines w:val="0"/>
              <w:pageBreakBefore w:val="0"/>
              <w:kinsoku/>
              <w:wordWrap/>
              <w:overflowPunct/>
              <w:topLinePunct w:val="0"/>
              <w:bidi w:val="0"/>
              <w:snapToGrid/>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连续盈利，偿债能力、盈利能力和抗风险能力强的，得</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分；</w:t>
            </w:r>
          </w:p>
          <w:p>
            <w:pPr>
              <w:keepNext w:val="0"/>
              <w:keepLines w:val="0"/>
              <w:pageBreakBefore w:val="0"/>
              <w:kinsoku/>
              <w:wordWrap/>
              <w:overflowPunct/>
              <w:topLinePunct w:val="0"/>
              <w:bidi w:val="0"/>
              <w:snapToGrid/>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盈利情况一般，偿债能力和抗风险能力较弱的，得3分；</w:t>
            </w:r>
          </w:p>
          <w:p>
            <w:pPr>
              <w:keepNext w:val="0"/>
              <w:keepLines w:val="0"/>
              <w:pageBreakBefore w:val="0"/>
              <w:kinsoku/>
              <w:wordWrap/>
              <w:overflowPunct/>
              <w:topLinePunct w:val="0"/>
              <w:bidi w:val="0"/>
              <w:snapToGrid/>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无盈利，偿债能力和抗风险能力差的，得1分；</w:t>
            </w:r>
          </w:p>
          <w:p>
            <w:pPr>
              <w:keepNext w:val="0"/>
              <w:keepLines w:val="0"/>
              <w:pageBreakBefore w:val="0"/>
              <w:kinsoku/>
              <w:wordWrap/>
              <w:overflowPunct/>
              <w:topLinePunct w:val="0"/>
              <w:bidi w:val="0"/>
              <w:snapToGrid/>
              <w:spacing w:line="36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（成立不足三年的按公司成立时间起算）</w:t>
            </w:r>
          </w:p>
        </w:tc>
        <w:tc>
          <w:tcPr>
            <w:tcW w:w="737" w:type="dxa"/>
            <w:tcBorders>
              <w:top w:val="single" w:color="auto" w:sz="4" w:space="0"/>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zh-CN" w:eastAsia="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技术服务</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tc>
        <w:tc>
          <w:tcPr>
            <w:tcW w:w="1524"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技术参数响应</w:t>
            </w:r>
          </w:p>
        </w:tc>
        <w:tc>
          <w:tcPr>
            <w:tcW w:w="6364" w:type="dxa"/>
            <w:vAlign w:val="center"/>
          </w:tcPr>
          <w:p>
            <w:pPr>
              <w:keepNext w:val="0"/>
              <w:keepLines w:val="0"/>
              <w:pageBreakBefore w:val="0"/>
              <w:tabs>
                <w:tab w:val="left" w:pos="142"/>
              </w:tabs>
              <w:kinsoku/>
              <w:wordWrap/>
              <w:overflowPunct/>
              <w:topLinePunct w:val="0"/>
              <w:bidi w:val="0"/>
              <w:snapToGrid/>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技术参数响应情况占</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0分，具体由磋商小组根据供应商的响应文件中产品情况、《技术响应、偏离说明表》等有关资料打分。</w:t>
            </w:r>
          </w:p>
          <w:p>
            <w:pPr>
              <w:keepNext w:val="0"/>
              <w:keepLines w:val="0"/>
              <w:pageBreakBefore w:val="0"/>
              <w:tabs>
                <w:tab w:val="left" w:pos="142"/>
              </w:tabs>
              <w:kinsoku/>
              <w:wordWrap/>
              <w:overflowPunct/>
              <w:topLinePunct w:val="0"/>
              <w:bidi w:val="0"/>
              <w:snapToGrid/>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其中：完全满足磋商文件技术参数要求的得</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0分；在此基础上有一项不符合的则每项扣1分，扣完为止。</w:t>
            </w:r>
          </w:p>
          <w:p>
            <w:pPr>
              <w:keepNext w:val="0"/>
              <w:keepLines w:val="0"/>
              <w:pageBreakBefore w:val="0"/>
              <w:tabs>
                <w:tab w:val="left" w:pos="142"/>
              </w:tabs>
              <w:kinsoku/>
              <w:wordWrap/>
              <w:overflowPunct/>
              <w:topLinePunct w:val="0"/>
              <w:bidi w:val="0"/>
              <w:snapToGrid/>
              <w:spacing w:line="360" w:lineRule="auto"/>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备注：复制磋商文件技术要求作为实际响应数据或投标响应数据无对应支持文件的，其技术响应将可能按负偏离处理。参数需列出证明文件予以佐证,未予以佐证视为不响应。</w:t>
            </w:r>
          </w:p>
        </w:tc>
        <w:tc>
          <w:tcPr>
            <w:tcW w:w="737"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Theme="minorEastAsia" w:hAnsiTheme="minorEastAsia" w:eastAsiaTheme="minorEastAsia" w:cstheme="minorEastAsia"/>
                <w:spacing w:val="-6"/>
                <w:sz w:val="21"/>
                <w:szCs w:val="21"/>
              </w:rPr>
            </w:pPr>
            <w:r>
              <w:rPr>
                <w:rFonts w:hint="eastAsia" w:ascii="宋体" w:hAnsi="宋体" w:eastAsia="宋体" w:cs="宋体"/>
                <w:color w:val="000000"/>
                <w:sz w:val="21"/>
                <w:szCs w:val="21"/>
                <w:lang w:val="en-US" w:eastAsia="zh-CN"/>
              </w:rPr>
              <w:t>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keepNext w:val="0"/>
              <w:keepLines w:val="0"/>
              <w:pageBreakBefore w:val="0"/>
              <w:kinsoku/>
              <w:wordWrap/>
              <w:overflowPunct/>
              <w:topLinePunct w:val="0"/>
              <w:bidi w:val="0"/>
              <w:snapToGrid/>
              <w:spacing w:line="360" w:lineRule="auto"/>
              <w:ind w:left="-4" w:leftChars="-2" w:firstLine="2" w:firstLineChars="1"/>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供货方案</w:t>
            </w:r>
          </w:p>
        </w:tc>
        <w:tc>
          <w:tcPr>
            <w:tcW w:w="6364" w:type="dxa"/>
            <w:vAlign w:val="center"/>
          </w:tcPr>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根据供应商提供的配送方案（人员安排、响应时间、交货时间、交货方式、供货渠道等）的全面性、科学性及对本项目的不合格产品无条件退回并及时补上的承诺等内容进行评分：</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方案合理可行性强、内容详实完善、针对性强、服务时间迅速的得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方案可行、内容完整、服务时间满足采购人要求的得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方案有一定的可信性、内容简略、服务时间满足采购人要求的得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分，未提供或不能满足本项目需求 0 分。</w:t>
            </w:r>
          </w:p>
        </w:tc>
        <w:tc>
          <w:tcPr>
            <w:tcW w:w="737"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vAlign w:val="center"/>
          </w:tcPr>
          <w:p>
            <w:pPr>
              <w:keepNext w:val="0"/>
              <w:keepLines w:val="0"/>
              <w:pageBreakBefore w:val="0"/>
              <w:kinsoku/>
              <w:wordWrap/>
              <w:overflowPunct/>
              <w:topLinePunct w:val="0"/>
              <w:bidi w:val="0"/>
              <w:snapToGrid/>
              <w:spacing w:line="360" w:lineRule="auto"/>
              <w:ind w:left="-4" w:leftChars="-2" w:firstLine="2" w:firstLineChars="1"/>
              <w:jc w:val="center"/>
              <w:rPr>
                <w:rFonts w:hint="eastAsia" w:asciiTheme="minorEastAsia" w:hAnsiTheme="minorEastAsia" w:eastAsiaTheme="minorEastAsia" w:cstheme="minorEastAsia"/>
                <w:color w:val="000000" w:themeColor="text1"/>
                <w:spacing w:val="-6"/>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产品选型</w:t>
            </w:r>
          </w:p>
        </w:tc>
        <w:tc>
          <w:tcPr>
            <w:tcW w:w="6364" w:type="dxa"/>
            <w:vAlign w:val="center"/>
          </w:tcPr>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根据供应商所投产品在品牌规格、选型配置、质量保障、运行维护成本等方面进行综合评议。（需提供产品技术彩页）以其配置合理性，性价比等方面具体考虑，</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产品可行</w:t>
            </w: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性强</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、配置合理、质量保障满足采购人要求的得</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产品基本可行、配置基本合理、质量保障基本满足采购人要求的得</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产品有一定的可</w:t>
            </w: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行</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性、配置</w:t>
            </w: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简略</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、质量保障基本满足采购人要求的得</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未提供或不能满足本项目需求 0 分。</w:t>
            </w:r>
          </w:p>
        </w:tc>
        <w:tc>
          <w:tcPr>
            <w:tcW w:w="737"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sz w:val="21"/>
                <w:szCs w:val="21"/>
              </w:rPr>
            </w:pPr>
          </w:p>
        </w:tc>
        <w:tc>
          <w:tcPr>
            <w:tcW w:w="1524" w:type="dxa"/>
            <w:vAlign w:val="center"/>
          </w:tcPr>
          <w:p>
            <w:pPr>
              <w:keepNext w:val="0"/>
              <w:keepLines w:val="0"/>
              <w:pageBreakBefore w:val="0"/>
              <w:kinsoku/>
              <w:wordWrap/>
              <w:overflowPunct/>
              <w:topLinePunct w:val="0"/>
              <w:bidi w:val="0"/>
              <w:snapToGrid/>
              <w:spacing w:line="360" w:lineRule="auto"/>
              <w:ind w:left="-4" w:leftChars="-2" w:firstLine="2" w:firstLineChars="1"/>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商品质量</w:t>
            </w:r>
          </w:p>
        </w:tc>
        <w:tc>
          <w:tcPr>
            <w:tcW w:w="6364" w:type="dxa"/>
            <w:vAlign w:val="center"/>
          </w:tcPr>
          <w:p>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供应商所提供的商品进货渠道合法明确（可追溯），提供 2018、2019年商品进货证明，每提供1年得</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分，最多得</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tc>
        <w:tc>
          <w:tcPr>
            <w:tcW w:w="737"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sz w:val="21"/>
                <w:szCs w:val="21"/>
              </w:rPr>
            </w:pPr>
          </w:p>
        </w:tc>
        <w:tc>
          <w:tcPr>
            <w:tcW w:w="1524"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生产厂家</w:t>
            </w:r>
          </w:p>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授权书</w:t>
            </w:r>
          </w:p>
        </w:tc>
        <w:tc>
          <w:tcPr>
            <w:tcW w:w="6364" w:type="dxa"/>
            <w:vAlign w:val="center"/>
          </w:tcPr>
          <w:p>
            <w:pPr>
              <w:keepNext w:val="0"/>
              <w:keepLines w:val="0"/>
              <w:pageBreakBefore w:val="0"/>
              <w:kinsoku/>
              <w:wordWrap/>
              <w:overflowPunct/>
              <w:topLinePunct w:val="0"/>
              <w:bidi w:val="0"/>
              <w:snapToGrid/>
              <w:spacing w:line="360" w:lineRule="auto"/>
              <w:jc w:val="left"/>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提供生产厂家出具针对本项目的授权书</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，提供得3分，没有不得分。</w:t>
            </w:r>
          </w:p>
        </w:tc>
        <w:tc>
          <w:tcPr>
            <w:tcW w:w="737"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sz w:val="21"/>
                <w:szCs w:val="21"/>
              </w:rPr>
            </w:pPr>
          </w:p>
        </w:tc>
        <w:tc>
          <w:tcPr>
            <w:tcW w:w="1524" w:type="dxa"/>
            <w:vAlign w:val="center"/>
          </w:tcPr>
          <w:p>
            <w:pPr>
              <w:keepNext w:val="0"/>
              <w:keepLines w:val="0"/>
              <w:pageBreakBefore w:val="0"/>
              <w:kinsoku/>
              <w:wordWrap/>
              <w:overflowPunct/>
              <w:topLinePunct w:val="0"/>
              <w:bidi w:val="0"/>
              <w:snapToGrid/>
              <w:spacing w:line="360" w:lineRule="auto"/>
              <w:ind w:left="-4" w:leftChars="-2" w:firstLine="2" w:firstLineChars="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售后服务</w:t>
            </w:r>
          </w:p>
          <w:p>
            <w:pPr>
              <w:keepNext w:val="0"/>
              <w:keepLines w:val="0"/>
              <w:pageBreakBefore w:val="0"/>
              <w:kinsoku/>
              <w:wordWrap/>
              <w:overflowPunct/>
              <w:topLinePunct w:val="0"/>
              <w:bidi w:val="0"/>
              <w:snapToGrid/>
              <w:spacing w:line="360" w:lineRule="auto"/>
              <w:ind w:left="-4" w:leftChars="-2" w:firstLine="2" w:firstLineChars="1"/>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方案</w:t>
            </w:r>
          </w:p>
        </w:tc>
        <w:tc>
          <w:tcPr>
            <w:tcW w:w="6364" w:type="dxa"/>
            <w:vAlign w:val="center"/>
          </w:tcPr>
          <w:p>
            <w:pPr>
              <w:keepNext w:val="0"/>
              <w:keepLines w:val="0"/>
              <w:pageBreakBefore w:val="0"/>
              <w:kinsoku/>
              <w:wordWrap/>
              <w:overflowPunct/>
              <w:topLinePunct w:val="0"/>
              <w:bidi w:val="0"/>
              <w:snapToGrid/>
              <w:spacing w:line="360" w:lineRule="auto"/>
              <w:ind w:left="-4" w:leftChars="-2" w:firstLine="2" w:firstLineChars="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根据售后服务方案（退换服务、响应时间、人员安排、售后网点等）的全面性、科学性及对本项目的针对性强进行评分。</w:t>
            </w:r>
          </w:p>
          <w:p>
            <w:pPr>
              <w:keepNext w:val="0"/>
              <w:keepLines w:val="0"/>
              <w:pageBreakBefore w:val="0"/>
              <w:kinsoku/>
              <w:wordWrap/>
              <w:overflowPunct/>
              <w:topLinePunct w:val="0"/>
              <w:bidi w:val="0"/>
              <w:snapToGrid/>
              <w:spacing w:line="360" w:lineRule="auto"/>
              <w:ind w:left="-4" w:leftChars="-2" w:firstLine="2" w:firstLineChars="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方案合理可行性强、内容详实完善、针对性强、服务迅速的得 </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分，方案可行、内容完整、服务时间满足采购人要求的得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pPr>
              <w:keepNext w:val="0"/>
              <w:keepLines w:val="0"/>
              <w:pageBreakBefore w:val="0"/>
              <w:kinsoku/>
              <w:wordWrap/>
              <w:overflowPunct/>
              <w:topLinePunct w:val="0"/>
              <w:bidi w:val="0"/>
              <w:snapToGrid/>
              <w:spacing w:line="360" w:lineRule="auto"/>
              <w:ind w:left="-4" w:leftChars="-2" w:firstLine="2" w:firstLineChars="1"/>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方案有一定的可信性、内容简略、服务时间满足采购人要求的得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分，未提供或不能满足本项目需求 0 分。</w:t>
            </w:r>
          </w:p>
        </w:tc>
        <w:tc>
          <w:tcPr>
            <w:tcW w:w="737"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总分</w:t>
            </w:r>
          </w:p>
        </w:tc>
        <w:tc>
          <w:tcPr>
            <w:tcW w:w="8625" w:type="dxa"/>
            <w:gridSpan w:val="3"/>
            <w:vAlign w:val="center"/>
          </w:tcPr>
          <w:p>
            <w:pPr>
              <w:keepNext w:val="0"/>
              <w:keepLines w:val="0"/>
              <w:pageBreakBefore w:val="0"/>
              <w:kinsoku/>
              <w:wordWrap/>
              <w:overflowPunct/>
              <w:topLinePunct w:val="0"/>
              <w:bidi w:val="0"/>
              <w:snapToGrid/>
              <w:spacing w:line="36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lang w:val="en-US" w:eastAsia="zh-CN"/>
              </w:rPr>
              <w:t>100</w:t>
            </w:r>
          </w:p>
        </w:tc>
      </w:tr>
    </w:tbl>
    <w:p>
      <w:pPr>
        <w:spacing w:line="360" w:lineRule="auto"/>
        <w:outlineLvl w:val="9"/>
        <w:rPr>
          <w:rFonts w:hint="eastAsia" w:asciiTheme="minorEastAsia" w:hAnsiTheme="minorEastAsia" w:eastAsiaTheme="minorEastAsia" w:cstheme="minorEastAsia"/>
          <w:b/>
          <w:szCs w:val="21"/>
          <w:lang w:val="en-US" w:eastAsia="zh-CN"/>
        </w:rPr>
      </w:pPr>
      <w:bookmarkStart w:id="110" w:name="_Toc30868"/>
      <w:r>
        <w:rPr>
          <w:rFonts w:hint="eastAsia" w:asciiTheme="minorEastAsia" w:hAnsiTheme="minorEastAsia" w:eastAsiaTheme="minorEastAsia" w:cstheme="minorEastAsia"/>
          <w:b/>
          <w:szCs w:val="21"/>
          <w:lang w:val="en-US" w:eastAsia="zh-CN"/>
        </w:rPr>
        <w:br w:type="textWrapping"/>
      </w:r>
    </w:p>
    <w:p>
      <w:pP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br w:type="page"/>
      </w: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10"/>
    </w:p>
    <w:p>
      <w:pPr>
        <w:numPr>
          <w:ilvl w:val="3"/>
          <w:numId w:val="40"/>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41"/>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41"/>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41"/>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40"/>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40"/>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40"/>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11" w:name="_Toc18437"/>
      <w:r>
        <w:rPr>
          <w:rFonts w:hint="eastAsia" w:asciiTheme="minorEastAsia" w:hAnsiTheme="minorEastAsia" w:eastAsiaTheme="minorEastAsia" w:cstheme="minorEastAsia"/>
          <w:b/>
          <w:szCs w:val="21"/>
          <w:lang w:val="en-US" w:eastAsia="zh-CN"/>
        </w:rPr>
        <w:t>五、磋商及评审步骤</w:t>
      </w:r>
      <w:bookmarkEnd w:id="111"/>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宣布会场纪律。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w:t>
      </w:r>
      <w:r>
        <w:rPr>
          <w:rFonts w:hint="eastAsia" w:asciiTheme="minorEastAsia" w:hAnsiTheme="minorEastAsia" w:eastAsiaTheme="minorEastAsia" w:cstheme="minorEastAsia"/>
          <w:szCs w:val="28"/>
          <w:lang w:val="en-US" w:eastAsia="zh-CN"/>
        </w:rPr>
        <w:t>磋商会随机抽签</w:t>
      </w:r>
      <w:r>
        <w:rPr>
          <w:rFonts w:hint="eastAsia" w:asciiTheme="minorEastAsia" w:hAnsiTheme="minorEastAsia" w:eastAsiaTheme="minorEastAsia" w:cstheme="minorEastAsia"/>
          <w:szCs w:val="28"/>
        </w:rPr>
        <w:t>的顺序给予所有参加磋商的供应商平等的磋商机会。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分钟内不能抵达磋商会现场的，视为该供应商自动退出磋商。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szCs w:val="28"/>
          <w:lang w:val="en-US" w:eastAsia="zh-CN"/>
        </w:rPr>
        <w:t>评分细则</w:t>
      </w:r>
      <w:r>
        <w:rPr>
          <w:rFonts w:hint="eastAsia" w:asciiTheme="minorEastAsia" w:hAnsiTheme="minorEastAsia" w:eastAsiaTheme="minorEastAsia" w:cstheme="minorEastAsia"/>
          <w:szCs w:val="28"/>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5.5</w:t>
      </w:r>
      <w:r>
        <w:rPr>
          <w:rFonts w:hint="eastAsia" w:asciiTheme="minorEastAsia" w:hAnsiTheme="minorEastAsia" w:eastAsiaTheme="minorEastAsia" w:cstheme="minorEastAsia"/>
          <w:szCs w:val="28"/>
        </w:rPr>
        <w:t>在评审期间，供应商不得干扰和阻碍评审工作，供应商不得向磋商小组询问评审情况，任何影响和干扰评审工作的行为都可能导致被取消本次评审的资格，并承担相应的法律责任。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8"/>
        </w:rPr>
        <w:br w:type="textWrapping"/>
      </w:r>
      <w:r>
        <w:rPr>
          <w:rFonts w:hint="eastAsia" w:asciiTheme="minorEastAsia" w:hAnsiTheme="minorEastAsia" w:eastAsiaTheme="minorEastAsia" w:cstheme="minorEastAsia"/>
          <w:szCs w:val="28"/>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bookmarkStart w:id="112" w:name="_Toc318643471"/>
      <w:bookmarkStart w:id="113" w:name="_Toc211783328"/>
      <w:bookmarkStart w:id="114" w:name="_Toc7958"/>
      <w:r>
        <w:rPr>
          <w:rFonts w:hint="eastAsia" w:asciiTheme="minorEastAsia" w:hAnsiTheme="minorEastAsia" w:eastAsiaTheme="minorEastAsia" w:cstheme="minorEastAsia"/>
          <w:sz w:val="36"/>
          <w:szCs w:val="36"/>
        </w:rPr>
        <w:t>合同书</w:t>
      </w:r>
      <w:bookmarkEnd w:id="112"/>
      <w:bookmarkEnd w:id="113"/>
      <w:r>
        <w:rPr>
          <w:rFonts w:hint="eastAsia" w:asciiTheme="minorEastAsia" w:hAnsiTheme="minorEastAsia" w:eastAsiaTheme="minorEastAsia" w:cstheme="minorEastAsia"/>
          <w:sz w:val="36"/>
          <w:szCs w:val="36"/>
          <w:lang w:val="en-US" w:eastAsia="zh-CN"/>
        </w:rPr>
        <w:t>格式</w:t>
      </w:r>
      <w:bookmarkEnd w:id="114"/>
    </w:p>
    <w:p>
      <w:pPr>
        <w:spacing w:line="240" w:lineRule="auto"/>
        <w:ind w:firstLine="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w:t>
      </w:r>
      <w:r>
        <w:rPr>
          <w:rFonts w:hint="eastAsia" w:asciiTheme="minorEastAsia" w:hAnsiTheme="minorEastAsia" w:eastAsiaTheme="minorEastAsia" w:cstheme="minorEastAsia"/>
          <w:b/>
          <w:kern w:val="0"/>
          <w:sz w:val="22"/>
          <w:szCs w:val="22"/>
          <w:lang w:val="en-US" w:eastAsia="zh-CN"/>
        </w:rPr>
        <w:t>协    议   书</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1"/>
        <w:spacing w:line="240" w:lineRule="auto"/>
        <w:ind w:firstLine="41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autoSpaceDE w:val="0"/>
        <w:autoSpaceDN w:val="0"/>
        <w:adjustRightInd w:val="0"/>
        <w:spacing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4.</w:t>
      </w:r>
      <w:r>
        <w:rPr>
          <w:rFonts w:hint="eastAsia" w:asciiTheme="minorEastAsia" w:hAnsiTheme="minorEastAsia" w:eastAsiaTheme="minorEastAsia" w:cstheme="minorEastAsia"/>
          <w:b/>
          <w:bCs w:val="0"/>
          <w:kern w:val="0"/>
          <w:szCs w:val="21"/>
        </w:rPr>
        <w:tab/>
      </w:r>
      <w:r>
        <w:rPr>
          <w:rFonts w:hint="eastAsia" w:asciiTheme="minorEastAsia" w:hAnsiTheme="minorEastAsia" w:eastAsiaTheme="minorEastAsia" w:cstheme="minorEastAsia"/>
          <w:b/>
          <w:bCs w:val="0"/>
          <w:kern w:val="0"/>
          <w:szCs w:val="21"/>
        </w:rPr>
        <w:t>合同文件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本竞争性磋商采购文件；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供方成交的竞争性磋商响应文件；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w:t>
      </w:r>
      <w:r>
        <w:rPr>
          <w:rFonts w:hint="eastAsia" w:asciiTheme="minorEastAsia" w:hAnsiTheme="minorEastAsia" w:eastAsiaTheme="minorEastAsia" w:cstheme="minorEastAsia"/>
          <w:kern w:val="0"/>
          <w:szCs w:val="21"/>
          <w:lang w:val="en-US" w:eastAsia="zh-CN"/>
        </w:rPr>
        <w:t>协议</w:t>
      </w:r>
      <w:r>
        <w:rPr>
          <w:rFonts w:hint="eastAsia" w:asciiTheme="minorEastAsia" w:hAnsiTheme="minorEastAsia" w:eastAsiaTheme="minorEastAsia" w:cstheme="minorEastAsia"/>
          <w:kern w:val="0"/>
          <w:szCs w:val="21"/>
        </w:rPr>
        <w:t>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供方在磋商期内补充的所有书面文件；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供方在磋商时随同竞争性磋商响应文件一起递送的资料及附图；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1"/>
        <w:spacing w:line="36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及数量详见竞争性磋商采购文件的要求及供方竞争性磋商响应文件中的承诺。</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合同总金额见合同书，分项价格在供方的竞争性磋商响应文件中有明确规定。</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份；副本一式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份，主管部门执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rPr>
          <w:rFonts w:hint="eastAsia"/>
        </w:rPr>
      </w:pPr>
      <w:r>
        <w:rPr>
          <w:rFonts w:hint="eastAsia" w:asciiTheme="minorEastAsia" w:hAnsiTheme="minorEastAsia" w:eastAsiaTheme="minorEastAsia" w:cstheme="minorEastAsia"/>
          <w:szCs w:val="21"/>
        </w:rPr>
        <w:t>合同签订地址：</w:t>
      </w:r>
    </w:p>
    <w:p>
      <w:pPr>
        <w:pStyle w:val="3"/>
        <w:numPr>
          <w:ilvl w:val="0"/>
          <w:numId w:val="4"/>
        </w:numPr>
        <w:jc w:val="center"/>
        <w:rPr>
          <w:rFonts w:hint="eastAsia" w:asciiTheme="minorEastAsia" w:hAnsiTheme="minorEastAsia" w:eastAsiaTheme="minorEastAsia" w:cstheme="minorEastAsia"/>
          <w:sz w:val="36"/>
          <w:szCs w:val="36"/>
        </w:rPr>
      </w:pPr>
      <w:bookmarkStart w:id="115" w:name="_Toc32354"/>
      <w:r>
        <w:rPr>
          <w:rFonts w:hint="eastAsia" w:asciiTheme="minorEastAsia" w:hAnsiTheme="minorEastAsia" w:eastAsiaTheme="minorEastAsia" w:cstheme="minorEastAsia"/>
          <w:sz w:val="36"/>
          <w:szCs w:val="36"/>
        </w:rPr>
        <w:t>竞争性磋商响应文件格式</w:t>
      </w:r>
      <w:bookmarkEnd w:id="115"/>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16" w:name="_Toc5751"/>
      <w:bookmarkStart w:id="117"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16"/>
    <w:bookmarkEnd w:id="117"/>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18" w:name="_Toc264644272"/>
      <w:bookmarkStart w:id="119" w:name="_Toc360174584"/>
      <w:bookmarkStart w:id="120" w:name="_Toc11320441"/>
      <w:bookmarkStart w:id="121" w:name="_Toc211783342"/>
      <w:bookmarkStart w:id="122" w:name="_Toc533330957"/>
      <w:bookmarkStart w:id="123" w:name="_Toc533331084"/>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18"/>
      <w:bookmarkEnd w:id="119"/>
    </w:p>
    <w:p>
      <w:pPr>
        <w:autoSpaceDE w:val="0"/>
        <w:autoSpaceDN w:val="0"/>
        <w:adjustRightInd w:val="0"/>
        <w:rPr>
          <w:rFonts w:hint="eastAsia" w:asciiTheme="minorEastAsia" w:hAnsiTheme="minorEastAsia" w:eastAsiaTheme="minorEastAsia" w:cstheme="minorEastAsia"/>
          <w:b/>
          <w:bCs/>
          <w:szCs w:val="21"/>
        </w:rPr>
      </w:pPr>
    </w:p>
    <w:p>
      <w:pPr>
        <w:autoSpaceDE w:val="0"/>
        <w:autoSpaceDN w:val="0"/>
        <w:adjustRightIn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注：</w:t>
      </w:r>
      <w:r>
        <w:rPr>
          <w:rFonts w:hint="eastAsia" w:ascii="宋体" w:hAnsi="宋体" w:eastAsia="宋体" w:cs="宋体"/>
          <w:b/>
          <w:sz w:val="21"/>
          <w:szCs w:val="21"/>
          <w:lang w:val="en-US" w:eastAsia="zh-CN"/>
        </w:rPr>
        <w:t>投标</w:t>
      </w:r>
      <w:r>
        <w:rPr>
          <w:rFonts w:hint="eastAsia" w:ascii="宋体" w:hAnsi="宋体" w:eastAsia="宋体" w:cs="宋体"/>
          <w:b/>
          <w:sz w:val="21"/>
          <w:szCs w:val="21"/>
        </w:rPr>
        <w:t>文件目录及内容每页须顺序编写页码。</w:t>
      </w:r>
    </w:p>
    <w:p>
      <w:pPr>
        <w:autoSpaceDE w:val="0"/>
        <w:autoSpaceDN w:val="0"/>
        <w:adjustRightInd w:val="0"/>
        <w:spacing w:line="360" w:lineRule="auto"/>
        <w:jc w:val="center"/>
        <w:outlineLvl w:val="1"/>
        <w:rPr>
          <w:rFonts w:hint="eastAsia" w:ascii="宋体" w:hAnsi="宋体" w:eastAsia="宋体" w:cs="宋体"/>
          <w:b/>
          <w:sz w:val="21"/>
          <w:szCs w:val="21"/>
        </w:rPr>
      </w:pPr>
      <w:bookmarkStart w:id="124" w:name="_Toc21743"/>
      <w:r>
        <w:rPr>
          <w:rFonts w:hint="eastAsia" w:ascii="宋体" w:hAnsi="宋体" w:eastAsia="宋体" w:cs="宋体"/>
          <w:b/>
          <w:sz w:val="21"/>
          <w:szCs w:val="21"/>
        </w:rPr>
        <w:br w:type="textWrapping"/>
      </w: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评分标准索引表</w:t>
      </w:r>
      <w:bookmarkEnd w:id="124"/>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285"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5358"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825"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c>
          <w:tcPr>
            <w:tcW w:w="1133"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1285"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5358" w:type="dxa"/>
            <w:noWrap w:val="0"/>
            <w:vAlign w:val="center"/>
          </w:tcPr>
          <w:p>
            <w:pPr>
              <w:widowControl/>
              <w:spacing w:line="360" w:lineRule="auto"/>
              <w:jc w:val="left"/>
              <w:textAlignment w:val="center"/>
              <w:rPr>
                <w:rFonts w:hint="eastAsia" w:ascii="宋体" w:hAnsi="宋体" w:eastAsia="宋体" w:cs="宋体"/>
                <w:sz w:val="21"/>
                <w:szCs w:val="21"/>
              </w:rPr>
            </w:pPr>
          </w:p>
        </w:tc>
        <w:tc>
          <w:tcPr>
            <w:tcW w:w="825" w:type="dxa"/>
            <w:noWrap w:val="0"/>
            <w:vAlign w:val="center"/>
          </w:tcPr>
          <w:p>
            <w:pPr>
              <w:widowControl/>
              <w:spacing w:line="360" w:lineRule="auto"/>
              <w:jc w:val="center"/>
              <w:textAlignment w:val="center"/>
              <w:rPr>
                <w:rFonts w:hint="eastAsia" w:ascii="宋体" w:hAnsi="宋体" w:eastAsia="宋体" w:cs="宋体"/>
                <w:sz w:val="21"/>
                <w:szCs w:val="21"/>
              </w:rPr>
            </w:pPr>
          </w:p>
        </w:tc>
        <w:tc>
          <w:tcPr>
            <w:tcW w:w="1133" w:type="dxa"/>
            <w:noWrap w:val="0"/>
            <w:vAlign w:val="center"/>
          </w:tcPr>
          <w:p>
            <w:pPr>
              <w:widowControl/>
              <w:spacing w:line="360" w:lineRule="auto"/>
              <w:jc w:val="center"/>
              <w:textAlignment w:val="center"/>
              <w:rPr>
                <w:rFonts w:hint="eastAsia" w:ascii="宋体" w:hAnsi="宋体" w:eastAsia="宋体" w:cs="宋体"/>
                <w:color w:val="FF0000"/>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color w:val="000000"/>
                <w:spacing w:val="-6"/>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bottom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top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ind w:left="-4" w:leftChars="-2" w:firstLine="2" w:firstLineChars="1"/>
              <w:rPr>
                <w:rFonts w:hint="eastAsia" w:ascii="宋体" w:hAnsi="宋体" w:eastAsia="宋体" w:cs="宋体"/>
                <w:sz w:val="21"/>
                <w:szCs w:val="21"/>
              </w:rPr>
            </w:pPr>
          </w:p>
        </w:tc>
        <w:tc>
          <w:tcPr>
            <w:tcW w:w="128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5358" w:type="dxa"/>
            <w:noWrap w:val="0"/>
            <w:vAlign w:val="center"/>
          </w:tcPr>
          <w:p>
            <w:pPr>
              <w:spacing w:line="360" w:lineRule="auto"/>
              <w:ind w:left="-4" w:leftChars="-2" w:firstLine="2" w:firstLineChars="1"/>
              <w:rPr>
                <w:rFonts w:hint="eastAsia" w:ascii="宋体" w:hAnsi="宋体" w:eastAsia="宋体" w:cs="宋体"/>
                <w:sz w:val="21"/>
                <w:szCs w:val="21"/>
              </w:rPr>
            </w:pPr>
          </w:p>
        </w:tc>
        <w:tc>
          <w:tcPr>
            <w:tcW w:w="82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1133" w:type="dxa"/>
            <w:noWrap w:val="0"/>
            <w:vAlign w:val="center"/>
          </w:tcPr>
          <w:p>
            <w:pPr>
              <w:spacing w:line="360" w:lineRule="auto"/>
              <w:ind w:left="-4" w:leftChars="-2" w:firstLine="2" w:firstLineChars="1"/>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bl>
    <w:p>
      <w:pPr>
        <w:autoSpaceDE w:val="0"/>
        <w:autoSpaceDN w:val="0"/>
        <w:adjustRightInd w:val="0"/>
        <w:spacing w:line="480" w:lineRule="auto"/>
        <w:rPr>
          <w:rFonts w:hint="eastAsia" w:asciiTheme="minorEastAsia" w:hAnsiTheme="minorEastAsia" w:eastAsiaTheme="minorEastAsia" w:cstheme="minorEastAsia"/>
          <w:b/>
        </w:rPr>
      </w:pPr>
    </w:p>
    <w:p>
      <w:pPr>
        <w:adjustRightInd w:val="0"/>
        <w:snapToGrid w:val="0"/>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25" w:name="_Toc30144"/>
      <w:bookmarkStart w:id="126" w:name="_Toc15789"/>
      <w:bookmarkStart w:id="127" w:name="_Toc20006"/>
      <w:bookmarkStart w:id="128" w:name="_Toc479184125"/>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25"/>
      <w:bookmarkEnd w:id="126"/>
      <w:bookmarkEnd w:id="127"/>
      <w:bookmarkEnd w:id="128"/>
    </w:p>
    <w:p>
      <w:pPr>
        <w:pStyle w:val="20"/>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货物</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42"/>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42"/>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42"/>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3"/>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3"/>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3"/>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3"/>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bookmarkStart w:id="129" w:name="_Toc479184126"/>
      <w:bookmarkStart w:id="130" w:name="_Toc24205"/>
      <w:bookmarkStart w:id="131" w:name="_Toc13969"/>
      <w:bookmarkStart w:id="132" w:name="_Toc7513"/>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29"/>
      <w:bookmarkEnd w:id="130"/>
      <w:bookmarkEnd w:id="131"/>
      <w:bookmarkEnd w:id="132"/>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33" w:name="_Toc29904"/>
      <w:bookmarkStart w:id="134" w:name="_Toc360120184"/>
      <w:bookmarkStart w:id="135" w:name="_Toc432149008"/>
      <w:bookmarkStart w:id="136" w:name="_Toc30245"/>
      <w:bookmarkStart w:id="137" w:name="_Toc424832832"/>
      <w:bookmarkStart w:id="138" w:name="_Toc479184127"/>
      <w:bookmarkStart w:id="139" w:name="_Toc10986"/>
      <w:bookmarkStart w:id="140" w:name="_Toc30476"/>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33"/>
      <w:bookmarkEnd w:id="134"/>
      <w:bookmarkEnd w:id="135"/>
      <w:bookmarkEnd w:id="136"/>
      <w:bookmarkEnd w:id="137"/>
      <w:bookmarkEnd w:id="138"/>
      <w:bookmarkEnd w:id="139"/>
      <w:bookmarkEnd w:id="140"/>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rPr>
              <w:t>粘贴</w:t>
            </w: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41" w:name="_Toc422466732"/>
      <w:bookmarkStart w:id="142" w:name="_Toc432149006"/>
      <w:r>
        <w:rPr>
          <w:rFonts w:hint="eastAsia" w:asciiTheme="minorEastAsia" w:hAnsiTheme="minorEastAsia" w:eastAsiaTheme="minorEastAsia" w:cstheme="minorEastAsia"/>
          <w:b/>
          <w:bCs/>
          <w:sz w:val="24"/>
        </w:rPr>
        <w:br w:type="page"/>
      </w:r>
      <w:bookmarkStart w:id="143" w:name="_Toc479184128"/>
      <w:bookmarkStart w:id="144" w:name="_Toc4741"/>
      <w:bookmarkStart w:id="145" w:name="_Toc19882"/>
      <w:bookmarkStart w:id="146" w:name="_Toc4301"/>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、报价一览表</w:t>
      </w:r>
      <w:bookmarkEnd w:id="141"/>
      <w:bookmarkEnd w:id="142"/>
      <w:bookmarkEnd w:id="143"/>
      <w:bookmarkEnd w:id="144"/>
      <w:bookmarkEnd w:id="145"/>
      <w:bookmarkEnd w:id="146"/>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竞标</w:t>
            </w:r>
            <w:r>
              <w:rPr>
                <w:rFonts w:hint="eastAsia" w:asciiTheme="minorEastAsia" w:hAnsiTheme="minorEastAsia" w:eastAsiaTheme="minorEastAsia" w:cstheme="minorEastAsia"/>
                <w:bCs/>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大写：</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小写：</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主要产品概况</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请填写本项目主要产品的品牌、规格型号和制造商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（复印件）及报价优惠声明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一起另外密封装在一个小信封中，作为</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记录之用。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szCs w:val="21"/>
          <w:u w:val="single"/>
        </w:rPr>
      </w:pPr>
      <w:bookmarkStart w:id="147" w:name="_Toc460258117"/>
      <w:bookmarkStart w:id="148" w:name="_Toc259028723"/>
      <w:bookmarkStart w:id="149" w:name="_Toc432149007"/>
      <w:bookmarkStart w:id="150" w:name="_Toc424832831"/>
      <w:r>
        <w:rPr>
          <w:rFonts w:hint="eastAsia" w:asciiTheme="minorEastAsia" w:hAnsiTheme="minorEastAsia" w:eastAsiaTheme="minorEastAsia" w:cstheme="minorEastAsia"/>
          <w:b/>
          <w:bCs/>
          <w:sz w:val="24"/>
        </w:rPr>
        <w:br w:type="page"/>
      </w:r>
      <w:bookmarkStart w:id="151" w:name="_Toc18559"/>
      <w:bookmarkStart w:id="152" w:name="_Toc1079"/>
      <w:bookmarkStart w:id="153" w:name="_Toc479184129"/>
      <w:bookmarkStart w:id="154" w:name="_Toc3144"/>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w:t>
      </w:r>
      <w:bookmarkEnd w:id="147"/>
      <w:bookmarkEnd w:id="148"/>
      <w:bookmarkEnd w:id="151"/>
      <w:bookmarkEnd w:id="152"/>
      <w:bookmarkEnd w:id="153"/>
      <w:r>
        <w:rPr>
          <w:rFonts w:hint="eastAsia" w:asciiTheme="minorEastAsia" w:hAnsiTheme="minorEastAsia" w:eastAsiaTheme="minorEastAsia" w:cstheme="minorEastAsia"/>
          <w:b/>
          <w:bCs/>
          <w:szCs w:val="21"/>
          <w:lang w:eastAsia="zh-CN"/>
        </w:rPr>
        <w:t>报价费用构成表</w:t>
      </w:r>
      <w:bookmarkEnd w:id="154"/>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规格型号（如有）</w:t>
            </w:r>
          </w:p>
        </w:tc>
        <w:tc>
          <w:tcPr>
            <w:tcW w:w="14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制造商名称（如有）</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产地</w:t>
            </w:r>
          </w:p>
        </w:tc>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5"/>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5"/>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5"/>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文件。</w:t>
      </w:r>
    </w:p>
    <w:p>
      <w:pPr>
        <w:adjustRightInd w:val="0"/>
        <w:snapToGrid w:val="0"/>
        <w:spacing w:line="360" w:lineRule="auto"/>
        <w:ind w:left="-88" w:leftChars="-42"/>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5" w:name="_Toc26825"/>
      <w:bookmarkStart w:id="156" w:name="_Toc28656"/>
      <w:bookmarkStart w:id="157" w:name="_Toc479184130"/>
      <w:bookmarkStart w:id="158" w:name="_Toc66"/>
      <w:r>
        <w:rPr>
          <w:rFonts w:hint="eastAsia" w:asciiTheme="minorEastAsia" w:hAnsiTheme="minorEastAsia" w:eastAsiaTheme="minorEastAsia" w:cstheme="minorEastAsia"/>
          <w:b/>
          <w:bCs/>
          <w:szCs w:val="21"/>
          <w:lang w:val="en-US" w:eastAsia="zh-CN"/>
        </w:rPr>
        <w:t>七</w:t>
      </w:r>
      <w:r>
        <w:rPr>
          <w:rFonts w:hint="eastAsia" w:asciiTheme="minorEastAsia" w:hAnsiTheme="minorEastAsia" w:eastAsiaTheme="minorEastAsia" w:cstheme="minorEastAsia"/>
          <w:b/>
          <w:bCs/>
          <w:szCs w:val="21"/>
        </w:rPr>
        <w:t>、耗材清单</w:t>
      </w:r>
      <w:bookmarkEnd w:id="155"/>
      <w:bookmarkEnd w:id="156"/>
      <w:bookmarkEnd w:id="157"/>
      <w:bookmarkEnd w:id="158"/>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9" w:name="_Toc26501"/>
      <w:bookmarkStart w:id="160" w:name="_Toc479184131"/>
      <w:bookmarkStart w:id="161" w:name="_Toc32726"/>
      <w:bookmarkStart w:id="162" w:name="_Toc7535"/>
      <w:r>
        <w:rPr>
          <w:rFonts w:hint="eastAsia" w:asciiTheme="minorEastAsia" w:hAnsiTheme="minorEastAsia" w:eastAsiaTheme="minorEastAsia" w:cstheme="minorEastAsia"/>
          <w:b/>
          <w:bCs/>
          <w:szCs w:val="21"/>
          <w:lang w:val="en-US" w:eastAsia="zh-CN"/>
        </w:rPr>
        <w:t>八、拟投入设备/备件、工具情况</w:t>
      </w:r>
      <w:bookmarkEnd w:id="159"/>
      <w:bookmarkEnd w:id="160"/>
      <w:bookmarkEnd w:id="161"/>
      <w:bookmarkEnd w:id="162"/>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63" w:name="_Toc450827818"/>
      <w:bookmarkStart w:id="164" w:name="_Toc479184132"/>
      <w:bookmarkStart w:id="165" w:name="_Toc27053"/>
      <w:bookmarkStart w:id="166" w:name="_Toc10449"/>
      <w:bookmarkStart w:id="167" w:name="_Toc12313"/>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63"/>
      <w:bookmarkEnd w:id="164"/>
      <w:bookmarkEnd w:id="165"/>
      <w:bookmarkEnd w:id="166"/>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67"/>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49"/>
    <w:bookmarkEnd w:id="150"/>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68" w:name="_Toc432149012"/>
      <w:bookmarkStart w:id="169" w:name="_Toc1591"/>
      <w:bookmarkStart w:id="170" w:name="_Toc28200"/>
      <w:bookmarkStart w:id="171" w:name="_Toc17270"/>
      <w:bookmarkStart w:id="172" w:name="_Toc422466736"/>
      <w:bookmarkStart w:id="173" w:name="_Toc479184133"/>
      <w:r>
        <w:rPr>
          <w:rFonts w:hint="eastAsia" w:asciiTheme="minorEastAsia" w:hAnsiTheme="minorEastAsia" w:eastAsiaTheme="minorEastAsia" w:cstheme="minorEastAsia"/>
          <w:b/>
          <w:bCs/>
          <w:szCs w:val="21"/>
          <w:lang w:val="en-US" w:eastAsia="zh-CN"/>
        </w:rPr>
        <w:t>十</w:t>
      </w:r>
      <w:r>
        <w:rPr>
          <w:rFonts w:hint="eastAsia" w:asciiTheme="minorEastAsia" w:hAnsiTheme="minorEastAsia" w:eastAsiaTheme="minorEastAsia" w:cstheme="minorEastAsia"/>
          <w:b/>
          <w:bCs/>
          <w:szCs w:val="21"/>
        </w:rPr>
        <w:t>、偏离说明表</w:t>
      </w:r>
      <w:bookmarkEnd w:id="168"/>
      <w:bookmarkEnd w:id="169"/>
      <w:bookmarkEnd w:id="170"/>
      <w:bookmarkEnd w:id="171"/>
      <w:bookmarkEnd w:id="172"/>
      <w:bookmarkEnd w:id="173"/>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技术</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商务</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6"/>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6"/>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4" w:name="_Toc28283"/>
      <w:bookmarkStart w:id="175" w:name="_Toc479184134"/>
      <w:bookmarkStart w:id="176" w:name="_Toc32060"/>
      <w:bookmarkStart w:id="177" w:name="_Toc432149013"/>
      <w:bookmarkStart w:id="178" w:name="_Toc362935521"/>
      <w:bookmarkStart w:id="179" w:name="_Toc18816"/>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kern w:val="0"/>
          <w:szCs w:val="21"/>
          <w:lang w:eastAsia="zh-CN"/>
        </w:rPr>
        <w:t>一</w:t>
      </w:r>
      <w:r>
        <w:rPr>
          <w:rFonts w:hint="eastAsia" w:asciiTheme="minorEastAsia" w:hAnsiTheme="minorEastAsia" w:eastAsiaTheme="minorEastAsia" w:cstheme="minorEastAsia"/>
          <w:b/>
          <w:kern w:val="0"/>
          <w:szCs w:val="21"/>
        </w:rPr>
        <w:t>、</w:t>
      </w:r>
      <w:r>
        <w:rPr>
          <w:rFonts w:hint="eastAsia" w:asciiTheme="minorEastAsia" w:hAnsiTheme="minorEastAsia" w:eastAsiaTheme="minorEastAsia" w:cstheme="minorEastAsia"/>
          <w:b/>
          <w:bCs/>
          <w:szCs w:val="21"/>
        </w:rPr>
        <w:t>类似业绩一览表</w:t>
      </w:r>
      <w:bookmarkEnd w:id="174"/>
      <w:bookmarkEnd w:id="175"/>
      <w:bookmarkEnd w:id="176"/>
      <w:bookmarkEnd w:id="177"/>
      <w:bookmarkEnd w:id="178"/>
      <w:r>
        <w:rPr>
          <w:rFonts w:hint="eastAsia" w:asciiTheme="minorEastAsia" w:hAnsiTheme="minorEastAsia" w:eastAsiaTheme="minorEastAsia" w:cstheme="minorEastAsia"/>
          <w:b/>
          <w:bCs/>
          <w:szCs w:val="21"/>
        </w:rPr>
        <w:br w:type="textWrapping"/>
      </w:r>
      <w:bookmarkEnd w:id="179"/>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330"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7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96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768"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75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17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2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101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是否投</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入使用</w:t>
            </w:r>
          </w:p>
        </w:tc>
        <w:tc>
          <w:tcPr>
            <w:tcW w:w="59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bookmarkStart w:id="180" w:name="_Toc454806053"/>
      <w:bookmarkStart w:id="181" w:name="_Toc460258118"/>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2" w:name="_Toc8374"/>
      <w:bookmarkStart w:id="183" w:name="_Toc479184135"/>
      <w:bookmarkStart w:id="184" w:name="_Toc4834"/>
      <w:bookmarkStart w:id="185" w:name="_Toc30455"/>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二</w:t>
      </w:r>
      <w:r>
        <w:rPr>
          <w:rFonts w:hint="eastAsia" w:asciiTheme="minorEastAsia" w:hAnsiTheme="minorEastAsia" w:eastAsiaTheme="minorEastAsia" w:cstheme="minorEastAsia"/>
          <w:b/>
          <w:bCs/>
          <w:szCs w:val="21"/>
        </w:rPr>
        <w:t>、拟投入项目组人员一览表</w:t>
      </w:r>
      <w:bookmarkEnd w:id="180"/>
      <w:bookmarkEnd w:id="181"/>
      <w:bookmarkEnd w:id="182"/>
      <w:bookmarkEnd w:id="183"/>
      <w:bookmarkEnd w:id="184"/>
      <w:bookmarkEnd w:id="185"/>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86" w:name="_Toc10429"/>
      <w:bookmarkStart w:id="187" w:name="_Toc422466737"/>
      <w:bookmarkStart w:id="188" w:name="_Toc26838"/>
      <w:bookmarkStart w:id="189" w:name="_Toc8711"/>
      <w:bookmarkStart w:id="190" w:name="_Toc479184136"/>
      <w:bookmarkStart w:id="191" w:name="_Toc432149014"/>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86"/>
      <w:bookmarkEnd w:id="187"/>
      <w:bookmarkEnd w:id="188"/>
      <w:bookmarkEnd w:id="189"/>
      <w:bookmarkEnd w:id="190"/>
      <w:bookmarkEnd w:id="191"/>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2" w:name="_Toc17331"/>
      <w:bookmarkStart w:id="193" w:name="_Toc103"/>
      <w:bookmarkStart w:id="194" w:name="_Toc259028731"/>
      <w:bookmarkStart w:id="195" w:name="_Toc479184137"/>
      <w:bookmarkStart w:id="196" w:name="_Toc17527"/>
      <w:bookmarkStart w:id="197" w:name="_Toc450827823"/>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192"/>
      <w:bookmarkEnd w:id="193"/>
      <w:bookmarkEnd w:id="194"/>
      <w:bookmarkEnd w:id="195"/>
      <w:bookmarkEnd w:id="196"/>
      <w:bookmarkEnd w:id="197"/>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w:t>
      </w:r>
      <w:r>
        <w:rPr>
          <w:rFonts w:hint="eastAsia" w:asciiTheme="minorEastAsia" w:hAnsiTheme="minorEastAsia" w:eastAsiaTheme="minorEastAsia" w:cstheme="minorEastAsia"/>
          <w:szCs w:val="21"/>
          <w:lang w:eastAsia="zh-CN"/>
        </w:rPr>
        <w:t>。</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198" w:name="_Toc18555"/>
      <w:bookmarkStart w:id="199" w:name="_Toc32187"/>
      <w:bookmarkStart w:id="200" w:name="_Toc290207179"/>
      <w:bookmarkStart w:id="201" w:name="_Toc358447587"/>
      <w:bookmarkStart w:id="202" w:name="_Toc5793"/>
      <w:bookmarkStart w:id="203" w:name="_Toc427239751"/>
      <w:bookmarkStart w:id="204" w:name="_Toc364868916"/>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kern w:val="0"/>
          <w:szCs w:val="21"/>
        </w:rPr>
      </w:pPr>
      <w:bookmarkStart w:id="205" w:name="_Toc6332"/>
      <w:r>
        <w:rPr>
          <w:rFonts w:hint="eastAsia" w:asciiTheme="minorEastAsia" w:hAnsiTheme="minorEastAsia" w:eastAsiaTheme="minorEastAsia" w:cstheme="minorEastAsia"/>
          <w:b/>
          <w:bCs/>
          <w:kern w:val="0"/>
          <w:szCs w:val="21"/>
          <w:lang w:val="en-US" w:eastAsia="zh-CN"/>
        </w:rPr>
        <w:t>十五、</w:t>
      </w:r>
      <w:bookmarkEnd w:id="198"/>
      <w:bookmarkEnd w:id="199"/>
      <w:bookmarkEnd w:id="200"/>
      <w:bookmarkEnd w:id="201"/>
      <w:bookmarkEnd w:id="202"/>
      <w:bookmarkEnd w:id="203"/>
      <w:bookmarkEnd w:id="204"/>
      <w:bookmarkStart w:id="206" w:name="_Toc460258123"/>
      <w:bookmarkStart w:id="207" w:name="_Toc29785"/>
      <w:bookmarkStart w:id="208" w:name="_Toc27229"/>
      <w:bookmarkStart w:id="209" w:name="_Toc479184138"/>
      <w:r>
        <w:rPr>
          <w:rFonts w:hint="eastAsia" w:asciiTheme="minorEastAsia" w:hAnsiTheme="minorEastAsia" w:eastAsiaTheme="minorEastAsia" w:cstheme="minorEastAsia"/>
          <w:b/>
          <w:bCs/>
          <w:kern w:val="0"/>
          <w:szCs w:val="21"/>
        </w:rPr>
        <w:t>报价技术文件</w:t>
      </w:r>
      <w:bookmarkEnd w:id="205"/>
      <w:bookmarkEnd w:id="206"/>
      <w:bookmarkEnd w:id="207"/>
      <w:bookmarkEnd w:id="208"/>
      <w:bookmarkEnd w:id="209"/>
    </w:p>
    <w:p>
      <w:pPr>
        <w:rPr>
          <w:rFonts w:hint="eastAsia" w:asciiTheme="minorEastAsia" w:hAnsiTheme="minorEastAsia" w:eastAsiaTheme="minorEastAsia" w:cstheme="minorEastAsia"/>
          <w:szCs w:val="21"/>
        </w:rPr>
      </w:pPr>
    </w:p>
    <w:p>
      <w:pPr>
        <w:pStyle w:val="97"/>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0" w:name="_Toc356836516"/>
      <w:bookmarkStart w:id="211" w:name="_Toc22465"/>
      <w:bookmarkStart w:id="212" w:name="_Toc12119"/>
      <w:bookmarkStart w:id="213" w:name="_Toc8098"/>
      <w:bookmarkStart w:id="214" w:name="_Toc432149016"/>
      <w:bookmarkStart w:id="215" w:name="_Toc479184140"/>
      <w:bookmarkStart w:id="216" w:name="_Toc422466739"/>
      <w:bookmarkStart w:id="217" w:name="_Toc2101"/>
      <w:bookmarkStart w:id="218" w:name="_Toc355802499"/>
      <w:bookmarkStart w:id="219" w:name="_Toc26126"/>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六</w:t>
      </w:r>
      <w:r>
        <w:rPr>
          <w:rFonts w:hint="eastAsia" w:asciiTheme="minorEastAsia" w:hAnsiTheme="minorEastAsia" w:eastAsiaTheme="minorEastAsia" w:cstheme="minorEastAsia"/>
          <w:b/>
        </w:rPr>
        <w:t>、中小企业声明函</w:t>
      </w:r>
      <w:bookmarkEnd w:id="210"/>
      <w:bookmarkEnd w:id="211"/>
      <w:bookmarkEnd w:id="212"/>
      <w:bookmarkEnd w:id="213"/>
      <w:bookmarkEnd w:id="214"/>
      <w:bookmarkEnd w:id="215"/>
      <w:bookmarkEnd w:id="216"/>
      <w:bookmarkEnd w:id="217"/>
      <w:bookmarkEnd w:id="218"/>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19"/>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0" w:name="OLE_LINK5"/>
      <w:r>
        <w:rPr>
          <w:rFonts w:hint="eastAsia" w:asciiTheme="minorEastAsia" w:hAnsiTheme="minorEastAsia" w:eastAsiaTheme="minorEastAsia" w:cstheme="minorEastAsia"/>
          <w:spacing w:val="6"/>
          <w:szCs w:val="21"/>
        </w:rPr>
        <w:t>______（请填写：中型、小型、微型）企业</w:t>
      </w:r>
      <w:bookmarkEnd w:id="220"/>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8"/>
        </w:numPr>
        <w:spacing w:line="360" w:lineRule="auto"/>
        <w:ind w:firstLine="446" w:firstLineChars="200"/>
        <w:rPr>
          <w:rFonts w:hint="eastAsia" w:asciiTheme="minorEastAsia" w:hAnsiTheme="minorEastAsia" w:eastAsiaTheme="minorEastAsia" w:cstheme="minorEastAsia"/>
          <w:b/>
          <w:bCs/>
          <w:spacing w:val="6"/>
          <w:szCs w:val="21"/>
          <w:lang w:val="en-US" w:eastAsia="zh-CN"/>
        </w:rPr>
      </w:pPr>
      <w:r>
        <w:rPr>
          <w:rFonts w:hint="eastAsia" w:asciiTheme="minorEastAsia" w:hAnsiTheme="minorEastAsia" w:eastAsiaTheme="minorEastAsia" w:cstheme="minorEastAsia"/>
          <w:b/>
          <w:bCs/>
          <w:spacing w:val="6"/>
          <w:szCs w:val="21"/>
          <w:lang w:val="en-US" w:eastAsia="zh-CN"/>
        </w:rPr>
        <w:t>提供</w:t>
      </w:r>
      <w:r>
        <w:rPr>
          <w:rFonts w:hint="eastAsia" w:asciiTheme="minorEastAsia" w:hAnsiTheme="minorEastAsia" w:eastAsiaTheme="minorEastAsia" w:cstheme="minorEastAsia"/>
          <w:b/>
          <w:bCs/>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spacing w:val="6"/>
          <w:szCs w:val="21"/>
          <w:lang w:val="en-US" w:eastAsia="zh-CN"/>
        </w:rPr>
        <w:t>料。</w:t>
      </w:r>
    </w:p>
    <w:p>
      <w:pPr>
        <w:numPr>
          <w:ilvl w:val="0"/>
          <w:numId w:val="48"/>
        </w:numPr>
        <w:spacing w:line="360" w:lineRule="auto"/>
        <w:ind w:firstLine="446" w:firstLineChars="200"/>
        <w:rPr>
          <w:rFonts w:hint="eastAsia"/>
          <w:lang w:val="en-US" w:eastAsia="zh-CN"/>
        </w:rPr>
      </w:pPr>
      <w:r>
        <w:rPr>
          <w:rFonts w:hint="eastAsia" w:asciiTheme="minorEastAsia" w:hAnsiTheme="minorEastAsia" w:eastAsiaTheme="minorEastAsia" w:cstheme="minorEastAsia"/>
          <w:b/>
          <w:bCs/>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lang w:val="en-US" w:eastAsia="zh-CN"/>
        </w:rPr>
        <w:t>备注：未提供证明材料或材料不全的不予折扣。</w:t>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hint="eastAsia" w:asciiTheme="minorEastAsia" w:hAnsiTheme="minorEastAsia" w:eastAsiaTheme="minorEastAsia" w:cstheme="minorEastAsia"/>
          <w:spacing w:val="6"/>
          <w:szCs w:val="21"/>
        </w:rPr>
      </w:pPr>
    </w:p>
    <w:p>
      <w:pPr>
        <w:autoSpaceDE w:val="0"/>
        <w:autoSpaceDN w:val="0"/>
        <w:adjustRightInd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20"/>
    <w:bookmarkEnd w:id="121"/>
    <w:bookmarkEnd w:id="122"/>
    <w:bookmarkEnd w:id="123"/>
    <w:p>
      <w:pPr>
        <w:numPr>
          <w:ilvl w:val="0"/>
          <w:numId w:val="0"/>
        </w:numPr>
        <w:adjustRightInd w:val="0"/>
        <w:snapToGri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21" w:name="_Toc26897"/>
      <w:bookmarkStart w:id="222" w:name="_Toc476839034"/>
      <w:bookmarkStart w:id="223" w:name="_Toc4320"/>
      <w:bookmarkStart w:id="224" w:name="_Toc30406"/>
      <w:bookmarkStart w:id="225" w:name="_Toc7229"/>
      <w:bookmarkStart w:id="226" w:name="_Toc479184141"/>
      <w:r>
        <w:rPr>
          <w:rFonts w:hint="eastAsia" w:asciiTheme="minorEastAsia" w:hAnsiTheme="minorEastAsia" w:eastAsiaTheme="minorEastAsia" w:cstheme="minorEastAsia"/>
          <w:b/>
          <w:bCs/>
          <w:spacing w:val="6"/>
          <w:szCs w:val="21"/>
          <w:lang w:val="en-US" w:eastAsia="zh-CN"/>
        </w:rPr>
        <w:t>十七、</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1"/>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p>
    <w:p>
      <w:pPr>
        <w:numPr>
          <w:ilvl w:val="0"/>
          <w:numId w:val="0"/>
        </w:numPr>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outlineLvl w:val="9"/>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lang w:val="zh-CN"/>
        </w:rPr>
      </w:pPr>
      <w:bookmarkStart w:id="227" w:name="_Toc21843"/>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lang w:val="en-US" w:eastAsia="zh-CN"/>
        </w:rPr>
        <w:t>十八</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7"/>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br w:type="textWrapping"/>
      </w: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为安置的每位残疾人按月足额缴纳了基本养老保险、基本医疗保险、失业保险、工伤保险和生育保险等社会保险费；</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通过银行等金融机构向安置的每位残疾人，按月支付了不低于单位所在区县适用的经省级人民政府批准的月最低工资标准的工资；</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szCs w:val="21"/>
          <w:u w:val="single"/>
        </w:rPr>
      </w:pPr>
      <w:bookmarkStart w:id="228" w:name="_Toc20002"/>
      <w:r>
        <w:rPr>
          <w:rFonts w:hint="eastAsia" w:asciiTheme="minorEastAsia" w:hAnsiTheme="minorEastAsia" w:eastAsiaTheme="minorEastAsia" w:cstheme="minorEastAsia"/>
          <w:b/>
          <w:lang w:val="en-US" w:eastAsia="zh-CN"/>
        </w:rPr>
        <w:t>十九、节能环保产品证明材料（若符合）</w:t>
      </w:r>
      <w:bookmarkEnd w:id="228"/>
    </w:p>
    <w:p>
      <w:pPr>
        <w:adjustRightInd w:val="0"/>
        <w:snapToGrid w:val="0"/>
        <w:spacing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en-US" w:eastAsia="zh-CN"/>
        </w:rPr>
        <w:t>注</w:t>
      </w:r>
      <w:r>
        <w:rPr>
          <w:rFonts w:hint="eastAsia" w:asciiTheme="minorEastAsia" w:hAnsiTheme="minorEastAsia" w:eastAsiaTheme="minorEastAsia" w:cstheme="minorEastAsia"/>
          <w:szCs w:val="21"/>
        </w:rPr>
        <w:t>：供应商所提供产品如为节能环保产品，则应按本磋商文件第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政策支持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rPr>
      </w:pPr>
      <w:bookmarkStart w:id="229" w:name="_Toc4769"/>
      <w:r>
        <w:rPr>
          <w:rFonts w:hint="eastAsia" w:asciiTheme="minorEastAsia" w:hAnsiTheme="minorEastAsia" w:eastAsiaTheme="minorEastAsia" w:cstheme="minorEastAsia"/>
          <w:b/>
          <w:bCs/>
          <w:spacing w:val="6"/>
          <w:szCs w:val="21"/>
          <w:lang w:val="en-US" w:eastAsia="zh-CN"/>
        </w:rPr>
        <w:t>二十</w:t>
      </w:r>
      <w:r>
        <w:rPr>
          <w:rFonts w:hint="eastAsia" w:asciiTheme="minorEastAsia" w:hAnsiTheme="minorEastAsia" w:eastAsiaTheme="minorEastAsia" w:cstheme="minorEastAsia"/>
          <w:b/>
          <w:bCs/>
          <w:spacing w:val="6"/>
          <w:szCs w:val="21"/>
        </w:rPr>
        <w:t>、</w:t>
      </w:r>
      <w:r>
        <w:rPr>
          <w:rFonts w:hint="eastAsia" w:asciiTheme="minorEastAsia" w:hAnsiTheme="minorEastAsia" w:eastAsiaTheme="minorEastAsia" w:cstheme="minorEastAsia"/>
          <w:b/>
        </w:rPr>
        <w:t>无重大违法记录声明</w:t>
      </w:r>
      <w:bookmarkEnd w:id="222"/>
      <w:bookmarkEnd w:id="223"/>
      <w:bookmarkEnd w:id="224"/>
      <w:bookmarkEnd w:id="225"/>
      <w:bookmarkEnd w:id="226"/>
      <w:bookmarkEnd w:id="229"/>
    </w:p>
    <w:p>
      <w:pPr>
        <w:spacing w:line="48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磋商供应商应</w:t>
      </w:r>
      <w:r>
        <w:rPr>
          <w:rFonts w:hint="eastAsia" w:asciiTheme="minorEastAsia" w:hAnsiTheme="minorEastAsia" w:eastAsiaTheme="minorEastAsia" w:cstheme="minorEastAsia"/>
          <w:b/>
          <w:bCs/>
          <w:kern w:val="0"/>
          <w:sz w:val="24"/>
          <w:lang w:val="en-US" w:eastAsia="zh-CN"/>
        </w:rPr>
        <w:t>在此基础上，</w:t>
      </w:r>
      <w:r>
        <w:rPr>
          <w:rFonts w:hint="eastAsia" w:asciiTheme="minorEastAsia" w:hAnsiTheme="minorEastAsia" w:eastAsiaTheme="minorEastAsia" w:cstheme="minorEastAsia"/>
          <w:b/>
          <w:bCs/>
          <w:kern w:val="0"/>
          <w:sz w:val="24"/>
        </w:rPr>
        <w:t>根据本单位实际情况进行声明</w:t>
      </w:r>
      <w:r>
        <w:rPr>
          <w:rFonts w:hint="eastAsia" w:asciiTheme="minorEastAsia" w:hAnsiTheme="minorEastAsia" w:eastAsiaTheme="minorEastAsia" w:cstheme="minorEastAsia"/>
          <w:b/>
          <w:bCs/>
          <w:kern w:val="0"/>
          <w:sz w:val="24"/>
          <w:lang w:eastAsia="zh-CN"/>
        </w:rPr>
        <w:t>）</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line="360" w:lineRule="auto"/>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spacing w:line="360" w:lineRule="auto"/>
        <w:ind w:firstLine="420" w:firstLineChars="200"/>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kern w:val="0"/>
          <w:szCs w:val="21"/>
          <w:shd w:val="clear" w:color="auto" w:fill="FFFFFF"/>
        </w:rPr>
        <w:br w:type="textWrapping"/>
      </w:r>
    </w:p>
    <w:p>
      <w:pPr>
        <w:jc w:val="center"/>
        <w:outlineLvl w:val="1"/>
        <w:rPr>
          <w:rFonts w:hint="eastAsia" w:asciiTheme="minorEastAsia" w:hAnsiTheme="minorEastAsia" w:eastAsiaTheme="minorEastAsia" w:cstheme="minorEastAsia"/>
          <w:spacing w:val="6"/>
          <w:szCs w:val="21"/>
        </w:rPr>
      </w:pPr>
      <w:bookmarkStart w:id="230" w:name="_Toc16716"/>
      <w:bookmarkStart w:id="231" w:name="_Toc10829"/>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lang w:val="en-US" w:eastAsia="zh-CN"/>
        </w:rPr>
        <w:t>二十一</w:t>
      </w:r>
      <w:r>
        <w:rPr>
          <w:rFonts w:hint="eastAsia" w:asciiTheme="minorEastAsia" w:hAnsiTheme="minorEastAsia" w:eastAsiaTheme="minorEastAsia" w:cstheme="minorEastAsia"/>
          <w:b/>
          <w:bCs/>
          <w:kern w:val="0"/>
          <w:szCs w:val="21"/>
          <w:shd w:val="clear" w:color="auto" w:fill="FFFFFF"/>
        </w:rPr>
        <w:t>、磋商供应商认为应该提交的其它文件（格式自拟）</w:t>
      </w:r>
      <w:bookmarkEnd w:id="230"/>
      <w:bookmarkEnd w:id="231"/>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D757A492"/>
    <w:multiLevelType w:val="singleLevel"/>
    <w:tmpl w:val="D757A492"/>
    <w:lvl w:ilvl="0" w:tentative="0">
      <w:start w:val="1"/>
      <w:numFmt w:val="decimal"/>
      <w:suff w:val="space"/>
      <w:lvlText w:val="%1）"/>
      <w:lvlJc w:val="left"/>
    </w:lvl>
  </w:abstractNum>
  <w:abstractNum w:abstractNumId="2">
    <w:nsid w:val="FF4B8943"/>
    <w:multiLevelType w:val="singleLevel"/>
    <w:tmpl w:val="FF4B8943"/>
    <w:lvl w:ilvl="0" w:tentative="0">
      <w:start w:val="1"/>
      <w:numFmt w:val="decimal"/>
      <w:suff w:val="nothing"/>
      <w:lvlText w:val="（%1）"/>
      <w:lvlJc w:val="left"/>
    </w:lvl>
  </w:abstractNum>
  <w:abstractNum w:abstractNumId="3">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44F5BAD"/>
    <w:multiLevelType w:val="singleLevel"/>
    <w:tmpl w:val="044F5BAD"/>
    <w:lvl w:ilvl="0" w:tentative="0">
      <w:start w:val="1"/>
      <w:numFmt w:val="decimal"/>
      <w:suff w:val="nothing"/>
      <w:lvlText w:val="（%1）"/>
      <w:lvlJc w:val="left"/>
    </w:lvl>
  </w:abstractNum>
  <w:abstractNum w:abstractNumId="6">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1E84619A"/>
    <w:multiLevelType w:val="singleLevel"/>
    <w:tmpl w:val="1E84619A"/>
    <w:lvl w:ilvl="0" w:tentative="0">
      <w:start w:val="1"/>
      <w:numFmt w:val="decimal"/>
      <w:suff w:val="nothing"/>
      <w:lvlText w:val="%1、"/>
      <w:lvlJc w:val="left"/>
    </w:lvl>
  </w:abstractNum>
  <w:abstractNum w:abstractNumId="17">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8">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3">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5">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8">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2">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3">
    <w:nsid w:val="597358E9"/>
    <w:multiLevelType w:val="multilevel"/>
    <w:tmpl w:val="597358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8">
    <w:nsid w:val="64EE3E7C"/>
    <w:multiLevelType w:val="multilevel"/>
    <w:tmpl w:val="64EE3E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0">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2">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5">
    <w:nsid w:val="7A94549F"/>
    <w:multiLevelType w:val="multilevel"/>
    <w:tmpl w:val="7A9454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8">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40"/>
  </w:num>
  <w:num w:numId="2">
    <w:abstractNumId w:val="11"/>
  </w:num>
  <w:num w:numId="3">
    <w:abstractNumId w:val="19"/>
  </w:num>
  <w:num w:numId="4">
    <w:abstractNumId w:val="28"/>
  </w:num>
  <w:num w:numId="5">
    <w:abstractNumId w:val="14"/>
  </w:num>
  <w:num w:numId="6">
    <w:abstractNumId w:val="13"/>
  </w:num>
  <w:num w:numId="7">
    <w:abstractNumId w:val="2"/>
  </w:num>
  <w:num w:numId="8">
    <w:abstractNumId w:val="32"/>
  </w:num>
  <w:num w:numId="9">
    <w:abstractNumId w:val="16"/>
  </w:num>
  <w:num w:numId="10">
    <w:abstractNumId w:val="9"/>
  </w:num>
  <w:num w:numId="11">
    <w:abstractNumId w:val="15"/>
  </w:num>
  <w:num w:numId="12">
    <w:abstractNumId w:val="35"/>
  </w:num>
  <w:num w:numId="13">
    <w:abstractNumId w:val="47"/>
  </w:num>
  <w:num w:numId="14">
    <w:abstractNumId w:val="48"/>
  </w:num>
  <w:num w:numId="15">
    <w:abstractNumId w:val="27"/>
  </w:num>
  <w:num w:numId="16">
    <w:abstractNumId w:val="30"/>
  </w:num>
  <w:num w:numId="17">
    <w:abstractNumId w:val="34"/>
  </w:num>
  <w:num w:numId="18">
    <w:abstractNumId w:val="36"/>
  </w:num>
  <w:num w:numId="19">
    <w:abstractNumId w:val="4"/>
  </w:num>
  <w:num w:numId="20">
    <w:abstractNumId w:val="39"/>
  </w:num>
  <w:num w:numId="21">
    <w:abstractNumId w:val="6"/>
  </w:num>
  <w:num w:numId="22">
    <w:abstractNumId w:val="25"/>
  </w:num>
  <w:num w:numId="23">
    <w:abstractNumId w:val="21"/>
  </w:num>
  <w:num w:numId="24">
    <w:abstractNumId w:val="42"/>
  </w:num>
  <w:num w:numId="25">
    <w:abstractNumId w:val="12"/>
  </w:num>
  <w:num w:numId="26">
    <w:abstractNumId w:val="26"/>
  </w:num>
  <w:num w:numId="27">
    <w:abstractNumId w:val="8"/>
  </w:num>
  <w:num w:numId="28">
    <w:abstractNumId w:val="41"/>
  </w:num>
  <w:num w:numId="29">
    <w:abstractNumId w:val="46"/>
  </w:num>
  <w:num w:numId="30">
    <w:abstractNumId w:val="29"/>
  </w:num>
  <w:num w:numId="31">
    <w:abstractNumId w:val="23"/>
  </w:num>
  <w:num w:numId="32">
    <w:abstractNumId w:val="10"/>
  </w:num>
  <w:num w:numId="33">
    <w:abstractNumId w:val="20"/>
  </w:num>
  <w:num w:numId="34">
    <w:abstractNumId w:val="44"/>
  </w:num>
  <w:num w:numId="35">
    <w:abstractNumId w:val="24"/>
  </w:num>
  <w:num w:numId="36">
    <w:abstractNumId w:val="1"/>
  </w:num>
  <w:num w:numId="37">
    <w:abstractNumId w:val="33"/>
  </w:num>
  <w:num w:numId="38">
    <w:abstractNumId w:val="38"/>
  </w:num>
  <w:num w:numId="39">
    <w:abstractNumId w:val="45"/>
  </w:num>
  <w:num w:numId="40">
    <w:abstractNumId w:val="43"/>
  </w:num>
  <w:num w:numId="41">
    <w:abstractNumId w:val="37"/>
  </w:num>
  <w:num w:numId="42">
    <w:abstractNumId w:val="17"/>
  </w:num>
  <w:num w:numId="43">
    <w:abstractNumId w:val="31"/>
  </w:num>
  <w:num w:numId="44">
    <w:abstractNumId w:val="3"/>
  </w:num>
  <w:num w:numId="45">
    <w:abstractNumId w:val="18"/>
  </w:num>
  <w:num w:numId="46">
    <w:abstractNumId w:val="22"/>
  </w:num>
  <w:num w:numId="47">
    <w:abstractNumId w:val="7"/>
  </w:num>
  <w:num w:numId="48">
    <w:abstractNumId w:val="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757860"/>
    <w:rsid w:val="018D0205"/>
    <w:rsid w:val="01C12A88"/>
    <w:rsid w:val="01D07706"/>
    <w:rsid w:val="0221271C"/>
    <w:rsid w:val="022D649C"/>
    <w:rsid w:val="02351774"/>
    <w:rsid w:val="023A6ECB"/>
    <w:rsid w:val="02420646"/>
    <w:rsid w:val="028223A8"/>
    <w:rsid w:val="02A9706C"/>
    <w:rsid w:val="02AF6599"/>
    <w:rsid w:val="02DE374B"/>
    <w:rsid w:val="03044359"/>
    <w:rsid w:val="031C67BA"/>
    <w:rsid w:val="03511571"/>
    <w:rsid w:val="035E37BC"/>
    <w:rsid w:val="03715197"/>
    <w:rsid w:val="03A25185"/>
    <w:rsid w:val="03A92E0C"/>
    <w:rsid w:val="03A93F07"/>
    <w:rsid w:val="03DD17F0"/>
    <w:rsid w:val="03F730D5"/>
    <w:rsid w:val="040E4213"/>
    <w:rsid w:val="04137380"/>
    <w:rsid w:val="04160294"/>
    <w:rsid w:val="0421064D"/>
    <w:rsid w:val="0424709F"/>
    <w:rsid w:val="04273734"/>
    <w:rsid w:val="042C6AE4"/>
    <w:rsid w:val="0439748C"/>
    <w:rsid w:val="045F4428"/>
    <w:rsid w:val="04663DEE"/>
    <w:rsid w:val="048B6224"/>
    <w:rsid w:val="049C3EF3"/>
    <w:rsid w:val="04BC1BA0"/>
    <w:rsid w:val="04CC4566"/>
    <w:rsid w:val="04FD23FC"/>
    <w:rsid w:val="05005426"/>
    <w:rsid w:val="055A38B5"/>
    <w:rsid w:val="059C5F8E"/>
    <w:rsid w:val="05AD5736"/>
    <w:rsid w:val="05CA2818"/>
    <w:rsid w:val="05CF4780"/>
    <w:rsid w:val="05FA06DD"/>
    <w:rsid w:val="06023A8F"/>
    <w:rsid w:val="0611621E"/>
    <w:rsid w:val="063F258E"/>
    <w:rsid w:val="065044F8"/>
    <w:rsid w:val="0653482B"/>
    <w:rsid w:val="068E6A04"/>
    <w:rsid w:val="06B7286F"/>
    <w:rsid w:val="06C116BD"/>
    <w:rsid w:val="06C767F8"/>
    <w:rsid w:val="06EA2FBD"/>
    <w:rsid w:val="06ED1770"/>
    <w:rsid w:val="06FE4AAE"/>
    <w:rsid w:val="070157D1"/>
    <w:rsid w:val="07117CDC"/>
    <w:rsid w:val="07354BE2"/>
    <w:rsid w:val="07506DDE"/>
    <w:rsid w:val="078360F1"/>
    <w:rsid w:val="079555F7"/>
    <w:rsid w:val="07AA21A6"/>
    <w:rsid w:val="07B323DD"/>
    <w:rsid w:val="07CB1191"/>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6A4BCE"/>
    <w:rsid w:val="098226D8"/>
    <w:rsid w:val="09894939"/>
    <w:rsid w:val="09A02CD8"/>
    <w:rsid w:val="0A165448"/>
    <w:rsid w:val="0A502EA2"/>
    <w:rsid w:val="0A5758F7"/>
    <w:rsid w:val="0A67144A"/>
    <w:rsid w:val="0A71618F"/>
    <w:rsid w:val="0A7E1671"/>
    <w:rsid w:val="0AC16F66"/>
    <w:rsid w:val="0B435CD5"/>
    <w:rsid w:val="0B456825"/>
    <w:rsid w:val="0B4B17AC"/>
    <w:rsid w:val="0B4C1B40"/>
    <w:rsid w:val="0B4F5787"/>
    <w:rsid w:val="0B625354"/>
    <w:rsid w:val="0B6438A9"/>
    <w:rsid w:val="0BC22757"/>
    <w:rsid w:val="0BD0342B"/>
    <w:rsid w:val="0BE3070D"/>
    <w:rsid w:val="0BE94FBA"/>
    <w:rsid w:val="0C367BBD"/>
    <w:rsid w:val="0C3C4113"/>
    <w:rsid w:val="0C4225D4"/>
    <w:rsid w:val="0C49239C"/>
    <w:rsid w:val="0C4E57C8"/>
    <w:rsid w:val="0C7336D0"/>
    <w:rsid w:val="0CBD51C7"/>
    <w:rsid w:val="0CC36F40"/>
    <w:rsid w:val="0CE75800"/>
    <w:rsid w:val="0CF02600"/>
    <w:rsid w:val="0D162766"/>
    <w:rsid w:val="0D30615A"/>
    <w:rsid w:val="0D4A590E"/>
    <w:rsid w:val="0D50445B"/>
    <w:rsid w:val="0D7807F1"/>
    <w:rsid w:val="0D895A46"/>
    <w:rsid w:val="0D9B67EB"/>
    <w:rsid w:val="0DA45AD2"/>
    <w:rsid w:val="0DE86CEC"/>
    <w:rsid w:val="0E0A51BD"/>
    <w:rsid w:val="0E141CA7"/>
    <w:rsid w:val="0E386D2E"/>
    <w:rsid w:val="0E442D5B"/>
    <w:rsid w:val="0E4E7B59"/>
    <w:rsid w:val="0E6E5960"/>
    <w:rsid w:val="0EAE4301"/>
    <w:rsid w:val="0ED27024"/>
    <w:rsid w:val="0ED94F19"/>
    <w:rsid w:val="0EDC5EDB"/>
    <w:rsid w:val="0F1B0DB7"/>
    <w:rsid w:val="0F3425BB"/>
    <w:rsid w:val="0F5A5FCA"/>
    <w:rsid w:val="0F6C7EA7"/>
    <w:rsid w:val="0FA03F81"/>
    <w:rsid w:val="0FC5121F"/>
    <w:rsid w:val="0FC52200"/>
    <w:rsid w:val="0FC57219"/>
    <w:rsid w:val="0FF11896"/>
    <w:rsid w:val="0FF743B8"/>
    <w:rsid w:val="104114BC"/>
    <w:rsid w:val="104F21E7"/>
    <w:rsid w:val="10522A43"/>
    <w:rsid w:val="105950B7"/>
    <w:rsid w:val="10681B45"/>
    <w:rsid w:val="10D545EB"/>
    <w:rsid w:val="10E51E7E"/>
    <w:rsid w:val="110045E6"/>
    <w:rsid w:val="1109548A"/>
    <w:rsid w:val="11156035"/>
    <w:rsid w:val="111F2499"/>
    <w:rsid w:val="11296D36"/>
    <w:rsid w:val="1146103D"/>
    <w:rsid w:val="116C7384"/>
    <w:rsid w:val="118A37F5"/>
    <w:rsid w:val="12305D0B"/>
    <w:rsid w:val="124B307E"/>
    <w:rsid w:val="12595354"/>
    <w:rsid w:val="12676ACE"/>
    <w:rsid w:val="128C79F5"/>
    <w:rsid w:val="12987FD1"/>
    <w:rsid w:val="12D57C7C"/>
    <w:rsid w:val="12DE2F04"/>
    <w:rsid w:val="12F453F7"/>
    <w:rsid w:val="135A65CD"/>
    <w:rsid w:val="13681291"/>
    <w:rsid w:val="139A72A6"/>
    <w:rsid w:val="13D75C16"/>
    <w:rsid w:val="141A71FC"/>
    <w:rsid w:val="14393E39"/>
    <w:rsid w:val="1439492C"/>
    <w:rsid w:val="144E282E"/>
    <w:rsid w:val="14905D77"/>
    <w:rsid w:val="14C13D98"/>
    <w:rsid w:val="14C818C6"/>
    <w:rsid w:val="14D17473"/>
    <w:rsid w:val="14D2285A"/>
    <w:rsid w:val="14F848F0"/>
    <w:rsid w:val="1533008F"/>
    <w:rsid w:val="153D3401"/>
    <w:rsid w:val="155142E7"/>
    <w:rsid w:val="15855A36"/>
    <w:rsid w:val="158E06A1"/>
    <w:rsid w:val="15932B1E"/>
    <w:rsid w:val="15AF36C0"/>
    <w:rsid w:val="15D73E4B"/>
    <w:rsid w:val="15EE7CEF"/>
    <w:rsid w:val="160D691C"/>
    <w:rsid w:val="16333435"/>
    <w:rsid w:val="16391530"/>
    <w:rsid w:val="16550678"/>
    <w:rsid w:val="166C136C"/>
    <w:rsid w:val="168C0198"/>
    <w:rsid w:val="16C6539F"/>
    <w:rsid w:val="16C83962"/>
    <w:rsid w:val="16ED23AA"/>
    <w:rsid w:val="173E2364"/>
    <w:rsid w:val="173E4E07"/>
    <w:rsid w:val="1761710C"/>
    <w:rsid w:val="17812612"/>
    <w:rsid w:val="1789592C"/>
    <w:rsid w:val="17933C9F"/>
    <w:rsid w:val="17B13E29"/>
    <w:rsid w:val="17D67A38"/>
    <w:rsid w:val="17DB1463"/>
    <w:rsid w:val="17ED5B45"/>
    <w:rsid w:val="18260DD1"/>
    <w:rsid w:val="182656C2"/>
    <w:rsid w:val="18303541"/>
    <w:rsid w:val="183735E3"/>
    <w:rsid w:val="18744310"/>
    <w:rsid w:val="189F530B"/>
    <w:rsid w:val="18A12DFD"/>
    <w:rsid w:val="18A922F3"/>
    <w:rsid w:val="18B137E8"/>
    <w:rsid w:val="18D46399"/>
    <w:rsid w:val="18F56002"/>
    <w:rsid w:val="192F50C9"/>
    <w:rsid w:val="19633F03"/>
    <w:rsid w:val="196F047E"/>
    <w:rsid w:val="199E02FC"/>
    <w:rsid w:val="19BA1CE3"/>
    <w:rsid w:val="19DF55C2"/>
    <w:rsid w:val="1A0C61A8"/>
    <w:rsid w:val="1A132F57"/>
    <w:rsid w:val="1A300E03"/>
    <w:rsid w:val="1A5F760F"/>
    <w:rsid w:val="1A6F3E95"/>
    <w:rsid w:val="1A6F6E85"/>
    <w:rsid w:val="1AD22ED2"/>
    <w:rsid w:val="1AD35872"/>
    <w:rsid w:val="1AD51B88"/>
    <w:rsid w:val="1B2058A0"/>
    <w:rsid w:val="1B566A66"/>
    <w:rsid w:val="1B8565CF"/>
    <w:rsid w:val="1B9104B0"/>
    <w:rsid w:val="1BAC363D"/>
    <w:rsid w:val="1BD60F79"/>
    <w:rsid w:val="1C0C60A0"/>
    <w:rsid w:val="1C41527E"/>
    <w:rsid w:val="1C49412F"/>
    <w:rsid w:val="1C4D3DCD"/>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83301E"/>
    <w:rsid w:val="1D836FC7"/>
    <w:rsid w:val="1D9F4A19"/>
    <w:rsid w:val="1DA05599"/>
    <w:rsid w:val="1DAB519B"/>
    <w:rsid w:val="1DC65420"/>
    <w:rsid w:val="1DC94DC3"/>
    <w:rsid w:val="1DD04ECF"/>
    <w:rsid w:val="1E0649A4"/>
    <w:rsid w:val="1E36309A"/>
    <w:rsid w:val="1E474E6F"/>
    <w:rsid w:val="1E6843C7"/>
    <w:rsid w:val="1E857EA0"/>
    <w:rsid w:val="1EA60FCA"/>
    <w:rsid w:val="1EA87417"/>
    <w:rsid w:val="1ED70A99"/>
    <w:rsid w:val="1F35766F"/>
    <w:rsid w:val="1F65672E"/>
    <w:rsid w:val="1F6B4880"/>
    <w:rsid w:val="1F6D18D3"/>
    <w:rsid w:val="1F7222CF"/>
    <w:rsid w:val="1F855EC8"/>
    <w:rsid w:val="1F865B87"/>
    <w:rsid w:val="1F8D0E35"/>
    <w:rsid w:val="1FB611E4"/>
    <w:rsid w:val="1FBA2E91"/>
    <w:rsid w:val="1FC02D54"/>
    <w:rsid w:val="1FD92D82"/>
    <w:rsid w:val="1FD94291"/>
    <w:rsid w:val="1FEE1F52"/>
    <w:rsid w:val="207471CF"/>
    <w:rsid w:val="20950348"/>
    <w:rsid w:val="20981E88"/>
    <w:rsid w:val="20A06A24"/>
    <w:rsid w:val="20A10137"/>
    <w:rsid w:val="20B97750"/>
    <w:rsid w:val="20BD2343"/>
    <w:rsid w:val="20C125E5"/>
    <w:rsid w:val="20F77EBA"/>
    <w:rsid w:val="20FE0571"/>
    <w:rsid w:val="212F48FD"/>
    <w:rsid w:val="216135E4"/>
    <w:rsid w:val="21817CFB"/>
    <w:rsid w:val="21B23C30"/>
    <w:rsid w:val="21D5663A"/>
    <w:rsid w:val="220D5F91"/>
    <w:rsid w:val="220F017A"/>
    <w:rsid w:val="223D6488"/>
    <w:rsid w:val="224F423C"/>
    <w:rsid w:val="227710AB"/>
    <w:rsid w:val="229B4E78"/>
    <w:rsid w:val="22C77F82"/>
    <w:rsid w:val="22E50F21"/>
    <w:rsid w:val="22F40044"/>
    <w:rsid w:val="22F562BD"/>
    <w:rsid w:val="231C3AC6"/>
    <w:rsid w:val="23261385"/>
    <w:rsid w:val="233970A1"/>
    <w:rsid w:val="2390118C"/>
    <w:rsid w:val="23A33225"/>
    <w:rsid w:val="23A3458B"/>
    <w:rsid w:val="23A83880"/>
    <w:rsid w:val="23AC3B0D"/>
    <w:rsid w:val="23AC7B00"/>
    <w:rsid w:val="23AE3EA4"/>
    <w:rsid w:val="23BD797B"/>
    <w:rsid w:val="23CC13DF"/>
    <w:rsid w:val="241374BB"/>
    <w:rsid w:val="24210897"/>
    <w:rsid w:val="242E0AC8"/>
    <w:rsid w:val="24474E0A"/>
    <w:rsid w:val="244E4AD0"/>
    <w:rsid w:val="246B4679"/>
    <w:rsid w:val="249900C5"/>
    <w:rsid w:val="24BF7D42"/>
    <w:rsid w:val="255D2F2A"/>
    <w:rsid w:val="256C5A3D"/>
    <w:rsid w:val="257963F1"/>
    <w:rsid w:val="25A7402B"/>
    <w:rsid w:val="25D966A6"/>
    <w:rsid w:val="25FE15DC"/>
    <w:rsid w:val="26806C09"/>
    <w:rsid w:val="26863962"/>
    <w:rsid w:val="268F15B2"/>
    <w:rsid w:val="26983FA4"/>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C30A0"/>
    <w:rsid w:val="295F6F3A"/>
    <w:rsid w:val="2978542E"/>
    <w:rsid w:val="298168E8"/>
    <w:rsid w:val="29880DC9"/>
    <w:rsid w:val="299658C8"/>
    <w:rsid w:val="29C74336"/>
    <w:rsid w:val="2A0C4705"/>
    <w:rsid w:val="2A104C01"/>
    <w:rsid w:val="2A2219FF"/>
    <w:rsid w:val="2A2649D3"/>
    <w:rsid w:val="2A2F0453"/>
    <w:rsid w:val="2A375CB0"/>
    <w:rsid w:val="2A4F7A8E"/>
    <w:rsid w:val="2A5C693A"/>
    <w:rsid w:val="2A9D1044"/>
    <w:rsid w:val="2AA14EFF"/>
    <w:rsid w:val="2AC52B69"/>
    <w:rsid w:val="2AE42B9F"/>
    <w:rsid w:val="2AFA4FF0"/>
    <w:rsid w:val="2AFF35D3"/>
    <w:rsid w:val="2B0A651F"/>
    <w:rsid w:val="2B132D50"/>
    <w:rsid w:val="2B6076B4"/>
    <w:rsid w:val="2B617D56"/>
    <w:rsid w:val="2B6E542D"/>
    <w:rsid w:val="2BEB27E3"/>
    <w:rsid w:val="2BEB2E9D"/>
    <w:rsid w:val="2BF61207"/>
    <w:rsid w:val="2C1713D1"/>
    <w:rsid w:val="2C2E6F83"/>
    <w:rsid w:val="2C620007"/>
    <w:rsid w:val="2CB91BB4"/>
    <w:rsid w:val="2CD367CC"/>
    <w:rsid w:val="2CDD2B9E"/>
    <w:rsid w:val="2D09394F"/>
    <w:rsid w:val="2D6345E9"/>
    <w:rsid w:val="2D7E4209"/>
    <w:rsid w:val="2D9B288E"/>
    <w:rsid w:val="2DBD42B5"/>
    <w:rsid w:val="2DCB5DC1"/>
    <w:rsid w:val="2DCE5309"/>
    <w:rsid w:val="2DE2242A"/>
    <w:rsid w:val="2E4225F7"/>
    <w:rsid w:val="2E463849"/>
    <w:rsid w:val="2E5A5340"/>
    <w:rsid w:val="2E6E73D5"/>
    <w:rsid w:val="2E81141D"/>
    <w:rsid w:val="2E9A7ADA"/>
    <w:rsid w:val="2EC2396D"/>
    <w:rsid w:val="2F1B0798"/>
    <w:rsid w:val="2F4F0438"/>
    <w:rsid w:val="2F506BFB"/>
    <w:rsid w:val="2F7E2CC0"/>
    <w:rsid w:val="2F921764"/>
    <w:rsid w:val="2F98405A"/>
    <w:rsid w:val="2FD11EB8"/>
    <w:rsid w:val="2FE1749B"/>
    <w:rsid w:val="303D5772"/>
    <w:rsid w:val="306E40F7"/>
    <w:rsid w:val="306F4499"/>
    <w:rsid w:val="30B15581"/>
    <w:rsid w:val="30B93848"/>
    <w:rsid w:val="30BE1DE8"/>
    <w:rsid w:val="31253510"/>
    <w:rsid w:val="313177AD"/>
    <w:rsid w:val="31341EAD"/>
    <w:rsid w:val="31423CC5"/>
    <w:rsid w:val="3157256E"/>
    <w:rsid w:val="3160159B"/>
    <w:rsid w:val="316102EA"/>
    <w:rsid w:val="31665B97"/>
    <w:rsid w:val="31711EF3"/>
    <w:rsid w:val="31854B7E"/>
    <w:rsid w:val="31DD29B1"/>
    <w:rsid w:val="31E86EE4"/>
    <w:rsid w:val="31FD6157"/>
    <w:rsid w:val="32171B71"/>
    <w:rsid w:val="322B53E9"/>
    <w:rsid w:val="32915ABA"/>
    <w:rsid w:val="329C1497"/>
    <w:rsid w:val="32D72576"/>
    <w:rsid w:val="32D93319"/>
    <w:rsid w:val="32E04086"/>
    <w:rsid w:val="32F96A45"/>
    <w:rsid w:val="330D0307"/>
    <w:rsid w:val="332C3D97"/>
    <w:rsid w:val="3360351F"/>
    <w:rsid w:val="33620CB2"/>
    <w:rsid w:val="33B17CDB"/>
    <w:rsid w:val="33BF34D3"/>
    <w:rsid w:val="33E04B57"/>
    <w:rsid w:val="33FA7456"/>
    <w:rsid w:val="34024883"/>
    <w:rsid w:val="342C6E98"/>
    <w:rsid w:val="344F7140"/>
    <w:rsid w:val="34755DB1"/>
    <w:rsid w:val="349E0FB2"/>
    <w:rsid w:val="34A96A1A"/>
    <w:rsid w:val="34B15CA9"/>
    <w:rsid w:val="34B370D1"/>
    <w:rsid w:val="34CA52FD"/>
    <w:rsid w:val="34E622D6"/>
    <w:rsid w:val="3518700F"/>
    <w:rsid w:val="352F2FF3"/>
    <w:rsid w:val="35375748"/>
    <w:rsid w:val="35486C73"/>
    <w:rsid w:val="359E09BB"/>
    <w:rsid w:val="361A4DE1"/>
    <w:rsid w:val="361F592F"/>
    <w:rsid w:val="362F79EA"/>
    <w:rsid w:val="36516B14"/>
    <w:rsid w:val="36556C85"/>
    <w:rsid w:val="365B1C96"/>
    <w:rsid w:val="36603459"/>
    <w:rsid w:val="36647B27"/>
    <w:rsid w:val="366D2C19"/>
    <w:rsid w:val="3675230B"/>
    <w:rsid w:val="36766F5C"/>
    <w:rsid w:val="36777C43"/>
    <w:rsid w:val="367E7A3F"/>
    <w:rsid w:val="36C1347A"/>
    <w:rsid w:val="36C31B41"/>
    <w:rsid w:val="36C532A1"/>
    <w:rsid w:val="36CE234D"/>
    <w:rsid w:val="36CF0810"/>
    <w:rsid w:val="36D347D3"/>
    <w:rsid w:val="36DA50A9"/>
    <w:rsid w:val="372F4949"/>
    <w:rsid w:val="3736228A"/>
    <w:rsid w:val="37671725"/>
    <w:rsid w:val="376F122C"/>
    <w:rsid w:val="3798526A"/>
    <w:rsid w:val="37B72EB1"/>
    <w:rsid w:val="37C806F3"/>
    <w:rsid w:val="37C85C3C"/>
    <w:rsid w:val="37CF1603"/>
    <w:rsid w:val="38585500"/>
    <w:rsid w:val="385D1C71"/>
    <w:rsid w:val="386038B3"/>
    <w:rsid w:val="388E1434"/>
    <w:rsid w:val="38BA5460"/>
    <w:rsid w:val="38C62FF5"/>
    <w:rsid w:val="38D62476"/>
    <w:rsid w:val="38E27127"/>
    <w:rsid w:val="39027E88"/>
    <w:rsid w:val="39075875"/>
    <w:rsid w:val="391904A1"/>
    <w:rsid w:val="391C718D"/>
    <w:rsid w:val="394D30B0"/>
    <w:rsid w:val="39624091"/>
    <w:rsid w:val="397C6037"/>
    <w:rsid w:val="39D43B66"/>
    <w:rsid w:val="39EC03FA"/>
    <w:rsid w:val="3A1D058F"/>
    <w:rsid w:val="3A1E303B"/>
    <w:rsid w:val="3A1F74C9"/>
    <w:rsid w:val="3A2A1F54"/>
    <w:rsid w:val="3A2D40D1"/>
    <w:rsid w:val="3A314B02"/>
    <w:rsid w:val="3A5C2602"/>
    <w:rsid w:val="3A79657B"/>
    <w:rsid w:val="3A8B77C7"/>
    <w:rsid w:val="3A9A32EA"/>
    <w:rsid w:val="3ACD391F"/>
    <w:rsid w:val="3B026D00"/>
    <w:rsid w:val="3B1471CB"/>
    <w:rsid w:val="3B655681"/>
    <w:rsid w:val="3B6C4553"/>
    <w:rsid w:val="3B6F3ABC"/>
    <w:rsid w:val="3B7527F4"/>
    <w:rsid w:val="3B854303"/>
    <w:rsid w:val="3BAA143A"/>
    <w:rsid w:val="3BC378A6"/>
    <w:rsid w:val="3BDC08FD"/>
    <w:rsid w:val="3BE42ECD"/>
    <w:rsid w:val="3BFE1CAB"/>
    <w:rsid w:val="3C10260E"/>
    <w:rsid w:val="3C274A05"/>
    <w:rsid w:val="3C7511AE"/>
    <w:rsid w:val="3CA977D2"/>
    <w:rsid w:val="3CC733AF"/>
    <w:rsid w:val="3CD72551"/>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D811A0"/>
    <w:rsid w:val="3EFD0DF6"/>
    <w:rsid w:val="3EFE49C6"/>
    <w:rsid w:val="3F0A5B5C"/>
    <w:rsid w:val="3F1A0890"/>
    <w:rsid w:val="3F3F5846"/>
    <w:rsid w:val="3F71500B"/>
    <w:rsid w:val="3F801023"/>
    <w:rsid w:val="3F8064EB"/>
    <w:rsid w:val="3F950FB5"/>
    <w:rsid w:val="3F982DCA"/>
    <w:rsid w:val="3FCB5632"/>
    <w:rsid w:val="3FD12D26"/>
    <w:rsid w:val="3FDE4917"/>
    <w:rsid w:val="3FE2412F"/>
    <w:rsid w:val="402F3ADF"/>
    <w:rsid w:val="40306F5A"/>
    <w:rsid w:val="40476BB3"/>
    <w:rsid w:val="40546FB6"/>
    <w:rsid w:val="40554803"/>
    <w:rsid w:val="407A60D5"/>
    <w:rsid w:val="407D4F24"/>
    <w:rsid w:val="40961808"/>
    <w:rsid w:val="40AB4DEE"/>
    <w:rsid w:val="40D24BBE"/>
    <w:rsid w:val="40EC4043"/>
    <w:rsid w:val="41166469"/>
    <w:rsid w:val="412008E0"/>
    <w:rsid w:val="413A6D3B"/>
    <w:rsid w:val="41515AC7"/>
    <w:rsid w:val="41652EB4"/>
    <w:rsid w:val="41902B9F"/>
    <w:rsid w:val="41C02331"/>
    <w:rsid w:val="41C13A63"/>
    <w:rsid w:val="41C67037"/>
    <w:rsid w:val="41D229E1"/>
    <w:rsid w:val="41EC6E94"/>
    <w:rsid w:val="41F72149"/>
    <w:rsid w:val="42415ACC"/>
    <w:rsid w:val="427D539F"/>
    <w:rsid w:val="42991E30"/>
    <w:rsid w:val="42CC19F4"/>
    <w:rsid w:val="42CE0B28"/>
    <w:rsid w:val="42CF6367"/>
    <w:rsid w:val="42DE1CCC"/>
    <w:rsid w:val="4308546B"/>
    <w:rsid w:val="43263445"/>
    <w:rsid w:val="434157E3"/>
    <w:rsid w:val="43494860"/>
    <w:rsid w:val="434D380E"/>
    <w:rsid w:val="43934189"/>
    <w:rsid w:val="439D4850"/>
    <w:rsid w:val="43C27232"/>
    <w:rsid w:val="43ED069F"/>
    <w:rsid w:val="442A6E5A"/>
    <w:rsid w:val="445C4B8F"/>
    <w:rsid w:val="44833851"/>
    <w:rsid w:val="44982752"/>
    <w:rsid w:val="44BF6F86"/>
    <w:rsid w:val="44C45031"/>
    <w:rsid w:val="44D53AB2"/>
    <w:rsid w:val="44F27B0D"/>
    <w:rsid w:val="45485BDE"/>
    <w:rsid w:val="458571EC"/>
    <w:rsid w:val="45945C30"/>
    <w:rsid w:val="459F2306"/>
    <w:rsid w:val="45A832FE"/>
    <w:rsid w:val="45AB6174"/>
    <w:rsid w:val="45BA63E5"/>
    <w:rsid w:val="45CC5EDC"/>
    <w:rsid w:val="45F73D47"/>
    <w:rsid w:val="46286E6E"/>
    <w:rsid w:val="462D2575"/>
    <w:rsid w:val="46467FD8"/>
    <w:rsid w:val="46601D33"/>
    <w:rsid w:val="4666746C"/>
    <w:rsid w:val="467505FA"/>
    <w:rsid w:val="467B6008"/>
    <w:rsid w:val="468720BA"/>
    <w:rsid w:val="46895AFC"/>
    <w:rsid w:val="468E6A9E"/>
    <w:rsid w:val="46BC623F"/>
    <w:rsid w:val="46D855B9"/>
    <w:rsid w:val="470D2C74"/>
    <w:rsid w:val="477570F1"/>
    <w:rsid w:val="47AD33FA"/>
    <w:rsid w:val="47B41AAA"/>
    <w:rsid w:val="47CD38AD"/>
    <w:rsid w:val="47DB16D8"/>
    <w:rsid w:val="481726F3"/>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DB0E1C"/>
    <w:rsid w:val="49E0102B"/>
    <w:rsid w:val="4A2945F2"/>
    <w:rsid w:val="4A615154"/>
    <w:rsid w:val="4A657E79"/>
    <w:rsid w:val="4A96607C"/>
    <w:rsid w:val="4AB92E92"/>
    <w:rsid w:val="4B2134B8"/>
    <w:rsid w:val="4B24233C"/>
    <w:rsid w:val="4B330A0B"/>
    <w:rsid w:val="4B5E55F9"/>
    <w:rsid w:val="4B685D82"/>
    <w:rsid w:val="4B6A776E"/>
    <w:rsid w:val="4B7B4674"/>
    <w:rsid w:val="4B7C663B"/>
    <w:rsid w:val="4B812078"/>
    <w:rsid w:val="4BF71347"/>
    <w:rsid w:val="4BF97932"/>
    <w:rsid w:val="4C141E75"/>
    <w:rsid w:val="4C2A4039"/>
    <w:rsid w:val="4C736F36"/>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20B4C"/>
    <w:rsid w:val="4E85341C"/>
    <w:rsid w:val="4E9B7B12"/>
    <w:rsid w:val="4EC47712"/>
    <w:rsid w:val="4EDD3C61"/>
    <w:rsid w:val="4EF1457F"/>
    <w:rsid w:val="4F2C40A0"/>
    <w:rsid w:val="4F2F3B98"/>
    <w:rsid w:val="4F380B7A"/>
    <w:rsid w:val="4F424B82"/>
    <w:rsid w:val="4F4B0CB3"/>
    <w:rsid w:val="4F4F0EBF"/>
    <w:rsid w:val="4F8C4B40"/>
    <w:rsid w:val="4FAA5CD5"/>
    <w:rsid w:val="4FBD187E"/>
    <w:rsid w:val="4FC56067"/>
    <w:rsid w:val="4FD11AC0"/>
    <w:rsid w:val="502F75EB"/>
    <w:rsid w:val="50400243"/>
    <w:rsid w:val="50494336"/>
    <w:rsid w:val="50784012"/>
    <w:rsid w:val="50813C12"/>
    <w:rsid w:val="5087463E"/>
    <w:rsid w:val="50A11680"/>
    <w:rsid w:val="50B77550"/>
    <w:rsid w:val="50C773AE"/>
    <w:rsid w:val="50CD6602"/>
    <w:rsid w:val="510D0F23"/>
    <w:rsid w:val="51197B59"/>
    <w:rsid w:val="51615030"/>
    <w:rsid w:val="51627812"/>
    <w:rsid w:val="51C136D4"/>
    <w:rsid w:val="51D33F6D"/>
    <w:rsid w:val="51DB1448"/>
    <w:rsid w:val="52045DB4"/>
    <w:rsid w:val="522C275E"/>
    <w:rsid w:val="524C13A2"/>
    <w:rsid w:val="529000F6"/>
    <w:rsid w:val="5296149A"/>
    <w:rsid w:val="52A65672"/>
    <w:rsid w:val="52BA4073"/>
    <w:rsid w:val="52CD7B31"/>
    <w:rsid w:val="52D576F4"/>
    <w:rsid w:val="52DF170A"/>
    <w:rsid w:val="52E25B6D"/>
    <w:rsid w:val="52F362FB"/>
    <w:rsid w:val="52F4161A"/>
    <w:rsid w:val="52F965A5"/>
    <w:rsid w:val="53081AD8"/>
    <w:rsid w:val="530E1240"/>
    <w:rsid w:val="53235275"/>
    <w:rsid w:val="53240623"/>
    <w:rsid w:val="53321C03"/>
    <w:rsid w:val="533415F9"/>
    <w:rsid w:val="534823B8"/>
    <w:rsid w:val="535657D0"/>
    <w:rsid w:val="535868CC"/>
    <w:rsid w:val="53597EDB"/>
    <w:rsid w:val="538D066D"/>
    <w:rsid w:val="53921841"/>
    <w:rsid w:val="53934B1D"/>
    <w:rsid w:val="53A2278E"/>
    <w:rsid w:val="53CB788B"/>
    <w:rsid w:val="53E32E36"/>
    <w:rsid w:val="54203B94"/>
    <w:rsid w:val="5424233E"/>
    <w:rsid w:val="542A3DC2"/>
    <w:rsid w:val="542C299E"/>
    <w:rsid w:val="543642C1"/>
    <w:rsid w:val="5461235D"/>
    <w:rsid w:val="54667BA2"/>
    <w:rsid w:val="547E7555"/>
    <w:rsid w:val="54806F19"/>
    <w:rsid w:val="54A01FAE"/>
    <w:rsid w:val="54AC3148"/>
    <w:rsid w:val="54C0256E"/>
    <w:rsid w:val="54C334B7"/>
    <w:rsid w:val="54D4667D"/>
    <w:rsid w:val="54D55C56"/>
    <w:rsid w:val="54EC389B"/>
    <w:rsid w:val="54F847D9"/>
    <w:rsid w:val="55126190"/>
    <w:rsid w:val="555F3833"/>
    <w:rsid w:val="55667780"/>
    <w:rsid w:val="556E493A"/>
    <w:rsid w:val="55725F14"/>
    <w:rsid w:val="55941D63"/>
    <w:rsid w:val="559C0CE1"/>
    <w:rsid w:val="55B42D88"/>
    <w:rsid w:val="55D11119"/>
    <w:rsid w:val="55DB1F79"/>
    <w:rsid w:val="56063E85"/>
    <w:rsid w:val="560A42BD"/>
    <w:rsid w:val="560C1D89"/>
    <w:rsid w:val="56353B20"/>
    <w:rsid w:val="56443B98"/>
    <w:rsid w:val="56453A77"/>
    <w:rsid w:val="56757259"/>
    <w:rsid w:val="568B7EB7"/>
    <w:rsid w:val="56B037C9"/>
    <w:rsid w:val="56BC078F"/>
    <w:rsid w:val="56CB4BCB"/>
    <w:rsid w:val="56FB75FE"/>
    <w:rsid w:val="57391A95"/>
    <w:rsid w:val="573F3C9E"/>
    <w:rsid w:val="574C52C4"/>
    <w:rsid w:val="57526FDB"/>
    <w:rsid w:val="57572F35"/>
    <w:rsid w:val="575B33A4"/>
    <w:rsid w:val="57674A5D"/>
    <w:rsid w:val="579775E1"/>
    <w:rsid w:val="57C90530"/>
    <w:rsid w:val="57CE0836"/>
    <w:rsid w:val="582F44F7"/>
    <w:rsid w:val="583F27F2"/>
    <w:rsid w:val="58455B6D"/>
    <w:rsid w:val="584D29B0"/>
    <w:rsid w:val="584F7C49"/>
    <w:rsid w:val="5888302C"/>
    <w:rsid w:val="5889129A"/>
    <w:rsid w:val="58AD528C"/>
    <w:rsid w:val="58B31955"/>
    <w:rsid w:val="58BA45A1"/>
    <w:rsid w:val="594F6915"/>
    <w:rsid w:val="59737A65"/>
    <w:rsid w:val="59842DF4"/>
    <w:rsid w:val="59A0359A"/>
    <w:rsid w:val="59E52D9A"/>
    <w:rsid w:val="5A300449"/>
    <w:rsid w:val="5A482DEE"/>
    <w:rsid w:val="5A55295D"/>
    <w:rsid w:val="5A7E104A"/>
    <w:rsid w:val="5A8208A0"/>
    <w:rsid w:val="5A861FD5"/>
    <w:rsid w:val="5AE3253A"/>
    <w:rsid w:val="5AEA30C9"/>
    <w:rsid w:val="5AEA3475"/>
    <w:rsid w:val="5AF54C6B"/>
    <w:rsid w:val="5B087B94"/>
    <w:rsid w:val="5B0C2FBE"/>
    <w:rsid w:val="5B0E3E89"/>
    <w:rsid w:val="5B124740"/>
    <w:rsid w:val="5B31434D"/>
    <w:rsid w:val="5B3F60FF"/>
    <w:rsid w:val="5B3F66E7"/>
    <w:rsid w:val="5B872AE6"/>
    <w:rsid w:val="5BA77753"/>
    <w:rsid w:val="5BB60E53"/>
    <w:rsid w:val="5BC025EF"/>
    <w:rsid w:val="5C1203C7"/>
    <w:rsid w:val="5C1F35AE"/>
    <w:rsid w:val="5C3905BF"/>
    <w:rsid w:val="5C66397A"/>
    <w:rsid w:val="5C7349B6"/>
    <w:rsid w:val="5C824C05"/>
    <w:rsid w:val="5C8725EE"/>
    <w:rsid w:val="5CB0251A"/>
    <w:rsid w:val="5CB97030"/>
    <w:rsid w:val="5CC97332"/>
    <w:rsid w:val="5D187049"/>
    <w:rsid w:val="5D1D2427"/>
    <w:rsid w:val="5D756277"/>
    <w:rsid w:val="5D955FBD"/>
    <w:rsid w:val="5DA62524"/>
    <w:rsid w:val="5DAC3919"/>
    <w:rsid w:val="5DB36259"/>
    <w:rsid w:val="5DBD33B2"/>
    <w:rsid w:val="5DC223CB"/>
    <w:rsid w:val="5DF66637"/>
    <w:rsid w:val="5DFF6858"/>
    <w:rsid w:val="5E0F2B0E"/>
    <w:rsid w:val="5E185132"/>
    <w:rsid w:val="5E2A0167"/>
    <w:rsid w:val="5E5D68E8"/>
    <w:rsid w:val="5E802A96"/>
    <w:rsid w:val="5E9074FF"/>
    <w:rsid w:val="5EAE1AF2"/>
    <w:rsid w:val="5EB62A77"/>
    <w:rsid w:val="5EB80355"/>
    <w:rsid w:val="5EBB2226"/>
    <w:rsid w:val="5EBE5F24"/>
    <w:rsid w:val="5EF07004"/>
    <w:rsid w:val="5F0E1E9A"/>
    <w:rsid w:val="5F860C23"/>
    <w:rsid w:val="5FC44411"/>
    <w:rsid w:val="5FE426E2"/>
    <w:rsid w:val="5FF4404A"/>
    <w:rsid w:val="605C7AA6"/>
    <w:rsid w:val="605F132B"/>
    <w:rsid w:val="608510A4"/>
    <w:rsid w:val="608762FF"/>
    <w:rsid w:val="609E1C45"/>
    <w:rsid w:val="60BD4FD1"/>
    <w:rsid w:val="60D507D0"/>
    <w:rsid w:val="60EA1511"/>
    <w:rsid w:val="60EB6C34"/>
    <w:rsid w:val="60FD5C7B"/>
    <w:rsid w:val="611D43E3"/>
    <w:rsid w:val="613D7E7B"/>
    <w:rsid w:val="617162E9"/>
    <w:rsid w:val="61A52BAA"/>
    <w:rsid w:val="61FA0AE4"/>
    <w:rsid w:val="623438BB"/>
    <w:rsid w:val="624B10F0"/>
    <w:rsid w:val="624F3E48"/>
    <w:rsid w:val="62635981"/>
    <w:rsid w:val="629B3E75"/>
    <w:rsid w:val="629B5D43"/>
    <w:rsid w:val="62A36D1F"/>
    <w:rsid w:val="62A40365"/>
    <w:rsid w:val="62A469A9"/>
    <w:rsid w:val="62A92FF1"/>
    <w:rsid w:val="62B90FFE"/>
    <w:rsid w:val="62E10186"/>
    <w:rsid w:val="62F6018D"/>
    <w:rsid w:val="63016E3A"/>
    <w:rsid w:val="63034141"/>
    <w:rsid w:val="63045E00"/>
    <w:rsid w:val="630A731B"/>
    <w:rsid w:val="63386B48"/>
    <w:rsid w:val="633A3FE7"/>
    <w:rsid w:val="63410B16"/>
    <w:rsid w:val="63562840"/>
    <w:rsid w:val="637141EC"/>
    <w:rsid w:val="63805B1F"/>
    <w:rsid w:val="63834973"/>
    <w:rsid w:val="638F3DC7"/>
    <w:rsid w:val="6397194C"/>
    <w:rsid w:val="63DA4B5E"/>
    <w:rsid w:val="64273E62"/>
    <w:rsid w:val="642E2892"/>
    <w:rsid w:val="643B736C"/>
    <w:rsid w:val="64AD7C37"/>
    <w:rsid w:val="64B05758"/>
    <w:rsid w:val="64BE4B0D"/>
    <w:rsid w:val="65075A96"/>
    <w:rsid w:val="650E600B"/>
    <w:rsid w:val="650F0C7B"/>
    <w:rsid w:val="65B221E6"/>
    <w:rsid w:val="65D52797"/>
    <w:rsid w:val="66426031"/>
    <w:rsid w:val="66593B74"/>
    <w:rsid w:val="665D2DD8"/>
    <w:rsid w:val="66651C8A"/>
    <w:rsid w:val="66675176"/>
    <w:rsid w:val="669F2C65"/>
    <w:rsid w:val="66BE6B53"/>
    <w:rsid w:val="66C55FD8"/>
    <w:rsid w:val="66D333AF"/>
    <w:rsid w:val="67192A34"/>
    <w:rsid w:val="674A4927"/>
    <w:rsid w:val="677243C5"/>
    <w:rsid w:val="678568CD"/>
    <w:rsid w:val="67904A3A"/>
    <w:rsid w:val="67A24F14"/>
    <w:rsid w:val="67BB4EAD"/>
    <w:rsid w:val="67E453F6"/>
    <w:rsid w:val="67F130F8"/>
    <w:rsid w:val="67F84AFE"/>
    <w:rsid w:val="680878A3"/>
    <w:rsid w:val="68340476"/>
    <w:rsid w:val="68375AD4"/>
    <w:rsid w:val="683870E8"/>
    <w:rsid w:val="68457681"/>
    <w:rsid w:val="684977D5"/>
    <w:rsid w:val="68552C50"/>
    <w:rsid w:val="685D34E7"/>
    <w:rsid w:val="68A8123A"/>
    <w:rsid w:val="68B84F4C"/>
    <w:rsid w:val="69055229"/>
    <w:rsid w:val="6929374C"/>
    <w:rsid w:val="692F20BB"/>
    <w:rsid w:val="69784C3F"/>
    <w:rsid w:val="69C1095D"/>
    <w:rsid w:val="6A0138F7"/>
    <w:rsid w:val="6A1E155A"/>
    <w:rsid w:val="6A7B5447"/>
    <w:rsid w:val="6ADB012D"/>
    <w:rsid w:val="6AE3748E"/>
    <w:rsid w:val="6AF53FAE"/>
    <w:rsid w:val="6B1C3EC6"/>
    <w:rsid w:val="6B3F4C28"/>
    <w:rsid w:val="6B574638"/>
    <w:rsid w:val="6B5F5B98"/>
    <w:rsid w:val="6B615C8D"/>
    <w:rsid w:val="6B67068F"/>
    <w:rsid w:val="6B6E2E8D"/>
    <w:rsid w:val="6B977A86"/>
    <w:rsid w:val="6BAB6FBB"/>
    <w:rsid w:val="6BB568D4"/>
    <w:rsid w:val="6BDF79C7"/>
    <w:rsid w:val="6BE146ED"/>
    <w:rsid w:val="6C0B074D"/>
    <w:rsid w:val="6C1458EF"/>
    <w:rsid w:val="6C231806"/>
    <w:rsid w:val="6C275F8B"/>
    <w:rsid w:val="6C3B15FF"/>
    <w:rsid w:val="6C3B431E"/>
    <w:rsid w:val="6C3E5116"/>
    <w:rsid w:val="6C725FD7"/>
    <w:rsid w:val="6C852D02"/>
    <w:rsid w:val="6CB20D2B"/>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4F7B4E"/>
    <w:rsid w:val="6E953983"/>
    <w:rsid w:val="6E95768E"/>
    <w:rsid w:val="6EA14900"/>
    <w:rsid w:val="6EB27AA3"/>
    <w:rsid w:val="6EBD1CFE"/>
    <w:rsid w:val="6EF9461D"/>
    <w:rsid w:val="6F1348E9"/>
    <w:rsid w:val="6F2A01FE"/>
    <w:rsid w:val="6F2A71A4"/>
    <w:rsid w:val="6F9415EA"/>
    <w:rsid w:val="6FB72F84"/>
    <w:rsid w:val="6FCA5E7C"/>
    <w:rsid w:val="6FE3419F"/>
    <w:rsid w:val="6FF778F1"/>
    <w:rsid w:val="700346D4"/>
    <w:rsid w:val="700972F0"/>
    <w:rsid w:val="70287F2C"/>
    <w:rsid w:val="70AF69EB"/>
    <w:rsid w:val="70F97D93"/>
    <w:rsid w:val="71181113"/>
    <w:rsid w:val="711D7CA6"/>
    <w:rsid w:val="71227E63"/>
    <w:rsid w:val="71614B6B"/>
    <w:rsid w:val="718D2905"/>
    <w:rsid w:val="719909D2"/>
    <w:rsid w:val="719B61D4"/>
    <w:rsid w:val="71A10922"/>
    <w:rsid w:val="71D214DD"/>
    <w:rsid w:val="71F62920"/>
    <w:rsid w:val="72091DAA"/>
    <w:rsid w:val="72267D97"/>
    <w:rsid w:val="724E29D1"/>
    <w:rsid w:val="727F1EBB"/>
    <w:rsid w:val="728564F5"/>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12351E"/>
    <w:rsid w:val="74BE4E97"/>
    <w:rsid w:val="74D504C8"/>
    <w:rsid w:val="74F679F1"/>
    <w:rsid w:val="74F841F7"/>
    <w:rsid w:val="75003D28"/>
    <w:rsid w:val="750445F2"/>
    <w:rsid w:val="751D637E"/>
    <w:rsid w:val="751F2555"/>
    <w:rsid w:val="753504B8"/>
    <w:rsid w:val="75466A74"/>
    <w:rsid w:val="757F267E"/>
    <w:rsid w:val="758418D8"/>
    <w:rsid w:val="75A17528"/>
    <w:rsid w:val="75AA6AC3"/>
    <w:rsid w:val="75B749A9"/>
    <w:rsid w:val="75CB1443"/>
    <w:rsid w:val="75CD3F16"/>
    <w:rsid w:val="761A34DA"/>
    <w:rsid w:val="76781DCD"/>
    <w:rsid w:val="76D84698"/>
    <w:rsid w:val="775865D7"/>
    <w:rsid w:val="775A33B3"/>
    <w:rsid w:val="775B4584"/>
    <w:rsid w:val="776234AF"/>
    <w:rsid w:val="776D12AE"/>
    <w:rsid w:val="77895532"/>
    <w:rsid w:val="77AD0FE0"/>
    <w:rsid w:val="77BE7384"/>
    <w:rsid w:val="78821B50"/>
    <w:rsid w:val="788E2A2A"/>
    <w:rsid w:val="78C52EE0"/>
    <w:rsid w:val="78D23C9C"/>
    <w:rsid w:val="7913610A"/>
    <w:rsid w:val="791A167A"/>
    <w:rsid w:val="794D119C"/>
    <w:rsid w:val="796B6F7E"/>
    <w:rsid w:val="79935707"/>
    <w:rsid w:val="799A2128"/>
    <w:rsid w:val="79C0552F"/>
    <w:rsid w:val="79C30D65"/>
    <w:rsid w:val="79CC3295"/>
    <w:rsid w:val="7A0B1561"/>
    <w:rsid w:val="7A25258A"/>
    <w:rsid w:val="7A2C646D"/>
    <w:rsid w:val="7A55546C"/>
    <w:rsid w:val="7A743686"/>
    <w:rsid w:val="7A824E2E"/>
    <w:rsid w:val="7A9E7BE0"/>
    <w:rsid w:val="7AFF6437"/>
    <w:rsid w:val="7B021BF1"/>
    <w:rsid w:val="7B9F2862"/>
    <w:rsid w:val="7BA9751C"/>
    <w:rsid w:val="7BAB44F6"/>
    <w:rsid w:val="7BB856C6"/>
    <w:rsid w:val="7BBB27D3"/>
    <w:rsid w:val="7BC24A45"/>
    <w:rsid w:val="7BD52A90"/>
    <w:rsid w:val="7C076616"/>
    <w:rsid w:val="7C0D60AB"/>
    <w:rsid w:val="7C295DFC"/>
    <w:rsid w:val="7C4B37FA"/>
    <w:rsid w:val="7C58255B"/>
    <w:rsid w:val="7C5B5FF8"/>
    <w:rsid w:val="7C910DB6"/>
    <w:rsid w:val="7CF03F88"/>
    <w:rsid w:val="7CF73786"/>
    <w:rsid w:val="7D5E51C4"/>
    <w:rsid w:val="7D7525FB"/>
    <w:rsid w:val="7DC111D1"/>
    <w:rsid w:val="7DC43A43"/>
    <w:rsid w:val="7DC74225"/>
    <w:rsid w:val="7DDA69EF"/>
    <w:rsid w:val="7DDD18D5"/>
    <w:rsid w:val="7E6C26A2"/>
    <w:rsid w:val="7EB35583"/>
    <w:rsid w:val="7EB5276C"/>
    <w:rsid w:val="7EBC57D7"/>
    <w:rsid w:val="7ED0794B"/>
    <w:rsid w:val="7ED70A6F"/>
    <w:rsid w:val="7EE20D78"/>
    <w:rsid w:val="7F3206AA"/>
    <w:rsid w:val="7F5E6382"/>
    <w:rsid w:val="7F5F2553"/>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2</TotalTime>
  <ScaleCrop>false</ScaleCrop>
  <LinksUpToDate>false</LinksUpToDate>
  <CharactersWithSpaces>29889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Annie</cp:lastModifiedBy>
  <cp:lastPrinted>2019-09-01T07:55:00Z</cp:lastPrinted>
  <dcterms:modified xsi:type="dcterms:W3CDTF">2020-10-28T08:35:50Z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