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ind w:right="17"/>
        <w:jc w:val="center"/>
        <w:rPr>
          <w:rFonts w:asciiTheme="minorEastAsia" w:hAnsiTheme="minorEastAsia" w:eastAsiaTheme="minorEastAsia" w:cstheme="minorEastAsia"/>
          <w:sz w:val="28"/>
        </w:rPr>
      </w:pPr>
      <w:r>
        <w:rPr>
          <w:rFonts w:hint="eastAsia" w:asciiTheme="minorEastAsia" w:hAnsiTheme="minorEastAsia" w:eastAsiaTheme="minorEastAsia" w:cstheme="minorEastAsia"/>
          <w:sz w:val="30"/>
          <w:szCs w:val="30"/>
        </w:rPr>
        <w:drawing>
          <wp:anchor distT="0" distB="0" distL="114300" distR="114300" simplePos="0" relativeHeight="251678720" behindDoc="0" locked="0" layoutInCell="1" allowOverlap="1">
            <wp:simplePos x="0" y="0"/>
            <wp:positionH relativeFrom="column">
              <wp:posOffset>11430</wp:posOffset>
            </wp:positionH>
            <wp:positionV relativeFrom="paragraph">
              <wp:posOffset>62865</wp:posOffset>
            </wp:positionV>
            <wp:extent cx="1222375" cy="784860"/>
            <wp:effectExtent l="0" t="0" r="15875" b="15240"/>
            <wp:wrapSquare wrapText="bothSides"/>
            <wp:docPr id="3" name="图片 5" descr="背景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背景墙"/>
                    <pic:cNvPicPr>
                      <a:picLocks noChangeAspect="1" noChangeArrowheads="1"/>
                    </pic:cNvPicPr>
                  </pic:nvPicPr>
                  <pic:blipFill>
                    <a:blip r:embed="rId9" cstate="print"/>
                    <a:srcRect/>
                    <a:stretch>
                      <a:fillRect/>
                    </a:stretch>
                  </pic:blipFill>
                  <pic:spPr>
                    <a:xfrm>
                      <a:off x="0" y="0"/>
                      <a:ext cx="1222375" cy="784860"/>
                    </a:xfrm>
                    <a:prstGeom prst="rect">
                      <a:avLst/>
                    </a:prstGeom>
                    <a:noFill/>
                    <a:ln w="9525" cmpd="sng">
                      <a:noFill/>
                      <a:miter lim="800000"/>
                      <a:headEnd/>
                      <a:tailEnd/>
                    </a:ln>
                  </pic:spPr>
                </pic:pic>
              </a:graphicData>
            </a:graphic>
          </wp:anchor>
        </w:drawing>
      </w:r>
    </w:p>
    <w:p>
      <w:pPr>
        <w:kinsoku w:val="0"/>
        <w:overflowPunct w:val="0"/>
        <w:ind w:right="17"/>
        <w:jc w:val="center"/>
        <w:rPr>
          <w:rFonts w:asciiTheme="minorEastAsia" w:hAnsiTheme="minorEastAsia" w:eastAsiaTheme="minorEastAsia" w:cstheme="minorEastAsia"/>
          <w:sz w:val="28"/>
        </w:rPr>
      </w:pPr>
    </w:p>
    <w:p>
      <w:pPr>
        <w:kinsoku w:val="0"/>
        <w:overflowPunct w:val="0"/>
        <w:ind w:right="17"/>
        <w:jc w:val="center"/>
        <w:rPr>
          <w:rFonts w:asciiTheme="minorEastAsia" w:hAnsiTheme="minorEastAsia" w:eastAsiaTheme="minorEastAsia" w:cstheme="minorEastAsia"/>
          <w:sz w:val="28"/>
        </w:rPr>
      </w:pPr>
    </w:p>
    <w:p>
      <w:pPr>
        <w:kinsoku w:val="0"/>
        <w:overflowPunct w:val="0"/>
        <w:ind w:right="17"/>
        <w:jc w:val="center"/>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br w:type="textWrapping"/>
      </w:r>
      <w:r>
        <w:rPr>
          <w:rFonts w:hint="eastAsia" w:asciiTheme="minorEastAsia" w:hAnsiTheme="minorEastAsia" w:eastAsiaTheme="minorEastAsia" w:cstheme="minorEastAsia"/>
          <w:sz w:val="28"/>
        </w:rPr>
        <w:br w:type="textWrapping"/>
      </w:r>
    </w:p>
    <w:p>
      <w:pPr>
        <w:pStyle w:val="10"/>
        <w:kinsoku w:val="0"/>
        <w:overflowPunct w:val="0"/>
        <w:spacing w:before="194"/>
        <w:jc w:val="center"/>
        <w:rPr>
          <w:rFonts w:asciiTheme="minorEastAsia" w:hAnsiTheme="minorEastAsia" w:eastAsiaTheme="minorEastAsia" w:cstheme="minorEastAsia"/>
          <w:sz w:val="92"/>
        </w:rPr>
      </w:pPr>
      <w:r>
        <w:rPr>
          <w:rFonts w:hint="eastAsia" w:asciiTheme="minorEastAsia" w:hAnsiTheme="minorEastAsia" w:eastAsiaTheme="minorEastAsia" w:cstheme="minorEastAsia"/>
          <w:sz w:val="92"/>
        </w:rPr>
        <w:t>竞争性磋商采购文件</w:t>
      </w:r>
    </w:p>
    <w:p>
      <w:pPr>
        <w:pStyle w:val="10"/>
        <w:kinsoku w:val="0"/>
        <w:overflowPunct w:val="0"/>
        <w:rPr>
          <w:rFonts w:asciiTheme="minorEastAsia" w:hAnsiTheme="minorEastAsia" w:eastAsiaTheme="minorEastAsia" w:cstheme="minorEastAsia"/>
          <w:sz w:val="20"/>
        </w:rPr>
      </w:pPr>
    </w:p>
    <w:p>
      <w:pPr>
        <w:pStyle w:val="10"/>
        <w:kinsoku w:val="0"/>
        <w:overflowPunct w:val="0"/>
        <w:jc w:val="center"/>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spacing w:before="2" w:after="1"/>
        <w:rPr>
          <w:rFonts w:asciiTheme="minorEastAsia" w:hAnsiTheme="minorEastAsia" w:eastAsiaTheme="minorEastAsia" w:cstheme="minorEastAsia"/>
          <w:sz w:val="11"/>
        </w:rPr>
      </w:pPr>
    </w:p>
    <w:tbl>
      <w:tblPr>
        <w:tblStyle w:val="26"/>
        <w:tblW w:w="8146" w:type="dxa"/>
        <w:tblInd w:w="690" w:type="dxa"/>
        <w:tblLayout w:type="fixed"/>
        <w:tblCellMar>
          <w:top w:w="0" w:type="dxa"/>
          <w:left w:w="0" w:type="dxa"/>
          <w:bottom w:w="0" w:type="dxa"/>
          <w:right w:w="0" w:type="dxa"/>
        </w:tblCellMar>
      </w:tblPr>
      <w:tblGrid>
        <w:gridCol w:w="2093"/>
        <w:gridCol w:w="6053"/>
      </w:tblGrid>
      <w:tr>
        <w:tblPrEx>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2"/>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项 目  编 号：</w:t>
            </w:r>
          </w:p>
        </w:tc>
        <w:tc>
          <w:tcPr>
            <w:tcW w:w="6053" w:type="dxa"/>
            <w:tcBorders>
              <w:top w:val="nil"/>
              <w:left w:val="nil"/>
              <w:bottom w:val="nil"/>
              <w:right w:val="nil"/>
              <w:tl2br w:val="nil"/>
              <w:tr2bl w:val="nil"/>
            </w:tcBorders>
            <w:vAlign w:val="center"/>
          </w:tcPr>
          <w:p>
            <w:pPr>
              <w:pStyle w:val="95"/>
              <w:kinsoku w:val="0"/>
              <w:overflowPunct w:val="0"/>
              <w:spacing w:before="122"/>
              <w:ind w:left="55"/>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ZJZB-202009-262</w:t>
            </w:r>
          </w:p>
        </w:tc>
      </w:tr>
      <w:tr>
        <w:tblPrEx>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3"/>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项 目  名 称：</w:t>
            </w:r>
          </w:p>
        </w:tc>
        <w:tc>
          <w:tcPr>
            <w:tcW w:w="6053" w:type="dxa"/>
            <w:tcBorders>
              <w:top w:val="nil"/>
              <w:left w:val="nil"/>
              <w:bottom w:val="nil"/>
              <w:right w:val="nil"/>
              <w:tl2br w:val="nil"/>
              <w:tr2bl w:val="nil"/>
            </w:tcBorders>
            <w:vAlign w:val="center"/>
          </w:tcPr>
          <w:p>
            <w:pPr>
              <w:pStyle w:val="95"/>
              <w:kinsoku w:val="0"/>
              <w:overflowPunct w:val="0"/>
              <w:spacing w:before="123" w:line="242" w:lineRule="auto"/>
              <w:ind w:left="55" w:right="136"/>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武汉职业技术学院众创空间文化建设项目</w:t>
            </w:r>
          </w:p>
        </w:tc>
      </w:tr>
      <w:tr>
        <w:tblPrEx>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2" w:line="299" w:lineRule="exact"/>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采 购  方 式：</w:t>
            </w:r>
          </w:p>
        </w:tc>
        <w:tc>
          <w:tcPr>
            <w:tcW w:w="6053" w:type="dxa"/>
            <w:tcBorders>
              <w:top w:val="nil"/>
              <w:left w:val="nil"/>
              <w:bottom w:val="nil"/>
              <w:right w:val="nil"/>
              <w:tl2br w:val="nil"/>
              <w:tr2bl w:val="nil"/>
            </w:tcBorders>
            <w:vAlign w:val="center"/>
          </w:tcPr>
          <w:p>
            <w:pPr>
              <w:pStyle w:val="95"/>
              <w:kinsoku w:val="0"/>
              <w:overflowPunct w:val="0"/>
              <w:spacing w:before="122" w:line="299" w:lineRule="exact"/>
              <w:ind w:left="55"/>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竞争性磋商</w:t>
            </w:r>
          </w:p>
        </w:tc>
      </w:tr>
      <w:tr>
        <w:tblPrEx>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2" w:line="299" w:lineRule="exact"/>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采 购  类 别：</w:t>
            </w:r>
          </w:p>
        </w:tc>
        <w:tc>
          <w:tcPr>
            <w:tcW w:w="6053" w:type="dxa"/>
            <w:tcBorders>
              <w:top w:val="nil"/>
              <w:left w:val="nil"/>
              <w:bottom w:val="nil"/>
              <w:right w:val="nil"/>
              <w:tl2br w:val="nil"/>
              <w:tr2bl w:val="nil"/>
            </w:tcBorders>
            <w:vAlign w:val="center"/>
          </w:tcPr>
          <w:p>
            <w:pPr>
              <w:pStyle w:val="95"/>
              <w:kinsoku w:val="0"/>
              <w:overflowPunct w:val="0"/>
              <w:spacing w:before="122" w:line="299" w:lineRule="exact"/>
              <w:ind w:left="55"/>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货物</w:t>
            </w:r>
          </w:p>
        </w:tc>
      </w:tr>
    </w:tbl>
    <w:p>
      <w:pPr>
        <w:pStyle w:val="10"/>
        <w:kinsoku w:val="0"/>
        <w:overflowPunct w:val="0"/>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rPr>
          <w:rFonts w:asciiTheme="minorEastAsia" w:hAnsiTheme="minorEastAsia" w:eastAsiaTheme="minorEastAsia" w:cstheme="minorEastAsia"/>
          <w:sz w:val="20"/>
        </w:rPr>
      </w:pPr>
    </w:p>
    <w:p>
      <w:pPr>
        <w:pStyle w:val="10"/>
        <w:kinsoku w:val="0"/>
        <w:overflowPunct w:val="0"/>
        <w:spacing w:before="4"/>
        <w:rPr>
          <w:rFonts w:asciiTheme="minorEastAsia" w:hAnsiTheme="minorEastAsia" w:eastAsiaTheme="minorEastAsia" w:cstheme="minorEastAsia"/>
          <w:sz w:val="20"/>
        </w:rPr>
      </w:pPr>
    </w:p>
    <w:tbl>
      <w:tblPr>
        <w:tblStyle w:val="26"/>
        <w:tblW w:w="8123" w:type="dxa"/>
        <w:tblInd w:w="713" w:type="dxa"/>
        <w:tblLayout w:type="fixed"/>
        <w:tblCellMar>
          <w:top w:w="0" w:type="dxa"/>
          <w:left w:w="0" w:type="dxa"/>
          <w:bottom w:w="0" w:type="dxa"/>
          <w:right w:w="0" w:type="dxa"/>
        </w:tblCellMar>
      </w:tblPr>
      <w:tblGrid>
        <w:gridCol w:w="2041"/>
        <w:gridCol w:w="6082"/>
      </w:tblGrid>
      <w:tr>
        <w:tblPrEx>
          <w:tblCellMar>
            <w:top w:w="0" w:type="dxa"/>
            <w:left w:w="0" w:type="dxa"/>
            <w:bottom w:w="0" w:type="dxa"/>
            <w:right w:w="0" w:type="dxa"/>
          </w:tblCellMar>
        </w:tblPrEx>
        <w:trPr>
          <w:trHeight w:val="441" w:hRule="atLeast"/>
        </w:trPr>
        <w:tc>
          <w:tcPr>
            <w:tcW w:w="2041" w:type="dxa"/>
            <w:tcBorders>
              <w:top w:val="nil"/>
              <w:left w:val="nil"/>
              <w:bottom w:val="nil"/>
              <w:right w:val="nil"/>
              <w:tl2br w:val="nil"/>
              <w:tr2bl w:val="nil"/>
            </w:tcBorders>
            <w:vAlign w:val="center"/>
          </w:tcPr>
          <w:p>
            <w:pPr>
              <w:pStyle w:val="95"/>
              <w:kinsoku w:val="0"/>
              <w:overflowPunct w:val="0"/>
              <w:spacing w:before="122" w:line="299" w:lineRule="exact"/>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采   购   人：</w:t>
            </w:r>
          </w:p>
        </w:tc>
        <w:tc>
          <w:tcPr>
            <w:tcW w:w="6082" w:type="dxa"/>
            <w:tcBorders>
              <w:top w:val="nil"/>
              <w:left w:val="nil"/>
              <w:bottom w:val="nil"/>
              <w:right w:val="nil"/>
              <w:tl2br w:val="nil"/>
              <w:tr2bl w:val="nil"/>
            </w:tcBorders>
            <w:vAlign w:val="center"/>
          </w:tcPr>
          <w:p>
            <w:pPr>
              <w:pStyle w:val="95"/>
              <w:kinsoku w:val="0"/>
              <w:overflowPunct w:val="0"/>
              <w:spacing w:before="122" w:line="299" w:lineRule="exact"/>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武汉职业技术学院</w:t>
            </w:r>
          </w:p>
        </w:tc>
      </w:tr>
      <w:tr>
        <w:tblPrEx>
          <w:tblCellMar>
            <w:top w:w="0" w:type="dxa"/>
            <w:left w:w="0" w:type="dxa"/>
            <w:bottom w:w="0" w:type="dxa"/>
            <w:right w:w="0" w:type="dxa"/>
          </w:tblCellMar>
        </w:tblPrEx>
        <w:trPr>
          <w:trHeight w:val="603" w:hRule="atLeast"/>
        </w:trPr>
        <w:tc>
          <w:tcPr>
            <w:tcW w:w="2041" w:type="dxa"/>
            <w:tcBorders>
              <w:top w:val="nil"/>
              <w:left w:val="nil"/>
              <w:bottom w:val="nil"/>
              <w:right w:val="nil"/>
              <w:tl2br w:val="nil"/>
              <w:tr2bl w:val="nil"/>
            </w:tcBorders>
            <w:vAlign w:val="center"/>
          </w:tcPr>
          <w:p>
            <w:pPr>
              <w:pStyle w:val="95"/>
              <w:kinsoku w:val="0"/>
              <w:overflowPunct w:val="0"/>
              <w:spacing w:before="122" w:line="299" w:lineRule="exact"/>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采购代理机构：</w:t>
            </w:r>
          </w:p>
        </w:tc>
        <w:tc>
          <w:tcPr>
            <w:tcW w:w="6082" w:type="dxa"/>
            <w:tcBorders>
              <w:top w:val="nil"/>
              <w:left w:val="nil"/>
              <w:bottom w:val="nil"/>
              <w:right w:val="nil"/>
              <w:tl2br w:val="nil"/>
              <w:tr2bl w:val="nil"/>
            </w:tcBorders>
            <w:vAlign w:val="center"/>
          </w:tcPr>
          <w:p>
            <w:pPr>
              <w:pStyle w:val="95"/>
              <w:kinsoku w:val="0"/>
              <w:overflowPunct w:val="0"/>
              <w:spacing w:before="122" w:line="299" w:lineRule="exact"/>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中经国际招标集团有限公司</w:t>
            </w:r>
          </w:p>
        </w:tc>
      </w:tr>
      <w:tr>
        <w:tblPrEx>
          <w:tblCellMar>
            <w:top w:w="0" w:type="dxa"/>
            <w:left w:w="0" w:type="dxa"/>
            <w:bottom w:w="0" w:type="dxa"/>
            <w:right w:w="0" w:type="dxa"/>
          </w:tblCellMar>
        </w:tblPrEx>
        <w:trPr>
          <w:trHeight w:val="442" w:hRule="atLeast"/>
        </w:trPr>
        <w:tc>
          <w:tcPr>
            <w:tcW w:w="2041" w:type="dxa"/>
            <w:tcBorders>
              <w:top w:val="nil"/>
              <w:left w:val="nil"/>
              <w:bottom w:val="nil"/>
              <w:right w:val="nil"/>
              <w:tl2br w:val="nil"/>
              <w:tr2bl w:val="nil"/>
            </w:tcBorders>
            <w:vAlign w:val="center"/>
          </w:tcPr>
          <w:p>
            <w:pPr>
              <w:pStyle w:val="95"/>
              <w:kinsoku w:val="0"/>
              <w:overflowPunct w:val="0"/>
              <w:spacing w:before="122" w:line="299" w:lineRule="exact"/>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编 制 时 间 ：</w:t>
            </w:r>
          </w:p>
        </w:tc>
        <w:tc>
          <w:tcPr>
            <w:tcW w:w="6082" w:type="dxa"/>
            <w:tcBorders>
              <w:top w:val="nil"/>
              <w:left w:val="nil"/>
              <w:bottom w:val="nil"/>
              <w:right w:val="nil"/>
              <w:tl2br w:val="nil"/>
              <w:tr2bl w:val="nil"/>
            </w:tcBorders>
            <w:vAlign w:val="center"/>
          </w:tcPr>
          <w:p>
            <w:pPr>
              <w:pStyle w:val="95"/>
              <w:kinsoku w:val="0"/>
              <w:overflowPunct w:val="0"/>
              <w:spacing w:before="122" w:line="299" w:lineRule="exact"/>
              <w:ind w:right="53"/>
              <w:rPr>
                <w:rFonts w:hint="default" w:asciiTheme="minorEastAsia" w:hAnsiTheme="minorEastAsia" w:eastAsiaTheme="minorEastAsia" w:cstheme="minorEastAsia"/>
                <w:b/>
                <w:sz w:val="28"/>
              </w:rPr>
            </w:pPr>
            <w:r>
              <w:rPr>
                <w:rFonts w:asciiTheme="minorEastAsia" w:hAnsiTheme="minorEastAsia" w:eastAsiaTheme="minorEastAsia" w:cstheme="minorEastAsia"/>
                <w:b/>
                <w:sz w:val="28"/>
              </w:rPr>
              <w:t>2020年9月</w:t>
            </w:r>
          </w:p>
        </w:tc>
      </w:tr>
    </w:tbl>
    <w:p>
      <w:pPr>
        <w:rPr>
          <w:rFonts w:asciiTheme="minorEastAsia" w:hAnsiTheme="minorEastAsia" w:eastAsiaTheme="minorEastAsia" w:cstheme="minorEastAsia"/>
          <w:sz w:val="20"/>
        </w:rPr>
        <w:sectPr>
          <w:type w:val="continuous"/>
          <w:pgSz w:w="11910" w:h="16840"/>
          <w:pgMar w:top="1400" w:right="1200" w:bottom="280" w:left="1200" w:header="720" w:footer="720" w:gutter="0"/>
          <w:cols w:space="720" w:num="1"/>
        </w:sectPr>
      </w:pPr>
    </w:p>
    <w:p>
      <w:pPr>
        <w:tabs>
          <w:tab w:val="center" w:pos="4597"/>
          <w:tab w:val="left" w:pos="6772"/>
        </w:tabs>
        <w:jc w:val="left"/>
        <w:rPr>
          <w:rFonts w:asciiTheme="minorEastAsia" w:hAnsiTheme="minorEastAsia" w:eastAsiaTheme="minorEastAsia" w:cstheme="minorEastAsia"/>
          <w:b/>
          <w:bCs/>
          <w:sz w:val="44"/>
          <w:szCs w:val="44"/>
          <w:lang w:val="zh-CN"/>
        </w:rPr>
      </w:pPr>
      <w:r>
        <w:rPr>
          <w:rFonts w:hint="eastAsia" w:asciiTheme="minorEastAsia" w:hAnsiTheme="minorEastAsia" w:eastAsiaTheme="minorEastAsia" w:cstheme="minorEastAsia"/>
          <w:b/>
          <w:bCs/>
          <w:sz w:val="44"/>
          <w:szCs w:val="44"/>
          <w:lang w:val="zh-CN"/>
        </w:rPr>
        <w:tab/>
      </w:r>
      <w:r>
        <w:rPr>
          <w:rFonts w:hint="eastAsia" w:asciiTheme="minorEastAsia" w:hAnsiTheme="minorEastAsia" w:eastAsiaTheme="minorEastAsia" w:cstheme="minorEastAsia"/>
          <w:b/>
          <w:bCs/>
          <w:sz w:val="44"/>
          <w:szCs w:val="44"/>
          <w:lang w:val="zh-CN"/>
        </w:rPr>
        <w:t>目  录</w:t>
      </w:r>
      <w:r>
        <w:rPr>
          <w:rFonts w:hint="eastAsia" w:asciiTheme="minorEastAsia" w:hAnsiTheme="minorEastAsia" w:eastAsiaTheme="minorEastAsia" w:cstheme="minorEastAsia"/>
          <w:b/>
          <w:bCs/>
          <w:sz w:val="44"/>
          <w:szCs w:val="44"/>
          <w:lang w:val="zh-CN"/>
        </w:rPr>
        <w:tab/>
      </w:r>
    </w:p>
    <w:p>
      <w:pPr>
        <w:jc w:val="center"/>
        <w:rPr>
          <w:rFonts w:asciiTheme="minorEastAsia" w:hAnsiTheme="minorEastAsia" w:eastAsiaTheme="minorEastAsia" w:cstheme="minorEastAsia"/>
          <w:b/>
          <w:bCs/>
          <w:szCs w:val="21"/>
          <w:lang w:val="zh-CN"/>
        </w:rPr>
      </w:pPr>
    </w:p>
    <w:p>
      <w:pPr>
        <w:pStyle w:val="20"/>
        <w:tabs>
          <w:tab w:val="right" w:leader="dot" w:pos="9072"/>
        </w:tabs>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TOC \o "1-3" \h \z \u </w:instrText>
      </w:r>
      <w:r>
        <w:rPr>
          <w:rFonts w:hint="eastAsia" w:asciiTheme="minorEastAsia" w:hAnsiTheme="minorEastAsia" w:eastAsiaTheme="minorEastAsia" w:cstheme="minorEastAsia"/>
          <w:sz w:val="24"/>
        </w:rPr>
        <w:fldChar w:fldCharType="separate"/>
      </w:r>
      <w:r>
        <w:fldChar w:fldCharType="begin"/>
      </w:r>
      <w:r>
        <w:instrText xml:space="preserve"> HYPERLINK \l "_Toc1628" </w:instrText>
      </w:r>
      <w:r>
        <w:fldChar w:fldCharType="separate"/>
      </w:r>
      <w:r>
        <w:rPr>
          <w:bCs/>
          <w:szCs w:val="36"/>
        </w:rPr>
        <w:t xml:space="preserve">第一章 </w:t>
      </w:r>
      <w:r>
        <w:rPr>
          <w:rFonts w:hint="eastAsia" w:ascii="宋体" w:hAnsi="宋体" w:cs="宋体"/>
          <w:szCs w:val="36"/>
        </w:rPr>
        <w:t>竞争性磋商公告</w:t>
      </w:r>
      <w:r>
        <w:tab/>
      </w:r>
      <w:r>
        <w:fldChar w:fldCharType="begin"/>
      </w:r>
      <w:r>
        <w:instrText xml:space="preserve"> PAGEREF _Toc1628 </w:instrText>
      </w:r>
      <w:r>
        <w:fldChar w:fldCharType="separate"/>
      </w:r>
      <w:r>
        <w:t>5</w:t>
      </w:r>
      <w:r>
        <w:fldChar w:fldCharType="end"/>
      </w:r>
      <w:r>
        <w:fldChar w:fldCharType="end"/>
      </w:r>
    </w:p>
    <w:p>
      <w:pPr>
        <w:pStyle w:val="22"/>
        <w:tabs>
          <w:tab w:val="right" w:leader="dot" w:pos="9072"/>
        </w:tabs>
      </w:pPr>
      <w:r>
        <w:fldChar w:fldCharType="begin"/>
      </w:r>
      <w:r>
        <w:instrText xml:space="preserve"> HYPERLINK \l "_Toc24710" </w:instrText>
      </w:r>
      <w:r>
        <w:fldChar w:fldCharType="separate"/>
      </w:r>
      <w:r>
        <w:rPr>
          <w:rFonts w:hint="eastAsia" w:ascii="宋体" w:hAnsi="宋体" w:cs="宋体"/>
          <w:szCs w:val="21"/>
        </w:rPr>
        <w:t>一、 项目基本情况</w:t>
      </w:r>
      <w:r>
        <w:tab/>
      </w:r>
      <w:r>
        <w:fldChar w:fldCharType="begin"/>
      </w:r>
      <w:r>
        <w:instrText xml:space="preserve"> PAGEREF _Toc24710 </w:instrText>
      </w:r>
      <w:r>
        <w:fldChar w:fldCharType="separate"/>
      </w:r>
      <w:r>
        <w:t>5</w:t>
      </w:r>
      <w:r>
        <w:fldChar w:fldCharType="end"/>
      </w:r>
      <w:r>
        <w:fldChar w:fldCharType="end"/>
      </w:r>
    </w:p>
    <w:p>
      <w:pPr>
        <w:pStyle w:val="22"/>
        <w:tabs>
          <w:tab w:val="right" w:leader="dot" w:pos="9072"/>
        </w:tabs>
      </w:pPr>
      <w:r>
        <w:fldChar w:fldCharType="begin"/>
      </w:r>
      <w:r>
        <w:instrText xml:space="preserve"> HYPERLINK \l "_Toc20667" </w:instrText>
      </w:r>
      <w:r>
        <w:fldChar w:fldCharType="separate"/>
      </w:r>
      <w:r>
        <w:rPr>
          <w:rFonts w:hint="eastAsia" w:ascii="宋体" w:hAnsi="宋体" w:cs="宋体"/>
          <w:szCs w:val="21"/>
        </w:rPr>
        <w:t>二、 申请人的资格要求</w:t>
      </w:r>
      <w:r>
        <w:tab/>
      </w:r>
      <w:r>
        <w:fldChar w:fldCharType="begin"/>
      </w:r>
      <w:r>
        <w:instrText xml:space="preserve"> PAGEREF _Toc20667 </w:instrText>
      </w:r>
      <w:r>
        <w:fldChar w:fldCharType="separate"/>
      </w:r>
      <w:r>
        <w:t>5</w:t>
      </w:r>
      <w:r>
        <w:fldChar w:fldCharType="end"/>
      </w:r>
      <w:r>
        <w:fldChar w:fldCharType="end"/>
      </w:r>
    </w:p>
    <w:p>
      <w:pPr>
        <w:pStyle w:val="22"/>
        <w:tabs>
          <w:tab w:val="right" w:leader="dot" w:pos="9072"/>
        </w:tabs>
      </w:pPr>
      <w:r>
        <w:fldChar w:fldCharType="begin"/>
      </w:r>
      <w:r>
        <w:instrText xml:space="preserve"> HYPERLINK \l "_Toc30193" </w:instrText>
      </w:r>
      <w:r>
        <w:fldChar w:fldCharType="separate"/>
      </w:r>
      <w:r>
        <w:rPr>
          <w:rFonts w:hint="eastAsia" w:ascii="宋体" w:hAnsi="宋体" w:cs="宋体"/>
          <w:szCs w:val="21"/>
        </w:rPr>
        <w:t>三、 获取采购文件</w:t>
      </w:r>
      <w:r>
        <w:tab/>
      </w:r>
      <w:r>
        <w:fldChar w:fldCharType="begin"/>
      </w:r>
      <w:r>
        <w:instrText xml:space="preserve"> PAGEREF _Toc30193 </w:instrText>
      </w:r>
      <w:r>
        <w:fldChar w:fldCharType="separate"/>
      </w:r>
      <w:r>
        <w:t>6</w:t>
      </w:r>
      <w:r>
        <w:fldChar w:fldCharType="end"/>
      </w:r>
      <w:r>
        <w:fldChar w:fldCharType="end"/>
      </w:r>
    </w:p>
    <w:p>
      <w:pPr>
        <w:pStyle w:val="22"/>
        <w:tabs>
          <w:tab w:val="right" w:leader="dot" w:pos="9072"/>
        </w:tabs>
      </w:pPr>
      <w:r>
        <w:fldChar w:fldCharType="begin"/>
      </w:r>
      <w:r>
        <w:instrText xml:space="preserve"> HYPERLINK \l "_Toc3841" </w:instrText>
      </w:r>
      <w:r>
        <w:fldChar w:fldCharType="separate"/>
      </w:r>
      <w:r>
        <w:rPr>
          <w:rFonts w:hint="eastAsia" w:ascii="宋体" w:hAnsi="宋体" w:cs="宋体"/>
          <w:szCs w:val="21"/>
        </w:rPr>
        <w:t>四、 响应文件提交</w:t>
      </w:r>
      <w:r>
        <w:tab/>
      </w:r>
      <w:r>
        <w:fldChar w:fldCharType="begin"/>
      </w:r>
      <w:r>
        <w:instrText xml:space="preserve"> PAGEREF _Toc3841 </w:instrText>
      </w:r>
      <w:r>
        <w:fldChar w:fldCharType="separate"/>
      </w:r>
      <w:r>
        <w:t>7</w:t>
      </w:r>
      <w:r>
        <w:fldChar w:fldCharType="end"/>
      </w:r>
      <w:r>
        <w:fldChar w:fldCharType="end"/>
      </w:r>
    </w:p>
    <w:p>
      <w:pPr>
        <w:pStyle w:val="22"/>
        <w:tabs>
          <w:tab w:val="right" w:leader="dot" w:pos="9072"/>
        </w:tabs>
      </w:pPr>
      <w:r>
        <w:fldChar w:fldCharType="begin"/>
      </w:r>
      <w:r>
        <w:instrText xml:space="preserve"> HYPERLINK \l "_Toc11052" </w:instrText>
      </w:r>
      <w:r>
        <w:fldChar w:fldCharType="separate"/>
      </w:r>
      <w:r>
        <w:rPr>
          <w:rFonts w:hint="eastAsia"/>
          <w:szCs w:val="21"/>
        </w:rPr>
        <w:t xml:space="preserve">五、 </w:t>
      </w:r>
      <w:r>
        <w:rPr>
          <w:rFonts w:hint="eastAsia" w:ascii="宋体" w:hAnsi="宋体" w:cs="宋体"/>
          <w:szCs w:val="21"/>
        </w:rPr>
        <w:t>开启</w:t>
      </w:r>
      <w:r>
        <w:tab/>
      </w:r>
      <w:r>
        <w:fldChar w:fldCharType="begin"/>
      </w:r>
      <w:r>
        <w:instrText xml:space="preserve"> PAGEREF _Toc11052 </w:instrText>
      </w:r>
      <w:r>
        <w:fldChar w:fldCharType="separate"/>
      </w:r>
      <w:r>
        <w:t>7</w:t>
      </w:r>
      <w:r>
        <w:fldChar w:fldCharType="end"/>
      </w:r>
      <w:r>
        <w:fldChar w:fldCharType="end"/>
      </w:r>
    </w:p>
    <w:p>
      <w:pPr>
        <w:pStyle w:val="22"/>
        <w:tabs>
          <w:tab w:val="right" w:leader="dot" w:pos="9072"/>
        </w:tabs>
      </w:pPr>
      <w:r>
        <w:fldChar w:fldCharType="begin"/>
      </w:r>
      <w:r>
        <w:instrText xml:space="preserve"> HYPERLINK \l "_Toc23624" </w:instrText>
      </w:r>
      <w:r>
        <w:fldChar w:fldCharType="separate"/>
      </w:r>
      <w:r>
        <w:rPr>
          <w:rFonts w:hint="eastAsia" w:ascii="宋体" w:hAnsi="宋体" w:cs="宋体"/>
          <w:szCs w:val="21"/>
        </w:rPr>
        <w:t>六、 公告期限</w:t>
      </w:r>
      <w:r>
        <w:tab/>
      </w:r>
      <w:r>
        <w:fldChar w:fldCharType="begin"/>
      </w:r>
      <w:r>
        <w:instrText xml:space="preserve"> PAGEREF _Toc23624 </w:instrText>
      </w:r>
      <w:r>
        <w:fldChar w:fldCharType="separate"/>
      </w:r>
      <w:r>
        <w:t>7</w:t>
      </w:r>
      <w:r>
        <w:fldChar w:fldCharType="end"/>
      </w:r>
      <w:r>
        <w:fldChar w:fldCharType="end"/>
      </w:r>
    </w:p>
    <w:p>
      <w:pPr>
        <w:pStyle w:val="22"/>
        <w:tabs>
          <w:tab w:val="right" w:leader="dot" w:pos="9072"/>
        </w:tabs>
      </w:pPr>
      <w:r>
        <w:fldChar w:fldCharType="begin"/>
      </w:r>
      <w:r>
        <w:instrText xml:space="preserve"> HYPERLINK \l "_Toc17673" </w:instrText>
      </w:r>
      <w:r>
        <w:fldChar w:fldCharType="separate"/>
      </w:r>
      <w:r>
        <w:rPr>
          <w:rFonts w:hint="eastAsia" w:ascii="宋体" w:hAnsi="宋体" w:cs="宋体"/>
          <w:szCs w:val="21"/>
        </w:rPr>
        <w:t>七、 其他补充事宜</w:t>
      </w:r>
      <w:r>
        <w:tab/>
      </w:r>
      <w:r>
        <w:fldChar w:fldCharType="begin"/>
      </w:r>
      <w:r>
        <w:instrText xml:space="preserve"> PAGEREF _Toc17673 </w:instrText>
      </w:r>
      <w:r>
        <w:fldChar w:fldCharType="separate"/>
      </w:r>
      <w:r>
        <w:t>7</w:t>
      </w:r>
      <w:r>
        <w:fldChar w:fldCharType="end"/>
      </w:r>
      <w:r>
        <w:fldChar w:fldCharType="end"/>
      </w:r>
    </w:p>
    <w:p>
      <w:pPr>
        <w:pStyle w:val="22"/>
        <w:tabs>
          <w:tab w:val="right" w:leader="dot" w:pos="9072"/>
        </w:tabs>
      </w:pPr>
      <w:r>
        <w:fldChar w:fldCharType="begin"/>
      </w:r>
      <w:r>
        <w:instrText xml:space="preserve"> HYPERLINK \l "_Toc12218" </w:instrText>
      </w:r>
      <w:r>
        <w:fldChar w:fldCharType="separate"/>
      </w:r>
      <w:r>
        <w:rPr>
          <w:rFonts w:hint="eastAsia" w:ascii="宋体" w:hAnsi="宋体" w:cs="宋体"/>
          <w:szCs w:val="21"/>
        </w:rPr>
        <w:t>八、 凡对本次采购提出询问，请按以下方式联系</w:t>
      </w:r>
      <w:r>
        <w:tab/>
      </w:r>
      <w:r>
        <w:fldChar w:fldCharType="begin"/>
      </w:r>
      <w:r>
        <w:instrText xml:space="preserve"> PAGEREF _Toc12218 </w:instrText>
      </w:r>
      <w:r>
        <w:fldChar w:fldCharType="separate"/>
      </w:r>
      <w:r>
        <w:t>7</w:t>
      </w:r>
      <w:r>
        <w:fldChar w:fldCharType="end"/>
      </w:r>
      <w:r>
        <w:fldChar w:fldCharType="end"/>
      </w:r>
    </w:p>
    <w:p>
      <w:pPr>
        <w:pStyle w:val="22"/>
        <w:tabs>
          <w:tab w:val="right" w:leader="dot" w:pos="9072"/>
        </w:tabs>
      </w:pPr>
      <w:r>
        <w:fldChar w:fldCharType="begin"/>
      </w:r>
      <w:r>
        <w:instrText xml:space="preserve"> HYPERLINK \l "_Toc30016" </w:instrText>
      </w:r>
      <w:r>
        <w:fldChar w:fldCharType="separate"/>
      </w:r>
      <w:r>
        <w:rPr>
          <w:rFonts w:hint="eastAsia" w:asciiTheme="minorEastAsia" w:hAnsiTheme="minorEastAsia" w:eastAsiaTheme="minorEastAsia" w:cstheme="minorEastAsia"/>
          <w:szCs w:val="21"/>
        </w:rPr>
        <w:t>九、 注意事项</w:t>
      </w:r>
      <w:r>
        <w:tab/>
      </w:r>
      <w:r>
        <w:fldChar w:fldCharType="begin"/>
      </w:r>
      <w:r>
        <w:instrText xml:space="preserve"> PAGEREF _Toc30016 </w:instrText>
      </w:r>
      <w:r>
        <w:fldChar w:fldCharType="separate"/>
      </w:r>
      <w:r>
        <w:t>8</w:t>
      </w:r>
      <w:r>
        <w:fldChar w:fldCharType="end"/>
      </w:r>
      <w:r>
        <w:fldChar w:fldCharType="end"/>
      </w:r>
    </w:p>
    <w:p>
      <w:pPr>
        <w:pStyle w:val="20"/>
        <w:tabs>
          <w:tab w:val="right" w:leader="dot" w:pos="9072"/>
        </w:tabs>
      </w:pPr>
      <w:r>
        <w:fldChar w:fldCharType="begin"/>
      </w:r>
      <w:r>
        <w:instrText xml:space="preserve"> HYPERLINK \l "_Toc30354" </w:instrText>
      </w:r>
      <w:r>
        <w:fldChar w:fldCharType="separate"/>
      </w:r>
      <w:r>
        <w:rPr>
          <w:rFonts w:asciiTheme="minorEastAsia" w:hAnsiTheme="minorEastAsia" w:eastAsiaTheme="minorEastAsia" w:cstheme="minorEastAsia"/>
          <w:szCs w:val="36"/>
        </w:rPr>
        <w:t xml:space="preserve">第二章 </w:t>
      </w:r>
      <w:r>
        <w:rPr>
          <w:rFonts w:hint="eastAsia" w:asciiTheme="minorEastAsia" w:hAnsiTheme="minorEastAsia" w:eastAsiaTheme="minorEastAsia" w:cstheme="minorEastAsia"/>
          <w:szCs w:val="36"/>
        </w:rPr>
        <w:t>供应商须知</w:t>
      </w:r>
      <w:r>
        <w:tab/>
      </w:r>
      <w:r>
        <w:fldChar w:fldCharType="begin"/>
      </w:r>
      <w:r>
        <w:instrText xml:space="preserve"> PAGEREF _Toc30354 </w:instrText>
      </w:r>
      <w:r>
        <w:fldChar w:fldCharType="separate"/>
      </w:r>
      <w:r>
        <w:t>9</w:t>
      </w:r>
      <w:r>
        <w:fldChar w:fldCharType="end"/>
      </w:r>
      <w:r>
        <w:fldChar w:fldCharType="end"/>
      </w:r>
    </w:p>
    <w:p>
      <w:pPr>
        <w:pStyle w:val="22"/>
        <w:tabs>
          <w:tab w:val="right" w:leader="dot" w:pos="9072"/>
        </w:tabs>
      </w:pPr>
      <w:r>
        <w:fldChar w:fldCharType="begin"/>
      </w:r>
      <w:r>
        <w:instrText xml:space="preserve"> HYPERLINK \l "_Toc5340" </w:instrText>
      </w:r>
      <w:r>
        <w:fldChar w:fldCharType="separate"/>
      </w:r>
      <w:r>
        <w:rPr>
          <w:rFonts w:hint="eastAsia" w:asciiTheme="minorEastAsia" w:hAnsiTheme="minorEastAsia" w:eastAsiaTheme="minorEastAsia" w:cstheme="minorEastAsia"/>
          <w:szCs w:val="21"/>
        </w:rPr>
        <w:t>《供应商须知前附表》</w:t>
      </w:r>
      <w:r>
        <w:tab/>
      </w:r>
      <w:r>
        <w:fldChar w:fldCharType="begin"/>
      </w:r>
      <w:r>
        <w:instrText xml:space="preserve"> PAGEREF _Toc5340 </w:instrText>
      </w:r>
      <w:r>
        <w:fldChar w:fldCharType="separate"/>
      </w:r>
      <w:r>
        <w:t>9</w:t>
      </w:r>
      <w:r>
        <w:fldChar w:fldCharType="end"/>
      </w:r>
      <w:r>
        <w:fldChar w:fldCharType="end"/>
      </w:r>
    </w:p>
    <w:p>
      <w:pPr>
        <w:pStyle w:val="22"/>
        <w:tabs>
          <w:tab w:val="right" w:leader="dot" w:pos="9072"/>
        </w:tabs>
      </w:pPr>
      <w:r>
        <w:fldChar w:fldCharType="begin"/>
      </w:r>
      <w:r>
        <w:instrText xml:space="preserve"> HYPERLINK \l "_Toc19309" </w:instrText>
      </w:r>
      <w:r>
        <w:fldChar w:fldCharType="separate"/>
      </w:r>
      <w:r>
        <w:rPr>
          <w:rFonts w:hint="eastAsia" w:asciiTheme="minorEastAsia" w:hAnsiTheme="minorEastAsia" w:eastAsiaTheme="minorEastAsia" w:cstheme="minorEastAsia"/>
          <w:szCs w:val="21"/>
        </w:rPr>
        <w:t>供应商须知</w:t>
      </w:r>
      <w:r>
        <w:tab/>
      </w:r>
      <w:r>
        <w:fldChar w:fldCharType="begin"/>
      </w:r>
      <w:r>
        <w:instrText xml:space="preserve"> PAGEREF _Toc19309 </w:instrText>
      </w:r>
      <w:r>
        <w:fldChar w:fldCharType="separate"/>
      </w:r>
      <w:r>
        <w:t>13</w:t>
      </w:r>
      <w:r>
        <w:fldChar w:fldCharType="end"/>
      </w:r>
      <w:r>
        <w:fldChar w:fldCharType="end"/>
      </w:r>
    </w:p>
    <w:p>
      <w:pPr>
        <w:pStyle w:val="22"/>
        <w:tabs>
          <w:tab w:val="right" w:leader="dot" w:pos="9072"/>
        </w:tabs>
      </w:pPr>
      <w:r>
        <w:fldChar w:fldCharType="begin"/>
      </w:r>
      <w:r>
        <w:instrText xml:space="preserve"> HYPERLINK \l "_Toc19164" </w:instrText>
      </w:r>
      <w:r>
        <w:fldChar w:fldCharType="separate"/>
      </w:r>
      <w:r>
        <w:rPr>
          <w:rFonts w:asciiTheme="minorEastAsia" w:hAnsiTheme="minorEastAsia" w:eastAsiaTheme="minorEastAsia" w:cstheme="minorEastAsia"/>
          <w:szCs w:val="21"/>
        </w:rPr>
        <w:t xml:space="preserve">一、 </w:t>
      </w:r>
      <w:r>
        <w:rPr>
          <w:rFonts w:hint="eastAsia" w:asciiTheme="minorEastAsia" w:hAnsiTheme="minorEastAsia" w:eastAsiaTheme="minorEastAsia" w:cstheme="minorEastAsia"/>
          <w:szCs w:val="21"/>
        </w:rPr>
        <w:t>总则</w:t>
      </w:r>
      <w:r>
        <w:tab/>
      </w:r>
      <w:r>
        <w:fldChar w:fldCharType="begin"/>
      </w:r>
      <w:r>
        <w:instrText xml:space="preserve"> PAGEREF _Toc19164 </w:instrText>
      </w:r>
      <w:r>
        <w:fldChar w:fldCharType="separate"/>
      </w:r>
      <w:r>
        <w:t>13</w:t>
      </w:r>
      <w:r>
        <w:fldChar w:fldCharType="end"/>
      </w:r>
      <w:r>
        <w:fldChar w:fldCharType="end"/>
      </w:r>
    </w:p>
    <w:p>
      <w:pPr>
        <w:pStyle w:val="22"/>
        <w:tabs>
          <w:tab w:val="right" w:leader="dot" w:pos="9072"/>
        </w:tabs>
      </w:pPr>
      <w:r>
        <w:fldChar w:fldCharType="begin"/>
      </w:r>
      <w:r>
        <w:instrText xml:space="preserve"> HYPERLINK \l "_Toc7383" </w:instrText>
      </w:r>
      <w:r>
        <w:fldChar w:fldCharType="separate"/>
      </w:r>
      <w:r>
        <w:rPr>
          <w:rFonts w:asciiTheme="minorEastAsia" w:hAnsiTheme="minorEastAsia" w:eastAsiaTheme="minorEastAsia" w:cstheme="minorEastAsia"/>
          <w:szCs w:val="21"/>
        </w:rPr>
        <w:t xml:space="preserve">1、 </w:t>
      </w:r>
      <w:r>
        <w:rPr>
          <w:rFonts w:hint="eastAsia" w:asciiTheme="minorEastAsia" w:hAnsiTheme="minorEastAsia" w:eastAsiaTheme="minorEastAsia" w:cstheme="minorEastAsia"/>
          <w:szCs w:val="21"/>
        </w:rPr>
        <w:t>适用法律及范围</w:t>
      </w:r>
      <w:r>
        <w:tab/>
      </w:r>
      <w:r>
        <w:fldChar w:fldCharType="begin"/>
      </w:r>
      <w:r>
        <w:instrText xml:space="preserve"> PAGEREF _Toc7383 </w:instrText>
      </w:r>
      <w:r>
        <w:fldChar w:fldCharType="separate"/>
      </w:r>
      <w:r>
        <w:t>13</w:t>
      </w:r>
      <w:r>
        <w:fldChar w:fldCharType="end"/>
      </w:r>
      <w:r>
        <w:fldChar w:fldCharType="end"/>
      </w:r>
    </w:p>
    <w:p>
      <w:pPr>
        <w:pStyle w:val="22"/>
        <w:tabs>
          <w:tab w:val="right" w:leader="dot" w:pos="9072"/>
        </w:tabs>
      </w:pPr>
      <w:r>
        <w:fldChar w:fldCharType="begin"/>
      </w:r>
      <w:r>
        <w:instrText xml:space="preserve"> HYPERLINK \l "_Toc18687" </w:instrText>
      </w:r>
      <w:r>
        <w:fldChar w:fldCharType="separate"/>
      </w:r>
      <w:r>
        <w:rPr>
          <w:rFonts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rPr>
        <w:t>定义</w:t>
      </w:r>
      <w:r>
        <w:tab/>
      </w:r>
      <w:r>
        <w:fldChar w:fldCharType="begin"/>
      </w:r>
      <w:r>
        <w:instrText xml:space="preserve"> PAGEREF _Toc18687 </w:instrText>
      </w:r>
      <w:r>
        <w:fldChar w:fldCharType="separate"/>
      </w:r>
      <w:r>
        <w:t>13</w:t>
      </w:r>
      <w:r>
        <w:fldChar w:fldCharType="end"/>
      </w:r>
      <w:r>
        <w:fldChar w:fldCharType="end"/>
      </w:r>
    </w:p>
    <w:p>
      <w:pPr>
        <w:pStyle w:val="22"/>
        <w:tabs>
          <w:tab w:val="right" w:leader="dot" w:pos="9072"/>
        </w:tabs>
      </w:pPr>
      <w:r>
        <w:fldChar w:fldCharType="begin"/>
      </w:r>
      <w:r>
        <w:instrText xml:space="preserve"> HYPERLINK \l "_Toc25967" </w:instrText>
      </w:r>
      <w:r>
        <w:fldChar w:fldCharType="separate"/>
      </w:r>
      <w:r>
        <w:rPr>
          <w:rFonts w:asciiTheme="minorEastAsia" w:hAnsiTheme="minorEastAsia" w:eastAsiaTheme="minorEastAsia" w:cstheme="minorEastAsia"/>
          <w:szCs w:val="21"/>
        </w:rPr>
        <w:t xml:space="preserve">3、 </w:t>
      </w:r>
      <w:r>
        <w:rPr>
          <w:rFonts w:hint="eastAsia" w:asciiTheme="minorEastAsia" w:hAnsiTheme="minorEastAsia" w:eastAsiaTheme="minorEastAsia" w:cstheme="minorEastAsia"/>
          <w:snapToGrid w:val="0"/>
          <w:kern w:val="0"/>
          <w:szCs w:val="21"/>
          <w:lang w:val="zh-CN"/>
        </w:rPr>
        <w:t>工程、货物及服务</w:t>
      </w:r>
      <w:r>
        <w:tab/>
      </w:r>
      <w:r>
        <w:fldChar w:fldCharType="begin"/>
      </w:r>
      <w:r>
        <w:instrText xml:space="preserve"> PAGEREF _Toc25967 </w:instrText>
      </w:r>
      <w:r>
        <w:fldChar w:fldCharType="separate"/>
      </w:r>
      <w:r>
        <w:t>13</w:t>
      </w:r>
      <w:r>
        <w:fldChar w:fldCharType="end"/>
      </w:r>
      <w:r>
        <w:fldChar w:fldCharType="end"/>
      </w:r>
    </w:p>
    <w:p>
      <w:pPr>
        <w:pStyle w:val="22"/>
        <w:tabs>
          <w:tab w:val="right" w:leader="dot" w:pos="9072"/>
        </w:tabs>
      </w:pPr>
      <w:r>
        <w:fldChar w:fldCharType="begin"/>
      </w:r>
      <w:r>
        <w:instrText xml:space="preserve"> HYPERLINK \l "_Toc22488" </w:instrText>
      </w:r>
      <w:r>
        <w:fldChar w:fldCharType="separate"/>
      </w:r>
      <w:r>
        <w:rPr>
          <w:rFonts w:asciiTheme="minorEastAsia" w:hAnsiTheme="minorEastAsia" w:eastAsiaTheme="minorEastAsia" w:cstheme="minorEastAsia"/>
          <w:szCs w:val="21"/>
        </w:rPr>
        <w:t xml:space="preserve">4、 </w:t>
      </w:r>
      <w:r>
        <w:rPr>
          <w:rFonts w:hint="eastAsia" w:asciiTheme="minorEastAsia" w:hAnsiTheme="minorEastAsia" w:eastAsiaTheme="minorEastAsia" w:cstheme="minorEastAsia"/>
          <w:szCs w:val="21"/>
        </w:rPr>
        <w:t>费用</w:t>
      </w:r>
      <w:r>
        <w:tab/>
      </w:r>
      <w:r>
        <w:fldChar w:fldCharType="begin"/>
      </w:r>
      <w:r>
        <w:instrText xml:space="preserve"> PAGEREF _Toc22488 </w:instrText>
      </w:r>
      <w:r>
        <w:fldChar w:fldCharType="separate"/>
      </w:r>
      <w:r>
        <w:t>13</w:t>
      </w:r>
      <w:r>
        <w:fldChar w:fldCharType="end"/>
      </w:r>
      <w:r>
        <w:fldChar w:fldCharType="end"/>
      </w:r>
    </w:p>
    <w:p>
      <w:pPr>
        <w:pStyle w:val="22"/>
        <w:tabs>
          <w:tab w:val="right" w:leader="dot" w:pos="9072"/>
        </w:tabs>
      </w:pPr>
      <w:r>
        <w:fldChar w:fldCharType="begin"/>
      </w:r>
      <w:r>
        <w:instrText xml:space="preserve"> HYPERLINK \l "_Toc27172" </w:instrText>
      </w:r>
      <w:r>
        <w:fldChar w:fldCharType="separate"/>
      </w:r>
      <w:r>
        <w:rPr>
          <w:rFonts w:asciiTheme="minorEastAsia" w:hAnsiTheme="minorEastAsia" w:eastAsiaTheme="minorEastAsia" w:cstheme="minorEastAsia"/>
          <w:szCs w:val="21"/>
        </w:rPr>
        <w:t xml:space="preserve">二、 </w:t>
      </w:r>
      <w:r>
        <w:rPr>
          <w:rFonts w:hint="eastAsia" w:asciiTheme="minorEastAsia" w:hAnsiTheme="minorEastAsia" w:eastAsiaTheme="minorEastAsia" w:cstheme="minorEastAsia"/>
          <w:szCs w:val="21"/>
        </w:rPr>
        <w:t>竞争性磋商采购文件</w:t>
      </w:r>
      <w:r>
        <w:tab/>
      </w:r>
      <w:r>
        <w:fldChar w:fldCharType="begin"/>
      </w:r>
      <w:r>
        <w:instrText xml:space="preserve"> PAGEREF _Toc27172 </w:instrText>
      </w:r>
      <w:r>
        <w:fldChar w:fldCharType="separate"/>
      </w:r>
      <w:r>
        <w:t>14</w:t>
      </w:r>
      <w:r>
        <w:fldChar w:fldCharType="end"/>
      </w:r>
      <w:r>
        <w:fldChar w:fldCharType="end"/>
      </w:r>
    </w:p>
    <w:p>
      <w:pPr>
        <w:pStyle w:val="22"/>
        <w:tabs>
          <w:tab w:val="right" w:leader="dot" w:pos="9072"/>
        </w:tabs>
      </w:pPr>
      <w:r>
        <w:fldChar w:fldCharType="begin"/>
      </w:r>
      <w:r>
        <w:instrText xml:space="preserve"> HYPERLINK \l "_Toc29851" </w:instrText>
      </w:r>
      <w:r>
        <w:fldChar w:fldCharType="separate"/>
      </w:r>
      <w:r>
        <w:rPr>
          <w:rFonts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rPr>
        <w:t>竞争性磋商采购文件的构成</w:t>
      </w:r>
      <w:r>
        <w:tab/>
      </w:r>
      <w:r>
        <w:fldChar w:fldCharType="begin"/>
      </w:r>
      <w:r>
        <w:instrText xml:space="preserve"> PAGEREF _Toc29851 </w:instrText>
      </w:r>
      <w:r>
        <w:fldChar w:fldCharType="separate"/>
      </w:r>
      <w:r>
        <w:t>14</w:t>
      </w:r>
      <w:r>
        <w:fldChar w:fldCharType="end"/>
      </w:r>
      <w:r>
        <w:fldChar w:fldCharType="end"/>
      </w:r>
    </w:p>
    <w:p>
      <w:pPr>
        <w:pStyle w:val="22"/>
        <w:tabs>
          <w:tab w:val="right" w:leader="dot" w:pos="9072"/>
        </w:tabs>
      </w:pPr>
      <w:r>
        <w:fldChar w:fldCharType="begin"/>
      </w:r>
      <w:r>
        <w:instrText xml:space="preserve"> HYPERLINK \l "_Toc22354" </w:instrText>
      </w:r>
      <w:r>
        <w:fldChar w:fldCharType="separate"/>
      </w:r>
      <w:r>
        <w:rPr>
          <w:rFonts w:asciiTheme="minorEastAsia" w:hAnsiTheme="minorEastAsia" w:eastAsiaTheme="minorEastAsia" w:cstheme="minorEastAsia"/>
          <w:snapToGrid w:val="0"/>
          <w:kern w:val="0"/>
          <w:szCs w:val="21"/>
          <w:lang w:val="zh-CN"/>
        </w:rPr>
        <w:t xml:space="preserve">6、 </w:t>
      </w:r>
      <w:r>
        <w:rPr>
          <w:rFonts w:hint="eastAsia" w:asciiTheme="minorEastAsia" w:hAnsiTheme="minorEastAsia" w:eastAsiaTheme="minorEastAsia" w:cstheme="minorEastAsia"/>
          <w:snapToGrid w:val="0"/>
          <w:kern w:val="0"/>
          <w:szCs w:val="21"/>
          <w:lang w:val="zh-CN"/>
        </w:rPr>
        <w:t>竞争性磋商采购文件的澄清</w:t>
      </w:r>
      <w:r>
        <w:tab/>
      </w:r>
      <w:r>
        <w:fldChar w:fldCharType="begin"/>
      </w:r>
      <w:r>
        <w:instrText xml:space="preserve"> PAGEREF _Toc22354 </w:instrText>
      </w:r>
      <w:r>
        <w:fldChar w:fldCharType="separate"/>
      </w:r>
      <w:r>
        <w:t>14</w:t>
      </w:r>
      <w:r>
        <w:fldChar w:fldCharType="end"/>
      </w:r>
      <w:r>
        <w:fldChar w:fldCharType="end"/>
      </w:r>
    </w:p>
    <w:p>
      <w:pPr>
        <w:pStyle w:val="22"/>
        <w:tabs>
          <w:tab w:val="right" w:leader="dot" w:pos="9072"/>
        </w:tabs>
      </w:pPr>
      <w:r>
        <w:fldChar w:fldCharType="begin"/>
      </w:r>
      <w:r>
        <w:instrText xml:space="preserve"> HYPERLINK \l "_Toc5704" </w:instrText>
      </w:r>
      <w:r>
        <w:fldChar w:fldCharType="separate"/>
      </w:r>
      <w:r>
        <w:rPr>
          <w:rFonts w:asciiTheme="minorEastAsia" w:hAnsiTheme="minorEastAsia" w:eastAsiaTheme="minorEastAsia" w:cstheme="minorEastAsia"/>
          <w:snapToGrid w:val="0"/>
          <w:kern w:val="0"/>
          <w:szCs w:val="21"/>
          <w:lang w:val="zh-CN"/>
        </w:rPr>
        <w:t xml:space="preserve">7、 </w:t>
      </w:r>
      <w:r>
        <w:rPr>
          <w:rFonts w:hint="eastAsia" w:asciiTheme="minorEastAsia" w:hAnsiTheme="minorEastAsia" w:eastAsiaTheme="minorEastAsia" w:cstheme="minorEastAsia"/>
          <w:snapToGrid w:val="0"/>
          <w:kern w:val="0"/>
          <w:szCs w:val="21"/>
          <w:lang w:val="zh-CN"/>
        </w:rPr>
        <w:t>竞争性磋商采购文件的修改</w:t>
      </w:r>
      <w:r>
        <w:tab/>
      </w:r>
      <w:r>
        <w:fldChar w:fldCharType="begin"/>
      </w:r>
      <w:r>
        <w:instrText xml:space="preserve"> PAGEREF _Toc5704 </w:instrText>
      </w:r>
      <w:r>
        <w:fldChar w:fldCharType="separate"/>
      </w:r>
      <w:r>
        <w:t>15</w:t>
      </w:r>
      <w:r>
        <w:fldChar w:fldCharType="end"/>
      </w:r>
      <w:r>
        <w:fldChar w:fldCharType="end"/>
      </w:r>
    </w:p>
    <w:p>
      <w:pPr>
        <w:pStyle w:val="22"/>
        <w:tabs>
          <w:tab w:val="right" w:leader="dot" w:pos="9072"/>
        </w:tabs>
      </w:pPr>
      <w:r>
        <w:fldChar w:fldCharType="begin"/>
      </w:r>
      <w:r>
        <w:instrText xml:space="preserve"> HYPERLINK \l "_Toc7112" </w:instrText>
      </w:r>
      <w:r>
        <w:fldChar w:fldCharType="separate"/>
      </w:r>
      <w:r>
        <w:rPr>
          <w:rFonts w:asciiTheme="minorEastAsia" w:hAnsiTheme="minorEastAsia" w:eastAsiaTheme="minorEastAsia" w:cstheme="minorEastAsia"/>
          <w:szCs w:val="21"/>
        </w:rPr>
        <w:t xml:space="preserve">三、 </w:t>
      </w:r>
      <w:r>
        <w:rPr>
          <w:rFonts w:hint="eastAsia" w:asciiTheme="minorEastAsia" w:hAnsiTheme="minorEastAsia" w:eastAsiaTheme="minorEastAsia" w:cstheme="minorEastAsia"/>
          <w:szCs w:val="21"/>
        </w:rPr>
        <w:t>竞争性磋商响应文件</w:t>
      </w:r>
      <w:r>
        <w:tab/>
      </w:r>
      <w:r>
        <w:fldChar w:fldCharType="begin"/>
      </w:r>
      <w:r>
        <w:instrText xml:space="preserve"> PAGEREF _Toc7112 </w:instrText>
      </w:r>
      <w:r>
        <w:fldChar w:fldCharType="separate"/>
      </w:r>
      <w:r>
        <w:t>15</w:t>
      </w:r>
      <w:r>
        <w:fldChar w:fldCharType="end"/>
      </w:r>
      <w:r>
        <w:fldChar w:fldCharType="end"/>
      </w:r>
    </w:p>
    <w:p>
      <w:pPr>
        <w:pStyle w:val="22"/>
        <w:tabs>
          <w:tab w:val="right" w:leader="dot" w:pos="9072"/>
        </w:tabs>
      </w:pPr>
      <w:r>
        <w:fldChar w:fldCharType="begin"/>
      </w:r>
      <w:r>
        <w:instrText xml:space="preserve"> HYPERLINK \l "_Toc7443" </w:instrText>
      </w:r>
      <w:r>
        <w:fldChar w:fldCharType="separate"/>
      </w:r>
      <w:r>
        <w:rPr>
          <w:rFonts w:asciiTheme="minorEastAsia" w:hAnsiTheme="minorEastAsia" w:eastAsiaTheme="minorEastAsia" w:cstheme="minorEastAsia"/>
          <w:snapToGrid w:val="0"/>
          <w:kern w:val="0"/>
          <w:szCs w:val="21"/>
          <w:lang w:val="zh-CN"/>
        </w:rPr>
        <w:t xml:space="preserve">8、 </w:t>
      </w:r>
      <w:r>
        <w:rPr>
          <w:rFonts w:hint="eastAsia" w:asciiTheme="minorEastAsia" w:hAnsiTheme="minorEastAsia" w:eastAsiaTheme="minorEastAsia" w:cstheme="minorEastAsia"/>
          <w:snapToGrid w:val="0"/>
          <w:kern w:val="0"/>
          <w:szCs w:val="21"/>
          <w:lang w:val="zh-CN"/>
        </w:rPr>
        <w:t>语言和计量单位</w:t>
      </w:r>
      <w:r>
        <w:tab/>
      </w:r>
      <w:r>
        <w:fldChar w:fldCharType="begin"/>
      </w:r>
      <w:r>
        <w:instrText xml:space="preserve"> PAGEREF _Toc7443 </w:instrText>
      </w:r>
      <w:r>
        <w:fldChar w:fldCharType="separate"/>
      </w:r>
      <w:r>
        <w:t>15</w:t>
      </w:r>
      <w:r>
        <w:fldChar w:fldCharType="end"/>
      </w:r>
      <w:r>
        <w:fldChar w:fldCharType="end"/>
      </w:r>
    </w:p>
    <w:p>
      <w:pPr>
        <w:pStyle w:val="22"/>
        <w:tabs>
          <w:tab w:val="right" w:leader="dot" w:pos="9072"/>
        </w:tabs>
      </w:pPr>
      <w:r>
        <w:fldChar w:fldCharType="begin"/>
      </w:r>
      <w:r>
        <w:instrText xml:space="preserve"> HYPERLINK \l "_Toc6398" </w:instrText>
      </w:r>
      <w:r>
        <w:fldChar w:fldCharType="separate"/>
      </w:r>
      <w:r>
        <w:rPr>
          <w:rFonts w:asciiTheme="minorEastAsia" w:hAnsiTheme="minorEastAsia" w:eastAsiaTheme="minorEastAsia" w:cstheme="minorEastAsia"/>
          <w:snapToGrid w:val="0"/>
          <w:kern w:val="0"/>
          <w:szCs w:val="21"/>
          <w:lang w:val="zh-CN"/>
        </w:rPr>
        <w:t xml:space="preserve">9、 </w:t>
      </w:r>
      <w:r>
        <w:rPr>
          <w:rFonts w:hint="eastAsia" w:asciiTheme="minorEastAsia" w:hAnsiTheme="minorEastAsia" w:eastAsiaTheme="minorEastAsia" w:cstheme="minorEastAsia"/>
          <w:snapToGrid w:val="0"/>
          <w:kern w:val="0"/>
          <w:szCs w:val="21"/>
          <w:lang w:val="zh-CN"/>
        </w:rPr>
        <w:t>竞争性磋商响应文件的构成</w:t>
      </w:r>
      <w:r>
        <w:tab/>
      </w:r>
      <w:r>
        <w:fldChar w:fldCharType="begin"/>
      </w:r>
      <w:r>
        <w:instrText xml:space="preserve"> PAGEREF _Toc6398 </w:instrText>
      </w:r>
      <w:r>
        <w:fldChar w:fldCharType="separate"/>
      </w:r>
      <w:r>
        <w:t>15</w:t>
      </w:r>
      <w:r>
        <w:fldChar w:fldCharType="end"/>
      </w:r>
      <w:r>
        <w:fldChar w:fldCharType="end"/>
      </w:r>
    </w:p>
    <w:p>
      <w:pPr>
        <w:pStyle w:val="22"/>
        <w:tabs>
          <w:tab w:val="right" w:leader="dot" w:pos="9072"/>
        </w:tabs>
      </w:pPr>
      <w:r>
        <w:fldChar w:fldCharType="begin"/>
      </w:r>
      <w:r>
        <w:instrText xml:space="preserve"> HYPERLINK \l "_Toc17989" </w:instrText>
      </w:r>
      <w:r>
        <w:fldChar w:fldCharType="separate"/>
      </w:r>
      <w:r>
        <w:rPr>
          <w:rFonts w:asciiTheme="minorEastAsia" w:hAnsiTheme="minorEastAsia" w:eastAsiaTheme="minorEastAsia" w:cstheme="minorEastAsia"/>
          <w:snapToGrid w:val="0"/>
          <w:kern w:val="0"/>
          <w:szCs w:val="21"/>
          <w:lang w:val="zh-CN"/>
        </w:rPr>
        <w:t xml:space="preserve">10、 </w:t>
      </w:r>
      <w:r>
        <w:rPr>
          <w:rFonts w:hint="eastAsia" w:asciiTheme="minorEastAsia" w:hAnsiTheme="minorEastAsia" w:eastAsiaTheme="minorEastAsia" w:cstheme="minorEastAsia"/>
          <w:snapToGrid w:val="0"/>
          <w:kern w:val="0"/>
          <w:szCs w:val="21"/>
          <w:lang w:val="zh-CN"/>
        </w:rPr>
        <w:t>竞争性磋商响应文件的编制</w:t>
      </w:r>
      <w:r>
        <w:tab/>
      </w:r>
      <w:r>
        <w:fldChar w:fldCharType="begin"/>
      </w:r>
      <w:r>
        <w:instrText xml:space="preserve"> PAGEREF _Toc17989 </w:instrText>
      </w:r>
      <w:r>
        <w:fldChar w:fldCharType="separate"/>
      </w:r>
      <w:r>
        <w:t>15</w:t>
      </w:r>
      <w:r>
        <w:fldChar w:fldCharType="end"/>
      </w:r>
      <w:r>
        <w:fldChar w:fldCharType="end"/>
      </w:r>
    </w:p>
    <w:p>
      <w:pPr>
        <w:pStyle w:val="22"/>
        <w:tabs>
          <w:tab w:val="right" w:leader="dot" w:pos="9072"/>
        </w:tabs>
      </w:pPr>
      <w:r>
        <w:fldChar w:fldCharType="begin"/>
      </w:r>
      <w:r>
        <w:instrText xml:space="preserve"> HYPERLINK \l "_Toc14856" </w:instrText>
      </w:r>
      <w:r>
        <w:fldChar w:fldCharType="separate"/>
      </w:r>
      <w:r>
        <w:rPr>
          <w:rFonts w:asciiTheme="minorEastAsia" w:hAnsiTheme="minorEastAsia" w:eastAsiaTheme="minorEastAsia" w:cstheme="minorEastAsia"/>
          <w:snapToGrid w:val="0"/>
          <w:kern w:val="0"/>
          <w:szCs w:val="21"/>
          <w:lang w:val="zh-CN"/>
        </w:rPr>
        <w:t xml:space="preserve">11、 </w:t>
      </w:r>
      <w:r>
        <w:rPr>
          <w:rFonts w:hint="eastAsia" w:asciiTheme="minorEastAsia" w:hAnsiTheme="minorEastAsia" w:eastAsiaTheme="minorEastAsia" w:cstheme="minorEastAsia"/>
          <w:snapToGrid w:val="0"/>
          <w:kern w:val="0"/>
          <w:szCs w:val="21"/>
          <w:lang w:val="zh-CN"/>
        </w:rPr>
        <w:t>磋商报价</w:t>
      </w:r>
      <w:r>
        <w:tab/>
      </w:r>
      <w:r>
        <w:fldChar w:fldCharType="begin"/>
      </w:r>
      <w:r>
        <w:instrText xml:space="preserve"> PAGEREF _Toc14856 </w:instrText>
      </w:r>
      <w:r>
        <w:fldChar w:fldCharType="separate"/>
      </w:r>
      <w:r>
        <w:t>16</w:t>
      </w:r>
      <w:r>
        <w:fldChar w:fldCharType="end"/>
      </w:r>
      <w:r>
        <w:fldChar w:fldCharType="end"/>
      </w:r>
    </w:p>
    <w:p>
      <w:pPr>
        <w:pStyle w:val="22"/>
        <w:tabs>
          <w:tab w:val="right" w:leader="dot" w:pos="9072"/>
        </w:tabs>
      </w:pPr>
      <w:r>
        <w:fldChar w:fldCharType="begin"/>
      </w:r>
      <w:r>
        <w:instrText xml:space="preserve"> HYPERLINK \l "_Toc4071" </w:instrText>
      </w:r>
      <w:r>
        <w:fldChar w:fldCharType="separate"/>
      </w:r>
      <w:r>
        <w:rPr>
          <w:rFonts w:asciiTheme="minorEastAsia" w:hAnsiTheme="minorEastAsia" w:eastAsiaTheme="minorEastAsia" w:cstheme="minorEastAsia"/>
          <w:snapToGrid w:val="0"/>
          <w:kern w:val="0"/>
          <w:szCs w:val="21"/>
          <w:lang w:val="zh-CN"/>
        </w:rPr>
        <w:t xml:space="preserve">12、 </w:t>
      </w:r>
      <w:r>
        <w:rPr>
          <w:rFonts w:hint="eastAsia" w:asciiTheme="minorEastAsia" w:hAnsiTheme="minorEastAsia" w:eastAsiaTheme="minorEastAsia" w:cstheme="minorEastAsia"/>
          <w:snapToGrid w:val="0"/>
          <w:kern w:val="0"/>
          <w:szCs w:val="21"/>
          <w:lang w:val="zh-CN"/>
        </w:rPr>
        <w:t>备选方案</w:t>
      </w:r>
      <w:r>
        <w:tab/>
      </w:r>
      <w:r>
        <w:fldChar w:fldCharType="begin"/>
      </w:r>
      <w:r>
        <w:instrText xml:space="preserve"> PAGEREF _Toc4071 </w:instrText>
      </w:r>
      <w:r>
        <w:fldChar w:fldCharType="separate"/>
      </w:r>
      <w:r>
        <w:t>16</w:t>
      </w:r>
      <w:r>
        <w:fldChar w:fldCharType="end"/>
      </w:r>
      <w:r>
        <w:fldChar w:fldCharType="end"/>
      </w:r>
    </w:p>
    <w:p>
      <w:pPr>
        <w:pStyle w:val="22"/>
        <w:tabs>
          <w:tab w:val="right" w:leader="dot" w:pos="9072"/>
        </w:tabs>
      </w:pPr>
      <w:r>
        <w:fldChar w:fldCharType="begin"/>
      </w:r>
      <w:r>
        <w:instrText xml:space="preserve"> HYPERLINK \l "_Toc20227" </w:instrText>
      </w:r>
      <w:r>
        <w:fldChar w:fldCharType="separate"/>
      </w:r>
      <w:r>
        <w:rPr>
          <w:rFonts w:asciiTheme="minorEastAsia" w:hAnsiTheme="minorEastAsia" w:eastAsiaTheme="minorEastAsia" w:cstheme="minorEastAsia"/>
          <w:snapToGrid w:val="0"/>
          <w:kern w:val="0"/>
          <w:szCs w:val="21"/>
          <w:lang w:val="zh-CN"/>
        </w:rPr>
        <w:t xml:space="preserve">13、 </w:t>
      </w:r>
      <w:r>
        <w:rPr>
          <w:rFonts w:hint="eastAsia" w:asciiTheme="minorEastAsia" w:hAnsiTheme="minorEastAsia" w:eastAsiaTheme="minorEastAsia" w:cstheme="minorEastAsia"/>
          <w:snapToGrid w:val="0"/>
          <w:kern w:val="0"/>
          <w:szCs w:val="21"/>
          <w:lang w:val="zh-CN"/>
        </w:rPr>
        <w:t>联合体</w:t>
      </w:r>
      <w:r>
        <w:tab/>
      </w:r>
      <w:r>
        <w:fldChar w:fldCharType="begin"/>
      </w:r>
      <w:r>
        <w:instrText xml:space="preserve"> PAGEREF _Toc20227 </w:instrText>
      </w:r>
      <w:r>
        <w:fldChar w:fldCharType="separate"/>
      </w:r>
      <w:r>
        <w:t>16</w:t>
      </w:r>
      <w:r>
        <w:fldChar w:fldCharType="end"/>
      </w:r>
      <w:r>
        <w:fldChar w:fldCharType="end"/>
      </w:r>
    </w:p>
    <w:p>
      <w:pPr>
        <w:pStyle w:val="22"/>
        <w:tabs>
          <w:tab w:val="right" w:leader="dot" w:pos="9072"/>
        </w:tabs>
      </w:pPr>
      <w:r>
        <w:fldChar w:fldCharType="begin"/>
      </w:r>
      <w:r>
        <w:instrText xml:space="preserve"> HYPERLINK \l "_Toc4849" </w:instrText>
      </w:r>
      <w:r>
        <w:fldChar w:fldCharType="separate"/>
      </w:r>
      <w:r>
        <w:rPr>
          <w:rFonts w:asciiTheme="minorEastAsia" w:hAnsiTheme="minorEastAsia" w:eastAsiaTheme="minorEastAsia" w:cstheme="minorEastAsia"/>
          <w:snapToGrid w:val="0"/>
          <w:kern w:val="0"/>
          <w:szCs w:val="21"/>
          <w:lang w:val="zh-CN"/>
        </w:rPr>
        <w:t xml:space="preserve">14、 </w:t>
      </w:r>
      <w:r>
        <w:rPr>
          <w:rFonts w:hint="eastAsia" w:asciiTheme="minorEastAsia" w:hAnsiTheme="minorEastAsia" w:eastAsiaTheme="minorEastAsia" w:cstheme="minorEastAsia"/>
          <w:snapToGrid w:val="0"/>
          <w:kern w:val="0"/>
          <w:szCs w:val="21"/>
          <w:lang w:val="zh-CN"/>
        </w:rPr>
        <w:t>供应商资格证明文件</w:t>
      </w:r>
      <w:r>
        <w:tab/>
      </w:r>
      <w:r>
        <w:fldChar w:fldCharType="begin"/>
      </w:r>
      <w:r>
        <w:instrText xml:space="preserve"> PAGEREF _Toc4849 </w:instrText>
      </w:r>
      <w:r>
        <w:fldChar w:fldCharType="separate"/>
      </w:r>
      <w:r>
        <w:t>16</w:t>
      </w:r>
      <w:r>
        <w:fldChar w:fldCharType="end"/>
      </w:r>
      <w:r>
        <w:fldChar w:fldCharType="end"/>
      </w:r>
    </w:p>
    <w:p>
      <w:pPr>
        <w:pStyle w:val="22"/>
        <w:tabs>
          <w:tab w:val="right" w:leader="dot" w:pos="9072"/>
        </w:tabs>
      </w:pPr>
      <w:r>
        <w:fldChar w:fldCharType="begin"/>
      </w:r>
      <w:r>
        <w:instrText xml:space="preserve"> HYPERLINK \l "_Toc14612" </w:instrText>
      </w:r>
      <w:r>
        <w:fldChar w:fldCharType="separate"/>
      </w:r>
      <w:r>
        <w:rPr>
          <w:rFonts w:asciiTheme="minorEastAsia" w:hAnsiTheme="minorEastAsia" w:eastAsiaTheme="minorEastAsia" w:cstheme="minorEastAsia"/>
          <w:snapToGrid w:val="0"/>
          <w:kern w:val="0"/>
          <w:szCs w:val="21"/>
          <w:lang w:val="zh-CN"/>
        </w:rPr>
        <w:t xml:space="preserve">15、 </w:t>
      </w:r>
      <w:r>
        <w:rPr>
          <w:rFonts w:hint="eastAsia" w:asciiTheme="minorEastAsia" w:hAnsiTheme="minorEastAsia" w:eastAsiaTheme="minorEastAsia" w:cstheme="minorEastAsia"/>
          <w:snapToGrid w:val="0"/>
          <w:kern w:val="0"/>
          <w:szCs w:val="21"/>
          <w:lang w:val="zh-CN"/>
        </w:rPr>
        <w:t>证明报价内容、服务合格性和符合竞争性磋商采购文件规定的文件</w:t>
      </w:r>
      <w:r>
        <w:tab/>
      </w:r>
      <w:r>
        <w:fldChar w:fldCharType="begin"/>
      </w:r>
      <w:r>
        <w:instrText xml:space="preserve"> PAGEREF _Toc14612 </w:instrText>
      </w:r>
      <w:r>
        <w:fldChar w:fldCharType="separate"/>
      </w:r>
      <w:r>
        <w:t>17</w:t>
      </w:r>
      <w:r>
        <w:fldChar w:fldCharType="end"/>
      </w:r>
      <w:r>
        <w:fldChar w:fldCharType="end"/>
      </w:r>
    </w:p>
    <w:p>
      <w:pPr>
        <w:pStyle w:val="22"/>
        <w:tabs>
          <w:tab w:val="right" w:leader="dot" w:pos="9072"/>
        </w:tabs>
      </w:pPr>
      <w:r>
        <w:fldChar w:fldCharType="begin"/>
      </w:r>
      <w:r>
        <w:instrText xml:space="preserve"> HYPERLINK \l "_Toc20441" </w:instrText>
      </w:r>
      <w:r>
        <w:fldChar w:fldCharType="separate"/>
      </w:r>
      <w:r>
        <w:rPr>
          <w:rFonts w:asciiTheme="minorEastAsia" w:hAnsiTheme="minorEastAsia" w:eastAsiaTheme="minorEastAsia" w:cstheme="minorEastAsia"/>
          <w:snapToGrid w:val="0"/>
          <w:kern w:val="0"/>
          <w:szCs w:val="21"/>
          <w:lang w:val="zh-CN"/>
        </w:rPr>
        <w:t xml:space="preserve">16、 </w:t>
      </w:r>
      <w:r>
        <w:rPr>
          <w:rFonts w:hint="eastAsia" w:asciiTheme="minorEastAsia" w:hAnsiTheme="minorEastAsia" w:eastAsiaTheme="minorEastAsia" w:cstheme="minorEastAsia"/>
          <w:snapToGrid w:val="0"/>
          <w:kern w:val="0"/>
          <w:szCs w:val="21"/>
          <w:lang w:val="zh-CN"/>
        </w:rPr>
        <w:t>磋商保证金</w:t>
      </w:r>
      <w:r>
        <w:tab/>
      </w:r>
      <w:r>
        <w:fldChar w:fldCharType="begin"/>
      </w:r>
      <w:r>
        <w:instrText xml:space="preserve"> PAGEREF _Toc20441 </w:instrText>
      </w:r>
      <w:r>
        <w:fldChar w:fldCharType="separate"/>
      </w:r>
      <w:r>
        <w:t>17</w:t>
      </w:r>
      <w:r>
        <w:fldChar w:fldCharType="end"/>
      </w:r>
      <w:r>
        <w:fldChar w:fldCharType="end"/>
      </w:r>
    </w:p>
    <w:p>
      <w:pPr>
        <w:pStyle w:val="22"/>
        <w:tabs>
          <w:tab w:val="right" w:leader="dot" w:pos="9072"/>
        </w:tabs>
      </w:pPr>
      <w:r>
        <w:fldChar w:fldCharType="begin"/>
      </w:r>
      <w:r>
        <w:instrText xml:space="preserve"> HYPERLINK \l "_Toc4910" </w:instrText>
      </w:r>
      <w:r>
        <w:fldChar w:fldCharType="separate"/>
      </w:r>
      <w:r>
        <w:rPr>
          <w:rFonts w:asciiTheme="minorEastAsia" w:hAnsiTheme="minorEastAsia" w:eastAsiaTheme="minorEastAsia" w:cstheme="minorEastAsia"/>
          <w:snapToGrid w:val="0"/>
          <w:kern w:val="0"/>
          <w:szCs w:val="21"/>
          <w:lang w:val="zh-CN"/>
        </w:rPr>
        <w:t xml:space="preserve">17、 </w:t>
      </w:r>
      <w:r>
        <w:rPr>
          <w:rFonts w:hint="eastAsia" w:asciiTheme="minorEastAsia" w:hAnsiTheme="minorEastAsia" w:eastAsiaTheme="minorEastAsia" w:cstheme="minorEastAsia"/>
          <w:snapToGrid w:val="0"/>
          <w:kern w:val="0"/>
          <w:szCs w:val="21"/>
          <w:lang w:val="zh-CN"/>
        </w:rPr>
        <w:t>磋商有效期</w:t>
      </w:r>
      <w:r>
        <w:tab/>
      </w:r>
      <w:r>
        <w:fldChar w:fldCharType="begin"/>
      </w:r>
      <w:r>
        <w:instrText xml:space="preserve"> PAGEREF _Toc4910 </w:instrText>
      </w:r>
      <w:r>
        <w:fldChar w:fldCharType="separate"/>
      </w:r>
      <w:r>
        <w:t>17</w:t>
      </w:r>
      <w:r>
        <w:fldChar w:fldCharType="end"/>
      </w:r>
      <w:r>
        <w:fldChar w:fldCharType="end"/>
      </w:r>
    </w:p>
    <w:p>
      <w:pPr>
        <w:pStyle w:val="22"/>
        <w:tabs>
          <w:tab w:val="right" w:leader="dot" w:pos="9072"/>
        </w:tabs>
      </w:pPr>
      <w:r>
        <w:fldChar w:fldCharType="begin"/>
      </w:r>
      <w:r>
        <w:instrText xml:space="preserve"> HYPERLINK \l "_Toc2229" </w:instrText>
      </w:r>
      <w:r>
        <w:fldChar w:fldCharType="separate"/>
      </w:r>
      <w:r>
        <w:rPr>
          <w:rFonts w:asciiTheme="minorEastAsia" w:hAnsiTheme="minorEastAsia" w:eastAsiaTheme="minorEastAsia" w:cstheme="minorEastAsia"/>
          <w:snapToGrid w:val="0"/>
          <w:kern w:val="0"/>
          <w:szCs w:val="21"/>
          <w:lang w:val="zh-CN"/>
        </w:rPr>
        <w:t xml:space="preserve">18、 </w:t>
      </w:r>
      <w:r>
        <w:rPr>
          <w:rFonts w:hint="eastAsia" w:asciiTheme="minorEastAsia" w:hAnsiTheme="minorEastAsia" w:eastAsiaTheme="minorEastAsia" w:cstheme="minorEastAsia"/>
          <w:snapToGrid w:val="0"/>
          <w:kern w:val="0"/>
          <w:szCs w:val="21"/>
          <w:lang w:val="zh-CN"/>
        </w:rPr>
        <w:t>竞争性磋商响应文件的装订、签署和数量</w:t>
      </w:r>
      <w:r>
        <w:tab/>
      </w:r>
      <w:r>
        <w:fldChar w:fldCharType="begin"/>
      </w:r>
      <w:r>
        <w:instrText xml:space="preserve"> PAGEREF _Toc2229 </w:instrText>
      </w:r>
      <w:r>
        <w:fldChar w:fldCharType="separate"/>
      </w:r>
      <w:r>
        <w:t>18</w:t>
      </w:r>
      <w:r>
        <w:fldChar w:fldCharType="end"/>
      </w:r>
      <w:r>
        <w:fldChar w:fldCharType="end"/>
      </w:r>
    </w:p>
    <w:p>
      <w:pPr>
        <w:pStyle w:val="22"/>
        <w:tabs>
          <w:tab w:val="right" w:leader="dot" w:pos="9072"/>
        </w:tabs>
      </w:pPr>
      <w:r>
        <w:fldChar w:fldCharType="begin"/>
      </w:r>
      <w:r>
        <w:instrText xml:space="preserve"> HYPERLINK \l "_Toc9786" </w:instrText>
      </w:r>
      <w:r>
        <w:fldChar w:fldCharType="separate"/>
      </w:r>
      <w:r>
        <w:rPr>
          <w:rFonts w:asciiTheme="minorEastAsia" w:hAnsiTheme="minorEastAsia" w:eastAsiaTheme="minorEastAsia" w:cstheme="minorEastAsia"/>
          <w:szCs w:val="21"/>
        </w:rPr>
        <w:t xml:space="preserve">四、 </w:t>
      </w:r>
      <w:r>
        <w:rPr>
          <w:rFonts w:hint="eastAsia" w:asciiTheme="minorEastAsia" w:hAnsiTheme="minorEastAsia" w:eastAsiaTheme="minorEastAsia" w:cstheme="minorEastAsia"/>
          <w:szCs w:val="21"/>
        </w:rPr>
        <w:t>竞争性磋商响应文件的递交</w:t>
      </w:r>
      <w:r>
        <w:tab/>
      </w:r>
      <w:r>
        <w:fldChar w:fldCharType="begin"/>
      </w:r>
      <w:r>
        <w:instrText xml:space="preserve"> PAGEREF _Toc9786 </w:instrText>
      </w:r>
      <w:r>
        <w:fldChar w:fldCharType="separate"/>
      </w:r>
      <w:r>
        <w:t>18</w:t>
      </w:r>
      <w:r>
        <w:fldChar w:fldCharType="end"/>
      </w:r>
      <w:r>
        <w:fldChar w:fldCharType="end"/>
      </w:r>
    </w:p>
    <w:p>
      <w:pPr>
        <w:pStyle w:val="22"/>
        <w:tabs>
          <w:tab w:val="right" w:leader="dot" w:pos="9072"/>
        </w:tabs>
      </w:pPr>
      <w:r>
        <w:fldChar w:fldCharType="begin"/>
      </w:r>
      <w:r>
        <w:instrText xml:space="preserve"> HYPERLINK \l "_Toc23886" </w:instrText>
      </w:r>
      <w:r>
        <w:fldChar w:fldCharType="separate"/>
      </w:r>
      <w:r>
        <w:rPr>
          <w:rFonts w:asciiTheme="minorEastAsia" w:hAnsiTheme="minorEastAsia" w:eastAsiaTheme="minorEastAsia" w:cstheme="minorEastAsia"/>
          <w:snapToGrid w:val="0"/>
          <w:kern w:val="0"/>
          <w:szCs w:val="21"/>
          <w:lang w:val="zh-CN"/>
        </w:rPr>
        <w:t xml:space="preserve">19、 </w:t>
      </w:r>
      <w:r>
        <w:rPr>
          <w:rFonts w:hint="eastAsia" w:asciiTheme="minorEastAsia" w:hAnsiTheme="minorEastAsia" w:eastAsiaTheme="minorEastAsia" w:cstheme="minorEastAsia"/>
          <w:szCs w:val="21"/>
        </w:rPr>
        <w:t>竞争性磋商响应文件</w:t>
      </w:r>
      <w:r>
        <w:rPr>
          <w:rFonts w:hint="eastAsia" w:asciiTheme="minorEastAsia" w:hAnsiTheme="minorEastAsia" w:eastAsiaTheme="minorEastAsia" w:cstheme="minorEastAsia"/>
          <w:snapToGrid w:val="0"/>
          <w:kern w:val="0"/>
          <w:szCs w:val="21"/>
          <w:lang w:val="zh-CN"/>
        </w:rPr>
        <w:t>的密封和标记</w:t>
      </w:r>
      <w:r>
        <w:tab/>
      </w:r>
      <w:r>
        <w:fldChar w:fldCharType="begin"/>
      </w:r>
      <w:r>
        <w:instrText xml:space="preserve"> PAGEREF _Toc23886 </w:instrText>
      </w:r>
      <w:r>
        <w:fldChar w:fldCharType="separate"/>
      </w:r>
      <w:r>
        <w:t>18</w:t>
      </w:r>
      <w:r>
        <w:fldChar w:fldCharType="end"/>
      </w:r>
      <w:r>
        <w:fldChar w:fldCharType="end"/>
      </w:r>
    </w:p>
    <w:p>
      <w:pPr>
        <w:pStyle w:val="22"/>
        <w:tabs>
          <w:tab w:val="right" w:leader="dot" w:pos="9072"/>
        </w:tabs>
      </w:pPr>
      <w:r>
        <w:fldChar w:fldCharType="begin"/>
      </w:r>
      <w:r>
        <w:instrText xml:space="preserve"> HYPERLINK \l "_Toc11099" </w:instrText>
      </w:r>
      <w:r>
        <w:fldChar w:fldCharType="separate"/>
      </w:r>
      <w:r>
        <w:rPr>
          <w:rFonts w:asciiTheme="minorEastAsia" w:hAnsiTheme="minorEastAsia" w:eastAsiaTheme="minorEastAsia" w:cstheme="minorEastAsia"/>
          <w:snapToGrid w:val="0"/>
          <w:kern w:val="0"/>
          <w:szCs w:val="21"/>
          <w:lang w:val="zh-CN"/>
        </w:rPr>
        <w:t xml:space="preserve">20、 </w:t>
      </w:r>
      <w:r>
        <w:rPr>
          <w:rFonts w:hint="eastAsia" w:asciiTheme="minorEastAsia" w:hAnsiTheme="minorEastAsia" w:eastAsiaTheme="minorEastAsia" w:cstheme="minorEastAsia"/>
          <w:snapToGrid w:val="0"/>
          <w:kern w:val="0"/>
          <w:szCs w:val="21"/>
          <w:lang w:val="zh-CN"/>
        </w:rPr>
        <w:t>竞争性磋商响应文件的送达地点及截止时间</w:t>
      </w:r>
      <w:r>
        <w:tab/>
      </w:r>
      <w:r>
        <w:fldChar w:fldCharType="begin"/>
      </w:r>
      <w:r>
        <w:instrText xml:space="preserve"> PAGEREF _Toc11099 </w:instrText>
      </w:r>
      <w:r>
        <w:fldChar w:fldCharType="separate"/>
      </w:r>
      <w:r>
        <w:t>19</w:t>
      </w:r>
      <w:r>
        <w:fldChar w:fldCharType="end"/>
      </w:r>
      <w:r>
        <w:fldChar w:fldCharType="end"/>
      </w:r>
    </w:p>
    <w:p>
      <w:pPr>
        <w:pStyle w:val="22"/>
        <w:tabs>
          <w:tab w:val="right" w:leader="dot" w:pos="9072"/>
        </w:tabs>
      </w:pPr>
      <w:r>
        <w:fldChar w:fldCharType="begin"/>
      </w:r>
      <w:r>
        <w:instrText xml:space="preserve"> HYPERLINK \l "_Toc16589" </w:instrText>
      </w:r>
      <w:r>
        <w:fldChar w:fldCharType="separate"/>
      </w:r>
      <w:r>
        <w:rPr>
          <w:rFonts w:asciiTheme="minorEastAsia" w:hAnsiTheme="minorEastAsia" w:eastAsiaTheme="minorEastAsia" w:cstheme="minorEastAsia"/>
          <w:snapToGrid w:val="0"/>
          <w:kern w:val="0"/>
          <w:szCs w:val="21"/>
          <w:lang w:val="zh-CN"/>
        </w:rPr>
        <w:t xml:space="preserve">21、 </w:t>
      </w:r>
      <w:r>
        <w:rPr>
          <w:rFonts w:hint="eastAsia" w:asciiTheme="minorEastAsia" w:hAnsiTheme="minorEastAsia" w:eastAsiaTheme="minorEastAsia" w:cstheme="minorEastAsia"/>
          <w:snapToGrid w:val="0"/>
          <w:kern w:val="0"/>
          <w:szCs w:val="21"/>
          <w:lang w:val="zh-CN"/>
        </w:rPr>
        <w:t>迟交的竞争性磋商响应文件</w:t>
      </w:r>
      <w:r>
        <w:tab/>
      </w:r>
      <w:r>
        <w:fldChar w:fldCharType="begin"/>
      </w:r>
      <w:r>
        <w:instrText xml:space="preserve"> PAGEREF _Toc16589 </w:instrText>
      </w:r>
      <w:r>
        <w:fldChar w:fldCharType="separate"/>
      </w:r>
      <w:r>
        <w:t>19</w:t>
      </w:r>
      <w:r>
        <w:fldChar w:fldCharType="end"/>
      </w:r>
      <w:r>
        <w:fldChar w:fldCharType="end"/>
      </w:r>
    </w:p>
    <w:p>
      <w:pPr>
        <w:pStyle w:val="22"/>
        <w:tabs>
          <w:tab w:val="right" w:leader="dot" w:pos="9072"/>
        </w:tabs>
      </w:pPr>
      <w:r>
        <w:fldChar w:fldCharType="begin"/>
      </w:r>
      <w:r>
        <w:instrText xml:space="preserve"> HYPERLINK \l "_Toc13658" </w:instrText>
      </w:r>
      <w:r>
        <w:fldChar w:fldCharType="separate"/>
      </w:r>
      <w:r>
        <w:rPr>
          <w:rFonts w:asciiTheme="minorEastAsia" w:hAnsiTheme="minorEastAsia" w:eastAsiaTheme="minorEastAsia" w:cstheme="minorEastAsia"/>
          <w:snapToGrid w:val="0"/>
          <w:kern w:val="0"/>
          <w:szCs w:val="21"/>
          <w:lang w:val="zh-CN"/>
        </w:rPr>
        <w:t xml:space="preserve">22、 </w:t>
      </w:r>
      <w:r>
        <w:rPr>
          <w:rFonts w:hint="eastAsia" w:asciiTheme="minorEastAsia" w:hAnsiTheme="minorEastAsia" w:eastAsiaTheme="minorEastAsia" w:cstheme="minorEastAsia"/>
          <w:snapToGrid w:val="0"/>
          <w:kern w:val="0"/>
          <w:szCs w:val="21"/>
          <w:lang w:val="zh-CN"/>
        </w:rPr>
        <w:t>竞争性磋商响应文件的补充、修改或者撤回</w:t>
      </w:r>
      <w:r>
        <w:tab/>
      </w:r>
      <w:r>
        <w:fldChar w:fldCharType="begin"/>
      </w:r>
      <w:r>
        <w:instrText xml:space="preserve"> PAGEREF _Toc13658 </w:instrText>
      </w:r>
      <w:r>
        <w:fldChar w:fldCharType="separate"/>
      </w:r>
      <w:r>
        <w:t>19</w:t>
      </w:r>
      <w:r>
        <w:fldChar w:fldCharType="end"/>
      </w:r>
      <w:r>
        <w:fldChar w:fldCharType="end"/>
      </w:r>
    </w:p>
    <w:p>
      <w:pPr>
        <w:pStyle w:val="22"/>
        <w:tabs>
          <w:tab w:val="right" w:leader="dot" w:pos="9072"/>
        </w:tabs>
      </w:pPr>
      <w:r>
        <w:fldChar w:fldCharType="begin"/>
      </w:r>
      <w:r>
        <w:instrText xml:space="preserve"> HYPERLINK \l "_Toc24054" </w:instrText>
      </w:r>
      <w:r>
        <w:fldChar w:fldCharType="separate"/>
      </w:r>
      <w:r>
        <w:rPr>
          <w:rFonts w:asciiTheme="minorEastAsia" w:hAnsiTheme="minorEastAsia" w:eastAsiaTheme="minorEastAsia" w:cstheme="minorEastAsia"/>
          <w:szCs w:val="21"/>
        </w:rPr>
        <w:t xml:space="preserve">五、 </w:t>
      </w:r>
      <w:r>
        <w:rPr>
          <w:rFonts w:hint="eastAsia" w:asciiTheme="minorEastAsia" w:hAnsiTheme="minorEastAsia" w:eastAsiaTheme="minorEastAsia" w:cstheme="minorEastAsia"/>
          <w:szCs w:val="21"/>
        </w:rPr>
        <w:t>磋商程序及步骤</w:t>
      </w:r>
      <w:r>
        <w:tab/>
      </w:r>
      <w:r>
        <w:fldChar w:fldCharType="begin"/>
      </w:r>
      <w:r>
        <w:instrText xml:space="preserve"> PAGEREF _Toc24054 </w:instrText>
      </w:r>
      <w:r>
        <w:fldChar w:fldCharType="separate"/>
      </w:r>
      <w:r>
        <w:t>19</w:t>
      </w:r>
      <w:r>
        <w:fldChar w:fldCharType="end"/>
      </w:r>
      <w:r>
        <w:fldChar w:fldCharType="end"/>
      </w:r>
    </w:p>
    <w:p>
      <w:pPr>
        <w:pStyle w:val="22"/>
        <w:tabs>
          <w:tab w:val="right" w:leader="dot" w:pos="9072"/>
        </w:tabs>
      </w:pPr>
      <w:r>
        <w:fldChar w:fldCharType="begin"/>
      </w:r>
      <w:r>
        <w:instrText xml:space="preserve"> HYPERLINK \l "_Toc8841" </w:instrText>
      </w:r>
      <w:r>
        <w:fldChar w:fldCharType="separate"/>
      </w:r>
      <w:r>
        <w:rPr>
          <w:rFonts w:asciiTheme="minorEastAsia" w:hAnsiTheme="minorEastAsia" w:eastAsiaTheme="minorEastAsia" w:cstheme="minorEastAsia"/>
          <w:snapToGrid w:val="0"/>
          <w:kern w:val="0"/>
          <w:szCs w:val="21"/>
          <w:lang w:val="zh-CN"/>
        </w:rPr>
        <w:t xml:space="preserve">23、 </w:t>
      </w:r>
      <w:r>
        <w:rPr>
          <w:rFonts w:hint="eastAsia" w:asciiTheme="minorEastAsia" w:hAnsiTheme="minorEastAsia" w:eastAsiaTheme="minorEastAsia" w:cstheme="minorEastAsia"/>
        </w:rPr>
        <w:t>竞争性磋商小组</w:t>
      </w:r>
      <w:r>
        <w:tab/>
      </w:r>
      <w:r>
        <w:fldChar w:fldCharType="begin"/>
      </w:r>
      <w:r>
        <w:instrText xml:space="preserve"> PAGEREF _Toc8841 </w:instrText>
      </w:r>
      <w:r>
        <w:fldChar w:fldCharType="separate"/>
      </w:r>
      <w:r>
        <w:t>19</w:t>
      </w:r>
      <w:r>
        <w:fldChar w:fldCharType="end"/>
      </w:r>
      <w:r>
        <w:fldChar w:fldCharType="end"/>
      </w:r>
    </w:p>
    <w:p>
      <w:pPr>
        <w:pStyle w:val="22"/>
        <w:tabs>
          <w:tab w:val="right" w:leader="dot" w:pos="9072"/>
        </w:tabs>
      </w:pPr>
      <w:r>
        <w:fldChar w:fldCharType="begin"/>
      </w:r>
      <w:r>
        <w:instrText xml:space="preserve"> HYPERLINK \l "_Toc26119" </w:instrText>
      </w:r>
      <w:r>
        <w:fldChar w:fldCharType="separate"/>
      </w:r>
      <w:r>
        <w:rPr>
          <w:rFonts w:asciiTheme="minorEastAsia" w:hAnsiTheme="minorEastAsia" w:eastAsiaTheme="minorEastAsia" w:cstheme="minorEastAsia"/>
          <w:snapToGrid w:val="0"/>
          <w:kern w:val="0"/>
          <w:szCs w:val="21"/>
          <w:lang w:val="zh-CN"/>
        </w:rPr>
        <w:t xml:space="preserve">24、 </w:t>
      </w:r>
      <w:r>
        <w:rPr>
          <w:rFonts w:hint="eastAsia" w:asciiTheme="minorEastAsia" w:hAnsiTheme="minorEastAsia" w:eastAsiaTheme="minorEastAsia" w:cstheme="minorEastAsia"/>
        </w:rPr>
        <w:t>磋商代表</w:t>
      </w:r>
      <w:r>
        <w:tab/>
      </w:r>
      <w:r>
        <w:fldChar w:fldCharType="begin"/>
      </w:r>
      <w:r>
        <w:instrText xml:space="preserve"> PAGEREF _Toc26119 </w:instrText>
      </w:r>
      <w:r>
        <w:fldChar w:fldCharType="separate"/>
      </w:r>
      <w:r>
        <w:t>19</w:t>
      </w:r>
      <w:r>
        <w:fldChar w:fldCharType="end"/>
      </w:r>
      <w:r>
        <w:fldChar w:fldCharType="end"/>
      </w:r>
    </w:p>
    <w:p>
      <w:pPr>
        <w:pStyle w:val="22"/>
        <w:tabs>
          <w:tab w:val="right" w:leader="dot" w:pos="9072"/>
        </w:tabs>
      </w:pPr>
      <w:r>
        <w:fldChar w:fldCharType="begin"/>
      </w:r>
      <w:r>
        <w:instrText xml:space="preserve"> HYPERLINK \l "_Toc17050" </w:instrText>
      </w:r>
      <w:r>
        <w:fldChar w:fldCharType="separate"/>
      </w:r>
      <w:r>
        <w:rPr>
          <w:rFonts w:asciiTheme="minorEastAsia" w:hAnsiTheme="minorEastAsia" w:eastAsiaTheme="minorEastAsia" w:cstheme="minorEastAsia"/>
        </w:rPr>
        <w:t xml:space="preserve">25、 </w:t>
      </w:r>
      <w:r>
        <w:rPr>
          <w:rFonts w:hint="eastAsia" w:asciiTheme="minorEastAsia" w:hAnsiTheme="minorEastAsia" w:eastAsiaTheme="minorEastAsia" w:cstheme="minorEastAsia"/>
        </w:rPr>
        <w:t>资格审查和符合性审查</w:t>
      </w:r>
      <w:r>
        <w:tab/>
      </w:r>
      <w:r>
        <w:fldChar w:fldCharType="begin"/>
      </w:r>
      <w:r>
        <w:instrText xml:space="preserve"> PAGEREF _Toc17050 </w:instrText>
      </w:r>
      <w:r>
        <w:fldChar w:fldCharType="separate"/>
      </w:r>
      <w:r>
        <w:t>20</w:t>
      </w:r>
      <w:r>
        <w:fldChar w:fldCharType="end"/>
      </w:r>
      <w:r>
        <w:fldChar w:fldCharType="end"/>
      </w:r>
    </w:p>
    <w:p>
      <w:pPr>
        <w:pStyle w:val="22"/>
        <w:tabs>
          <w:tab w:val="right" w:leader="dot" w:pos="9072"/>
        </w:tabs>
      </w:pPr>
      <w:r>
        <w:fldChar w:fldCharType="begin"/>
      </w:r>
      <w:r>
        <w:instrText xml:space="preserve"> HYPERLINK \l "_Toc26543" </w:instrText>
      </w:r>
      <w:r>
        <w:fldChar w:fldCharType="separate"/>
      </w:r>
      <w:r>
        <w:rPr>
          <w:rFonts w:asciiTheme="minorEastAsia" w:hAnsiTheme="minorEastAsia" w:eastAsiaTheme="minorEastAsia" w:cstheme="minorEastAsia"/>
        </w:rPr>
        <w:t xml:space="preserve">26、 </w:t>
      </w:r>
      <w:r>
        <w:rPr>
          <w:rFonts w:hint="eastAsia" w:asciiTheme="minorEastAsia" w:hAnsiTheme="minorEastAsia" w:eastAsiaTheme="minorEastAsia" w:cstheme="minorEastAsia"/>
        </w:rPr>
        <w:t>磋商</w:t>
      </w:r>
      <w:r>
        <w:tab/>
      </w:r>
      <w:r>
        <w:fldChar w:fldCharType="begin"/>
      </w:r>
      <w:r>
        <w:instrText xml:space="preserve"> PAGEREF _Toc26543 </w:instrText>
      </w:r>
      <w:r>
        <w:fldChar w:fldCharType="separate"/>
      </w:r>
      <w:r>
        <w:t>20</w:t>
      </w:r>
      <w:r>
        <w:fldChar w:fldCharType="end"/>
      </w:r>
      <w:r>
        <w:fldChar w:fldCharType="end"/>
      </w:r>
    </w:p>
    <w:p>
      <w:pPr>
        <w:pStyle w:val="22"/>
        <w:tabs>
          <w:tab w:val="right" w:leader="dot" w:pos="9072"/>
        </w:tabs>
      </w:pPr>
      <w:r>
        <w:fldChar w:fldCharType="begin"/>
      </w:r>
      <w:r>
        <w:instrText xml:space="preserve"> HYPERLINK \l "_Toc30772" </w:instrText>
      </w:r>
      <w:r>
        <w:fldChar w:fldCharType="separate"/>
      </w:r>
      <w:r>
        <w:rPr>
          <w:rFonts w:asciiTheme="minorEastAsia" w:hAnsiTheme="minorEastAsia" w:eastAsiaTheme="minorEastAsia" w:cstheme="minorEastAsia"/>
          <w:lang w:val="zh-CN"/>
        </w:rPr>
        <w:t xml:space="preserve">27、 </w:t>
      </w:r>
      <w:r>
        <w:rPr>
          <w:rFonts w:hint="eastAsia" w:asciiTheme="minorEastAsia" w:hAnsiTheme="minorEastAsia" w:eastAsiaTheme="minorEastAsia" w:cstheme="minorEastAsia"/>
          <w:lang w:val="zh-CN"/>
        </w:rPr>
        <w:t>保密</w:t>
      </w:r>
      <w:r>
        <w:tab/>
      </w:r>
      <w:r>
        <w:fldChar w:fldCharType="begin"/>
      </w:r>
      <w:r>
        <w:instrText xml:space="preserve"> PAGEREF _Toc30772 </w:instrText>
      </w:r>
      <w:r>
        <w:fldChar w:fldCharType="separate"/>
      </w:r>
      <w:r>
        <w:t>21</w:t>
      </w:r>
      <w:r>
        <w:fldChar w:fldCharType="end"/>
      </w:r>
      <w:r>
        <w:fldChar w:fldCharType="end"/>
      </w:r>
    </w:p>
    <w:p>
      <w:pPr>
        <w:pStyle w:val="22"/>
        <w:tabs>
          <w:tab w:val="right" w:leader="dot" w:pos="9072"/>
        </w:tabs>
      </w:pPr>
      <w:r>
        <w:fldChar w:fldCharType="begin"/>
      </w:r>
      <w:r>
        <w:instrText xml:space="preserve"> HYPERLINK \l "_Toc30407" </w:instrText>
      </w:r>
      <w:r>
        <w:fldChar w:fldCharType="separate"/>
      </w:r>
      <w:r>
        <w:rPr>
          <w:rFonts w:asciiTheme="minorEastAsia" w:hAnsiTheme="minorEastAsia" w:eastAsiaTheme="minorEastAsia" w:cstheme="minorEastAsia"/>
          <w:szCs w:val="21"/>
        </w:rPr>
        <w:t xml:space="preserve">六、 </w:t>
      </w:r>
      <w:r>
        <w:rPr>
          <w:rFonts w:hint="eastAsia" w:asciiTheme="minorEastAsia" w:hAnsiTheme="minorEastAsia" w:eastAsiaTheme="minorEastAsia" w:cstheme="minorEastAsia"/>
          <w:szCs w:val="21"/>
        </w:rPr>
        <w:t>成交与签订合同</w:t>
      </w:r>
      <w:r>
        <w:tab/>
      </w:r>
      <w:r>
        <w:fldChar w:fldCharType="begin"/>
      </w:r>
      <w:r>
        <w:instrText xml:space="preserve"> PAGEREF _Toc30407 </w:instrText>
      </w:r>
      <w:r>
        <w:fldChar w:fldCharType="separate"/>
      </w:r>
      <w:r>
        <w:t>21</w:t>
      </w:r>
      <w:r>
        <w:fldChar w:fldCharType="end"/>
      </w:r>
      <w:r>
        <w:fldChar w:fldCharType="end"/>
      </w:r>
    </w:p>
    <w:p>
      <w:pPr>
        <w:pStyle w:val="22"/>
        <w:tabs>
          <w:tab w:val="right" w:leader="dot" w:pos="9072"/>
        </w:tabs>
      </w:pPr>
      <w:r>
        <w:fldChar w:fldCharType="begin"/>
      </w:r>
      <w:r>
        <w:instrText xml:space="preserve"> HYPERLINK \l "_Toc7258" </w:instrText>
      </w:r>
      <w:r>
        <w:fldChar w:fldCharType="separate"/>
      </w:r>
      <w:r>
        <w:rPr>
          <w:rFonts w:asciiTheme="minorEastAsia" w:hAnsiTheme="minorEastAsia" w:eastAsiaTheme="minorEastAsia" w:cstheme="minorEastAsia"/>
          <w:lang w:val="zh-CN"/>
        </w:rPr>
        <w:t xml:space="preserve">28、 </w:t>
      </w:r>
      <w:r>
        <w:rPr>
          <w:rFonts w:hint="eastAsia" w:asciiTheme="minorEastAsia" w:hAnsiTheme="minorEastAsia" w:eastAsiaTheme="minorEastAsia" w:cstheme="minorEastAsia"/>
          <w:lang w:val="zh-CN"/>
        </w:rPr>
        <w:t>合同授予标准</w:t>
      </w:r>
      <w:r>
        <w:tab/>
      </w:r>
      <w:r>
        <w:fldChar w:fldCharType="begin"/>
      </w:r>
      <w:r>
        <w:instrText xml:space="preserve"> PAGEREF _Toc7258 </w:instrText>
      </w:r>
      <w:r>
        <w:fldChar w:fldCharType="separate"/>
      </w:r>
      <w:r>
        <w:t>21</w:t>
      </w:r>
      <w:r>
        <w:fldChar w:fldCharType="end"/>
      </w:r>
      <w:r>
        <w:fldChar w:fldCharType="end"/>
      </w:r>
    </w:p>
    <w:p>
      <w:pPr>
        <w:pStyle w:val="22"/>
        <w:tabs>
          <w:tab w:val="right" w:leader="dot" w:pos="9072"/>
        </w:tabs>
      </w:pPr>
      <w:r>
        <w:fldChar w:fldCharType="begin"/>
      </w:r>
      <w:r>
        <w:instrText xml:space="preserve"> HYPERLINK \l "_Toc29351" </w:instrText>
      </w:r>
      <w:r>
        <w:fldChar w:fldCharType="separate"/>
      </w:r>
      <w:r>
        <w:rPr>
          <w:rFonts w:asciiTheme="minorEastAsia" w:hAnsiTheme="minorEastAsia" w:eastAsiaTheme="minorEastAsia" w:cstheme="minorEastAsia"/>
          <w:lang w:val="zh-CN"/>
        </w:rPr>
        <w:t xml:space="preserve">29、 </w:t>
      </w:r>
      <w:r>
        <w:rPr>
          <w:rFonts w:hint="eastAsia" w:asciiTheme="minorEastAsia" w:hAnsiTheme="minorEastAsia" w:eastAsiaTheme="minorEastAsia" w:cstheme="minorEastAsia"/>
          <w:lang w:val="zh-CN"/>
        </w:rPr>
        <w:t>签订合同</w:t>
      </w:r>
      <w:r>
        <w:tab/>
      </w:r>
      <w:r>
        <w:fldChar w:fldCharType="begin"/>
      </w:r>
      <w:r>
        <w:instrText xml:space="preserve"> PAGEREF _Toc29351 </w:instrText>
      </w:r>
      <w:r>
        <w:fldChar w:fldCharType="separate"/>
      </w:r>
      <w:r>
        <w:t>21</w:t>
      </w:r>
      <w:r>
        <w:fldChar w:fldCharType="end"/>
      </w:r>
      <w:r>
        <w:fldChar w:fldCharType="end"/>
      </w:r>
    </w:p>
    <w:p>
      <w:pPr>
        <w:pStyle w:val="22"/>
        <w:tabs>
          <w:tab w:val="right" w:leader="dot" w:pos="9072"/>
        </w:tabs>
      </w:pPr>
      <w:r>
        <w:fldChar w:fldCharType="begin"/>
      </w:r>
      <w:r>
        <w:instrText xml:space="preserve"> HYPERLINK \l "_Toc23007" </w:instrText>
      </w:r>
      <w:r>
        <w:fldChar w:fldCharType="separate"/>
      </w:r>
      <w:r>
        <w:rPr>
          <w:rFonts w:asciiTheme="minorEastAsia" w:hAnsiTheme="minorEastAsia" w:eastAsiaTheme="minorEastAsia" w:cstheme="minorEastAsia"/>
          <w:szCs w:val="21"/>
          <w:lang w:val="zh-CN"/>
        </w:rPr>
        <w:t xml:space="preserve">七、 </w:t>
      </w:r>
      <w:r>
        <w:rPr>
          <w:rFonts w:hint="eastAsia" w:asciiTheme="minorEastAsia" w:hAnsiTheme="minorEastAsia" w:eastAsiaTheme="minorEastAsia" w:cstheme="minorEastAsia"/>
          <w:szCs w:val="21"/>
          <w:lang w:val="zh-CN"/>
        </w:rPr>
        <w:t>质疑和投诉</w:t>
      </w:r>
      <w:r>
        <w:tab/>
      </w:r>
      <w:r>
        <w:fldChar w:fldCharType="begin"/>
      </w:r>
      <w:r>
        <w:instrText xml:space="preserve"> PAGEREF _Toc23007 </w:instrText>
      </w:r>
      <w:r>
        <w:fldChar w:fldCharType="separate"/>
      </w:r>
      <w:r>
        <w:t>22</w:t>
      </w:r>
      <w:r>
        <w:fldChar w:fldCharType="end"/>
      </w:r>
      <w:r>
        <w:fldChar w:fldCharType="end"/>
      </w:r>
    </w:p>
    <w:p>
      <w:pPr>
        <w:pStyle w:val="22"/>
        <w:tabs>
          <w:tab w:val="right" w:leader="dot" w:pos="9072"/>
        </w:tabs>
      </w:pPr>
      <w:r>
        <w:fldChar w:fldCharType="begin"/>
      </w:r>
      <w:r>
        <w:instrText xml:space="preserve"> HYPERLINK \l "_Toc26703" </w:instrText>
      </w:r>
      <w:r>
        <w:fldChar w:fldCharType="separate"/>
      </w:r>
      <w:r>
        <w:rPr>
          <w:rFonts w:asciiTheme="minorEastAsia" w:hAnsiTheme="minorEastAsia" w:eastAsiaTheme="minorEastAsia" w:cstheme="minorEastAsia"/>
          <w:lang w:val="zh-CN"/>
        </w:rPr>
        <w:t xml:space="preserve">30、 </w:t>
      </w:r>
      <w:r>
        <w:rPr>
          <w:rFonts w:hint="eastAsia" w:asciiTheme="minorEastAsia" w:hAnsiTheme="minorEastAsia" w:eastAsiaTheme="minorEastAsia" w:cstheme="minorEastAsia"/>
          <w:lang w:val="zh-CN"/>
        </w:rPr>
        <w:t>质疑</w:t>
      </w:r>
      <w:r>
        <w:tab/>
      </w:r>
      <w:r>
        <w:fldChar w:fldCharType="begin"/>
      </w:r>
      <w:r>
        <w:instrText xml:space="preserve"> PAGEREF _Toc26703 </w:instrText>
      </w:r>
      <w:r>
        <w:fldChar w:fldCharType="separate"/>
      </w:r>
      <w:r>
        <w:t>22</w:t>
      </w:r>
      <w:r>
        <w:fldChar w:fldCharType="end"/>
      </w:r>
      <w:r>
        <w:fldChar w:fldCharType="end"/>
      </w:r>
    </w:p>
    <w:p>
      <w:pPr>
        <w:pStyle w:val="22"/>
        <w:tabs>
          <w:tab w:val="right" w:leader="dot" w:pos="9072"/>
        </w:tabs>
      </w:pPr>
      <w:r>
        <w:fldChar w:fldCharType="begin"/>
      </w:r>
      <w:r>
        <w:instrText xml:space="preserve"> HYPERLINK \l "_Toc10603" </w:instrText>
      </w:r>
      <w:r>
        <w:fldChar w:fldCharType="separate"/>
      </w:r>
      <w:r>
        <w:rPr>
          <w:rFonts w:asciiTheme="minorEastAsia" w:hAnsiTheme="minorEastAsia" w:eastAsiaTheme="minorEastAsia" w:cstheme="minorEastAsia"/>
          <w:lang w:val="zh-CN"/>
        </w:rPr>
        <w:t xml:space="preserve">31、 </w:t>
      </w:r>
      <w:r>
        <w:rPr>
          <w:rFonts w:hint="eastAsia" w:asciiTheme="minorEastAsia" w:hAnsiTheme="minorEastAsia" w:eastAsiaTheme="minorEastAsia" w:cstheme="minorEastAsia"/>
          <w:lang w:val="zh-CN"/>
        </w:rPr>
        <w:t>质疑回复</w:t>
      </w:r>
      <w:r>
        <w:tab/>
      </w:r>
      <w:r>
        <w:fldChar w:fldCharType="begin"/>
      </w:r>
      <w:r>
        <w:instrText xml:space="preserve"> PAGEREF _Toc10603 </w:instrText>
      </w:r>
      <w:r>
        <w:fldChar w:fldCharType="separate"/>
      </w:r>
      <w:r>
        <w:t>23</w:t>
      </w:r>
      <w:r>
        <w:fldChar w:fldCharType="end"/>
      </w:r>
      <w:r>
        <w:fldChar w:fldCharType="end"/>
      </w:r>
    </w:p>
    <w:p>
      <w:pPr>
        <w:pStyle w:val="22"/>
        <w:tabs>
          <w:tab w:val="right" w:leader="dot" w:pos="9072"/>
        </w:tabs>
      </w:pPr>
      <w:r>
        <w:fldChar w:fldCharType="begin"/>
      </w:r>
      <w:r>
        <w:instrText xml:space="preserve"> HYPERLINK \l "_Toc14017" </w:instrText>
      </w:r>
      <w:r>
        <w:fldChar w:fldCharType="separate"/>
      </w:r>
      <w:r>
        <w:rPr>
          <w:rFonts w:asciiTheme="minorEastAsia" w:hAnsiTheme="minorEastAsia" w:eastAsiaTheme="minorEastAsia" w:cstheme="minorEastAsia"/>
          <w:lang w:val="zh-CN"/>
        </w:rPr>
        <w:t xml:space="preserve">32、 </w:t>
      </w:r>
      <w:r>
        <w:rPr>
          <w:rFonts w:hint="eastAsia" w:asciiTheme="minorEastAsia" w:hAnsiTheme="minorEastAsia" w:eastAsiaTheme="minorEastAsia" w:cstheme="minorEastAsia"/>
          <w:lang w:val="zh-CN"/>
        </w:rPr>
        <w:t>投诉</w:t>
      </w:r>
      <w:r>
        <w:tab/>
      </w:r>
      <w:r>
        <w:fldChar w:fldCharType="begin"/>
      </w:r>
      <w:r>
        <w:instrText xml:space="preserve"> PAGEREF _Toc14017 </w:instrText>
      </w:r>
      <w:r>
        <w:fldChar w:fldCharType="separate"/>
      </w:r>
      <w:r>
        <w:t>23</w:t>
      </w:r>
      <w:r>
        <w:fldChar w:fldCharType="end"/>
      </w:r>
      <w:r>
        <w:fldChar w:fldCharType="end"/>
      </w:r>
    </w:p>
    <w:p>
      <w:pPr>
        <w:pStyle w:val="22"/>
        <w:tabs>
          <w:tab w:val="right" w:leader="dot" w:pos="9072"/>
        </w:tabs>
      </w:pPr>
      <w:r>
        <w:fldChar w:fldCharType="begin"/>
      </w:r>
      <w:r>
        <w:instrText xml:space="preserve"> HYPERLINK \l "_Toc6896" </w:instrText>
      </w:r>
      <w:r>
        <w:fldChar w:fldCharType="separate"/>
      </w:r>
      <w:r>
        <w:rPr>
          <w:rFonts w:asciiTheme="minorEastAsia" w:hAnsiTheme="minorEastAsia" w:eastAsiaTheme="minorEastAsia" w:cstheme="minorEastAsia"/>
          <w:szCs w:val="21"/>
          <w:lang w:val="zh-CN"/>
        </w:rPr>
        <w:t xml:space="preserve">八、 </w:t>
      </w:r>
      <w:r>
        <w:rPr>
          <w:rFonts w:hint="eastAsia" w:asciiTheme="minorEastAsia" w:hAnsiTheme="minorEastAsia" w:eastAsiaTheme="minorEastAsia" w:cstheme="minorEastAsia"/>
          <w:szCs w:val="21"/>
          <w:lang w:val="zh-CN"/>
        </w:rPr>
        <w:t>政策</w:t>
      </w:r>
      <w:r>
        <w:tab/>
      </w:r>
      <w:r>
        <w:fldChar w:fldCharType="begin"/>
      </w:r>
      <w:r>
        <w:instrText xml:space="preserve"> PAGEREF _Toc6896 </w:instrText>
      </w:r>
      <w:r>
        <w:fldChar w:fldCharType="separate"/>
      </w:r>
      <w:r>
        <w:t>23</w:t>
      </w:r>
      <w:r>
        <w:fldChar w:fldCharType="end"/>
      </w:r>
      <w:r>
        <w:fldChar w:fldCharType="end"/>
      </w:r>
    </w:p>
    <w:p>
      <w:pPr>
        <w:pStyle w:val="22"/>
        <w:tabs>
          <w:tab w:val="right" w:leader="dot" w:pos="9072"/>
        </w:tabs>
      </w:pPr>
      <w:r>
        <w:fldChar w:fldCharType="begin"/>
      </w:r>
      <w:r>
        <w:instrText xml:space="preserve"> HYPERLINK \l "_Toc3901" </w:instrText>
      </w:r>
      <w:r>
        <w:fldChar w:fldCharType="separate"/>
      </w:r>
      <w:r>
        <w:rPr>
          <w:rFonts w:asciiTheme="minorEastAsia" w:hAnsiTheme="minorEastAsia" w:eastAsiaTheme="minorEastAsia" w:cstheme="minorEastAsia"/>
        </w:rPr>
        <w:t xml:space="preserve">33、 </w:t>
      </w:r>
      <w:r>
        <w:rPr>
          <w:rFonts w:hint="eastAsia" w:asciiTheme="minorEastAsia" w:hAnsiTheme="minorEastAsia" w:eastAsiaTheme="minorEastAsia" w:cstheme="minorEastAsia"/>
        </w:rPr>
        <w:t>政府采购政策</w:t>
      </w:r>
      <w:r>
        <w:tab/>
      </w:r>
      <w:r>
        <w:fldChar w:fldCharType="begin"/>
      </w:r>
      <w:r>
        <w:instrText xml:space="preserve"> PAGEREF _Toc3901 </w:instrText>
      </w:r>
      <w:r>
        <w:fldChar w:fldCharType="separate"/>
      </w:r>
      <w:r>
        <w:t>23</w:t>
      </w:r>
      <w:r>
        <w:fldChar w:fldCharType="end"/>
      </w:r>
      <w:r>
        <w:fldChar w:fldCharType="end"/>
      </w:r>
    </w:p>
    <w:p>
      <w:pPr>
        <w:pStyle w:val="22"/>
        <w:tabs>
          <w:tab w:val="right" w:leader="dot" w:pos="9072"/>
        </w:tabs>
      </w:pPr>
      <w:r>
        <w:fldChar w:fldCharType="begin"/>
      </w:r>
      <w:r>
        <w:instrText xml:space="preserve"> HYPERLINK \l "_Toc16251" </w:instrText>
      </w:r>
      <w:r>
        <w:fldChar w:fldCharType="separate"/>
      </w:r>
      <w:r>
        <w:rPr>
          <w:rFonts w:asciiTheme="minorEastAsia" w:hAnsiTheme="minorEastAsia" w:eastAsiaTheme="minorEastAsia" w:cstheme="minorEastAsia"/>
          <w:szCs w:val="21"/>
          <w:lang w:val="zh-CN"/>
        </w:rPr>
        <w:t xml:space="preserve">九、 </w:t>
      </w:r>
      <w:r>
        <w:rPr>
          <w:rFonts w:hint="eastAsia" w:asciiTheme="minorEastAsia" w:hAnsiTheme="minorEastAsia" w:eastAsiaTheme="minorEastAsia" w:cstheme="minorEastAsia"/>
          <w:szCs w:val="21"/>
          <w:lang w:val="zh-CN"/>
        </w:rPr>
        <w:t>其他要求</w:t>
      </w:r>
      <w:r>
        <w:tab/>
      </w:r>
      <w:r>
        <w:fldChar w:fldCharType="begin"/>
      </w:r>
      <w:r>
        <w:instrText xml:space="preserve"> PAGEREF _Toc16251 </w:instrText>
      </w:r>
      <w:r>
        <w:fldChar w:fldCharType="separate"/>
      </w:r>
      <w:r>
        <w:t>24</w:t>
      </w:r>
      <w:r>
        <w:fldChar w:fldCharType="end"/>
      </w:r>
      <w:r>
        <w:fldChar w:fldCharType="end"/>
      </w:r>
    </w:p>
    <w:p>
      <w:pPr>
        <w:pStyle w:val="22"/>
        <w:tabs>
          <w:tab w:val="right" w:leader="dot" w:pos="9072"/>
        </w:tabs>
      </w:pPr>
      <w:r>
        <w:fldChar w:fldCharType="begin"/>
      </w:r>
      <w:r>
        <w:instrText xml:space="preserve"> HYPERLINK \l "_Toc30779" </w:instrText>
      </w:r>
      <w:r>
        <w:fldChar w:fldCharType="separate"/>
      </w:r>
      <w:r>
        <w:rPr>
          <w:rFonts w:asciiTheme="minorEastAsia" w:hAnsiTheme="minorEastAsia" w:eastAsiaTheme="minorEastAsia" w:cstheme="minorEastAsia"/>
          <w:szCs w:val="21"/>
          <w:lang w:val="zh-CN"/>
        </w:rPr>
        <w:t xml:space="preserve">十、 </w:t>
      </w:r>
      <w:r>
        <w:rPr>
          <w:rFonts w:hint="eastAsia" w:asciiTheme="minorEastAsia" w:hAnsiTheme="minorEastAsia" w:eastAsiaTheme="minorEastAsia" w:cstheme="minorEastAsia"/>
          <w:szCs w:val="21"/>
          <w:lang w:val="zh-CN"/>
        </w:rPr>
        <w:t>适用法律</w:t>
      </w:r>
      <w:r>
        <w:tab/>
      </w:r>
      <w:r>
        <w:fldChar w:fldCharType="begin"/>
      </w:r>
      <w:r>
        <w:instrText xml:space="preserve"> PAGEREF _Toc30779 </w:instrText>
      </w:r>
      <w:r>
        <w:fldChar w:fldCharType="separate"/>
      </w:r>
      <w:r>
        <w:t>24</w:t>
      </w:r>
      <w:r>
        <w:fldChar w:fldCharType="end"/>
      </w:r>
      <w:r>
        <w:fldChar w:fldCharType="end"/>
      </w:r>
    </w:p>
    <w:p>
      <w:pPr>
        <w:pStyle w:val="20"/>
        <w:tabs>
          <w:tab w:val="right" w:leader="dot" w:pos="9072"/>
        </w:tabs>
      </w:pPr>
      <w:r>
        <w:fldChar w:fldCharType="begin"/>
      </w:r>
      <w:r>
        <w:instrText xml:space="preserve"> HYPERLINK \l "_Toc24256" </w:instrText>
      </w:r>
      <w:r>
        <w:fldChar w:fldCharType="separate"/>
      </w:r>
      <w:r>
        <w:rPr>
          <w:rFonts w:asciiTheme="minorEastAsia" w:hAnsiTheme="minorEastAsia" w:eastAsiaTheme="minorEastAsia" w:cstheme="minorEastAsia"/>
          <w:szCs w:val="36"/>
        </w:rPr>
        <w:t xml:space="preserve">第三章 </w:t>
      </w:r>
      <w:r>
        <w:rPr>
          <w:rFonts w:hint="eastAsia" w:asciiTheme="minorEastAsia" w:hAnsiTheme="minorEastAsia" w:eastAsiaTheme="minorEastAsia" w:cstheme="minorEastAsia"/>
          <w:bCs/>
          <w:szCs w:val="36"/>
        </w:rPr>
        <w:t>采购需求</w:t>
      </w:r>
      <w:r>
        <w:tab/>
      </w:r>
      <w:r>
        <w:fldChar w:fldCharType="begin"/>
      </w:r>
      <w:r>
        <w:instrText xml:space="preserve"> PAGEREF _Toc24256 </w:instrText>
      </w:r>
      <w:r>
        <w:fldChar w:fldCharType="separate"/>
      </w:r>
      <w:r>
        <w:t>26</w:t>
      </w:r>
      <w:r>
        <w:fldChar w:fldCharType="end"/>
      </w:r>
      <w:r>
        <w:fldChar w:fldCharType="end"/>
      </w:r>
    </w:p>
    <w:p>
      <w:pPr>
        <w:pStyle w:val="22"/>
        <w:tabs>
          <w:tab w:val="right" w:leader="dot" w:pos="9072"/>
        </w:tabs>
      </w:pPr>
      <w:r>
        <w:fldChar w:fldCharType="begin"/>
      </w:r>
      <w:r>
        <w:instrText xml:space="preserve"> HYPERLINK \l "_Toc29013" </w:instrText>
      </w:r>
      <w:r>
        <w:fldChar w:fldCharType="separate"/>
      </w:r>
      <w:r>
        <w:rPr>
          <w:rFonts w:hint="eastAsia" w:asciiTheme="minorEastAsia" w:hAnsiTheme="minorEastAsia" w:eastAsiaTheme="minorEastAsia" w:cstheme="minorEastAsia"/>
          <w:bCs/>
        </w:rPr>
        <w:t>一、技术需求</w:t>
      </w:r>
      <w:r>
        <w:tab/>
      </w:r>
      <w:r>
        <w:fldChar w:fldCharType="begin"/>
      </w:r>
      <w:r>
        <w:instrText xml:space="preserve"> PAGEREF _Toc29013 </w:instrText>
      </w:r>
      <w:r>
        <w:fldChar w:fldCharType="separate"/>
      </w:r>
      <w:r>
        <w:t>26</w:t>
      </w:r>
      <w:r>
        <w:fldChar w:fldCharType="end"/>
      </w:r>
      <w:r>
        <w:fldChar w:fldCharType="end"/>
      </w:r>
    </w:p>
    <w:p>
      <w:pPr>
        <w:pStyle w:val="22"/>
        <w:tabs>
          <w:tab w:val="right" w:leader="dot" w:pos="9072"/>
        </w:tabs>
      </w:pPr>
      <w:r>
        <w:fldChar w:fldCharType="begin"/>
      </w:r>
      <w:r>
        <w:instrText xml:space="preserve"> HYPERLINK \l "_Toc15828" </w:instrText>
      </w:r>
      <w:r>
        <w:fldChar w:fldCharType="separate"/>
      </w:r>
      <w:r>
        <w:rPr>
          <w:rFonts w:hint="eastAsia" w:asciiTheme="minorEastAsia" w:hAnsiTheme="minorEastAsia" w:eastAsiaTheme="minorEastAsia" w:cstheme="minorEastAsia"/>
          <w:bCs/>
        </w:rPr>
        <w:t>二、商务需求</w:t>
      </w:r>
      <w:r>
        <w:tab/>
      </w:r>
      <w:r>
        <w:fldChar w:fldCharType="begin"/>
      </w:r>
      <w:r>
        <w:instrText xml:space="preserve"> PAGEREF _Toc15828 </w:instrText>
      </w:r>
      <w:r>
        <w:fldChar w:fldCharType="separate"/>
      </w:r>
      <w:r>
        <w:t>28</w:t>
      </w:r>
      <w:r>
        <w:fldChar w:fldCharType="end"/>
      </w:r>
      <w:r>
        <w:fldChar w:fldCharType="end"/>
      </w:r>
    </w:p>
    <w:p>
      <w:pPr>
        <w:pStyle w:val="20"/>
        <w:tabs>
          <w:tab w:val="right" w:leader="dot" w:pos="9072"/>
        </w:tabs>
      </w:pPr>
      <w:r>
        <w:fldChar w:fldCharType="begin"/>
      </w:r>
      <w:r>
        <w:instrText xml:space="preserve"> HYPERLINK \l "_Toc1933" </w:instrText>
      </w:r>
      <w:r>
        <w:fldChar w:fldCharType="separate"/>
      </w:r>
      <w:r>
        <w:rPr>
          <w:rFonts w:asciiTheme="minorEastAsia" w:hAnsiTheme="minorEastAsia" w:eastAsiaTheme="minorEastAsia" w:cstheme="minorEastAsia"/>
          <w:szCs w:val="36"/>
        </w:rPr>
        <w:t xml:space="preserve">第四章 </w:t>
      </w:r>
      <w:r>
        <w:rPr>
          <w:rFonts w:hint="eastAsia" w:asciiTheme="minorEastAsia" w:hAnsiTheme="minorEastAsia" w:eastAsiaTheme="minorEastAsia" w:cstheme="minorEastAsia"/>
          <w:szCs w:val="36"/>
        </w:rPr>
        <w:t>竞争性磋商采购评定办法</w:t>
      </w:r>
      <w:r>
        <w:tab/>
      </w:r>
      <w:r>
        <w:fldChar w:fldCharType="begin"/>
      </w:r>
      <w:r>
        <w:instrText xml:space="preserve"> PAGEREF _Toc1933 </w:instrText>
      </w:r>
      <w:r>
        <w:fldChar w:fldCharType="separate"/>
      </w:r>
      <w:r>
        <w:t>30</w:t>
      </w:r>
      <w:r>
        <w:fldChar w:fldCharType="end"/>
      </w:r>
      <w:r>
        <w:fldChar w:fldCharType="end"/>
      </w:r>
    </w:p>
    <w:p>
      <w:pPr>
        <w:pStyle w:val="22"/>
        <w:tabs>
          <w:tab w:val="right" w:leader="dot" w:pos="9072"/>
        </w:tabs>
      </w:pPr>
      <w:r>
        <w:fldChar w:fldCharType="begin"/>
      </w:r>
      <w:r>
        <w:instrText xml:space="preserve"> HYPERLINK \l "_Toc10483" </w:instrText>
      </w:r>
      <w:r>
        <w:fldChar w:fldCharType="separate"/>
      </w:r>
      <w:r>
        <w:rPr>
          <w:rFonts w:hint="eastAsia" w:asciiTheme="minorEastAsia" w:hAnsiTheme="minorEastAsia" w:eastAsiaTheme="minorEastAsia" w:cstheme="minorEastAsia"/>
          <w:szCs w:val="21"/>
        </w:rPr>
        <w:t>一、评定办法前附表</w:t>
      </w:r>
      <w:r>
        <w:tab/>
      </w:r>
      <w:r>
        <w:fldChar w:fldCharType="begin"/>
      </w:r>
      <w:r>
        <w:instrText xml:space="preserve"> PAGEREF _Toc10483 </w:instrText>
      </w:r>
      <w:r>
        <w:fldChar w:fldCharType="separate"/>
      </w:r>
      <w:r>
        <w:t>30</w:t>
      </w:r>
      <w:r>
        <w:fldChar w:fldCharType="end"/>
      </w:r>
      <w:r>
        <w:fldChar w:fldCharType="end"/>
      </w:r>
    </w:p>
    <w:p>
      <w:pPr>
        <w:pStyle w:val="22"/>
        <w:tabs>
          <w:tab w:val="right" w:leader="dot" w:pos="9072"/>
        </w:tabs>
      </w:pPr>
      <w:r>
        <w:fldChar w:fldCharType="begin"/>
      </w:r>
      <w:r>
        <w:instrText xml:space="preserve"> HYPERLINK \l "_Toc25729" </w:instrText>
      </w:r>
      <w:r>
        <w:fldChar w:fldCharType="separate"/>
      </w:r>
      <w:r>
        <w:rPr>
          <w:rFonts w:hint="eastAsia" w:asciiTheme="minorEastAsia" w:hAnsiTheme="minorEastAsia" w:eastAsiaTheme="minorEastAsia" w:cstheme="minorEastAsia"/>
          <w:szCs w:val="21"/>
        </w:rPr>
        <w:t>二、计算办法</w:t>
      </w:r>
      <w:r>
        <w:tab/>
      </w:r>
      <w:r>
        <w:fldChar w:fldCharType="begin"/>
      </w:r>
      <w:r>
        <w:instrText xml:space="preserve"> PAGEREF _Toc25729 </w:instrText>
      </w:r>
      <w:r>
        <w:fldChar w:fldCharType="separate"/>
      </w:r>
      <w:r>
        <w:t>32</w:t>
      </w:r>
      <w:r>
        <w:fldChar w:fldCharType="end"/>
      </w:r>
      <w:r>
        <w:fldChar w:fldCharType="end"/>
      </w:r>
    </w:p>
    <w:p>
      <w:pPr>
        <w:pStyle w:val="22"/>
        <w:tabs>
          <w:tab w:val="right" w:leader="dot" w:pos="9072"/>
        </w:tabs>
      </w:pPr>
      <w:r>
        <w:fldChar w:fldCharType="begin"/>
      </w:r>
      <w:r>
        <w:instrText xml:space="preserve"> HYPERLINK \l "_Toc16455" </w:instrText>
      </w:r>
      <w:r>
        <w:fldChar w:fldCharType="separate"/>
      </w:r>
      <w:r>
        <w:rPr>
          <w:rFonts w:hint="eastAsia" w:asciiTheme="minorEastAsia" w:hAnsiTheme="minorEastAsia" w:eastAsiaTheme="minorEastAsia" w:cstheme="minorEastAsia"/>
          <w:szCs w:val="21"/>
        </w:rPr>
        <w:t>三、评分细则</w:t>
      </w:r>
      <w:r>
        <w:tab/>
      </w:r>
      <w:r>
        <w:fldChar w:fldCharType="begin"/>
      </w:r>
      <w:r>
        <w:instrText xml:space="preserve"> PAGEREF _Toc16455 </w:instrText>
      </w:r>
      <w:r>
        <w:fldChar w:fldCharType="separate"/>
      </w:r>
      <w:r>
        <w:t>33</w:t>
      </w:r>
      <w:r>
        <w:fldChar w:fldCharType="end"/>
      </w:r>
      <w:r>
        <w:fldChar w:fldCharType="end"/>
      </w:r>
    </w:p>
    <w:p>
      <w:pPr>
        <w:pStyle w:val="22"/>
        <w:tabs>
          <w:tab w:val="right" w:leader="dot" w:pos="9072"/>
        </w:tabs>
      </w:pPr>
      <w:r>
        <w:fldChar w:fldCharType="begin"/>
      </w:r>
      <w:r>
        <w:instrText xml:space="preserve"> HYPERLINK \l "_Toc30868" </w:instrText>
      </w:r>
      <w:r>
        <w:fldChar w:fldCharType="separate"/>
      </w:r>
      <w:r>
        <w:rPr>
          <w:rFonts w:hint="eastAsia" w:asciiTheme="minorEastAsia" w:hAnsiTheme="minorEastAsia" w:eastAsiaTheme="minorEastAsia" w:cstheme="minorEastAsia"/>
          <w:szCs w:val="21"/>
        </w:rPr>
        <w:t>四、评定办法</w:t>
      </w:r>
      <w:r>
        <w:tab/>
      </w:r>
      <w:r>
        <w:fldChar w:fldCharType="begin"/>
      </w:r>
      <w:r>
        <w:instrText xml:space="preserve"> PAGEREF _Toc30868 </w:instrText>
      </w:r>
      <w:r>
        <w:fldChar w:fldCharType="separate"/>
      </w:r>
      <w:r>
        <w:t>33</w:t>
      </w:r>
      <w:r>
        <w:fldChar w:fldCharType="end"/>
      </w:r>
      <w:r>
        <w:fldChar w:fldCharType="end"/>
      </w:r>
    </w:p>
    <w:p>
      <w:pPr>
        <w:pStyle w:val="22"/>
        <w:tabs>
          <w:tab w:val="right" w:leader="dot" w:pos="9072"/>
        </w:tabs>
      </w:pPr>
      <w:r>
        <w:fldChar w:fldCharType="begin"/>
      </w:r>
      <w:r>
        <w:instrText xml:space="preserve"> HYPERLINK \l "_Toc18437" </w:instrText>
      </w:r>
      <w:r>
        <w:fldChar w:fldCharType="separate"/>
      </w:r>
      <w:r>
        <w:rPr>
          <w:rFonts w:hint="eastAsia" w:asciiTheme="minorEastAsia" w:hAnsiTheme="minorEastAsia" w:eastAsiaTheme="minorEastAsia" w:cstheme="minorEastAsia"/>
          <w:szCs w:val="21"/>
        </w:rPr>
        <w:t>五、磋商及评审步骤</w:t>
      </w:r>
      <w:r>
        <w:tab/>
      </w:r>
      <w:r>
        <w:fldChar w:fldCharType="begin"/>
      </w:r>
      <w:r>
        <w:instrText xml:space="preserve"> PAGEREF _Toc18437 </w:instrText>
      </w:r>
      <w:r>
        <w:fldChar w:fldCharType="separate"/>
      </w:r>
      <w:r>
        <w:t>36</w:t>
      </w:r>
      <w:r>
        <w:fldChar w:fldCharType="end"/>
      </w:r>
      <w:r>
        <w:fldChar w:fldCharType="end"/>
      </w:r>
    </w:p>
    <w:p>
      <w:pPr>
        <w:pStyle w:val="20"/>
        <w:tabs>
          <w:tab w:val="right" w:leader="dot" w:pos="9072"/>
        </w:tabs>
      </w:pPr>
      <w:r>
        <w:fldChar w:fldCharType="begin"/>
      </w:r>
      <w:r>
        <w:instrText xml:space="preserve"> HYPERLINK \l "_Toc7958" </w:instrText>
      </w:r>
      <w:r>
        <w:fldChar w:fldCharType="separate"/>
      </w:r>
      <w:r>
        <w:rPr>
          <w:rFonts w:asciiTheme="minorEastAsia" w:hAnsiTheme="minorEastAsia" w:eastAsiaTheme="minorEastAsia" w:cstheme="minorEastAsia"/>
          <w:kern w:val="0"/>
          <w:szCs w:val="36"/>
        </w:rPr>
        <w:t xml:space="preserve">第五章 </w:t>
      </w:r>
      <w:r>
        <w:rPr>
          <w:rFonts w:hint="eastAsia" w:asciiTheme="minorEastAsia" w:hAnsiTheme="minorEastAsia" w:eastAsiaTheme="minorEastAsia" w:cstheme="minorEastAsia"/>
          <w:szCs w:val="36"/>
        </w:rPr>
        <w:t>合同书格式</w:t>
      </w:r>
      <w:r>
        <w:tab/>
      </w:r>
      <w:r>
        <w:fldChar w:fldCharType="begin"/>
      </w:r>
      <w:r>
        <w:instrText xml:space="preserve"> PAGEREF _Toc7958 </w:instrText>
      </w:r>
      <w:r>
        <w:fldChar w:fldCharType="separate"/>
      </w:r>
      <w:r>
        <w:t>38</w:t>
      </w:r>
      <w:r>
        <w:fldChar w:fldCharType="end"/>
      </w:r>
      <w:r>
        <w:fldChar w:fldCharType="end"/>
      </w:r>
    </w:p>
    <w:p>
      <w:pPr>
        <w:pStyle w:val="20"/>
        <w:tabs>
          <w:tab w:val="right" w:leader="dot" w:pos="9072"/>
        </w:tabs>
      </w:pPr>
      <w:r>
        <w:fldChar w:fldCharType="begin"/>
      </w:r>
      <w:r>
        <w:instrText xml:space="preserve"> HYPERLINK \l "_Toc32354" </w:instrText>
      </w:r>
      <w:r>
        <w:fldChar w:fldCharType="separate"/>
      </w:r>
      <w:r>
        <w:rPr>
          <w:rFonts w:asciiTheme="minorEastAsia" w:hAnsiTheme="minorEastAsia" w:eastAsiaTheme="minorEastAsia" w:cstheme="minorEastAsia"/>
          <w:szCs w:val="36"/>
        </w:rPr>
        <w:t xml:space="preserve">第六章 </w:t>
      </w:r>
      <w:r>
        <w:rPr>
          <w:rFonts w:hint="eastAsia" w:asciiTheme="minorEastAsia" w:hAnsiTheme="minorEastAsia" w:eastAsiaTheme="minorEastAsia" w:cstheme="minorEastAsia"/>
          <w:szCs w:val="36"/>
        </w:rPr>
        <w:t>竞争性磋商响应文件格式</w:t>
      </w:r>
      <w:r>
        <w:tab/>
      </w:r>
      <w:r>
        <w:fldChar w:fldCharType="begin"/>
      </w:r>
      <w:r>
        <w:instrText xml:space="preserve"> PAGEREF _Toc32354 </w:instrText>
      </w:r>
      <w:r>
        <w:fldChar w:fldCharType="separate"/>
      </w:r>
      <w:r>
        <w:t>40</w:t>
      </w:r>
      <w:r>
        <w:fldChar w:fldCharType="end"/>
      </w:r>
      <w:r>
        <w:fldChar w:fldCharType="end"/>
      </w:r>
    </w:p>
    <w:p>
      <w:pPr>
        <w:pStyle w:val="22"/>
        <w:tabs>
          <w:tab w:val="right" w:leader="dot" w:pos="9072"/>
        </w:tabs>
      </w:pPr>
      <w:r>
        <w:fldChar w:fldCharType="begin"/>
      </w:r>
      <w:r>
        <w:instrText xml:space="preserve"> HYPERLINK \l "_Toc21743" </w:instrText>
      </w:r>
      <w:r>
        <w:fldChar w:fldCharType="separate"/>
      </w:r>
      <w:r>
        <w:rPr>
          <w:rFonts w:hint="eastAsia" w:ascii="宋体" w:hAnsi="宋体" w:cs="宋体"/>
          <w:szCs w:val="21"/>
        </w:rPr>
        <w:t>一、评分标准索引表</w:t>
      </w:r>
      <w:r>
        <w:tab/>
      </w:r>
      <w:r>
        <w:fldChar w:fldCharType="begin"/>
      </w:r>
      <w:r>
        <w:instrText xml:space="preserve"> PAGEREF _Toc21743 </w:instrText>
      </w:r>
      <w:r>
        <w:fldChar w:fldCharType="separate"/>
      </w:r>
      <w:r>
        <w:t>41</w:t>
      </w:r>
      <w:r>
        <w:fldChar w:fldCharType="end"/>
      </w:r>
      <w:r>
        <w:fldChar w:fldCharType="end"/>
      </w:r>
    </w:p>
    <w:p>
      <w:pPr>
        <w:pStyle w:val="22"/>
        <w:tabs>
          <w:tab w:val="right" w:leader="dot" w:pos="9072"/>
        </w:tabs>
      </w:pPr>
      <w:r>
        <w:fldChar w:fldCharType="begin"/>
      </w:r>
      <w:r>
        <w:instrText xml:space="preserve"> HYPERLINK \l "_Toc20006" </w:instrText>
      </w:r>
      <w:r>
        <w:fldChar w:fldCharType="separate"/>
      </w:r>
      <w:r>
        <w:rPr>
          <w:rFonts w:hint="eastAsia" w:asciiTheme="minorEastAsia" w:hAnsiTheme="minorEastAsia" w:eastAsiaTheme="minorEastAsia" w:cstheme="minorEastAsia"/>
        </w:rPr>
        <w:t>二、磋商书</w:t>
      </w:r>
      <w:r>
        <w:tab/>
      </w:r>
      <w:r>
        <w:fldChar w:fldCharType="begin"/>
      </w:r>
      <w:r>
        <w:instrText xml:space="preserve"> PAGEREF _Toc20006 </w:instrText>
      </w:r>
      <w:r>
        <w:fldChar w:fldCharType="separate"/>
      </w:r>
      <w:r>
        <w:t>42</w:t>
      </w:r>
      <w:r>
        <w:fldChar w:fldCharType="end"/>
      </w:r>
      <w:r>
        <w:fldChar w:fldCharType="end"/>
      </w:r>
    </w:p>
    <w:p>
      <w:pPr>
        <w:pStyle w:val="22"/>
        <w:tabs>
          <w:tab w:val="right" w:leader="dot" w:pos="9072"/>
        </w:tabs>
      </w:pPr>
      <w:r>
        <w:fldChar w:fldCharType="begin"/>
      </w:r>
      <w:r>
        <w:instrText xml:space="preserve"> HYPERLINK \l "_Toc7513" </w:instrText>
      </w:r>
      <w:r>
        <w:fldChar w:fldCharType="separate"/>
      </w:r>
      <w:r>
        <w:rPr>
          <w:rFonts w:hint="eastAsia" w:asciiTheme="minorEastAsia" w:hAnsiTheme="minorEastAsia" w:eastAsiaTheme="minorEastAsia" w:cstheme="minorEastAsia"/>
        </w:rPr>
        <w:t>三、法定代表人授权书</w:t>
      </w:r>
      <w:r>
        <w:tab/>
      </w:r>
      <w:r>
        <w:fldChar w:fldCharType="begin"/>
      </w:r>
      <w:r>
        <w:instrText xml:space="preserve"> PAGEREF _Toc7513 </w:instrText>
      </w:r>
      <w:r>
        <w:fldChar w:fldCharType="separate"/>
      </w:r>
      <w:r>
        <w:t>43</w:t>
      </w:r>
      <w:r>
        <w:fldChar w:fldCharType="end"/>
      </w:r>
      <w:r>
        <w:fldChar w:fldCharType="end"/>
      </w:r>
    </w:p>
    <w:p>
      <w:pPr>
        <w:pStyle w:val="22"/>
        <w:tabs>
          <w:tab w:val="right" w:leader="dot" w:pos="9072"/>
        </w:tabs>
      </w:pPr>
      <w:r>
        <w:fldChar w:fldCharType="begin"/>
      </w:r>
      <w:r>
        <w:instrText xml:space="preserve"> HYPERLINK \l "_Toc10986" </w:instrText>
      </w:r>
      <w:r>
        <w:fldChar w:fldCharType="separate"/>
      </w:r>
      <w:r>
        <w:rPr>
          <w:rFonts w:hint="eastAsia" w:asciiTheme="minorEastAsia" w:hAnsiTheme="minorEastAsia" w:eastAsiaTheme="minorEastAsia" w:cstheme="minorEastAsia"/>
          <w:bCs/>
          <w:kern w:val="0"/>
          <w:szCs w:val="21"/>
        </w:rPr>
        <w:t>四、</w:t>
      </w:r>
      <w:r>
        <w:rPr>
          <w:rFonts w:hint="eastAsia" w:asciiTheme="minorEastAsia" w:hAnsiTheme="minorEastAsia" w:eastAsiaTheme="minorEastAsia" w:cstheme="minorEastAsia"/>
          <w:bCs/>
          <w:szCs w:val="21"/>
        </w:rPr>
        <w:t>法定代表人身份证明书</w:t>
      </w:r>
      <w:r>
        <w:tab/>
      </w:r>
      <w:r>
        <w:fldChar w:fldCharType="begin"/>
      </w:r>
      <w:r>
        <w:instrText xml:space="preserve"> PAGEREF _Toc10986 </w:instrText>
      </w:r>
      <w:r>
        <w:fldChar w:fldCharType="separate"/>
      </w:r>
      <w:r>
        <w:t>44</w:t>
      </w:r>
      <w:r>
        <w:fldChar w:fldCharType="end"/>
      </w:r>
      <w:r>
        <w:fldChar w:fldCharType="end"/>
      </w:r>
    </w:p>
    <w:p>
      <w:pPr>
        <w:pStyle w:val="22"/>
        <w:tabs>
          <w:tab w:val="right" w:leader="dot" w:pos="9072"/>
        </w:tabs>
      </w:pPr>
      <w:r>
        <w:fldChar w:fldCharType="begin"/>
      </w:r>
      <w:r>
        <w:instrText xml:space="preserve"> HYPERLINK \l "_Toc19882" </w:instrText>
      </w:r>
      <w:r>
        <w:fldChar w:fldCharType="separate"/>
      </w:r>
      <w:r>
        <w:rPr>
          <w:rFonts w:hint="eastAsia" w:asciiTheme="minorEastAsia" w:hAnsiTheme="minorEastAsia" w:eastAsiaTheme="minorEastAsia" w:cstheme="minorEastAsia"/>
          <w:bCs/>
          <w:szCs w:val="21"/>
        </w:rPr>
        <w:t>五、报价一览表</w:t>
      </w:r>
      <w:r>
        <w:tab/>
      </w:r>
      <w:r>
        <w:fldChar w:fldCharType="begin"/>
      </w:r>
      <w:r>
        <w:instrText xml:space="preserve"> PAGEREF _Toc19882 </w:instrText>
      </w:r>
      <w:r>
        <w:fldChar w:fldCharType="separate"/>
      </w:r>
      <w:r>
        <w:t>45</w:t>
      </w:r>
      <w:r>
        <w:fldChar w:fldCharType="end"/>
      </w:r>
      <w:r>
        <w:fldChar w:fldCharType="end"/>
      </w:r>
    </w:p>
    <w:p>
      <w:pPr>
        <w:pStyle w:val="22"/>
        <w:tabs>
          <w:tab w:val="right" w:leader="dot" w:pos="9072"/>
        </w:tabs>
      </w:pPr>
      <w:r>
        <w:fldChar w:fldCharType="begin"/>
      </w:r>
      <w:r>
        <w:instrText xml:space="preserve"> HYPERLINK \l "_Toc3144" </w:instrText>
      </w:r>
      <w:r>
        <w:fldChar w:fldCharType="separate"/>
      </w:r>
      <w:r>
        <w:rPr>
          <w:rFonts w:hint="eastAsia" w:asciiTheme="minorEastAsia" w:hAnsiTheme="minorEastAsia" w:eastAsiaTheme="minorEastAsia" w:cstheme="minorEastAsia"/>
          <w:bCs/>
          <w:szCs w:val="21"/>
        </w:rPr>
        <w:t>六、报价费用构成表</w:t>
      </w:r>
      <w:r>
        <w:tab/>
      </w:r>
      <w:r>
        <w:fldChar w:fldCharType="begin"/>
      </w:r>
      <w:r>
        <w:instrText xml:space="preserve"> PAGEREF _Toc3144 </w:instrText>
      </w:r>
      <w:r>
        <w:fldChar w:fldCharType="separate"/>
      </w:r>
      <w:r>
        <w:t>46</w:t>
      </w:r>
      <w:r>
        <w:fldChar w:fldCharType="end"/>
      </w:r>
      <w:r>
        <w:fldChar w:fldCharType="end"/>
      </w:r>
    </w:p>
    <w:p>
      <w:pPr>
        <w:pStyle w:val="22"/>
        <w:tabs>
          <w:tab w:val="right" w:leader="dot" w:pos="9072"/>
        </w:tabs>
      </w:pPr>
      <w:r>
        <w:fldChar w:fldCharType="begin"/>
      </w:r>
      <w:r>
        <w:instrText xml:space="preserve"> HYPERLINK \l "_Toc66" </w:instrText>
      </w:r>
      <w:r>
        <w:fldChar w:fldCharType="separate"/>
      </w:r>
      <w:r>
        <w:rPr>
          <w:rFonts w:hint="eastAsia" w:asciiTheme="minorEastAsia" w:hAnsiTheme="minorEastAsia" w:eastAsiaTheme="minorEastAsia" w:cstheme="minorEastAsia"/>
          <w:bCs/>
          <w:szCs w:val="21"/>
        </w:rPr>
        <w:t>七、耗材清单</w:t>
      </w:r>
      <w:r>
        <w:tab/>
      </w:r>
      <w:r>
        <w:fldChar w:fldCharType="begin"/>
      </w:r>
      <w:r>
        <w:instrText xml:space="preserve"> PAGEREF _Toc66 </w:instrText>
      </w:r>
      <w:r>
        <w:fldChar w:fldCharType="separate"/>
      </w:r>
      <w:r>
        <w:t>47</w:t>
      </w:r>
      <w:r>
        <w:fldChar w:fldCharType="end"/>
      </w:r>
      <w:r>
        <w:fldChar w:fldCharType="end"/>
      </w:r>
    </w:p>
    <w:p>
      <w:pPr>
        <w:pStyle w:val="22"/>
        <w:tabs>
          <w:tab w:val="right" w:leader="dot" w:pos="9072"/>
        </w:tabs>
      </w:pPr>
      <w:r>
        <w:fldChar w:fldCharType="begin"/>
      </w:r>
      <w:r>
        <w:instrText xml:space="preserve"> HYPERLINK \l "_Toc26501" </w:instrText>
      </w:r>
      <w:r>
        <w:fldChar w:fldCharType="separate"/>
      </w:r>
      <w:r>
        <w:rPr>
          <w:rFonts w:hint="eastAsia" w:asciiTheme="minorEastAsia" w:hAnsiTheme="minorEastAsia" w:eastAsiaTheme="minorEastAsia" w:cstheme="minorEastAsia"/>
          <w:bCs/>
          <w:szCs w:val="21"/>
        </w:rPr>
        <w:t>八、拟投入设备/备件、工具情况</w:t>
      </w:r>
      <w:r>
        <w:tab/>
      </w:r>
      <w:r>
        <w:fldChar w:fldCharType="begin"/>
      </w:r>
      <w:r>
        <w:instrText xml:space="preserve"> PAGEREF _Toc26501 </w:instrText>
      </w:r>
      <w:r>
        <w:fldChar w:fldCharType="separate"/>
      </w:r>
      <w:r>
        <w:t>48</w:t>
      </w:r>
      <w:r>
        <w:fldChar w:fldCharType="end"/>
      </w:r>
      <w:r>
        <w:fldChar w:fldCharType="end"/>
      </w:r>
    </w:p>
    <w:p>
      <w:pPr>
        <w:pStyle w:val="22"/>
        <w:tabs>
          <w:tab w:val="right" w:leader="dot" w:pos="9072"/>
        </w:tabs>
      </w:pPr>
      <w:r>
        <w:fldChar w:fldCharType="begin"/>
      </w:r>
      <w:r>
        <w:instrText xml:space="preserve"> HYPERLINK \l "_Toc12313" </w:instrText>
      </w:r>
      <w:r>
        <w:fldChar w:fldCharType="separate"/>
      </w:r>
      <w:r>
        <w:rPr>
          <w:rFonts w:hint="eastAsia" w:asciiTheme="minorEastAsia" w:hAnsiTheme="minorEastAsia" w:eastAsiaTheme="minorEastAsia" w:cstheme="minorEastAsia"/>
          <w:bCs/>
          <w:szCs w:val="21"/>
        </w:rPr>
        <w:t>九、缴纳保证金的银行凭证（如有）</w:t>
      </w:r>
      <w:r>
        <w:tab/>
      </w:r>
      <w:r>
        <w:fldChar w:fldCharType="begin"/>
      </w:r>
      <w:r>
        <w:instrText xml:space="preserve"> PAGEREF _Toc12313 </w:instrText>
      </w:r>
      <w:r>
        <w:fldChar w:fldCharType="separate"/>
      </w:r>
      <w:r>
        <w:t>49</w:t>
      </w:r>
      <w:r>
        <w:fldChar w:fldCharType="end"/>
      </w:r>
      <w:r>
        <w:fldChar w:fldCharType="end"/>
      </w:r>
    </w:p>
    <w:p>
      <w:pPr>
        <w:pStyle w:val="22"/>
        <w:tabs>
          <w:tab w:val="right" w:leader="dot" w:pos="9072"/>
        </w:tabs>
      </w:pPr>
      <w:r>
        <w:fldChar w:fldCharType="begin"/>
      </w:r>
      <w:r>
        <w:instrText xml:space="preserve"> HYPERLINK \l "_Toc17270" </w:instrText>
      </w:r>
      <w:r>
        <w:fldChar w:fldCharType="separate"/>
      </w:r>
      <w:r>
        <w:rPr>
          <w:rFonts w:hint="eastAsia" w:asciiTheme="minorEastAsia" w:hAnsiTheme="minorEastAsia" w:eastAsiaTheme="minorEastAsia" w:cstheme="minorEastAsia"/>
          <w:bCs/>
          <w:szCs w:val="21"/>
        </w:rPr>
        <w:t>十、偏离说明表</w:t>
      </w:r>
      <w:r>
        <w:tab/>
      </w:r>
      <w:r>
        <w:fldChar w:fldCharType="begin"/>
      </w:r>
      <w:r>
        <w:instrText xml:space="preserve"> PAGEREF _Toc17270 </w:instrText>
      </w:r>
      <w:r>
        <w:fldChar w:fldCharType="separate"/>
      </w:r>
      <w:r>
        <w:t>50</w:t>
      </w:r>
      <w:r>
        <w:fldChar w:fldCharType="end"/>
      </w:r>
      <w:r>
        <w:fldChar w:fldCharType="end"/>
      </w:r>
    </w:p>
    <w:p>
      <w:pPr>
        <w:pStyle w:val="22"/>
        <w:tabs>
          <w:tab w:val="right" w:leader="dot" w:pos="9072"/>
        </w:tabs>
      </w:pPr>
      <w:r>
        <w:fldChar w:fldCharType="begin"/>
      </w:r>
      <w:r>
        <w:instrText xml:space="preserve"> HYPERLINK \l "_Toc18816" </w:instrText>
      </w:r>
      <w:r>
        <w:fldChar w:fldCharType="separate"/>
      </w:r>
      <w:r>
        <w:rPr>
          <w:rFonts w:hint="eastAsia" w:asciiTheme="minorEastAsia" w:hAnsiTheme="minorEastAsia" w:eastAsiaTheme="minorEastAsia" w:cstheme="minorEastAsia"/>
          <w:kern w:val="0"/>
          <w:szCs w:val="21"/>
        </w:rPr>
        <w:t>十一、</w:t>
      </w:r>
      <w:r>
        <w:rPr>
          <w:rFonts w:hint="eastAsia" w:asciiTheme="minorEastAsia" w:hAnsiTheme="minorEastAsia" w:eastAsiaTheme="minorEastAsia" w:cstheme="minorEastAsia"/>
          <w:bCs/>
          <w:szCs w:val="21"/>
        </w:rPr>
        <w:t xml:space="preserve">类似业绩一览表 </w:t>
      </w:r>
      <w:r>
        <w:tab/>
      </w:r>
      <w:r>
        <w:fldChar w:fldCharType="begin"/>
      </w:r>
      <w:r>
        <w:instrText xml:space="preserve"> PAGEREF _Toc18816 </w:instrText>
      </w:r>
      <w:r>
        <w:fldChar w:fldCharType="separate"/>
      </w:r>
      <w:r>
        <w:t>51</w:t>
      </w:r>
      <w:r>
        <w:fldChar w:fldCharType="end"/>
      </w:r>
      <w:r>
        <w:fldChar w:fldCharType="end"/>
      </w:r>
    </w:p>
    <w:p>
      <w:pPr>
        <w:pStyle w:val="22"/>
        <w:tabs>
          <w:tab w:val="right" w:leader="dot" w:pos="9072"/>
        </w:tabs>
      </w:pPr>
      <w:r>
        <w:fldChar w:fldCharType="begin"/>
      </w:r>
      <w:r>
        <w:instrText xml:space="preserve"> HYPERLINK \l "_Toc8374" </w:instrText>
      </w:r>
      <w:r>
        <w:fldChar w:fldCharType="separate"/>
      </w:r>
      <w:r>
        <w:rPr>
          <w:rFonts w:hint="eastAsia" w:asciiTheme="minorEastAsia" w:hAnsiTheme="minorEastAsia" w:eastAsiaTheme="minorEastAsia" w:cstheme="minorEastAsia"/>
          <w:bCs/>
          <w:szCs w:val="21"/>
        </w:rPr>
        <w:t>十二、拟投入项目组人员一览表</w:t>
      </w:r>
      <w:r>
        <w:tab/>
      </w:r>
      <w:r>
        <w:fldChar w:fldCharType="begin"/>
      </w:r>
      <w:r>
        <w:instrText xml:space="preserve"> PAGEREF _Toc8374 </w:instrText>
      </w:r>
      <w:r>
        <w:fldChar w:fldCharType="separate"/>
      </w:r>
      <w:r>
        <w:t>52</w:t>
      </w:r>
      <w:r>
        <w:fldChar w:fldCharType="end"/>
      </w:r>
      <w:r>
        <w:fldChar w:fldCharType="end"/>
      </w:r>
    </w:p>
    <w:p>
      <w:pPr>
        <w:pStyle w:val="22"/>
        <w:tabs>
          <w:tab w:val="right" w:leader="dot" w:pos="9072"/>
        </w:tabs>
      </w:pPr>
      <w:r>
        <w:fldChar w:fldCharType="begin"/>
      </w:r>
      <w:r>
        <w:instrText xml:space="preserve"> HYPERLINK \l "_Toc8711" </w:instrText>
      </w:r>
      <w:r>
        <w:fldChar w:fldCharType="separate"/>
      </w:r>
      <w:r>
        <w:rPr>
          <w:rFonts w:hint="eastAsia" w:asciiTheme="minorEastAsia" w:hAnsiTheme="minorEastAsia" w:eastAsiaTheme="minorEastAsia" w:cstheme="minorEastAsia"/>
          <w:bCs/>
          <w:kern w:val="0"/>
          <w:szCs w:val="21"/>
        </w:rPr>
        <w:t>十三、</w:t>
      </w:r>
      <w:r>
        <w:rPr>
          <w:rFonts w:hint="eastAsia" w:asciiTheme="minorEastAsia" w:hAnsiTheme="minorEastAsia" w:eastAsiaTheme="minorEastAsia" w:cstheme="minorEastAsia"/>
          <w:bCs/>
          <w:szCs w:val="21"/>
        </w:rPr>
        <w:t>供应商的资格声明</w:t>
      </w:r>
      <w:r>
        <w:tab/>
      </w:r>
      <w:r>
        <w:fldChar w:fldCharType="begin"/>
      </w:r>
      <w:r>
        <w:instrText xml:space="preserve"> PAGEREF _Toc8711 </w:instrText>
      </w:r>
      <w:r>
        <w:fldChar w:fldCharType="separate"/>
      </w:r>
      <w:r>
        <w:t>53</w:t>
      </w:r>
      <w:r>
        <w:fldChar w:fldCharType="end"/>
      </w:r>
      <w:r>
        <w:fldChar w:fldCharType="end"/>
      </w:r>
    </w:p>
    <w:p>
      <w:pPr>
        <w:pStyle w:val="22"/>
        <w:tabs>
          <w:tab w:val="right" w:leader="dot" w:pos="9072"/>
        </w:tabs>
      </w:pPr>
      <w:r>
        <w:fldChar w:fldCharType="begin"/>
      </w:r>
      <w:r>
        <w:instrText xml:space="preserve"> HYPERLINK \l "_Toc103" </w:instrText>
      </w:r>
      <w:r>
        <w:fldChar w:fldCharType="separate"/>
      </w:r>
      <w:r>
        <w:rPr>
          <w:rFonts w:hint="eastAsia" w:asciiTheme="minorEastAsia" w:hAnsiTheme="minorEastAsia" w:eastAsiaTheme="minorEastAsia" w:cstheme="minorEastAsia"/>
          <w:bCs/>
          <w:kern w:val="0"/>
          <w:szCs w:val="21"/>
        </w:rPr>
        <w:t>十四、</w:t>
      </w:r>
      <w:r>
        <w:rPr>
          <w:rFonts w:hint="eastAsia" w:asciiTheme="minorEastAsia" w:hAnsiTheme="minorEastAsia" w:eastAsiaTheme="minorEastAsia" w:cstheme="minorEastAsia"/>
          <w:bCs/>
          <w:szCs w:val="21"/>
        </w:rPr>
        <w:t>资格证明文件</w:t>
      </w:r>
      <w:r>
        <w:tab/>
      </w:r>
      <w:r>
        <w:fldChar w:fldCharType="begin"/>
      </w:r>
      <w:r>
        <w:instrText xml:space="preserve"> PAGEREF _Toc103 </w:instrText>
      </w:r>
      <w:r>
        <w:fldChar w:fldCharType="separate"/>
      </w:r>
      <w:r>
        <w:t>54</w:t>
      </w:r>
      <w:r>
        <w:fldChar w:fldCharType="end"/>
      </w:r>
      <w:r>
        <w:fldChar w:fldCharType="end"/>
      </w:r>
    </w:p>
    <w:p>
      <w:pPr>
        <w:pStyle w:val="22"/>
        <w:tabs>
          <w:tab w:val="right" w:leader="dot" w:pos="9072"/>
        </w:tabs>
      </w:pPr>
      <w:r>
        <w:fldChar w:fldCharType="begin"/>
      </w:r>
      <w:r>
        <w:instrText xml:space="preserve"> HYPERLINK \l "_Toc6332" </w:instrText>
      </w:r>
      <w:r>
        <w:fldChar w:fldCharType="separate"/>
      </w:r>
      <w:r>
        <w:rPr>
          <w:rFonts w:hint="eastAsia" w:asciiTheme="minorEastAsia" w:hAnsiTheme="minorEastAsia" w:eastAsiaTheme="minorEastAsia" w:cstheme="minorEastAsia"/>
          <w:bCs/>
          <w:kern w:val="0"/>
          <w:szCs w:val="21"/>
        </w:rPr>
        <w:t>十五、报价技术文件</w:t>
      </w:r>
      <w:r>
        <w:tab/>
      </w:r>
      <w:r>
        <w:fldChar w:fldCharType="begin"/>
      </w:r>
      <w:r>
        <w:instrText xml:space="preserve"> PAGEREF _Toc6332 </w:instrText>
      </w:r>
      <w:r>
        <w:fldChar w:fldCharType="separate"/>
      </w:r>
      <w:r>
        <w:t>55</w:t>
      </w:r>
      <w:r>
        <w:fldChar w:fldCharType="end"/>
      </w:r>
      <w:r>
        <w:fldChar w:fldCharType="end"/>
      </w:r>
    </w:p>
    <w:p>
      <w:pPr>
        <w:pStyle w:val="22"/>
        <w:tabs>
          <w:tab w:val="right" w:leader="dot" w:pos="9072"/>
        </w:tabs>
      </w:pPr>
      <w:r>
        <w:fldChar w:fldCharType="begin"/>
      </w:r>
      <w:r>
        <w:instrText xml:space="preserve"> HYPERLINK \l "_Toc26126" </w:instrText>
      </w:r>
      <w:r>
        <w:fldChar w:fldCharType="separate"/>
      </w:r>
      <w:r>
        <w:rPr>
          <w:rFonts w:hint="eastAsia" w:asciiTheme="minorEastAsia" w:hAnsiTheme="minorEastAsia" w:eastAsiaTheme="minorEastAsia" w:cstheme="minorEastAsia"/>
        </w:rPr>
        <w:t>十六、中小企业声明函</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rPr>
        <w:t>符合</w:t>
      </w:r>
      <w:r>
        <w:rPr>
          <w:rFonts w:hint="eastAsia" w:asciiTheme="minorEastAsia" w:hAnsiTheme="minorEastAsia" w:eastAsiaTheme="minorEastAsia" w:cstheme="minorEastAsia"/>
          <w:lang w:val="zh-CN"/>
        </w:rPr>
        <w:t>）</w:t>
      </w:r>
      <w:r>
        <w:tab/>
      </w:r>
      <w:r>
        <w:fldChar w:fldCharType="begin"/>
      </w:r>
      <w:r>
        <w:instrText xml:space="preserve"> PAGEREF _Toc26126 </w:instrText>
      </w:r>
      <w:r>
        <w:fldChar w:fldCharType="separate"/>
      </w:r>
      <w:r>
        <w:t>56</w:t>
      </w:r>
      <w:r>
        <w:fldChar w:fldCharType="end"/>
      </w:r>
      <w:r>
        <w:fldChar w:fldCharType="end"/>
      </w:r>
    </w:p>
    <w:p>
      <w:pPr>
        <w:pStyle w:val="22"/>
        <w:tabs>
          <w:tab w:val="right" w:leader="dot" w:pos="9072"/>
        </w:tabs>
      </w:pPr>
      <w:r>
        <w:fldChar w:fldCharType="begin"/>
      </w:r>
      <w:r>
        <w:instrText xml:space="preserve"> HYPERLINK \l "_Toc26897" </w:instrText>
      </w:r>
      <w:r>
        <w:fldChar w:fldCharType="separate"/>
      </w:r>
      <w:r>
        <w:rPr>
          <w:rFonts w:hint="eastAsia" w:asciiTheme="minorEastAsia" w:hAnsiTheme="minorEastAsia" w:eastAsiaTheme="minorEastAsia" w:cstheme="minorEastAsia"/>
          <w:bCs/>
          <w:spacing w:val="6"/>
          <w:szCs w:val="21"/>
        </w:rPr>
        <w:t>十七、</w:t>
      </w:r>
      <w:r>
        <w:rPr>
          <w:rFonts w:hint="eastAsia" w:asciiTheme="minorEastAsia" w:hAnsiTheme="minorEastAsia" w:eastAsiaTheme="minorEastAsia" w:cstheme="minorEastAsia"/>
          <w:bCs/>
          <w:lang w:val="zh-CN"/>
        </w:rPr>
        <w:t>监狱企业证</w:t>
      </w:r>
      <w:r>
        <w:rPr>
          <w:rFonts w:hint="eastAsia" w:asciiTheme="minorEastAsia" w:hAnsiTheme="minorEastAsia" w:eastAsiaTheme="minorEastAsia" w:cstheme="minorEastAsia"/>
          <w:lang w:val="zh-CN"/>
        </w:rPr>
        <w:t>明文</w:t>
      </w:r>
      <w:r>
        <w:rPr>
          <w:rFonts w:hint="eastAsia" w:asciiTheme="minorEastAsia" w:hAnsiTheme="minorEastAsia" w:eastAsiaTheme="minorEastAsia" w:cstheme="minorEastAsia"/>
        </w:rPr>
        <w:t>件</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rPr>
        <w:t>符合</w:t>
      </w:r>
      <w:r>
        <w:rPr>
          <w:rFonts w:hint="eastAsia" w:asciiTheme="minorEastAsia" w:hAnsiTheme="minorEastAsia" w:eastAsiaTheme="minorEastAsia" w:cstheme="minorEastAsia"/>
          <w:lang w:val="zh-CN"/>
        </w:rPr>
        <w:t>）</w:t>
      </w:r>
      <w:r>
        <w:tab/>
      </w:r>
      <w:r>
        <w:fldChar w:fldCharType="begin"/>
      </w:r>
      <w:r>
        <w:instrText xml:space="preserve"> PAGEREF _Toc26897 </w:instrText>
      </w:r>
      <w:r>
        <w:fldChar w:fldCharType="separate"/>
      </w:r>
      <w:r>
        <w:t>57</w:t>
      </w:r>
      <w:r>
        <w:fldChar w:fldCharType="end"/>
      </w:r>
      <w:r>
        <w:fldChar w:fldCharType="end"/>
      </w:r>
    </w:p>
    <w:p>
      <w:pPr>
        <w:pStyle w:val="22"/>
        <w:tabs>
          <w:tab w:val="right" w:leader="dot" w:pos="9072"/>
        </w:tabs>
      </w:pPr>
      <w:r>
        <w:fldChar w:fldCharType="begin"/>
      </w:r>
      <w:r>
        <w:instrText xml:space="preserve"> HYPERLINK \l "_Toc21843" </w:instrText>
      </w:r>
      <w:r>
        <w:fldChar w:fldCharType="separate"/>
      </w:r>
      <w:r>
        <w:rPr>
          <w:rFonts w:hint="eastAsia" w:asciiTheme="minorEastAsia" w:hAnsiTheme="minorEastAsia" w:eastAsiaTheme="minorEastAsia" w:cstheme="minorEastAsia"/>
        </w:rPr>
        <w:t>十八、</w:t>
      </w:r>
      <w:r>
        <w:rPr>
          <w:rFonts w:hint="eastAsia" w:asciiTheme="minorEastAsia" w:hAnsiTheme="minorEastAsia" w:eastAsiaTheme="minorEastAsia" w:cstheme="minorEastAsia"/>
          <w:lang w:val="zh-CN"/>
        </w:rPr>
        <w:t>残疾人福利性单位声明函（若</w:t>
      </w:r>
      <w:r>
        <w:rPr>
          <w:rFonts w:hint="eastAsia" w:asciiTheme="minorEastAsia" w:hAnsiTheme="minorEastAsia" w:eastAsiaTheme="minorEastAsia" w:cstheme="minorEastAsia"/>
        </w:rPr>
        <w:t>符合</w:t>
      </w:r>
      <w:r>
        <w:rPr>
          <w:rFonts w:hint="eastAsia" w:asciiTheme="minorEastAsia" w:hAnsiTheme="minorEastAsia" w:eastAsiaTheme="minorEastAsia" w:cstheme="minorEastAsia"/>
          <w:lang w:val="zh-CN"/>
        </w:rPr>
        <w:t>）</w:t>
      </w:r>
      <w:r>
        <w:tab/>
      </w:r>
      <w:r>
        <w:fldChar w:fldCharType="begin"/>
      </w:r>
      <w:r>
        <w:instrText xml:space="preserve"> PAGEREF _Toc21843 </w:instrText>
      </w:r>
      <w:r>
        <w:fldChar w:fldCharType="separate"/>
      </w:r>
      <w:r>
        <w:t>58</w:t>
      </w:r>
      <w:r>
        <w:fldChar w:fldCharType="end"/>
      </w:r>
      <w:r>
        <w:fldChar w:fldCharType="end"/>
      </w:r>
    </w:p>
    <w:p>
      <w:pPr>
        <w:pStyle w:val="22"/>
        <w:tabs>
          <w:tab w:val="right" w:leader="dot" w:pos="9072"/>
        </w:tabs>
      </w:pPr>
      <w:r>
        <w:fldChar w:fldCharType="begin"/>
      </w:r>
      <w:r>
        <w:instrText xml:space="preserve"> HYPERLINK \l "_Toc20002" </w:instrText>
      </w:r>
      <w:r>
        <w:fldChar w:fldCharType="separate"/>
      </w:r>
      <w:r>
        <w:rPr>
          <w:rFonts w:hint="eastAsia" w:asciiTheme="minorEastAsia" w:hAnsiTheme="minorEastAsia" w:eastAsiaTheme="minorEastAsia" w:cstheme="minorEastAsia"/>
        </w:rPr>
        <w:t>十九、节能环保产品证明材料（若符合）</w:t>
      </w:r>
      <w:r>
        <w:tab/>
      </w:r>
      <w:r>
        <w:fldChar w:fldCharType="begin"/>
      </w:r>
      <w:r>
        <w:instrText xml:space="preserve"> PAGEREF _Toc20002 </w:instrText>
      </w:r>
      <w:r>
        <w:fldChar w:fldCharType="separate"/>
      </w:r>
      <w:r>
        <w:t>59</w:t>
      </w:r>
      <w:r>
        <w:fldChar w:fldCharType="end"/>
      </w:r>
      <w:r>
        <w:fldChar w:fldCharType="end"/>
      </w:r>
    </w:p>
    <w:p>
      <w:pPr>
        <w:pStyle w:val="22"/>
        <w:tabs>
          <w:tab w:val="right" w:leader="dot" w:pos="9072"/>
        </w:tabs>
      </w:pPr>
      <w:r>
        <w:fldChar w:fldCharType="begin"/>
      </w:r>
      <w:r>
        <w:instrText xml:space="preserve"> HYPERLINK \l "_Toc4769" </w:instrText>
      </w:r>
      <w:r>
        <w:fldChar w:fldCharType="separate"/>
      </w:r>
      <w:r>
        <w:rPr>
          <w:rFonts w:hint="eastAsia" w:asciiTheme="minorEastAsia" w:hAnsiTheme="minorEastAsia" w:eastAsiaTheme="minorEastAsia" w:cstheme="minorEastAsia"/>
          <w:bCs/>
          <w:spacing w:val="6"/>
          <w:szCs w:val="21"/>
        </w:rPr>
        <w:t>二十、</w:t>
      </w:r>
      <w:r>
        <w:rPr>
          <w:rFonts w:hint="eastAsia" w:asciiTheme="minorEastAsia" w:hAnsiTheme="minorEastAsia" w:eastAsiaTheme="minorEastAsia" w:cstheme="minorEastAsia"/>
        </w:rPr>
        <w:t>无重大违法记录声明</w:t>
      </w:r>
      <w:r>
        <w:tab/>
      </w:r>
      <w:r>
        <w:fldChar w:fldCharType="begin"/>
      </w:r>
      <w:r>
        <w:instrText xml:space="preserve"> PAGEREF _Toc4769 </w:instrText>
      </w:r>
      <w:r>
        <w:fldChar w:fldCharType="separate"/>
      </w:r>
      <w:r>
        <w:t>60</w:t>
      </w:r>
      <w:r>
        <w:fldChar w:fldCharType="end"/>
      </w:r>
      <w:r>
        <w:fldChar w:fldCharType="end"/>
      </w:r>
    </w:p>
    <w:p>
      <w:pPr>
        <w:pStyle w:val="22"/>
        <w:tabs>
          <w:tab w:val="right" w:leader="dot" w:pos="9072"/>
        </w:tabs>
      </w:pPr>
      <w:r>
        <w:fldChar w:fldCharType="begin"/>
      </w:r>
      <w:r>
        <w:instrText xml:space="preserve"> HYPERLINK \l "_Toc16716" </w:instrText>
      </w:r>
      <w:r>
        <w:fldChar w:fldCharType="separate"/>
      </w:r>
      <w:r>
        <w:rPr>
          <w:rFonts w:hint="eastAsia" w:asciiTheme="minorEastAsia" w:hAnsiTheme="minorEastAsia" w:eastAsiaTheme="minorEastAsia" w:cstheme="minorEastAsia"/>
          <w:bCs/>
          <w:kern w:val="0"/>
          <w:szCs w:val="21"/>
          <w:shd w:val="clear" w:color="auto" w:fill="FFFFFF"/>
        </w:rPr>
        <w:t>二十一、磋商供应商认为应该提交的其它文件（格式自拟）</w:t>
      </w:r>
      <w:r>
        <w:tab/>
      </w:r>
      <w:r>
        <w:fldChar w:fldCharType="begin"/>
      </w:r>
      <w:r>
        <w:instrText xml:space="preserve"> PAGEREF _Toc16716 </w:instrText>
      </w:r>
      <w:r>
        <w:fldChar w:fldCharType="separate"/>
      </w:r>
      <w:r>
        <w:t>60</w:t>
      </w:r>
      <w:r>
        <w:fldChar w:fldCharType="end"/>
      </w:r>
      <w:r>
        <w:fldChar w:fldCharType="end"/>
      </w:r>
    </w:p>
    <w:p>
      <w:pPr>
        <w:jc w:val="left"/>
        <w:rPr>
          <w:rFonts w:asciiTheme="minorEastAsia" w:hAnsiTheme="minorEastAsia" w:eastAsiaTheme="minorEastAsia" w:cstheme="minorEastAsia"/>
        </w:rPr>
        <w:sectPr>
          <w:headerReference r:id="rId3" w:type="default"/>
          <w:footerReference r:id="rId5" w:type="default"/>
          <w:headerReference r:id="rId4" w:type="even"/>
          <w:footerReference r:id="rId6" w:type="even"/>
          <w:type w:val="continuous"/>
          <w:pgSz w:w="11906" w:h="16838"/>
          <w:pgMar w:top="1417" w:right="1417" w:bottom="1417" w:left="1417" w:header="851" w:footer="992" w:gutter="0"/>
          <w:pgNumType w:fmt="numberInDash"/>
          <w:cols w:space="720" w:num="1"/>
          <w:docGrid w:type="lines" w:linePitch="312" w:charSpace="0"/>
        </w:sectPr>
      </w:pPr>
      <w:r>
        <w:rPr>
          <w:rFonts w:hint="eastAsia" w:asciiTheme="minorEastAsia" w:hAnsiTheme="minorEastAsia" w:eastAsiaTheme="minorEastAsia" w:cstheme="minorEastAsia"/>
        </w:rPr>
        <w:fldChar w:fldCharType="end"/>
      </w:r>
    </w:p>
    <w:p>
      <w:pPr>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 w:val="36"/>
          <w:szCs w:val="36"/>
        </w:rPr>
        <w:br w:type="page"/>
      </w:r>
    </w:p>
    <w:p>
      <w:pPr>
        <w:numPr>
          <w:ilvl w:val="0"/>
          <w:numId w:val="5"/>
        </w:numPr>
        <w:spacing w:line="360" w:lineRule="auto"/>
        <w:jc w:val="center"/>
        <w:outlineLvl w:val="0"/>
        <w:rPr>
          <w:b/>
          <w:bCs/>
          <w:sz w:val="24"/>
        </w:rPr>
      </w:pPr>
      <w:bookmarkStart w:id="0" w:name="_Toc1628"/>
      <w:bookmarkStart w:id="1" w:name="_Toc6866"/>
      <w:r>
        <w:rPr>
          <w:rFonts w:hint="eastAsia" w:ascii="宋体" w:hAnsi="宋体" w:cs="宋体"/>
          <w:b/>
          <w:sz w:val="36"/>
          <w:szCs w:val="36"/>
        </w:rPr>
        <w:t>竞争性磋商公告</w:t>
      </w:r>
      <w:bookmarkEnd w:id="0"/>
      <w:bookmarkEnd w:id="1"/>
      <w:bookmarkStart w:id="2" w:name="_Toc144974480"/>
      <w:bookmarkStart w:id="3" w:name="_Toc524908844"/>
      <w:bookmarkStart w:id="4" w:name="_Toc152045512"/>
      <w:bookmarkStart w:id="5" w:name="_Toc152042288"/>
      <w:bookmarkStart w:id="6" w:name="_Toc9976"/>
      <w:bookmarkStart w:id="7" w:name="_Toc179632528"/>
    </w:p>
    <w:bookmarkEnd w:id="2"/>
    <w:bookmarkEnd w:id="3"/>
    <w:bookmarkEnd w:id="4"/>
    <w:bookmarkEnd w:id="5"/>
    <w:bookmarkEnd w:id="6"/>
    <w:bookmarkEnd w:id="7"/>
    <w:p>
      <w:pPr>
        <w:pBdr>
          <w:top w:val="single" w:color="auto" w:sz="4" w:space="1"/>
          <w:left w:val="single" w:color="auto" w:sz="4" w:space="4"/>
          <w:bottom w:val="single" w:color="auto" w:sz="4" w:space="1"/>
          <w:right w:val="single" w:color="auto" w:sz="4" w:space="4"/>
        </w:pBdr>
        <w:spacing w:line="360" w:lineRule="auto"/>
        <w:jc w:val="left"/>
        <w:rPr>
          <w:rFonts w:ascii="宋体" w:hAnsi="宋体" w:cs="宋体"/>
          <w:color w:val="000000"/>
          <w:szCs w:val="21"/>
        </w:rPr>
      </w:pPr>
      <w:r>
        <w:rPr>
          <w:rFonts w:hint="eastAsia" w:ascii="宋体" w:hAnsi="宋体" w:cs="宋体"/>
          <w:b/>
          <w:bCs/>
          <w:color w:val="000000"/>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武汉职业技术学院众创空间文化建设项目</w:t>
      </w:r>
      <w:r>
        <w:rPr>
          <w:rFonts w:hint="eastAsia" w:ascii="宋体" w:hAnsi="宋体" w:cs="宋体"/>
          <w:color w:val="auto"/>
          <w:szCs w:val="21"/>
        </w:rPr>
        <w:t>的潜在供应商应在</w:t>
      </w:r>
      <w:r>
        <w:rPr>
          <w:rFonts w:hint="eastAsia" w:ascii="宋体" w:hAnsi="宋体" w:cs="宋体"/>
          <w:color w:val="auto"/>
          <w:szCs w:val="21"/>
          <w:u w:val="single"/>
        </w:rPr>
        <w:t>中经国际招标集团有限公司（武昌区中北路岳家嘴立交山河企业大厦48楼4805室）</w:t>
      </w:r>
      <w:r>
        <w:rPr>
          <w:rFonts w:hint="eastAsia" w:ascii="宋体" w:hAnsi="宋体" w:cs="宋体"/>
          <w:color w:val="auto"/>
          <w:szCs w:val="21"/>
        </w:rPr>
        <w:t>获取采购文件，并于</w:t>
      </w:r>
      <w:r>
        <w:rPr>
          <w:rFonts w:hint="eastAsia" w:ascii="宋体" w:hAnsi="宋体" w:cs="宋体"/>
          <w:color w:val="auto"/>
          <w:szCs w:val="21"/>
          <w:u w:val="single"/>
        </w:rPr>
        <w:t>2020年</w:t>
      </w:r>
      <w:r>
        <w:rPr>
          <w:rFonts w:hint="eastAsia" w:ascii="宋体" w:hAnsi="宋体" w:cs="宋体"/>
          <w:color w:val="auto"/>
          <w:szCs w:val="21"/>
          <w:u w:val="single"/>
          <w:lang w:val="en-US" w:eastAsia="zh-CN"/>
        </w:rPr>
        <w:t>10</w:t>
      </w:r>
      <w:r>
        <w:rPr>
          <w:rFonts w:hint="eastAsia" w:ascii="宋体" w:hAnsi="宋体" w:cs="宋体"/>
          <w:color w:val="auto"/>
          <w:szCs w:val="21"/>
          <w:u w:val="single"/>
        </w:rPr>
        <w:t>月</w:t>
      </w:r>
      <w:r>
        <w:rPr>
          <w:rFonts w:hint="eastAsia" w:ascii="宋体" w:hAnsi="宋体" w:cs="宋体"/>
          <w:color w:val="auto"/>
          <w:szCs w:val="21"/>
          <w:u w:val="single"/>
          <w:lang w:val="en-US" w:eastAsia="zh-CN"/>
        </w:rPr>
        <w:t>15</w:t>
      </w:r>
      <w:r>
        <w:rPr>
          <w:rFonts w:hint="eastAsia" w:ascii="宋体" w:hAnsi="宋体" w:cs="宋体"/>
          <w:color w:val="auto"/>
          <w:szCs w:val="21"/>
          <w:u w:val="single"/>
        </w:rPr>
        <w:t>日</w:t>
      </w:r>
      <w:r>
        <w:rPr>
          <w:rFonts w:hint="eastAsia" w:ascii="宋体" w:hAnsi="宋体" w:cs="宋体"/>
          <w:color w:val="auto"/>
          <w:szCs w:val="21"/>
          <w:u w:val="single"/>
          <w:lang w:val="en-US" w:eastAsia="zh-CN"/>
        </w:rPr>
        <w:t>09</w:t>
      </w:r>
      <w:r>
        <w:rPr>
          <w:rFonts w:hint="eastAsia" w:ascii="宋体" w:hAnsi="宋体" w:cs="宋体"/>
          <w:color w:val="auto"/>
          <w:szCs w:val="21"/>
          <w:u w:val="single"/>
        </w:rPr>
        <w:t>点</w:t>
      </w:r>
      <w:r>
        <w:rPr>
          <w:rFonts w:hint="eastAsia" w:ascii="宋体" w:hAnsi="宋体" w:cs="宋体"/>
          <w:color w:val="auto"/>
          <w:szCs w:val="21"/>
          <w:u w:val="single"/>
          <w:lang w:val="en-US" w:eastAsia="zh-CN"/>
        </w:rPr>
        <w:t>30</w:t>
      </w:r>
      <w:r>
        <w:rPr>
          <w:rFonts w:hint="eastAsia" w:ascii="宋体" w:hAnsi="宋体" w:cs="宋体"/>
          <w:color w:val="auto"/>
          <w:szCs w:val="21"/>
          <w:u w:val="single"/>
        </w:rPr>
        <w:t>分</w:t>
      </w:r>
      <w:r>
        <w:rPr>
          <w:rFonts w:hint="eastAsia" w:ascii="宋体" w:hAnsi="宋体" w:cs="宋体"/>
          <w:color w:val="auto"/>
          <w:szCs w:val="21"/>
        </w:rPr>
        <w:t>（北京时间）前递交响应文件。</w:t>
      </w:r>
    </w:p>
    <w:p>
      <w:pPr>
        <w:pStyle w:val="2"/>
        <w:numPr>
          <w:ilvl w:val="0"/>
          <w:numId w:val="6"/>
        </w:numPr>
        <w:spacing w:line="360" w:lineRule="auto"/>
        <w:jc w:val="left"/>
        <w:rPr>
          <w:rFonts w:ascii="宋体" w:hAnsi="宋体" w:eastAsia="宋体" w:cs="宋体"/>
          <w:color w:val="000000"/>
          <w:sz w:val="21"/>
          <w:szCs w:val="21"/>
        </w:rPr>
      </w:pPr>
      <w:bookmarkStart w:id="8" w:name="_Toc24710"/>
      <w:r>
        <w:rPr>
          <w:rFonts w:hint="eastAsia" w:ascii="宋体" w:hAnsi="宋体" w:eastAsia="宋体" w:cs="宋体"/>
          <w:color w:val="000000"/>
          <w:sz w:val="21"/>
          <w:szCs w:val="21"/>
        </w:rPr>
        <w:t>项目基本情况</w:t>
      </w:r>
      <w:bookmarkEnd w:id="8"/>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1、项目编号：ZJZB-202009-262；</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3、项目名称：武汉职业技术学院众创空间文化建设项目</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4、采购方式：竞争性磋商</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5、预算金额：人民币</w:t>
      </w:r>
      <w:r>
        <w:rPr>
          <w:rFonts w:hint="eastAsia" w:asciiTheme="minorEastAsia" w:hAnsiTheme="minorEastAsia" w:eastAsiaTheme="minorEastAsia" w:cstheme="minorEastAsia"/>
          <w:szCs w:val="21"/>
          <w:u w:val="single"/>
        </w:rPr>
        <w:t xml:space="preserve"> 12 </w:t>
      </w:r>
      <w:r>
        <w:rPr>
          <w:rFonts w:hint="eastAsia" w:asciiTheme="minorEastAsia" w:hAnsiTheme="minorEastAsia" w:eastAsiaTheme="minorEastAsia" w:cstheme="minorEastAsia"/>
          <w:szCs w:val="21"/>
        </w:rPr>
        <w:t>万元（含财政资金</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万元，其他资金</w:t>
      </w:r>
      <w:r>
        <w:rPr>
          <w:rFonts w:hint="eastAsia" w:asciiTheme="minorEastAsia" w:hAnsiTheme="minorEastAsia" w:eastAsiaTheme="minorEastAsia" w:cstheme="minorEastAsia"/>
          <w:szCs w:val="21"/>
          <w:u w:val="single"/>
        </w:rPr>
        <w:t xml:space="preserve"> 12 </w:t>
      </w:r>
      <w:r>
        <w:rPr>
          <w:rFonts w:hint="eastAsia" w:asciiTheme="minorEastAsia" w:hAnsiTheme="minorEastAsia" w:eastAsiaTheme="minorEastAsia" w:cstheme="minorEastAsia"/>
          <w:szCs w:val="21"/>
        </w:rPr>
        <w:t>万元）；</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6、最高限价：人民币</w:t>
      </w:r>
      <w:r>
        <w:rPr>
          <w:rFonts w:hint="eastAsia" w:asciiTheme="minorEastAsia" w:hAnsiTheme="minorEastAsia" w:eastAsiaTheme="minorEastAsia" w:cstheme="minorEastAsia"/>
          <w:szCs w:val="21"/>
          <w:u w:val="single"/>
        </w:rPr>
        <w:t xml:space="preserve"> 12 </w:t>
      </w:r>
      <w:r>
        <w:rPr>
          <w:rFonts w:hint="eastAsia" w:asciiTheme="minorEastAsia" w:hAnsiTheme="minorEastAsia" w:eastAsiaTheme="minorEastAsia" w:cstheme="minorEastAsia"/>
          <w:szCs w:val="21"/>
        </w:rPr>
        <w:t>万元；</w:t>
      </w:r>
    </w:p>
    <w:p>
      <w:pPr>
        <w:spacing w:line="360" w:lineRule="auto"/>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color w:val="000000"/>
          <w:szCs w:val="21"/>
        </w:rPr>
        <w:t>7、采购需求：</w:t>
      </w:r>
      <w:r>
        <w:rPr>
          <w:rFonts w:hint="eastAsia" w:asciiTheme="minorEastAsia" w:hAnsiTheme="minorEastAsia" w:eastAsiaTheme="minorEastAsia" w:cstheme="minorEastAsia"/>
          <w:szCs w:val="21"/>
          <w:u w:val="single"/>
        </w:rPr>
        <w:t>为增加武汉职业技术学院创新创业学院众创空间内形象导视文化墙建设、窗帘等设置</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采购一批货物，其中包括导视牌、标识、门牌、席卡、门头及门头装饰、玻璃贴、书架、场景雾化系统、窗帘等</w:t>
      </w:r>
      <w:r>
        <w:rPr>
          <w:rFonts w:hint="eastAsia" w:asciiTheme="minorEastAsia" w:hAnsiTheme="minorEastAsia" w:eastAsiaTheme="minorEastAsia" w:cstheme="minorEastAsia"/>
          <w:szCs w:val="21"/>
        </w:rPr>
        <w:t>；(详</w:t>
      </w:r>
      <w:r>
        <w:rPr>
          <w:rFonts w:hint="eastAsia" w:asciiTheme="minorEastAsia" w:hAnsiTheme="minorEastAsia" w:eastAsiaTheme="minorEastAsia" w:cstheme="minorEastAsia"/>
          <w:color w:val="000000"/>
          <w:szCs w:val="21"/>
        </w:rPr>
        <w:t>见采购文件第三章“项目采购需求”）</w:t>
      </w:r>
    </w:p>
    <w:p>
      <w:pPr>
        <w:numPr>
          <w:ilvl w:val="0"/>
          <w:numId w:val="7"/>
        </w:numPr>
        <w:spacing w:line="360" w:lineRule="auto"/>
        <w:ind w:left="420" w:leftChars="200"/>
        <w:jc w:val="left"/>
        <w:rPr>
          <w:rFonts w:ascii="宋体" w:hAnsi="宋体" w:cs="宋体"/>
          <w:szCs w:val="21"/>
        </w:rPr>
      </w:pPr>
      <w:r>
        <w:rPr>
          <w:rFonts w:hint="eastAsia" w:ascii="宋体" w:hAnsi="宋体" w:cs="宋体"/>
          <w:szCs w:val="21"/>
        </w:rPr>
        <w:t>类别：货物</w:t>
      </w:r>
    </w:p>
    <w:p>
      <w:pPr>
        <w:numPr>
          <w:ilvl w:val="0"/>
          <w:numId w:val="7"/>
        </w:numPr>
        <w:spacing w:line="360" w:lineRule="auto"/>
        <w:ind w:left="420" w:leftChars="200"/>
        <w:jc w:val="left"/>
        <w:rPr>
          <w:rFonts w:ascii="宋体" w:hAnsi="宋体" w:cs="宋体"/>
          <w:szCs w:val="21"/>
        </w:rPr>
      </w:pPr>
      <w:r>
        <w:rPr>
          <w:rFonts w:hint="eastAsia" w:ascii="宋体" w:hAnsi="宋体" w:cs="宋体"/>
          <w:szCs w:val="21"/>
        </w:rPr>
        <w:t>交货期：合同签订后</w:t>
      </w:r>
      <w:r>
        <w:rPr>
          <w:rFonts w:hint="eastAsia" w:ascii="宋体" w:hAnsi="宋体" w:cs="宋体"/>
          <w:szCs w:val="21"/>
          <w:u w:val="single"/>
        </w:rPr>
        <w:t>30</w:t>
      </w:r>
      <w:r>
        <w:rPr>
          <w:rFonts w:hint="eastAsia" w:ascii="宋体" w:hAnsi="宋体" w:cs="宋体"/>
          <w:szCs w:val="21"/>
        </w:rPr>
        <w:t>日历天内供货，到货后</w:t>
      </w:r>
      <w:r>
        <w:rPr>
          <w:rFonts w:hint="eastAsia" w:ascii="宋体" w:hAnsi="宋体" w:cs="宋体"/>
          <w:szCs w:val="21"/>
          <w:u w:val="single"/>
        </w:rPr>
        <w:t>60</w:t>
      </w:r>
      <w:r>
        <w:rPr>
          <w:rFonts w:hint="eastAsia" w:ascii="宋体" w:hAnsi="宋体" w:cs="宋体"/>
          <w:szCs w:val="21"/>
        </w:rPr>
        <w:t>天内完成安装调试</w:t>
      </w:r>
    </w:p>
    <w:p>
      <w:pPr>
        <w:numPr>
          <w:ilvl w:val="0"/>
          <w:numId w:val="7"/>
        </w:numPr>
        <w:spacing w:line="360" w:lineRule="auto"/>
        <w:ind w:left="420" w:leftChars="200"/>
        <w:jc w:val="left"/>
        <w:rPr>
          <w:rFonts w:ascii="宋体" w:hAnsi="宋体" w:cs="宋体"/>
          <w:szCs w:val="21"/>
        </w:rPr>
      </w:pPr>
      <w:r>
        <w:rPr>
          <w:rFonts w:hint="eastAsia" w:ascii="宋体" w:hAnsi="宋体" w:cs="宋体"/>
          <w:szCs w:val="21"/>
        </w:rPr>
        <w:t>质保期/保修期：自产品验收合格之日起质保期一年。</w:t>
      </w:r>
    </w:p>
    <w:p>
      <w:pPr>
        <w:numPr>
          <w:ilvl w:val="0"/>
          <w:numId w:val="7"/>
        </w:numPr>
        <w:spacing w:line="360" w:lineRule="auto"/>
        <w:ind w:left="420" w:leftChars="200"/>
        <w:jc w:val="left"/>
        <w:rPr>
          <w:rFonts w:ascii="宋体" w:hAnsi="宋体" w:cs="宋体"/>
          <w:szCs w:val="21"/>
        </w:rPr>
      </w:pPr>
      <w:r>
        <w:rPr>
          <w:rFonts w:hint="eastAsia" w:ascii="宋体" w:hAnsi="宋体" w:cs="宋体"/>
          <w:szCs w:val="21"/>
        </w:rPr>
        <w:t>质量标准：达到国家或行业颁布的其他现行各项技术标准和验收规范规定</w:t>
      </w:r>
    </w:p>
    <w:p>
      <w:pPr>
        <w:numPr>
          <w:ilvl w:val="0"/>
          <w:numId w:val="7"/>
        </w:numPr>
        <w:spacing w:line="360" w:lineRule="auto"/>
        <w:ind w:left="420" w:leftChars="200"/>
        <w:jc w:val="left"/>
        <w:rPr>
          <w:rFonts w:ascii="宋体" w:hAnsi="宋体" w:cs="宋体"/>
          <w:szCs w:val="21"/>
        </w:rPr>
      </w:pPr>
      <w:r>
        <w:rPr>
          <w:rFonts w:hint="eastAsia" w:ascii="宋体" w:hAnsi="宋体" w:cs="宋体"/>
          <w:szCs w:val="21"/>
        </w:rPr>
        <w:t>其他：供应商参加竞标的报价超过该包采购最高限价的，该包竞标无效；供应商报价须包含该采购需求的全部内容。</w:t>
      </w:r>
    </w:p>
    <w:p>
      <w:pPr>
        <w:spacing w:line="360" w:lineRule="auto"/>
        <w:jc w:val="left"/>
        <w:rPr>
          <w:rFonts w:ascii="宋体" w:hAnsi="宋体" w:cs="宋体"/>
          <w:strike/>
          <w:szCs w:val="21"/>
        </w:rPr>
      </w:pPr>
      <w:r>
        <w:rPr>
          <w:rFonts w:hint="eastAsia" w:ascii="宋体" w:hAnsi="宋体" w:cs="宋体"/>
          <w:szCs w:val="21"/>
        </w:rPr>
        <w:t>8、合同履行期限：合同签订后</w:t>
      </w:r>
      <w:r>
        <w:rPr>
          <w:rFonts w:hint="eastAsia" w:ascii="宋体" w:hAnsi="宋体" w:cs="宋体"/>
          <w:szCs w:val="21"/>
          <w:u w:val="single"/>
        </w:rPr>
        <w:t>30</w:t>
      </w:r>
      <w:r>
        <w:rPr>
          <w:rFonts w:hint="eastAsia" w:ascii="宋体" w:hAnsi="宋体" w:cs="宋体"/>
          <w:szCs w:val="21"/>
        </w:rPr>
        <w:t>日历天内供货，到货后</w:t>
      </w:r>
      <w:r>
        <w:rPr>
          <w:rFonts w:hint="eastAsia" w:ascii="宋体" w:hAnsi="宋体" w:cs="宋体"/>
          <w:szCs w:val="21"/>
          <w:u w:val="single"/>
        </w:rPr>
        <w:t>60</w:t>
      </w:r>
      <w:r>
        <w:rPr>
          <w:rFonts w:hint="eastAsia" w:ascii="宋体" w:hAnsi="宋体" w:cs="宋体"/>
          <w:szCs w:val="21"/>
        </w:rPr>
        <w:t>天内完成安装调试</w:t>
      </w:r>
      <w:r>
        <w:rPr>
          <w:rFonts w:hint="eastAsia" w:ascii="宋体" w:hAnsi="宋体" w:cs="宋体"/>
          <w:szCs w:val="21"/>
          <w:u w:val="single"/>
        </w:rPr>
        <w:t xml:space="preserve">                   </w:t>
      </w:r>
    </w:p>
    <w:p>
      <w:pPr>
        <w:spacing w:line="360" w:lineRule="auto"/>
        <w:jc w:val="left"/>
        <w:rPr>
          <w:rFonts w:ascii="宋体" w:hAnsi="宋体" w:cs="宋体"/>
          <w:szCs w:val="21"/>
        </w:rPr>
      </w:pPr>
      <w:r>
        <w:rPr>
          <w:rFonts w:hint="eastAsia" w:ascii="宋体" w:hAnsi="宋体" w:cs="宋体"/>
          <w:szCs w:val="21"/>
        </w:rPr>
        <w:t>9、本项目</w:t>
      </w:r>
      <w:r>
        <w:rPr>
          <w:rFonts w:hint="eastAsia" w:ascii="宋体" w:hAnsi="宋体" w:cs="宋体"/>
          <w:szCs w:val="21"/>
          <w:u w:val="single"/>
        </w:rPr>
        <w:t>不接受</w:t>
      </w:r>
      <w:r>
        <w:rPr>
          <w:rFonts w:hint="eastAsia" w:ascii="宋体" w:hAnsi="宋体" w:cs="宋体"/>
          <w:szCs w:val="21"/>
        </w:rPr>
        <w:t>联合体竞标；</w:t>
      </w:r>
    </w:p>
    <w:p>
      <w:pPr>
        <w:pStyle w:val="2"/>
        <w:numPr>
          <w:ilvl w:val="0"/>
          <w:numId w:val="6"/>
        </w:numPr>
        <w:spacing w:line="360" w:lineRule="auto"/>
        <w:jc w:val="left"/>
        <w:rPr>
          <w:rFonts w:ascii="宋体" w:hAnsi="宋体" w:eastAsia="宋体" w:cs="宋体"/>
          <w:sz w:val="21"/>
          <w:szCs w:val="21"/>
        </w:rPr>
      </w:pPr>
      <w:bookmarkStart w:id="9" w:name="_Toc20667"/>
      <w:r>
        <w:rPr>
          <w:rFonts w:hint="eastAsia" w:ascii="宋体" w:hAnsi="宋体" w:eastAsia="宋体" w:cs="宋体"/>
          <w:sz w:val="21"/>
          <w:szCs w:val="21"/>
        </w:rPr>
        <w:t>申请人的资格要求</w:t>
      </w:r>
      <w:bookmarkEnd w:id="9"/>
    </w:p>
    <w:p>
      <w:pPr>
        <w:numPr>
          <w:ilvl w:val="0"/>
          <w:numId w:val="8"/>
        </w:numPr>
        <w:spacing w:line="360" w:lineRule="auto"/>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满足《中华人民共和国政府采购法》第二十二条规定；</w:t>
      </w:r>
    </w:p>
    <w:p>
      <w:pPr>
        <w:spacing w:line="360" w:lineRule="auto"/>
        <w:ind w:left="446"/>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1.1具有独立承担民事责任的能力；</w:t>
      </w:r>
    </w:p>
    <w:p>
      <w:pPr>
        <w:spacing w:line="360" w:lineRule="auto"/>
        <w:ind w:left="420" w:firstLine="315" w:firstLineChars="15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1.2具有良好的商业信誉和健全的财务会计制度；</w:t>
      </w:r>
    </w:p>
    <w:p>
      <w:pPr>
        <w:spacing w:line="360" w:lineRule="auto"/>
        <w:ind w:left="420" w:firstLine="315" w:firstLineChars="15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1.3具有履行合同所必需的设备和专业技术能力；</w:t>
      </w:r>
    </w:p>
    <w:p>
      <w:pPr>
        <w:spacing w:line="360" w:lineRule="auto"/>
        <w:ind w:left="420" w:firstLine="315" w:firstLineChars="15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1.4有依法缴纳税收和社会保障资金的良好记录；</w:t>
      </w:r>
    </w:p>
    <w:p>
      <w:pPr>
        <w:spacing w:line="360" w:lineRule="auto"/>
        <w:ind w:left="420" w:firstLine="315" w:firstLineChars="15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1.5参加政府采购活动前三年内，在经营活动中没有重大违法记录；（重大违法记录是指供应商因违法经营受到刑事处罚或者责令停产停业、吊销许可证或者执照、较大数额罚款等行政处罚）</w:t>
      </w:r>
    </w:p>
    <w:p>
      <w:pPr>
        <w:spacing w:line="360" w:lineRule="auto"/>
        <w:ind w:left="420" w:firstLine="315" w:firstLineChars="15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1.6法律、行政法规规定的其他条件；</w:t>
      </w:r>
    </w:p>
    <w:p>
      <w:pPr>
        <w:numPr>
          <w:ilvl w:val="0"/>
          <w:numId w:val="8"/>
        </w:numPr>
        <w:spacing w:line="360" w:lineRule="auto"/>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单位负责人为同一人或者存在直接控股、管理关系的不同投标人，不得参加本项目同一合同项下的政府采购活动。</w:t>
      </w:r>
    </w:p>
    <w:p>
      <w:pPr>
        <w:numPr>
          <w:ilvl w:val="0"/>
          <w:numId w:val="8"/>
        </w:numPr>
        <w:spacing w:line="360" w:lineRule="auto"/>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为本采购项目提供整体设计、规范编制或者项目管理、监理、检测等服务的，不得再参加本项目的其他招标采购活动。</w:t>
      </w:r>
    </w:p>
    <w:p>
      <w:pPr>
        <w:numPr>
          <w:ilvl w:val="0"/>
          <w:numId w:val="8"/>
        </w:numPr>
        <w:spacing w:line="360" w:lineRule="auto"/>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未被列入失信被执行人、重大税收违法案件当事人名单，未被列入政府采购严重违法失信行为记录名单。</w:t>
      </w:r>
    </w:p>
    <w:p>
      <w:pPr>
        <w:numPr>
          <w:ilvl w:val="0"/>
          <w:numId w:val="8"/>
        </w:num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落实政府采购政策需满足的资格要求：本项目需落实政府采购强制、优先采购节能产品政策；政府采购优先采购环保产品政策；政府采购促进中小企业发展（监狱企业、残疾人福利性单位视同小微企业）等政策详见采购文件；</w:t>
      </w:r>
    </w:p>
    <w:p>
      <w:pPr>
        <w:numPr>
          <w:ilvl w:val="0"/>
          <w:numId w:val="8"/>
        </w:numPr>
        <w:spacing w:line="360" w:lineRule="auto"/>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本项目的特定资格要求：</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供应商未被列入“信用中国”网站(www.creditchina.gov.cn)失信被执行人、重大税收违法案件当事人、政府采购严重违法失信行为记录名单和“中国政府采购”网站（www.ccgp.gov.cn）政府采购严重违法失信行为记录名单（评审时以采购代理机构现场查询结果为准）；</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xml:space="preserve">    6.2供应商营业执照的经营范围需满足采购需求；</w:t>
      </w:r>
    </w:p>
    <w:p>
      <w:pPr>
        <w:pStyle w:val="2"/>
        <w:numPr>
          <w:ilvl w:val="0"/>
          <w:numId w:val="6"/>
        </w:numPr>
        <w:spacing w:line="360" w:lineRule="auto"/>
        <w:jc w:val="left"/>
        <w:rPr>
          <w:rFonts w:ascii="宋体" w:hAnsi="宋体" w:eastAsia="宋体" w:cs="宋体"/>
          <w:sz w:val="21"/>
          <w:szCs w:val="21"/>
        </w:rPr>
      </w:pPr>
      <w:bookmarkStart w:id="10" w:name="_Toc30193"/>
      <w:bookmarkStart w:id="11" w:name="_Toc334539185"/>
      <w:r>
        <w:rPr>
          <w:rFonts w:hint="eastAsia" w:ascii="宋体" w:hAnsi="宋体" w:eastAsia="宋体" w:cs="宋体"/>
          <w:sz w:val="21"/>
          <w:szCs w:val="21"/>
        </w:rPr>
        <w:t>获取采购文件</w:t>
      </w:r>
      <w:bookmarkEnd w:id="10"/>
    </w:p>
    <w:p>
      <w:pPr>
        <w:spacing w:line="360" w:lineRule="auto"/>
        <w:ind w:firstLine="420" w:firstLineChars="200"/>
        <w:jc w:val="left"/>
        <w:rPr>
          <w:rFonts w:ascii="宋体" w:hAnsi="宋体" w:cs="宋体"/>
          <w:szCs w:val="21"/>
        </w:rPr>
      </w:pPr>
      <w:r>
        <w:rPr>
          <w:rFonts w:hint="eastAsia" w:ascii="宋体" w:hAnsi="宋体" w:cs="宋体"/>
          <w:szCs w:val="21"/>
        </w:rPr>
        <w:t>时间：</w:t>
      </w:r>
      <w:r>
        <w:rPr>
          <w:rFonts w:hint="eastAsia" w:ascii="宋体" w:hAnsi="宋体" w:cs="宋体"/>
          <w:szCs w:val="21"/>
          <w:u w:val="single"/>
        </w:rPr>
        <w:t>2020年</w:t>
      </w:r>
      <w:r>
        <w:rPr>
          <w:rFonts w:hint="eastAsia" w:ascii="宋体" w:hAnsi="宋体" w:cs="宋体"/>
          <w:szCs w:val="21"/>
          <w:u w:val="single"/>
          <w:lang w:val="en-US" w:eastAsia="zh-CN"/>
        </w:rPr>
        <w:t>9</w:t>
      </w:r>
      <w:r>
        <w:rPr>
          <w:rFonts w:hint="eastAsia" w:ascii="宋体" w:hAnsi="宋体" w:cs="宋体"/>
          <w:szCs w:val="21"/>
          <w:u w:val="single"/>
        </w:rPr>
        <w:t>月</w:t>
      </w:r>
      <w:r>
        <w:rPr>
          <w:rFonts w:hint="eastAsia" w:ascii="宋体" w:hAnsi="宋体" w:cs="宋体"/>
          <w:szCs w:val="21"/>
          <w:u w:val="single"/>
          <w:lang w:val="en-US" w:eastAsia="zh-CN"/>
        </w:rPr>
        <w:t>30</w:t>
      </w:r>
      <w:r>
        <w:rPr>
          <w:rFonts w:hint="eastAsia" w:ascii="宋体" w:hAnsi="宋体" w:cs="宋体"/>
          <w:szCs w:val="21"/>
          <w:u w:val="single"/>
        </w:rPr>
        <w:t>日至2020年</w:t>
      </w:r>
      <w:r>
        <w:rPr>
          <w:rFonts w:hint="eastAsia" w:ascii="宋体" w:hAnsi="宋体" w:cs="宋体"/>
          <w:szCs w:val="21"/>
          <w:u w:val="single"/>
          <w:lang w:val="en-US" w:eastAsia="zh-CN"/>
        </w:rPr>
        <w:t>10</w:t>
      </w:r>
      <w:r>
        <w:rPr>
          <w:rFonts w:hint="eastAsia" w:ascii="宋体" w:hAnsi="宋体" w:cs="宋体"/>
          <w:szCs w:val="21"/>
          <w:u w:val="single"/>
        </w:rPr>
        <w:t>月</w:t>
      </w:r>
      <w:r>
        <w:rPr>
          <w:rFonts w:hint="eastAsia" w:ascii="宋体" w:hAnsi="宋体" w:cs="宋体"/>
          <w:szCs w:val="21"/>
          <w:u w:val="single"/>
          <w:lang w:val="en-US" w:eastAsia="zh-CN"/>
        </w:rPr>
        <w:t>13</w:t>
      </w:r>
      <w:r>
        <w:rPr>
          <w:rFonts w:hint="eastAsia" w:ascii="宋体" w:hAnsi="宋体" w:cs="宋体"/>
          <w:szCs w:val="21"/>
          <w:u w:val="single"/>
        </w:rPr>
        <w:t>日</w:t>
      </w:r>
      <w:r>
        <w:rPr>
          <w:rFonts w:hint="eastAsia" w:ascii="宋体" w:hAnsi="宋体" w:cs="宋体"/>
          <w:szCs w:val="21"/>
        </w:rPr>
        <w:t>（提供期限自本公告发布之日起至少5个工作日），每天上午09:00至12:00，下午14:30至17:00（北京时间，法定节假日除外）</w:t>
      </w:r>
    </w:p>
    <w:p>
      <w:pPr>
        <w:spacing w:line="360" w:lineRule="auto"/>
        <w:ind w:firstLine="420" w:firstLineChars="200"/>
        <w:jc w:val="left"/>
        <w:rPr>
          <w:rFonts w:ascii="宋体" w:hAnsi="宋体" w:cs="宋体"/>
          <w:szCs w:val="21"/>
        </w:rPr>
      </w:pPr>
      <w:r>
        <w:rPr>
          <w:rFonts w:hint="eastAsia" w:ascii="宋体" w:hAnsi="宋体" w:cs="宋体"/>
          <w:szCs w:val="21"/>
        </w:rPr>
        <w:t>地点：武昌区中北路岳家嘴立交山河企业大厦48楼4805室；</w:t>
      </w:r>
    </w:p>
    <w:p>
      <w:pPr>
        <w:spacing w:line="360" w:lineRule="auto"/>
        <w:ind w:firstLine="420" w:firstLineChars="200"/>
        <w:jc w:val="left"/>
        <w:rPr>
          <w:rFonts w:ascii="宋体" w:hAnsi="宋体" w:cs="宋体"/>
          <w:szCs w:val="21"/>
        </w:rPr>
      </w:pPr>
      <w:r>
        <w:rPr>
          <w:rFonts w:hint="eastAsia" w:ascii="宋体" w:hAnsi="宋体" w:cs="宋体"/>
          <w:szCs w:val="21"/>
        </w:rPr>
        <w:t>现场获取：</w:t>
      </w:r>
      <w:bookmarkEnd w:id="11"/>
      <w:r>
        <w:rPr>
          <w:rFonts w:hint="eastAsia" w:ascii="宋体" w:hAnsi="宋体" w:cs="宋体"/>
          <w:szCs w:val="21"/>
        </w:rPr>
        <w:t>1）法定代表人领取的，凭法定代表人身份证明书（格式见附件）及法定代表人身份证原件领取；2）法定代表人委托他人领取的，凭法定代表人授权书（格式见附件）及受托人身份证原件领取；3）加盖公章的营业执照真彩扫描件、项目报名表（格式见附件）、供应商信用承诺书（格式见附件）、《中小企业声明函》扫描件，格式详见《政府采购促进中小企业发展暂行办法》(财库【2011】181号)（如项目非专门面向中小微企业，则不需要中小企业声明函）；</w:t>
      </w:r>
      <w:r>
        <w:rPr>
          <w:rFonts w:hint="eastAsia" w:ascii="宋体" w:hAnsi="宋体" w:cs="宋体"/>
          <w:szCs w:val="21"/>
        </w:rPr>
        <w:br w:type="textWrapping"/>
      </w:r>
      <w:r>
        <w:rPr>
          <w:rFonts w:hint="eastAsia" w:ascii="宋体" w:hAnsi="宋体" w:cs="宋体"/>
          <w:b/>
          <w:bCs/>
          <w:szCs w:val="21"/>
        </w:rPr>
        <w:t xml:space="preserve">    </w:t>
      </w:r>
      <w:r>
        <w:rPr>
          <w:rFonts w:hint="eastAsia" w:ascii="宋体" w:hAnsi="宋体" w:cs="宋体"/>
          <w:szCs w:val="21"/>
        </w:rPr>
        <w:t>售价：采购文件人民币400元/本，售后不退，不办理邮寄；</w:t>
      </w:r>
    </w:p>
    <w:p>
      <w:pPr>
        <w:pStyle w:val="2"/>
        <w:numPr>
          <w:ilvl w:val="0"/>
          <w:numId w:val="6"/>
        </w:numPr>
        <w:spacing w:line="360" w:lineRule="auto"/>
        <w:jc w:val="left"/>
        <w:rPr>
          <w:rFonts w:ascii="宋体" w:hAnsi="宋体" w:eastAsia="宋体" w:cs="宋体"/>
          <w:sz w:val="21"/>
          <w:szCs w:val="21"/>
        </w:rPr>
      </w:pPr>
      <w:bookmarkStart w:id="12" w:name="_Toc3841"/>
      <w:r>
        <w:rPr>
          <w:rFonts w:hint="eastAsia" w:ascii="宋体" w:hAnsi="宋体" w:eastAsia="宋体" w:cs="宋体"/>
          <w:sz w:val="21"/>
          <w:szCs w:val="21"/>
        </w:rPr>
        <w:t>响应文件提交</w:t>
      </w:r>
      <w:bookmarkEnd w:id="12"/>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开始时间：2020年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15</w:t>
      </w:r>
      <w:r>
        <w:rPr>
          <w:rFonts w:hint="eastAsia" w:asciiTheme="minorEastAsia" w:hAnsiTheme="minorEastAsia" w:eastAsiaTheme="minorEastAsia" w:cstheme="minorEastAsia"/>
          <w:szCs w:val="21"/>
        </w:rPr>
        <w:t>日</w:t>
      </w:r>
      <w:r>
        <w:rPr>
          <w:rFonts w:hint="eastAsia" w:asciiTheme="minorEastAsia" w:hAnsiTheme="minorEastAsia" w:eastAsiaTheme="minorEastAsia" w:cstheme="minorEastAsia"/>
          <w:szCs w:val="21"/>
          <w:lang w:val="en-US" w:eastAsia="zh-CN"/>
        </w:rPr>
        <w:t>08</w:t>
      </w:r>
      <w:r>
        <w:rPr>
          <w:rFonts w:hint="eastAsia" w:asciiTheme="minorEastAsia" w:hAnsiTheme="minorEastAsia" w:eastAsiaTheme="minorEastAsia" w:cstheme="minorEastAsia"/>
          <w:szCs w:val="21"/>
        </w:rPr>
        <w:t>点</w:t>
      </w:r>
      <w:r>
        <w:rPr>
          <w:rFonts w:hint="eastAsia" w:asciiTheme="minorEastAsia" w:hAnsiTheme="minorEastAsia" w:eastAsiaTheme="minorEastAsia" w:cstheme="minorEastAsia"/>
          <w:szCs w:val="21"/>
          <w:lang w:val="en-US" w:eastAsia="zh-CN"/>
        </w:rPr>
        <w:t>3</w:t>
      </w:r>
      <w:bookmarkStart w:id="232" w:name="_GoBack"/>
      <w:bookmarkEnd w:id="232"/>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分（北京时间）</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截止时间：2020年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15</w:t>
      </w:r>
      <w:r>
        <w:rPr>
          <w:rFonts w:hint="eastAsia" w:asciiTheme="minorEastAsia" w:hAnsiTheme="minorEastAsia" w:eastAsiaTheme="minorEastAsia" w:cstheme="minorEastAsia"/>
          <w:szCs w:val="21"/>
        </w:rPr>
        <w:t>日</w:t>
      </w:r>
      <w:r>
        <w:rPr>
          <w:rFonts w:hint="eastAsia" w:asciiTheme="minorEastAsia" w:hAnsiTheme="minorEastAsia" w:eastAsiaTheme="minorEastAsia" w:cstheme="minorEastAsia"/>
          <w:szCs w:val="21"/>
          <w:lang w:val="en-US" w:eastAsia="zh-CN"/>
        </w:rPr>
        <w:t>09</w:t>
      </w:r>
      <w:r>
        <w:rPr>
          <w:rFonts w:hint="eastAsia" w:asciiTheme="minorEastAsia" w:hAnsiTheme="minorEastAsia" w:eastAsiaTheme="minorEastAsia" w:cstheme="minorEastAsia"/>
          <w:szCs w:val="21"/>
        </w:rPr>
        <w:t>点</w:t>
      </w:r>
      <w:r>
        <w:rPr>
          <w:rFonts w:hint="eastAsia" w:asciiTheme="minorEastAsia" w:hAnsiTheme="minorEastAsia" w:eastAsiaTheme="minorEastAsia" w:cstheme="minorEastAsia"/>
          <w:szCs w:val="21"/>
          <w:lang w:val="en-US" w:eastAsia="zh-CN"/>
        </w:rPr>
        <w:t>30</w:t>
      </w:r>
      <w:r>
        <w:rPr>
          <w:rFonts w:hint="eastAsia" w:asciiTheme="minorEastAsia" w:hAnsiTheme="minorEastAsia" w:eastAsiaTheme="minorEastAsia" w:cstheme="minorEastAsia"/>
          <w:szCs w:val="21"/>
        </w:rPr>
        <w:t>分（北京时间）</w:t>
      </w:r>
    </w:p>
    <w:p>
      <w:pPr>
        <w:spacing w:line="360" w:lineRule="auto"/>
        <w:ind w:firstLine="420" w:firstLineChars="200"/>
        <w:jc w:val="left"/>
        <w:rPr>
          <w:rFonts w:ascii="宋体" w:hAnsi="宋体" w:cs="宋体"/>
          <w:szCs w:val="21"/>
        </w:rPr>
      </w:pPr>
      <w:r>
        <w:rPr>
          <w:rFonts w:hint="eastAsia" w:asciiTheme="minorEastAsia" w:hAnsiTheme="minorEastAsia" w:eastAsiaTheme="minorEastAsia" w:cstheme="minorEastAsia"/>
          <w:szCs w:val="21"/>
        </w:rPr>
        <w:t>地点：武昌区中北路岳家嘴立交山河企业大厦4806室</w:t>
      </w:r>
    </w:p>
    <w:p>
      <w:pPr>
        <w:pStyle w:val="2"/>
        <w:numPr>
          <w:ilvl w:val="0"/>
          <w:numId w:val="6"/>
        </w:numPr>
        <w:spacing w:line="360" w:lineRule="auto"/>
        <w:jc w:val="left"/>
        <w:rPr>
          <w:rFonts w:eastAsia="宋体"/>
          <w:sz w:val="21"/>
          <w:szCs w:val="21"/>
        </w:rPr>
      </w:pPr>
      <w:bookmarkStart w:id="13" w:name="_Toc11052"/>
      <w:r>
        <w:rPr>
          <w:rFonts w:hint="eastAsia" w:ascii="宋体" w:hAnsi="宋体" w:eastAsia="宋体" w:cs="宋体"/>
          <w:sz w:val="21"/>
          <w:szCs w:val="21"/>
        </w:rPr>
        <w:t>开启</w:t>
      </w:r>
      <w:bookmarkEnd w:id="13"/>
    </w:p>
    <w:p>
      <w:pPr>
        <w:spacing w:line="360" w:lineRule="auto"/>
        <w:ind w:firstLine="420" w:firstLineChars="200"/>
        <w:jc w:val="left"/>
        <w:rPr>
          <w:szCs w:val="21"/>
        </w:rPr>
      </w:pPr>
      <w:r>
        <w:rPr>
          <w:rFonts w:hint="eastAsia" w:ascii="宋体" w:hAnsi="宋体" w:cs="宋体"/>
          <w:szCs w:val="21"/>
        </w:rPr>
        <w:t>时间：2020年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w:t>
      </w:r>
      <w:r>
        <w:rPr>
          <w:rFonts w:hint="eastAsia" w:ascii="宋体" w:hAnsi="宋体" w:cs="宋体"/>
          <w:szCs w:val="21"/>
          <w:lang w:val="en-US" w:eastAsia="zh-CN"/>
        </w:rPr>
        <w:t>09</w:t>
      </w:r>
      <w:r>
        <w:rPr>
          <w:rFonts w:hint="eastAsia" w:ascii="宋体" w:hAnsi="宋体" w:cs="宋体"/>
          <w:szCs w:val="21"/>
        </w:rPr>
        <w:t>点</w:t>
      </w:r>
      <w:r>
        <w:rPr>
          <w:rFonts w:hint="eastAsia" w:ascii="宋体" w:hAnsi="宋体" w:cs="宋体"/>
          <w:szCs w:val="21"/>
          <w:lang w:val="en-US" w:eastAsia="zh-CN"/>
        </w:rPr>
        <w:t>30</w:t>
      </w:r>
      <w:r>
        <w:rPr>
          <w:rFonts w:hint="eastAsia" w:ascii="宋体" w:hAnsi="宋体" w:cs="宋体"/>
          <w:szCs w:val="21"/>
        </w:rPr>
        <w:t>分（北京时间）</w:t>
      </w:r>
    </w:p>
    <w:p>
      <w:pPr>
        <w:pStyle w:val="2"/>
        <w:numPr>
          <w:ilvl w:val="0"/>
          <w:numId w:val="6"/>
        </w:numPr>
        <w:spacing w:line="360" w:lineRule="auto"/>
        <w:jc w:val="left"/>
        <w:rPr>
          <w:rFonts w:ascii="宋体" w:hAnsi="宋体" w:eastAsia="宋体" w:cs="宋体"/>
          <w:sz w:val="21"/>
          <w:szCs w:val="21"/>
        </w:rPr>
      </w:pPr>
      <w:bookmarkStart w:id="14" w:name="_Toc23624"/>
      <w:r>
        <w:rPr>
          <w:rFonts w:hint="eastAsia" w:ascii="宋体" w:hAnsi="宋体" w:eastAsia="宋体" w:cs="宋体"/>
          <w:sz w:val="21"/>
          <w:szCs w:val="21"/>
        </w:rPr>
        <w:t>公告期限</w:t>
      </w:r>
      <w:bookmarkEnd w:id="14"/>
    </w:p>
    <w:p>
      <w:pPr>
        <w:spacing w:line="360" w:lineRule="auto"/>
        <w:ind w:firstLine="420" w:firstLineChars="200"/>
        <w:jc w:val="left"/>
        <w:rPr>
          <w:rFonts w:ascii="宋体" w:hAnsi="宋体" w:cs="宋体"/>
          <w:szCs w:val="21"/>
        </w:rPr>
      </w:pPr>
      <w:bookmarkStart w:id="15" w:name="_Toc320898024"/>
      <w:bookmarkStart w:id="16" w:name="_Toc276368888"/>
      <w:bookmarkStart w:id="17" w:name="_Toc259607751"/>
      <w:bookmarkStart w:id="18" w:name="_Toc334539188"/>
      <w:bookmarkStart w:id="19" w:name="_Toc317262251"/>
      <w:bookmarkStart w:id="20" w:name="_Toc6021"/>
      <w:r>
        <w:rPr>
          <w:rFonts w:hint="eastAsia" w:ascii="宋体" w:hAnsi="宋体" w:cs="宋体"/>
          <w:szCs w:val="21"/>
        </w:rPr>
        <w:t>自本公告发布之日起至少5个工作日</w:t>
      </w:r>
    </w:p>
    <w:bookmarkEnd w:id="15"/>
    <w:bookmarkEnd w:id="16"/>
    <w:bookmarkEnd w:id="17"/>
    <w:bookmarkEnd w:id="18"/>
    <w:bookmarkEnd w:id="19"/>
    <w:bookmarkEnd w:id="20"/>
    <w:p>
      <w:pPr>
        <w:pStyle w:val="2"/>
        <w:numPr>
          <w:ilvl w:val="0"/>
          <w:numId w:val="6"/>
        </w:numPr>
        <w:spacing w:line="360" w:lineRule="auto"/>
        <w:jc w:val="left"/>
        <w:rPr>
          <w:rFonts w:ascii="宋体" w:hAnsi="宋体" w:eastAsia="宋体" w:cs="宋体"/>
          <w:sz w:val="21"/>
          <w:szCs w:val="21"/>
        </w:rPr>
      </w:pPr>
      <w:bookmarkStart w:id="21" w:name="_Toc17673"/>
      <w:r>
        <w:rPr>
          <w:rFonts w:hint="eastAsia" w:ascii="宋体" w:hAnsi="宋体" w:eastAsia="宋体" w:cs="宋体"/>
          <w:sz w:val="21"/>
          <w:szCs w:val="21"/>
        </w:rPr>
        <w:t>其他补充事宜</w:t>
      </w:r>
      <w:bookmarkEnd w:id="21"/>
    </w:p>
    <w:p>
      <w:pPr>
        <w:spacing w:line="360" w:lineRule="auto"/>
        <w:ind w:firstLine="420" w:firstLineChars="200"/>
        <w:jc w:val="left"/>
        <w:rPr>
          <w:rFonts w:ascii="宋体" w:hAnsi="宋体" w:cs="宋体"/>
          <w:szCs w:val="21"/>
        </w:rPr>
      </w:pPr>
      <w:bookmarkStart w:id="22" w:name="_Toc259028279"/>
      <w:r>
        <w:rPr>
          <w:rFonts w:hint="eastAsia" w:ascii="宋体" w:hAnsi="宋体" w:cs="宋体"/>
          <w:szCs w:val="21"/>
        </w:rPr>
        <w:t>1.本项目是否专门面向中小企业、监狱企业、残疾人福利性单位：否</w:t>
      </w:r>
    </w:p>
    <w:p>
      <w:pPr>
        <w:spacing w:line="360" w:lineRule="auto"/>
        <w:ind w:firstLine="420" w:firstLineChars="200"/>
        <w:jc w:val="left"/>
        <w:rPr>
          <w:rFonts w:ascii="宋体" w:hAnsi="宋体" w:cs="宋体"/>
          <w:szCs w:val="21"/>
        </w:rPr>
      </w:pPr>
      <w:r>
        <w:rPr>
          <w:rFonts w:hint="eastAsia" w:ascii="宋体" w:hAnsi="宋体" w:cs="宋体"/>
          <w:szCs w:val="21"/>
        </w:rPr>
        <w:t>2.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spacing w:line="360" w:lineRule="auto"/>
        <w:ind w:firstLine="420" w:firstLineChars="200"/>
        <w:jc w:val="left"/>
        <w:rPr>
          <w:rFonts w:ascii="宋体" w:hAnsi="宋体" w:cs="宋体"/>
          <w:szCs w:val="21"/>
        </w:rPr>
      </w:pPr>
      <w:r>
        <w:rPr>
          <w:rFonts w:hint="eastAsia" w:ascii="宋体" w:hAnsi="宋体" w:cs="宋体"/>
          <w:szCs w:val="21"/>
        </w:rPr>
        <w:t>3.供应商如需查询技术要求可直接到我处查阅采购文件第三章相关内容。</w:t>
      </w:r>
      <w:r>
        <w:rPr>
          <w:rFonts w:hint="eastAsia" w:ascii="宋体" w:hAnsi="宋体" w:cs="宋体"/>
          <w:szCs w:val="21"/>
        </w:rPr>
        <w:br w:type="textWrapping"/>
      </w:r>
      <w:r>
        <w:rPr>
          <w:rFonts w:hint="eastAsia" w:ascii="宋体" w:hAnsi="宋体" w:cs="宋体"/>
          <w:szCs w:val="21"/>
        </w:rPr>
        <w:t xml:space="preserve">    4.本项目将在以下网站发布所有信息，请参加本项目竞标的供应商密切关注。</w:t>
      </w:r>
      <w:r>
        <w:rPr>
          <w:rFonts w:hint="eastAsia" w:ascii="宋体" w:hAnsi="宋体" w:cs="宋体"/>
          <w:szCs w:val="21"/>
        </w:rPr>
        <w:br w:type="textWrapping"/>
      </w:r>
      <w:r>
        <w:rPr>
          <w:rFonts w:hint="eastAsia" w:ascii="宋体" w:hAnsi="宋体" w:cs="宋体"/>
          <w:szCs w:val="21"/>
        </w:rPr>
        <w:t xml:space="preserve">    （一）《中经国际招标集团有限公司官网》（网址：http://www.ceitcl.com/）</w:t>
      </w:r>
    </w:p>
    <w:bookmarkEnd w:id="22"/>
    <w:p>
      <w:pPr>
        <w:spacing w:line="360" w:lineRule="auto"/>
        <w:ind w:firstLine="420" w:firstLineChars="200"/>
        <w:jc w:val="left"/>
        <w:rPr>
          <w:rFonts w:hint="eastAsia" w:ascii="宋体" w:hAnsi="宋体" w:cs="宋体"/>
          <w:color w:val="000000" w:themeColor="text1"/>
          <w:szCs w:val="21"/>
        </w:rPr>
      </w:pPr>
      <w:bookmarkStart w:id="23" w:name="_Toc12218"/>
      <w:r>
        <w:rPr>
          <w:rFonts w:hint="eastAsia" w:ascii="宋体" w:hAnsi="宋体" w:cs="宋体"/>
          <w:szCs w:val="21"/>
        </w:rPr>
        <w:t>（二）</w:t>
      </w:r>
      <w:r>
        <w:rPr>
          <w:rFonts w:hint="eastAsia" w:ascii="宋体" w:hAnsi="宋体" w:cs="宋体"/>
          <w:color w:val="000000" w:themeColor="text1"/>
          <w:szCs w:val="21"/>
        </w:rPr>
        <w:t>《武汉职业技术学院官网》（网址：</w:t>
      </w:r>
      <w:r>
        <w:fldChar w:fldCharType="begin"/>
      </w:r>
      <w:r>
        <w:instrText xml:space="preserve"> HYPERLINK "http://www.ccgp-hubei.gov.cn/）" </w:instrText>
      </w:r>
      <w:r>
        <w:fldChar w:fldCharType="separate"/>
      </w:r>
      <w:r>
        <w:rPr>
          <w:rFonts w:hint="eastAsia" w:ascii="宋体" w:hAnsi="宋体" w:cs="宋体"/>
          <w:color w:val="000000" w:themeColor="text1"/>
          <w:szCs w:val="21"/>
        </w:rPr>
        <w:t>https://www.whpt.edu.cn/）</w:t>
      </w:r>
      <w:r>
        <w:rPr>
          <w:rFonts w:hint="eastAsia" w:ascii="宋体" w:hAnsi="宋体" w:cs="宋体"/>
          <w:color w:val="000000" w:themeColor="text1"/>
          <w:szCs w:val="21"/>
        </w:rPr>
        <w:fldChar w:fldCharType="end"/>
      </w:r>
    </w:p>
    <w:p>
      <w:pPr>
        <w:spacing w:line="360" w:lineRule="auto"/>
        <w:ind w:firstLine="420" w:firstLineChars="200"/>
        <w:jc w:val="left"/>
      </w:pPr>
      <w:r>
        <w:rPr>
          <w:rFonts w:hint="eastAsia" w:ascii="宋体" w:hAnsi="宋体" w:cs="宋体"/>
          <w:color w:val="000000" w:themeColor="text1"/>
          <w:szCs w:val="21"/>
          <w:lang w:eastAsia="zh-CN"/>
        </w:rPr>
        <w:t>（三）</w:t>
      </w:r>
      <w:r>
        <w:rPr>
          <w:rFonts w:hint="eastAsia" w:ascii="宋体" w:hAnsi="宋体" w:cs="宋体"/>
          <w:color w:val="000000" w:themeColor="text1"/>
          <w:szCs w:val="21"/>
        </w:rPr>
        <w:t>《中国政府采购网》（网址：http://www.ccgp.gov.cn/）</w:t>
      </w:r>
    </w:p>
    <w:p>
      <w:pPr>
        <w:pStyle w:val="2"/>
        <w:numPr>
          <w:ilvl w:val="0"/>
          <w:numId w:val="6"/>
        </w:numPr>
        <w:spacing w:line="360" w:lineRule="auto"/>
        <w:jc w:val="left"/>
        <w:rPr>
          <w:rFonts w:ascii="宋体" w:hAnsi="宋体" w:eastAsia="宋体" w:cs="宋体"/>
          <w:sz w:val="21"/>
          <w:szCs w:val="21"/>
        </w:rPr>
      </w:pPr>
      <w:r>
        <w:rPr>
          <w:rFonts w:hint="eastAsia" w:ascii="宋体" w:hAnsi="宋体" w:eastAsia="宋体" w:cs="宋体"/>
          <w:sz w:val="21"/>
          <w:szCs w:val="21"/>
        </w:rPr>
        <w:t>凡对本次采购提出询问，请按以下方式联系</w:t>
      </w:r>
      <w:bookmarkEnd w:id="23"/>
    </w:p>
    <w:p>
      <w:pPr>
        <w:spacing w:line="360" w:lineRule="auto"/>
        <w:ind w:firstLine="420" w:firstLineChars="200"/>
        <w:jc w:val="left"/>
        <w:rPr>
          <w:rFonts w:ascii="宋体" w:hAnsi="宋体" w:cs="宋体"/>
          <w:szCs w:val="21"/>
        </w:rPr>
      </w:pPr>
      <w:r>
        <w:rPr>
          <w:rFonts w:hint="eastAsia" w:ascii="宋体" w:hAnsi="宋体" w:cs="宋体"/>
          <w:szCs w:val="21"/>
        </w:rPr>
        <w:t>1.采购人信息</w:t>
      </w:r>
    </w:p>
    <w:p>
      <w:pPr>
        <w:spacing w:line="360" w:lineRule="auto"/>
        <w:ind w:firstLine="420" w:firstLineChars="200"/>
        <w:jc w:val="left"/>
        <w:rPr>
          <w:rFonts w:ascii="宋体" w:hAnsi="宋体" w:cs="宋体"/>
          <w:szCs w:val="21"/>
        </w:rPr>
      </w:pPr>
      <w:r>
        <w:rPr>
          <w:rFonts w:hint="eastAsia" w:ascii="宋体" w:hAnsi="宋体" w:cs="宋体"/>
          <w:szCs w:val="21"/>
        </w:rPr>
        <w:t>名 称：武汉职业技术学院　　　　　　　　　　　　</w:t>
      </w:r>
    </w:p>
    <w:p>
      <w:pPr>
        <w:spacing w:line="360" w:lineRule="auto"/>
        <w:ind w:firstLine="420" w:firstLineChars="200"/>
        <w:jc w:val="left"/>
        <w:rPr>
          <w:rFonts w:ascii="宋体" w:hAnsi="宋体" w:cs="宋体"/>
          <w:szCs w:val="21"/>
        </w:rPr>
      </w:pPr>
      <w:r>
        <w:rPr>
          <w:rFonts w:hint="eastAsia" w:ascii="宋体" w:hAnsi="宋体" w:cs="宋体"/>
          <w:szCs w:val="21"/>
        </w:rPr>
        <w:t>地 址：武汉市关山大道463号　　　　　　　　　　　</w:t>
      </w:r>
    </w:p>
    <w:p>
      <w:pPr>
        <w:spacing w:line="360" w:lineRule="auto"/>
        <w:ind w:firstLine="420" w:firstLineChars="200"/>
        <w:jc w:val="left"/>
        <w:rPr>
          <w:rFonts w:ascii="宋体" w:hAnsi="宋体" w:cs="宋体"/>
          <w:szCs w:val="21"/>
        </w:rPr>
      </w:pPr>
      <w:r>
        <w:rPr>
          <w:rFonts w:hint="eastAsia" w:ascii="宋体" w:hAnsi="宋体" w:cs="宋体"/>
          <w:szCs w:val="21"/>
        </w:rPr>
        <w:t xml:space="preserve">联系方式：计老师、027-87760190 　　　　　　　　　　　　 </w:t>
      </w:r>
    </w:p>
    <w:p>
      <w:pPr>
        <w:spacing w:line="360" w:lineRule="auto"/>
        <w:ind w:firstLine="420" w:firstLineChars="200"/>
        <w:jc w:val="left"/>
        <w:rPr>
          <w:rFonts w:ascii="宋体" w:hAnsi="宋体" w:cs="宋体"/>
          <w:szCs w:val="21"/>
        </w:rPr>
      </w:pPr>
      <w:r>
        <w:rPr>
          <w:rFonts w:hint="eastAsia" w:ascii="宋体" w:hAnsi="宋体" w:cs="宋体"/>
          <w:szCs w:val="21"/>
        </w:rPr>
        <w:t>2.采购代理机构信息</w:t>
      </w:r>
    </w:p>
    <w:p>
      <w:pPr>
        <w:spacing w:line="360" w:lineRule="auto"/>
        <w:ind w:firstLine="420" w:firstLineChars="200"/>
        <w:jc w:val="left"/>
        <w:rPr>
          <w:rFonts w:ascii="宋体" w:hAnsi="宋体" w:cs="宋体"/>
          <w:szCs w:val="21"/>
        </w:rPr>
      </w:pPr>
      <w:r>
        <w:rPr>
          <w:rFonts w:hint="eastAsia" w:ascii="宋体" w:hAnsi="宋体" w:cs="宋体"/>
          <w:szCs w:val="21"/>
        </w:rPr>
        <w:t>名  称：中经国际招标集团有限公司　　　　　　　　　　　　</w:t>
      </w:r>
    </w:p>
    <w:p>
      <w:pPr>
        <w:spacing w:line="360" w:lineRule="auto"/>
        <w:ind w:firstLine="420" w:firstLineChars="200"/>
        <w:jc w:val="left"/>
        <w:rPr>
          <w:rFonts w:ascii="宋体" w:hAnsi="宋体" w:cs="宋体"/>
          <w:szCs w:val="21"/>
        </w:rPr>
      </w:pPr>
      <w:r>
        <w:rPr>
          <w:rFonts w:hint="eastAsia" w:ascii="宋体" w:hAnsi="宋体" w:cs="宋体"/>
          <w:szCs w:val="21"/>
        </w:rPr>
        <w:t>地　址：武昌区中北路岳家嘴立交山河企业大厦48楼4805、4806室　　　　　　　　　　　　</w:t>
      </w:r>
    </w:p>
    <w:p>
      <w:pPr>
        <w:spacing w:line="360" w:lineRule="auto"/>
        <w:ind w:firstLine="420" w:firstLineChars="200"/>
        <w:jc w:val="left"/>
        <w:rPr>
          <w:rFonts w:ascii="宋体" w:hAnsi="宋体" w:cs="宋体"/>
          <w:szCs w:val="21"/>
        </w:rPr>
      </w:pPr>
      <w:r>
        <w:rPr>
          <w:rFonts w:hint="eastAsia" w:ascii="宋体" w:hAnsi="宋体" w:cs="宋体"/>
          <w:szCs w:val="21"/>
        </w:rPr>
        <w:t>联系方式：027-87820788　　　　　　　　　　　　</w:t>
      </w:r>
    </w:p>
    <w:p>
      <w:pPr>
        <w:spacing w:line="360" w:lineRule="auto"/>
        <w:ind w:firstLine="420" w:firstLineChars="200"/>
        <w:jc w:val="left"/>
        <w:rPr>
          <w:rFonts w:ascii="宋体" w:hAnsi="宋体" w:cs="宋体"/>
          <w:szCs w:val="21"/>
        </w:rPr>
      </w:pPr>
      <w:r>
        <w:rPr>
          <w:rFonts w:hint="eastAsia" w:ascii="宋体" w:hAnsi="宋体" w:cs="宋体"/>
          <w:szCs w:val="21"/>
        </w:rPr>
        <w:t>3.项目联系方式</w:t>
      </w:r>
    </w:p>
    <w:p>
      <w:pPr>
        <w:spacing w:line="360" w:lineRule="auto"/>
        <w:ind w:firstLine="420" w:firstLineChars="200"/>
        <w:jc w:val="left"/>
        <w:rPr>
          <w:rFonts w:ascii="宋体" w:hAnsi="宋体" w:cs="宋体"/>
          <w:szCs w:val="21"/>
        </w:rPr>
      </w:pPr>
      <w:r>
        <w:rPr>
          <w:rFonts w:hint="eastAsia" w:ascii="宋体" w:hAnsi="宋体" w:cs="宋体"/>
          <w:szCs w:val="21"/>
        </w:rPr>
        <w:t>项目联系人：张梦、方雪菲、刘晋琦</w:t>
      </w:r>
    </w:p>
    <w:p>
      <w:pPr>
        <w:spacing w:line="360" w:lineRule="auto"/>
        <w:ind w:firstLine="420" w:firstLineChars="200"/>
        <w:jc w:val="left"/>
        <w:rPr>
          <w:rFonts w:asciiTheme="minorEastAsia" w:hAnsiTheme="minorEastAsia" w:eastAsiaTheme="minorEastAsia" w:cstheme="minorEastAsia"/>
          <w:szCs w:val="21"/>
        </w:rPr>
      </w:pPr>
      <w:r>
        <w:rPr>
          <w:rFonts w:hint="eastAsia" w:ascii="宋体" w:hAnsi="宋体" w:cs="宋体"/>
          <w:szCs w:val="21"/>
        </w:rPr>
        <w:t>电    　话：027-87820788　　</w:t>
      </w:r>
    </w:p>
    <w:p>
      <w:pPr>
        <w:pStyle w:val="2"/>
        <w:numPr>
          <w:ilvl w:val="0"/>
          <w:numId w:val="6"/>
        </w:numPr>
        <w:spacing w:line="360"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bookmarkStart w:id="24" w:name="_Toc30016"/>
      <w:r>
        <w:rPr>
          <w:rFonts w:hint="eastAsia" w:asciiTheme="minorEastAsia" w:hAnsiTheme="minorEastAsia" w:eastAsiaTheme="minorEastAsia" w:cstheme="minorEastAsia"/>
          <w:sz w:val="21"/>
          <w:szCs w:val="21"/>
        </w:rPr>
        <w:t>注意事项</w:t>
      </w:r>
      <w:bookmarkEnd w:id="24"/>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1、供应商在获取本项目竞争性磋商文件前须仔细阅读资格要求内容，并按磋商文件规定要求在响应文件中递交合格有效的资格证明文件，资格审查不合格将导致竞标失败。</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对自己所提供的资格证明材料的真实性负责，无论何时，如发现供应商提供虚假的材料，将按照《中华人民共和国政府采购法》及本项目竞争性磋商文件的有关规定进行严肃处理，并在相关网站上进行通报。</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请供应商仔细阅读本磋商文件的全部条文，对于文件中存在的任何含糊、遗漏、相互矛盾之处，或是对于采购范围的界定和采购内容的要求不清楚，认为存在歧义的，供应商应按本文件规定的时限向采购代理机构寻求书面澄清；未提出澄清要求的，则认同为完全理解本文件要求并接受采购人或采购代理机构可能作出的任何最终解释。</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关于本项目磋商文件有关内容的澄清、修改及变更等通知将通过书面形式经邮箱通知各供应商同时电话或短信告知，若采购人或采购代理机构未收到回复，视为收悉，并默认通知内容。若因供应商自身原因接收消息不及时，导致竞标受影响，其后果自行承担。</w:t>
      </w:r>
    </w:p>
    <w:p>
      <w:pPr>
        <w:spacing w:line="360" w:lineRule="auto"/>
        <w:rPr>
          <w:rFonts w:asciiTheme="minorEastAsia" w:hAnsiTheme="minorEastAsia" w:eastAsiaTheme="minorEastAsia" w:cstheme="minorEastAsia"/>
        </w:rPr>
      </w:pPr>
    </w:p>
    <w:p>
      <w:pPr>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中经国际招标集团有限公司</w:t>
      </w:r>
    </w:p>
    <w:p>
      <w:pPr>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2020年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29</w:t>
      </w:r>
      <w:r>
        <w:rPr>
          <w:rFonts w:hint="eastAsia" w:asciiTheme="minorEastAsia" w:hAnsiTheme="minorEastAsia" w:eastAsiaTheme="minorEastAsia" w:cstheme="minorEastAsia"/>
          <w:szCs w:val="21"/>
        </w:rPr>
        <w:t>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20"/>
        <w:rPr>
          <w:rFonts w:asciiTheme="minorEastAsia" w:hAnsiTheme="minorEastAsia" w:eastAsiaTheme="minorEastAsia" w:cstheme="minorEastAsia"/>
        </w:rPr>
      </w:pPr>
    </w:p>
    <w:p>
      <w:pPr>
        <w:numPr>
          <w:ilvl w:val="0"/>
          <w:numId w:val="4"/>
        </w:num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6"/>
          <w:szCs w:val="36"/>
        </w:rPr>
        <w:br w:type="page"/>
      </w:r>
    </w:p>
    <w:p>
      <w:pPr>
        <w:pStyle w:val="3"/>
        <w:numPr>
          <w:ilvl w:val="0"/>
          <w:numId w:val="4"/>
        </w:numPr>
        <w:jc w:val="center"/>
        <w:rPr>
          <w:rFonts w:asciiTheme="minorEastAsia" w:hAnsiTheme="minorEastAsia" w:eastAsiaTheme="minorEastAsia" w:cstheme="minorEastAsia"/>
          <w:sz w:val="32"/>
          <w:szCs w:val="32"/>
        </w:rPr>
      </w:pPr>
      <w:bookmarkStart w:id="25" w:name="_Toc30354"/>
      <w:r>
        <w:rPr>
          <w:rFonts w:hint="eastAsia" w:asciiTheme="minorEastAsia" w:hAnsiTheme="minorEastAsia" w:eastAsiaTheme="minorEastAsia" w:cstheme="minorEastAsia"/>
          <w:sz w:val="36"/>
          <w:szCs w:val="36"/>
        </w:rPr>
        <w:t>供应商须知</w:t>
      </w:r>
      <w:bookmarkEnd w:id="25"/>
    </w:p>
    <w:p>
      <w:pPr>
        <w:autoSpaceDE w:val="0"/>
        <w:autoSpaceDN w:val="0"/>
        <w:adjustRightInd w:val="0"/>
        <w:spacing w:line="360" w:lineRule="auto"/>
        <w:jc w:val="center"/>
        <w:outlineLvl w:val="1"/>
        <w:rPr>
          <w:rFonts w:asciiTheme="minorEastAsia" w:hAnsiTheme="minorEastAsia" w:eastAsiaTheme="minorEastAsia" w:cstheme="minorEastAsia"/>
          <w:b/>
          <w:szCs w:val="21"/>
          <w:lang w:val="zh-CN"/>
        </w:rPr>
      </w:pPr>
      <w:bookmarkStart w:id="26" w:name="_Toc5340"/>
      <w:r>
        <w:rPr>
          <w:rFonts w:hint="eastAsia" w:asciiTheme="minorEastAsia" w:hAnsiTheme="minorEastAsia" w:eastAsiaTheme="minorEastAsia" w:cstheme="minorEastAsia"/>
          <w:b/>
          <w:szCs w:val="21"/>
        </w:rPr>
        <w:t>《供应商须知前附表》</w:t>
      </w:r>
      <w:bookmarkEnd w:id="26"/>
    </w:p>
    <w:p>
      <w:pPr>
        <w:autoSpaceDE w:val="0"/>
        <w:autoSpaceDN w:val="0"/>
        <w:adjustRightInd w:val="0"/>
        <w:spacing w:line="360" w:lineRule="auto"/>
        <w:ind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磋商供应商应仔细阅读竞争性磋商采购文件的第二章“供应商须知”，下面所列资料是对“供应商须知”的具体补充和说明。</w:t>
      </w:r>
      <w:r>
        <w:rPr>
          <w:rFonts w:hint="eastAsia" w:asciiTheme="minorEastAsia" w:hAnsiTheme="minorEastAsia" w:eastAsiaTheme="minorEastAsia" w:cstheme="minorEastAsia"/>
          <w:szCs w:val="21"/>
          <w:lang w:val="zh-CN"/>
        </w:rPr>
        <w:t>如有矛盾，应以本表为准。</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14"/>
        <w:gridCol w:w="212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jc w:val="center"/>
        </w:trPr>
        <w:tc>
          <w:tcPr>
            <w:tcW w:w="814" w:type="dxa"/>
            <w:shd w:val="clear" w:color="auto" w:fill="F1F1F1"/>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zh-CN"/>
              </w:rPr>
              <w:t>条款号</w:t>
            </w:r>
          </w:p>
        </w:tc>
        <w:tc>
          <w:tcPr>
            <w:tcW w:w="2127" w:type="dxa"/>
            <w:shd w:val="clear" w:color="auto" w:fill="F1F1F1"/>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szCs w:val="21"/>
                <w:lang w:val="zh-CN"/>
              </w:rPr>
              <w:t>条款名称</w:t>
            </w:r>
          </w:p>
        </w:tc>
        <w:tc>
          <w:tcPr>
            <w:tcW w:w="6130" w:type="dxa"/>
            <w:shd w:val="clear" w:color="auto" w:fill="F1F1F1"/>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6"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2.1</w:t>
            </w:r>
          </w:p>
        </w:tc>
        <w:tc>
          <w:tcPr>
            <w:tcW w:w="2127"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采购人</w:t>
            </w:r>
          </w:p>
        </w:tc>
        <w:tc>
          <w:tcPr>
            <w:tcW w:w="6130" w:type="dxa"/>
            <w:vAlign w:val="center"/>
          </w:tcPr>
          <w:p>
            <w:pPr>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武汉职业技术学院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2127" w:type="dxa"/>
            <w:vAlign w:val="center"/>
          </w:tcPr>
          <w:p>
            <w:pPr>
              <w:pStyle w:val="24"/>
              <w:widowControl w:val="0"/>
              <w:autoSpaceDE w:val="0"/>
              <w:autoSpaceDN w:val="0"/>
              <w:adjustRightInd w:val="0"/>
              <w:spacing w:before="0" w:beforeAutospacing="0" w:after="0" w:afterAutospacing="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监管部门</w:t>
            </w:r>
          </w:p>
        </w:tc>
        <w:tc>
          <w:tcPr>
            <w:tcW w:w="6130" w:type="dxa"/>
            <w:vAlign w:val="center"/>
          </w:tcPr>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武汉职业技术学院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2127"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采购代理机构</w:t>
            </w:r>
          </w:p>
        </w:tc>
        <w:tc>
          <w:tcPr>
            <w:tcW w:w="6130" w:type="dxa"/>
            <w:vAlign w:val="center"/>
          </w:tcPr>
          <w:p>
            <w:pPr>
              <w:pStyle w:val="24"/>
              <w:widowControl w:val="0"/>
              <w:autoSpaceDE w:val="0"/>
              <w:autoSpaceDN w:val="0"/>
              <w:adjustRightInd w:val="0"/>
              <w:spacing w:beforeLines="10" w:beforeAutospacing="0" w:afterLines="10" w:afterAutospacing="0"/>
              <w:ind w:left="21" w:leftChars="10" w:right="21" w:rightChars="10"/>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中经国际招标集团有限公司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2.5</w:t>
            </w:r>
          </w:p>
        </w:tc>
        <w:tc>
          <w:tcPr>
            <w:tcW w:w="2127"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磋商供应商</w:t>
            </w:r>
          </w:p>
        </w:tc>
        <w:tc>
          <w:tcPr>
            <w:tcW w:w="6130" w:type="dxa"/>
            <w:vAlign w:val="center"/>
          </w:tcPr>
          <w:p>
            <w:pPr>
              <w:pStyle w:val="24"/>
              <w:widowControl w:val="0"/>
              <w:autoSpaceDE w:val="0"/>
              <w:autoSpaceDN w:val="0"/>
              <w:adjustRightInd w:val="0"/>
              <w:spacing w:beforeLines="10" w:beforeAutospacing="0" w:afterLines="10" w:afterAutospacing="0"/>
              <w:ind w:right="21" w:rightChars="10"/>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sz w:val="21"/>
                <w:szCs w:val="21"/>
                <w:lang w:val="zh-CN"/>
              </w:rPr>
              <w:t>详见</w:t>
            </w:r>
            <w:r>
              <w:rPr>
                <w:rFonts w:asciiTheme="minorEastAsia" w:hAnsiTheme="minorEastAsia" w:eastAsiaTheme="minorEastAsia" w:cstheme="minorEastAsia"/>
                <w:sz w:val="21"/>
                <w:szCs w:val="21"/>
              </w:rPr>
              <w:t>第一章第二款相关要求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4.2</w:t>
            </w:r>
          </w:p>
        </w:tc>
        <w:tc>
          <w:tcPr>
            <w:tcW w:w="2127" w:type="dxa"/>
            <w:vAlign w:val="center"/>
          </w:tcPr>
          <w:p>
            <w:pPr>
              <w:autoSpaceDE w:val="0"/>
              <w:autoSpaceDN w:val="0"/>
              <w:adjustRightInd w:val="0"/>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招标代理服务费</w:t>
            </w:r>
          </w:p>
        </w:tc>
        <w:tc>
          <w:tcPr>
            <w:tcW w:w="6130" w:type="dxa"/>
            <w:vAlign w:val="center"/>
          </w:tcPr>
          <w:p>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国家发展与改革委员会办公厅发改办价格【2003】857号文的规定，经与采购人协商，由中标人按国家发展计划委员会计价格【2002】1980号文规定的货物类70%取费标准向采购代理机构支付招标代理服务费。招标代理服务费由中标人在领取成交通知书的同时，向采购代理机构支付。不足肆仟元按肆仟元保底收费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6.2</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提疑截止时间</w:t>
            </w:r>
          </w:p>
        </w:tc>
        <w:tc>
          <w:tcPr>
            <w:tcW w:w="6130" w:type="dxa"/>
            <w:vAlign w:val="center"/>
          </w:tcPr>
          <w:p>
            <w:pPr>
              <w:pStyle w:val="24"/>
              <w:widowControl w:val="0"/>
              <w:autoSpaceDE w:val="0"/>
              <w:autoSpaceDN w:val="0"/>
              <w:adjustRightInd w:val="0"/>
              <w:spacing w:beforeLines="10" w:beforeAutospacing="0" w:afterLines="10" w:afterAutospacing="0"/>
              <w:ind w:right="21" w:rightChars="10"/>
              <w:rPr>
                <w:rFonts w:hint="default" w:asciiTheme="minorEastAsia" w:hAnsiTheme="minorEastAsia" w:eastAsiaTheme="minorEastAsia" w:cstheme="minorEastAsia"/>
                <w:sz w:val="21"/>
                <w:szCs w:val="21"/>
                <w:lang w:val="zh-CN"/>
              </w:rPr>
            </w:pPr>
            <w:r>
              <w:rPr>
                <w:rFonts w:asciiTheme="minorEastAsia" w:hAnsiTheme="minorEastAsia" w:eastAsiaTheme="minorEastAsia" w:cstheme="minorEastAsia"/>
                <w:sz w:val="21"/>
                <w:szCs w:val="21"/>
              </w:rPr>
              <w:t>供应商</w:t>
            </w:r>
            <w:r>
              <w:rPr>
                <w:rFonts w:asciiTheme="minorEastAsia" w:hAnsiTheme="minorEastAsia" w:eastAsiaTheme="minorEastAsia" w:cstheme="minorEastAsia"/>
                <w:sz w:val="21"/>
                <w:szCs w:val="21"/>
                <w:lang w:val="zh-CN"/>
              </w:rPr>
              <w:t>对</w:t>
            </w:r>
            <w:r>
              <w:rPr>
                <w:rFonts w:asciiTheme="minorEastAsia" w:hAnsiTheme="minorEastAsia" w:eastAsiaTheme="minorEastAsia" w:cstheme="minorEastAsia"/>
                <w:sz w:val="21"/>
                <w:szCs w:val="21"/>
              </w:rPr>
              <w:t>磋商</w:t>
            </w:r>
            <w:r>
              <w:rPr>
                <w:rFonts w:asciiTheme="minorEastAsia" w:hAnsiTheme="minorEastAsia" w:eastAsiaTheme="minorEastAsia" w:cstheme="minorEastAsia"/>
                <w:sz w:val="21"/>
                <w:szCs w:val="21"/>
                <w:lang w:val="zh-CN"/>
              </w:rPr>
              <w:t>文件有异议</w:t>
            </w:r>
            <w:r>
              <w:rPr>
                <w:rFonts w:asciiTheme="minorEastAsia" w:hAnsiTheme="minorEastAsia" w:eastAsiaTheme="minorEastAsia" w:cstheme="minorEastAsia"/>
                <w:sz w:val="21"/>
                <w:szCs w:val="21"/>
              </w:rPr>
              <w:t>或疑问</w:t>
            </w:r>
            <w:r>
              <w:rPr>
                <w:rFonts w:asciiTheme="minorEastAsia" w:hAnsiTheme="minorEastAsia" w:eastAsiaTheme="minorEastAsia" w:cstheme="minorEastAsia"/>
                <w:sz w:val="21"/>
                <w:szCs w:val="21"/>
                <w:lang w:val="zh-CN"/>
              </w:rPr>
              <w:t>的，均应以书面形式在</w:t>
            </w:r>
          </w:p>
          <w:p>
            <w:pPr>
              <w:pStyle w:val="24"/>
              <w:widowControl w:val="0"/>
              <w:autoSpaceDE w:val="0"/>
              <w:autoSpaceDN w:val="0"/>
              <w:adjustRightInd w:val="0"/>
              <w:spacing w:beforeLines="10" w:beforeAutospacing="0" w:afterLines="10" w:afterAutospacing="0"/>
              <w:ind w:right="21" w:rightChars="10"/>
              <w:rPr>
                <w:rFonts w:hint="default" w:asciiTheme="minorEastAsia" w:hAnsiTheme="minorEastAsia" w:eastAsiaTheme="minorEastAsia" w:cstheme="minorEastAsia"/>
                <w:sz w:val="21"/>
                <w:szCs w:val="21"/>
                <w:lang w:val="zh-CN"/>
              </w:rPr>
            </w:pPr>
            <w:r>
              <w:rPr>
                <w:rFonts w:asciiTheme="minorEastAsia" w:hAnsiTheme="minorEastAsia" w:eastAsiaTheme="minorEastAsia" w:cstheme="minorEastAsia"/>
                <w:sz w:val="21"/>
                <w:szCs w:val="21"/>
                <w:lang w:val="zh-CN"/>
              </w:rPr>
              <w:t>2020年</w:t>
            </w:r>
            <w:r>
              <w:rPr>
                <w:rFonts w:hint="eastAsia" w:asciiTheme="minorEastAsia" w:hAnsiTheme="minorEastAsia" w:eastAsiaTheme="minorEastAsia" w:cstheme="minorEastAsia"/>
                <w:sz w:val="21"/>
                <w:szCs w:val="21"/>
                <w:lang w:val="en-US" w:eastAsia="zh-CN"/>
              </w:rPr>
              <w:t>10</w:t>
            </w:r>
            <w:r>
              <w:rPr>
                <w:rFonts w:asciiTheme="minorEastAsia" w:hAnsiTheme="minorEastAsia" w:eastAsiaTheme="minorEastAsia" w:cstheme="minorEastAsia"/>
                <w:sz w:val="21"/>
                <w:szCs w:val="21"/>
                <w:lang w:val="zh-CN"/>
              </w:rPr>
              <w:t>月</w:t>
            </w:r>
            <w:r>
              <w:rPr>
                <w:rFonts w:hint="eastAsia" w:asciiTheme="minorEastAsia" w:hAnsiTheme="minorEastAsia" w:eastAsiaTheme="minorEastAsia" w:cstheme="minorEastAsia"/>
                <w:sz w:val="21"/>
                <w:szCs w:val="21"/>
                <w:lang w:val="en-US" w:eastAsia="zh-CN"/>
              </w:rPr>
              <w:t>14</w:t>
            </w:r>
            <w:r>
              <w:rPr>
                <w:rFonts w:asciiTheme="minorEastAsia" w:hAnsiTheme="minorEastAsia" w:eastAsiaTheme="minorEastAsia" w:cstheme="minorEastAsia"/>
                <w:sz w:val="21"/>
                <w:szCs w:val="21"/>
                <w:lang w:val="zh-CN"/>
              </w:rPr>
              <w:t>日</w:t>
            </w:r>
            <w:r>
              <w:rPr>
                <w:rFonts w:asciiTheme="minorEastAsia" w:hAnsiTheme="minorEastAsia" w:eastAsiaTheme="minorEastAsia" w:cstheme="minorEastAsia"/>
                <w:sz w:val="21"/>
                <w:szCs w:val="21"/>
              </w:rPr>
              <w:t>17</w:t>
            </w:r>
            <w:r>
              <w:rPr>
                <w:rFonts w:asciiTheme="minorEastAsia" w:hAnsiTheme="minorEastAsia" w:eastAsiaTheme="minorEastAsia" w:cstheme="minorEastAsia"/>
                <w:sz w:val="21"/>
                <w:szCs w:val="21"/>
                <w:lang w:val="zh-CN"/>
              </w:rPr>
              <w:t>:</w:t>
            </w:r>
            <w:r>
              <w:rPr>
                <w:rFonts w:asciiTheme="minorEastAsia" w:hAnsiTheme="minorEastAsia" w:eastAsiaTheme="minorEastAsia" w:cstheme="minorEastAsia"/>
                <w:sz w:val="21"/>
                <w:szCs w:val="21"/>
              </w:rPr>
              <w:t>0</w:t>
            </w:r>
            <w:r>
              <w:rPr>
                <w:rFonts w:asciiTheme="minorEastAsia" w:hAnsiTheme="minorEastAsia" w:eastAsiaTheme="minorEastAsia" w:cstheme="minorEastAsia"/>
                <w:sz w:val="21"/>
                <w:szCs w:val="21"/>
                <w:lang w:val="zh-CN"/>
              </w:rPr>
              <w:t>0时前（北京时间），通知采购代理机构。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rPr>
            </w:pPr>
            <w:r>
              <w:rPr>
                <w:rFonts w:asciiTheme="minorEastAsia" w:hAnsiTheme="minorEastAsia" w:eastAsiaTheme="minorEastAsia" w:cstheme="minorEastAsia"/>
                <w:kern w:val="2"/>
                <w:sz w:val="21"/>
                <w:szCs w:val="21"/>
              </w:rPr>
              <w:t>7.1</w:t>
            </w:r>
          </w:p>
        </w:tc>
        <w:tc>
          <w:tcPr>
            <w:tcW w:w="2127" w:type="dxa"/>
            <w:vAlign w:val="center"/>
          </w:tcPr>
          <w:p>
            <w:pPr>
              <w:autoSpaceDE w:val="0"/>
              <w:autoSpaceDN w:val="0"/>
              <w:adjustRightInd w:val="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供应商确认收到磋商</w:t>
            </w:r>
          </w:p>
          <w:p>
            <w:pPr>
              <w:autoSpaceDE w:val="0"/>
              <w:autoSpaceDN w:val="0"/>
              <w:adjustRightInd w:val="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文件澄清或者修改的</w:t>
            </w:r>
          </w:p>
          <w:p>
            <w:pPr>
              <w:autoSpaceDE w:val="0"/>
              <w:autoSpaceDN w:val="0"/>
              <w:adjustRightInd w:val="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时间</w:t>
            </w:r>
          </w:p>
        </w:tc>
        <w:tc>
          <w:tcPr>
            <w:tcW w:w="6130" w:type="dxa"/>
            <w:vAlign w:val="center"/>
          </w:tcPr>
          <w:p>
            <w:pPr>
              <w:pStyle w:val="24"/>
              <w:widowControl w:val="0"/>
              <w:autoSpaceDE w:val="0"/>
              <w:autoSpaceDN w:val="0"/>
              <w:adjustRightInd w:val="0"/>
              <w:spacing w:beforeLines="10" w:beforeAutospacing="0" w:afterLines="10" w:afterAutospacing="0"/>
              <w:ind w:right="21" w:rightChars="10"/>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10.4</w:t>
            </w:r>
          </w:p>
        </w:tc>
        <w:tc>
          <w:tcPr>
            <w:tcW w:w="2127" w:type="dxa"/>
            <w:vAlign w:val="center"/>
          </w:tcPr>
          <w:p>
            <w:pPr>
              <w:autoSpaceDE w:val="0"/>
              <w:autoSpaceDN w:val="0"/>
              <w:adjustRightInd w:val="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对多</w:t>
            </w:r>
            <w:r>
              <w:rPr>
                <w:rFonts w:hint="eastAsia" w:asciiTheme="minorEastAsia" w:hAnsiTheme="minorEastAsia" w:eastAsiaTheme="minorEastAsia" w:cstheme="minorEastAsia"/>
                <w:snapToGrid w:val="0"/>
                <w:kern w:val="0"/>
                <w:szCs w:val="21"/>
              </w:rPr>
              <w:t>包</w:t>
            </w:r>
            <w:r>
              <w:rPr>
                <w:rFonts w:hint="eastAsia" w:asciiTheme="minorEastAsia" w:hAnsiTheme="minorEastAsia" w:eastAsiaTheme="minorEastAsia" w:cstheme="minorEastAsia"/>
                <w:snapToGrid w:val="0"/>
                <w:kern w:val="0"/>
                <w:szCs w:val="21"/>
                <w:lang w:val="zh-CN"/>
              </w:rPr>
              <w:t>采购的规定</w:t>
            </w:r>
          </w:p>
        </w:tc>
        <w:tc>
          <w:tcPr>
            <w:tcW w:w="6130" w:type="dxa"/>
            <w:vAlign w:val="center"/>
          </w:tcPr>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详见</w:t>
            </w:r>
            <w:r>
              <w:rPr>
                <w:rFonts w:hint="eastAsia" w:asciiTheme="minorEastAsia" w:hAnsiTheme="minorEastAsia" w:eastAsiaTheme="minorEastAsia" w:cstheme="minorEastAsia"/>
                <w:szCs w:val="21"/>
              </w:rPr>
              <w:t>第一章第一款相关要求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12.1</w:t>
            </w:r>
          </w:p>
        </w:tc>
        <w:tc>
          <w:tcPr>
            <w:tcW w:w="2127" w:type="dxa"/>
            <w:vAlign w:val="center"/>
          </w:tcPr>
          <w:p>
            <w:pPr>
              <w:autoSpaceDE w:val="0"/>
              <w:autoSpaceDN w:val="0"/>
              <w:adjustRightInd w:val="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备选方案</w:t>
            </w:r>
          </w:p>
        </w:tc>
        <w:tc>
          <w:tcPr>
            <w:tcW w:w="6130" w:type="dxa"/>
            <w:vAlign w:val="center"/>
          </w:tcPr>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本次采购  </w:t>
            </w:r>
            <w:r>
              <w:rPr>
                <w:rFonts w:hint="eastAsia" w:asciiTheme="minorEastAsia" w:hAnsiTheme="minorEastAsia" w:eastAsiaTheme="minorEastAsia" w:cstheme="minorEastAsia"/>
                <w:szCs w:val="21"/>
                <w:u w:val="single"/>
                <w:lang w:val="zh-CN"/>
              </w:rPr>
              <w:t>不接受</w:t>
            </w:r>
            <w:r>
              <w:rPr>
                <w:rFonts w:hint="eastAsia" w:asciiTheme="minorEastAsia" w:hAnsiTheme="minorEastAsia" w:eastAsiaTheme="minorEastAsia" w:cstheme="minorEastAsia"/>
                <w:szCs w:val="21"/>
                <w:lang w:val="zh-CN"/>
              </w:rPr>
              <w:t xml:space="preserve"> 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13.1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联合体磋商</w:t>
            </w:r>
          </w:p>
        </w:tc>
        <w:tc>
          <w:tcPr>
            <w:tcW w:w="6130" w:type="dxa"/>
            <w:vAlign w:val="center"/>
          </w:tcPr>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本次采购  </w:t>
            </w:r>
            <w:r>
              <w:rPr>
                <w:rFonts w:hint="eastAsia" w:asciiTheme="minorEastAsia" w:hAnsiTheme="minorEastAsia" w:eastAsiaTheme="minorEastAsia" w:cstheme="minorEastAsia"/>
                <w:szCs w:val="21"/>
                <w:u w:val="single"/>
                <w:lang w:val="zh-CN"/>
              </w:rPr>
              <w:t>不接受</w:t>
            </w:r>
            <w:r>
              <w:rPr>
                <w:rFonts w:hint="eastAsia" w:asciiTheme="minorEastAsia" w:hAnsiTheme="minorEastAsia" w:eastAsiaTheme="minorEastAsia" w:cstheme="minorEastAsia"/>
                <w:szCs w:val="21"/>
                <w:lang w:val="zh-CN"/>
              </w:rPr>
              <w:t xml:space="preserve"> 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w:t>
            </w:r>
          </w:p>
        </w:tc>
        <w:tc>
          <w:tcPr>
            <w:tcW w:w="2127" w:type="dxa"/>
            <w:vAlign w:val="center"/>
          </w:tcPr>
          <w:p>
            <w:pPr>
              <w:autoSpaceDE w:val="0"/>
              <w:autoSpaceDN w:val="0"/>
              <w:adjustRightInd w:val="0"/>
              <w:jc w:val="center"/>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b/>
                <w:bCs/>
                <w:szCs w:val="21"/>
                <w:lang w:val="zh-CN"/>
              </w:rPr>
              <w:t>应提交的其它资格证明文件（实质性要求）</w:t>
            </w:r>
          </w:p>
        </w:tc>
        <w:tc>
          <w:tcPr>
            <w:tcW w:w="6130" w:type="dxa"/>
            <w:vAlign w:val="center"/>
          </w:tcPr>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详见第一章《</w:t>
            </w:r>
            <w:r>
              <w:rPr>
                <w:rFonts w:hint="eastAsia" w:asciiTheme="minorEastAsia" w:hAnsiTheme="minorEastAsia" w:eastAsiaTheme="minorEastAsia" w:cstheme="minorEastAsia"/>
                <w:szCs w:val="21"/>
              </w:rPr>
              <w:t>竞争性磋商</w:t>
            </w:r>
            <w:r>
              <w:rPr>
                <w:rFonts w:hint="eastAsia" w:asciiTheme="minorEastAsia" w:hAnsiTheme="minorEastAsia" w:eastAsiaTheme="minorEastAsia" w:cstheme="minorEastAsia"/>
                <w:szCs w:val="21"/>
                <w:lang w:val="zh-CN"/>
              </w:rPr>
              <w:t>公告》第二款“资格要求”，须提供的证明文件包括但不限于：</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1、具有独立承担民事责任的能力（经营范围需满足采购需求）；</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营业执照等证明文件或自然人的身份证明（如供应商是企业 （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2、具有良好的商业信誉和健全的财务会计制度；</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良好的商业信誉证明材料（自拟），财务会计制度指财务状况报告（供应商是法人的，应提供前一年度经审计的财务报告，或其基本开户银行出具的资信证明（银行资信证明应能说明该供应商与银行之间业务往来正常，企业信誉良好等。银行出具的单纯的存款证明不能视作银行资信证明。下同），其他组织和自然人，没有经审计的财务报告，提供银行出具的资信证明。由财政部门认可的政府采购专业担保机构对供应商进行资信审查后出具投标担保函的，可以不用提供经审计的财务报告和银行资信证明文件。）</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3、具有履行合同所必需的设备和专业技术能力的证明材料；（自拟）</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具有依法缴纳税收和社会保障资金的良好记录：（1）供应商依法缴纳税收的证明材料：投标截止时间往前推算连续六个月（至少三个月）缴纳税收的凭据（完税证明、缴款书、银行代扣（代缴）转账凭证等均可）；（2）供应商依法缴纳社会保障资金的证明材料：投标截止时间往前推算连续六个月（至少三个月）缴纳社会保险的凭据（专用发票或社会保险缴纳清单）；（3）供应商为其他组织或自然人的，也需要按此项规定提供缴纳税收的凭据和缴纳社会保险的凭据；（4）递交投标文件截止时间当月成立但因税务机关原因导致其尚未依法缴纳税收的供应商，提供依法缴纳税收承诺书原件（格式自拟），该承诺书视同税收缴纳凭据。（5）递交投标文件截止时间当月成立但因社会保障资金管理机关原因导致其尚未依法缴纳社会保障资金的供应商，提供依法缴纳社会保障资金承诺书原件（格式自拟），该承诺书视同社会保险凭据。（6）依法免税或不需要缴纳社会保障资金的供应商，应提供相应文件证明其依法免税或不需要缴纳社会保障资金。</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5、参加政府采购活动前三年内，在经营活动中没有重大违法记录；（提供书面声明）（重大违法记录是指供应商因违法经营受到刑事处罚或者责令停产停业、吊销许可证或者执照、较大数额罚款等行政处罚）</w:t>
            </w:r>
          </w:p>
          <w:p>
            <w:pPr>
              <w:autoSpaceDE w:val="0"/>
              <w:autoSpaceDN w:val="0"/>
              <w:adjustRightInd w:val="0"/>
              <w:jc w:val="lef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6、符合本文件第一章第二款资格要求的所有证明资料。</w:t>
            </w:r>
          </w:p>
          <w:p>
            <w:pPr>
              <w:autoSpaceDE w:val="0"/>
              <w:autoSpaceDN w:val="0"/>
              <w:adjustRightInd w:val="0"/>
              <w:jc w:val="left"/>
              <w:rPr>
                <w:rFonts w:asciiTheme="minorEastAsia" w:hAnsiTheme="minorEastAsia" w:eastAsiaTheme="minorEastAsia" w:cstheme="minorEastAsia"/>
                <w:color w:val="FF0000"/>
                <w:szCs w:val="21"/>
                <w:lang w:val="zh-CN"/>
              </w:rPr>
            </w:pPr>
            <w:r>
              <w:rPr>
                <w:rFonts w:hint="eastAsia" w:asciiTheme="minorEastAsia" w:hAnsiTheme="minorEastAsia" w:eastAsiaTheme="minorEastAsia" w:cstheme="minorEastAsia"/>
                <w:b/>
                <w:bCs/>
                <w:szCs w:val="21"/>
                <w:lang w:val="zh-CN"/>
              </w:rPr>
              <w:t>注：除上述要求的资格证明文件外，如国家法律法规对市场准入有要求的还应提交相关资格证明文件。所有证书、证明文件包括按要求提供的官网截图必须是真实可查证的，须注明资料来源。资格证明文件应为原件清晰的扫描件），副本可用正本的复印件。所有证明材料须清晰可辨认，如因证明材料模糊无法辨认，缺页、漏页导致无法进行评审认定的，责任由供应商自负。如发现弄虚作假将按照有关规定严肃处理。证明材料仅限于投标单位本身，参股或控股单位及独立法人子公司的材料不能作为证明材料，但投标单位兼并的企业的材料可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14.4</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供应商不得存在的其他情形</w:t>
            </w:r>
          </w:p>
        </w:tc>
        <w:tc>
          <w:tcPr>
            <w:tcW w:w="6130" w:type="dxa"/>
            <w:vAlign w:val="center"/>
          </w:tcPr>
          <w:p>
            <w:pPr>
              <w:numPr>
                <w:ilvl w:val="0"/>
                <w:numId w:val="9"/>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numPr>
                <w:ilvl w:val="0"/>
                <w:numId w:val="9"/>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参与本项目采购活动前，已为本项目提供过整体设计、规范编制或者项目管理、监理、检测等服务的供应商。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15.1</w:t>
            </w:r>
          </w:p>
        </w:tc>
        <w:tc>
          <w:tcPr>
            <w:tcW w:w="2127" w:type="dxa"/>
            <w:vAlign w:val="center"/>
          </w:tcPr>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证明响应内容符合竞争性磋商采购文件要求的文件和竞争性磋商采购文件规定的其他资料</w:t>
            </w:r>
          </w:p>
        </w:tc>
        <w:tc>
          <w:tcPr>
            <w:tcW w:w="6130"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证明满足磋商文件第三章中技术要求及商务要求的所有相关规定的相关内容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7"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16.1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磋商保证金金额、递交方式、时间及接受磋商保证金的帐户信息</w:t>
            </w:r>
            <w:r>
              <w:rPr>
                <w:rFonts w:hint="eastAsia" w:asciiTheme="minorEastAsia" w:hAnsiTheme="minorEastAsia" w:eastAsiaTheme="minorEastAsia" w:cstheme="minorEastAsia"/>
                <w:b/>
                <w:bCs/>
                <w:snapToGrid w:val="0"/>
                <w:kern w:val="0"/>
                <w:szCs w:val="21"/>
                <w:lang w:val="zh-CN"/>
              </w:rPr>
              <w:t>（</w:t>
            </w:r>
            <w:r>
              <w:rPr>
                <w:rFonts w:hint="eastAsia" w:asciiTheme="minorEastAsia" w:hAnsiTheme="minorEastAsia" w:eastAsiaTheme="minorEastAsia" w:cstheme="minorEastAsia"/>
                <w:b/>
                <w:bCs/>
                <w:snapToGrid w:val="0"/>
                <w:kern w:val="0"/>
                <w:szCs w:val="21"/>
              </w:rPr>
              <w:t>本项目不适用</w:t>
            </w:r>
            <w:r>
              <w:rPr>
                <w:rFonts w:hint="eastAsia" w:asciiTheme="minorEastAsia" w:hAnsiTheme="minorEastAsia" w:eastAsiaTheme="minorEastAsia" w:cstheme="minorEastAsia"/>
                <w:b/>
                <w:bCs/>
                <w:snapToGrid w:val="0"/>
                <w:kern w:val="0"/>
                <w:szCs w:val="21"/>
                <w:lang w:val="zh-CN"/>
              </w:rPr>
              <w:t>）</w:t>
            </w:r>
          </w:p>
        </w:tc>
        <w:tc>
          <w:tcPr>
            <w:tcW w:w="6130" w:type="dxa"/>
            <w:vAlign w:val="center"/>
          </w:tcPr>
          <w:p>
            <w:pPr>
              <w:ind w:right="256" w:rightChars="12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金    额：/</w:t>
            </w:r>
          </w:p>
          <w:p>
            <w:pPr>
              <w:ind w:right="256" w:rightChars="12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户    名：中经国际招标集团有限公司湖北分公司</w:t>
            </w:r>
          </w:p>
          <w:p>
            <w:pPr>
              <w:ind w:right="256" w:rightChars="12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开户银行：中国农业银行股份有限公司武汉岳家嘴支行</w:t>
            </w:r>
          </w:p>
          <w:p>
            <w:pPr>
              <w:ind w:right="256" w:rightChars="12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帐    号：17053001040009288</w:t>
            </w:r>
          </w:p>
          <w:p>
            <w:pPr>
              <w:ind w:right="256" w:rightChars="12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w:t>
            </w:r>
            <w:r>
              <w:fldChar w:fldCharType="begin"/>
            </w:r>
            <w:r>
              <w:instrText xml:space="preserve"> HYPERLINK "mailto:投标人交纳投标保证金必须从投标人的基本帐户以支票、汇票、本票、电汇或者金融机构、担保机构出具的保函等非现金形式一次性汇至中经国际招标集团有限公司湖北分公司专用账户,截止时间为递交响应文件截止时间。成交供应商签订合同后须将合同扫描件（PDF版）发送至2102252595@qq.com邮箱备案后方可退还保证金。" </w:instrText>
            </w:r>
            <w:r>
              <w:fldChar w:fldCharType="separate"/>
            </w:r>
            <w:r>
              <w:rPr>
                <w:rFonts w:hint="eastAsia" w:asciiTheme="minorEastAsia" w:hAnsiTheme="minorEastAsia" w:eastAsiaTheme="minorEastAsia" w:cstheme="minorEastAsia"/>
                <w:szCs w:val="21"/>
              </w:rPr>
              <w:t>供应商缴纳投标保证金必须从供应商的基本帐户以支票、汇票、本票、电汇或者金融机构、担保机构出具的保函等非现金形式一次性汇至中经国际招标集团有限公司湖北分公司专用账户,截止时间为递交响应文件截止时间，以采购代理公司银行到账信息为准。成交供应商签订合同后须将合同扫描件（PDF版）发送至2102252595@qq.com邮箱备案后方可退还保证金。</w:t>
            </w:r>
            <w:r>
              <w:rPr>
                <w:rFonts w:hint="eastAsia" w:asciiTheme="minorEastAsia" w:hAnsiTheme="minorEastAsia" w:eastAsiaTheme="minorEastAsia" w:cstheme="minor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17.1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磋商有效期</w:t>
            </w:r>
          </w:p>
        </w:tc>
        <w:tc>
          <w:tcPr>
            <w:tcW w:w="6130" w:type="dxa"/>
            <w:vAlign w:val="center"/>
          </w:tcPr>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kern w:val="0"/>
                <w:szCs w:val="21"/>
              </w:rPr>
              <w:t>自磋商截止时间起共</w:t>
            </w:r>
            <w:r>
              <w:rPr>
                <w:rFonts w:hint="eastAsia" w:asciiTheme="minorEastAsia" w:hAnsiTheme="minorEastAsia" w:eastAsiaTheme="minorEastAsia" w:cstheme="minorEastAsia"/>
                <w:kern w:val="0"/>
                <w:szCs w:val="21"/>
                <w:u w:val="single"/>
              </w:rPr>
              <w:t xml:space="preserve"> 90 </w:t>
            </w:r>
            <w:r>
              <w:rPr>
                <w:rFonts w:hint="eastAsia" w:asciiTheme="minorEastAsia" w:hAnsiTheme="minorEastAsia" w:eastAsiaTheme="minorEastAsia" w:cstheme="minorEastAsia"/>
                <w:kern w:val="0"/>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lang w:val="zh-CN"/>
              </w:rPr>
              <w:t>18.1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竞争性磋商响应文件正、副本数量</w:t>
            </w:r>
          </w:p>
        </w:tc>
        <w:tc>
          <w:tcPr>
            <w:tcW w:w="6130" w:type="dxa"/>
            <w:vAlign w:val="center"/>
          </w:tcPr>
          <w:p>
            <w:pPr>
              <w:autoSpaceDE w:val="0"/>
              <w:autoSpaceDN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1、投标文件纸质版：正本一份（需为彩色打印件），副本</w:t>
            </w:r>
            <w:r>
              <w:rPr>
                <w:rFonts w:hint="eastAsia" w:asciiTheme="minorEastAsia" w:hAnsiTheme="minorEastAsia" w:eastAsiaTheme="minorEastAsia" w:cstheme="minorEastAsia"/>
                <w:szCs w:val="21"/>
                <w:u w:val="single"/>
              </w:rPr>
              <w:t xml:space="preserve"> 两 </w:t>
            </w:r>
            <w:r>
              <w:rPr>
                <w:rFonts w:hint="eastAsia" w:asciiTheme="minorEastAsia" w:hAnsiTheme="minorEastAsia" w:eastAsiaTheme="minorEastAsia" w:cstheme="minorEastAsia"/>
                <w:szCs w:val="21"/>
              </w:rPr>
              <w:t>份；</w:t>
            </w:r>
          </w:p>
          <w:p>
            <w:pPr>
              <w:autoSpaceDE w:val="0"/>
              <w:autoSpaceDN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2、投标文件电子版：</w:t>
            </w:r>
          </w:p>
          <w:p>
            <w:pPr>
              <w:autoSpaceDE w:val="0"/>
              <w:autoSpaceDN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□不要求</w:t>
            </w:r>
          </w:p>
          <w:p>
            <w:pPr>
              <w:autoSpaceDE w:val="0"/>
              <w:autoSpaceDN w:val="0"/>
              <w:snapToGrid w:val="0"/>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bdr w:val="single" w:color="auto" w:sz="4" w:space="0"/>
              </w:rPr>
              <w:t>√</w:t>
            </w:r>
            <w:r>
              <w:rPr>
                <w:rFonts w:hint="eastAsia" w:asciiTheme="minorEastAsia" w:hAnsiTheme="minorEastAsia" w:eastAsiaTheme="minorEastAsia" w:cstheme="minorEastAsia"/>
                <w:szCs w:val="21"/>
              </w:rPr>
              <w:t>要求，投标文件电子版内容：</w:t>
            </w:r>
            <w:r>
              <w:rPr>
                <w:rFonts w:hint="eastAsia" w:asciiTheme="minorEastAsia" w:hAnsiTheme="minorEastAsia" w:eastAsiaTheme="minorEastAsia" w:cstheme="minorEastAsia"/>
                <w:szCs w:val="21"/>
                <w:u w:val="single"/>
              </w:rPr>
              <w:t>与正本保持一致</w:t>
            </w:r>
          </w:p>
          <w:p>
            <w:pPr>
              <w:autoSpaceDE w:val="0"/>
              <w:autoSpaceDN w:val="0"/>
              <w:snapToGrid w:val="0"/>
              <w:ind w:firstLine="840" w:firstLineChars="4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shd w:val="clear" w:color="auto" w:fill="FFFFFF"/>
              </w:rPr>
              <w:t>投标文件电子版格式：</w:t>
            </w:r>
            <w:r>
              <w:rPr>
                <w:rFonts w:hint="eastAsia" w:asciiTheme="minorEastAsia" w:hAnsiTheme="minorEastAsia" w:eastAsiaTheme="minorEastAsia" w:cstheme="minorEastAsia"/>
                <w:szCs w:val="21"/>
                <w:u w:val="single"/>
                <w:shd w:val="clear" w:color="auto" w:fill="FFFFFF"/>
              </w:rPr>
              <w:t>WORD</w:t>
            </w:r>
            <w:r>
              <w:rPr>
                <w:rFonts w:hint="eastAsia" w:asciiTheme="minorEastAsia" w:hAnsiTheme="minorEastAsia" w:eastAsiaTheme="minorEastAsia" w:cstheme="minorEastAsia"/>
                <w:szCs w:val="21"/>
                <w:u w:val="single"/>
              </w:rPr>
              <w:t>格式</w:t>
            </w:r>
            <w:r>
              <w:rPr>
                <w:rFonts w:hint="eastAsia" w:asciiTheme="minorEastAsia" w:hAnsiTheme="minorEastAsia" w:eastAsiaTheme="minorEastAsia" w:cstheme="minorEastAsia"/>
                <w:szCs w:val="21"/>
                <w:u w:val="single"/>
                <w:shd w:val="clear" w:color="auto" w:fill="FFFFFF"/>
              </w:rPr>
              <w:t>和</w:t>
            </w:r>
            <w:r>
              <w:rPr>
                <w:rFonts w:hint="eastAsia" w:asciiTheme="minorEastAsia" w:hAnsiTheme="minorEastAsia" w:eastAsiaTheme="minorEastAsia" w:cstheme="minorEastAsia"/>
                <w:szCs w:val="21"/>
                <w:u w:val="single"/>
              </w:rPr>
              <w:t>加盖公章后的PDF扫描件格式；</w:t>
            </w:r>
          </w:p>
          <w:p>
            <w:pPr>
              <w:autoSpaceDE w:val="0"/>
              <w:autoSpaceDN w:val="0"/>
              <w:adjustRightInd w:val="0"/>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投标文件电子版形式：</w:t>
            </w:r>
            <w:r>
              <w:rPr>
                <w:rFonts w:hint="eastAsia" w:asciiTheme="minorEastAsia" w:hAnsiTheme="minorEastAsia" w:eastAsiaTheme="minorEastAsia" w:cstheme="minorEastAsia"/>
                <w:szCs w:val="21"/>
                <w:u w:val="single"/>
              </w:rPr>
              <w:t xml:space="preserve"> U盘1份</w:t>
            </w:r>
          </w:p>
          <w:p>
            <w:pPr>
              <w:autoSpaceDE w:val="0"/>
              <w:autoSpaceDN w:val="0"/>
              <w:adjustRightInd w:val="0"/>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3、手持法定代表人授权委托书（或法定代表人身份证明书）、单独密封提供的报价一览表、优惠声明（如有）；</w:t>
            </w:r>
          </w:p>
          <w:p>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所有响应文件概不退还，响应文件按包分开制作，分开密封。</w:t>
            </w:r>
          </w:p>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纸质投标文件应采用胶粘方</w:t>
            </w:r>
            <w:r>
              <w:rPr>
                <w:rFonts w:hint="eastAsia" w:asciiTheme="minorEastAsia" w:hAnsiTheme="minorEastAsia" w:eastAsiaTheme="minorEastAsia" w:cstheme="minorEastAsia"/>
                <w:szCs w:val="21"/>
                <w:lang w:val="zh-CN"/>
              </w:rPr>
              <w:t>式装订,装订应牢固、不易拆散和换页。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Lines="10" w:beforeAutospacing="0" w:afterLines="10" w:afterAutospacing="0"/>
              <w:ind w:left="21" w:leftChars="10" w:right="21" w:rightChars="10"/>
              <w:jc w:val="center"/>
              <w:rPr>
                <w:rFonts w:hint="default" w:asciiTheme="minorEastAsia" w:hAnsiTheme="minorEastAsia" w:eastAsiaTheme="minorEastAsia" w:cstheme="minorEastAsia"/>
                <w:kern w:val="2"/>
                <w:sz w:val="21"/>
                <w:szCs w:val="21"/>
                <w:lang w:val="zh-CN"/>
              </w:rPr>
            </w:pPr>
            <w:r>
              <w:rPr>
                <w:rFonts w:asciiTheme="minorEastAsia" w:hAnsiTheme="minorEastAsia" w:eastAsiaTheme="minorEastAsia" w:cstheme="minorEastAsia"/>
                <w:kern w:val="2"/>
                <w:sz w:val="21"/>
                <w:szCs w:val="21"/>
              </w:rPr>
              <w:t>19.1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竞争性磋商响应文件的密封和标记</w:t>
            </w:r>
          </w:p>
        </w:tc>
        <w:tc>
          <w:tcPr>
            <w:tcW w:w="6130" w:type="dxa"/>
            <w:vAlign w:val="center"/>
          </w:tcPr>
          <w:p>
            <w:pPr>
              <w:autoSpaceDE w:val="0"/>
              <w:autoSpaceDN w:val="0"/>
              <w:adjustRightIn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本条款细化为：响应文件正本需逐页加盖供应商单位公章，不得使用单位其他专用章代替。因签字盖章问题导致的响应材料被否决或竞标受影响的情况，其后果供应商自行承担。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19.4</w:t>
            </w:r>
          </w:p>
        </w:tc>
        <w:tc>
          <w:tcPr>
            <w:tcW w:w="2127" w:type="dxa"/>
            <w:vAlign w:val="center"/>
          </w:tcPr>
          <w:p>
            <w:pPr>
              <w:autoSpaceDE w:val="0"/>
              <w:autoSpaceDN w:val="0"/>
              <w:adjustRightIn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样品</w:t>
            </w:r>
            <w:r>
              <w:rPr>
                <w:rFonts w:hint="eastAsia" w:asciiTheme="minorEastAsia" w:hAnsiTheme="minorEastAsia" w:eastAsiaTheme="minorEastAsia" w:cstheme="minorEastAsia"/>
                <w:b/>
                <w:bCs/>
                <w:kern w:val="0"/>
                <w:szCs w:val="21"/>
                <w:lang w:val="zh-CN"/>
              </w:rPr>
              <w:t>（本项目不适用）</w:t>
            </w:r>
          </w:p>
        </w:tc>
        <w:tc>
          <w:tcPr>
            <w:tcW w:w="6130" w:type="dxa"/>
            <w:vAlign w:val="center"/>
          </w:tcPr>
          <w:p>
            <w:pPr>
              <w:autoSpaceDE w:val="0"/>
              <w:autoSpaceDN w:val="0"/>
              <w:adjustRightInd w:val="0"/>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提交样品的相关规定：要求在磋商时提交样品的，应在样品上标明磋商供应商名称。</w:t>
            </w:r>
            <w:r>
              <w:rPr>
                <w:rFonts w:hint="eastAsia" w:asciiTheme="minorEastAsia" w:hAnsiTheme="minorEastAsia" w:eastAsiaTheme="minorEastAsia" w:cstheme="minorEastAsia"/>
                <w:kern w:val="0"/>
                <w:szCs w:val="21"/>
                <w:lang w:val="zh-CN"/>
              </w:rPr>
              <w:br w:type="textWrapping"/>
            </w:r>
            <w:r>
              <w:rPr>
                <w:rFonts w:hint="eastAsia" w:asciiTheme="minorEastAsia" w:hAnsiTheme="minorEastAsia" w:eastAsiaTheme="minorEastAsia" w:cstheme="minorEastAsia"/>
                <w:kern w:val="0"/>
                <w:szCs w:val="21"/>
                <w:lang w:val="zh-CN"/>
              </w:rPr>
              <w:t>退还样品的相关规定：</w:t>
            </w:r>
            <w:r>
              <w:rPr>
                <w:rFonts w:hint="eastAsia" w:asciiTheme="minorEastAsia" w:hAnsiTheme="minorEastAsia" w:eastAsiaTheme="minorEastAsia" w:cstheme="minorEastAsia"/>
                <w:kern w:val="0"/>
                <w:szCs w:val="21"/>
              </w:rPr>
              <w:t>未成交供应商在成交公告发布之日起5个工作日内退还，具体电话通知。成交供应商样品移交采购人作为验收依据，不予退还。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响应文件送达地点及递交截止时间</w:t>
            </w:r>
          </w:p>
        </w:tc>
        <w:tc>
          <w:tcPr>
            <w:tcW w:w="6130" w:type="dxa"/>
            <w:vAlign w:val="center"/>
          </w:tcPr>
          <w:p>
            <w:pPr>
              <w:autoSpaceDE w:val="0"/>
              <w:autoSpaceDN w:val="0"/>
              <w:adjustRightInd w:val="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详见第一章第四款相关要求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磋商小组人数</w:t>
            </w:r>
          </w:p>
        </w:tc>
        <w:tc>
          <w:tcPr>
            <w:tcW w:w="6130" w:type="dxa"/>
            <w:vAlign w:val="center"/>
          </w:tcPr>
          <w:p>
            <w:pPr>
              <w:autoSpaceDE w:val="0"/>
              <w:autoSpaceDN w:val="0"/>
              <w:adjustRightInd w:val="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3人或3人以上单数组成，其中采购人代表不超过成员总数的三分之一，外聘经济及技术专家在省政府采购专家库中随机抽取。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b/>
                <w:bCs/>
                <w:snapToGrid w:val="0"/>
                <w:kern w:val="0"/>
                <w:szCs w:val="21"/>
              </w:rPr>
            </w:pPr>
            <w:r>
              <w:rPr>
                <w:rFonts w:hint="eastAsia" w:asciiTheme="minorEastAsia" w:hAnsiTheme="minorEastAsia" w:eastAsiaTheme="minorEastAsia" w:cstheme="minorEastAsia"/>
                <w:b/>
                <w:bCs/>
                <w:snapToGrid w:val="0"/>
                <w:kern w:val="0"/>
                <w:szCs w:val="21"/>
              </w:rPr>
              <w:t>磋商代表</w:t>
            </w:r>
          </w:p>
        </w:tc>
        <w:tc>
          <w:tcPr>
            <w:tcW w:w="6130" w:type="dxa"/>
            <w:vAlign w:val="center"/>
          </w:tcPr>
          <w:p>
            <w:pPr>
              <w:autoSpaceDE w:val="0"/>
              <w:autoSpaceDN w:val="0"/>
              <w:adjustRightInd w:val="0"/>
              <w:jc w:val="lef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建议供应商拟派出席磋商会议的磋商代表为熟知本项目的技术人员或商务负责人等能</w:t>
            </w:r>
            <w:r>
              <w:rPr>
                <w:rFonts w:hint="eastAsia" w:asciiTheme="minorEastAsia" w:hAnsiTheme="minorEastAsia" w:eastAsiaTheme="minorEastAsia" w:cstheme="minorEastAsia"/>
                <w:b/>
                <w:bCs/>
                <w:szCs w:val="21"/>
              </w:rPr>
              <w:t>为磋商小组详细介绍供应商公司情况及项目了解情况的</w:t>
            </w:r>
            <w:r>
              <w:rPr>
                <w:rFonts w:hint="eastAsia" w:asciiTheme="minorEastAsia" w:hAnsiTheme="minorEastAsia" w:eastAsiaTheme="minorEastAsia" w:cstheme="minorEastAsia"/>
                <w:b/>
                <w:bCs/>
                <w:szCs w:val="21"/>
                <w:lang w:val="zh-CN"/>
              </w:rPr>
              <w:t>具有依法缴纳社会保障资金良好记录（磋商现场查询）的在职工作人员，以便在评审过程中进行可能出现的答疑或澄清。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26.4</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提交最后报价供应商的确定方式</w:t>
            </w:r>
          </w:p>
        </w:tc>
        <w:tc>
          <w:tcPr>
            <w:tcW w:w="6130" w:type="dxa"/>
            <w:vAlign w:val="center"/>
          </w:tcPr>
          <w:p>
            <w:pPr>
              <w:autoSpaceDE w:val="0"/>
              <w:autoSpaceDN w:val="0"/>
              <w:adjustRightInd w:val="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采购代理机构将竞争性磋商第二轮报价表（磋商承诺书）发放至所有通过了资格审查及符合性审查的磋商供应商，磋商供应商应在指定的时间内提交满足要求的最后报价，</w:t>
            </w:r>
            <w:r>
              <w:rPr>
                <w:rFonts w:hint="eastAsia" w:asciiTheme="minorEastAsia" w:hAnsiTheme="minorEastAsia" w:eastAsiaTheme="minorEastAsia" w:cstheme="minorEastAsia"/>
                <w:snapToGrid w:val="0"/>
                <w:kern w:val="0"/>
                <w:szCs w:val="21"/>
              </w:rPr>
              <w:t>在指定地点以</w:t>
            </w:r>
            <w:r>
              <w:rPr>
                <w:rFonts w:hint="eastAsia" w:asciiTheme="minorEastAsia" w:hAnsiTheme="minorEastAsia" w:eastAsiaTheme="minorEastAsia" w:cstheme="minorEastAsia"/>
                <w:snapToGrid w:val="0"/>
                <w:kern w:val="0"/>
                <w:szCs w:val="21"/>
                <w:lang w:val="zh-CN"/>
              </w:rPr>
              <w:t>密封</w:t>
            </w:r>
            <w:r>
              <w:rPr>
                <w:rFonts w:hint="eastAsia" w:asciiTheme="minorEastAsia" w:hAnsiTheme="minorEastAsia" w:eastAsiaTheme="minorEastAsia" w:cstheme="minorEastAsia"/>
                <w:snapToGrid w:val="0"/>
                <w:kern w:val="0"/>
                <w:szCs w:val="21"/>
              </w:rPr>
              <w:t>等形式</w:t>
            </w:r>
            <w:r>
              <w:rPr>
                <w:rFonts w:hint="eastAsia" w:asciiTheme="minorEastAsia" w:hAnsiTheme="minorEastAsia" w:eastAsiaTheme="minorEastAsia" w:cstheme="minorEastAsia"/>
                <w:snapToGrid w:val="0"/>
                <w:kern w:val="0"/>
                <w:szCs w:val="21"/>
                <w:lang w:val="zh-CN"/>
              </w:rPr>
              <w:t>递交</w:t>
            </w:r>
            <w:r>
              <w:rPr>
                <w:rFonts w:hint="eastAsia" w:asciiTheme="minorEastAsia" w:hAnsiTheme="minorEastAsia" w:eastAsiaTheme="minorEastAsia" w:cstheme="minorEastAsia"/>
                <w:snapToGrid w:val="0"/>
                <w:kern w:val="0"/>
                <w:szCs w:val="21"/>
              </w:rPr>
              <w:t>给采购代理机构指定现场工作人员或</w:t>
            </w:r>
            <w:r>
              <w:rPr>
                <w:rFonts w:hint="eastAsia" w:asciiTheme="minorEastAsia" w:hAnsiTheme="minorEastAsia" w:eastAsiaTheme="minorEastAsia" w:cstheme="minorEastAsia"/>
                <w:snapToGrid w:val="0"/>
                <w:kern w:val="0"/>
                <w:szCs w:val="21"/>
                <w:lang w:val="zh-CN"/>
              </w:rPr>
              <w:t>磋商小组。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27.3</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推荐成交候选</w:t>
            </w:r>
            <w:r>
              <w:rPr>
                <w:rFonts w:hint="eastAsia" w:asciiTheme="minorEastAsia" w:hAnsiTheme="minorEastAsia" w:eastAsiaTheme="minorEastAsia" w:cstheme="minorEastAsia"/>
                <w:snapToGrid w:val="0"/>
                <w:kern w:val="0"/>
                <w:szCs w:val="21"/>
              </w:rPr>
              <w:t>供应商</w:t>
            </w:r>
            <w:r>
              <w:rPr>
                <w:rFonts w:hint="eastAsia" w:asciiTheme="minorEastAsia" w:hAnsiTheme="minorEastAsia" w:eastAsiaTheme="minorEastAsia" w:cstheme="minorEastAsia"/>
                <w:snapToGrid w:val="0"/>
                <w:kern w:val="0"/>
                <w:szCs w:val="21"/>
                <w:lang w:val="zh-CN"/>
              </w:rPr>
              <w:t>数量</w:t>
            </w:r>
          </w:p>
        </w:tc>
        <w:tc>
          <w:tcPr>
            <w:tcW w:w="6130" w:type="dxa"/>
            <w:vAlign w:val="center"/>
          </w:tcPr>
          <w:p>
            <w:pPr>
              <w:autoSpaceDE w:val="0"/>
              <w:autoSpaceDN w:val="0"/>
              <w:adjustRightInd w:val="0"/>
              <w:jc w:val="left"/>
              <w:rPr>
                <w:rFonts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本项目推荐</w:t>
            </w:r>
            <w:r>
              <w:rPr>
                <w:rFonts w:hint="eastAsia" w:asciiTheme="minorEastAsia" w:hAnsiTheme="minorEastAsia" w:eastAsiaTheme="minorEastAsia" w:cstheme="minorEastAsia"/>
                <w:bCs/>
                <w:kern w:val="44"/>
                <w:szCs w:val="21"/>
                <w:u w:val="single"/>
              </w:rPr>
              <w:t>3</w:t>
            </w:r>
            <w:r>
              <w:rPr>
                <w:rFonts w:hint="eastAsia" w:asciiTheme="minorEastAsia" w:hAnsiTheme="minorEastAsia" w:eastAsiaTheme="minorEastAsia" w:cstheme="minorEastAsia"/>
                <w:bCs/>
                <w:kern w:val="44"/>
                <w:szCs w:val="21"/>
              </w:rPr>
              <w:t>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28.5</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成交通知书的领</w:t>
            </w:r>
            <w:r>
              <w:rPr>
                <w:rFonts w:hint="eastAsia" w:asciiTheme="minorEastAsia" w:hAnsiTheme="minorEastAsia" w:eastAsiaTheme="minorEastAsia" w:cstheme="minorEastAsia"/>
                <w:snapToGrid w:val="0"/>
                <w:kern w:val="0"/>
                <w:szCs w:val="21"/>
              </w:rPr>
              <w:t>时</w:t>
            </w:r>
            <w:r>
              <w:rPr>
                <w:rFonts w:hint="eastAsia" w:asciiTheme="minorEastAsia" w:hAnsiTheme="minorEastAsia" w:eastAsiaTheme="minorEastAsia" w:cstheme="minorEastAsia"/>
                <w:snapToGrid w:val="0"/>
                <w:kern w:val="0"/>
                <w:szCs w:val="21"/>
                <w:lang w:val="zh-CN"/>
              </w:rPr>
              <w:t>间</w:t>
            </w:r>
          </w:p>
        </w:tc>
        <w:tc>
          <w:tcPr>
            <w:tcW w:w="6130" w:type="dxa"/>
            <w:vAlign w:val="center"/>
          </w:tcPr>
          <w:p>
            <w:pPr>
              <w:autoSpaceDE w:val="0"/>
              <w:autoSpaceDN w:val="0"/>
              <w:adjustRightInd w:val="0"/>
              <w:jc w:val="left"/>
              <w:rPr>
                <w:rFonts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成交通知书与成交结果公告同时发出，成交供应商在成交结果公告</w:t>
            </w:r>
          </w:p>
          <w:p>
            <w:pPr>
              <w:autoSpaceDE w:val="0"/>
              <w:autoSpaceDN w:val="0"/>
              <w:adjustRightInd w:val="0"/>
              <w:jc w:val="left"/>
              <w:rPr>
                <w:rFonts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发布以后即可联系采购代理机构领取。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9071" w:type="dxa"/>
            <w:gridSpan w:val="3"/>
            <w:vAlign w:val="center"/>
          </w:tcPr>
          <w:p>
            <w:pPr>
              <w:autoSpaceDE w:val="0"/>
              <w:autoSpaceDN w:val="0"/>
              <w:adjustRightInd w:val="0"/>
              <w:snapToGrid w:val="0"/>
              <w:spacing w:beforeLines="10" w:afterLines="10"/>
              <w:ind w:right="21" w:rightChars="10"/>
              <w:jc w:val="center"/>
              <w:rPr>
                <w:rFonts w:asciiTheme="minorEastAsia" w:hAnsiTheme="minorEastAsia" w:eastAsiaTheme="minorEastAsia" w:cstheme="minorEastAsia"/>
                <w:color w:val="FF0000"/>
                <w:szCs w:val="21"/>
                <w:lang w:val="zh-CN"/>
              </w:rPr>
            </w:pPr>
            <w:r>
              <w:rPr>
                <w:rFonts w:hint="eastAsia" w:asciiTheme="minorEastAsia" w:hAnsiTheme="minorEastAsia" w:eastAsiaTheme="minorEastAsia" w:cstheme="minorEastAsia"/>
                <w:b/>
                <w:bCs/>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报价方式</w:t>
            </w:r>
          </w:p>
        </w:tc>
        <w:tc>
          <w:tcPr>
            <w:tcW w:w="6130" w:type="dxa"/>
            <w:vAlign w:val="center"/>
          </w:tcPr>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本项目竞标报价为“交钥匙”价。竞标报价应包括完成该项目的货物</w:t>
            </w:r>
            <w:r>
              <w:rPr>
                <w:rFonts w:hint="eastAsia" w:asciiTheme="minorEastAsia" w:hAnsiTheme="minorEastAsia" w:eastAsiaTheme="minorEastAsia" w:cstheme="minorEastAsia"/>
                <w:szCs w:val="21"/>
              </w:rPr>
              <w:t>本身</w:t>
            </w:r>
            <w:r>
              <w:rPr>
                <w:rFonts w:hint="eastAsia" w:asciiTheme="minorEastAsia" w:hAnsiTheme="minorEastAsia" w:eastAsiaTheme="minorEastAsia" w:cstheme="minorEastAsia"/>
                <w:szCs w:val="21"/>
                <w:lang w:val="zh-CN"/>
              </w:rPr>
              <w:t>、包装、人工、运输、仓储、保险、各种税费、专利技术及质保期间等一切服务费用及其他售后服务等全部相关工作。合同签订后采购人未提出增加工作内容的情况下，合同价不得调整。</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各供应商按此要求进行报价，同时在合同实施过程中还将发生的其它费用</w:t>
            </w:r>
            <w:r>
              <w:rPr>
                <w:rFonts w:hint="eastAsia" w:asciiTheme="minorEastAsia" w:hAnsiTheme="minorEastAsia" w:eastAsiaTheme="minorEastAsia" w:cstheme="minorEastAsia"/>
                <w:szCs w:val="21"/>
              </w:rPr>
              <w:t>也</w:t>
            </w:r>
            <w:r>
              <w:rPr>
                <w:rFonts w:hint="eastAsia" w:asciiTheme="minorEastAsia" w:hAnsiTheme="minorEastAsia" w:eastAsiaTheme="minorEastAsia" w:cstheme="minorEastAsia"/>
                <w:szCs w:val="21"/>
                <w:lang w:val="zh-CN"/>
              </w:rPr>
              <w:t>应包含在总价中，对在合同实施过程中可能发生的其它费用（如：增加耗材、材料涨价、人工、运输成本增加等因素），</w:t>
            </w:r>
            <w:r>
              <w:rPr>
                <w:rFonts w:hint="eastAsia" w:asciiTheme="minorEastAsia" w:hAnsiTheme="minorEastAsia" w:eastAsiaTheme="minorEastAsia" w:cstheme="minorEastAsia"/>
                <w:szCs w:val="21"/>
              </w:rPr>
              <w:t>采购人</w:t>
            </w:r>
            <w:r>
              <w:rPr>
                <w:rFonts w:hint="eastAsia" w:asciiTheme="minorEastAsia" w:hAnsiTheme="minorEastAsia" w:eastAsiaTheme="minorEastAsia" w:cstheme="minorEastAsia"/>
                <w:szCs w:val="21"/>
                <w:lang w:val="zh-CN"/>
              </w:rPr>
              <w:t>概不负责。</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对于</w:t>
            </w: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szCs w:val="21"/>
                <w:lang w:val="zh-CN"/>
              </w:rPr>
              <w:t>文件未列明，而</w:t>
            </w: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szCs w:val="21"/>
                <w:lang w:val="zh-CN"/>
              </w:rPr>
              <w:t>供应商认为</w:t>
            </w:r>
            <w:r>
              <w:rPr>
                <w:rFonts w:hint="eastAsia" w:asciiTheme="minorEastAsia" w:hAnsiTheme="minorEastAsia" w:eastAsiaTheme="minorEastAsia" w:cstheme="minorEastAsia"/>
                <w:szCs w:val="21"/>
              </w:rPr>
              <w:t>必须</w:t>
            </w:r>
            <w:r>
              <w:rPr>
                <w:rFonts w:hint="eastAsia" w:asciiTheme="minorEastAsia" w:hAnsiTheme="minorEastAsia" w:eastAsiaTheme="minorEastAsia" w:cstheme="minorEastAsia"/>
                <w:szCs w:val="21"/>
                <w:lang w:val="zh-CN"/>
              </w:rPr>
              <w:t>的费用也需列入总报价。在合同实施时，采购人将不予支付</w:t>
            </w:r>
            <w:r>
              <w:rPr>
                <w:rFonts w:hint="eastAsia" w:asciiTheme="minorEastAsia" w:hAnsiTheme="minorEastAsia" w:eastAsiaTheme="minorEastAsia" w:cstheme="minorEastAsia"/>
                <w:szCs w:val="21"/>
              </w:rPr>
              <w:t>成交</w:t>
            </w:r>
            <w:r>
              <w:rPr>
                <w:rFonts w:hint="eastAsia" w:asciiTheme="minorEastAsia" w:hAnsiTheme="minorEastAsia" w:eastAsiaTheme="minorEastAsia" w:cstheme="minorEastAsia"/>
                <w:szCs w:val="21"/>
                <w:lang w:val="zh-CN"/>
              </w:rPr>
              <w:t>供应商没有列入的项目费用，并认为此项目的费用已包括在投标总报价中。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27" w:type="dxa"/>
            <w:vAlign w:val="center"/>
          </w:tcPr>
          <w:p>
            <w:pPr>
              <w:autoSpaceDE w:val="0"/>
              <w:autoSpaceDN w:val="0"/>
              <w:adjustRightIn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踏勘现场</w:t>
            </w:r>
          </w:p>
        </w:tc>
        <w:tc>
          <w:tcPr>
            <w:tcW w:w="6130" w:type="dxa"/>
            <w:vAlign w:val="center"/>
          </w:tcPr>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采购人不组织统一踏勘，请各供应商自行踏勘现场；</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□组织，踏勘时间：</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踏勘集中地点：</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踏勘联系人：</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注：1、供应商承担踏勘现场所发生的自身费用；</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2、供应商应承担踏勘现场的责任和风险。</w:t>
            </w:r>
          </w:p>
          <w:p>
            <w:pPr>
              <w:autoSpaceDE w:val="0"/>
              <w:autoSpaceDN w:val="0"/>
              <w:adjustRightInd w:val="0"/>
              <w:snapToGrid w:val="0"/>
              <w:spacing w:beforeLines="10" w:afterLines="10"/>
              <w:ind w:right="21" w:rightChars="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3、采购人在踏勘现场中介绍的项目背景及项目现场和相关的周边环境情况，供应商在编制响应文件时参考，采购人和采购代理机构不对供应商据此作出的判断和决策负责。</w:t>
            </w:r>
          </w:p>
        </w:tc>
      </w:tr>
    </w:tbl>
    <w:p>
      <w:pPr>
        <w:rPr>
          <w:rFonts w:hint="eastAsia" w:asciiTheme="minorEastAsia" w:hAnsiTheme="minorEastAsia" w:eastAsiaTheme="minorEastAsia" w:cstheme="minorEastAsia"/>
          <w:b/>
          <w:szCs w:val="21"/>
        </w:rPr>
      </w:pPr>
      <w:bookmarkStart w:id="27" w:name="_Toc19309"/>
      <w:r>
        <w:rPr>
          <w:rFonts w:hint="eastAsia" w:asciiTheme="minorEastAsia" w:hAnsiTheme="minorEastAsia" w:eastAsiaTheme="minorEastAsia" w:cstheme="minorEastAsia"/>
          <w:b/>
          <w:szCs w:val="21"/>
        </w:rPr>
        <w:br w:type="page"/>
      </w:r>
    </w:p>
    <w:p>
      <w:pPr>
        <w:spacing w:line="360" w:lineRule="auto"/>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供应商须知</w:t>
      </w:r>
      <w:bookmarkEnd w:id="27"/>
    </w:p>
    <w:p>
      <w:pPr>
        <w:numPr>
          <w:ilvl w:val="1"/>
          <w:numId w:val="10"/>
        </w:numPr>
        <w:tabs>
          <w:tab w:val="left" w:pos="540"/>
          <w:tab w:val="clear" w:pos="840"/>
        </w:tabs>
        <w:spacing w:line="360" w:lineRule="auto"/>
        <w:ind w:left="540" w:hanging="540"/>
        <w:outlineLvl w:val="1"/>
        <w:rPr>
          <w:rFonts w:asciiTheme="minorEastAsia" w:hAnsiTheme="minorEastAsia" w:eastAsiaTheme="minorEastAsia" w:cstheme="minorEastAsia"/>
          <w:b/>
          <w:szCs w:val="21"/>
        </w:rPr>
      </w:pPr>
      <w:bookmarkStart w:id="28" w:name="_Toc19164"/>
      <w:r>
        <w:rPr>
          <w:rFonts w:hint="eastAsia" w:asciiTheme="minorEastAsia" w:hAnsiTheme="minorEastAsia" w:eastAsiaTheme="minorEastAsia" w:cstheme="minorEastAsia"/>
          <w:b/>
          <w:szCs w:val="21"/>
        </w:rPr>
        <w:t>总则</w:t>
      </w:r>
      <w:bookmarkEnd w:id="28"/>
    </w:p>
    <w:p>
      <w:pPr>
        <w:numPr>
          <w:ilvl w:val="0"/>
          <w:numId w:val="11"/>
        </w:numPr>
        <w:spacing w:line="360" w:lineRule="auto"/>
        <w:ind w:hanging="540"/>
        <w:outlineLvl w:val="1"/>
        <w:rPr>
          <w:rFonts w:asciiTheme="minorEastAsia" w:hAnsiTheme="minorEastAsia" w:eastAsiaTheme="minorEastAsia" w:cstheme="minorEastAsia"/>
          <w:b/>
          <w:szCs w:val="21"/>
        </w:rPr>
      </w:pPr>
      <w:bookmarkStart w:id="29" w:name="_Toc27243"/>
      <w:bookmarkStart w:id="30" w:name="_Toc7383"/>
      <w:r>
        <w:rPr>
          <w:rFonts w:hint="eastAsia" w:asciiTheme="minorEastAsia" w:hAnsiTheme="minorEastAsia" w:eastAsiaTheme="minorEastAsia" w:cstheme="minorEastAsia"/>
          <w:b/>
          <w:szCs w:val="21"/>
        </w:rPr>
        <w:t>适用法律及范围</w:t>
      </w:r>
      <w:bookmarkEnd w:id="29"/>
      <w:bookmarkEnd w:id="30"/>
    </w:p>
    <w:p>
      <w:pPr>
        <w:numPr>
          <w:ilvl w:val="1"/>
          <w:numId w:val="12"/>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本竞争性磋商采购文件仅适用于本次竞争性磋商中所述的项目的采购。</w:t>
      </w:r>
    </w:p>
    <w:p>
      <w:pPr>
        <w:numPr>
          <w:ilvl w:val="0"/>
          <w:numId w:val="11"/>
        </w:numPr>
        <w:spacing w:line="360" w:lineRule="auto"/>
        <w:ind w:hanging="540"/>
        <w:outlineLvl w:val="1"/>
        <w:rPr>
          <w:rFonts w:asciiTheme="minorEastAsia" w:hAnsiTheme="minorEastAsia" w:eastAsiaTheme="minorEastAsia" w:cstheme="minorEastAsia"/>
          <w:b/>
          <w:szCs w:val="21"/>
        </w:rPr>
      </w:pPr>
      <w:bookmarkStart w:id="31" w:name="_Toc18687"/>
      <w:bookmarkStart w:id="32" w:name="_Toc30547"/>
      <w:r>
        <w:rPr>
          <w:rFonts w:hint="eastAsia" w:asciiTheme="minorEastAsia" w:hAnsiTheme="minorEastAsia" w:eastAsiaTheme="minorEastAsia" w:cstheme="minorEastAsia"/>
          <w:b/>
          <w:szCs w:val="21"/>
        </w:rPr>
        <w:t>定义</w:t>
      </w:r>
      <w:bookmarkEnd w:id="31"/>
      <w:bookmarkEnd w:id="32"/>
    </w:p>
    <w:p>
      <w:pPr>
        <w:numPr>
          <w:ilvl w:val="1"/>
          <w:numId w:val="13"/>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“采购人”：本次磋商的采购人见《供应商须知前附表》。</w:t>
      </w:r>
    </w:p>
    <w:p>
      <w:pPr>
        <w:numPr>
          <w:ilvl w:val="1"/>
          <w:numId w:val="13"/>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“监管部门”：本次磋商的监管部门见《供应商须知前附表》。</w:t>
      </w:r>
    </w:p>
    <w:p>
      <w:pPr>
        <w:numPr>
          <w:ilvl w:val="1"/>
          <w:numId w:val="13"/>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“采购代理机构”：本次磋商的采购代理机构见《供应商须知前附表》。</w:t>
      </w:r>
    </w:p>
    <w:p>
      <w:pPr>
        <w:numPr>
          <w:ilvl w:val="1"/>
          <w:numId w:val="13"/>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“供应商”是指获取本竞争性磋商采购文件的法人、其他组织或者自然人。</w:t>
      </w:r>
    </w:p>
    <w:p>
      <w:pPr>
        <w:numPr>
          <w:ilvl w:val="1"/>
          <w:numId w:val="13"/>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“磋商供应商”是指</w:t>
      </w:r>
    </w:p>
    <w:p>
      <w:pPr>
        <w:numPr>
          <w:ilvl w:val="3"/>
          <w:numId w:val="11"/>
        </w:numPr>
        <w:tabs>
          <w:tab w:val="left" w:pos="0"/>
          <w:tab w:val="clear" w:pos="2040"/>
        </w:tabs>
        <w:spacing w:line="360" w:lineRule="auto"/>
        <w:ind w:left="0" w:firstLine="0"/>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符合</w:t>
      </w:r>
      <w:r>
        <w:rPr>
          <w:rFonts w:hint="eastAsia" w:asciiTheme="minorEastAsia" w:hAnsiTheme="minorEastAsia" w:eastAsiaTheme="minorEastAsia" w:cstheme="minorEastAsia"/>
          <w:szCs w:val="21"/>
        </w:rPr>
        <w:t>具备《中华人民共和国政府采购法》第二十二条规定的条件；</w:t>
      </w:r>
    </w:p>
    <w:p>
      <w:pPr>
        <w:numPr>
          <w:ilvl w:val="3"/>
          <w:numId w:val="11"/>
        </w:numPr>
        <w:tabs>
          <w:tab w:val="left" w:pos="0"/>
          <w:tab w:val="clear" w:pos="2040"/>
        </w:tabs>
        <w:spacing w:line="360" w:lineRule="auto"/>
        <w:ind w:left="0" w:firstLine="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符合《供应商须知前附表》的相应条件；</w:t>
      </w:r>
    </w:p>
    <w:p>
      <w:pPr>
        <w:numPr>
          <w:ilvl w:val="3"/>
          <w:numId w:val="11"/>
        </w:numPr>
        <w:tabs>
          <w:tab w:val="left" w:pos="0"/>
          <w:tab w:val="clear" w:pos="2040"/>
        </w:tabs>
        <w:spacing w:line="360" w:lineRule="auto"/>
        <w:ind w:left="0" w:firstLine="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通过竞争性磋商采购评定办法中初步审核的供应商。</w:t>
      </w:r>
    </w:p>
    <w:p>
      <w:pPr>
        <w:numPr>
          <w:ilvl w:val="1"/>
          <w:numId w:val="13"/>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“成交供应商”</w:t>
      </w:r>
      <w:r>
        <w:rPr>
          <w:rFonts w:hint="eastAsia" w:asciiTheme="minorEastAsia" w:hAnsiTheme="minorEastAsia" w:eastAsiaTheme="minorEastAsia" w:cstheme="minorEastAsia"/>
          <w:snapToGrid w:val="0"/>
          <w:kern w:val="0"/>
          <w:szCs w:val="21"/>
          <w:lang w:val="zh-CN"/>
        </w:rPr>
        <w:t xml:space="preserve"> 是指经磋商小组评审推荐，采购人授予合同的供应商。</w:t>
      </w:r>
    </w:p>
    <w:p>
      <w:pPr>
        <w:numPr>
          <w:ilvl w:val="0"/>
          <w:numId w:val="11"/>
        </w:numPr>
        <w:spacing w:line="360" w:lineRule="auto"/>
        <w:ind w:hanging="540"/>
        <w:outlineLvl w:val="1"/>
        <w:rPr>
          <w:rFonts w:asciiTheme="minorEastAsia" w:hAnsiTheme="minorEastAsia" w:eastAsiaTheme="minorEastAsia" w:cstheme="minorEastAsia"/>
          <w:b/>
          <w:szCs w:val="21"/>
        </w:rPr>
      </w:pPr>
      <w:bookmarkStart w:id="33" w:name="_Toc25967"/>
      <w:bookmarkStart w:id="34" w:name="_Toc30503"/>
      <w:r>
        <w:rPr>
          <w:rFonts w:hint="eastAsia" w:asciiTheme="minorEastAsia" w:hAnsiTheme="minorEastAsia" w:eastAsiaTheme="minorEastAsia" w:cstheme="minorEastAsia"/>
          <w:b/>
          <w:snapToGrid w:val="0"/>
          <w:kern w:val="0"/>
          <w:szCs w:val="21"/>
          <w:lang w:val="zh-CN"/>
        </w:rPr>
        <w:t>工程、货物及服务</w:t>
      </w:r>
      <w:bookmarkEnd w:id="33"/>
      <w:bookmarkEnd w:id="34"/>
    </w:p>
    <w:p>
      <w:pPr>
        <w:numPr>
          <w:ilvl w:val="1"/>
          <w:numId w:val="14"/>
        </w:numPr>
        <w:tabs>
          <w:tab w:val="left" w:pos="525"/>
          <w:tab w:val="clear" w:pos="360"/>
        </w:tabs>
        <w:spacing w:line="360" w:lineRule="auto"/>
        <w:ind w:left="540" w:hanging="540"/>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“工程”是指建设工程，包括建筑物和构筑物的新建、改建、扩建及其相关的装修、拆除、修缮等。</w:t>
      </w:r>
    </w:p>
    <w:p>
      <w:pPr>
        <w:numPr>
          <w:ilvl w:val="1"/>
          <w:numId w:val="14"/>
        </w:numPr>
        <w:tabs>
          <w:tab w:val="left" w:pos="525"/>
          <w:tab w:val="clear" w:pos="360"/>
        </w:tabs>
        <w:spacing w:line="360" w:lineRule="auto"/>
        <w:ind w:left="540" w:hanging="540"/>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“货物”是指各种形态和种类的物品，包括原材料、燃料、设备、产品等。</w:t>
      </w:r>
    </w:p>
    <w:p>
      <w:pPr>
        <w:numPr>
          <w:ilvl w:val="1"/>
          <w:numId w:val="14"/>
        </w:numPr>
        <w:tabs>
          <w:tab w:val="left" w:pos="540"/>
          <w:tab w:val="clear" w:pos="360"/>
        </w:tabs>
        <w:spacing w:line="360" w:lineRule="auto"/>
        <w:ind w:left="540" w:hanging="540"/>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服务”是指是指除货物（指各种形态和种类的物品，包括原材料、燃料、设备、产品等）和工程（指建设工程，包括建筑物和构筑物的新建、改建、扩建及其相关的装修、拆除、修缮等）以外的其他政府采购对象。</w:t>
      </w:r>
    </w:p>
    <w:p>
      <w:pPr>
        <w:numPr>
          <w:ilvl w:val="0"/>
          <w:numId w:val="11"/>
        </w:numPr>
        <w:spacing w:line="360" w:lineRule="auto"/>
        <w:ind w:hanging="540"/>
        <w:outlineLvl w:val="1"/>
        <w:rPr>
          <w:rFonts w:asciiTheme="minorEastAsia" w:hAnsiTheme="minorEastAsia" w:eastAsiaTheme="minorEastAsia" w:cstheme="minorEastAsia"/>
          <w:b/>
          <w:szCs w:val="21"/>
        </w:rPr>
      </w:pPr>
      <w:bookmarkStart w:id="35" w:name="_Toc9974"/>
      <w:bookmarkStart w:id="36" w:name="_Toc22488"/>
      <w:r>
        <w:rPr>
          <w:rFonts w:hint="eastAsia" w:asciiTheme="minorEastAsia" w:hAnsiTheme="minorEastAsia" w:eastAsiaTheme="minorEastAsia" w:cstheme="minorEastAsia"/>
          <w:b/>
          <w:szCs w:val="21"/>
        </w:rPr>
        <w:t>费用</w:t>
      </w:r>
      <w:bookmarkEnd w:id="35"/>
      <w:bookmarkEnd w:id="36"/>
      <w:r>
        <w:rPr>
          <w:rFonts w:hint="eastAsia" w:asciiTheme="minorEastAsia" w:hAnsiTheme="minorEastAsia" w:eastAsiaTheme="minorEastAsia" w:cstheme="minorEastAsia"/>
          <w:b/>
          <w:szCs w:val="21"/>
        </w:rPr>
        <w:t xml:space="preserve">  </w:t>
      </w:r>
    </w:p>
    <w:p>
      <w:pPr>
        <w:numPr>
          <w:ilvl w:val="1"/>
          <w:numId w:val="15"/>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供应商应承担所有与准备和参加磋商有关的费用，不论磋商的结果如何，采购人和采购代理机构均无义务和责任承担这些费用。</w:t>
      </w:r>
    </w:p>
    <w:p>
      <w:pPr>
        <w:numPr>
          <w:ilvl w:val="1"/>
          <w:numId w:val="15"/>
        </w:numPr>
        <w:tabs>
          <w:tab w:val="left" w:pos="540"/>
          <w:tab w:val="clear" w:pos="360"/>
        </w:tabs>
        <w:spacing w:line="360" w:lineRule="auto"/>
        <w:ind w:left="540" w:hanging="540"/>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招标代理服务费：成交供应商须在收到成交通知书时向采购代理机构支付招标代理服务费。服务费支付标准和方法详见《供应商须知前附表》。</w:t>
      </w:r>
    </w:p>
    <w:p>
      <w:pPr>
        <w:numPr>
          <w:ilvl w:val="1"/>
          <w:numId w:val="15"/>
        </w:numPr>
        <w:tabs>
          <w:tab w:val="left" w:pos="540"/>
          <w:tab w:val="clear" w:pos="360"/>
        </w:tabs>
        <w:spacing w:line="360" w:lineRule="auto"/>
        <w:ind w:left="540" w:hanging="54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国家计委计价格[2002]1980 号规定标准收费：</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2255"/>
        <w:gridCol w:w="225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中标金额（万元）</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100以下</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100-500</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0.8%</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500-1000</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0.8%</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0.45%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1000-5000</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0.25%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5000-10000</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0.25%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0.1%</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10000-100000</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100000以上</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0.01%</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0.01%</w:t>
            </w:r>
          </w:p>
        </w:tc>
        <w:tc>
          <w:tcPr>
            <w:tcW w:w="2255" w:type="dxa"/>
          </w:tcPr>
          <w:p>
            <w:pPr>
              <w:autoSpaceDE w:val="0"/>
              <w:autoSpaceDN w:val="0"/>
              <w:snapToGrid w:val="0"/>
              <w:spacing w:line="48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0.01%</w:t>
            </w:r>
          </w:p>
        </w:tc>
      </w:tr>
    </w:tbl>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注：招标代理服务收费按差额定率累进法计算。例如：某货物招标代理业务中标金额为6000万元，计算招标代理服务收费额如下：</w:t>
      </w:r>
    </w:p>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0---100：100×1.500％=15000.000元</w:t>
      </w:r>
    </w:p>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100---500：400×1.100％=44000.000元</w:t>
      </w:r>
    </w:p>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500---1000：500×0.800％=40000.000元</w:t>
      </w:r>
    </w:p>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1000---5000：4000×0.500％=200000.000元</w:t>
      </w:r>
    </w:p>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5000---6000：1000×0.250％=25000.000元</w:t>
      </w:r>
    </w:p>
    <w:p>
      <w:pPr>
        <w:tabs>
          <w:tab w:val="left" w:pos="540"/>
        </w:tabs>
        <w:spacing w:line="360" w:lineRule="auto"/>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合计收费=324000.000元</w:t>
      </w:r>
    </w:p>
    <w:p>
      <w:pPr>
        <w:numPr>
          <w:ilvl w:val="1"/>
          <w:numId w:val="10"/>
        </w:numPr>
        <w:tabs>
          <w:tab w:val="left" w:pos="540"/>
          <w:tab w:val="clear" w:pos="840"/>
        </w:tabs>
        <w:spacing w:line="360" w:lineRule="auto"/>
        <w:ind w:left="540" w:hanging="540"/>
        <w:outlineLvl w:val="1"/>
        <w:rPr>
          <w:rFonts w:asciiTheme="minorEastAsia" w:hAnsiTheme="minorEastAsia" w:eastAsiaTheme="minorEastAsia" w:cstheme="minorEastAsia"/>
          <w:b/>
          <w:szCs w:val="21"/>
        </w:rPr>
      </w:pPr>
      <w:bookmarkStart w:id="37" w:name="_Toc27172"/>
      <w:r>
        <w:rPr>
          <w:rFonts w:hint="eastAsia" w:asciiTheme="minorEastAsia" w:hAnsiTheme="minorEastAsia" w:eastAsiaTheme="minorEastAsia" w:cstheme="minorEastAsia"/>
          <w:b/>
          <w:szCs w:val="21"/>
        </w:rPr>
        <w:t>竞争性磋商采购文件</w:t>
      </w:r>
      <w:bookmarkEnd w:id="37"/>
    </w:p>
    <w:p>
      <w:pPr>
        <w:numPr>
          <w:ilvl w:val="0"/>
          <w:numId w:val="11"/>
        </w:numPr>
        <w:spacing w:line="360" w:lineRule="auto"/>
        <w:ind w:hanging="540"/>
        <w:outlineLvl w:val="1"/>
        <w:rPr>
          <w:rFonts w:asciiTheme="minorEastAsia" w:hAnsiTheme="minorEastAsia" w:eastAsiaTheme="minorEastAsia" w:cstheme="minorEastAsia"/>
          <w:b/>
          <w:szCs w:val="21"/>
        </w:rPr>
      </w:pPr>
      <w:bookmarkStart w:id="38" w:name="_Toc29851"/>
      <w:bookmarkStart w:id="39" w:name="_Toc4547"/>
      <w:r>
        <w:rPr>
          <w:rFonts w:hint="eastAsia" w:asciiTheme="minorEastAsia" w:hAnsiTheme="minorEastAsia" w:eastAsiaTheme="minorEastAsia" w:cstheme="minorEastAsia"/>
          <w:b/>
          <w:szCs w:val="21"/>
        </w:rPr>
        <w:t>竞争性磋商采购文件的构成</w:t>
      </w:r>
      <w:bookmarkEnd w:id="38"/>
      <w:bookmarkEnd w:id="39"/>
    </w:p>
    <w:p>
      <w:pPr>
        <w:numPr>
          <w:ilvl w:val="1"/>
          <w:numId w:val="16"/>
        </w:numPr>
        <w:tabs>
          <w:tab w:val="left" w:pos="540"/>
          <w:tab w:val="clear" w:pos="36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本竞争性磋商采购文件包括：</w:t>
      </w:r>
    </w:p>
    <w:p>
      <w:pPr>
        <w:numPr>
          <w:ilvl w:val="3"/>
          <w:numId w:val="11"/>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磋商公告</w:t>
      </w:r>
    </w:p>
    <w:p>
      <w:pPr>
        <w:numPr>
          <w:ilvl w:val="3"/>
          <w:numId w:val="11"/>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供应商须知</w:t>
      </w:r>
    </w:p>
    <w:p>
      <w:pPr>
        <w:numPr>
          <w:ilvl w:val="3"/>
          <w:numId w:val="11"/>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采购需求</w:t>
      </w:r>
    </w:p>
    <w:p>
      <w:pPr>
        <w:numPr>
          <w:ilvl w:val="3"/>
          <w:numId w:val="11"/>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竞争性磋商采购评定办法</w:t>
      </w:r>
    </w:p>
    <w:p>
      <w:pPr>
        <w:numPr>
          <w:ilvl w:val="3"/>
          <w:numId w:val="11"/>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合同书格式</w:t>
      </w:r>
    </w:p>
    <w:p>
      <w:pPr>
        <w:numPr>
          <w:ilvl w:val="3"/>
          <w:numId w:val="11"/>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竞争性磋商响应文件格式</w:t>
      </w:r>
    </w:p>
    <w:p>
      <w:pPr>
        <w:numPr>
          <w:ilvl w:val="3"/>
          <w:numId w:val="11"/>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采购过程中由采购代理机构发出的澄清和修正文件</w:t>
      </w:r>
    </w:p>
    <w:p>
      <w:pPr>
        <w:numPr>
          <w:ilvl w:val="3"/>
          <w:numId w:val="11"/>
        </w:numPr>
        <w:tabs>
          <w:tab w:val="left" w:pos="540"/>
          <w:tab w:val="clear" w:pos="2040"/>
        </w:tabs>
        <w:spacing w:line="360" w:lineRule="auto"/>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磋商小组在磋商过程中发出的对本磋商文件的实质性变动</w:t>
      </w:r>
    </w:p>
    <w:p>
      <w:pPr>
        <w:numPr>
          <w:ilvl w:val="0"/>
          <w:numId w:val="11"/>
        </w:numPr>
        <w:spacing w:line="360" w:lineRule="auto"/>
        <w:ind w:hanging="540"/>
        <w:outlineLvl w:val="1"/>
        <w:rPr>
          <w:rFonts w:asciiTheme="minorEastAsia" w:hAnsiTheme="minorEastAsia" w:eastAsiaTheme="minorEastAsia" w:cstheme="minorEastAsia"/>
          <w:b/>
          <w:snapToGrid w:val="0"/>
          <w:kern w:val="0"/>
          <w:szCs w:val="21"/>
          <w:lang w:val="zh-CN"/>
        </w:rPr>
      </w:pPr>
      <w:bookmarkStart w:id="40" w:name="_Toc29700"/>
      <w:bookmarkStart w:id="41" w:name="_Toc22354"/>
      <w:r>
        <w:rPr>
          <w:rFonts w:hint="eastAsia" w:asciiTheme="minorEastAsia" w:hAnsiTheme="minorEastAsia" w:eastAsiaTheme="minorEastAsia" w:cstheme="minorEastAsia"/>
          <w:b/>
          <w:snapToGrid w:val="0"/>
          <w:kern w:val="0"/>
          <w:szCs w:val="21"/>
          <w:lang w:val="zh-CN"/>
        </w:rPr>
        <w:t>竞争性磋商采购文件的澄清</w:t>
      </w:r>
      <w:bookmarkEnd w:id="40"/>
      <w:bookmarkEnd w:id="41"/>
    </w:p>
    <w:p>
      <w:pPr>
        <w:numPr>
          <w:ilvl w:val="1"/>
          <w:numId w:val="17"/>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供应商获取竞争性磋商采购文件后，应认真检查，如发现页数不全、附件缺失、印刷模糊等，应通知采购代理机构补全或更换，否则风险自负。</w:t>
      </w:r>
    </w:p>
    <w:p>
      <w:pPr>
        <w:numPr>
          <w:ilvl w:val="1"/>
          <w:numId w:val="17"/>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要求对本竞争性磋商采购文件进行澄清的，应以书面形式（包括信函、电报、传真等可以有形地表现所载内容的形式，下同）在提疑截止时间以前向采购代理机构或采购人提出，提疑截止时间见《供应商须知前附表》。</w:t>
      </w:r>
    </w:p>
    <w:p>
      <w:pPr>
        <w:autoSpaceDE w:val="0"/>
        <w:autoSpaceDN w:val="0"/>
        <w:adjustRightInd w:val="0"/>
        <w:spacing w:line="360" w:lineRule="auto"/>
        <w:ind w:left="540" w:leftChars="257" w:firstLine="420" w:firstLineChars="20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采购代理机构对于符合澄清要求的，将以书面形式给所有接收磋商文件的供应商予以答复(答复中不包括问题的来源)，供应商收到答复后应在24小时内以书面形式向采购代理机构予以确认。</w:t>
      </w:r>
    </w:p>
    <w:p>
      <w:pPr>
        <w:numPr>
          <w:ilvl w:val="1"/>
          <w:numId w:val="17"/>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供应商在规定的时间内未对竞争性磋商采购文件澄清或提出疑问的，采购代理机构将视其为同意。</w:t>
      </w:r>
    </w:p>
    <w:p>
      <w:pPr>
        <w:numPr>
          <w:ilvl w:val="1"/>
          <w:numId w:val="17"/>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澄清的内容是本竞争性磋商采购文件的组成部分，当竞争性磋商采购文件</w:t>
      </w:r>
      <w:r>
        <w:rPr>
          <w:rFonts w:hint="eastAsia" w:asciiTheme="minorEastAsia" w:hAnsiTheme="minorEastAsia" w:eastAsiaTheme="minorEastAsia" w:cstheme="minorEastAsia"/>
          <w:szCs w:val="21"/>
        </w:rPr>
        <w:t>、澄清文件对同一内容的表述不一致时，以最后发出的书面文件为准。</w:t>
      </w:r>
    </w:p>
    <w:p>
      <w:pPr>
        <w:numPr>
          <w:ilvl w:val="0"/>
          <w:numId w:val="11"/>
        </w:numPr>
        <w:spacing w:line="360" w:lineRule="auto"/>
        <w:ind w:hanging="540"/>
        <w:outlineLvl w:val="1"/>
        <w:rPr>
          <w:rFonts w:asciiTheme="minorEastAsia" w:hAnsiTheme="minorEastAsia" w:eastAsiaTheme="minorEastAsia" w:cstheme="minorEastAsia"/>
          <w:b/>
          <w:snapToGrid w:val="0"/>
          <w:kern w:val="0"/>
          <w:szCs w:val="21"/>
          <w:lang w:val="zh-CN"/>
        </w:rPr>
      </w:pPr>
      <w:bookmarkStart w:id="42" w:name="_Toc31761"/>
      <w:bookmarkStart w:id="43" w:name="_Toc5704"/>
      <w:r>
        <w:rPr>
          <w:rFonts w:hint="eastAsia" w:asciiTheme="minorEastAsia" w:hAnsiTheme="minorEastAsia" w:eastAsiaTheme="minorEastAsia" w:cstheme="minorEastAsia"/>
          <w:b/>
          <w:snapToGrid w:val="0"/>
          <w:kern w:val="0"/>
          <w:szCs w:val="21"/>
          <w:lang w:val="zh-CN"/>
        </w:rPr>
        <w:t>竞争性磋商采购文件的修改</w:t>
      </w:r>
      <w:bookmarkEnd w:id="42"/>
      <w:bookmarkEnd w:id="43"/>
    </w:p>
    <w:p>
      <w:pPr>
        <w:numPr>
          <w:ilvl w:val="1"/>
          <w:numId w:val="18"/>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提交首次响应文件截止之日前，采购人、采购代理机构可以对本竞争性磋商采购文件进行必要的修改，修改的内容是磋商文件的组成部分，采购代理机构将以书面形式通知所有接受磋商文件的供应商，供应商在收到上述通知后，应在24小时内以书面形式向采购代理机构予以确认。</w:t>
      </w:r>
    </w:p>
    <w:p>
      <w:pPr>
        <w:numPr>
          <w:ilvl w:val="1"/>
          <w:numId w:val="18"/>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当磋商文件、修改文件对同一内容的表述不一致时，以最后发出的书面文件为准。</w:t>
      </w:r>
    </w:p>
    <w:p>
      <w:pPr>
        <w:numPr>
          <w:ilvl w:val="1"/>
          <w:numId w:val="18"/>
        </w:numPr>
        <w:tabs>
          <w:tab w:val="left" w:pos="525"/>
          <w:tab w:val="clear" w:pos="360"/>
        </w:tabs>
        <w:autoSpaceDE w:val="0"/>
        <w:autoSpaceDN w:val="0"/>
        <w:adjustRightInd w:val="0"/>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修改的内容可能影响响应文件编制的，修改文件应当在提交首次响应文件截止之日</w:t>
      </w:r>
      <w:r>
        <w:rPr>
          <w:rFonts w:hint="eastAsia" w:asciiTheme="minorEastAsia" w:hAnsiTheme="minorEastAsia" w:eastAsiaTheme="minorEastAsia" w:cstheme="minorEastAsia"/>
          <w:snapToGrid w:val="0"/>
          <w:kern w:val="0"/>
          <w:szCs w:val="21"/>
        </w:rPr>
        <w:t>5</w:t>
      </w:r>
      <w:r>
        <w:rPr>
          <w:rFonts w:hint="eastAsia" w:asciiTheme="minorEastAsia" w:hAnsiTheme="minorEastAsia" w:eastAsiaTheme="minorEastAsia" w:cstheme="minorEastAsia"/>
          <w:snapToGrid w:val="0"/>
          <w:kern w:val="0"/>
          <w:szCs w:val="21"/>
          <w:lang w:val="zh-CN"/>
        </w:rPr>
        <w:t>个工作日前发出，不足</w:t>
      </w:r>
      <w:r>
        <w:rPr>
          <w:rFonts w:hint="eastAsia" w:asciiTheme="minorEastAsia" w:hAnsiTheme="minorEastAsia" w:eastAsiaTheme="minorEastAsia" w:cstheme="minorEastAsia"/>
          <w:snapToGrid w:val="0"/>
          <w:kern w:val="0"/>
          <w:szCs w:val="21"/>
        </w:rPr>
        <w:t>5</w:t>
      </w:r>
      <w:r>
        <w:rPr>
          <w:rFonts w:hint="eastAsia" w:asciiTheme="minorEastAsia" w:hAnsiTheme="minorEastAsia" w:eastAsiaTheme="minorEastAsia" w:cstheme="minorEastAsia"/>
          <w:snapToGrid w:val="0"/>
          <w:kern w:val="0"/>
          <w:szCs w:val="21"/>
          <w:lang w:val="zh-CN"/>
        </w:rPr>
        <w:t>个工作日的，采购人、采购代理机构将顺延提交首次响应文件截止之日。</w:t>
      </w:r>
    </w:p>
    <w:p>
      <w:pPr>
        <w:numPr>
          <w:ilvl w:val="1"/>
          <w:numId w:val="10"/>
        </w:numPr>
        <w:tabs>
          <w:tab w:val="left" w:pos="540"/>
          <w:tab w:val="clear" w:pos="840"/>
        </w:tabs>
        <w:spacing w:line="360" w:lineRule="auto"/>
        <w:ind w:left="540" w:hanging="540"/>
        <w:outlineLvl w:val="1"/>
        <w:rPr>
          <w:rFonts w:asciiTheme="minorEastAsia" w:hAnsiTheme="minorEastAsia" w:eastAsiaTheme="minorEastAsia" w:cstheme="minorEastAsia"/>
          <w:b/>
          <w:szCs w:val="21"/>
        </w:rPr>
      </w:pPr>
      <w:bookmarkStart w:id="44" w:name="_Toc7112"/>
      <w:r>
        <w:rPr>
          <w:rFonts w:hint="eastAsia" w:asciiTheme="minorEastAsia" w:hAnsiTheme="minorEastAsia" w:eastAsiaTheme="minorEastAsia" w:cstheme="minorEastAsia"/>
          <w:b/>
          <w:szCs w:val="21"/>
        </w:rPr>
        <w:t>竞争性磋商响应文件</w:t>
      </w:r>
      <w:bookmarkEnd w:id="44"/>
    </w:p>
    <w:p>
      <w:pPr>
        <w:numPr>
          <w:ilvl w:val="0"/>
          <w:numId w:val="11"/>
        </w:numPr>
        <w:spacing w:line="360" w:lineRule="auto"/>
        <w:ind w:hanging="540"/>
        <w:outlineLvl w:val="1"/>
        <w:rPr>
          <w:rFonts w:asciiTheme="minorEastAsia" w:hAnsiTheme="minorEastAsia" w:eastAsiaTheme="minorEastAsia" w:cstheme="minorEastAsia"/>
          <w:snapToGrid w:val="0"/>
          <w:kern w:val="0"/>
          <w:szCs w:val="21"/>
          <w:lang w:val="zh-CN"/>
        </w:rPr>
      </w:pPr>
      <w:bookmarkStart w:id="45" w:name="_Toc30987"/>
      <w:bookmarkStart w:id="46" w:name="_Toc7443"/>
      <w:r>
        <w:rPr>
          <w:rFonts w:hint="eastAsia" w:asciiTheme="minorEastAsia" w:hAnsiTheme="minorEastAsia" w:eastAsiaTheme="minorEastAsia" w:cstheme="minorEastAsia"/>
          <w:b/>
          <w:snapToGrid w:val="0"/>
          <w:kern w:val="0"/>
          <w:szCs w:val="21"/>
          <w:lang w:val="zh-CN"/>
        </w:rPr>
        <w:t>语言和计量单位</w:t>
      </w:r>
      <w:bookmarkEnd w:id="45"/>
      <w:bookmarkEnd w:id="46"/>
    </w:p>
    <w:p>
      <w:pPr>
        <w:numPr>
          <w:ilvl w:val="1"/>
          <w:numId w:val="19"/>
        </w:numPr>
        <w:tabs>
          <w:tab w:val="left" w:pos="540"/>
          <w:tab w:val="clear" w:pos="360"/>
        </w:tabs>
        <w:spacing w:line="360" w:lineRule="auto"/>
        <w:ind w:left="540" w:hanging="540"/>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竞争性磋商响应文件以及供应商与采购代理机构或采购人就有关磋商的所有来往信函、电报、传真等均应使用中文。供应商提交的支持文件或印刷的文献可以用另一种语言，但相应内容应附有中文翻译本，在解释竞争性磋商响应文件时以中文翻译本为准。</w:t>
      </w:r>
    </w:p>
    <w:p>
      <w:pPr>
        <w:numPr>
          <w:ilvl w:val="1"/>
          <w:numId w:val="19"/>
        </w:numPr>
        <w:tabs>
          <w:tab w:val="left" w:pos="540"/>
          <w:tab w:val="clear" w:pos="360"/>
        </w:tabs>
        <w:spacing w:line="360" w:lineRule="auto"/>
        <w:ind w:left="540" w:hanging="540"/>
        <w:rPr>
          <w:rFonts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snapToGrid w:val="0"/>
          <w:kern w:val="0"/>
          <w:szCs w:val="21"/>
          <w:lang w:val="zh-CN"/>
        </w:rPr>
        <w:t>除非竞争性磋商采购文件中另有规定，计量单位均采用中华人民共和国法定的计量单位。</w:t>
      </w:r>
    </w:p>
    <w:p>
      <w:pPr>
        <w:numPr>
          <w:ilvl w:val="0"/>
          <w:numId w:val="11"/>
        </w:numPr>
        <w:spacing w:line="360" w:lineRule="auto"/>
        <w:ind w:hanging="540"/>
        <w:outlineLvl w:val="1"/>
        <w:rPr>
          <w:rFonts w:asciiTheme="minorEastAsia" w:hAnsiTheme="minorEastAsia" w:eastAsiaTheme="minorEastAsia" w:cstheme="minorEastAsia"/>
          <w:b/>
          <w:snapToGrid w:val="0"/>
          <w:kern w:val="0"/>
          <w:szCs w:val="21"/>
          <w:lang w:val="zh-CN"/>
        </w:rPr>
      </w:pPr>
      <w:bookmarkStart w:id="47" w:name="_Toc32272"/>
      <w:bookmarkStart w:id="48" w:name="_Toc6398"/>
      <w:r>
        <w:rPr>
          <w:rFonts w:hint="eastAsia" w:asciiTheme="minorEastAsia" w:hAnsiTheme="minorEastAsia" w:eastAsiaTheme="minorEastAsia" w:cstheme="minorEastAsia"/>
          <w:b/>
          <w:snapToGrid w:val="0"/>
          <w:kern w:val="0"/>
          <w:szCs w:val="21"/>
          <w:lang w:val="zh-CN"/>
        </w:rPr>
        <w:t>竞争性磋商响应文件的构成</w:t>
      </w:r>
      <w:bookmarkEnd w:id="47"/>
      <w:bookmarkEnd w:id="48"/>
    </w:p>
    <w:p>
      <w:pPr>
        <w:numPr>
          <w:ilvl w:val="1"/>
          <w:numId w:val="20"/>
        </w:numPr>
        <w:tabs>
          <w:tab w:val="left" w:pos="525"/>
          <w:tab w:val="clear" w:pos="360"/>
        </w:tabs>
        <w:autoSpaceDE w:val="0"/>
        <w:autoSpaceDN w:val="0"/>
        <w:adjustRightInd w:val="0"/>
        <w:spacing w:line="360" w:lineRule="auto"/>
        <w:ind w:left="0" w:firstLine="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供应商编制的竞争性磋商响应</w:t>
      </w:r>
      <w:r>
        <w:rPr>
          <w:rFonts w:hint="eastAsia" w:asciiTheme="minorEastAsia" w:hAnsiTheme="minorEastAsia" w:eastAsiaTheme="minorEastAsia" w:cstheme="minorEastAsia"/>
          <w:snapToGrid w:val="0"/>
          <w:kern w:val="0"/>
          <w:szCs w:val="21"/>
        </w:rPr>
        <w:t>文</w:t>
      </w:r>
      <w:r>
        <w:rPr>
          <w:rFonts w:hint="eastAsia" w:asciiTheme="minorEastAsia" w:hAnsiTheme="minorEastAsia" w:eastAsiaTheme="minorEastAsia" w:cstheme="minorEastAsia"/>
          <w:snapToGrid w:val="0"/>
          <w:kern w:val="0"/>
          <w:szCs w:val="21"/>
          <w:lang w:val="zh-CN"/>
        </w:rPr>
        <w:t>件应包括的内容详见本文件第六章要求。</w:t>
      </w:r>
    </w:p>
    <w:p>
      <w:pPr>
        <w:autoSpaceDE w:val="0"/>
        <w:autoSpaceDN w:val="0"/>
        <w:adjustRightInd w:val="0"/>
        <w:spacing w:line="360" w:lineRule="auto"/>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bCs/>
          <w:szCs w:val="21"/>
        </w:rPr>
        <w:t>注：响应文件目录及内容每页须顺序编写页码。</w:t>
      </w:r>
    </w:p>
    <w:p>
      <w:pPr>
        <w:numPr>
          <w:ilvl w:val="0"/>
          <w:numId w:val="11"/>
        </w:numPr>
        <w:spacing w:line="360" w:lineRule="auto"/>
        <w:ind w:hanging="540"/>
        <w:outlineLvl w:val="1"/>
        <w:rPr>
          <w:rFonts w:asciiTheme="minorEastAsia" w:hAnsiTheme="minorEastAsia" w:eastAsiaTheme="minorEastAsia" w:cstheme="minorEastAsia"/>
          <w:b/>
          <w:snapToGrid w:val="0"/>
          <w:kern w:val="0"/>
          <w:szCs w:val="21"/>
          <w:lang w:val="zh-CN"/>
        </w:rPr>
      </w:pPr>
      <w:bookmarkStart w:id="49" w:name="_Toc25217"/>
      <w:bookmarkStart w:id="50" w:name="_Toc17989"/>
      <w:r>
        <w:rPr>
          <w:rFonts w:hint="eastAsia" w:asciiTheme="minorEastAsia" w:hAnsiTheme="minorEastAsia" w:eastAsiaTheme="minorEastAsia" w:cstheme="minorEastAsia"/>
          <w:b/>
          <w:snapToGrid w:val="0"/>
          <w:kern w:val="0"/>
          <w:szCs w:val="21"/>
          <w:lang w:val="zh-CN"/>
        </w:rPr>
        <w:t>竞争性磋商响应文件的编制</w:t>
      </w:r>
      <w:bookmarkEnd w:id="49"/>
      <w:bookmarkEnd w:id="50"/>
    </w:p>
    <w:p>
      <w:pPr>
        <w:numPr>
          <w:ilvl w:val="1"/>
          <w:numId w:val="21"/>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供应商应当按照本采购文件的要求编制响应文件，并对其提交的响应文件及全部资料的真实性、合法性承担法律责任，并接受采购代理机构对其中任何资料进一步核实的要求。</w:t>
      </w:r>
    </w:p>
    <w:p>
      <w:pPr>
        <w:numPr>
          <w:ilvl w:val="1"/>
          <w:numId w:val="21"/>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供应商应认真阅读本采购文件中的所有内容，并对本采购文件提出的要求和条件作出实质性响应。如供应商没有按照本采购文件的要求提交全部资料，或者没有对本采购文件在各方面都做出实质性响应的，其响应文件将被视为无效文件。 </w:t>
      </w:r>
    </w:p>
    <w:p>
      <w:pPr>
        <w:numPr>
          <w:ilvl w:val="1"/>
          <w:numId w:val="21"/>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完整地按本采购文件的要求提交所有资料并按要求的格式填写规定的所有内容，无相应内容可填项的，应填写“无”、“未测试”、“没有相应指标”等明确的回答文字。如未规定格式的，相关格式由供应商自定。</w:t>
      </w:r>
    </w:p>
    <w:p>
      <w:pPr>
        <w:numPr>
          <w:ilvl w:val="1"/>
          <w:numId w:val="21"/>
        </w:numPr>
        <w:tabs>
          <w:tab w:val="left" w:pos="540"/>
          <w:tab w:val="clear" w:pos="36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供应商在编制响应文件时应注意本次采购对多包采购的规定，多包采购的规定见《供应商须知前附表》。</w:t>
      </w:r>
    </w:p>
    <w:p>
      <w:pPr>
        <w:numPr>
          <w:ilvl w:val="0"/>
          <w:numId w:val="11"/>
        </w:numPr>
        <w:spacing w:line="360" w:lineRule="auto"/>
        <w:ind w:hanging="540"/>
        <w:outlineLvl w:val="1"/>
        <w:rPr>
          <w:rFonts w:asciiTheme="minorEastAsia" w:hAnsiTheme="minorEastAsia" w:eastAsiaTheme="minorEastAsia" w:cstheme="minorEastAsia"/>
          <w:b/>
          <w:snapToGrid w:val="0"/>
          <w:kern w:val="0"/>
          <w:szCs w:val="21"/>
          <w:lang w:val="zh-CN"/>
        </w:rPr>
      </w:pPr>
      <w:bookmarkStart w:id="51" w:name="_Toc14856"/>
      <w:bookmarkStart w:id="52" w:name="_Toc24544"/>
      <w:r>
        <w:rPr>
          <w:rFonts w:hint="eastAsia" w:asciiTheme="minorEastAsia" w:hAnsiTheme="minorEastAsia" w:eastAsiaTheme="minorEastAsia" w:cstheme="minorEastAsia"/>
          <w:b/>
          <w:snapToGrid w:val="0"/>
          <w:kern w:val="0"/>
          <w:szCs w:val="21"/>
          <w:lang w:val="zh-CN"/>
        </w:rPr>
        <w:t>磋商报价</w:t>
      </w:r>
      <w:bookmarkEnd w:id="51"/>
      <w:bookmarkEnd w:id="52"/>
    </w:p>
    <w:p>
      <w:pPr>
        <w:numPr>
          <w:ilvl w:val="1"/>
          <w:numId w:val="22"/>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磋商报价包括磋商供应商在首次提交的响应文件中的报价、磋商过程中的报价和最后报价。磋商供应商的报价均应以人民币报价。</w:t>
      </w:r>
    </w:p>
    <w:p>
      <w:pPr>
        <w:numPr>
          <w:ilvl w:val="1"/>
          <w:numId w:val="22"/>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按照本采购文件规定的采购需求及合同条款进行报价，并按竞争性磋商采购文件确定的格式报出。报价中不得包含竞争性磋商采购文件要求以外的内容，否则，在评审时不予核减。报价中也不得缺漏竞争性磋商采购文件所要求的内容，否则，其响应文件将被视为无效文件。</w:t>
      </w:r>
    </w:p>
    <w:p>
      <w:pPr>
        <w:numPr>
          <w:ilvl w:val="1"/>
          <w:numId w:val="22"/>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供应商应根据本磋商文件的规定和要求、市场价格水平及其走势、</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供应商的管理水平、</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napToGrid w:val="0"/>
          <w:kern w:val="0"/>
          <w:szCs w:val="21"/>
          <w:lang w:val="zh-CN"/>
        </w:rPr>
        <w:t>方案</w:t>
      </w:r>
      <w:r>
        <w:rPr>
          <w:rFonts w:hint="eastAsia" w:asciiTheme="minorEastAsia" w:hAnsiTheme="minorEastAsia" w:eastAsiaTheme="minorEastAsia" w:cstheme="minorEastAsia"/>
          <w:szCs w:val="21"/>
        </w:rPr>
        <w:t>和由这些因素决定的磋商供应商之于本项目的成本水平等提出自己的报价。</w:t>
      </w:r>
      <w:r>
        <w:rPr>
          <w:rFonts w:hint="eastAsia" w:asciiTheme="minorEastAsia" w:hAnsiTheme="minorEastAsia" w:eastAsiaTheme="minorEastAsia" w:cstheme="minorEastAsia"/>
          <w:snapToGrid w:val="0"/>
          <w:kern w:val="0"/>
          <w:szCs w:val="21"/>
          <w:lang w:val="zh-CN"/>
        </w:rPr>
        <w:t>报价应包含完成本采购文件采购需求全部内容的所有费用，所有根据本采购文件或其它原因应由磋商供应商支付的税款和其他应缴纳的费用都应包括在报价中。</w:t>
      </w:r>
      <w:r>
        <w:rPr>
          <w:rFonts w:hint="eastAsia" w:asciiTheme="minorEastAsia" w:hAnsiTheme="minorEastAsia" w:eastAsiaTheme="minorEastAsia" w:cstheme="minorEastAsia"/>
          <w:szCs w:val="21"/>
        </w:rPr>
        <w:t>但磋商供应商不得以低于其成本的价格进行报价。</w:t>
      </w:r>
    </w:p>
    <w:p>
      <w:pPr>
        <w:numPr>
          <w:ilvl w:val="1"/>
          <w:numId w:val="22"/>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供应商在响应文件中</w:t>
      </w:r>
      <w:r>
        <w:rPr>
          <w:rFonts w:hint="eastAsia" w:asciiTheme="minorEastAsia" w:hAnsiTheme="minorEastAsia" w:eastAsiaTheme="minorEastAsia" w:cstheme="minorEastAsia"/>
          <w:snapToGrid w:val="0"/>
          <w:kern w:val="0"/>
          <w:szCs w:val="21"/>
          <w:lang w:val="zh-CN"/>
        </w:rPr>
        <w:t>注明免费的项目将视为包含在报价中。</w:t>
      </w:r>
    </w:p>
    <w:p>
      <w:pPr>
        <w:numPr>
          <w:ilvl w:val="1"/>
          <w:numId w:val="22"/>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每一种采购内容只允许有一个报价，否则其响应文件将被视为无效文件。</w:t>
      </w:r>
    </w:p>
    <w:p>
      <w:pPr>
        <w:numPr>
          <w:ilvl w:val="1"/>
          <w:numId w:val="22"/>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成交供应商的报价在合同执行过程中是固定不变的，不得以任何理由予以变更。</w:t>
      </w:r>
    </w:p>
    <w:p>
      <w:pPr>
        <w:numPr>
          <w:ilvl w:val="0"/>
          <w:numId w:val="11"/>
        </w:numPr>
        <w:tabs>
          <w:tab w:val="left" w:pos="864"/>
        </w:tabs>
        <w:spacing w:line="360" w:lineRule="auto"/>
        <w:ind w:hanging="540"/>
        <w:outlineLvl w:val="1"/>
        <w:rPr>
          <w:rFonts w:asciiTheme="minorEastAsia" w:hAnsiTheme="minorEastAsia" w:eastAsiaTheme="minorEastAsia" w:cstheme="minorEastAsia"/>
          <w:b/>
          <w:snapToGrid w:val="0"/>
          <w:kern w:val="0"/>
          <w:szCs w:val="21"/>
          <w:lang w:val="zh-CN"/>
        </w:rPr>
      </w:pPr>
      <w:bookmarkStart w:id="53" w:name="_Toc4071"/>
      <w:bookmarkStart w:id="54" w:name="_Toc6176"/>
      <w:r>
        <w:rPr>
          <w:rFonts w:hint="eastAsia" w:asciiTheme="minorEastAsia" w:hAnsiTheme="minorEastAsia" w:eastAsiaTheme="minorEastAsia" w:cstheme="minorEastAsia"/>
          <w:b/>
          <w:snapToGrid w:val="0"/>
          <w:kern w:val="0"/>
          <w:szCs w:val="21"/>
          <w:lang w:val="zh-CN"/>
        </w:rPr>
        <w:t>备选方案</w:t>
      </w:r>
      <w:bookmarkEnd w:id="53"/>
      <w:bookmarkEnd w:id="54"/>
    </w:p>
    <w:p>
      <w:pPr>
        <w:numPr>
          <w:ilvl w:val="1"/>
          <w:numId w:val="23"/>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是否允许备选方案见《供应商须知前附表》。不允许有备选方案的，若在响应文件中提交了备选方案，其响应文件将被视为无效文件。 </w:t>
      </w:r>
    </w:p>
    <w:p>
      <w:pPr>
        <w:numPr>
          <w:ilvl w:val="0"/>
          <w:numId w:val="11"/>
        </w:numPr>
        <w:tabs>
          <w:tab w:val="left" w:pos="864"/>
        </w:tabs>
        <w:spacing w:line="360" w:lineRule="auto"/>
        <w:ind w:hanging="540"/>
        <w:outlineLvl w:val="1"/>
        <w:rPr>
          <w:rFonts w:asciiTheme="minorEastAsia" w:hAnsiTheme="minorEastAsia" w:eastAsiaTheme="minorEastAsia" w:cstheme="minorEastAsia"/>
          <w:b/>
          <w:snapToGrid w:val="0"/>
          <w:kern w:val="0"/>
          <w:szCs w:val="21"/>
          <w:lang w:val="zh-CN"/>
        </w:rPr>
      </w:pPr>
      <w:bookmarkStart w:id="55" w:name="_Toc3324"/>
      <w:bookmarkStart w:id="56" w:name="_Toc20227"/>
      <w:r>
        <w:rPr>
          <w:rFonts w:hint="eastAsia" w:asciiTheme="minorEastAsia" w:hAnsiTheme="minorEastAsia" w:eastAsiaTheme="minorEastAsia" w:cstheme="minorEastAsia"/>
          <w:b/>
          <w:snapToGrid w:val="0"/>
          <w:kern w:val="0"/>
          <w:szCs w:val="21"/>
          <w:lang w:val="zh-CN"/>
        </w:rPr>
        <w:t>联合体</w:t>
      </w:r>
      <w:bookmarkEnd w:id="55"/>
      <w:bookmarkEnd w:id="56"/>
    </w:p>
    <w:p>
      <w:pPr>
        <w:numPr>
          <w:ilvl w:val="1"/>
          <w:numId w:val="24"/>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本次采购是否允许联合体参加详见《供应商须知前附表》。 </w:t>
      </w:r>
    </w:p>
    <w:p>
      <w:pPr>
        <w:numPr>
          <w:ilvl w:val="1"/>
          <w:numId w:val="24"/>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本次采购允许联合体报价的，联合体各方不得再单独或者与其他供应商另外组成联合体参加本项目的报价。</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57" w:name="_Toc4849"/>
      <w:bookmarkStart w:id="58" w:name="_Toc2434"/>
      <w:r>
        <w:rPr>
          <w:rFonts w:hint="eastAsia" w:asciiTheme="minorEastAsia" w:hAnsiTheme="minorEastAsia" w:eastAsiaTheme="minorEastAsia" w:cstheme="minorEastAsia"/>
          <w:b/>
          <w:snapToGrid w:val="0"/>
          <w:kern w:val="0"/>
          <w:szCs w:val="21"/>
          <w:lang w:val="zh-CN"/>
        </w:rPr>
        <w:t>供应商资格证明文件</w:t>
      </w:r>
      <w:bookmarkEnd w:id="57"/>
      <w:bookmarkEnd w:id="58"/>
    </w:p>
    <w:p>
      <w:pPr>
        <w:numPr>
          <w:ilvl w:val="1"/>
          <w:numId w:val="25"/>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供应商应在响应文件提交证明其有资格参加磋商的证明文件，证明文件应包括下列文件：</w:t>
      </w:r>
    </w:p>
    <w:p>
      <w:pPr>
        <w:numPr>
          <w:ilvl w:val="3"/>
          <w:numId w:val="26"/>
        </w:numPr>
        <w:tabs>
          <w:tab w:val="left" w:pos="540"/>
          <w:tab w:val="clear" w:pos="204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采购文件要求供应商应提交的其它资格证明文件，应提交的资格证明文件（</w:t>
      </w:r>
      <w:r>
        <w:rPr>
          <w:rFonts w:hint="eastAsia" w:asciiTheme="minorEastAsia" w:hAnsiTheme="minorEastAsia" w:eastAsiaTheme="minorEastAsia" w:cstheme="minorEastAsia"/>
          <w:snapToGrid w:val="0"/>
          <w:kern w:val="0"/>
          <w:szCs w:val="21"/>
        </w:rPr>
        <w:t>实质性要求</w:t>
      </w:r>
      <w:r>
        <w:rPr>
          <w:rFonts w:hint="eastAsia" w:asciiTheme="minorEastAsia" w:hAnsiTheme="minorEastAsia" w:eastAsiaTheme="minorEastAsia" w:cstheme="minorEastAsia"/>
          <w:snapToGrid w:val="0"/>
          <w:kern w:val="0"/>
          <w:szCs w:val="21"/>
          <w:lang w:val="zh-CN"/>
        </w:rPr>
        <w:t>）见《供应商须知前附表》。</w:t>
      </w:r>
    </w:p>
    <w:p>
      <w:pPr>
        <w:numPr>
          <w:ilvl w:val="1"/>
          <w:numId w:val="25"/>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除本须知14.1要求的资格证明文件外，如国家法律法规对市场准入有要求的还应提交相关资格证明文件。</w:t>
      </w:r>
    </w:p>
    <w:p>
      <w:pPr>
        <w:numPr>
          <w:ilvl w:val="1"/>
          <w:numId w:val="25"/>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证明材料仅限于磋商供应商单位本身，母公司、股东单位和子公司的材料不能作为证明材料，但磋商供应商单位兼并的企业的材料可作为证明材料。必须</w:t>
      </w:r>
      <w:r>
        <w:rPr>
          <w:rFonts w:hint="eastAsia" w:asciiTheme="minorEastAsia" w:hAnsiTheme="minorEastAsia" w:eastAsiaTheme="minorEastAsia" w:cstheme="minorEastAsia"/>
          <w:snapToGrid w:val="0"/>
          <w:kern w:val="0"/>
          <w:szCs w:val="21"/>
        </w:rPr>
        <w:t>每页</w:t>
      </w:r>
      <w:r>
        <w:rPr>
          <w:rFonts w:hint="eastAsia" w:asciiTheme="minorEastAsia" w:hAnsiTheme="minorEastAsia" w:eastAsiaTheme="minorEastAsia" w:cstheme="minorEastAsia"/>
          <w:snapToGrid w:val="0"/>
          <w:kern w:val="0"/>
          <w:szCs w:val="21"/>
          <w:lang w:val="zh-CN"/>
        </w:rPr>
        <w:t>加盖单位印章，</w:t>
      </w:r>
      <w:r>
        <w:rPr>
          <w:rFonts w:hint="eastAsia" w:asciiTheme="minorEastAsia" w:hAnsiTheme="minorEastAsia" w:eastAsiaTheme="minorEastAsia" w:cstheme="minorEastAsia"/>
          <w:snapToGrid w:val="0"/>
          <w:kern w:val="0"/>
          <w:szCs w:val="21"/>
        </w:rPr>
        <w:t>否则做废标处理</w:t>
      </w:r>
      <w:r>
        <w:rPr>
          <w:rFonts w:hint="eastAsia" w:asciiTheme="minorEastAsia" w:hAnsiTheme="minorEastAsia" w:eastAsiaTheme="minorEastAsia" w:cstheme="minorEastAsia"/>
          <w:snapToGrid w:val="0"/>
          <w:kern w:val="0"/>
          <w:szCs w:val="21"/>
          <w:lang w:val="zh-CN"/>
        </w:rPr>
        <w:t>。</w:t>
      </w:r>
    </w:p>
    <w:p>
      <w:pPr>
        <w:numPr>
          <w:ilvl w:val="1"/>
          <w:numId w:val="25"/>
        </w:numPr>
        <w:tabs>
          <w:tab w:val="left" w:pos="540"/>
          <w:tab w:val="clear" w:pos="465"/>
        </w:tabs>
        <w:autoSpaceDE w:val="0"/>
        <w:autoSpaceDN w:val="0"/>
        <w:adjustRightInd w:val="0"/>
        <w:spacing w:line="360" w:lineRule="auto"/>
        <w:ind w:left="540" w:hanging="540"/>
        <w:jc w:val="left"/>
        <w:rPr>
          <w:rFonts w:eastAsiaTheme="minorEastAsia"/>
        </w:rPr>
      </w:pPr>
      <w:r>
        <w:rPr>
          <w:rFonts w:hint="eastAsia" w:asciiTheme="minorEastAsia" w:hAnsiTheme="minorEastAsia" w:eastAsiaTheme="minorEastAsia" w:cstheme="minorEastAsia"/>
          <w:snapToGrid w:val="0"/>
          <w:kern w:val="0"/>
          <w:szCs w:val="21"/>
        </w:rPr>
        <w:t>供应商不得存在的其他情形</w:t>
      </w:r>
      <w:r>
        <w:rPr>
          <w:rFonts w:hint="eastAsia" w:asciiTheme="minorEastAsia" w:hAnsiTheme="minorEastAsia" w:eastAsiaTheme="minorEastAsia" w:cstheme="minorEastAsia"/>
          <w:snapToGrid w:val="0"/>
          <w:kern w:val="0"/>
          <w:szCs w:val="21"/>
          <w:lang w:val="zh-CN"/>
        </w:rPr>
        <w:t>见《供应商须知前附表》。</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59" w:name="_Toc9935"/>
      <w:bookmarkStart w:id="60" w:name="_Toc14612"/>
      <w:r>
        <w:rPr>
          <w:rFonts w:hint="eastAsia" w:asciiTheme="minorEastAsia" w:hAnsiTheme="minorEastAsia" w:eastAsiaTheme="minorEastAsia" w:cstheme="minorEastAsia"/>
          <w:b/>
          <w:snapToGrid w:val="0"/>
          <w:kern w:val="0"/>
          <w:szCs w:val="21"/>
          <w:lang w:val="zh-CN"/>
        </w:rPr>
        <w:t>证明报价内容、服务合格性和符合竞争性磋商采购文件规定的文件</w:t>
      </w:r>
      <w:bookmarkEnd w:id="59"/>
      <w:bookmarkEnd w:id="60"/>
    </w:p>
    <w:p>
      <w:pPr>
        <w:numPr>
          <w:ilvl w:val="1"/>
          <w:numId w:val="27"/>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证明报价内容符合竞争性磋商采购文件要求的文件和竞争性磋商采购文件规定的其他资料，具体要求见《供应商须知前附表》。</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61" w:name="_Toc27068"/>
      <w:bookmarkStart w:id="62" w:name="_Toc20441"/>
      <w:r>
        <w:rPr>
          <w:rFonts w:hint="eastAsia" w:asciiTheme="minorEastAsia" w:hAnsiTheme="minorEastAsia" w:eastAsiaTheme="minorEastAsia" w:cstheme="minorEastAsia"/>
          <w:b/>
          <w:snapToGrid w:val="0"/>
          <w:kern w:val="0"/>
          <w:szCs w:val="21"/>
          <w:lang w:val="zh-CN"/>
        </w:rPr>
        <w:t>磋商保证金</w:t>
      </w:r>
      <w:bookmarkEnd w:id="61"/>
      <w:bookmarkEnd w:id="62"/>
    </w:p>
    <w:p>
      <w:pPr>
        <w:numPr>
          <w:ilvl w:val="1"/>
          <w:numId w:val="28"/>
        </w:numPr>
        <w:tabs>
          <w:tab w:val="left" w:pos="54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本采购文件是否要求递交磋商保证金及保证金金额、递交方式、递交时间、接受保证金的帐户信息等详见《供应商须知前附表》。</w:t>
      </w:r>
    </w:p>
    <w:p>
      <w:pPr>
        <w:numPr>
          <w:ilvl w:val="1"/>
          <w:numId w:val="28"/>
        </w:numPr>
        <w:tabs>
          <w:tab w:val="left" w:pos="540"/>
          <w:tab w:val="clear" w:pos="60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本采购文件要求递交磋商保证金的，磋商保证金作为竞争性磋商响应文件的组成部分，</w:t>
      </w:r>
      <w:r>
        <w:rPr>
          <w:rFonts w:hint="eastAsia" w:asciiTheme="minorEastAsia" w:hAnsiTheme="minorEastAsia" w:eastAsiaTheme="minorEastAsia" w:cstheme="minorEastAsia"/>
          <w:szCs w:val="21"/>
          <w:lang w:val="zh-CN"/>
        </w:rPr>
        <w:t>以到账为准。</w:t>
      </w:r>
      <w:r>
        <w:rPr>
          <w:rFonts w:hint="eastAsia" w:asciiTheme="minorEastAsia" w:hAnsiTheme="minorEastAsia" w:eastAsiaTheme="minorEastAsia" w:cstheme="minorEastAsia"/>
          <w:snapToGrid w:val="0"/>
          <w:kern w:val="0"/>
          <w:szCs w:val="21"/>
          <w:lang w:val="zh-CN"/>
        </w:rPr>
        <w:t>凡未按规定递交磋商保证金的报价，其响应文件将被视为无效文件。</w:t>
      </w:r>
    </w:p>
    <w:p>
      <w:pPr>
        <w:numPr>
          <w:ilvl w:val="1"/>
          <w:numId w:val="28"/>
        </w:numPr>
        <w:tabs>
          <w:tab w:val="left" w:pos="540"/>
          <w:tab w:val="clear" w:pos="60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磋商保证金有效时间：磋商保证金的有效期与本次磋商有效期一致。</w:t>
      </w:r>
    </w:p>
    <w:p>
      <w:pPr>
        <w:numPr>
          <w:ilvl w:val="1"/>
          <w:numId w:val="28"/>
        </w:numPr>
        <w:tabs>
          <w:tab w:val="left" w:pos="540"/>
          <w:tab w:val="clear" w:pos="600"/>
        </w:tabs>
        <w:autoSpaceDE w:val="0"/>
        <w:autoSpaceDN w:val="0"/>
        <w:adjustRightInd w:val="0"/>
        <w:spacing w:line="360" w:lineRule="auto"/>
        <w:ind w:left="540" w:hanging="54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供应商为联合体的，应由联合体中牵头人缴纳保证金，其缴纳的保证金对联合体各方均具有约束力。</w:t>
      </w:r>
    </w:p>
    <w:p>
      <w:pPr>
        <w:numPr>
          <w:ilvl w:val="1"/>
          <w:numId w:val="28"/>
        </w:numPr>
        <w:tabs>
          <w:tab w:val="left" w:pos="540"/>
          <w:tab w:val="clear" w:pos="60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保证金的退还：未成交的磋商供应商，其磋商保证金在成交通知书发出后5个工作日内不计利息原额退还，成交供应商的磋商保证金，在成交供应商与采购人签订合同后5个工作日内不计利息原额退还。</w:t>
      </w:r>
    </w:p>
    <w:p>
      <w:pPr>
        <w:numPr>
          <w:ilvl w:val="1"/>
          <w:numId w:val="28"/>
        </w:numPr>
        <w:tabs>
          <w:tab w:val="left" w:pos="540"/>
          <w:tab w:val="clear" w:pos="60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有下列情形之一的，磋商保证金将不予退还:</w:t>
      </w:r>
    </w:p>
    <w:p>
      <w:pPr>
        <w:numPr>
          <w:ilvl w:val="0"/>
          <w:numId w:val="29"/>
        </w:numPr>
        <w:tabs>
          <w:tab w:val="left" w:pos="525"/>
          <w:tab w:val="clear" w:pos="2040"/>
        </w:tabs>
        <w:autoSpaceDE w:val="0"/>
        <w:autoSpaceDN w:val="0"/>
        <w:adjustRightInd w:val="0"/>
        <w:spacing w:line="360" w:lineRule="auto"/>
        <w:ind w:left="540" w:hanging="539" w:hangingChars="257"/>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供应商在提交响应文件截止时间后撤回响应文件的；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供应商在响应文件中提供虚假材料的；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除因不可抗力或磋商文件认可的情形以外，成交供应商不与采购人签订合同的；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供应商与采购人、其他供应商或者采购代理机构恶意串通的；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本采购文件规定的其他情形。</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63" w:name="_Toc4910"/>
      <w:bookmarkStart w:id="64" w:name="_Toc5668"/>
      <w:r>
        <w:rPr>
          <w:rFonts w:hint="eastAsia" w:asciiTheme="minorEastAsia" w:hAnsiTheme="minorEastAsia" w:eastAsiaTheme="minorEastAsia" w:cstheme="minorEastAsia"/>
          <w:b/>
          <w:snapToGrid w:val="0"/>
          <w:kern w:val="0"/>
          <w:szCs w:val="21"/>
          <w:lang w:val="zh-CN"/>
        </w:rPr>
        <w:t>磋商有效期</w:t>
      </w:r>
      <w:bookmarkEnd w:id="63"/>
      <w:bookmarkEnd w:id="64"/>
    </w:p>
    <w:p>
      <w:pPr>
        <w:numPr>
          <w:ilvl w:val="1"/>
          <w:numId w:val="30"/>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磋商有效期从磋商结束之日起计算，本次采购磋商有效期见《供应商须知前附表》，磋商供应商承诺的磋商有效期不足的，其响应文件将被视为无效文件。</w:t>
      </w:r>
    </w:p>
    <w:p>
      <w:pPr>
        <w:numPr>
          <w:ilvl w:val="1"/>
          <w:numId w:val="30"/>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特殊情况下，在原磋商有效期截止之前，采购代理机构或采购人可要求供应商延长磋商有效期。需要延长磋商有效期时，采购代理机构或采购人将以书面形式通知所有磋商供应商，供应商应以书面形式答复是否同意延长磋商有效期。供应商同意延长的，其磋商保证金有效期相应延长，但不得要求或被允许修改或撤销其响应文件；供应商拒绝延长的，其响应文件在原磋商有效期满后将不再有效，供应商有权收回其投标保证金。</w:t>
      </w:r>
    </w:p>
    <w:p>
      <w:pPr>
        <w:numPr>
          <w:ilvl w:val="1"/>
          <w:numId w:val="30"/>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供应商同意延长磋商有效期的，不得要求或被允许修改或撤销其竞争性磋商响应文件；供应商拒绝延长的，其响应文件失效，但供应商有权收回其磋商保证金。</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65" w:name="_Toc8272"/>
      <w:bookmarkStart w:id="66" w:name="_Toc2229"/>
      <w:r>
        <w:rPr>
          <w:rFonts w:hint="eastAsia" w:asciiTheme="minorEastAsia" w:hAnsiTheme="minorEastAsia" w:eastAsiaTheme="minorEastAsia" w:cstheme="minorEastAsia"/>
          <w:b/>
          <w:snapToGrid w:val="0"/>
          <w:kern w:val="0"/>
          <w:szCs w:val="21"/>
          <w:lang w:val="zh-CN"/>
        </w:rPr>
        <w:t>竞争性磋商响应文件的装订、签署和数量</w:t>
      </w:r>
      <w:bookmarkEnd w:id="65"/>
      <w:bookmarkEnd w:id="66"/>
    </w:p>
    <w:p>
      <w:pPr>
        <w:numPr>
          <w:ilvl w:val="1"/>
          <w:numId w:val="31"/>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供应商提交的响应文件应包括正本、副本、完整的电子文档及单独提供的法定代表人授权委托书（或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、报价一览表、优惠声明（如有）。本次磋商供应商提交响应文件正、副本和电子文档的数量见《供应商须知前附表》。</w:t>
      </w:r>
    </w:p>
    <w:p>
      <w:pPr>
        <w:autoSpaceDE w:val="0"/>
        <w:autoSpaceDN w:val="0"/>
        <w:adjustRightInd w:val="0"/>
        <w:spacing w:line="360" w:lineRule="auto"/>
        <w:ind w:left="630" w:leftChars="300" w:firstLine="92" w:firstLineChars="44"/>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每套响应文件须清楚地标明“正本”、“副本”，响应文件的副本可采用正本的复印件，若副本与正本不符，以正本为准；如单独提供的法定代表人授权委托书（或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、报价一览表、优惠声明（如有）与响应文件正本不符，以正本为准。电子文档与纸质文件不符，以纸质文件为准。</w:t>
      </w:r>
    </w:p>
    <w:p>
      <w:pPr>
        <w:numPr>
          <w:ilvl w:val="1"/>
          <w:numId w:val="31"/>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正本需打印或用不褪色墨水书写，并由法定代表人或授权代表签字并加盖公章。由授权代表签字的，响应文件中应提交《法定代表人授权书》。供应商为自然人的，由供应商本人签字并附身份证明。</w:t>
      </w:r>
    </w:p>
    <w:p>
      <w:pPr>
        <w:numPr>
          <w:ilvl w:val="1"/>
          <w:numId w:val="31"/>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竞争性磋商响应文件中的任何行间插字、涂改和增删，必须由法定代表人或授权代表在旁边签字才有效。</w:t>
      </w:r>
    </w:p>
    <w:p>
      <w:pPr>
        <w:numPr>
          <w:ilvl w:val="1"/>
          <w:numId w:val="31"/>
        </w:numPr>
        <w:tabs>
          <w:tab w:val="left" w:pos="525"/>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响应文件应当采用不可拆卸的方法的装订，对未经装订的竞争性磋商响应文件可能发生的文件散落或缺损及由此产生的后果由磋商供应商承担。</w:t>
      </w:r>
    </w:p>
    <w:p>
      <w:pPr>
        <w:numPr>
          <w:ilvl w:val="1"/>
          <w:numId w:val="10"/>
        </w:numPr>
        <w:tabs>
          <w:tab w:val="left" w:pos="540"/>
          <w:tab w:val="clear" w:pos="840"/>
        </w:tabs>
        <w:spacing w:line="360" w:lineRule="auto"/>
        <w:ind w:left="540" w:hanging="540"/>
        <w:outlineLvl w:val="1"/>
        <w:rPr>
          <w:rFonts w:asciiTheme="minorEastAsia" w:hAnsiTheme="minorEastAsia" w:eastAsiaTheme="minorEastAsia" w:cstheme="minorEastAsia"/>
          <w:b/>
          <w:szCs w:val="21"/>
        </w:rPr>
      </w:pPr>
      <w:bookmarkStart w:id="67" w:name="_Toc9786"/>
      <w:r>
        <w:rPr>
          <w:rFonts w:hint="eastAsia" w:asciiTheme="minorEastAsia" w:hAnsiTheme="minorEastAsia" w:eastAsiaTheme="minorEastAsia" w:cstheme="minorEastAsia"/>
          <w:b/>
          <w:szCs w:val="21"/>
        </w:rPr>
        <w:t>竞争性磋商响应文件的递交</w:t>
      </w:r>
      <w:bookmarkEnd w:id="67"/>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68" w:name="_Toc23886"/>
      <w:bookmarkStart w:id="69" w:name="_Toc27305"/>
      <w:r>
        <w:rPr>
          <w:rFonts w:hint="eastAsia" w:asciiTheme="minorEastAsia" w:hAnsiTheme="minorEastAsia" w:eastAsiaTheme="minorEastAsia" w:cstheme="minorEastAsia"/>
          <w:b/>
          <w:szCs w:val="21"/>
        </w:rPr>
        <w:t>竞争性磋商响应文件</w:t>
      </w:r>
      <w:r>
        <w:rPr>
          <w:rFonts w:hint="eastAsia" w:asciiTheme="minorEastAsia" w:hAnsiTheme="minorEastAsia" w:eastAsiaTheme="minorEastAsia" w:cstheme="minorEastAsia"/>
          <w:b/>
          <w:snapToGrid w:val="0"/>
          <w:kern w:val="0"/>
          <w:szCs w:val="21"/>
          <w:lang w:val="zh-CN"/>
        </w:rPr>
        <w:t>的密封和标记</w:t>
      </w:r>
      <w:bookmarkEnd w:id="68"/>
      <w:bookmarkEnd w:id="69"/>
    </w:p>
    <w:p>
      <w:pPr>
        <w:numPr>
          <w:ilvl w:val="1"/>
          <w:numId w:val="32"/>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响应文件的正本、所有副本和电子文档必须密封，</w:t>
      </w:r>
      <w:r>
        <w:rPr>
          <w:rFonts w:hint="eastAsia" w:asciiTheme="minorEastAsia" w:hAnsiTheme="minorEastAsia" w:eastAsiaTheme="minorEastAsia" w:cstheme="minorEastAsia"/>
          <w:snapToGrid w:val="0"/>
          <w:kern w:val="0"/>
          <w:szCs w:val="21"/>
        </w:rPr>
        <w:t>并在每一页以及骑缝处</w:t>
      </w:r>
      <w:r>
        <w:rPr>
          <w:rFonts w:hint="eastAsia" w:asciiTheme="minorEastAsia" w:hAnsiTheme="minorEastAsia" w:eastAsiaTheme="minorEastAsia" w:cstheme="minorEastAsia"/>
          <w:snapToGrid w:val="0"/>
          <w:kern w:val="0"/>
          <w:szCs w:val="21"/>
          <w:lang w:val="zh-CN"/>
        </w:rPr>
        <w:t>加盖供应商公章</w:t>
      </w:r>
      <w:r>
        <w:rPr>
          <w:rFonts w:hint="eastAsia" w:asciiTheme="minorEastAsia" w:hAnsiTheme="minorEastAsia" w:eastAsiaTheme="minorEastAsia" w:cstheme="minorEastAsia"/>
          <w:snapToGrid w:val="0"/>
          <w:kern w:val="0"/>
          <w:szCs w:val="21"/>
        </w:rPr>
        <w:t>后</w:t>
      </w:r>
      <w:r>
        <w:rPr>
          <w:rFonts w:hint="eastAsia" w:asciiTheme="minorEastAsia" w:hAnsiTheme="minorEastAsia" w:eastAsiaTheme="minorEastAsia" w:cstheme="minorEastAsia"/>
          <w:snapToGrid w:val="0"/>
          <w:kern w:val="0"/>
          <w:szCs w:val="21"/>
          <w:lang w:val="zh-CN"/>
        </w:rPr>
        <w:t>递交，包装上应注明</w:t>
      </w:r>
      <w:r>
        <w:rPr>
          <w:rFonts w:hint="eastAsia" w:asciiTheme="minorEastAsia" w:hAnsiTheme="minorEastAsia" w:eastAsiaTheme="minorEastAsia" w:cstheme="minorEastAsia"/>
          <w:snapToGrid w:val="0"/>
          <w:kern w:val="0"/>
          <w:szCs w:val="21"/>
        </w:rPr>
        <w:t>项目</w:t>
      </w:r>
      <w:r>
        <w:rPr>
          <w:rFonts w:hint="eastAsia" w:asciiTheme="minorEastAsia" w:hAnsiTheme="minorEastAsia" w:eastAsiaTheme="minorEastAsia" w:cstheme="minorEastAsia"/>
          <w:snapToGrid w:val="0"/>
          <w:kern w:val="0"/>
          <w:szCs w:val="21"/>
          <w:lang w:val="zh-CN"/>
        </w:rPr>
        <w:t>编号、项目名称、包号、供应商名称及“</w:t>
      </w:r>
      <w:r>
        <w:rPr>
          <w:rFonts w:hint="eastAsia" w:asciiTheme="minorEastAsia" w:hAnsiTheme="minorEastAsia" w:eastAsiaTheme="minorEastAsia" w:cstheme="minorEastAsia"/>
          <w:snapToGrid w:val="0"/>
          <w:kern w:val="0"/>
          <w:szCs w:val="21"/>
          <w:u w:val="single"/>
          <w:lang w:val="zh-CN"/>
        </w:rPr>
        <w:t xml:space="preserve">  （磋商</w:t>
      </w:r>
      <w:r>
        <w:rPr>
          <w:rFonts w:hint="eastAsia" w:asciiTheme="minorEastAsia" w:hAnsiTheme="minorEastAsia" w:eastAsiaTheme="minorEastAsia" w:cstheme="minorEastAsia"/>
          <w:snapToGrid w:val="0"/>
          <w:kern w:val="0"/>
          <w:szCs w:val="21"/>
          <w:u w:val="single"/>
        </w:rPr>
        <w:t>截止</w:t>
      </w:r>
      <w:r>
        <w:rPr>
          <w:rFonts w:hint="eastAsia" w:asciiTheme="minorEastAsia" w:hAnsiTheme="minorEastAsia" w:eastAsiaTheme="minorEastAsia" w:cstheme="minorEastAsia"/>
          <w:snapToGrid w:val="0"/>
          <w:kern w:val="0"/>
          <w:szCs w:val="21"/>
          <w:u w:val="single"/>
          <w:lang w:val="zh-CN"/>
        </w:rPr>
        <w:t>时间）  前</w:t>
      </w:r>
      <w:r>
        <w:rPr>
          <w:rFonts w:hint="eastAsia" w:asciiTheme="minorEastAsia" w:hAnsiTheme="minorEastAsia" w:eastAsiaTheme="minorEastAsia" w:cstheme="minorEastAsia"/>
          <w:snapToGrid w:val="0"/>
          <w:kern w:val="0"/>
          <w:szCs w:val="21"/>
          <w:lang w:val="zh-CN"/>
        </w:rPr>
        <w:t>不得启封”的字样。</w:t>
      </w:r>
    </w:p>
    <w:p>
      <w:pPr>
        <w:numPr>
          <w:ilvl w:val="1"/>
          <w:numId w:val="32"/>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为方便磋商记录，供应商还应将一份《报价一览表》（原件）与一份《法定代表人授权书》（原件）、磋商保证金缴纳证明（</w:t>
      </w:r>
      <w:r>
        <w:rPr>
          <w:rFonts w:hint="eastAsia" w:asciiTheme="minorEastAsia" w:hAnsiTheme="minorEastAsia" w:eastAsiaTheme="minorEastAsia" w:cstheme="minorEastAsia"/>
          <w:snapToGrid w:val="0"/>
          <w:kern w:val="0"/>
          <w:szCs w:val="21"/>
        </w:rPr>
        <w:t>如有</w:t>
      </w:r>
      <w:r>
        <w:rPr>
          <w:rFonts w:hint="eastAsia" w:asciiTheme="minorEastAsia" w:hAnsiTheme="minorEastAsia" w:eastAsiaTheme="minorEastAsia" w:cstheme="minorEastAsia"/>
          <w:snapToGrid w:val="0"/>
          <w:kern w:val="0"/>
          <w:szCs w:val="21"/>
          <w:lang w:val="zh-CN"/>
        </w:rPr>
        <w:t>）（复印件）及报价优惠声明（如有）单独密封提交，除需按</w:t>
      </w:r>
      <w:r>
        <w:rPr>
          <w:rFonts w:hint="eastAsia" w:asciiTheme="minorEastAsia" w:hAnsiTheme="minorEastAsia" w:eastAsiaTheme="minorEastAsia" w:cstheme="minorEastAsia"/>
          <w:snapToGrid w:val="0"/>
          <w:kern w:val="0"/>
          <w:szCs w:val="21"/>
        </w:rPr>
        <w:t>19.1</w:t>
      </w:r>
      <w:r>
        <w:rPr>
          <w:rFonts w:hint="eastAsia" w:asciiTheme="minorEastAsia" w:hAnsiTheme="minorEastAsia" w:eastAsiaTheme="minorEastAsia" w:cstheme="minorEastAsia"/>
          <w:snapToGrid w:val="0"/>
          <w:kern w:val="0"/>
          <w:szCs w:val="21"/>
          <w:lang w:val="zh-CN"/>
        </w:rPr>
        <w:t>款要求注明外还应在信封上标明“报价一览表”字样。</w:t>
      </w:r>
    </w:p>
    <w:p>
      <w:pPr>
        <w:numPr>
          <w:ilvl w:val="1"/>
          <w:numId w:val="32"/>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未按要求密封和加写标记的响应文件为无效文件，采购人、采购代理机构将拒收。</w:t>
      </w:r>
    </w:p>
    <w:p>
      <w:pPr>
        <w:numPr>
          <w:ilvl w:val="1"/>
          <w:numId w:val="32"/>
        </w:numPr>
        <w:tabs>
          <w:tab w:val="left" w:pos="540"/>
          <w:tab w:val="clear" w:pos="465"/>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要求在磋商时提交样品的，应在样品上标明磋商供应商名称。有关提交及退还样品的相关规定见《供应商须知前附表》。</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70" w:name="_Toc17857"/>
      <w:bookmarkStart w:id="71" w:name="_Toc11099"/>
      <w:r>
        <w:rPr>
          <w:rFonts w:hint="eastAsia" w:asciiTheme="minorEastAsia" w:hAnsiTheme="minorEastAsia" w:eastAsiaTheme="minorEastAsia" w:cstheme="minorEastAsia"/>
          <w:b/>
          <w:snapToGrid w:val="0"/>
          <w:kern w:val="0"/>
          <w:szCs w:val="21"/>
          <w:lang w:val="zh-CN"/>
        </w:rPr>
        <w:t>竞争性磋商响应文件的送达地点及截止时间</w:t>
      </w:r>
      <w:bookmarkEnd w:id="70"/>
      <w:bookmarkEnd w:id="71"/>
    </w:p>
    <w:p>
      <w:pPr>
        <w:autoSpaceDE w:val="0"/>
        <w:autoSpaceDN w:val="0"/>
        <w:adjustRightInd w:val="0"/>
        <w:spacing w:line="360" w:lineRule="auto"/>
        <w:ind w:left="539" w:hanging="539"/>
        <w:jc w:val="left"/>
        <w:rPr>
          <w:rFonts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b/>
          <w:snapToGrid w:val="0"/>
          <w:kern w:val="0"/>
          <w:szCs w:val="21"/>
          <w:lang w:val="zh-CN"/>
        </w:rPr>
        <w:t>20.1</w:t>
      </w:r>
      <w:r>
        <w:rPr>
          <w:rFonts w:hint="eastAsia" w:asciiTheme="minorEastAsia" w:hAnsiTheme="minorEastAsia" w:eastAsiaTheme="minorEastAsia" w:cstheme="minorEastAsia"/>
          <w:b/>
          <w:snapToGrid w:val="0"/>
          <w:kern w:val="0"/>
          <w:szCs w:val="21"/>
        </w:rPr>
        <w:t xml:space="preserve"> </w:t>
      </w:r>
      <w:r>
        <w:rPr>
          <w:rFonts w:hint="eastAsia" w:asciiTheme="minorEastAsia" w:hAnsiTheme="minorEastAsia" w:eastAsiaTheme="minorEastAsia" w:cstheme="minorEastAsia"/>
          <w:snapToGrid w:val="0"/>
          <w:kern w:val="0"/>
          <w:szCs w:val="21"/>
          <w:lang w:val="zh-CN"/>
        </w:rPr>
        <w:t>截止时间是</w:t>
      </w:r>
      <w:r>
        <w:rPr>
          <w:rFonts w:hint="eastAsia" w:asciiTheme="minorEastAsia" w:hAnsiTheme="minorEastAsia" w:eastAsiaTheme="minorEastAsia" w:cstheme="minorEastAsia"/>
          <w:b/>
          <w:snapToGrid w:val="0"/>
          <w:kern w:val="0"/>
          <w:szCs w:val="21"/>
          <w:lang w:val="zh-CN"/>
        </w:rPr>
        <w:t>竞争性磋商文件</w:t>
      </w:r>
      <w:r>
        <w:rPr>
          <w:rFonts w:hint="eastAsia" w:asciiTheme="minorEastAsia" w:hAnsiTheme="minorEastAsia" w:eastAsiaTheme="minorEastAsia" w:cstheme="minorEastAsia"/>
          <w:snapToGrid w:val="0"/>
          <w:kern w:val="0"/>
          <w:szCs w:val="21"/>
          <w:lang w:val="zh-CN"/>
        </w:rPr>
        <w:t>中规定的首次送达、提交响应文件的最后时间。本次磋商响应文件的送达地点及截止时间见《供应商须知前附表》。</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72" w:name="_Toc31376"/>
      <w:bookmarkStart w:id="73" w:name="_Toc16589"/>
      <w:r>
        <w:rPr>
          <w:rFonts w:hint="eastAsia" w:asciiTheme="minorEastAsia" w:hAnsiTheme="minorEastAsia" w:eastAsiaTheme="minorEastAsia" w:cstheme="minorEastAsia"/>
          <w:b/>
          <w:snapToGrid w:val="0"/>
          <w:kern w:val="0"/>
          <w:szCs w:val="21"/>
          <w:lang w:val="zh-CN"/>
        </w:rPr>
        <w:t>迟交的竞争性磋商响应文件</w:t>
      </w:r>
      <w:bookmarkEnd w:id="72"/>
      <w:bookmarkEnd w:id="73"/>
    </w:p>
    <w:p>
      <w:pPr>
        <w:numPr>
          <w:ilvl w:val="1"/>
          <w:numId w:val="33"/>
        </w:numPr>
        <w:tabs>
          <w:tab w:val="left" w:pos="540"/>
          <w:tab w:val="clear" w:pos="48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在本次磋商递交响应文件的截止时间以后送达的响应文件，不论何种原因，采购代理机构将拒收。</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74" w:name="_Toc31760"/>
      <w:bookmarkStart w:id="75" w:name="_Toc13658"/>
      <w:r>
        <w:rPr>
          <w:rFonts w:hint="eastAsia" w:asciiTheme="minorEastAsia" w:hAnsiTheme="minorEastAsia" w:eastAsiaTheme="minorEastAsia" w:cstheme="minorEastAsia"/>
          <w:b/>
          <w:snapToGrid w:val="0"/>
          <w:kern w:val="0"/>
          <w:szCs w:val="21"/>
          <w:lang w:val="zh-CN"/>
        </w:rPr>
        <w:t>竞争性磋商响应文件的补充、修改或者撤回</w:t>
      </w:r>
      <w:bookmarkEnd w:id="74"/>
      <w:bookmarkEnd w:id="75"/>
    </w:p>
    <w:p>
      <w:pPr>
        <w:numPr>
          <w:ilvl w:val="1"/>
          <w:numId w:val="34"/>
        </w:numPr>
        <w:tabs>
          <w:tab w:val="left" w:pos="54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响应文件截止时间前，供应商可以对</w:t>
      </w:r>
      <w:r>
        <w:rPr>
          <w:rFonts w:hint="eastAsia" w:asciiTheme="minorEastAsia" w:hAnsiTheme="minorEastAsia" w:eastAsiaTheme="minorEastAsia" w:cstheme="minorEastAsia"/>
          <w:snapToGrid w:val="0"/>
          <w:kern w:val="0"/>
          <w:szCs w:val="21"/>
        </w:rPr>
        <w:t>已</w:t>
      </w:r>
      <w:r>
        <w:rPr>
          <w:rFonts w:hint="eastAsia" w:asciiTheme="minorEastAsia" w:hAnsiTheme="minorEastAsia" w:eastAsiaTheme="minorEastAsia" w:cstheme="minorEastAsia"/>
          <w:snapToGrid w:val="0"/>
          <w:kern w:val="0"/>
          <w:szCs w:val="21"/>
          <w:lang w:val="zh-CN"/>
        </w:rPr>
        <w:t>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numPr>
          <w:ilvl w:val="1"/>
          <w:numId w:val="34"/>
        </w:numPr>
        <w:tabs>
          <w:tab w:val="left" w:pos="54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从</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响应文件截止时间至磋商有效期期满这段时间，供应商不得修改或</w:t>
      </w:r>
      <w:r>
        <w:rPr>
          <w:rFonts w:hint="eastAsia" w:asciiTheme="minorEastAsia" w:hAnsiTheme="minorEastAsia" w:eastAsiaTheme="minorEastAsia" w:cstheme="minorEastAsia"/>
          <w:snapToGrid w:val="0"/>
          <w:kern w:val="0"/>
          <w:szCs w:val="21"/>
        </w:rPr>
        <w:t>撤销</w:t>
      </w:r>
      <w:r>
        <w:rPr>
          <w:rFonts w:hint="eastAsia" w:asciiTheme="minorEastAsia" w:hAnsiTheme="minorEastAsia" w:eastAsiaTheme="minorEastAsia" w:cstheme="minorEastAsia"/>
          <w:snapToGrid w:val="0"/>
          <w:kern w:val="0"/>
          <w:szCs w:val="21"/>
          <w:lang w:val="zh-CN"/>
        </w:rPr>
        <w:t>其响应文件，否则其磋商保证金将不予以退还。</w:t>
      </w:r>
    </w:p>
    <w:p>
      <w:pPr>
        <w:numPr>
          <w:ilvl w:val="1"/>
          <w:numId w:val="34"/>
        </w:numPr>
        <w:tabs>
          <w:tab w:val="left" w:pos="540"/>
        </w:tabs>
        <w:autoSpaceDE w:val="0"/>
        <w:autoSpaceDN w:val="0"/>
        <w:adjustRightInd w:val="0"/>
        <w:spacing w:line="360" w:lineRule="auto"/>
        <w:ind w:left="540" w:hanging="54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供应商所提交的响应文件在磋商结束后，无论成交与否都不退还。</w:t>
      </w:r>
    </w:p>
    <w:p>
      <w:pPr>
        <w:numPr>
          <w:ilvl w:val="1"/>
          <w:numId w:val="10"/>
        </w:numPr>
        <w:tabs>
          <w:tab w:val="left" w:pos="540"/>
          <w:tab w:val="clear" w:pos="840"/>
        </w:tabs>
        <w:spacing w:line="360" w:lineRule="auto"/>
        <w:ind w:left="540" w:hanging="540"/>
        <w:outlineLvl w:val="1"/>
        <w:rPr>
          <w:rFonts w:asciiTheme="minorEastAsia" w:hAnsiTheme="minorEastAsia" w:eastAsiaTheme="minorEastAsia" w:cstheme="minorEastAsia"/>
          <w:b/>
          <w:szCs w:val="21"/>
        </w:rPr>
      </w:pPr>
      <w:bookmarkStart w:id="76" w:name="_Toc24054"/>
      <w:r>
        <w:rPr>
          <w:rFonts w:hint="eastAsia" w:asciiTheme="minorEastAsia" w:hAnsiTheme="minorEastAsia" w:eastAsiaTheme="minorEastAsia" w:cstheme="minorEastAsia"/>
          <w:b/>
          <w:szCs w:val="21"/>
        </w:rPr>
        <w:t>磋商程序及步骤</w:t>
      </w:r>
      <w:bookmarkEnd w:id="76"/>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77" w:name="_Toc8841"/>
      <w:bookmarkStart w:id="78" w:name="_Toc22624"/>
      <w:r>
        <w:rPr>
          <w:rFonts w:hint="eastAsia" w:asciiTheme="minorEastAsia" w:hAnsiTheme="minorEastAsia" w:eastAsiaTheme="minorEastAsia" w:cstheme="minorEastAsia"/>
          <w:b/>
        </w:rPr>
        <w:t>竞争性磋商小组</w:t>
      </w:r>
      <w:bookmarkEnd w:id="77"/>
      <w:bookmarkEnd w:id="78"/>
    </w:p>
    <w:p>
      <w:pPr>
        <w:tabs>
          <w:tab w:val="left" w:pos="540"/>
        </w:tabs>
        <w:spacing w:line="360" w:lineRule="auto"/>
        <w:ind w:left="539" w:hanging="539"/>
        <w:jc w:val="left"/>
        <w:rPr>
          <w:rFonts w:asciiTheme="minorEastAsia" w:hAnsiTheme="minorEastAsia" w:eastAsiaTheme="minorEastAsia" w:cstheme="minorEastAsia"/>
        </w:rPr>
      </w:pPr>
      <w:r>
        <w:rPr>
          <w:rFonts w:hint="eastAsia" w:asciiTheme="minorEastAsia" w:hAnsiTheme="minorEastAsia" w:eastAsiaTheme="minorEastAsia" w:cstheme="minorEastAsia"/>
          <w:bCs/>
          <w:szCs w:val="21"/>
        </w:rPr>
        <w:t>23.1 采购人</w:t>
      </w:r>
      <w:r>
        <w:rPr>
          <w:rFonts w:hint="eastAsia" w:asciiTheme="minorEastAsia" w:hAnsiTheme="minorEastAsia" w:eastAsiaTheme="minorEastAsia" w:cstheme="minorEastAsia"/>
        </w:rPr>
        <w:t>依照《中华人民共和国政府采购法》、《中华人民共和国政府采购法实施条例》、《政府采购竞争性磋商采购方式管理暂行办法》及现行法律规定组建磋商小组</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磋商小组由采购人代表和评审专家共3人或3人以上单数组成</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磋商小组人数详见《供应商须知前附表》。</w:t>
      </w:r>
    </w:p>
    <w:p>
      <w:pPr>
        <w:spacing w:line="360" w:lineRule="auto"/>
        <w:ind w:left="539" w:hanging="53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磋商小组中的评审专家人数不少于磋商小组成员总数的2/3。除本采购文件另有规定，评审专家将从政府采购评审专家库中随机抽取。 </w:t>
      </w:r>
    </w:p>
    <w:p>
      <w:pPr>
        <w:spacing w:line="360" w:lineRule="auto"/>
        <w:ind w:left="539" w:hanging="53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23.3 磋商小组所有成员按事先抽取的磋商顺序，集中与单一供应商分别进行磋商，并给予所有参加磋商的供应商平等的磋商机会。</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snapToGrid w:val="0"/>
          <w:kern w:val="0"/>
          <w:szCs w:val="21"/>
          <w:lang w:val="zh-CN"/>
        </w:rPr>
      </w:pPr>
      <w:bookmarkStart w:id="79" w:name="_Toc26119"/>
      <w:bookmarkStart w:id="80" w:name="_Toc21483"/>
      <w:r>
        <w:rPr>
          <w:rFonts w:hint="eastAsia" w:asciiTheme="minorEastAsia" w:hAnsiTheme="minorEastAsia" w:eastAsiaTheme="minorEastAsia" w:cstheme="minorEastAsia"/>
          <w:b/>
        </w:rPr>
        <w:t>磋商代表</w:t>
      </w:r>
      <w:bookmarkEnd w:id="79"/>
      <w:bookmarkEnd w:id="80"/>
    </w:p>
    <w:p>
      <w:pPr>
        <w:tabs>
          <w:tab w:val="left" w:pos="864"/>
          <w:tab w:val="left" w:pos="1080"/>
        </w:tabs>
        <w:spacing w:line="360" w:lineRule="auto"/>
        <w:ind w:left="539" w:hanging="539"/>
        <w:jc w:val="left"/>
        <w:rPr>
          <w:rFonts w:asciiTheme="minorEastAsia" w:hAnsiTheme="minorEastAsia" w:eastAsiaTheme="minorEastAsia" w:cstheme="minorEastAsia"/>
          <w:szCs w:val="21"/>
        </w:rPr>
      </w:pPr>
      <w:bookmarkStart w:id="81" w:name="_Toc9967"/>
      <w:bookmarkStart w:id="82" w:name="_Toc32662"/>
      <w:r>
        <w:rPr>
          <w:rFonts w:hint="eastAsia" w:asciiTheme="minorEastAsia" w:hAnsiTheme="minorEastAsia" w:eastAsiaTheme="minorEastAsia" w:cstheme="minorEastAsia"/>
          <w:b/>
        </w:rPr>
        <w:t xml:space="preserve">24.1 </w:t>
      </w:r>
      <w:r>
        <w:rPr>
          <w:rFonts w:hint="eastAsia" w:asciiTheme="minorEastAsia" w:hAnsiTheme="minorEastAsia" w:eastAsiaTheme="minorEastAsia" w:cstheme="minorEastAsia"/>
          <w:szCs w:val="21"/>
        </w:rPr>
        <w:t>磋商供应商法定代表人或授权代表应携带本人身份证明参加磋商，授权代表参加磋商的，还应携带法定代表人授权书原件。磋商代表经磋商小组核对身份后，方可参加磋商。</w:t>
      </w:r>
      <w:bookmarkEnd w:id="81"/>
      <w:bookmarkEnd w:id="82"/>
      <w:r>
        <w:rPr>
          <w:rFonts w:hint="eastAsia" w:asciiTheme="minorEastAsia" w:hAnsiTheme="minorEastAsia" w:eastAsiaTheme="minorEastAsia" w:cstheme="minorEastAsia"/>
          <w:szCs w:val="21"/>
        </w:rPr>
        <w:t>磋商代表的其他要求见《供应商须知前附表》。</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rPr>
      </w:pPr>
      <w:bookmarkStart w:id="83" w:name="_Toc17050"/>
      <w:r>
        <w:rPr>
          <w:rFonts w:hint="eastAsia" w:asciiTheme="minorEastAsia" w:hAnsiTheme="minorEastAsia" w:eastAsiaTheme="minorEastAsia" w:cstheme="minorEastAsia"/>
          <w:b/>
        </w:rPr>
        <w:t>资格审查和符合性审查</w:t>
      </w:r>
      <w:bookmarkEnd w:id="83"/>
    </w:p>
    <w:p>
      <w:pPr>
        <w:spacing w:line="360" w:lineRule="auto"/>
        <w:ind w:left="539" w:hanging="53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25.1在正式磋商前，本磋商文件第四章规定的程序和方法，对供应商进行资格性审查和符合性审查，通过资格性审查和符合性审查，实质性响应磋商文件的供应商方可进入磋商程序。</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rPr>
      </w:pPr>
      <w:bookmarkStart w:id="84" w:name="_Toc26543"/>
      <w:r>
        <w:rPr>
          <w:rFonts w:hint="eastAsia" w:asciiTheme="minorEastAsia" w:hAnsiTheme="minorEastAsia" w:eastAsiaTheme="minorEastAsia" w:cstheme="minorEastAsia"/>
          <w:b/>
        </w:rPr>
        <w:t>磋商</w:t>
      </w:r>
      <w:bookmarkEnd w:id="84"/>
    </w:p>
    <w:p>
      <w:pPr>
        <w:spacing w:line="360" w:lineRule="auto"/>
        <w:ind w:left="539" w:hanging="539"/>
        <w:jc w:val="left"/>
        <w:rPr>
          <w:rFonts w:asciiTheme="minorEastAsia" w:hAnsiTheme="minorEastAsia" w:eastAsiaTheme="minorEastAsia" w:cstheme="minorEastAsia"/>
        </w:rPr>
      </w:pPr>
      <w:r>
        <w:rPr>
          <w:rFonts w:hint="eastAsia" w:asciiTheme="minorEastAsia" w:hAnsiTheme="minorEastAsia" w:eastAsiaTheme="minorEastAsia" w:cstheme="minorEastAsia"/>
          <w:szCs w:val="21"/>
        </w:rPr>
        <w:t>26.1磋商小组将根据本磋商文件第四章规定的程序和方法与供应商进行磋商。在磋商中，磋商的任何一方不得透露与磋商有关的其他磋商供应商的技</w:t>
      </w:r>
      <w:r>
        <w:rPr>
          <w:rFonts w:hint="eastAsia" w:asciiTheme="minorEastAsia" w:hAnsiTheme="minorEastAsia" w:eastAsiaTheme="minorEastAsia" w:cstheme="minorEastAsia"/>
        </w:rPr>
        <w:t>术资料、价格和其他信息。</w:t>
      </w:r>
    </w:p>
    <w:p>
      <w:pPr>
        <w:spacing w:line="360" w:lineRule="auto"/>
        <w:ind w:left="539" w:hanging="539"/>
        <w:jc w:val="left"/>
        <w:rPr>
          <w:rFonts w:asciiTheme="minorEastAsia" w:hAnsiTheme="minorEastAsia" w:eastAsiaTheme="minorEastAsia" w:cstheme="minorEastAsia"/>
        </w:rPr>
      </w:pPr>
      <w:r>
        <w:rPr>
          <w:rFonts w:hint="eastAsia" w:asciiTheme="minorEastAsia" w:hAnsiTheme="minorEastAsia" w:eastAsiaTheme="minorEastAsia" w:cstheme="minorEastAsia"/>
        </w:rPr>
        <w:t>26.2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r>
        <w:rPr>
          <w:rFonts w:hint="eastAsia" w:asciiTheme="minorEastAsia" w:hAnsiTheme="minorEastAsia" w:eastAsiaTheme="minorEastAsia" w:cstheme="minorEastAsia"/>
          <w:szCs w:val="21"/>
        </w:rPr>
        <w:t>并提供必要的修正时间。</w:t>
      </w:r>
    </w:p>
    <w:p>
      <w:pPr>
        <w:spacing w:line="360" w:lineRule="auto"/>
        <w:ind w:left="539" w:hanging="539"/>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26.3供应商应当按照磋商文件的变动情况和磋商小组的要求重新提交响应文件，</w:t>
      </w:r>
      <w:r>
        <w:rPr>
          <w:rFonts w:hint="eastAsia" w:asciiTheme="minorEastAsia" w:hAnsiTheme="minorEastAsia" w:eastAsiaTheme="minorEastAsia" w:cstheme="minorEastAsia"/>
          <w:szCs w:val="21"/>
        </w:rPr>
        <w:t>对原响应文件进行技术、商务、价格修正，重新提交的响应文件应实质性响应本磋商文件及</w:t>
      </w:r>
      <w:r>
        <w:rPr>
          <w:rFonts w:hint="eastAsia" w:asciiTheme="minorEastAsia" w:hAnsiTheme="minorEastAsia" w:eastAsiaTheme="minorEastAsia" w:cstheme="minorEastAsia"/>
        </w:rPr>
        <w:t>对磋商文件作出的实质性变动，</w:t>
      </w:r>
      <w:r>
        <w:rPr>
          <w:rFonts w:hint="eastAsia" w:asciiTheme="minorEastAsia" w:hAnsiTheme="minorEastAsia" w:eastAsiaTheme="minorEastAsia" w:cstheme="minorEastAsia"/>
          <w:szCs w:val="21"/>
        </w:rPr>
        <w:t>并按本采购文件的规定进行签署。重新提交的响应文件与原响应文件不一致的，以重新提交的响应文件为准。不按要求签署或逾时不提交响应文件的，视同放弃磋商，放弃磋商的</w:t>
      </w:r>
      <w:r>
        <w:rPr>
          <w:rFonts w:hint="eastAsia" w:asciiTheme="minorEastAsia" w:hAnsiTheme="minorEastAsia" w:eastAsiaTheme="minorEastAsia" w:cstheme="minorEastAsia"/>
        </w:rPr>
        <w:t>供应商的磋商保证金将在成交通知书发放后的五个工作日内退还。</w:t>
      </w:r>
    </w:p>
    <w:p>
      <w:pPr>
        <w:tabs>
          <w:tab w:val="left" w:pos="540"/>
        </w:tabs>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26.4最后报价</w:t>
      </w:r>
    </w:p>
    <w:p>
      <w:pPr>
        <w:spacing w:line="360" w:lineRule="auto"/>
        <w:ind w:left="420" w:leftChars="200" w:firstLine="115" w:firstLineChars="55"/>
        <w:jc w:val="left"/>
        <w:rPr>
          <w:rFonts w:asciiTheme="minorEastAsia" w:hAnsiTheme="minorEastAsia" w:eastAsiaTheme="minorEastAsia" w:cstheme="minorEastAsia"/>
        </w:rPr>
      </w:pPr>
      <w:r>
        <w:rPr>
          <w:rFonts w:hint="eastAsia" w:asciiTheme="minorEastAsia" w:hAnsiTheme="minorEastAsia" w:eastAsiaTheme="minorEastAsia" w:cstheme="minorEastAsia"/>
          <w:bCs/>
          <w:kern w:val="44"/>
          <w:szCs w:val="21"/>
        </w:rPr>
        <w:t>采购代理机构将已确定条件的最后报价书发放至所有磋商供应商，要求磋商供应商在指定的时间内提交满足要求的最后报价，密封递交磋商小组。所有磋商供应商递交最后报价后，磋商小组将记录所有磋商供应商的最终价格。</w:t>
      </w:r>
      <w:r>
        <w:rPr>
          <w:rFonts w:hint="eastAsia" w:asciiTheme="minorEastAsia" w:hAnsiTheme="minorEastAsia" w:eastAsiaTheme="minorEastAsia" w:cstheme="minorEastAsia"/>
        </w:rPr>
        <w:t>最后报价为本次竞争性磋商不可变动的最终价格。</w:t>
      </w:r>
    </w:p>
    <w:p>
      <w:pPr>
        <w:spacing w:line="360" w:lineRule="auto"/>
        <w:ind w:left="535" w:leftChars="200" w:hanging="115" w:hangingChars="55"/>
        <w:jc w:val="left"/>
        <w:rPr>
          <w:rFonts w:asciiTheme="minorEastAsia" w:hAnsiTheme="minorEastAsia" w:eastAsiaTheme="minorEastAsia" w:cstheme="minorEastAsia"/>
        </w:rPr>
      </w:pPr>
      <w:r>
        <w:rPr>
          <w:rFonts w:hint="eastAsia" w:asciiTheme="minorEastAsia" w:hAnsiTheme="minorEastAsia" w:eastAsiaTheme="minorEastAsia" w:cstheme="minorEastAsia"/>
        </w:rPr>
        <w:t>磋商文件能够详细列明采购标的的技术、服务要求的，磋商结束后，磋商小组应当要求所有继续参加磋商的供应商在规定时间内提交最后报价，提交最后报价的供应商不得少于3家。</w:t>
      </w:r>
    </w:p>
    <w:p>
      <w:pPr>
        <w:spacing w:line="360" w:lineRule="auto"/>
        <w:ind w:left="535" w:leftChars="200" w:hanging="115" w:hangingChars="55"/>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spacing w:line="360" w:lineRule="auto"/>
        <w:ind w:left="535" w:leftChars="200" w:hanging="115" w:hangingChars="55"/>
        <w:jc w:val="left"/>
        <w:rPr>
          <w:rFonts w:asciiTheme="minorEastAsia" w:hAnsiTheme="minorEastAsia" w:eastAsiaTheme="minorEastAsia" w:cstheme="minorEastAsia"/>
        </w:rPr>
      </w:pPr>
      <w:r>
        <w:rPr>
          <w:rFonts w:hint="eastAsia" w:asciiTheme="minorEastAsia" w:hAnsiTheme="minorEastAsia" w:eastAsiaTheme="minorEastAsia" w:cstheme="minorEastAsia"/>
        </w:rPr>
        <w:t>本采购项目提交最后报价供应商的确定方式详见《供应商须知前附表》。</w:t>
      </w:r>
    </w:p>
    <w:p>
      <w:pPr>
        <w:spacing w:line="360" w:lineRule="auto"/>
        <w:ind w:left="539" w:hanging="539"/>
        <w:jc w:val="left"/>
        <w:rPr>
          <w:rFonts w:asciiTheme="minorEastAsia" w:hAnsiTheme="minorEastAsia" w:eastAsiaTheme="minorEastAsia" w:cstheme="minorEastAsia"/>
        </w:rPr>
      </w:pPr>
      <w:r>
        <w:rPr>
          <w:rFonts w:hint="eastAsia" w:asciiTheme="minorEastAsia" w:hAnsiTheme="minorEastAsia" w:eastAsiaTheme="minorEastAsia" w:cstheme="minorEastAsia"/>
        </w:rPr>
        <w:t>26.5</w:t>
      </w:r>
      <w:r>
        <w:rPr>
          <w:rFonts w:hint="eastAsia" w:asciiTheme="minorEastAsia" w:hAnsiTheme="minorEastAsia" w:eastAsiaTheme="minorEastAsia" w:cstheme="minorEastAsia"/>
          <w:bCs/>
          <w:kern w:val="44"/>
          <w:szCs w:val="21"/>
        </w:rPr>
        <w:t>如有需要，磋商小组可进行多轮磋商，直至最终确定竞争性磋商采购文件采购需求中的技术、服务要求以及合同草案条款。如竞争性磋商采购文件无需修改，可直接要求磋商供应商</w:t>
      </w:r>
      <w:r>
        <w:rPr>
          <w:rFonts w:hint="eastAsia" w:asciiTheme="minorEastAsia" w:hAnsiTheme="minorEastAsia" w:eastAsiaTheme="minorEastAsia" w:cstheme="minorEastAsia"/>
        </w:rPr>
        <w:t>提交最后报价</w:t>
      </w:r>
      <w:r>
        <w:rPr>
          <w:rFonts w:hint="eastAsia" w:asciiTheme="minorEastAsia" w:hAnsiTheme="minorEastAsia" w:eastAsiaTheme="minorEastAsia" w:cstheme="minorEastAsia"/>
          <w:bCs/>
          <w:kern w:val="44"/>
          <w:szCs w:val="21"/>
        </w:rPr>
        <w:t>。</w:t>
      </w:r>
    </w:p>
    <w:p>
      <w:pPr>
        <w:spacing w:line="360" w:lineRule="auto"/>
        <w:ind w:left="539" w:hanging="539"/>
        <w:jc w:val="left"/>
        <w:rPr>
          <w:rFonts w:asciiTheme="minorEastAsia" w:hAnsiTheme="minorEastAsia" w:eastAsiaTheme="minorEastAsia" w:cstheme="minorEastAsia"/>
          <w:bCs/>
          <w:kern w:val="44"/>
          <w:szCs w:val="21"/>
        </w:rPr>
      </w:pPr>
      <w:r>
        <w:rPr>
          <w:rFonts w:hint="eastAsia" w:asciiTheme="minorEastAsia" w:hAnsiTheme="minorEastAsia" w:eastAsiaTheme="minorEastAsia" w:cstheme="minorEastAsia"/>
        </w:rPr>
        <w:t>26.6</w:t>
      </w:r>
      <w:r>
        <w:rPr>
          <w:rFonts w:hint="eastAsia" w:asciiTheme="minorEastAsia" w:hAnsiTheme="minorEastAsia" w:eastAsiaTheme="minorEastAsia" w:cstheme="minorEastAsia"/>
          <w:bCs/>
          <w:kern w:val="44"/>
          <w:szCs w:val="21"/>
        </w:rPr>
        <w:t xml:space="preserve"> 磋商小组审核完最终报价后，根据竞争性磋商采购文件规定的评定办法推荐成交候选人或根据采购人的书面授权直接确定成交供应商。</w:t>
      </w:r>
    </w:p>
    <w:p>
      <w:pPr>
        <w:spacing w:line="360" w:lineRule="auto"/>
        <w:rPr>
          <w:rFonts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26.7采购代理机构对磋商过程和重要磋商内容进行记录，磋商双方在记录上签字确认。</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lang w:val="zh-CN"/>
        </w:rPr>
      </w:pPr>
      <w:bookmarkStart w:id="85" w:name="_Toc30772"/>
      <w:r>
        <w:rPr>
          <w:rFonts w:hint="eastAsia" w:asciiTheme="minorEastAsia" w:hAnsiTheme="minorEastAsia" w:eastAsiaTheme="minorEastAsia" w:cstheme="minorEastAsia"/>
          <w:b/>
          <w:lang w:val="zh-CN"/>
        </w:rPr>
        <w:t>保密</w:t>
      </w:r>
      <w:bookmarkEnd w:id="85"/>
    </w:p>
    <w:p>
      <w:pPr>
        <w:numPr>
          <w:ilvl w:val="1"/>
          <w:numId w:val="35"/>
        </w:numPr>
        <w:autoSpaceDE w:val="0"/>
        <w:autoSpaceDN w:val="0"/>
        <w:adjustRightInd w:val="0"/>
        <w:spacing w:line="360" w:lineRule="auto"/>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凡是属于审查、澄清、评价和比较的有关资料以及授标意向等，采购人、采购代理机构、监管人员、</w:t>
      </w:r>
      <w:r>
        <w:rPr>
          <w:rFonts w:hint="eastAsia" w:asciiTheme="minorEastAsia" w:hAnsiTheme="minorEastAsia" w:eastAsiaTheme="minorEastAsia" w:cstheme="minorEastAsia"/>
          <w:bCs/>
          <w:kern w:val="44"/>
          <w:szCs w:val="21"/>
        </w:rPr>
        <w:t>磋商小组</w:t>
      </w:r>
      <w:r>
        <w:rPr>
          <w:rFonts w:hint="eastAsia" w:asciiTheme="minorEastAsia" w:hAnsiTheme="minorEastAsia" w:eastAsiaTheme="minorEastAsia" w:cstheme="minorEastAsia"/>
          <w:snapToGrid w:val="0"/>
          <w:kern w:val="0"/>
          <w:szCs w:val="21"/>
          <w:lang w:val="zh-CN"/>
        </w:rPr>
        <w:t>及有关工作人员均不得向供应商或其它无关的人员透露。</w:t>
      </w:r>
    </w:p>
    <w:p>
      <w:pPr>
        <w:numPr>
          <w:ilvl w:val="1"/>
          <w:numId w:val="35"/>
        </w:numPr>
        <w:autoSpaceDE w:val="0"/>
        <w:autoSpaceDN w:val="0"/>
        <w:adjustRightInd w:val="0"/>
        <w:spacing w:line="360" w:lineRule="auto"/>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w:t>
      </w:r>
      <w:r>
        <w:rPr>
          <w:rFonts w:hint="eastAsia" w:asciiTheme="minorEastAsia" w:hAnsiTheme="minorEastAsia" w:eastAsiaTheme="minorEastAsia" w:cstheme="minorEastAsia"/>
          <w:snapToGrid w:val="0"/>
          <w:kern w:val="0"/>
          <w:szCs w:val="21"/>
        </w:rPr>
        <w:t>四</w:t>
      </w:r>
      <w:r>
        <w:rPr>
          <w:rFonts w:hint="eastAsia" w:asciiTheme="minorEastAsia" w:hAnsiTheme="minorEastAsia" w:eastAsiaTheme="minorEastAsia" w:cstheme="minorEastAsia"/>
          <w:snapToGrid w:val="0"/>
          <w:kern w:val="0"/>
          <w:szCs w:val="21"/>
          <w:lang w:val="zh-CN"/>
        </w:rPr>
        <w:t>章“</w:t>
      </w:r>
      <w:r>
        <w:rPr>
          <w:rFonts w:hint="eastAsia" w:asciiTheme="minorEastAsia" w:hAnsiTheme="minorEastAsia" w:eastAsiaTheme="minorEastAsia" w:cstheme="minorEastAsia"/>
          <w:snapToGrid w:val="0"/>
          <w:kern w:val="0"/>
          <w:szCs w:val="21"/>
        </w:rPr>
        <w:t>评定办法</w:t>
      </w:r>
      <w:r>
        <w:rPr>
          <w:rFonts w:hint="eastAsia" w:asciiTheme="minorEastAsia" w:hAnsiTheme="minorEastAsia" w:eastAsiaTheme="minorEastAsia" w:cstheme="minorEastAsia"/>
          <w:snapToGrid w:val="0"/>
          <w:kern w:val="0"/>
          <w:szCs w:val="21"/>
          <w:lang w:val="zh-CN"/>
        </w:rPr>
        <w:t>”。</w:t>
      </w:r>
    </w:p>
    <w:p>
      <w:pPr>
        <w:numPr>
          <w:ilvl w:val="1"/>
          <w:numId w:val="35"/>
        </w:numPr>
        <w:autoSpaceDE w:val="0"/>
        <w:autoSpaceDN w:val="0"/>
        <w:adjustRightInd w:val="0"/>
        <w:spacing w:line="360" w:lineRule="auto"/>
        <w:jc w:val="left"/>
        <w:rPr>
          <w:lang w:val="zh-CN"/>
        </w:rPr>
      </w:pPr>
      <w:r>
        <w:rPr>
          <w:rFonts w:hint="eastAsia" w:asciiTheme="minorEastAsia" w:hAnsiTheme="minorEastAsia" w:eastAsiaTheme="minorEastAsia" w:cstheme="minorEastAsia"/>
          <w:snapToGrid w:val="0"/>
          <w:kern w:val="0"/>
          <w:szCs w:val="21"/>
          <w:lang w:val="zh-CN"/>
        </w:rPr>
        <w:t>磋商小组根据综合评分情况，按照评审得分由高到低的顺序及《供应商须知前附表》规定的数量推荐成交候选供应商，并编写评审报告。评审报告应当有磋商小组全体成员签字认可。</w:t>
      </w:r>
    </w:p>
    <w:p>
      <w:pPr>
        <w:numPr>
          <w:ilvl w:val="1"/>
          <w:numId w:val="10"/>
        </w:numPr>
        <w:tabs>
          <w:tab w:val="left" w:pos="540"/>
          <w:tab w:val="clear" w:pos="840"/>
        </w:tabs>
        <w:spacing w:line="360" w:lineRule="auto"/>
        <w:ind w:left="540" w:hanging="540"/>
        <w:outlineLvl w:val="1"/>
        <w:rPr>
          <w:rFonts w:asciiTheme="minorEastAsia" w:hAnsiTheme="minorEastAsia" w:eastAsiaTheme="minorEastAsia" w:cstheme="minorEastAsia"/>
          <w:b/>
          <w:szCs w:val="21"/>
        </w:rPr>
      </w:pPr>
      <w:bookmarkStart w:id="86" w:name="_Toc30407"/>
      <w:r>
        <w:rPr>
          <w:rFonts w:hint="eastAsia" w:asciiTheme="minorEastAsia" w:hAnsiTheme="minorEastAsia" w:eastAsiaTheme="minorEastAsia" w:cstheme="minorEastAsia"/>
          <w:b/>
          <w:szCs w:val="21"/>
        </w:rPr>
        <w:t>成交与签订合同</w:t>
      </w:r>
      <w:bookmarkEnd w:id="86"/>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lang w:val="zh-CN"/>
        </w:rPr>
      </w:pPr>
      <w:bookmarkStart w:id="87" w:name="_Toc7258"/>
      <w:r>
        <w:rPr>
          <w:rFonts w:hint="eastAsia" w:asciiTheme="minorEastAsia" w:hAnsiTheme="minorEastAsia" w:eastAsiaTheme="minorEastAsia" w:cstheme="minorEastAsia"/>
          <w:b/>
          <w:lang w:val="zh-CN"/>
        </w:rPr>
        <w:t>合同授予标准</w:t>
      </w:r>
      <w:bookmarkEnd w:id="87"/>
    </w:p>
    <w:p>
      <w:pPr>
        <w:autoSpaceDE w:val="0"/>
        <w:autoSpaceDN w:val="0"/>
        <w:adjustRightInd w:val="0"/>
        <w:spacing w:line="360" w:lineRule="auto"/>
        <w:jc w:val="left"/>
        <w:rPr>
          <w:rFonts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28.1</w:t>
      </w:r>
      <w:r>
        <w:rPr>
          <w:rFonts w:hint="eastAsia" w:asciiTheme="minorEastAsia" w:hAnsiTheme="minorEastAsia" w:eastAsiaTheme="minorEastAsia" w:cstheme="minorEastAsia"/>
          <w:iCs/>
          <w:snapToGrid w:val="0"/>
          <w:kern w:val="0"/>
          <w:szCs w:val="21"/>
        </w:rPr>
        <w:t xml:space="preserve"> </w:t>
      </w:r>
      <w:r>
        <w:rPr>
          <w:rFonts w:hint="eastAsia" w:asciiTheme="minorEastAsia" w:hAnsiTheme="minorEastAsia" w:eastAsiaTheme="minorEastAsia" w:cstheme="minorEastAsia"/>
          <w:iCs/>
          <w:snapToGrid w:val="0"/>
          <w:kern w:val="0"/>
          <w:szCs w:val="21"/>
          <w:lang w:val="zh-CN"/>
        </w:rPr>
        <w:t>采购人将把合同授予排名第一的供应商，特殊情况按本须知29.3的规定执行。</w:t>
      </w:r>
    </w:p>
    <w:p>
      <w:pPr>
        <w:rPr>
          <w:rFonts w:ascii="宋体" w:hAnsi="宋体" w:cs="宋体"/>
          <w:sz w:val="24"/>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rPr>
        <w:t xml:space="preserve">2 </w:t>
      </w:r>
      <w:r>
        <w:rPr>
          <w:rFonts w:hint="eastAsia" w:asciiTheme="minorEastAsia" w:hAnsiTheme="minorEastAsia" w:eastAsiaTheme="minorEastAsia" w:cstheme="minorEastAsia"/>
          <w:iCs/>
          <w:snapToGrid w:val="0"/>
          <w:kern w:val="0"/>
          <w:szCs w:val="21"/>
          <w:lang w:val="zh-CN"/>
        </w:rPr>
        <w:t>采购代理机构应当在评审结束后2个工作日内将评审报告送采购人确认。</w:t>
      </w:r>
      <w:r>
        <w:rPr>
          <w:rFonts w:ascii="宋体" w:hAnsi="宋体" w:cs="宋体"/>
          <w:sz w:val="24"/>
        </w:rPr>
        <w:t xml:space="preserve"> </w:t>
      </w:r>
    </w:p>
    <w:p>
      <w:pPr>
        <w:tabs>
          <w:tab w:val="left" w:pos="426"/>
        </w:tabs>
        <w:autoSpaceDE w:val="0"/>
        <w:autoSpaceDN w:val="0"/>
        <w:adjustRightInd w:val="0"/>
        <w:spacing w:line="360" w:lineRule="auto"/>
        <w:ind w:left="539" w:hanging="539"/>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28.</w:t>
      </w:r>
      <w:r>
        <w:rPr>
          <w:rFonts w:hint="eastAsia" w:asciiTheme="minorEastAsia" w:hAnsiTheme="minorEastAsia" w:eastAsiaTheme="minorEastAsia" w:cstheme="minorEastAsia"/>
          <w:snapToGrid w:val="0"/>
          <w:kern w:val="0"/>
          <w:szCs w:val="21"/>
        </w:rPr>
        <w:t xml:space="preserve">3 </w:t>
      </w:r>
      <w:r>
        <w:rPr>
          <w:rFonts w:hint="eastAsia" w:asciiTheme="minorEastAsia" w:hAnsiTheme="minorEastAsia" w:eastAsiaTheme="minorEastAsia" w:cstheme="minorEastAsia"/>
          <w:snapToGrid w:val="0"/>
          <w:kern w:val="0"/>
          <w:szCs w:val="21"/>
          <w:lang w:val="zh-CN"/>
        </w:rPr>
        <w:t xml:space="preserve">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 </w:t>
      </w:r>
    </w:p>
    <w:p>
      <w:pPr>
        <w:tabs>
          <w:tab w:val="left" w:pos="426"/>
        </w:tabs>
        <w:autoSpaceDE w:val="0"/>
        <w:autoSpaceDN w:val="0"/>
        <w:adjustRightInd w:val="0"/>
        <w:spacing w:line="360" w:lineRule="auto"/>
        <w:ind w:left="539" w:hanging="539"/>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28.</w:t>
      </w:r>
      <w:r>
        <w:rPr>
          <w:rFonts w:hint="eastAsia" w:asciiTheme="minorEastAsia" w:hAnsiTheme="minorEastAsia" w:eastAsiaTheme="minorEastAsia" w:cstheme="minorEastAsia"/>
          <w:snapToGrid w:val="0"/>
          <w:kern w:val="0"/>
          <w:szCs w:val="21"/>
        </w:rPr>
        <w:t xml:space="preserve">4 </w:t>
      </w:r>
      <w:r>
        <w:rPr>
          <w:rFonts w:hint="eastAsia" w:asciiTheme="minorEastAsia" w:hAnsiTheme="minorEastAsia" w:eastAsiaTheme="minorEastAsia" w:cstheme="minorEastAsia"/>
          <w:snapToGrid w:val="0"/>
          <w:kern w:val="0"/>
          <w:szCs w:val="21"/>
          <w:lang w:val="zh-CN"/>
        </w:rPr>
        <w:t xml:space="preserve">采购人或者采购代理机构应当在成交供应商确定后2个工作日内，在省级以上财政部门指定的政府采购信息发布媒体上公告成交结果，同时向成交供应商发出成交通知书，并将磋商文件随成交结果同时公告。 </w:t>
      </w:r>
    </w:p>
    <w:p>
      <w:pPr>
        <w:autoSpaceDE w:val="0"/>
        <w:autoSpaceDN w:val="0"/>
        <w:adjustRightInd w:val="0"/>
        <w:spacing w:line="360" w:lineRule="auto"/>
        <w:jc w:val="left"/>
        <w:rPr>
          <w:rFonts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rPr>
        <w:t xml:space="preserve">5 </w:t>
      </w:r>
      <w:r>
        <w:rPr>
          <w:rFonts w:hint="eastAsia" w:asciiTheme="minorEastAsia" w:hAnsiTheme="minorEastAsia" w:eastAsiaTheme="minorEastAsia" w:cstheme="minorEastAsia"/>
          <w:iCs/>
          <w:snapToGrid w:val="0"/>
          <w:kern w:val="0"/>
          <w:szCs w:val="21"/>
          <w:lang w:val="zh-CN"/>
        </w:rPr>
        <w:t>成交通知书的领取时间详见《供应商须知前附表》。</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lang w:val="zh-CN"/>
        </w:rPr>
      </w:pPr>
      <w:bookmarkStart w:id="88" w:name="_Toc29351"/>
      <w:r>
        <w:rPr>
          <w:rFonts w:hint="eastAsia" w:asciiTheme="minorEastAsia" w:hAnsiTheme="minorEastAsia" w:eastAsiaTheme="minorEastAsia" w:cstheme="minorEastAsia"/>
          <w:b/>
          <w:lang w:val="zh-CN"/>
        </w:rPr>
        <w:t>签订合同</w:t>
      </w:r>
      <w:bookmarkEnd w:id="88"/>
    </w:p>
    <w:p>
      <w:pPr>
        <w:tabs>
          <w:tab w:val="left" w:pos="426"/>
        </w:tabs>
        <w:autoSpaceDE w:val="0"/>
        <w:autoSpaceDN w:val="0"/>
        <w:adjustRightInd w:val="0"/>
        <w:spacing w:line="360" w:lineRule="auto"/>
        <w:ind w:left="539" w:hanging="539"/>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29.1 竞争性磋商采购文件对履约保证金有规定的，成交供应商应按规定在签订合同前缴纳履约保证金。</w:t>
      </w:r>
    </w:p>
    <w:p>
      <w:pPr>
        <w:tabs>
          <w:tab w:val="left" w:pos="426"/>
        </w:tabs>
        <w:autoSpaceDE w:val="0"/>
        <w:autoSpaceDN w:val="0"/>
        <w:adjustRightInd w:val="0"/>
        <w:spacing w:line="360" w:lineRule="auto"/>
        <w:ind w:left="539" w:hanging="539"/>
        <w:jc w:val="left"/>
        <w:rPr>
          <w:rFonts w:asciiTheme="minorEastAsia" w:hAnsiTheme="minorEastAsia" w:eastAsiaTheme="minorEastAsia" w:cstheme="minorEastAsia"/>
        </w:rPr>
      </w:pPr>
      <w:r>
        <w:rPr>
          <w:rFonts w:hint="eastAsia" w:asciiTheme="minorEastAsia" w:hAnsiTheme="minorEastAsia" w:eastAsiaTheme="minorEastAsia" w:cstheme="minorEastAsia"/>
          <w:snapToGrid w:val="0"/>
          <w:szCs w:val="21"/>
          <w:lang w:val="zh-CN"/>
        </w:rPr>
        <w:t>29.2 采购人与成交供应商应当在成交通知书发出之日起30日内，按照采购文件确定的合同文本以及采购标的、规格型号、采购金额、采购数量、技术和服务要求等事项签订政府采购合同。</w:t>
      </w:r>
    </w:p>
    <w:p>
      <w:pPr>
        <w:autoSpaceDE w:val="0"/>
        <w:autoSpaceDN w:val="0"/>
        <w:adjustRightInd w:val="0"/>
        <w:spacing w:line="360" w:lineRule="auto"/>
        <w:ind w:left="630" w:leftChars="300" w:firstLine="92" w:firstLineChars="44"/>
        <w:jc w:val="left"/>
        <w:rPr>
          <w:rFonts w:asciiTheme="minorEastAsia" w:hAnsiTheme="minorEastAsia" w:eastAsiaTheme="minorEastAsia" w:cstheme="minorEastAsia"/>
        </w:rPr>
      </w:pPr>
      <w:r>
        <w:rPr>
          <w:rFonts w:hint="eastAsia" w:asciiTheme="minorEastAsia" w:hAnsiTheme="minorEastAsia" w:eastAsiaTheme="minorEastAsia" w:cstheme="minorEastAsia"/>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utoSpaceDE w:val="0"/>
        <w:autoSpaceDN w:val="0"/>
        <w:adjustRightInd w:val="0"/>
        <w:spacing w:line="360" w:lineRule="auto"/>
        <w:ind w:left="630" w:leftChars="300" w:firstLine="92" w:firstLineChars="44"/>
        <w:jc w:val="left"/>
        <w:rPr>
          <w:rFonts w:asciiTheme="minorEastAsia" w:hAnsiTheme="minorEastAsia" w:eastAsiaTheme="minorEastAsia" w:cstheme="minorEastAsia"/>
        </w:rPr>
      </w:pPr>
      <w:r>
        <w:rPr>
          <w:rFonts w:hint="eastAsia" w:asciiTheme="minorEastAsia" w:hAnsiTheme="minorEastAsia" w:eastAsiaTheme="minorEastAsia" w:cstheme="minorEastAsia"/>
        </w:rPr>
        <w:t>采购人应当自政府采购合同签订之日起2个工作日内，将政府采购合同在省级以上人民政府指定的媒体上公告，但政府采购合同中涉及国家秘密、商业秘密的内容除外。</w:t>
      </w:r>
    </w:p>
    <w:p>
      <w:pPr>
        <w:autoSpaceDE w:val="0"/>
        <w:autoSpaceDN w:val="0"/>
        <w:adjustRightInd w:val="0"/>
        <w:spacing w:line="360" w:lineRule="auto"/>
        <w:ind w:left="539" w:hanging="539"/>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29.3 </w:t>
      </w:r>
      <w:r>
        <w:rPr>
          <w:rFonts w:hint="eastAsia" w:asciiTheme="minorEastAsia" w:hAnsiTheme="minorEastAsia" w:eastAsiaTheme="minorEastAsia" w:cstheme="minorEastAsia"/>
          <w:lang w:val="zh-CN"/>
        </w:rPr>
        <w:t>成交供应商拒绝与采购人签订合同的，采购人可以按照评审报告推荐的中标候选人名单排序，确定下一候选人为成交供应商，也可以重新开展政府采购活动。</w:t>
      </w:r>
    </w:p>
    <w:p>
      <w:pPr>
        <w:autoSpaceDE w:val="0"/>
        <w:autoSpaceDN w:val="0"/>
        <w:adjustRightInd w:val="0"/>
        <w:spacing w:line="360" w:lineRule="auto"/>
        <w:ind w:left="539" w:hanging="539"/>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29.4 </w:t>
      </w:r>
      <w:r>
        <w:rPr>
          <w:rFonts w:hint="eastAsia" w:asciiTheme="minorEastAsia" w:hAnsiTheme="minorEastAsia" w:eastAsiaTheme="minorEastAsia" w:cstheme="minorEastAsia"/>
          <w:snapToGrid w:val="0"/>
          <w:kern w:val="0"/>
          <w:szCs w:val="21"/>
          <w:lang w:val="zh-CN"/>
        </w:rPr>
        <w:t>签订政府采购合同后7个工作日内，采购人应将政府采购合同副本报同级政府采购监管部门备案。</w:t>
      </w:r>
    </w:p>
    <w:p>
      <w:pPr>
        <w:tabs>
          <w:tab w:val="left" w:pos="540"/>
        </w:tabs>
        <w:autoSpaceDE w:val="0"/>
        <w:autoSpaceDN w:val="0"/>
        <w:adjustRightInd w:val="0"/>
        <w:spacing w:line="360" w:lineRule="auto"/>
        <w:ind w:left="539" w:hanging="539"/>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29.5 采购代理机构将配合采购人与成交供应商签订政府采购合同。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w:t>
      </w:r>
    </w:p>
    <w:p>
      <w:pPr>
        <w:tabs>
          <w:tab w:val="left" w:pos="540"/>
        </w:tabs>
        <w:autoSpaceDE w:val="0"/>
        <w:autoSpaceDN w:val="0"/>
        <w:adjustRightInd w:val="0"/>
        <w:spacing w:line="360" w:lineRule="auto"/>
        <w:ind w:left="539" w:hanging="539"/>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szCs w:val="21"/>
          <w:lang w:val="zh-CN"/>
        </w:rPr>
        <w:t>29.6 除不可抗力等因素外，成交通知书发出后，采购人改变成交结果，或者成交供应商拒绝签订政府采购合同的，应当承担相应的法律责任。</w:t>
      </w:r>
    </w:p>
    <w:p>
      <w:pPr>
        <w:autoSpaceDE w:val="0"/>
        <w:autoSpaceDN w:val="0"/>
        <w:adjustRightInd w:val="0"/>
        <w:spacing w:line="360" w:lineRule="auto"/>
        <w:ind w:left="630" w:leftChars="300" w:firstLine="92" w:firstLineChars="44"/>
        <w:jc w:val="left"/>
        <w:rPr>
          <w:rFonts w:asciiTheme="minorEastAsia" w:hAnsiTheme="minorEastAsia" w:eastAsiaTheme="minorEastAsia" w:cstheme="minorEastAsia"/>
        </w:rPr>
      </w:pPr>
      <w:r>
        <w:rPr>
          <w:rFonts w:hint="eastAsia" w:asciiTheme="minorEastAsia" w:hAnsiTheme="minorEastAsia" w:eastAsiaTheme="minorEastAsia" w:cstheme="minorEastAsia"/>
        </w:rPr>
        <w:t>成交供应商拒绝签订政府采购合同的，采购人可以按照《政府采购竞争性磋商采购方式管理暂行办法》第三十三条规定的原则确定其他供应商作为成交供应商并签订政府采购合同，也可以重新开展采购活动。拒绝签订政府采购合同的成交供应商不得参加对该项目重新开展的采购活动。</w:t>
      </w:r>
    </w:p>
    <w:p>
      <w:pPr>
        <w:numPr>
          <w:ilvl w:val="1"/>
          <w:numId w:val="10"/>
        </w:numPr>
        <w:tabs>
          <w:tab w:val="left" w:pos="540"/>
          <w:tab w:val="clear" w:pos="840"/>
        </w:tabs>
        <w:spacing w:line="360" w:lineRule="auto"/>
        <w:ind w:left="540" w:hanging="540"/>
        <w:outlineLvl w:val="1"/>
        <w:rPr>
          <w:rFonts w:asciiTheme="minorEastAsia" w:hAnsiTheme="minorEastAsia" w:eastAsiaTheme="minorEastAsia" w:cstheme="minorEastAsia"/>
          <w:b/>
          <w:szCs w:val="21"/>
          <w:lang w:val="zh-CN"/>
        </w:rPr>
      </w:pPr>
      <w:bookmarkStart w:id="89" w:name="_Toc13988"/>
      <w:bookmarkStart w:id="90" w:name="_Toc4883"/>
      <w:bookmarkStart w:id="91" w:name="_Toc14510"/>
      <w:bookmarkStart w:id="92" w:name="_Toc23007"/>
      <w:r>
        <w:rPr>
          <w:rFonts w:hint="eastAsia" w:asciiTheme="minorEastAsia" w:hAnsiTheme="minorEastAsia" w:eastAsiaTheme="minorEastAsia" w:cstheme="minorEastAsia"/>
          <w:b/>
          <w:szCs w:val="21"/>
          <w:lang w:val="zh-CN"/>
        </w:rPr>
        <w:t>质疑和投诉</w:t>
      </w:r>
      <w:bookmarkEnd w:id="89"/>
      <w:bookmarkEnd w:id="90"/>
      <w:bookmarkEnd w:id="91"/>
      <w:bookmarkEnd w:id="92"/>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lang w:val="zh-CN"/>
        </w:rPr>
      </w:pPr>
      <w:bookmarkStart w:id="93" w:name="_Toc26703"/>
      <w:r>
        <w:rPr>
          <w:rFonts w:hint="eastAsia" w:asciiTheme="minorEastAsia" w:hAnsiTheme="minorEastAsia" w:eastAsiaTheme="minorEastAsia" w:cstheme="minorEastAsia"/>
          <w:b/>
          <w:lang w:val="zh-CN"/>
        </w:rPr>
        <w:t>质疑</w:t>
      </w:r>
      <w:bookmarkEnd w:id="93"/>
    </w:p>
    <w:p>
      <w:pPr>
        <w:autoSpaceDE w:val="0"/>
        <w:autoSpaceDN w:val="0"/>
        <w:adjustRightInd w:val="0"/>
        <w:spacing w:line="360" w:lineRule="auto"/>
        <w:ind w:left="539" w:hanging="539"/>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0</w:t>
      </w:r>
      <w:r>
        <w:rPr>
          <w:rFonts w:hint="eastAsia" w:ascii="宋体" w:hAnsi="宋体" w:cs="宋体"/>
          <w:snapToGrid w:val="0"/>
          <w:kern w:val="0"/>
          <w:szCs w:val="21"/>
          <w:lang w:val="zh-CN"/>
        </w:rPr>
        <w:t>.1</w:t>
      </w:r>
      <w:r>
        <w:rPr>
          <w:rFonts w:hint="eastAsia" w:ascii="宋体" w:hAnsi="宋体" w:cs="宋体"/>
          <w:snapToGrid w:val="0"/>
          <w:kern w:val="0"/>
          <w:szCs w:val="21"/>
        </w:rPr>
        <w:t xml:space="preserve"> </w:t>
      </w:r>
      <w:r>
        <w:rPr>
          <w:rFonts w:hint="eastAsia" w:ascii="宋体" w:hAnsi="宋体" w:cs="宋体"/>
          <w:snapToGrid w:val="0"/>
          <w:kern w:val="0"/>
          <w:szCs w:val="21"/>
          <w:lang w:val="zh-CN"/>
        </w:rPr>
        <w:t>供应商认为磋商文件、磋商过程和成交结果使自己的权益受到损害的，可以在知道或者应知其权益受到损害之日起7个工作日内，以书面形式向采购人或采购代理机构提出质疑。我公司受理项目质疑部门为技术部,联系人：张梦；联系电话：027-87820788。</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0</w:t>
      </w:r>
      <w:r>
        <w:rPr>
          <w:rFonts w:hint="eastAsia" w:ascii="宋体" w:hAnsi="宋体" w:cs="宋体"/>
          <w:snapToGrid w:val="0"/>
          <w:kern w:val="0"/>
          <w:szCs w:val="21"/>
          <w:lang w:val="zh-CN"/>
        </w:rPr>
        <w:t>.2</w:t>
      </w:r>
      <w:r>
        <w:rPr>
          <w:rFonts w:hint="eastAsia" w:ascii="宋体" w:hAnsi="宋体" w:cs="宋体"/>
          <w:snapToGrid w:val="0"/>
          <w:kern w:val="0"/>
          <w:szCs w:val="21"/>
        </w:rPr>
        <w:t xml:space="preserve"> </w:t>
      </w:r>
      <w:r>
        <w:rPr>
          <w:rFonts w:hint="eastAsia" w:ascii="宋体" w:hAnsi="宋体" w:cs="宋体"/>
          <w:snapToGrid w:val="0"/>
          <w:kern w:val="0"/>
          <w:szCs w:val="21"/>
          <w:lang w:val="zh-CN"/>
        </w:rPr>
        <w:t>质疑书应当包括下列主要内容：</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（1）质疑人的名称、地址、联系人及联系电话等；</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（2）被质疑人的名称、地址、联系人及联系电话等；</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（3）质疑项目名称及编号、质疑事项和明确的请求；</w:t>
      </w:r>
    </w:p>
    <w:p>
      <w:pPr>
        <w:autoSpaceDE w:val="0"/>
        <w:autoSpaceDN w:val="0"/>
        <w:adjustRightInd w:val="0"/>
        <w:spacing w:line="360" w:lineRule="auto"/>
        <w:ind w:left="539" w:hanging="539"/>
        <w:jc w:val="left"/>
        <w:rPr>
          <w:rFonts w:ascii="宋体" w:hAnsi="宋体" w:cs="宋体"/>
          <w:snapToGrid w:val="0"/>
          <w:kern w:val="0"/>
          <w:szCs w:val="21"/>
          <w:lang w:val="zh-CN"/>
        </w:rPr>
      </w:pPr>
      <w:r>
        <w:rPr>
          <w:rFonts w:hint="eastAsia" w:ascii="宋体" w:hAnsi="宋体" w:cs="宋体"/>
          <w:snapToGrid w:val="0"/>
          <w:kern w:val="0"/>
          <w:szCs w:val="21"/>
          <w:lang w:val="zh-CN"/>
        </w:rPr>
        <w:t>（4）质疑事项的事实根据、法律依据及其他必要的证明材料；质疑人提供的证明材料属于其他供应商投标（响应）文件未公开内容的，应当提供书面材料证明其合法来源；</w:t>
      </w:r>
    </w:p>
    <w:p>
      <w:pPr>
        <w:autoSpaceDE w:val="0"/>
        <w:autoSpaceDN w:val="0"/>
        <w:adjustRightInd w:val="0"/>
        <w:spacing w:line="360" w:lineRule="auto"/>
        <w:ind w:left="539" w:hanging="539"/>
        <w:jc w:val="left"/>
        <w:rPr>
          <w:rFonts w:ascii="宋体" w:hAnsi="宋体" w:cs="宋体"/>
          <w:snapToGrid w:val="0"/>
          <w:kern w:val="0"/>
          <w:szCs w:val="21"/>
          <w:lang w:val="zh-CN"/>
        </w:rPr>
      </w:pPr>
      <w:r>
        <w:rPr>
          <w:rFonts w:hint="eastAsia" w:ascii="宋体" w:hAnsi="宋体" w:cs="宋体"/>
          <w:snapToGrid w:val="0"/>
          <w:kern w:val="0"/>
          <w:szCs w:val="21"/>
          <w:lang w:val="zh-CN"/>
        </w:rPr>
        <w:t>（5）提出质疑的日期；</w:t>
      </w:r>
    </w:p>
    <w:p>
      <w:pPr>
        <w:autoSpaceDE w:val="0"/>
        <w:autoSpaceDN w:val="0"/>
        <w:adjustRightInd w:val="0"/>
        <w:spacing w:line="360" w:lineRule="auto"/>
        <w:ind w:left="539" w:hanging="539"/>
        <w:jc w:val="left"/>
        <w:rPr>
          <w:rFonts w:ascii="宋体" w:hAnsi="宋体" w:cs="宋体"/>
          <w:snapToGrid w:val="0"/>
          <w:kern w:val="0"/>
          <w:szCs w:val="21"/>
          <w:lang w:val="zh-CN"/>
        </w:rPr>
      </w:pPr>
      <w:r>
        <w:rPr>
          <w:rFonts w:hint="eastAsia" w:ascii="宋体" w:hAnsi="宋体" w:cs="宋体"/>
          <w:snapToGrid w:val="0"/>
          <w:kern w:val="0"/>
          <w:szCs w:val="21"/>
          <w:lang w:val="zh-CN"/>
        </w:rPr>
        <w:t>（6）质疑人的署名及签章（质疑人为自然人的，应当由本人签字；质疑人为法人或者其他组织的，应当由法定代表人或者主要负责人签字盖章并加盖公章）；</w:t>
      </w:r>
    </w:p>
    <w:p>
      <w:pPr>
        <w:autoSpaceDE w:val="0"/>
        <w:autoSpaceDN w:val="0"/>
        <w:adjustRightInd w:val="0"/>
        <w:spacing w:line="360" w:lineRule="auto"/>
        <w:ind w:left="539" w:hanging="539"/>
        <w:jc w:val="left"/>
        <w:rPr>
          <w:rFonts w:ascii="宋体" w:hAnsi="宋体" w:cs="宋体"/>
          <w:snapToGrid w:val="0"/>
          <w:kern w:val="0"/>
          <w:szCs w:val="21"/>
          <w:lang w:val="zh-CN"/>
        </w:rPr>
      </w:pPr>
      <w:r>
        <w:rPr>
          <w:rFonts w:hint="eastAsia" w:ascii="宋体" w:hAnsi="宋体" w:cs="宋体"/>
          <w:snapToGrid w:val="0"/>
          <w:kern w:val="0"/>
          <w:szCs w:val="21"/>
          <w:lang w:val="zh-CN"/>
        </w:rPr>
        <w:t>（7）法人授权委托书（质疑人或法人委托代理人办理质疑事务的，应当提供授权委托书，授权委托书应当载明委托代理的具体权限和事项）。</w:t>
      </w:r>
    </w:p>
    <w:p>
      <w:pPr>
        <w:autoSpaceDE w:val="0"/>
        <w:autoSpaceDN w:val="0"/>
        <w:adjustRightInd w:val="0"/>
        <w:spacing w:line="360" w:lineRule="auto"/>
        <w:ind w:left="630" w:leftChars="300" w:firstLine="92" w:firstLineChars="44"/>
        <w:jc w:val="left"/>
        <w:rPr>
          <w:rFonts w:ascii="宋体" w:hAnsi="宋体" w:cs="宋体"/>
          <w:snapToGrid w:val="0"/>
          <w:kern w:val="0"/>
          <w:szCs w:val="21"/>
          <w:lang w:val="zh-CN"/>
        </w:rPr>
      </w:pPr>
      <w:r>
        <w:rPr>
          <w:rFonts w:hint="eastAsia" w:ascii="宋体" w:hAnsi="宋体" w:cs="宋体"/>
          <w:snapToGrid w:val="0"/>
          <w:kern w:val="0"/>
          <w:szCs w:val="21"/>
          <w:lang w:val="zh-CN"/>
        </w:rPr>
        <w:t>质疑书不符合上述要求的，采购人或代理机构应书面告知具体事项，质疑人应当按要求进行修改或补充，并在质疑有效期限内提交。</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lang w:val="zh-CN"/>
        </w:rPr>
      </w:pPr>
      <w:bookmarkStart w:id="94" w:name="_Toc10603"/>
      <w:r>
        <w:rPr>
          <w:rFonts w:hint="eastAsia" w:asciiTheme="minorEastAsia" w:hAnsiTheme="minorEastAsia" w:eastAsiaTheme="minorEastAsia" w:cstheme="minorEastAsia"/>
          <w:b/>
          <w:lang w:val="zh-CN"/>
        </w:rPr>
        <w:t>质疑回复</w:t>
      </w:r>
      <w:bookmarkEnd w:id="94"/>
    </w:p>
    <w:p>
      <w:pPr>
        <w:autoSpaceDE w:val="0"/>
        <w:autoSpaceDN w:val="0"/>
        <w:adjustRightInd w:val="0"/>
        <w:spacing w:line="360" w:lineRule="auto"/>
        <w:ind w:left="539" w:hanging="539"/>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1</w:t>
      </w:r>
      <w:r>
        <w:rPr>
          <w:rFonts w:hint="eastAsia" w:ascii="宋体" w:hAnsi="宋体" w:cs="宋体"/>
          <w:snapToGrid w:val="0"/>
          <w:kern w:val="0"/>
          <w:szCs w:val="21"/>
          <w:lang w:val="zh-CN"/>
        </w:rPr>
        <w:t>.1</w:t>
      </w:r>
      <w:r>
        <w:rPr>
          <w:rFonts w:hint="eastAsia" w:ascii="宋体" w:hAnsi="宋体" w:cs="宋体"/>
          <w:snapToGrid w:val="0"/>
          <w:kern w:val="0"/>
          <w:szCs w:val="21"/>
        </w:rPr>
        <w:t xml:space="preserve"> </w:t>
      </w:r>
      <w:r>
        <w:rPr>
          <w:rFonts w:hint="eastAsia" w:ascii="宋体" w:hAnsi="宋体" w:cs="宋体"/>
          <w:snapToGrid w:val="0"/>
          <w:kern w:val="0"/>
          <w:szCs w:val="21"/>
          <w:lang w:val="zh-CN"/>
        </w:rPr>
        <w:t>采购人或采购代理机构应当在收到供应商的书面质疑后7个工作日内作出答复，并以书面形式通知质疑供应商和其他有关供应商，但答复的内容不得涉及商业秘密。</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1</w:t>
      </w:r>
      <w:r>
        <w:rPr>
          <w:rFonts w:hint="eastAsia" w:ascii="宋体" w:hAnsi="宋体" w:cs="宋体"/>
          <w:snapToGrid w:val="0"/>
          <w:kern w:val="0"/>
          <w:szCs w:val="21"/>
          <w:lang w:val="zh-CN"/>
        </w:rPr>
        <w:t>.2</w:t>
      </w:r>
      <w:r>
        <w:rPr>
          <w:rFonts w:hint="eastAsia" w:ascii="宋体" w:hAnsi="宋体" w:cs="宋体"/>
          <w:snapToGrid w:val="0"/>
          <w:kern w:val="0"/>
          <w:szCs w:val="21"/>
        </w:rPr>
        <w:t xml:space="preserve"> </w:t>
      </w:r>
      <w:r>
        <w:rPr>
          <w:rFonts w:hint="eastAsia" w:ascii="宋体" w:hAnsi="宋体" w:cs="宋体"/>
          <w:snapToGrid w:val="0"/>
          <w:kern w:val="0"/>
          <w:szCs w:val="21"/>
          <w:lang w:val="zh-CN"/>
        </w:rPr>
        <w:t>质疑答复应当包括下列内容：</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（2）采购人或采购代理机构（委托项目一并列出）的名称、地址、联系人及联系电话；</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（3）受理质疑的日期、质疑项目名称及编号、质疑事项；</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（4）质疑事项答复的具体情况及事实根据、法律依据；</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（5）告知质疑人依法投诉的权利和投诉方式；</w:t>
      </w:r>
    </w:p>
    <w:p>
      <w:pPr>
        <w:autoSpaceDE w:val="0"/>
        <w:autoSpaceDN w:val="0"/>
        <w:adjustRightInd w:val="0"/>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（6）质疑答复日期。</w:t>
      </w:r>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lang w:val="zh-CN"/>
        </w:rPr>
      </w:pPr>
      <w:bookmarkStart w:id="95" w:name="_Toc14017"/>
      <w:r>
        <w:rPr>
          <w:rFonts w:hint="eastAsia" w:asciiTheme="minorEastAsia" w:hAnsiTheme="minorEastAsia" w:eastAsiaTheme="minorEastAsia" w:cstheme="minorEastAsia"/>
          <w:b/>
          <w:lang w:val="zh-CN"/>
        </w:rPr>
        <w:t>投诉</w:t>
      </w:r>
      <w:bookmarkEnd w:id="95"/>
    </w:p>
    <w:p>
      <w:pPr>
        <w:autoSpaceDE w:val="0"/>
        <w:autoSpaceDN w:val="0"/>
        <w:adjustRightInd w:val="0"/>
        <w:spacing w:line="360" w:lineRule="auto"/>
        <w:ind w:left="539" w:hanging="539"/>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2</w:t>
      </w:r>
      <w:r>
        <w:rPr>
          <w:rFonts w:hint="eastAsia" w:ascii="宋体" w:hAnsi="宋体" w:cs="宋体"/>
          <w:snapToGrid w:val="0"/>
          <w:kern w:val="0"/>
          <w:szCs w:val="21"/>
          <w:lang w:val="zh-CN"/>
        </w:rPr>
        <w:t>.1</w:t>
      </w:r>
      <w:r>
        <w:rPr>
          <w:rFonts w:hint="eastAsia" w:ascii="宋体" w:hAnsi="宋体" w:cs="宋体"/>
          <w:snapToGrid w:val="0"/>
          <w:kern w:val="0"/>
          <w:szCs w:val="21"/>
        </w:rPr>
        <w:t xml:space="preserve"> </w:t>
      </w:r>
      <w:r>
        <w:rPr>
          <w:rFonts w:hint="eastAsia" w:ascii="宋体" w:hAnsi="宋体" w:cs="宋体"/>
          <w:snapToGrid w:val="0"/>
          <w:kern w:val="0"/>
          <w:szCs w:val="21"/>
          <w:lang w:val="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autoSpaceDE w:val="0"/>
        <w:autoSpaceDN w:val="0"/>
        <w:adjustRightInd w:val="0"/>
        <w:spacing w:line="360" w:lineRule="auto"/>
        <w:ind w:left="539" w:hanging="539"/>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2</w:t>
      </w:r>
      <w:r>
        <w:rPr>
          <w:rFonts w:hint="eastAsia" w:ascii="宋体" w:hAnsi="宋体" w:cs="宋体"/>
          <w:snapToGrid w:val="0"/>
          <w:kern w:val="0"/>
          <w:szCs w:val="21"/>
          <w:lang w:val="zh-CN"/>
        </w:rPr>
        <w:t>.2</w:t>
      </w:r>
      <w:r>
        <w:rPr>
          <w:rFonts w:hint="eastAsia" w:ascii="宋体" w:hAnsi="宋体" w:cs="宋体"/>
          <w:snapToGrid w:val="0"/>
          <w:kern w:val="0"/>
          <w:szCs w:val="21"/>
        </w:rPr>
        <w:t xml:space="preserve"> </w:t>
      </w:r>
      <w:r>
        <w:rPr>
          <w:rFonts w:hint="eastAsia" w:ascii="宋体" w:hAnsi="宋体" w:cs="宋体"/>
          <w:snapToGrid w:val="0"/>
          <w:kern w:val="0"/>
          <w:szCs w:val="21"/>
          <w:lang w:val="zh-CN"/>
        </w:rPr>
        <w:t>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pPr>
        <w:numPr>
          <w:ilvl w:val="1"/>
          <w:numId w:val="10"/>
        </w:numPr>
        <w:tabs>
          <w:tab w:val="left" w:pos="540"/>
          <w:tab w:val="clear" w:pos="840"/>
        </w:tabs>
        <w:spacing w:line="360" w:lineRule="auto"/>
        <w:ind w:left="540" w:hanging="540"/>
        <w:outlineLvl w:val="1"/>
        <w:rPr>
          <w:rFonts w:asciiTheme="minorEastAsia" w:hAnsiTheme="minorEastAsia" w:eastAsiaTheme="minorEastAsia" w:cstheme="minorEastAsia"/>
          <w:b/>
          <w:szCs w:val="21"/>
          <w:lang w:val="zh-CN"/>
        </w:rPr>
      </w:pPr>
      <w:bookmarkStart w:id="96" w:name="_Toc5571"/>
      <w:bookmarkStart w:id="97" w:name="_Toc14767"/>
      <w:bookmarkStart w:id="98" w:name="_Toc28705"/>
      <w:bookmarkStart w:id="99" w:name="_Toc6896"/>
      <w:r>
        <w:rPr>
          <w:rFonts w:hint="eastAsia" w:asciiTheme="minorEastAsia" w:hAnsiTheme="minorEastAsia" w:eastAsiaTheme="minorEastAsia" w:cstheme="minorEastAsia"/>
          <w:b/>
          <w:szCs w:val="21"/>
          <w:lang w:val="zh-CN"/>
        </w:rPr>
        <w:t>政策</w:t>
      </w:r>
      <w:bookmarkEnd w:id="96"/>
      <w:bookmarkEnd w:id="97"/>
      <w:bookmarkEnd w:id="98"/>
      <w:bookmarkEnd w:id="99"/>
    </w:p>
    <w:p>
      <w:pPr>
        <w:numPr>
          <w:ilvl w:val="0"/>
          <w:numId w:val="11"/>
        </w:numPr>
        <w:tabs>
          <w:tab w:val="left" w:pos="864"/>
          <w:tab w:val="left" w:pos="1080"/>
        </w:tabs>
        <w:spacing w:line="360" w:lineRule="auto"/>
        <w:ind w:hanging="540"/>
        <w:outlineLvl w:val="1"/>
        <w:rPr>
          <w:rFonts w:asciiTheme="minorEastAsia" w:hAnsiTheme="minorEastAsia" w:eastAsiaTheme="minorEastAsia" w:cstheme="minorEastAsia"/>
          <w:b/>
        </w:rPr>
      </w:pPr>
      <w:bookmarkStart w:id="100" w:name="_Toc3901"/>
      <w:r>
        <w:rPr>
          <w:rFonts w:hint="eastAsia" w:asciiTheme="minorEastAsia" w:hAnsiTheme="minorEastAsia" w:eastAsiaTheme="minorEastAsia" w:cstheme="minorEastAsia"/>
          <w:b/>
        </w:rPr>
        <w:t>政府采购政策</w:t>
      </w:r>
      <w:bookmarkEnd w:id="100"/>
    </w:p>
    <w:p>
      <w:pPr>
        <w:autoSpaceDE w:val="0"/>
        <w:autoSpaceDN w:val="0"/>
        <w:adjustRightInd w:val="0"/>
        <w:spacing w:line="360" w:lineRule="auto"/>
        <w:ind w:left="539" w:hanging="539"/>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3</w:t>
      </w:r>
      <w:r>
        <w:rPr>
          <w:rFonts w:hint="eastAsia" w:ascii="宋体" w:hAnsi="宋体" w:cs="宋体"/>
          <w:snapToGrid w:val="0"/>
          <w:kern w:val="0"/>
          <w:szCs w:val="21"/>
          <w:lang w:val="zh-CN"/>
        </w:rPr>
        <w:t>.1</w:t>
      </w:r>
      <w:r>
        <w:rPr>
          <w:rFonts w:hint="eastAsia" w:ascii="宋体" w:hAnsi="宋体" w:cs="宋体"/>
          <w:snapToGrid w:val="0"/>
          <w:kern w:val="0"/>
          <w:szCs w:val="21"/>
        </w:rPr>
        <w:t xml:space="preserve"> </w:t>
      </w:r>
      <w:r>
        <w:rPr>
          <w:rFonts w:hint="eastAsia" w:ascii="宋体" w:hAnsi="宋体" w:cs="宋体"/>
          <w:snapToGrid w:val="0"/>
          <w:spacing w:val="-2"/>
          <w:kern w:val="0"/>
          <w:szCs w:val="21"/>
          <w:lang w:val="zh-CN"/>
        </w:rPr>
        <w:t>除非“供应商须知前附表”中有特殊规定，本项目所采购的货物应当为中华人民共和国境内提供。</w:t>
      </w:r>
    </w:p>
    <w:p>
      <w:pPr>
        <w:autoSpaceDE w:val="0"/>
        <w:autoSpaceDN w:val="0"/>
        <w:adjustRightInd w:val="0"/>
        <w:spacing w:line="360" w:lineRule="auto"/>
        <w:ind w:left="539" w:hanging="539"/>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rPr>
        <w:t>3</w:t>
      </w:r>
      <w:r>
        <w:rPr>
          <w:rFonts w:hint="eastAsia" w:ascii="宋体" w:hAnsi="宋体" w:cs="宋体"/>
          <w:snapToGrid w:val="0"/>
          <w:kern w:val="0"/>
          <w:szCs w:val="21"/>
          <w:lang w:val="zh-CN"/>
        </w:rPr>
        <w:t>.2</w:t>
      </w:r>
      <w:r>
        <w:rPr>
          <w:rFonts w:hint="eastAsia" w:ascii="宋体" w:hAnsi="宋体" w:cs="宋体"/>
          <w:snapToGrid w:val="0"/>
          <w:kern w:val="0"/>
          <w:szCs w:val="21"/>
        </w:rPr>
        <w:t xml:space="preserve"> </w:t>
      </w:r>
      <w:r>
        <w:rPr>
          <w:rFonts w:hint="eastAsia" w:ascii="宋体" w:hAnsi="宋体" w:cs="宋体"/>
          <w:snapToGrid w:val="0"/>
          <w:kern w:val="0"/>
          <w:szCs w:val="21"/>
          <w:lang w:val="zh-CN"/>
        </w:rPr>
        <w:t>为促进中小企业发展，本项目供应商如符合工信部联企业【</w:t>
      </w:r>
      <w:r>
        <w:rPr>
          <w:rFonts w:hint="eastAsia" w:ascii="宋体" w:hAnsi="宋体" w:cs="宋体"/>
          <w:snapToGrid w:val="0"/>
          <w:kern w:val="0"/>
          <w:szCs w:val="21"/>
        </w:rPr>
        <w:t>2011</w:t>
      </w:r>
      <w:r>
        <w:rPr>
          <w:rFonts w:hint="eastAsia" w:ascii="宋体" w:hAnsi="宋体" w:cs="宋体"/>
          <w:snapToGrid w:val="0"/>
          <w:kern w:val="0"/>
          <w:szCs w:val="21"/>
          <w:lang w:val="zh-CN"/>
        </w:rPr>
        <w:t>】300号文中对中小企业划型标准的，可按照“评定办法前附表”中相关规定，对产品的价格给予一定比例的扣除，用扣除后的价格参与评审。具体扣除比例详见“评定办法前附表”。</w:t>
      </w:r>
    </w:p>
    <w:p>
      <w:pPr>
        <w:autoSpaceDE w:val="0"/>
        <w:autoSpaceDN w:val="0"/>
        <w:adjustRightInd w:val="0"/>
        <w:spacing w:line="360" w:lineRule="auto"/>
        <w:ind w:left="539" w:hanging="539"/>
        <w:jc w:val="left"/>
        <w:rPr>
          <w:rFonts w:ascii="宋体" w:hAnsi="宋体" w:cs="宋体"/>
          <w:snapToGrid w:val="0"/>
          <w:kern w:val="0"/>
          <w:szCs w:val="21"/>
        </w:rPr>
      </w:pPr>
      <w:r>
        <w:rPr>
          <w:rFonts w:hint="eastAsia" w:ascii="宋体" w:hAnsi="宋体" w:cs="宋体"/>
          <w:snapToGrid w:val="0"/>
          <w:kern w:val="0"/>
          <w:szCs w:val="21"/>
        </w:rPr>
        <w:t>33.3 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磋商小组审核确认供应商属于监狱企业的，在评定时视同中小企业，价格给予6%的扣除后的价格参与评审。</w:t>
      </w:r>
    </w:p>
    <w:p>
      <w:pPr>
        <w:autoSpaceDE w:val="0"/>
        <w:autoSpaceDN w:val="0"/>
        <w:adjustRightInd w:val="0"/>
        <w:spacing w:line="360" w:lineRule="auto"/>
        <w:ind w:left="539" w:hanging="539"/>
        <w:jc w:val="left"/>
        <w:rPr>
          <w:rFonts w:ascii="宋体" w:hAnsi="宋体" w:cs="宋体"/>
          <w:snapToGrid w:val="0"/>
          <w:kern w:val="0"/>
          <w:szCs w:val="21"/>
        </w:rPr>
      </w:pPr>
      <w:r>
        <w:rPr>
          <w:rFonts w:hint="eastAsia" w:ascii="宋体" w:hAnsi="宋体" w:cs="宋体"/>
          <w:snapToGrid w:val="0"/>
          <w:kern w:val="0"/>
          <w:szCs w:val="21"/>
        </w:rPr>
        <w:t>33.4 按照《三部门联合发布关于促进残疾人就业政府采购政策的通知》（财库【2017】141 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格式见第六章），并对声明的真实性负责，未提供声明函的不予折扣。经磋商小组审核确认供应商符合残疾人福利性单位条件的，在评定时视同中小企业。残疾人福利性单位属于小型、微型企业的，不重复享受政策。</w:t>
      </w:r>
    </w:p>
    <w:p>
      <w:pPr>
        <w:autoSpaceDE w:val="0"/>
        <w:autoSpaceDN w:val="0"/>
        <w:adjustRightInd w:val="0"/>
        <w:spacing w:line="360" w:lineRule="auto"/>
        <w:ind w:left="539" w:hanging="539"/>
        <w:jc w:val="left"/>
        <w:rPr>
          <w:rFonts w:ascii="宋体" w:hAnsi="宋体" w:cs="宋体"/>
          <w:snapToGrid w:val="0"/>
          <w:kern w:val="0"/>
          <w:szCs w:val="21"/>
        </w:rPr>
      </w:pPr>
      <w:r>
        <w:rPr>
          <w:rFonts w:hint="eastAsia" w:ascii="宋体" w:hAnsi="宋体" w:cs="宋体"/>
          <w:snapToGrid w:val="0"/>
          <w:kern w:val="0"/>
          <w:szCs w:val="21"/>
          <w:lang w:val="zh-CN"/>
        </w:rPr>
        <w:t>3</w:t>
      </w:r>
      <w:r>
        <w:rPr>
          <w:rFonts w:hint="eastAsia" w:ascii="宋体" w:hAnsi="宋体" w:cs="宋体"/>
          <w:snapToGrid w:val="0"/>
          <w:kern w:val="0"/>
          <w:szCs w:val="21"/>
        </w:rPr>
        <w:t>3</w:t>
      </w:r>
      <w:r>
        <w:rPr>
          <w:rFonts w:hint="eastAsia" w:ascii="宋体" w:hAnsi="宋体" w:cs="宋体"/>
          <w:snapToGrid w:val="0"/>
          <w:kern w:val="0"/>
          <w:szCs w:val="21"/>
          <w:lang w:val="zh-CN"/>
        </w:rPr>
        <w:t>.</w:t>
      </w:r>
      <w:r>
        <w:rPr>
          <w:rFonts w:hint="eastAsia" w:ascii="宋体" w:hAnsi="宋体" w:cs="宋体"/>
          <w:snapToGrid w:val="0"/>
          <w:kern w:val="0"/>
          <w:szCs w:val="21"/>
        </w:rPr>
        <w:t>5 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spacing w:line="360" w:lineRule="auto"/>
        <w:ind w:left="539" w:hanging="539"/>
        <w:jc w:val="left"/>
        <w:rPr>
          <w:rFonts w:ascii="宋体" w:hAnsi="宋体" w:cs="宋体"/>
          <w:snapToGrid w:val="0"/>
          <w:kern w:val="0"/>
          <w:szCs w:val="21"/>
          <w:lang w:val="zh-CN"/>
        </w:rPr>
      </w:pPr>
      <w:r>
        <w:rPr>
          <w:rFonts w:hint="eastAsia" w:ascii="宋体" w:hAnsi="宋体" w:cs="宋体"/>
          <w:snapToGrid w:val="0"/>
          <w:kern w:val="0"/>
          <w:szCs w:val="21"/>
          <w:lang w:val="zh-CN"/>
        </w:rPr>
        <w:t>33.</w:t>
      </w:r>
      <w:r>
        <w:rPr>
          <w:rFonts w:hint="eastAsia" w:ascii="宋体" w:hAnsi="宋体" w:cs="宋体"/>
          <w:snapToGrid w:val="0"/>
          <w:kern w:val="0"/>
          <w:szCs w:val="21"/>
        </w:rPr>
        <w:t xml:space="preserve">6 </w:t>
      </w:r>
      <w:r>
        <w:rPr>
          <w:rFonts w:hint="eastAsia" w:ascii="宋体" w:hAnsi="宋体" w:cs="宋体"/>
          <w:snapToGrid w:val="0"/>
          <w:kern w:val="0"/>
          <w:szCs w:val="21"/>
          <w:lang w:val="zh-CN"/>
        </w:rPr>
        <w:t>上述政府采购政策优惠须经磋商小组评审后执行，未提供单独分项报价或证明资料不全的不给予价格扣除。</w:t>
      </w:r>
    </w:p>
    <w:p>
      <w:pPr>
        <w:autoSpaceDE w:val="0"/>
        <w:autoSpaceDN w:val="0"/>
        <w:adjustRightInd w:val="0"/>
        <w:spacing w:line="360" w:lineRule="auto"/>
        <w:ind w:left="420" w:leftChars="200" w:firstLine="211" w:firstLineChars="100"/>
        <w:jc w:val="left"/>
        <w:rPr>
          <w:b/>
          <w:bCs/>
          <w:lang w:val="zh-CN"/>
        </w:rPr>
      </w:pPr>
      <w:r>
        <w:rPr>
          <w:rFonts w:hint="eastAsia" w:ascii="宋体" w:hAnsi="宋体" w:cs="宋体"/>
          <w:b/>
          <w:bCs/>
          <w:snapToGrid w:val="0"/>
          <w:kern w:val="0"/>
          <w:szCs w:val="21"/>
          <w:lang w:val="zh-CN"/>
        </w:rPr>
        <w:t>供应商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1"/>
          <w:numId w:val="10"/>
        </w:numPr>
        <w:tabs>
          <w:tab w:val="left" w:pos="540"/>
          <w:tab w:val="clear" w:pos="840"/>
        </w:tabs>
        <w:spacing w:line="360" w:lineRule="auto"/>
        <w:ind w:left="540" w:hanging="540"/>
        <w:outlineLvl w:val="1"/>
        <w:rPr>
          <w:rFonts w:asciiTheme="minorEastAsia" w:hAnsiTheme="minorEastAsia" w:eastAsiaTheme="minorEastAsia" w:cstheme="minorEastAsia"/>
          <w:b/>
          <w:szCs w:val="21"/>
          <w:lang w:val="zh-CN"/>
        </w:rPr>
      </w:pPr>
      <w:bookmarkStart w:id="101" w:name="_Toc16251"/>
      <w:r>
        <w:rPr>
          <w:rFonts w:hint="eastAsia" w:asciiTheme="minorEastAsia" w:hAnsiTheme="minorEastAsia" w:eastAsiaTheme="minorEastAsia" w:cstheme="minorEastAsia"/>
          <w:b/>
          <w:szCs w:val="21"/>
          <w:lang w:val="zh-CN"/>
        </w:rPr>
        <w:t>其他要求</w:t>
      </w:r>
      <w:bookmarkEnd w:id="101"/>
    </w:p>
    <w:p>
      <w:pPr>
        <w:autoSpaceDE w:val="0"/>
        <w:autoSpaceDN w:val="0"/>
        <w:adjustRightInd w:val="0"/>
        <w:spacing w:line="360" w:lineRule="auto"/>
        <w:ind w:firstLine="420" w:firstLineChars="200"/>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见《供应商须知前附表》。</w:t>
      </w:r>
    </w:p>
    <w:p>
      <w:pPr>
        <w:numPr>
          <w:ilvl w:val="1"/>
          <w:numId w:val="10"/>
        </w:numPr>
        <w:tabs>
          <w:tab w:val="left" w:pos="540"/>
          <w:tab w:val="clear" w:pos="840"/>
        </w:tabs>
        <w:spacing w:line="360" w:lineRule="auto"/>
        <w:ind w:left="540" w:hanging="540"/>
        <w:outlineLvl w:val="1"/>
        <w:rPr>
          <w:rFonts w:asciiTheme="minorEastAsia" w:hAnsiTheme="minorEastAsia" w:eastAsiaTheme="minorEastAsia" w:cstheme="minorEastAsia"/>
          <w:b/>
          <w:szCs w:val="21"/>
          <w:lang w:val="zh-CN"/>
        </w:rPr>
      </w:pPr>
      <w:bookmarkStart w:id="102" w:name="_Toc30779"/>
      <w:r>
        <w:rPr>
          <w:rFonts w:hint="eastAsia" w:asciiTheme="minorEastAsia" w:hAnsiTheme="minorEastAsia" w:eastAsiaTheme="minorEastAsia" w:cstheme="minorEastAsia"/>
          <w:b/>
          <w:szCs w:val="21"/>
          <w:lang w:val="zh-CN"/>
        </w:rPr>
        <w:t>适用法律</w:t>
      </w:r>
      <w:bookmarkEnd w:id="102"/>
    </w:p>
    <w:p>
      <w:pPr>
        <w:autoSpaceDE w:val="0"/>
        <w:autoSpaceDN w:val="0"/>
        <w:adjustRightInd w:val="0"/>
        <w:spacing w:line="360" w:lineRule="auto"/>
        <w:ind w:left="535" w:leftChars="200" w:hanging="115" w:hangingChars="55"/>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采购人或者采购代理机构和供应商的一切采购活动均适用于《中华人民共和国政府采购法》、《中华人民共和国政府采购实施条例》、《政府采购竞争性磋商采购方式管理办法》等相关规定。</w:t>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b/>
          <w:bCs/>
          <w:snapToGrid w:val="0"/>
          <w:kern w:val="0"/>
          <w:szCs w:val="21"/>
          <w:lang w:val="zh-CN"/>
        </w:rPr>
        <w:t>补充说明：</w:t>
      </w:r>
    </w:p>
    <w:p>
      <w:pPr>
        <w:numPr>
          <w:ilvl w:val="0"/>
          <w:numId w:val="36"/>
        </w:numPr>
        <w:autoSpaceDE w:val="0"/>
        <w:autoSpaceDN w:val="0"/>
        <w:adjustRightInd w:val="0"/>
        <w:spacing w:line="360" w:lineRule="auto"/>
        <w:ind w:left="539" w:hanging="539"/>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除本采购文件另有规定外，采购文件中出现的类似于“近三年”或“前三年”、“近五年”或“前五年”均指递交响应文件时间以前 3 年或前 5 年，以此类推。如：递交响应文件时间为 201</w:t>
      </w:r>
      <w:r>
        <w:rPr>
          <w:rFonts w:hint="eastAsia" w:asciiTheme="minorEastAsia" w:hAnsiTheme="minorEastAsia" w:eastAsiaTheme="minorEastAsia" w:cstheme="minorEastAsia"/>
          <w:snapToGrid w:val="0"/>
          <w:kern w:val="0"/>
          <w:szCs w:val="21"/>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rPr>
        <w:t>6</w:t>
      </w:r>
      <w:r>
        <w:rPr>
          <w:rFonts w:hint="eastAsia" w:asciiTheme="minorEastAsia" w:hAnsiTheme="minorEastAsia" w:eastAsiaTheme="minorEastAsia" w:cstheme="minorEastAsia"/>
          <w:snapToGrid w:val="0"/>
          <w:kern w:val="0"/>
          <w:szCs w:val="21"/>
          <w:lang w:val="zh-CN"/>
        </w:rPr>
        <w:t>年 12 月 1 日至 201</w:t>
      </w:r>
      <w:r>
        <w:rPr>
          <w:rFonts w:hint="eastAsia" w:asciiTheme="minorEastAsia" w:hAnsiTheme="minorEastAsia" w:eastAsiaTheme="minorEastAsia" w:cstheme="minorEastAsia"/>
          <w:snapToGrid w:val="0"/>
          <w:kern w:val="0"/>
          <w:szCs w:val="21"/>
        </w:rPr>
        <w:t>9</w:t>
      </w:r>
      <w:r>
        <w:rPr>
          <w:rFonts w:hint="eastAsia" w:asciiTheme="minorEastAsia" w:hAnsiTheme="minorEastAsia" w:eastAsiaTheme="minorEastAsia" w:cstheme="minorEastAsia"/>
          <w:snapToGrid w:val="0"/>
          <w:kern w:val="0"/>
          <w:szCs w:val="21"/>
          <w:lang w:val="zh-CN"/>
        </w:rPr>
        <w:t>年 11 月 30 日。</w:t>
      </w:r>
    </w:p>
    <w:p>
      <w:pPr>
        <w:numPr>
          <w:ilvl w:val="0"/>
          <w:numId w:val="36"/>
        </w:numPr>
        <w:autoSpaceDE w:val="0"/>
        <w:autoSpaceDN w:val="0"/>
        <w:adjustRightInd w:val="0"/>
        <w:spacing w:line="360" w:lineRule="auto"/>
        <w:ind w:left="539" w:hanging="539"/>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关于提交经审计的财务报告的年份要求：递交响应文件时间如在当年 6 月 30 日以前，</w:t>
      </w:r>
      <w:r>
        <w:rPr>
          <w:rFonts w:hint="eastAsia" w:asciiTheme="minorEastAsia" w:hAnsiTheme="minorEastAsia" w:eastAsiaTheme="minorEastAsia" w:cstheme="minorEastAsia"/>
          <w:snapToGrid w:val="0"/>
          <w:kern w:val="0"/>
          <w:szCs w:val="21"/>
        </w:rPr>
        <w:t>则</w:t>
      </w:r>
      <w:r>
        <w:rPr>
          <w:rFonts w:hint="eastAsia" w:asciiTheme="minorEastAsia" w:hAnsiTheme="minorEastAsia" w:eastAsiaTheme="minorEastAsia" w:cstheme="minorEastAsia"/>
          <w:snapToGrid w:val="0"/>
          <w:kern w:val="0"/>
          <w:szCs w:val="21"/>
          <w:lang w:val="zh-CN"/>
        </w:rPr>
        <w:t>近三年指上上个年度往前推算的三年，如递交响应文件时间为 201</w:t>
      </w:r>
      <w:r>
        <w:rPr>
          <w:rFonts w:hint="eastAsia" w:asciiTheme="minorEastAsia" w:hAnsiTheme="minorEastAsia" w:eastAsiaTheme="minorEastAsia" w:cstheme="minorEastAsia"/>
          <w:snapToGrid w:val="0"/>
          <w:kern w:val="0"/>
          <w:szCs w:val="21"/>
        </w:rPr>
        <w:t>9</w:t>
      </w:r>
      <w:r>
        <w:rPr>
          <w:rFonts w:hint="eastAsia" w:asciiTheme="minorEastAsia" w:hAnsiTheme="minorEastAsia" w:eastAsiaTheme="minorEastAsia" w:cstheme="minorEastAsia"/>
          <w:snapToGrid w:val="0"/>
          <w:kern w:val="0"/>
          <w:szCs w:val="21"/>
          <w:lang w:val="zh-CN"/>
        </w:rPr>
        <w:t>年 6 月 9 日，则“近三年”</w:t>
      </w:r>
      <w:r>
        <w:rPr>
          <w:rFonts w:hint="eastAsia" w:asciiTheme="minorEastAsia" w:hAnsiTheme="minorEastAsia" w:eastAsiaTheme="minorEastAsia" w:cstheme="minorEastAsia"/>
          <w:snapToGrid w:val="0"/>
          <w:kern w:val="0"/>
          <w:szCs w:val="21"/>
        </w:rPr>
        <w:t>是</w:t>
      </w:r>
      <w:r>
        <w:rPr>
          <w:rFonts w:hint="eastAsia" w:asciiTheme="minorEastAsia" w:hAnsiTheme="minorEastAsia" w:eastAsiaTheme="minorEastAsia" w:cstheme="minorEastAsia"/>
          <w:snapToGrid w:val="0"/>
          <w:kern w:val="0"/>
          <w:szCs w:val="21"/>
          <w:lang w:val="zh-CN"/>
        </w:rPr>
        <w:t>指 201</w:t>
      </w:r>
      <w:r>
        <w:rPr>
          <w:rFonts w:hint="eastAsia" w:asciiTheme="minorEastAsia" w:hAnsiTheme="minorEastAsia" w:eastAsiaTheme="minorEastAsia" w:cstheme="minorEastAsia"/>
          <w:snapToGrid w:val="0"/>
          <w:kern w:val="0"/>
          <w:szCs w:val="21"/>
        </w:rPr>
        <w:t>5</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rPr>
        <w:t>7</w:t>
      </w:r>
      <w:r>
        <w:rPr>
          <w:rFonts w:hint="eastAsia" w:asciiTheme="minorEastAsia" w:hAnsiTheme="minorEastAsia" w:eastAsiaTheme="minorEastAsia" w:cstheme="minorEastAsia"/>
          <w:snapToGrid w:val="0"/>
          <w:kern w:val="0"/>
          <w:szCs w:val="21"/>
          <w:lang w:val="zh-CN"/>
        </w:rPr>
        <w:t>年度。递交响应文件时间如在当年 6 月 30 日以后，则近三年是指上个年度往前推算的 3 年，如递交响应文件时间为 201</w:t>
      </w:r>
      <w:r>
        <w:rPr>
          <w:rFonts w:hint="eastAsia" w:asciiTheme="minorEastAsia" w:hAnsiTheme="minorEastAsia" w:eastAsiaTheme="minorEastAsia" w:cstheme="minorEastAsia"/>
          <w:snapToGrid w:val="0"/>
          <w:kern w:val="0"/>
          <w:szCs w:val="21"/>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rPr>
        <w:t>7</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rPr>
        <w:t>8</w:t>
      </w:r>
      <w:r>
        <w:rPr>
          <w:rFonts w:hint="eastAsia" w:asciiTheme="minorEastAsia" w:hAnsiTheme="minorEastAsia" w:eastAsiaTheme="minorEastAsia" w:cstheme="minorEastAsia"/>
          <w:snapToGrid w:val="0"/>
          <w:kern w:val="0"/>
          <w:szCs w:val="21"/>
          <w:lang w:val="zh-CN"/>
        </w:rPr>
        <w:t>年度。</w:t>
      </w:r>
    </w:p>
    <w:p>
      <w:pPr>
        <w:numPr>
          <w:ilvl w:val="0"/>
          <w:numId w:val="36"/>
        </w:numPr>
        <w:autoSpaceDE w:val="0"/>
        <w:autoSpaceDN w:val="0"/>
        <w:adjustRightInd w:val="0"/>
        <w:spacing w:line="360" w:lineRule="auto"/>
        <w:ind w:left="539" w:hanging="539"/>
        <w:jc w:val="left"/>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本采购文件所称的“以上”、“以下”、“内”、“以内”，均包括本数；所称的“不足”，不包括本数。</w:t>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snapToGrid w:val="0"/>
          <w:kern w:val="0"/>
          <w:szCs w:val="21"/>
          <w:lang w:val="zh-CN"/>
        </w:rPr>
        <w:br w:type="textWrapping"/>
      </w:r>
    </w:p>
    <w:p>
      <w:pPr>
        <w:numPr>
          <w:ilvl w:val="0"/>
          <w:numId w:val="4"/>
        </w:numPr>
        <w:jc w:val="center"/>
        <w:outlineLvl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bookmarkStart w:id="103" w:name="_Toc24256"/>
      <w:r>
        <w:rPr>
          <w:rFonts w:hint="eastAsia" w:asciiTheme="minorEastAsia" w:hAnsiTheme="minorEastAsia" w:eastAsiaTheme="minorEastAsia" w:cstheme="minorEastAsia"/>
          <w:b/>
          <w:bCs/>
          <w:sz w:val="36"/>
          <w:szCs w:val="36"/>
        </w:rPr>
        <w:t>采购需求</w:t>
      </w:r>
      <w:bookmarkEnd w:id="103"/>
    </w:p>
    <w:p>
      <w:pPr>
        <w:autoSpaceDE w:val="0"/>
        <w:autoSpaceDN w:val="0"/>
        <w:adjustRightInd w:val="0"/>
        <w:spacing w:line="360" w:lineRule="auto"/>
        <w:outlineLvl w:val="1"/>
        <w:rPr>
          <w:rFonts w:asciiTheme="minorEastAsia" w:hAnsiTheme="minorEastAsia" w:eastAsiaTheme="minorEastAsia" w:cstheme="minorEastAsia"/>
          <w:b/>
          <w:bCs/>
          <w:sz w:val="24"/>
        </w:rPr>
      </w:pPr>
      <w:bookmarkStart w:id="104" w:name="_Toc29013"/>
      <w:r>
        <w:rPr>
          <w:rFonts w:hint="eastAsia" w:asciiTheme="minorEastAsia" w:hAnsiTheme="minorEastAsia" w:eastAsiaTheme="minorEastAsia" w:cstheme="minorEastAsia"/>
          <w:b/>
          <w:bCs/>
          <w:sz w:val="24"/>
        </w:rPr>
        <w:t>一、技术需求</w:t>
      </w:r>
      <w:bookmarkEnd w:id="104"/>
    </w:p>
    <w:p>
      <w:pPr>
        <w:spacing w:line="360" w:lineRule="auto"/>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1、项目概况：</w:t>
      </w:r>
      <w:r>
        <w:rPr>
          <w:rFonts w:hint="eastAsia" w:asciiTheme="minorEastAsia" w:hAnsiTheme="minorEastAsia" w:eastAsiaTheme="minorEastAsia" w:cstheme="minorEastAsia"/>
          <w:szCs w:val="21"/>
          <w:u w:val="single"/>
        </w:rPr>
        <w:t>为增加武汉职业技术学院创新创业学院众创空间内形象导视文化墙建设、窗帘等设置</w:t>
      </w:r>
    </w:p>
    <w:p>
      <w:pPr>
        <w:autoSpaceDE w:val="0"/>
        <w:autoSpaceDN w:val="0"/>
        <w:adjustRightInd w:val="0"/>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u w:val="single"/>
        </w:rPr>
        <w:t>采购一批货物，其中包括导视牌、标识、门牌、席卡、门头及门头装饰、玻璃贴、书架、场景雾化系统、窗帘等</w:t>
      </w:r>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2、设备/货物清单</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387"/>
        <w:gridCol w:w="5542"/>
        <w:gridCol w:w="840"/>
        <w:gridCol w:w="469"/>
        <w:gridCol w:w="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blHeader/>
        </w:trPr>
        <w:tc>
          <w:tcPr>
            <w:tcW w:w="638" w:type="dxa"/>
            <w:vAlign w:val="center"/>
          </w:tcPr>
          <w:p>
            <w:pPr>
              <w:spacing w:line="360" w:lineRule="auto"/>
              <w:jc w:val="center"/>
              <w:rPr>
                <w:rFonts w:ascii="宋体" w:hAnsi="宋体" w:cs="宋体"/>
                <w:b/>
                <w:bCs/>
                <w:szCs w:val="21"/>
              </w:rPr>
            </w:pPr>
            <w:r>
              <w:rPr>
                <w:rFonts w:hint="eastAsia" w:ascii="宋体" w:hAnsi="宋体" w:cs="宋体"/>
                <w:b/>
                <w:bCs/>
                <w:szCs w:val="21"/>
              </w:rPr>
              <w:t>序号</w:t>
            </w:r>
          </w:p>
        </w:tc>
        <w:tc>
          <w:tcPr>
            <w:tcW w:w="1387" w:type="dxa"/>
            <w:vAlign w:val="center"/>
          </w:tcPr>
          <w:p>
            <w:pPr>
              <w:spacing w:line="360" w:lineRule="auto"/>
              <w:jc w:val="center"/>
              <w:rPr>
                <w:rFonts w:ascii="宋体" w:hAnsi="宋体" w:cs="宋体"/>
                <w:b/>
                <w:bCs/>
                <w:szCs w:val="21"/>
              </w:rPr>
            </w:pPr>
            <w:r>
              <w:rPr>
                <w:rFonts w:hint="eastAsia" w:ascii="宋体" w:hAnsi="宋体" w:cs="宋体"/>
                <w:b/>
                <w:bCs/>
                <w:szCs w:val="21"/>
              </w:rPr>
              <w:t>采购内容</w:t>
            </w:r>
          </w:p>
        </w:tc>
        <w:tc>
          <w:tcPr>
            <w:tcW w:w="5542" w:type="dxa"/>
            <w:vAlign w:val="center"/>
          </w:tcPr>
          <w:p>
            <w:pPr>
              <w:spacing w:line="360" w:lineRule="auto"/>
              <w:jc w:val="center"/>
              <w:rPr>
                <w:rFonts w:ascii="宋体" w:hAnsi="宋体" w:cs="宋体"/>
                <w:b/>
                <w:bCs/>
                <w:szCs w:val="21"/>
              </w:rPr>
            </w:pPr>
            <w:r>
              <w:rPr>
                <w:rFonts w:hint="eastAsia" w:ascii="宋体" w:hAnsi="宋体" w:cs="宋体"/>
                <w:b/>
                <w:bCs/>
                <w:szCs w:val="21"/>
              </w:rPr>
              <w:t>规格型号</w:t>
            </w:r>
          </w:p>
        </w:tc>
        <w:tc>
          <w:tcPr>
            <w:tcW w:w="840" w:type="dxa"/>
            <w:vAlign w:val="center"/>
          </w:tcPr>
          <w:p>
            <w:pPr>
              <w:spacing w:line="360" w:lineRule="auto"/>
              <w:jc w:val="center"/>
              <w:rPr>
                <w:rFonts w:ascii="宋体" w:hAnsi="宋体" w:cs="宋体"/>
                <w:b/>
                <w:bCs/>
                <w:szCs w:val="21"/>
              </w:rPr>
            </w:pPr>
            <w:r>
              <w:rPr>
                <w:rFonts w:hint="eastAsia" w:ascii="宋体" w:hAnsi="宋体" w:cs="宋体"/>
                <w:b/>
                <w:bCs/>
                <w:szCs w:val="21"/>
              </w:rPr>
              <w:t>数量</w:t>
            </w:r>
          </w:p>
        </w:tc>
        <w:tc>
          <w:tcPr>
            <w:tcW w:w="469" w:type="dxa"/>
            <w:vAlign w:val="center"/>
          </w:tcPr>
          <w:p>
            <w:pPr>
              <w:spacing w:line="360" w:lineRule="auto"/>
              <w:jc w:val="center"/>
              <w:rPr>
                <w:rFonts w:ascii="宋体" w:hAnsi="宋体" w:cs="宋体"/>
                <w:b/>
                <w:bCs/>
                <w:szCs w:val="21"/>
              </w:rPr>
            </w:pPr>
            <w:r>
              <w:rPr>
                <w:rFonts w:hint="eastAsia" w:ascii="宋体" w:hAnsi="宋体" w:cs="宋体"/>
                <w:b/>
                <w:bCs/>
                <w:szCs w:val="21"/>
              </w:rPr>
              <w:t>单位</w:t>
            </w:r>
          </w:p>
        </w:tc>
        <w:tc>
          <w:tcPr>
            <w:tcW w:w="412" w:type="dxa"/>
            <w:vAlign w:val="center"/>
          </w:tcPr>
          <w:p>
            <w:pPr>
              <w:spacing w:line="360" w:lineRule="auto"/>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ascii="宋体" w:hAnsi="宋体" w:cs="宋体"/>
                <w:b/>
                <w:bCs/>
                <w:szCs w:val="21"/>
              </w:rPr>
            </w:pPr>
            <w:r>
              <w:rPr>
                <w:rFonts w:hint="eastAsia" w:ascii="宋体" w:hAnsi="宋体" w:cs="宋体"/>
                <w:b/>
                <w:bCs/>
                <w:szCs w:val="21"/>
              </w:rPr>
              <w:t>一、</w:t>
            </w:r>
          </w:p>
        </w:tc>
        <w:tc>
          <w:tcPr>
            <w:tcW w:w="8650" w:type="dxa"/>
            <w:gridSpan w:val="5"/>
            <w:vAlign w:val="center"/>
          </w:tcPr>
          <w:p>
            <w:pPr>
              <w:spacing w:line="360" w:lineRule="auto"/>
              <w:jc w:val="left"/>
              <w:rPr>
                <w:rFonts w:ascii="宋体" w:hAnsi="宋体" w:cs="宋体"/>
                <w:b/>
                <w:bCs/>
                <w:szCs w:val="21"/>
              </w:rPr>
            </w:pPr>
            <w:r>
              <w:rPr>
                <w:rFonts w:hint="eastAsia" w:ascii="宋体" w:hAnsi="宋体" w:cs="宋体"/>
                <w:b/>
                <w:bCs/>
                <w:szCs w:val="21"/>
              </w:rPr>
              <w:t>形象导视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387" w:type="dxa"/>
            <w:vAlign w:val="center"/>
          </w:tcPr>
          <w:p>
            <w:pPr>
              <w:spacing w:line="360" w:lineRule="auto"/>
              <w:jc w:val="center"/>
              <w:rPr>
                <w:rFonts w:ascii="宋体" w:hAnsi="宋体" w:cs="宋体"/>
                <w:szCs w:val="21"/>
              </w:rPr>
            </w:pPr>
            <w:r>
              <w:rPr>
                <w:rFonts w:hint="eastAsia" w:ascii="宋体" w:hAnsi="宋体" w:cs="宋体"/>
                <w:szCs w:val="21"/>
              </w:rPr>
              <w:t>导视牌</w:t>
            </w:r>
          </w:p>
        </w:tc>
        <w:tc>
          <w:tcPr>
            <w:tcW w:w="5542" w:type="dxa"/>
            <w:vAlign w:val="center"/>
          </w:tcPr>
          <w:p>
            <w:pPr>
              <w:spacing w:line="360" w:lineRule="auto"/>
              <w:rPr>
                <w:rFonts w:ascii="宋体" w:hAnsi="宋体" w:cs="宋体"/>
                <w:szCs w:val="21"/>
              </w:rPr>
            </w:pPr>
            <w:r>
              <w:rPr>
                <w:rFonts w:hint="eastAsia" w:ascii="宋体" w:hAnsi="宋体" w:cs="宋体"/>
                <w:szCs w:val="21"/>
              </w:rPr>
              <w:t>304#1.2不锈钢切割焊接焊点打磨，环氧底漆处理，面汽车烤漆三遍，整体规900m*1200mm： 符合场地装饰的国际化风格：须有设计图样：</w:t>
            </w:r>
          </w:p>
        </w:tc>
        <w:tc>
          <w:tcPr>
            <w:tcW w:w="840" w:type="dxa"/>
            <w:vAlign w:val="center"/>
          </w:tcPr>
          <w:p>
            <w:pPr>
              <w:spacing w:line="360" w:lineRule="auto"/>
              <w:jc w:val="center"/>
              <w:rPr>
                <w:rFonts w:ascii="宋体" w:hAnsi="宋体" w:cs="宋体"/>
                <w:szCs w:val="21"/>
              </w:rPr>
            </w:pPr>
            <w:r>
              <w:rPr>
                <w:rFonts w:hint="eastAsia" w:ascii="宋体" w:hAnsi="宋体" w:cs="宋体"/>
                <w:szCs w:val="21"/>
              </w:rPr>
              <w:t>1</w:t>
            </w:r>
          </w:p>
        </w:tc>
        <w:tc>
          <w:tcPr>
            <w:tcW w:w="469" w:type="dxa"/>
            <w:vAlign w:val="center"/>
          </w:tcPr>
          <w:p>
            <w:pPr>
              <w:spacing w:line="360" w:lineRule="auto"/>
              <w:jc w:val="center"/>
              <w:rPr>
                <w:rFonts w:ascii="宋体" w:hAnsi="宋体" w:cs="宋体"/>
                <w:szCs w:val="21"/>
              </w:rPr>
            </w:pPr>
            <w:r>
              <w:rPr>
                <w:rFonts w:hint="eastAsia" w:ascii="宋体" w:hAnsi="宋体" w:cs="宋体"/>
                <w:szCs w:val="21"/>
              </w:rPr>
              <w:t>组</w:t>
            </w:r>
          </w:p>
        </w:tc>
        <w:tc>
          <w:tcPr>
            <w:tcW w:w="41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387" w:type="dxa"/>
            <w:vAlign w:val="center"/>
          </w:tcPr>
          <w:p>
            <w:pPr>
              <w:spacing w:line="360" w:lineRule="auto"/>
              <w:jc w:val="center"/>
              <w:rPr>
                <w:rFonts w:ascii="宋体" w:hAnsi="宋体" w:cs="宋体"/>
                <w:szCs w:val="21"/>
              </w:rPr>
            </w:pPr>
            <w:r>
              <w:rPr>
                <w:rFonts w:hint="eastAsia" w:ascii="宋体" w:hAnsi="宋体" w:cs="宋体"/>
                <w:szCs w:val="21"/>
              </w:rPr>
              <w:t>门牌</w:t>
            </w:r>
          </w:p>
        </w:tc>
        <w:tc>
          <w:tcPr>
            <w:tcW w:w="5542" w:type="dxa"/>
            <w:vAlign w:val="center"/>
          </w:tcPr>
          <w:p>
            <w:pPr>
              <w:spacing w:line="360" w:lineRule="auto"/>
              <w:rPr>
                <w:rFonts w:ascii="宋体" w:hAnsi="宋体" w:cs="宋体"/>
                <w:szCs w:val="21"/>
              </w:rPr>
            </w:pPr>
            <w:r>
              <w:rPr>
                <w:rFonts w:hint="eastAsia" w:ascii="宋体" w:hAnsi="宋体" w:cs="宋体"/>
                <w:szCs w:val="21"/>
              </w:rPr>
              <w:t>铝型材制作三角形门牌，规格120mm*250mm；具有国际化风格：须有设计图样：</w:t>
            </w:r>
          </w:p>
        </w:tc>
        <w:tc>
          <w:tcPr>
            <w:tcW w:w="840" w:type="dxa"/>
            <w:vAlign w:val="center"/>
          </w:tcPr>
          <w:p>
            <w:pPr>
              <w:spacing w:line="360" w:lineRule="auto"/>
              <w:jc w:val="center"/>
              <w:rPr>
                <w:rFonts w:ascii="宋体" w:hAnsi="宋体" w:cs="宋体"/>
                <w:szCs w:val="21"/>
              </w:rPr>
            </w:pPr>
            <w:r>
              <w:rPr>
                <w:rFonts w:hint="eastAsia" w:ascii="宋体" w:hAnsi="宋体" w:cs="宋体"/>
                <w:szCs w:val="21"/>
              </w:rPr>
              <w:t>20</w:t>
            </w:r>
          </w:p>
        </w:tc>
        <w:tc>
          <w:tcPr>
            <w:tcW w:w="469" w:type="dxa"/>
            <w:vAlign w:val="center"/>
          </w:tcPr>
          <w:p>
            <w:pPr>
              <w:spacing w:line="360" w:lineRule="auto"/>
              <w:jc w:val="center"/>
              <w:rPr>
                <w:rFonts w:ascii="宋体" w:hAnsi="宋体" w:cs="宋体"/>
                <w:szCs w:val="21"/>
              </w:rPr>
            </w:pPr>
            <w:r>
              <w:rPr>
                <w:rFonts w:hint="eastAsia" w:ascii="宋体" w:hAnsi="宋体" w:cs="宋体"/>
                <w:szCs w:val="21"/>
              </w:rPr>
              <w:t>块</w:t>
            </w:r>
          </w:p>
        </w:tc>
        <w:tc>
          <w:tcPr>
            <w:tcW w:w="41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387" w:type="dxa"/>
            <w:vAlign w:val="center"/>
          </w:tcPr>
          <w:p>
            <w:pPr>
              <w:spacing w:line="360" w:lineRule="auto"/>
              <w:jc w:val="center"/>
              <w:rPr>
                <w:rFonts w:ascii="宋体" w:hAnsi="宋体" w:cs="宋体"/>
                <w:szCs w:val="21"/>
              </w:rPr>
            </w:pPr>
            <w:r>
              <w:rPr>
                <w:rFonts w:hint="eastAsia" w:ascii="宋体" w:hAnsi="宋体" w:cs="宋体"/>
                <w:szCs w:val="21"/>
              </w:rPr>
              <w:t>温馨提示</w:t>
            </w:r>
          </w:p>
        </w:tc>
        <w:tc>
          <w:tcPr>
            <w:tcW w:w="5542" w:type="dxa"/>
            <w:vAlign w:val="center"/>
          </w:tcPr>
          <w:p>
            <w:pPr>
              <w:spacing w:line="360" w:lineRule="auto"/>
              <w:rPr>
                <w:rFonts w:ascii="宋体" w:hAnsi="宋体" w:cs="宋体"/>
                <w:szCs w:val="21"/>
              </w:rPr>
            </w:pPr>
            <w:r>
              <w:rPr>
                <w:rFonts w:hint="eastAsia" w:ascii="宋体" w:hAnsi="宋体" w:cs="宋体"/>
                <w:szCs w:val="21"/>
              </w:rPr>
              <w:t>5mm+5mm透明亚克力背喷，整体规格：80mm*150mm；符合场地装饰的国际化风格：须有设计图样：</w:t>
            </w:r>
          </w:p>
        </w:tc>
        <w:tc>
          <w:tcPr>
            <w:tcW w:w="840"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469" w:type="dxa"/>
            <w:vAlign w:val="center"/>
          </w:tcPr>
          <w:p>
            <w:pPr>
              <w:spacing w:line="360" w:lineRule="auto"/>
              <w:jc w:val="center"/>
              <w:rPr>
                <w:rFonts w:ascii="宋体" w:hAnsi="宋体" w:cs="宋体"/>
                <w:szCs w:val="21"/>
              </w:rPr>
            </w:pPr>
            <w:r>
              <w:rPr>
                <w:rFonts w:hint="eastAsia" w:ascii="宋体" w:hAnsi="宋体" w:cs="宋体"/>
                <w:szCs w:val="21"/>
              </w:rPr>
              <w:t>块</w:t>
            </w:r>
          </w:p>
        </w:tc>
        <w:tc>
          <w:tcPr>
            <w:tcW w:w="41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ascii="宋体" w:hAnsi="宋体" w:cs="宋体"/>
                <w:szCs w:val="21"/>
              </w:rPr>
            </w:pPr>
            <w:r>
              <w:rPr>
                <w:rFonts w:hint="eastAsia" w:ascii="宋体" w:hAnsi="宋体" w:cs="宋体"/>
                <w:szCs w:val="21"/>
              </w:rPr>
              <w:t>4</w:t>
            </w:r>
          </w:p>
        </w:tc>
        <w:tc>
          <w:tcPr>
            <w:tcW w:w="1387" w:type="dxa"/>
            <w:vAlign w:val="center"/>
          </w:tcPr>
          <w:p>
            <w:pPr>
              <w:spacing w:line="360" w:lineRule="auto"/>
              <w:jc w:val="center"/>
              <w:rPr>
                <w:rFonts w:ascii="宋体" w:hAnsi="宋体" w:cs="宋体"/>
                <w:szCs w:val="21"/>
              </w:rPr>
            </w:pPr>
            <w:r>
              <w:rPr>
                <w:rFonts w:hint="eastAsia" w:ascii="宋体" w:hAnsi="宋体" w:cs="宋体"/>
                <w:szCs w:val="21"/>
              </w:rPr>
              <w:t>消防栓标识</w:t>
            </w:r>
          </w:p>
        </w:tc>
        <w:tc>
          <w:tcPr>
            <w:tcW w:w="5542" w:type="dxa"/>
            <w:vAlign w:val="center"/>
          </w:tcPr>
          <w:p>
            <w:pPr>
              <w:spacing w:line="360" w:lineRule="auto"/>
              <w:rPr>
                <w:rFonts w:ascii="宋体" w:hAnsi="宋体" w:cs="宋体"/>
                <w:szCs w:val="21"/>
              </w:rPr>
            </w:pPr>
            <w:r>
              <w:rPr>
                <w:rFonts w:hint="eastAsia" w:ascii="宋体" w:hAnsi="宋体" w:cs="宋体"/>
                <w:szCs w:val="21"/>
              </w:rPr>
              <w:t>10+3mm水晶字，面汽车烤漆三遍：符合场地装饰的国际化风格：须有设计图样：</w:t>
            </w:r>
          </w:p>
        </w:tc>
        <w:tc>
          <w:tcPr>
            <w:tcW w:w="840" w:type="dxa"/>
            <w:vAlign w:val="center"/>
          </w:tcPr>
          <w:p>
            <w:pPr>
              <w:spacing w:line="360" w:lineRule="auto"/>
              <w:jc w:val="center"/>
              <w:rPr>
                <w:rFonts w:ascii="宋体" w:hAnsi="宋体" w:cs="宋体"/>
                <w:szCs w:val="21"/>
              </w:rPr>
            </w:pPr>
            <w:r>
              <w:rPr>
                <w:rFonts w:hint="eastAsia" w:ascii="宋体" w:hAnsi="宋体" w:cs="宋体"/>
                <w:szCs w:val="21"/>
              </w:rPr>
              <w:t>4</w:t>
            </w:r>
          </w:p>
        </w:tc>
        <w:tc>
          <w:tcPr>
            <w:tcW w:w="469" w:type="dxa"/>
            <w:vAlign w:val="center"/>
          </w:tcPr>
          <w:p>
            <w:pPr>
              <w:spacing w:line="360" w:lineRule="auto"/>
              <w:jc w:val="center"/>
              <w:rPr>
                <w:rFonts w:ascii="宋体" w:hAnsi="宋体" w:cs="宋体"/>
                <w:szCs w:val="21"/>
              </w:rPr>
            </w:pPr>
            <w:r>
              <w:rPr>
                <w:rFonts w:hint="eastAsia" w:ascii="宋体" w:hAnsi="宋体" w:cs="宋体"/>
                <w:szCs w:val="21"/>
              </w:rPr>
              <w:t>套</w:t>
            </w:r>
          </w:p>
        </w:tc>
        <w:tc>
          <w:tcPr>
            <w:tcW w:w="41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ascii="宋体" w:hAnsi="宋体" w:cs="宋体"/>
                <w:szCs w:val="21"/>
              </w:rPr>
            </w:pPr>
            <w:r>
              <w:rPr>
                <w:rFonts w:hint="eastAsia" w:ascii="宋体" w:hAnsi="宋体" w:cs="宋体"/>
                <w:szCs w:val="21"/>
              </w:rPr>
              <w:t>5</w:t>
            </w:r>
          </w:p>
        </w:tc>
        <w:tc>
          <w:tcPr>
            <w:tcW w:w="1387" w:type="dxa"/>
            <w:vAlign w:val="center"/>
          </w:tcPr>
          <w:p>
            <w:pPr>
              <w:spacing w:line="360" w:lineRule="auto"/>
              <w:jc w:val="center"/>
              <w:rPr>
                <w:rFonts w:ascii="宋体" w:hAnsi="宋体" w:cs="宋体"/>
                <w:szCs w:val="21"/>
              </w:rPr>
            </w:pPr>
            <w:r>
              <w:rPr>
                <w:rFonts w:hint="eastAsia" w:ascii="宋体" w:hAnsi="宋体" w:cs="宋体"/>
                <w:szCs w:val="21"/>
              </w:rPr>
              <w:t>咖啡吧标识</w:t>
            </w:r>
          </w:p>
        </w:tc>
        <w:tc>
          <w:tcPr>
            <w:tcW w:w="5542" w:type="dxa"/>
            <w:vAlign w:val="center"/>
          </w:tcPr>
          <w:p>
            <w:pPr>
              <w:spacing w:line="360" w:lineRule="auto"/>
              <w:rPr>
                <w:rFonts w:ascii="宋体" w:hAnsi="宋体" w:cs="宋体"/>
                <w:szCs w:val="21"/>
              </w:rPr>
            </w:pPr>
            <w:r>
              <w:rPr>
                <w:rFonts w:hint="eastAsia" w:ascii="宋体" w:hAnsi="宋体" w:cs="宋体"/>
                <w:szCs w:val="21"/>
              </w:rPr>
              <w:t>拉丝金色不锈钢字：符合场地装饰的国际化风格：须有设计图样：</w:t>
            </w:r>
          </w:p>
        </w:tc>
        <w:tc>
          <w:tcPr>
            <w:tcW w:w="840" w:type="dxa"/>
            <w:vAlign w:val="center"/>
          </w:tcPr>
          <w:p>
            <w:pPr>
              <w:spacing w:line="360" w:lineRule="auto"/>
              <w:jc w:val="center"/>
              <w:rPr>
                <w:rFonts w:ascii="宋体" w:hAnsi="宋体" w:cs="宋体"/>
                <w:szCs w:val="21"/>
              </w:rPr>
            </w:pPr>
            <w:r>
              <w:rPr>
                <w:rFonts w:hint="eastAsia" w:ascii="宋体" w:hAnsi="宋体" w:cs="宋体"/>
                <w:szCs w:val="21"/>
              </w:rPr>
              <w:t>1</w:t>
            </w:r>
          </w:p>
        </w:tc>
        <w:tc>
          <w:tcPr>
            <w:tcW w:w="469" w:type="dxa"/>
            <w:vAlign w:val="center"/>
          </w:tcPr>
          <w:p>
            <w:pPr>
              <w:spacing w:line="360" w:lineRule="auto"/>
              <w:jc w:val="center"/>
              <w:rPr>
                <w:rFonts w:ascii="宋体" w:hAnsi="宋体" w:cs="宋体"/>
                <w:szCs w:val="21"/>
              </w:rPr>
            </w:pPr>
            <w:r>
              <w:rPr>
                <w:rFonts w:hint="eastAsia" w:ascii="宋体" w:hAnsi="宋体" w:cs="宋体"/>
                <w:szCs w:val="21"/>
              </w:rPr>
              <w:t>组</w:t>
            </w:r>
          </w:p>
        </w:tc>
        <w:tc>
          <w:tcPr>
            <w:tcW w:w="41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ascii="宋体" w:hAnsi="宋体" w:cs="宋体"/>
                <w:szCs w:val="21"/>
              </w:rPr>
            </w:pPr>
            <w:r>
              <w:rPr>
                <w:rFonts w:hint="eastAsia" w:ascii="宋体" w:hAnsi="宋体" w:cs="宋体"/>
                <w:szCs w:val="21"/>
              </w:rPr>
              <w:t>6</w:t>
            </w:r>
          </w:p>
        </w:tc>
        <w:tc>
          <w:tcPr>
            <w:tcW w:w="1387" w:type="dxa"/>
            <w:vAlign w:val="center"/>
          </w:tcPr>
          <w:p>
            <w:pPr>
              <w:spacing w:line="360" w:lineRule="auto"/>
              <w:jc w:val="center"/>
              <w:rPr>
                <w:rFonts w:ascii="宋体" w:hAnsi="宋体" w:cs="宋体"/>
                <w:szCs w:val="21"/>
              </w:rPr>
            </w:pPr>
            <w:r>
              <w:rPr>
                <w:rFonts w:hint="eastAsia" w:ascii="宋体" w:hAnsi="宋体" w:cs="宋体"/>
                <w:szCs w:val="21"/>
              </w:rPr>
              <w:t>门头装饰</w:t>
            </w:r>
          </w:p>
        </w:tc>
        <w:tc>
          <w:tcPr>
            <w:tcW w:w="5542" w:type="dxa"/>
            <w:vAlign w:val="center"/>
          </w:tcPr>
          <w:p>
            <w:pPr>
              <w:spacing w:line="360" w:lineRule="auto"/>
              <w:rPr>
                <w:rFonts w:ascii="宋体" w:hAnsi="宋体" w:cs="宋体"/>
                <w:szCs w:val="21"/>
              </w:rPr>
            </w:pPr>
            <w:r>
              <w:rPr>
                <w:rFonts w:hint="eastAsia" w:ascii="宋体" w:hAnsi="宋体" w:cs="宋体"/>
                <w:szCs w:val="21"/>
              </w:rPr>
              <w:t>10mmPVC雕刻装饰造型，面汽车烤漆三遍；符合场地装饰的国际化风格：须有设计图样：</w:t>
            </w:r>
          </w:p>
        </w:tc>
        <w:tc>
          <w:tcPr>
            <w:tcW w:w="840" w:type="dxa"/>
            <w:vAlign w:val="center"/>
          </w:tcPr>
          <w:p>
            <w:pPr>
              <w:spacing w:line="360" w:lineRule="auto"/>
              <w:jc w:val="center"/>
              <w:rPr>
                <w:rFonts w:ascii="宋体" w:hAnsi="宋体" w:cs="宋体"/>
                <w:szCs w:val="21"/>
              </w:rPr>
            </w:pPr>
            <w:r>
              <w:rPr>
                <w:rFonts w:hint="eastAsia" w:ascii="宋体" w:hAnsi="宋体" w:cs="宋体"/>
                <w:szCs w:val="21"/>
              </w:rPr>
              <w:t>1</w:t>
            </w:r>
          </w:p>
        </w:tc>
        <w:tc>
          <w:tcPr>
            <w:tcW w:w="469" w:type="dxa"/>
            <w:vAlign w:val="center"/>
          </w:tcPr>
          <w:p>
            <w:pPr>
              <w:spacing w:line="360" w:lineRule="auto"/>
              <w:jc w:val="center"/>
              <w:rPr>
                <w:rFonts w:ascii="宋体" w:hAnsi="宋体" w:cs="宋体"/>
                <w:szCs w:val="21"/>
              </w:rPr>
            </w:pPr>
            <w:r>
              <w:rPr>
                <w:rFonts w:hint="eastAsia" w:ascii="宋体" w:hAnsi="宋体" w:cs="宋体"/>
                <w:szCs w:val="21"/>
              </w:rPr>
              <w:t>项</w:t>
            </w:r>
          </w:p>
        </w:tc>
        <w:tc>
          <w:tcPr>
            <w:tcW w:w="41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ascii="宋体" w:hAnsi="宋体" w:cs="宋体"/>
                <w:szCs w:val="21"/>
              </w:rPr>
            </w:pPr>
            <w:r>
              <w:rPr>
                <w:rFonts w:hint="eastAsia" w:ascii="宋体" w:hAnsi="宋体" w:cs="宋体"/>
                <w:szCs w:val="21"/>
              </w:rPr>
              <w:t>7</w:t>
            </w:r>
          </w:p>
        </w:tc>
        <w:tc>
          <w:tcPr>
            <w:tcW w:w="1387" w:type="dxa"/>
            <w:vAlign w:val="center"/>
          </w:tcPr>
          <w:p>
            <w:pPr>
              <w:spacing w:line="360" w:lineRule="auto"/>
              <w:jc w:val="center"/>
              <w:rPr>
                <w:rFonts w:ascii="宋体" w:hAnsi="宋体" w:cs="宋体"/>
                <w:szCs w:val="21"/>
              </w:rPr>
            </w:pPr>
            <w:r>
              <w:rPr>
                <w:rFonts w:hint="eastAsia" w:ascii="宋体" w:hAnsi="宋体" w:cs="宋体"/>
                <w:szCs w:val="21"/>
              </w:rPr>
              <w:t>一楼双创标识</w:t>
            </w:r>
          </w:p>
        </w:tc>
        <w:tc>
          <w:tcPr>
            <w:tcW w:w="5542" w:type="dxa"/>
            <w:vAlign w:val="center"/>
          </w:tcPr>
          <w:p>
            <w:pPr>
              <w:spacing w:line="360" w:lineRule="auto"/>
              <w:rPr>
                <w:rFonts w:ascii="宋体" w:hAnsi="宋体" w:cs="宋体"/>
                <w:szCs w:val="21"/>
              </w:rPr>
            </w:pPr>
            <w:r>
              <w:rPr>
                <w:rFonts w:hint="eastAsia" w:ascii="宋体" w:hAnsi="宋体" w:cs="宋体"/>
                <w:szCs w:val="21"/>
              </w:rPr>
              <w:t>15mmPVC雕刻装饰造型，面汽车烤漆三遍；符合场地装饰的国际化风格：须有设计图样：</w:t>
            </w:r>
          </w:p>
        </w:tc>
        <w:tc>
          <w:tcPr>
            <w:tcW w:w="840" w:type="dxa"/>
            <w:vAlign w:val="center"/>
          </w:tcPr>
          <w:p>
            <w:pPr>
              <w:spacing w:line="360" w:lineRule="auto"/>
              <w:jc w:val="center"/>
              <w:rPr>
                <w:rFonts w:ascii="宋体" w:hAnsi="宋体" w:cs="宋体"/>
                <w:szCs w:val="21"/>
              </w:rPr>
            </w:pPr>
            <w:r>
              <w:rPr>
                <w:rFonts w:hint="eastAsia" w:ascii="宋体" w:hAnsi="宋体" w:cs="宋体"/>
                <w:szCs w:val="21"/>
              </w:rPr>
              <w:t>1</w:t>
            </w:r>
          </w:p>
        </w:tc>
        <w:tc>
          <w:tcPr>
            <w:tcW w:w="469" w:type="dxa"/>
            <w:vAlign w:val="center"/>
          </w:tcPr>
          <w:p>
            <w:pPr>
              <w:spacing w:line="360" w:lineRule="auto"/>
              <w:jc w:val="center"/>
              <w:rPr>
                <w:rFonts w:ascii="宋体" w:hAnsi="宋体" w:cs="宋体"/>
                <w:szCs w:val="21"/>
              </w:rPr>
            </w:pPr>
            <w:r>
              <w:rPr>
                <w:rFonts w:hint="eastAsia" w:ascii="宋体" w:hAnsi="宋体" w:cs="宋体"/>
                <w:szCs w:val="21"/>
              </w:rPr>
              <w:t>项</w:t>
            </w:r>
          </w:p>
        </w:tc>
        <w:tc>
          <w:tcPr>
            <w:tcW w:w="41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ascii="宋体" w:hAnsi="宋体" w:cs="宋体"/>
                <w:szCs w:val="21"/>
              </w:rPr>
            </w:pPr>
            <w:r>
              <w:rPr>
                <w:rFonts w:hint="eastAsia" w:ascii="宋体" w:hAnsi="宋体" w:cs="宋体"/>
                <w:szCs w:val="21"/>
              </w:rPr>
              <w:t>8</w:t>
            </w:r>
          </w:p>
        </w:tc>
        <w:tc>
          <w:tcPr>
            <w:tcW w:w="1387" w:type="dxa"/>
            <w:vAlign w:val="center"/>
          </w:tcPr>
          <w:p>
            <w:pPr>
              <w:spacing w:line="360" w:lineRule="auto"/>
              <w:jc w:val="center"/>
              <w:rPr>
                <w:rFonts w:ascii="宋体" w:hAnsi="宋体" w:cs="宋体"/>
                <w:szCs w:val="21"/>
              </w:rPr>
            </w:pPr>
            <w:r>
              <w:rPr>
                <w:rFonts w:hint="eastAsia" w:ascii="宋体" w:hAnsi="宋体" w:cs="宋体"/>
                <w:szCs w:val="21"/>
              </w:rPr>
              <w:t>会议席卡</w:t>
            </w:r>
          </w:p>
        </w:tc>
        <w:tc>
          <w:tcPr>
            <w:tcW w:w="5542" w:type="dxa"/>
            <w:vAlign w:val="center"/>
          </w:tcPr>
          <w:p>
            <w:pPr>
              <w:spacing w:line="360" w:lineRule="auto"/>
              <w:rPr>
                <w:rFonts w:ascii="宋体" w:hAnsi="宋体" w:cs="宋体"/>
                <w:szCs w:val="21"/>
              </w:rPr>
            </w:pPr>
            <w:r>
              <w:rPr>
                <w:rFonts w:hint="eastAsia" w:ascii="宋体" w:hAnsi="宋体" w:cs="宋体"/>
                <w:szCs w:val="21"/>
              </w:rPr>
              <w:t>不锈钢主体，亚克力面板，规格100mm*200mm；符合场地装饰的国际化风格：须有设计图样：</w:t>
            </w:r>
          </w:p>
        </w:tc>
        <w:tc>
          <w:tcPr>
            <w:tcW w:w="840" w:type="dxa"/>
            <w:vAlign w:val="center"/>
          </w:tcPr>
          <w:p>
            <w:pPr>
              <w:spacing w:line="360" w:lineRule="auto"/>
              <w:jc w:val="center"/>
              <w:rPr>
                <w:rFonts w:ascii="宋体" w:hAnsi="宋体" w:cs="宋体"/>
                <w:szCs w:val="21"/>
              </w:rPr>
            </w:pPr>
            <w:r>
              <w:rPr>
                <w:rFonts w:hint="eastAsia" w:ascii="宋体" w:hAnsi="宋体" w:cs="宋体"/>
                <w:szCs w:val="21"/>
              </w:rPr>
              <w:t>20</w:t>
            </w:r>
          </w:p>
        </w:tc>
        <w:tc>
          <w:tcPr>
            <w:tcW w:w="469" w:type="dxa"/>
            <w:vAlign w:val="center"/>
          </w:tcPr>
          <w:p>
            <w:pPr>
              <w:spacing w:line="360" w:lineRule="auto"/>
              <w:jc w:val="center"/>
              <w:rPr>
                <w:rFonts w:ascii="宋体" w:hAnsi="宋体" w:cs="宋体"/>
                <w:szCs w:val="21"/>
              </w:rPr>
            </w:pPr>
            <w:r>
              <w:rPr>
                <w:rFonts w:hint="eastAsia" w:ascii="宋体" w:hAnsi="宋体" w:cs="宋体"/>
                <w:szCs w:val="21"/>
              </w:rPr>
              <w:t>个</w:t>
            </w:r>
          </w:p>
        </w:tc>
        <w:tc>
          <w:tcPr>
            <w:tcW w:w="41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ascii="宋体" w:hAnsi="宋体" w:cs="宋体"/>
                <w:szCs w:val="21"/>
              </w:rPr>
            </w:pPr>
            <w:r>
              <w:rPr>
                <w:rFonts w:hint="eastAsia" w:ascii="宋体" w:hAnsi="宋体" w:cs="宋体"/>
                <w:szCs w:val="21"/>
              </w:rPr>
              <w:t>9</w:t>
            </w:r>
          </w:p>
        </w:tc>
        <w:tc>
          <w:tcPr>
            <w:tcW w:w="1387" w:type="dxa"/>
            <w:vAlign w:val="center"/>
          </w:tcPr>
          <w:p>
            <w:pPr>
              <w:spacing w:line="360" w:lineRule="auto"/>
              <w:jc w:val="center"/>
              <w:rPr>
                <w:rFonts w:ascii="宋体" w:hAnsi="宋体" w:cs="宋体"/>
                <w:szCs w:val="21"/>
              </w:rPr>
            </w:pPr>
            <w:r>
              <w:rPr>
                <w:rFonts w:hint="eastAsia" w:ascii="宋体" w:hAnsi="宋体" w:cs="宋体"/>
                <w:szCs w:val="21"/>
              </w:rPr>
              <w:t>“精酿艺术长廊”门头</w:t>
            </w:r>
          </w:p>
        </w:tc>
        <w:tc>
          <w:tcPr>
            <w:tcW w:w="5542" w:type="dxa"/>
            <w:vAlign w:val="center"/>
          </w:tcPr>
          <w:p>
            <w:pPr>
              <w:spacing w:line="360" w:lineRule="auto"/>
              <w:rPr>
                <w:rFonts w:ascii="宋体" w:hAnsi="宋体" w:cs="宋体"/>
                <w:szCs w:val="21"/>
              </w:rPr>
            </w:pPr>
            <w:r>
              <w:rPr>
                <w:rFonts w:hint="eastAsia" w:ascii="宋体" w:hAnsi="宋体" w:cs="宋体"/>
                <w:szCs w:val="21"/>
              </w:rPr>
              <w:t>迷你发光字制作安装，规格：1600mm*500mm</w:t>
            </w:r>
          </w:p>
        </w:tc>
        <w:tc>
          <w:tcPr>
            <w:tcW w:w="840" w:type="dxa"/>
            <w:vAlign w:val="center"/>
          </w:tcPr>
          <w:p>
            <w:pPr>
              <w:spacing w:line="360" w:lineRule="auto"/>
              <w:jc w:val="center"/>
              <w:rPr>
                <w:rFonts w:ascii="宋体" w:hAnsi="宋体" w:cs="宋体"/>
                <w:szCs w:val="21"/>
              </w:rPr>
            </w:pPr>
            <w:r>
              <w:rPr>
                <w:rFonts w:hint="eastAsia" w:ascii="宋体" w:hAnsi="宋体" w:cs="宋体"/>
                <w:szCs w:val="21"/>
              </w:rPr>
              <w:t>1</w:t>
            </w:r>
          </w:p>
        </w:tc>
        <w:tc>
          <w:tcPr>
            <w:tcW w:w="469" w:type="dxa"/>
            <w:vAlign w:val="center"/>
          </w:tcPr>
          <w:p>
            <w:pPr>
              <w:spacing w:line="360" w:lineRule="auto"/>
              <w:jc w:val="center"/>
              <w:rPr>
                <w:rFonts w:ascii="宋体" w:hAnsi="宋体" w:cs="宋体"/>
                <w:szCs w:val="21"/>
              </w:rPr>
            </w:pPr>
            <w:r>
              <w:rPr>
                <w:rFonts w:hint="eastAsia" w:ascii="宋体" w:hAnsi="宋体" w:cs="宋体"/>
                <w:szCs w:val="21"/>
              </w:rPr>
              <w:t>项</w:t>
            </w:r>
          </w:p>
        </w:tc>
        <w:tc>
          <w:tcPr>
            <w:tcW w:w="41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ascii="宋体" w:hAnsi="宋体" w:cs="宋体"/>
                <w:b/>
                <w:bCs/>
                <w:szCs w:val="21"/>
              </w:rPr>
            </w:pPr>
            <w:r>
              <w:rPr>
                <w:rFonts w:hint="eastAsia" w:ascii="宋体" w:hAnsi="宋体" w:cs="宋体"/>
                <w:b/>
                <w:bCs/>
                <w:szCs w:val="21"/>
              </w:rPr>
              <w:t>二、</w:t>
            </w:r>
          </w:p>
        </w:tc>
        <w:tc>
          <w:tcPr>
            <w:tcW w:w="8650" w:type="dxa"/>
            <w:gridSpan w:val="5"/>
            <w:vAlign w:val="center"/>
          </w:tcPr>
          <w:p>
            <w:pPr>
              <w:spacing w:line="360" w:lineRule="auto"/>
              <w:rPr>
                <w:rFonts w:ascii="宋体" w:hAnsi="宋体" w:cs="宋体"/>
                <w:b/>
                <w:bCs/>
                <w:szCs w:val="21"/>
              </w:rPr>
            </w:pPr>
            <w:r>
              <w:rPr>
                <w:rFonts w:hint="eastAsia" w:ascii="宋体" w:hAnsi="宋体" w:cs="宋体"/>
                <w:b/>
                <w:bCs/>
                <w:szCs w:val="21"/>
              </w:rPr>
              <w:t>文化背景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387" w:type="dxa"/>
            <w:vAlign w:val="center"/>
          </w:tcPr>
          <w:p>
            <w:pPr>
              <w:spacing w:line="360" w:lineRule="auto"/>
              <w:jc w:val="center"/>
              <w:rPr>
                <w:rFonts w:ascii="宋体" w:hAnsi="宋体" w:cs="宋体"/>
                <w:szCs w:val="21"/>
              </w:rPr>
            </w:pPr>
            <w:r>
              <w:rPr>
                <w:rFonts w:hint="eastAsia" w:ascii="宋体" w:hAnsi="宋体" w:cs="宋体"/>
                <w:szCs w:val="21"/>
              </w:rPr>
              <w:t>玻璃贴</w:t>
            </w:r>
          </w:p>
        </w:tc>
        <w:tc>
          <w:tcPr>
            <w:tcW w:w="5542" w:type="dxa"/>
            <w:vAlign w:val="center"/>
          </w:tcPr>
          <w:p>
            <w:pPr>
              <w:spacing w:line="360" w:lineRule="auto"/>
              <w:rPr>
                <w:rFonts w:ascii="宋体" w:hAnsi="宋体" w:cs="宋体"/>
                <w:szCs w:val="21"/>
              </w:rPr>
            </w:pPr>
            <w:r>
              <w:rPr>
                <w:rFonts w:hint="eastAsia" w:ascii="宋体" w:hAnsi="宋体" w:cs="宋体"/>
                <w:szCs w:val="21"/>
              </w:rPr>
              <w:t>超透玻璃膜高清UV图案：符合场地装饰的国际化风格：须有设计图样；</w:t>
            </w:r>
          </w:p>
        </w:tc>
        <w:tc>
          <w:tcPr>
            <w:tcW w:w="840" w:type="dxa"/>
            <w:vAlign w:val="center"/>
          </w:tcPr>
          <w:p>
            <w:pPr>
              <w:spacing w:line="360" w:lineRule="auto"/>
              <w:jc w:val="center"/>
              <w:rPr>
                <w:rFonts w:ascii="宋体" w:hAnsi="宋体" w:cs="宋体"/>
                <w:szCs w:val="21"/>
              </w:rPr>
            </w:pPr>
            <w:r>
              <w:rPr>
                <w:rFonts w:hint="eastAsia" w:ascii="宋体" w:hAnsi="宋体" w:cs="宋体"/>
                <w:szCs w:val="21"/>
              </w:rPr>
              <w:t>150.4</w:t>
            </w:r>
          </w:p>
        </w:tc>
        <w:tc>
          <w:tcPr>
            <w:tcW w:w="469" w:type="dxa"/>
            <w:vAlign w:val="center"/>
          </w:tcPr>
          <w:p>
            <w:pPr>
              <w:spacing w:line="360" w:lineRule="auto"/>
              <w:jc w:val="center"/>
              <w:rPr>
                <w:rFonts w:ascii="宋体" w:hAnsi="宋体" w:cs="宋体"/>
                <w:szCs w:val="21"/>
              </w:rPr>
            </w:pPr>
            <w:r>
              <w:rPr>
                <w:rFonts w:hint="eastAsia" w:ascii="宋体" w:hAnsi="宋体" w:cs="宋体"/>
                <w:szCs w:val="21"/>
              </w:rPr>
              <w:t>㎡</w:t>
            </w:r>
          </w:p>
        </w:tc>
        <w:tc>
          <w:tcPr>
            <w:tcW w:w="41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387" w:type="dxa"/>
            <w:vAlign w:val="center"/>
          </w:tcPr>
          <w:p>
            <w:pPr>
              <w:spacing w:line="360" w:lineRule="auto"/>
              <w:jc w:val="center"/>
              <w:rPr>
                <w:rFonts w:ascii="宋体" w:hAnsi="宋体" w:cs="宋体"/>
                <w:szCs w:val="21"/>
              </w:rPr>
            </w:pPr>
            <w:r>
              <w:rPr>
                <w:rFonts w:hint="eastAsia" w:ascii="宋体" w:hAnsi="宋体" w:cs="宋体"/>
                <w:szCs w:val="21"/>
              </w:rPr>
              <w:t>墙面文化展示(洗手间对面墙面)</w:t>
            </w:r>
          </w:p>
        </w:tc>
        <w:tc>
          <w:tcPr>
            <w:tcW w:w="5542" w:type="dxa"/>
            <w:vAlign w:val="center"/>
          </w:tcPr>
          <w:p>
            <w:pPr>
              <w:spacing w:line="360" w:lineRule="auto"/>
              <w:rPr>
                <w:rFonts w:ascii="宋体" w:hAnsi="宋体" w:cs="宋体"/>
                <w:szCs w:val="21"/>
              </w:rPr>
            </w:pPr>
            <w:r>
              <w:rPr>
                <w:rFonts w:hint="eastAsia" w:ascii="宋体" w:hAnsi="宋体" w:cs="宋体"/>
                <w:szCs w:val="21"/>
              </w:rPr>
              <w:t>仿真植物装饰墙面，多边形产品展示柜挂墙，内置LED筒灯。墙面总面积13.2㎡</w:t>
            </w:r>
          </w:p>
        </w:tc>
        <w:tc>
          <w:tcPr>
            <w:tcW w:w="840" w:type="dxa"/>
            <w:vAlign w:val="center"/>
          </w:tcPr>
          <w:p>
            <w:pPr>
              <w:spacing w:line="360" w:lineRule="auto"/>
              <w:jc w:val="center"/>
              <w:rPr>
                <w:rFonts w:ascii="宋体" w:hAnsi="宋体" w:cs="宋体"/>
                <w:szCs w:val="21"/>
              </w:rPr>
            </w:pPr>
            <w:r>
              <w:rPr>
                <w:rFonts w:hint="eastAsia" w:ascii="宋体" w:hAnsi="宋体" w:cs="宋体"/>
                <w:szCs w:val="21"/>
              </w:rPr>
              <w:t>1</w:t>
            </w:r>
          </w:p>
        </w:tc>
        <w:tc>
          <w:tcPr>
            <w:tcW w:w="469" w:type="dxa"/>
            <w:vAlign w:val="center"/>
          </w:tcPr>
          <w:p>
            <w:pPr>
              <w:spacing w:line="360" w:lineRule="auto"/>
              <w:jc w:val="center"/>
              <w:rPr>
                <w:rFonts w:ascii="宋体" w:hAnsi="宋体" w:cs="宋体"/>
                <w:szCs w:val="21"/>
              </w:rPr>
            </w:pPr>
            <w:r>
              <w:rPr>
                <w:rFonts w:hint="eastAsia" w:ascii="宋体" w:hAnsi="宋体" w:cs="宋体"/>
                <w:szCs w:val="21"/>
              </w:rPr>
              <w:t>项</w:t>
            </w:r>
          </w:p>
        </w:tc>
        <w:tc>
          <w:tcPr>
            <w:tcW w:w="41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387" w:type="dxa"/>
            <w:vAlign w:val="center"/>
          </w:tcPr>
          <w:p>
            <w:pPr>
              <w:spacing w:line="360" w:lineRule="auto"/>
              <w:jc w:val="center"/>
              <w:rPr>
                <w:rFonts w:ascii="宋体" w:hAnsi="宋体" w:cs="宋体"/>
                <w:szCs w:val="21"/>
              </w:rPr>
            </w:pPr>
            <w:r>
              <w:rPr>
                <w:rFonts w:hint="eastAsia" w:ascii="宋体" w:hAnsi="宋体" w:cs="宋体"/>
                <w:szCs w:val="21"/>
              </w:rPr>
              <w:t>U形槽书架</w:t>
            </w:r>
          </w:p>
        </w:tc>
        <w:tc>
          <w:tcPr>
            <w:tcW w:w="5542" w:type="dxa"/>
            <w:vAlign w:val="center"/>
          </w:tcPr>
          <w:p>
            <w:pPr>
              <w:spacing w:line="360" w:lineRule="auto"/>
              <w:rPr>
                <w:rFonts w:ascii="宋体" w:hAnsi="宋体" w:cs="宋体"/>
                <w:szCs w:val="21"/>
              </w:rPr>
            </w:pPr>
            <w:r>
              <w:rPr>
                <w:rFonts w:hint="eastAsia" w:ascii="宋体" w:hAnsi="宋体" w:cs="宋体"/>
                <w:szCs w:val="21"/>
              </w:rPr>
              <w:t>10mm亚克力热弯口袋，一组三个，单口袋规格： 270m*200m* 150mm；符合场地装饰的国际化风格：须有设计图样；</w:t>
            </w:r>
          </w:p>
        </w:tc>
        <w:tc>
          <w:tcPr>
            <w:tcW w:w="840" w:type="dxa"/>
            <w:vAlign w:val="center"/>
          </w:tcPr>
          <w:p>
            <w:pPr>
              <w:spacing w:line="360" w:lineRule="auto"/>
              <w:jc w:val="center"/>
              <w:rPr>
                <w:rFonts w:ascii="宋体" w:hAnsi="宋体" w:cs="宋体"/>
                <w:szCs w:val="21"/>
              </w:rPr>
            </w:pPr>
            <w:r>
              <w:rPr>
                <w:rFonts w:hint="eastAsia" w:ascii="宋体" w:hAnsi="宋体" w:cs="宋体"/>
                <w:szCs w:val="21"/>
              </w:rPr>
              <w:t>8</w:t>
            </w:r>
          </w:p>
        </w:tc>
        <w:tc>
          <w:tcPr>
            <w:tcW w:w="469" w:type="dxa"/>
            <w:vAlign w:val="center"/>
          </w:tcPr>
          <w:p>
            <w:pPr>
              <w:spacing w:line="360" w:lineRule="auto"/>
              <w:jc w:val="center"/>
              <w:rPr>
                <w:rFonts w:ascii="宋体" w:hAnsi="宋体" w:cs="宋体"/>
                <w:szCs w:val="21"/>
              </w:rPr>
            </w:pPr>
            <w:r>
              <w:rPr>
                <w:rFonts w:hint="eastAsia" w:ascii="宋体" w:hAnsi="宋体" w:cs="宋体"/>
                <w:szCs w:val="21"/>
              </w:rPr>
              <w:t>组</w:t>
            </w:r>
          </w:p>
        </w:tc>
        <w:tc>
          <w:tcPr>
            <w:tcW w:w="41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ascii="宋体" w:hAnsi="宋体" w:cs="宋体"/>
                <w:szCs w:val="21"/>
              </w:rPr>
            </w:pPr>
            <w:r>
              <w:rPr>
                <w:rFonts w:hint="eastAsia" w:ascii="宋体" w:hAnsi="宋体" w:cs="宋体"/>
                <w:szCs w:val="21"/>
              </w:rPr>
              <w:t>4</w:t>
            </w:r>
          </w:p>
        </w:tc>
        <w:tc>
          <w:tcPr>
            <w:tcW w:w="1387" w:type="dxa"/>
            <w:vAlign w:val="center"/>
          </w:tcPr>
          <w:p>
            <w:pPr>
              <w:spacing w:line="360" w:lineRule="auto"/>
              <w:jc w:val="center"/>
              <w:rPr>
                <w:rFonts w:ascii="宋体" w:hAnsi="宋体" w:cs="宋体"/>
                <w:szCs w:val="21"/>
              </w:rPr>
            </w:pPr>
            <w:r>
              <w:rPr>
                <w:rFonts w:hint="eastAsia" w:ascii="宋体" w:hAnsi="宋体" w:cs="宋体"/>
                <w:szCs w:val="21"/>
              </w:rPr>
              <w:t>玻璃房灯光亮化</w:t>
            </w:r>
          </w:p>
        </w:tc>
        <w:tc>
          <w:tcPr>
            <w:tcW w:w="5542" w:type="dxa"/>
            <w:vAlign w:val="center"/>
          </w:tcPr>
          <w:p>
            <w:pPr>
              <w:spacing w:line="360" w:lineRule="auto"/>
              <w:rPr>
                <w:rFonts w:ascii="宋体" w:hAnsi="宋体" w:cs="宋体"/>
                <w:szCs w:val="21"/>
              </w:rPr>
            </w:pPr>
            <w:r>
              <w:rPr>
                <w:rFonts w:hint="eastAsia" w:ascii="宋体" w:hAnsi="宋体" w:cs="宋体"/>
                <w:szCs w:val="21"/>
              </w:rPr>
              <w:t>霓虹字、电缆铺设；符合场地装饰的国际</w:t>
            </w:r>
          </w:p>
          <w:p>
            <w:pPr>
              <w:spacing w:line="360" w:lineRule="auto"/>
              <w:rPr>
                <w:rFonts w:ascii="宋体" w:hAnsi="宋体" w:cs="宋体"/>
                <w:szCs w:val="21"/>
              </w:rPr>
            </w:pPr>
            <w:r>
              <w:rPr>
                <w:rFonts w:hint="eastAsia" w:ascii="宋体" w:hAnsi="宋体" w:cs="宋体"/>
                <w:szCs w:val="21"/>
              </w:rPr>
              <w:t>化风格：须有设计图样：</w:t>
            </w:r>
          </w:p>
        </w:tc>
        <w:tc>
          <w:tcPr>
            <w:tcW w:w="840" w:type="dxa"/>
            <w:vAlign w:val="center"/>
          </w:tcPr>
          <w:p>
            <w:pPr>
              <w:spacing w:line="360" w:lineRule="auto"/>
              <w:jc w:val="center"/>
              <w:rPr>
                <w:rFonts w:ascii="宋体" w:hAnsi="宋体" w:cs="宋体"/>
                <w:szCs w:val="21"/>
              </w:rPr>
            </w:pPr>
            <w:r>
              <w:rPr>
                <w:rFonts w:hint="eastAsia" w:ascii="宋体" w:hAnsi="宋体" w:cs="宋体"/>
                <w:szCs w:val="21"/>
              </w:rPr>
              <w:t>1</w:t>
            </w:r>
          </w:p>
        </w:tc>
        <w:tc>
          <w:tcPr>
            <w:tcW w:w="469" w:type="dxa"/>
            <w:vAlign w:val="center"/>
          </w:tcPr>
          <w:p>
            <w:pPr>
              <w:spacing w:line="360" w:lineRule="auto"/>
              <w:jc w:val="center"/>
              <w:rPr>
                <w:rFonts w:ascii="宋体" w:hAnsi="宋体" w:cs="宋体"/>
                <w:szCs w:val="21"/>
              </w:rPr>
            </w:pPr>
            <w:r>
              <w:rPr>
                <w:rFonts w:hint="eastAsia" w:ascii="宋体" w:hAnsi="宋体" w:cs="宋体"/>
                <w:szCs w:val="21"/>
              </w:rPr>
              <w:t>项</w:t>
            </w:r>
          </w:p>
        </w:tc>
        <w:tc>
          <w:tcPr>
            <w:tcW w:w="41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ascii="宋体" w:hAnsi="宋体" w:cs="宋体"/>
                <w:szCs w:val="21"/>
              </w:rPr>
            </w:pPr>
            <w:r>
              <w:rPr>
                <w:rFonts w:hint="eastAsia" w:ascii="宋体" w:hAnsi="宋体" w:cs="宋体"/>
                <w:szCs w:val="21"/>
              </w:rPr>
              <w:t>5</w:t>
            </w:r>
          </w:p>
        </w:tc>
        <w:tc>
          <w:tcPr>
            <w:tcW w:w="1387" w:type="dxa"/>
            <w:vAlign w:val="center"/>
          </w:tcPr>
          <w:p>
            <w:pPr>
              <w:spacing w:line="360" w:lineRule="auto"/>
              <w:jc w:val="center"/>
              <w:rPr>
                <w:rFonts w:ascii="宋体" w:hAnsi="宋体" w:cs="宋体"/>
                <w:szCs w:val="21"/>
              </w:rPr>
            </w:pPr>
            <w:r>
              <w:rPr>
                <w:rFonts w:hint="eastAsia" w:ascii="宋体" w:hAnsi="宋体" w:cs="宋体"/>
                <w:szCs w:val="21"/>
              </w:rPr>
              <w:t>梯间文化</w:t>
            </w:r>
          </w:p>
        </w:tc>
        <w:tc>
          <w:tcPr>
            <w:tcW w:w="5542" w:type="dxa"/>
            <w:vAlign w:val="center"/>
          </w:tcPr>
          <w:p>
            <w:pPr>
              <w:spacing w:line="360" w:lineRule="auto"/>
              <w:rPr>
                <w:rFonts w:ascii="宋体" w:hAnsi="宋体" w:cs="宋体"/>
                <w:szCs w:val="21"/>
              </w:rPr>
            </w:pPr>
            <w:r>
              <w:rPr>
                <w:rFonts w:hint="eastAsia" w:ascii="宋体" w:hAnsi="宋体" w:cs="宋体"/>
                <w:szCs w:val="21"/>
              </w:rPr>
              <w:t>内嵌文字，四周灯光，规格： 0. 8㎡；符合场地装饰的国际化风格；须有设计图样：</w:t>
            </w:r>
          </w:p>
        </w:tc>
        <w:tc>
          <w:tcPr>
            <w:tcW w:w="840" w:type="dxa"/>
            <w:vAlign w:val="center"/>
          </w:tcPr>
          <w:p>
            <w:pPr>
              <w:spacing w:line="360" w:lineRule="auto"/>
              <w:jc w:val="center"/>
              <w:rPr>
                <w:rFonts w:ascii="宋体" w:hAnsi="宋体" w:cs="宋体"/>
                <w:szCs w:val="21"/>
              </w:rPr>
            </w:pPr>
            <w:r>
              <w:rPr>
                <w:rFonts w:hint="eastAsia" w:ascii="宋体" w:hAnsi="宋体" w:cs="宋体"/>
                <w:szCs w:val="21"/>
              </w:rPr>
              <w:t>1</w:t>
            </w:r>
          </w:p>
        </w:tc>
        <w:tc>
          <w:tcPr>
            <w:tcW w:w="469" w:type="dxa"/>
            <w:vAlign w:val="center"/>
          </w:tcPr>
          <w:p>
            <w:pPr>
              <w:spacing w:line="360" w:lineRule="auto"/>
              <w:jc w:val="center"/>
              <w:rPr>
                <w:rFonts w:ascii="宋体" w:hAnsi="宋体" w:cs="宋体"/>
                <w:szCs w:val="21"/>
              </w:rPr>
            </w:pPr>
            <w:r>
              <w:rPr>
                <w:rFonts w:hint="eastAsia" w:ascii="宋体" w:hAnsi="宋体" w:cs="宋体"/>
                <w:szCs w:val="21"/>
              </w:rPr>
              <w:t>项</w:t>
            </w:r>
          </w:p>
        </w:tc>
        <w:tc>
          <w:tcPr>
            <w:tcW w:w="41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ascii="宋体" w:hAnsi="宋体" w:cs="宋体"/>
                <w:szCs w:val="21"/>
              </w:rPr>
            </w:pPr>
            <w:r>
              <w:rPr>
                <w:rFonts w:hint="eastAsia" w:ascii="宋体" w:hAnsi="宋体" w:cs="宋体"/>
                <w:szCs w:val="21"/>
              </w:rPr>
              <w:t>6</w:t>
            </w:r>
          </w:p>
        </w:tc>
        <w:tc>
          <w:tcPr>
            <w:tcW w:w="1387" w:type="dxa"/>
            <w:vAlign w:val="center"/>
          </w:tcPr>
          <w:p>
            <w:pPr>
              <w:spacing w:line="360" w:lineRule="auto"/>
              <w:jc w:val="center"/>
              <w:rPr>
                <w:rFonts w:ascii="宋体" w:hAnsi="宋体" w:cs="宋体"/>
                <w:szCs w:val="21"/>
              </w:rPr>
            </w:pPr>
            <w:r>
              <w:rPr>
                <w:rFonts w:hint="eastAsia" w:ascii="宋体" w:hAnsi="宋体" w:cs="宋体"/>
                <w:szCs w:val="21"/>
              </w:rPr>
              <w:t>双创介绍及入驻企业展示</w:t>
            </w:r>
          </w:p>
        </w:tc>
        <w:tc>
          <w:tcPr>
            <w:tcW w:w="5542" w:type="dxa"/>
            <w:vAlign w:val="center"/>
          </w:tcPr>
          <w:p>
            <w:pPr>
              <w:spacing w:line="360" w:lineRule="auto"/>
              <w:rPr>
                <w:rFonts w:ascii="宋体" w:hAnsi="宋体" w:cs="宋体"/>
                <w:szCs w:val="21"/>
              </w:rPr>
            </w:pPr>
            <w:r>
              <w:rPr>
                <w:rFonts w:hint="eastAsia" w:ascii="宋体" w:hAnsi="宋体" w:cs="宋体"/>
                <w:szCs w:val="21"/>
              </w:rPr>
              <w:t xml:space="preserve">10-15mmPVC雕刻装饰造型，面汽车烤漆三遍，文字图案UV处理，有背光：符合场地装饰的国际化风格：须有设计图样： </w:t>
            </w:r>
          </w:p>
        </w:tc>
        <w:tc>
          <w:tcPr>
            <w:tcW w:w="840" w:type="dxa"/>
            <w:vAlign w:val="center"/>
          </w:tcPr>
          <w:p>
            <w:pPr>
              <w:spacing w:line="360" w:lineRule="auto"/>
              <w:jc w:val="center"/>
              <w:rPr>
                <w:rFonts w:ascii="宋体" w:hAnsi="宋体" w:cs="宋体"/>
                <w:szCs w:val="21"/>
              </w:rPr>
            </w:pPr>
            <w:r>
              <w:rPr>
                <w:rFonts w:hint="eastAsia" w:ascii="宋体" w:hAnsi="宋体" w:cs="宋体"/>
                <w:szCs w:val="21"/>
              </w:rPr>
              <w:t>1</w:t>
            </w:r>
          </w:p>
        </w:tc>
        <w:tc>
          <w:tcPr>
            <w:tcW w:w="469" w:type="dxa"/>
            <w:vAlign w:val="center"/>
          </w:tcPr>
          <w:p>
            <w:pPr>
              <w:spacing w:line="360" w:lineRule="auto"/>
              <w:jc w:val="center"/>
              <w:rPr>
                <w:rFonts w:ascii="宋体" w:hAnsi="宋体" w:cs="宋体"/>
                <w:szCs w:val="21"/>
              </w:rPr>
            </w:pPr>
            <w:r>
              <w:rPr>
                <w:rFonts w:hint="eastAsia" w:ascii="宋体" w:hAnsi="宋体" w:cs="宋体"/>
                <w:szCs w:val="21"/>
              </w:rPr>
              <w:t>项</w:t>
            </w:r>
          </w:p>
        </w:tc>
        <w:tc>
          <w:tcPr>
            <w:tcW w:w="41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ascii="宋体" w:hAnsi="宋体" w:cs="宋体"/>
                <w:szCs w:val="21"/>
              </w:rPr>
            </w:pPr>
            <w:r>
              <w:rPr>
                <w:rFonts w:hint="eastAsia" w:ascii="宋体" w:hAnsi="宋体" w:cs="宋体"/>
                <w:szCs w:val="21"/>
              </w:rPr>
              <w:t>7</w:t>
            </w:r>
          </w:p>
        </w:tc>
        <w:tc>
          <w:tcPr>
            <w:tcW w:w="1387" w:type="dxa"/>
            <w:vAlign w:val="center"/>
          </w:tcPr>
          <w:p>
            <w:pPr>
              <w:spacing w:line="360" w:lineRule="auto"/>
              <w:jc w:val="center"/>
              <w:rPr>
                <w:rFonts w:ascii="宋体" w:hAnsi="宋体" w:cs="宋体"/>
                <w:szCs w:val="21"/>
              </w:rPr>
            </w:pPr>
            <w:r>
              <w:rPr>
                <w:rFonts w:hint="eastAsia" w:ascii="宋体" w:hAnsi="宋体" w:cs="宋体"/>
                <w:szCs w:val="21"/>
              </w:rPr>
              <w:t>双创理念墙</w:t>
            </w:r>
          </w:p>
        </w:tc>
        <w:tc>
          <w:tcPr>
            <w:tcW w:w="5542" w:type="dxa"/>
            <w:vAlign w:val="center"/>
          </w:tcPr>
          <w:p>
            <w:pPr>
              <w:spacing w:line="360" w:lineRule="auto"/>
              <w:rPr>
                <w:rFonts w:ascii="宋体" w:hAnsi="宋体" w:cs="宋体"/>
                <w:szCs w:val="21"/>
              </w:rPr>
            </w:pPr>
            <w:r>
              <w:rPr>
                <w:rFonts w:hint="eastAsia" w:ascii="宋体" w:hAnsi="宋体" w:cs="宋体"/>
                <w:szCs w:val="21"/>
              </w:rPr>
              <w:t>304#1.2不锈钢字；符合场地装饰的国际化风格；须有设计图样；</w:t>
            </w:r>
          </w:p>
        </w:tc>
        <w:tc>
          <w:tcPr>
            <w:tcW w:w="840" w:type="dxa"/>
            <w:vAlign w:val="center"/>
          </w:tcPr>
          <w:p>
            <w:pPr>
              <w:spacing w:line="360" w:lineRule="auto"/>
              <w:jc w:val="center"/>
              <w:rPr>
                <w:rFonts w:ascii="宋体" w:hAnsi="宋体" w:cs="宋体"/>
                <w:szCs w:val="21"/>
              </w:rPr>
            </w:pPr>
            <w:r>
              <w:rPr>
                <w:rFonts w:hint="eastAsia" w:ascii="宋体" w:hAnsi="宋体" w:cs="宋体"/>
                <w:szCs w:val="21"/>
              </w:rPr>
              <w:t>1</w:t>
            </w:r>
          </w:p>
        </w:tc>
        <w:tc>
          <w:tcPr>
            <w:tcW w:w="469" w:type="dxa"/>
            <w:vAlign w:val="center"/>
          </w:tcPr>
          <w:p>
            <w:pPr>
              <w:spacing w:line="360" w:lineRule="auto"/>
              <w:jc w:val="center"/>
              <w:rPr>
                <w:rFonts w:ascii="宋体" w:hAnsi="宋体" w:cs="宋体"/>
                <w:szCs w:val="21"/>
              </w:rPr>
            </w:pPr>
            <w:r>
              <w:rPr>
                <w:rFonts w:hint="eastAsia" w:ascii="宋体" w:hAnsi="宋体" w:cs="宋体"/>
                <w:szCs w:val="21"/>
              </w:rPr>
              <w:t>项</w:t>
            </w:r>
          </w:p>
        </w:tc>
        <w:tc>
          <w:tcPr>
            <w:tcW w:w="41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ascii="宋体" w:hAnsi="宋体" w:cs="宋体"/>
                <w:szCs w:val="21"/>
              </w:rPr>
            </w:pPr>
            <w:r>
              <w:rPr>
                <w:rFonts w:hint="eastAsia" w:ascii="宋体" w:hAnsi="宋体" w:cs="宋体"/>
                <w:szCs w:val="21"/>
              </w:rPr>
              <w:t>8</w:t>
            </w:r>
          </w:p>
        </w:tc>
        <w:tc>
          <w:tcPr>
            <w:tcW w:w="1387" w:type="dxa"/>
            <w:vAlign w:val="center"/>
          </w:tcPr>
          <w:p>
            <w:pPr>
              <w:spacing w:line="360" w:lineRule="auto"/>
              <w:jc w:val="center"/>
              <w:rPr>
                <w:rFonts w:ascii="宋体" w:hAnsi="宋体" w:cs="宋体"/>
                <w:szCs w:val="21"/>
              </w:rPr>
            </w:pPr>
            <w:r>
              <w:rPr>
                <w:rFonts w:hint="eastAsia" w:ascii="宋体" w:hAnsi="宋体" w:cs="宋体"/>
                <w:szCs w:val="21"/>
              </w:rPr>
              <w:t>场景雾化展示系统</w:t>
            </w:r>
          </w:p>
        </w:tc>
        <w:tc>
          <w:tcPr>
            <w:tcW w:w="5542" w:type="dxa"/>
            <w:vAlign w:val="center"/>
          </w:tcPr>
          <w:p>
            <w:pPr>
              <w:spacing w:line="360" w:lineRule="auto"/>
              <w:rPr>
                <w:rFonts w:ascii="宋体" w:hAnsi="宋体" w:cs="宋体"/>
                <w:szCs w:val="21"/>
              </w:rPr>
            </w:pPr>
            <w:r>
              <w:rPr>
                <w:rFonts w:hint="eastAsia" w:ascii="宋体" w:hAnsi="宋体" w:cs="宋体"/>
                <w:szCs w:val="21"/>
              </w:rPr>
              <w:t>高压雾化喷头，水管，高压雾化装置，水管100m，雾化喷头100个</w:t>
            </w:r>
          </w:p>
        </w:tc>
        <w:tc>
          <w:tcPr>
            <w:tcW w:w="840" w:type="dxa"/>
            <w:vAlign w:val="center"/>
          </w:tcPr>
          <w:p>
            <w:pPr>
              <w:spacing w:line="360" w:lineRule="auto"/>
              <w:jc w:val="center"/>
              <w:rPr>
                <w:rFonts w:ascii="宋体" w:hAnsi="宋体" w:cs="宋体"/>
                <w:szCs w:val="21"/>
              </w:rPr>
            </w:pPr>
            <w:r>
              <w:rPr>
                <w:rFonts w:hint="eastAsia" w:ascii="宋体" w:hAnsi="宋体" w:cs="宋体"/>
                <w:szCs w:val="21"/>
              </w:rPr>
              <w:t>1</w:t>
            </w:r>
          </w:p>
        </w:tc>
        <w:tc>
          <w:tcPr>
            <w:tcW w:w="469" w:type="dxa"/>
            <w:vAlign w:val="center"/>
          </w:tcPr>
          <w:p>
            <w:pPr>
              <w:spacing w:line="360" w:lineRule="auto"/>
              <w:jc w:val="center"/>
              <w:rPr>
                <w:rFonts w:ascii="宋体" w:hAnsi="宋体" w:cs="宋体"/>
                <w:szCs w:val="21"/>
              </w:rPr>
            </w:pPr>
            <w:r>
              <w:rPr>
                <w:rFonts w:hint="eastAsia" w:ascii="宋体" w:hAnsi="宋体" w:cs="宋体"/>
                <w:szCs w:val="21"/>
              </w:rPr>
              <w:t>项</w:t>
            </w:r>
          </w:p>
        </w:tc>
        <w:tc>
          <w:tcPr>
            <w:tcW w:w="41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ascii="宋体" w:hAnsi="宋体" w:cs="宋体"/>
                <w:b/>
                <w:bCs/>
                <w:szCs w:val="21"/>
              </w:rPr>
            </w:pPr>
            <w:r>
              <w:rPr>
                <w:rFonts w:hint="eastAsia" w:ascii="宋体" w:hAnsi="宋体" w:cs="宋体"/>
                <w:b/>
                <w:bCs/>
                <w:szCs w:val="21"/>
              </w:rPr>
              <w:t>三、</w:t>
            </w:r>
          </w:p>
        </w:tc>
        <w:tc>
          <w:tcPr>
            <w:tcW w:w="8650" w:type="dxa"/>
            <w:gridSpan w:val="5"/>
            <w:vAlign w:val="center"/>
          </w:tcPr>
          <w:p>
            <w:pPr>
              <w:spacing w:line="360" w:lineRule="auto"/>
              <w:rPr>
                <w:rFonts w:ascii="宋体" w:hAnsi="宋体" w:cs="宋体"/>
                <w:b/>
                <w:bCs/>
                <w:szCs w:val="21"/>
              </w:rPr>
            </w:pPr>
            <w:r>
              <w:rPr>
                <w:rFonts w:hint="eastAsia" w:ascii="宋体" w:hAnsi="宋体" w:cs="宋体"/>
                <w:b/>
                <w:bCs/>
                <w:szCs w:val="21"/>
              </w:rPr>
              <w:t>室内窗帘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387" w:type="dxa"/>
            <w:vAlign w:val="center"/>
          </w:tcPr>
          <w:p>
            <w:pPr>
              <w:spacing w:line="360" w:lineRule="auto"/>
              <w:jc w:val="center"/>
              <w:rPr>
                <w:rFonts w:ascii="宋体" w:hAnsi="宋体" w:cs="宋体"/>
                <w:szCs w:val="21"/>
              </w:rPr>
            </w:pPr>
            <w:r>
              <w:rPr>
                <w:rFonts w:hint="eastAsia" w:ascii="宋体" w:hAnsi="宋体" w:cs="宋体"/>
                <w:szCs w:val="21"/>
              </w:rPr>
              <w:t>百叶窗帘</w:t>
            </w:r>
          </w:p>
        </w:tc>
        <w:tc>
          <w:tcPr>
            <w:tcW w:w="5542" w:type="dxa"/>
            <w:vAlign w:val="center"/>
          </w:tcPr>
          <w:p>
            <w:pPr>
              <w:spacing w:line="360" w:lineRule="auto"/>
              <w:rPr>
                <w:rFonts w:ascii="宋体" w:hAnsi="宋体" w:cs="宋体"/>
                <w:szCs w:val="21"/>
              </w:rPr>
            </w:pPr>
            <w:r>
              <w:rPr>
                <w:rFonts w:hint="eastAsia" w:ascii="宋体" w:hAnsi="宋体" w:cs="宋体"/>
                <w:szCs w:val="21"/>
              </w:rPr>
              <w:t>百叶窗，金属材质；符合场地装饰的国际化风格：</w:t>
            </w:r>
          </w:p>
        </w:tc>
        <w:tc>
          <w:tcPr>
            <w:tcW w:w="840" w:type="dxa"/>
            <w:vAlign w:val="center"/>
          </w:tcPr>
          <w:p>
            <w:pPr>
              <w:spacing w:line="360" w:lineRule="auto"/>
              <w:jc w:val="center"/>
              <w:rPr>
                <w:rFonts w:ascii="宋体" w:hAnsi="宋体" w:cs="宋体"/>
                <w:szCs w:val="21"/>
              </w:rPr>
            </w:pPr>
            <w:r>
              <w:rPr>
                <w:rFonts w:hint="eastAsia" w:ascii="宋体" w:hAnsi="宋体" w:cs="宋体"/>
                <w:szCs w:val="21"/>
              </w:rPr>
              <w:t>120</w:t>
            </w:r>
          </w:p>
        </w:tc>
        <w:tc>
          <w:tcPr>
            <w:tcW w:w="469" w:type="dxa"/>
            <w:vAlign w:val="center"/>
          </w:tcPr>
          <w:p>
            <w:pPr>
              <w:spacing w:line="360" w:lineRule="auto"/>
              <w:jc w:val="center"/>
              <w:rPr>
                <w:rFonts w:ascii="宋体" w:hAnsi="宋体" w:cs="宋体"/>
                <w:szCs w:val="21"/>
              </w:rPr>
            </w:pPr>
            <w:r>
              <w:rPr>
                <w:rFonts w:hint="eastAsia" w:ascii="宋体" w:hAnsi="宋体" w:cs="宋体"/>
                <w:szCs w:val="21"/>
              </w:rPr>
              <w:t>㎡</w:t>
            </w:r>
          </w:p>
        </w:tc>
        <w:tc>
          <w:tcPr>
            <w:tcW w:w="41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387" w:type="dxa"/>
            <w:vAlign w:val="center"/>
          </w:tcPr>
          <w:p>
            <w:pPr>
              <w:spacing w:line="360" w:lineRule="auto"/>
              <w:jc w:val="center"/>
              <w:rPr>
                <w:rFonts w:ascii="宋体" w:hAnsi="宋体" w:cs="宋体"/>
                <w:szCs w:val="21"/>
              </w:rPr>
            </w:pPr>
            <w:r>
              <w:rPr>
                <w:rFonts w:hint="eastAsia" w:ascii="宋体" w:hAnsi="宋体" w:cs="宋体"/>
                <w:szCs w:val="21"/>
              </w:rPr>
              <w:t>布艺窗帘窗帘</w:t>
            </w:r>
          </w:p>
        </w:tc>
        <w:tc>
          <w:tcPr>
            <w:tcW w:w="5542" w:type="dxa"/>
            <w:vAlign w:val="center"/>
          </w:tcPr>
          <w:p>
            <w:pPr>
              <w:spacing w:line="360" w:lineRule="auto"/>
              <w:rPr>
                <w:rFonts w:ascii="宋体" w:hAnsi="宋体" w:cs="宋体"/>
                <w:szCs w:val="21"/>
              </w:rPr>
            </w:pPr>
            <w:r>
              <w:rPr>
                <w:rFonts w:hint="eastAsia" w:ascii="宋体" w:hAnsi="宋体" w:cs="宋体"/>
                <w:szCs w:val="21"/>
              </w:rPr>
              <w:t>布艺伸缩窗帘；具有国际化风格：符合场地装饰的国际化风格；</w:t>
            </w:r>
          </w:p>
        </w:tc>
        <w:tc>
          <w:tcPr>
            <w:tcW w:w="840" w:type="dxa"/>
            <w:vAlign w:val="center"/>
          </w:tcPr>
          <w:p>
            <w:pPr>
              <w:spacing w:line="360" w:lineRule="auto"/>
              <w:jc w:val="center"/>
              <w:rPr>
                <w:rFonts w:ascii="宋体" w:hAnsi="宋体" w:cs="宋体"/>
                <w:szCs w:val="21"/>
              </w:rPr>
            </w:pPr>
            <w:r>
              <w:rPr>
                <w:rFonts w:hint="eastAsia" w:ascii="宋体" w:hAnsi="宋体" w:cs="宋体"/>
                <w:szCs w:val="21"/>
              </w:rPr>
              <w:t>8</w:t>
            </w:r>
          </w:p>
        </w:tc>
        <w:tc>
          <w:tcPr>
            <w:tcW w:w="469" w:type="dxa"/>
            <w:vAlign w:val="center"/>
          </w:tcPr>
          <w:p>
            <w:pPr>
              <w:spacing w:line="360" w:lineRule="auto"/>
              <w:jc w:val="center"/>
              <w:rPr>
                <w:rFonts w:ascii="宋体" w:hAnsi="宋体" w:cs="宋体"/>
                <w:szCs w:val="21"/>
              </w:rPr>
            </w:pPr>
            <w:r>
              <w:rPr>
                <w:rFonts w:hint="eastAsia" w:ascii="宋体" w:hAnsi="宋体" w:cs="宋体"/>
                <w:szCs w:val="21"/>
              </w:rPr>
              <w:t>㎡</w:t>
            </w:r>
          </w:p>
        </w:tc>
        <w:tc>
          <w:tcPr>
            <w:tcW w:w="412" w:type="dxa"/>
          </w:tcPr>
          <w:p>
            <w:pPr>
              <w:spacing w:line="360" w:lineRule="auto"/>
              <w:rPr>
                <w:rFonts w:ascii="宋体" w:hAnsi="宋体" w:cs="宋体"/>
                <w:szCs w:val="21"/>
              </w:rPr>
            </w:pPr>
          </w:p>
        </w:tc>
      </w:tr>
    </w:tbl>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以上清单需求表中如出现涉及固定规格型号、尺寸及重量的均为参考，允许略有误差，但投标人报价的产品必须符合采购人使用功能及质量要求，并提供相应技术参数证明其符合采购需求或优于采购需求，否则视其为不满足采购需求。如涉及固定厂家品牌也均为参考或推荐，并要求其唯一性，投标人可提供同等质量标准或更高标准产品，并提供相应技术参数证明其符合采购需求或优于采购需求，否则视其为不满足采购需求。</w:t>
      </w:r>
    </w:p>
    <w:p>
      <w:r>
        <w:rPr>
          <w:rFonts w:hint="eastAsia" w:asciiTheme="minorEastAsia" w:hAnsiTheme="minorEastAsia" w:eastAsiaTheme="minorEastAsia" w:cstheme="minorEastAsia"/>
          <w:szCs w:val="21"/>
        </w:rPr>
        <w:br w:type="page"/>
      </w:r>
    </w:p>
    <w:p>
      <w:pPr>
        <w:autoSpaceDE w:val="0"/>
        <w:autoSpaceDN w:val="0"/>
        <w:adjustRightInd w:val="0"/>
        <w:spacing w:line="360" w:lineRule="auto"/>
        <w:outlineLvl w:val="1"/>
        <w:rPr>
          <w:rFonts w:asciiTheme="minorEastAsia" w:hAnsiTheme="minorEastAsia" w:eastAsiaTheme="minorEastAsia" w:cstheme="minorEastAsia"/>
          <w:b/>
          <w:bCs/>
          <w:sz w:val="24"/>
        </w:rPr>
      </w:pPr>
      <w:bookmarkStart w:id="105" w:name="_Toc15828"/>
      <w:r>
        <w:rPr>
          <w:rFonts w:hint="eastAsia" w:asciiTheme="minorEastAsia" w:hAnsiTheme="minorEastAsia" w:eastAsiaTheme="minorEastAsia" w:cstheme="minorEastAsia"/>
          <w:b/>
          <w:bCs/>
          <w:sz w:val="24"/>
        </w:rPr>
        <w:t>二、商务需求</w:t>
      </w:r>
      <w:bookmarkEnd w:id="105"/>
    </w:p>
    <w:p>
      <w:pPr>
        <w:autoSpaceDE w:val="0"/>
        <w:autoSpaceDN w:val="0"/>
        <w:adjustRightInd w:val="0"/>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1、违约责任：</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成交供应商违约承担违约责任。所有成交产品均需按照磋商文件指标要求进行检查核对后方可进行报验，不满足磋商文件指标要求的产品，采购人有权不对其进行验收；同时采购人有权对成交供应商不满足要求的产品进行双倍罚款或取消合同。</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1.2若非采购人原因，成交供应商逾期交付安装的，成交供应商向采购人支付逾期交付安装违约金，逾期交付安装违约金为每天1000.00元人民币，但其最终累计金额不超过合同价款的10%。</w:t>
      </w:r>
    </w:p>
    <w:p>
      <w:pPr>
        <w:spacing w:line="360" w:lineRule="auto"/>
        <w:ind w:firstLine="420" w:firstLineChars="200"/>
        <w:rPr>
          <w:rFonts w:ascii="宋体" w:hAnsi="宋体" w:cs="宋体"/>
          <w:szCs w:val="21"/>
        </w:rPr>
      </w:pPr>
      <w:r>
        <w:rPr>
          <w:rFonts w:hint="eastAsia" w:asciiTheme="minorEastAsia" w:hAnsiTheme="minorEastAsia" w:eastAsiaTheme="minorEastAsia" w:cstheme="minorEastAsia"/>
          <w:szCs w:val="21"/>
        </w:rPr>
        <w:t>1.3因成交供应商原因产品质量达不到约定的质量标准，成交供应商应负责退换，使其达到合同约定的质量标准，并由成交供应商向采购人支付合同价款10%的违约金。</w:t>
      </w:r>
      <w:r>
        <w:rPr>
          <w:rFonts w:hint="eastAsia" w:asciiTheme="minorEastAsia" w:hAnsiTheme="minorEastAsia" w:eastAsiaTheme="minorEastAsia" w:cstheme="minorEastAsia"/>
          <w:b/>
          <w:bCs/>
          <w:color w:val="FF0000"/>
          <w:szCs w:val="21"/>
        </w:rPr>
        <w:br w:type="textWrapping"/>
      </w:r>
      <w:r>
        <w:rPr>
          <w:rFonts w:ascii="宋体" w:hAnsi="宋体" w:cs="宋体"/>
          <w:b/>
          <w:bCs/>
          <w:szCs w:val="21"/>
        </w:rPr>
        <w:t>2、产品质量要求：</w:t>
      </w:r>
      <w:r>
        <w:rPr>
          <w:rFonts w:ascii="宋体" w:hAnsi="宋体" w:cs="宋体"/>
          <w:b/>
          <w:bCs/>
          <w:szCs w:val="21"/>
        </w:rPr>
        <w:br w:type="textWrapping"/>
      </w:r>
      <w:r>
        <w:rPr>
          <w:rFonts w:hint="eastAsia" w:ascii="宋体" w:hAnsi="宋体" w:cs="宋体"/>
          <w:b/>
          <w:bCs/>
          <w:szCs w:val="21"/>
        </w:rPr>
        <w:t xml:space="preserve">    </w:t>
      </w:r>
      <w:r>
        <w:rPr>
          <w:rFonts w:ascii="宋体" w:hAnsi="宋体" w:cs="宋体"/>
          <w:szCs w:val="21"/>
        </w:rPr>
        <w:t>2.1项目的产品和安装必须完全满足中华人民共和国国家质量标准及现行规范要求，供应商应根据企业实际能力在响应文件中对项目质量予以承诺，中标后在合同中加以确认。 </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2.2所有</w:t>
      </w:r>
      <w:r>
        <w:rPr>
          <w:rFonts w:hint="eastAsia" w:ascii="宋体" w:hAnsi="宋体" w:cs="宋体"/>
          <w:szCs w:val="21"/>
        </w:rPr>
        <w:t>产品</w:t>
      </w:r>
      <w:r>
        <w:rPr>
          <w:rFonts w:ascii="宋体" w:hAnsi="宋体" w:cs="宋体"/>
          <w:szCs w:val="21"/>
        </w:rPr>
        <w:t>和配件均要求是经过实际运行验证、</w:t>
      </w:r>
      <w:r>
        <w:rPr>
          <w:rFonts w:hint="eastAsia" w:ascii="宋体" w:hAnsi="宋体" w:cs="宋体"/>
          <w:szCs w:val="21"/>
        </w:rPr>
        <w:t>安装</w:t>
      </w:r>
      <w:r>
        <w:rPr>
          <w:rFonts w:ascii="宋体" w:hAnsi="宋体" w:cs="宋体"/>
          <w:szCs w:val="21"/>
        </w:rPr>
        <w:t>稳定的全新产品。 </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2.3供应商在成交后，发生侵犯专利权的行为时，其侵权责任与采购人无关，应由供应商承担相应的责任，并不得影响采购人的利益。 </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2.4在空间、色彩、室内环境、装饰材料选择时，应符合设计要求，应当保持风格一致，符合其使用功能特点。</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2.5符合消防和环保要求，尤其在选材方面对放射性和甲醛含量的限制和控制，应当达到国家技术标准。</w:t>
      </w:r>
    </w:p>
    <w:p>
      <w:pPr>
        <w:spacing w:line="360" w:lineRule="auto"/>
        <w:ind w:firstLine="420" w:firstLineChars="200"/>
        <w:rPr>
          <w:rFonts w:ascii="宋体" w:hAnsi="宋体" w:cs="宋体"/>
          <w:szCs w:val="21"/>
        </w:rPr>
      </w:pPr>
      <w:r>
        <w:rPr>
          <w:rFonts w:hint="eastAsia" w:ascii="宋体" w:hAnsi="宋体" w:cs="宋体"/>
          <w:szCs w:val="21"/>
        </w:rPr>
        <w:t>2.6窗帘产品应符合国家标准：</w:t>
      </w:r>
    </w:p>
    <w:p>
      <w:pPr>
        <w:spacing w:line="360" w:lineRule="auto"/>
        <w:ind w:firstLine="420" w:firstLineChars="200"/>
        <w:rPr>
          <w:rFonts w:ascii="宋体" w:hAnsi="宋体" w:cs="宋体"/>
          <w:szCs w:val="21"/>
        </w:rPr>
      </w:pPr>
      <w:r>
        <w:rPr>
          <w:rFonts w:hint="eastAsia" w:ascii="宋体" w:hAnsi="宋体" w:cs="宋体"/>
          <w:szCs w:val="21"/>
        </w:rPr>
        <w:t>GB/T 11048- - -2008《纺织品生理舒适性稳态条件下热阻和湿租的测定》</w:t>
      </w:r>
    </w:p>
    <w:p>
      <w:pPr>
        <w:spacing w:line="360" w:lineRule="auto"/>
        <w:ind w:firstLine="420" w:firstLineChars="200"/>
        <w:rPr>
          <w:rFonts w:ascii="宋体" w:hAnsi="宋体" w:cs="宋体"/>
          <w:szCs w:val="21"/>
        </w:rPr>
      </w:pPr>
      <w:r>
        <w:rPr>
          <w:rFonts w:hint="eastAsia" w:ascii="宋体" w:hAnsi="宋体" w:cs="宋体"/>
          <w:szCs w:val="21"/>
        </w:rPr>
        <w:t>GB/T 18830- 2009 《纺织品防紫外线性能的评定》</w:t>
      </w:r>
    </w:p>
    <w:p>
      <w:pPr>
        <w:spacing w:line="360" w:lineRule="auto"/>
        <w:ind w:firstLine="420" w:firstLineChars="200"/>
        <w:rPr>
          <w:rFonts w:ascii="宋体" w:hAnsi="宋体" w:cs="宋体"/>
          <w:szCs w:val="21"/>
        </w:rPr>
      </w:pPr>
      <w:r>
        <w:rPr>
          <w:rFonts w:hint="eastAsia" w:ascii="宋体" w:hAnsi="宋体" w:cs="宋体"/>
          <w:szCs w:val="21"/>
        </w:rPr>
        <w:t>GB 20286- 2006 《公共场所阻燃制品及组件燃烧性能要求和标识》</w:t>
      </w:r>
    </w:p>
    <w:p>
      <w:pPr>
        <w:spacing w:line="360" w:lineRule="auto"/>
        <w:ind w:firstLine="420" w:firstLineChars="200"/>
        <w:rPr>
          <w:rFonts w:ascii="宋体" w:hAnsi="宋体" w:cs="宋体"/>
          <w:szCs w:val="21"/>
        </w:rPr>
      </w:pPr>
      <w:r>
        <w:rPr>
          <w:rFonts w:hint="eastAsia" w:ascii="宋体" w:hAnsi="宋体" w:cs="宋体"/>
          <w:szCs w:val="21"/>
        </w:rPr>
        <w:t>GB 18401- -2010 《国家纺织品基本安全技术规范》</w:t>
      </w:r>
    </w:p>
    <w:p>
      <w:pPr>
        <w:spacing w:line="360" w:lineRule="auto"/>
        <w:ind w:firstLine="420" w:firstLineChars="200"/>
        <w:rPr>
          <w:szCs w:val="21"/>
        </w:rPr>
      </w:pPr>
      <w:r>
        <w:rPr>
          <w:rFonts w:hint="eastAsia" w:ascii="宋体" w:hAnsi="宋体" w:cs="宋体"/>
          <w:szCs w:val="21"/>
        </w:rPr>
        <w:t>GB/T 19817- 2005 《纺织品装饰用织物》</w:t>
      </w:r>
      <w:r>
        <w:rPr>
          <w:rFonts w:ascii="宋体" w:hAnsi="宋体" w:cs="宋体"/>
          <w:szCs w:val="21"/>
        </w:rPr>
        <w:br w:type="textWrapping"/>
      </w:r>
      <w:r>
        <w:rPr>
          <w:rFonts w:ascii="宋体" w:hAnsi="宋体" w:cs="宋体"/>
          <w:b/>
          <w:bCs/>
          <w:szCs w:val="21"/>
        </w:rPr>
        <w:t>3、产品进场安装、调试及验收：</w:t>
      </w:r>
      <w:r>
        <w:rPr>
          <w:rFonts w:ascii="宋体" w:hAnsi="宋体" w:cs="宋体"/>
          <w:b/>
          <w:bCs/>
          <w:szCs w:val="21"/>
        </w:rPr>
        <w:br w:type="textWrapping"/>
      </w:r>
      <w:r>
        <w:rPr>
          <w:rFonts w:hint="eastAsia" w:ascii="宋体" w:hAnsi="宋体" w:cs="宋体"/>
          <w:b/>
          <w:bCs/>
          <w:szCs w:val="21"/>
        </w:rPr>
        <w:t xml:space="preserve">    </w:t>
      </w:r>
      <w:r>
        <w:rPr>
          <w:rFonts w:ascii="宋体" w:hAnsi="宋体" w:cs="宋体"/>
          <w:szCs w:val="21"/>
        </w:rPr>
        <w:t>3.1成交供应商须提供全新的</w:t>
      </w:r>
      <w:r>
        <w:rPr>
          <w:rFonts w:hint="eastAsia" w:ascii="宋体" w:hAnsi="宋体" w:cs="宋体"/>
          <w:szCs w:val="21"/>
        </w:rPr>
        <w:t>产品</w:t>
      </w:r>
      <w:r>
        <w:rPr>
          <w:rFonts w:ascii="宋体" w:hAnsi="宋体" w:cs="宋体"/>
          <w:szCs w:val="21"/>
        </w:rPr>
        <w:t>，所有</w:t>
      </w:r>
      <w:r>
        <w:rPr>
          <w:rFonts w:hint="eastAsia" w:ascii="宋体" w:hAnsi="宋体" w:cs="宋体"/>
          <w:szCs w:val="21"/>
        </w:rPr>
        <w:t>产品</w:t>
      </w:r>
      <w:r>
        <w:rPr>
          <w:rFonts w:ascii="宋体" w:hAnsi="宋体" w:cs="宋体"/>
          <w:szCs w:val="21"/>
        </w:rPr>
        <w:t>均须由成交供应商送货到指定地点并安装调试，采购人不再支付任何费用。 </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3.2成交供应商在安装时，必须保证安全。必须保证安装面牢固稳定、可靠。</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3.3进场安装时，供应商要注意对房屋建筑的保护和自身设备的安全保护，拆卸的包装物和废弃的边角料不得随意乱丢，如有人为损坏和对环境污染，其处理费用经采购方认定后由供应商支付。</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3.4若存在拆除，必须保证墙面安全完整，不得暴力拆除。并将拆除物放置到采购人指定地点。</w:t>
      </w:r>
      <w:r>
        <w:rPr>
          <w:rFonts w:ascii="宋体" w:hAnsi="宋体" w:cs="宋体"/>
          <w:szCs w:val="21"/>
        </w:rPr>
        <w:br w:type="textWrapping"/>
      </w:r>
      <w:r>
        <w:rPr>
          <w:rFonts w:ascii="宋体" w:hAnsi="宋体" w:cs="宋体"/>
          <w:b/>
          <w:bCs/>
          <w:szCs w:val="21"/>
        </w:rPr>
        <w:t>4、售后服务要求：</w:t>
      </w:r>
      <w:r>
        <w:rPr>
          <w:rFonts w:ascii="宋体" w:hAnsi="宋体" w:cs="宋体"/>
          <w:b/>
          <w:bCs/>
          <w:szCs w:val="21"/>
        </w:rPr>
        <w:br w:type="textWrapping"/>
      </w:r>
      <w:r>
        <w:rPr>
          <w:rFonts w:hint="eastAsia" w:ascii="宋体" w:hAnsi="宋体" w:cs="宋体"/>
          <w:b/>
          <w:bCs/>
          <w:szCs w:val="21"/>
        </w:rPr>
        <w:t xml:space="preserve">    </w:t>
      </w:r>
      <w:r>
        <w:rPr>
          <w:rFonts w:ascii="宋体" w:hAnsi="宋体" w:cs="宋体"/>
          <w:szCs w:val="21"/>
        </w:rPr>
        <w:t>4.1免费质量保修期：自产品验收合格之日起质保期一年；</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4.2供应商应按照产品的特点提供长期良好的售后服务，并在响应文件中列出售后服务承诺的详细条款及保证；</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4.3供应商应承诺所供的产品出现了质量问题，应保证及时修复或更换（格式自拟）。</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4.4保修期内：免费进行产品安装；免费上门维修保养及更换配件；在质量保证期内产品发生故障时，</w:t>
      </w:r>
      <w:r>
        <w:rPr>
          <w:rFonts w:hint="eastAsia" w:ascii="宋体" w:hAnsi="宋体" w:cs="宋体"/>
          <w:szCs w:val="21"/>
        </w:rPr>
        <w:t>成交供应商</w:t>
      </w:r>
      <w:r>
        <w:rPr>
          <w:rFonts w:ascii="宋体" w:hAnsi="宋体" w:cs="宋体"/>
          <w:szCs w:val="21"/>
        </w:rPr>
        <w:t>在接到采购人故障通知后2小时内响应要求，24小时内应委派专业技术人员到现场免费提供咨询、维修和更换服务，并及时填写维修报告(包括故障原因、处理情况及采购人意见等)报采购人备案；</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4.5保修期外：产品保修期过后，收到</w:t>
      </w:r>
      <w:r>
        <w:rPr>
          <w:rFonts w:hint="eastAsia" w:ascii="宋体" w:hAnsi="宋体" w:cs="宋体"/>
          <w:szCs w:val="21"/>
        </w:rPr>
        <w:t>采购人</w:t>
      </w:r>
      <w:r>
        <w:rPr>
          <w:rFonts w:ascii="宋体" w:hAnsi="宋体" w:cs="宋体"/>
          <w:szCs w:val="21"/>
        </w:rPr>
        <w:t>通知后2小时内响应，24小时内派人到达现场解决，承担终身维修服务。维修过程只收取配件费，且以最优惠价格提供。</w:t>
      </w:r>
      <w:r>
        <w:rPr>
          <w:rFonts w:ascii="宋体" w:hAnsi="宋体" w:cs="宋体"/>
          <w:szCs w:val="21"/>
        </w:rPr>
        <w:br w:type="textWrapping"/>
      </w:r>
      <w:r>
        <w:rPr>
          <w:rFonts w:ascii="宋体" w:hAnsi="宋体" w:cs="宋体"/>
          <w:b/>
          <w:bCs/>
          <w:szCs w:val="21"/>
        </w:rPr>
        <w:t>5、交货期：</w:t>
      </w:r>
      <w:r>
        <w:rPr>
          <w:rFonts w:ascii="宋体" w:hAnsi="宋体" w:cs="宋体"/>
          <w:szCs w:val="21"/>
        </w:rPr>
        <w:t>合同签订后30日历天内供货，到货后60天内完成安装调试</w:t>
      </w:r>
      <w:r>
        <w:rPr>
          <w:rFonts w:ascii="宋体" w:hAnsi="宋体" w:cs="宋体"/>
          <w:szCs w:val="21"/>
        </w:rPr>
        <w:br w:type="textWrapping"/>
      </w:r>
      <w:r>
        <w:rPr>
          <w:rFonts w:ascii="宋体" w:hAnsi="宋体" w:cs="宋体"/>
          <w:b/>
          <w:bCs/>
          <w:szCs w:val="21"/>
        </w:rPr>
        <w:t>6、交货地点：</w:t>
      </w:r>
      <w:r>
        <w:rPr>
          <w:rFonts w:ascii="宋体" w:hAnsi="宋体" w:cs="宋体"/>
          <w:szCs w:val="21"/>
        </w:rPr>
        <w:t>武汉职业技术学院指定地点。</w:t>
      </w:r>
      <w:r>
        <w:rPr>
          <w:rFonts w:ascii="宋体" w:hAnsi="宋体" w:cs="宋体"/>
          <w:szCs w:val="21"/>
        </w:rPr>
        <w:br w:type="textWrapping"/>
      </w:r>
      <w:r>
        <w:rPr>
          <w:rFonts w:ascii="宋体" w:hAnsi="宋体" w:cs="宋体"/>
          <w:b/>
          <w:bCs/>
          <w:szCs w:val="21"/>
        </w:rPr>
        <w:t>7、履约保证金：</w:t>
      </w:r>
      <w:r>
        <w:rPr>
          <w:rFonts w:hint="eastAsia" w:ascii="宋体" w:hAnsi="宋体" w:cs="宋体"/>
          <w:szCs w:val="21"/>
        </w:rPr>
        <w:t>合同金额的</w:t>
      </w:r>
      <w:r>
        <w:rPr>
          <w:rFonts w:ascii="宋体" w:hAnsi="宋体" w:cs="宋体"/>
          <w:szCs w:val="21"/>
        </w:rPr>
        <w:t>5%；签订合同前5个工作日递交，以支票、汇票、本票或者金融机构、担保机构出具的保函等非现金形式提交。</w:t>
      </w:r>
      <w:r>
        <w:rPr>
          <w:rFonts w:ascii="宋体" w:hAnsi="宋体" w:cs="宋体"/>
          <w:szCs w:val="21"/>
        </w:rPr>
        <w:br w:type="textWrapping"/>
      </w:r>
      <w:r>
        <w:rPr>
          <w:rFonts w:ascii="宋体" w:hAnsi="宋体" w:cs="宋体"/>
          <w:b/>
          <w:bCs/>
          <w:szCs w:val="21"/>
        </w:rPr>
        <w:t>8、付款方式：</w:t>
      </w:r>
      <w:r>
        <w:rPr>
          <w:rFonts w:ascii="宋体" w:hAnsi="宋体" w:cs="宋体"/>
          <w:szCs w:val="21"/>
        </w:rPr>
        <w:t>合同生效后至完成供货服务安装，双方联合组织验收，验收合格后一周内，支付合同总额的100%，合同签订后，履约保证金转为质保金，验收合格满一年后，无质量争议问题，质保金一次性（无息）返还给乙方。同时，按采购人财务处相关规定办理。</w:t>
      </w:r>
    </w:p>
    <w:p>
      <w:pPr>
        <w:autoSpaceDE w:val="0"/>
        <w:autoSpaceDN w:val="0"/>
        <w:adjustRightInd w:val="0"/>
        <w:spacing w:line="360" w:lineRule="auto"/>
        <w:rPr>
          <w:rFonts w:asciiTheme="minorEastAsia" w:hAnsiTheme="minorEastAsia" w:eastAsiaTheme="minorEastAsia" w:cstheme="minorEastAsia"/>
          <w:szCs w:val="21"/>
        </w:rPr>
      </w:pPr>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w:t>
      </w:r>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1、资格审查因素等证明材料须提供网上图片或查询方式以供磋商小组核查，响应文件内附相关证书真彩扫描件。</w:t>
      </w:r>
    </w:p>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r>
        <w:rPr>
          <w:rFonts w:hint="eastAsia" w:asciiTheme="minorEastAsia" w:hAnsiTheme="minorEastAsia" w:eastAsiaTheme="minorEastAsia" w:cstheme="minorEastAsia"/>
          <w:b/>
          <w:bCs/>
          <w:color w:val="FF0000"/>
          <w:szCs w:val="21"/>
        </w:rPr>
        <w:br w:type="textWrapping"/>
      </w:r>
      <w:r>
        <w:rPr>
          <w:rFonts w:hint="eastAsia" w:asciiTheme="minorEastAsia" w:hAnsiTheme="minorEastAsia" w:eastAsiaTheme="minorEastAsia" w:cstheme="minorEastAsia"/>
          <w:b/>
          <w:bCs/>
          <w:color w:val="FF0000"/>
          <w:szCs w:val="21"/>
        </w:rPr>
        <w:br w:type="textWrapping"/>
      </w:r>
      <w:bookmarkStart w:id="106" w:name="_Toc1933"/>
    </w:p>
    <w:p>
      <w:pPr>
        <w:pStyle w:val="3"/>
        <w:numPr>
          <w:ilvl w:val="0"/>
          <w:numId w:val="4"/>
        </w:num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 w:val="36"/>
          <w:szCs w:val="36"/>
        </w:rPr>
        <w:t>竞争性磋商采购评定办法</w:t>
      </w:r>
      <w:bookmarkEnd w:id="106"/>
    </w:p>
    <w:p>
      <w:pPr>
        <w:spacing w:line="360" w:lineRule="auto"/>
        <w:outlineLvl w:val="1"/>
        <w:rPr>
          <w:rFonts w:asciiTheme="minorEastAsia" w:hAnsiTheme="minorEastAsia" w:eastAsiaTheme="minorEastAsia" w:cstheme="minorEastAsia"/>
          <w:b/>
          <w:szCs w:val="21"/>
        </w:rPr>
      </w:pPr>
      <w:bookmarkStart w:id="107" w:name="_Toc10483"/>
      <w:r>
        <w:rPr>
          <w:rFonts w:hint="eastAsia" w:asciiTheme="minorEastAsia" w:hAnsiTheme="minorEastAsia" w:eastAsiaTheme="minorEastAsia" w:cstheme="minorEastAsia"/>
          <w:b/>
          <w:szCs w:val="21"/>
        </w:rPr>
        <w:t>一、评定办法前附表</w:t>
      </w:r>
      <w:bookmarkEnd w:id="107"/>
    </w:p>
    <w:tbl>
      <w:tblPr>
        <w:tblStyle w:val="26"/>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0"/>
        <w:gridCol w:w="851"/>
        <w:gridCol w:w="3101"/>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1531" w:type="dxa"/>
            <w:gridSpan w:val="2"/>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条款号</w:t>
            </w:r>
          </w:p>
        </w:tc>
        <w:tc>
          <w:tcPr>
            <w:tcW w:w="3101"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评审因素</w:t>
            </w:r>
          </w:p>
        </w:tc>
        <w:tc>
          <w:tcPr>
            <w:tcW w:w="4730"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8" w:hRule="atLeast"/>
          <w:jc w:val="center"/>
        </w:trPr>
        <w:tc>
          <w:tcPr>
            <w:tcW w:w="680" w:type="dxa"/>
            <w:vMerge w:val="restart"/>
            <w:vAlign w:val="center"/>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1.1</w:t>
            </w:r>
          </w:p>
        </w:tc>
        <w:tc>
          <w:tcPr>
            <w:tcW w:w="851" w:type="dxa"/>
            <w:vMerge w:val="restart"/>
            <w:vAlign w:val="center"/>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资格性审查标准</w:t>
            </w:r>
          </w:p>
        </w:tc>
        <w:tc>
          <w:tcPr>
            <w:tcW w:w="310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资格要求</w:t>
            </w:r>
          </w:p>
        </w:tc>
        <w:tc>
          <w:tcPr>
            <w:tcW w:w="4730"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符合本采购文件第一章第二款要求，并提供合格有效的证明材料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szCs w:val="21"/>
              </w:rPr>
            </w:pPr>
          </w:p>
        </w:tc>
        <w:tc>
          <w:tcPr>
            <w:tcW w:w="3101" w:type="dxa"/>
            <w:vAlign w:val="center"/>
          </w:tcPr>
          <w:p>
            <w:pPr>
              <w:widowControl/>
              <w:spacing w:line="28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val="zh-CN"/>
              </w:rPr>
              <w:t>没有重大违法记录的书面声明</w:t>
            </w:r>
          </w:p>
        </w:tc>
        <w:tc>
          <w:tcPr>
            <w:tcW w:w="4730" w:type="dxa"/>
            <w:vAlign w:val="center"/>
          </w:tcPr>
          <w:p>
            <w:pPr>
              <w:widowControl/>
              <w:spacing w:line="28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val="zh-CN"/>
              </w:rPr>
              <w:t>是否提交参加政府采购活动前三年内在经营活动中没有重大违法记录的书面承诺或声明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szCs w:val="21"/>
              </w:rPr>
            </w:pPr>
          </w:p>
        </w:tc>
        <w:tc>
          <w:tcPr>
            <w:tcW w:w="3101" w:type="dxa"/>
            <w:vAlign w:val="center"/>
          </w:tcPr>
          <w:p>
            <w:pPr>
              <w:widowControl/>
              <w:spacing w:line="280" w:lineRule="exact"/>
              <w:jc w:val="center"/>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供应商不得存在的其他情形</w:t>
            </w:r>
          </w:p>
        </w:tc>
        <w:tc>
          <w:tcPr>
            <w:tcW w:w="4730" w:type="dxa"/>
            <w:vAlign w:val="center"/>
          </w:tcPr>
          <w:p>
            <w:pPr>
              <w:widowControl/>
              <w:spacing w:line="280" w:lineRule="exact"/>
              <w:jc w:val="left"/>
              <w:rPr>
                <w:lang w:val="zh-CN"/>
              </w:rPr>
            </w:pPr>
            <w:r>
              <w:rPr>
                <w:rFonts w:hint="eastAsia"/>
                <w:lang w:val="zh-CN"/>
              </w:rPr>
              <w:t>1、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widowControl/>
              <w:spacing w:line="280" w:lineRule="exact"/>
              <w:jc w:val="left"/>
              <w:rPr>
                <w:lang w:val="zh-CN"/>
              </w:rPr>
            </w:pPr>
            <w:r>
              <w:rPr>
                <w:rFonts w:hint="eastAsia"/>
                <w:lang w:val="zh-CN"/>
              </w:rPr>
              <w:t>2、参与本项目采购活动前，已为本项目提供过整体设计、规范编制或者项目管理、监理、检测等服务的供应商。</w:t>
            </w:r>
          </w:p>
          <w:p>
            <w:pPr>
              <w:widowControl/>
              <w:spacing w:line="280" w:lineRule="exact"/>
              <w:jc w:val="left"/>
              <w:rPr>
                <w:lang w:val="zh-CN"/>
              </w:rPr>
            </w:pPr>
            <w:r>
              <w:rPr>
                <w:rFonts w:hint="eastAsia"/>
                <w:lang w:val="zh-CN"/>
              </w:rPr>
              <w:t>由供应商在《磋商书》中声明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restart"/>
            <w:vAlign w:val="center"/>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1.2</w:t>
            </w:r>
          </w:p>
        </w:tc>
        <w:tc>
          <w:tcPr>
            <w:tcW w:w="851" w:type="dxa"/>
            <w:vMerge w:val="restart"/>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w:t>
            </w:r>
          </w:p>
          <w:p>
            <w:pPr>
              <w:jc w:val="center"/>
              <w:rPr>
                <w:rFonts w:asciiTheme="minorEastAsia" w:hAnsiTheme="minorEastAsia" w:eastAsiaTheme="minorEastAsia" w:cstheme="minorEastAsia"/>
                <w:szCs w:val="21"/>
              </w:rPr>
            </w:pPr>
          </w:p>
        </w:tc>
        <w:tc>
          <w:tcPr>
            <w:tcW w:w="3101" w:type="dxa"/>
            <w:vAlign w:val="center"/>
          </w:tcPr>
          <w:p>
            <w:pPr>
              <w:widowControl/>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kern w:val="0"/>
                <w:szCs w:val="21"/>
              </w:rPr>
              <w:t>磋商保证金（如有）</w:t>
            </w:r>
          </w:p>
        </w:tc>
        <w:tc>
          <w:tcPr>
            <w:tcW w:w="4730" w:type="dxa"/>
            <w:vAlign w:val="center"/>
          </w:tcPr>
          <w:p>
            <w:pPr>
              <w:widowControl/>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供应商是否按照磋商文件提交投标保证金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磋商报价</w:t>
            </w: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磋商报价是否符合磋商文件要求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经营范围</w:t>
            </w: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是否未超出经营范围竞标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widowControl/>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kern w:val="0"/>
                <w:szCs w:val="21"/>
              </w:rPr>
              <w:t>磋商书签字盖章</w:t>
            </w: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磋商有效期</w:t>
            </w: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磋商有效期是否满足竞争性磋商采购文件要求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信誉情况</w:t>
            </w:r>
          </w:p>
        </w:tc>
        <w:tc>
          <w:tcPr>
            <w:tcW w:w="4730" w:type="dxa"/>
            <w:vAlign w:val="center"/>
          </w:tcPr>
          <w:p>
            <w:pPr>
              <w:widowControl/>
              <w:rPr>
                <w:rFonts w:asciiTheme="minorEastAsia" w:hAnsiTheme="minorEastAsia" w:eastAsiaTheme="minorEastAsia" w:cstheme="minorEastAsia"/>
                <w:kern w:val="0"/>
                <w:szCs w:val="21"/>
              </w:rPr>
            </w:pPr>
            <w:r>
              <w:rPr>
                <w:rFonts w:hint="eastAsia" w:ascii="宋体" w:hAnsi="宋体" w:cs="宋体"/>
                <w:kern w:val="0"/>
                <w:szCs w:val="21"/>
              </w:rPr>
              <w:t>参加本</w:t>
            </w:r>
            <w:r>
              <w:rPr>
                <w:rFonts w:hint="eastAsia" w:ascii="宋体" w:hAnsi="宋体" w:cs="宋体"/>
                <w:kern w:val="0"/>
                <w:szCs w:val="21"/>
                <w:shd w:val="clear" w:color="auto" w:fill="FFFFFF"/>
              </w:rPr>
              <w:t>次政府采购活动前三年内，是否有不良经济纠纷记录和违法行为（供应商提供声明或承诺书，格式自拟）；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采购需求响应</w:t>
            </w: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技术参数及商务需求是否实质性响应磋商文件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Merge w:val="continue"/>
            <w:vAlign w:val="center"/>
          </w:tcPr>
          <w:p>
            <w:pPr>
              <w:widowControl/>
              <w:jc w:val="center"/>
              <w:rPr>
                <w:rFonts w:asciiTheme="minorEastAsia" w:hAnsiTheme="minorEastAsia" w:eastAsiaTheme="minorEastAsia" w:cstheme="minorEastAsia"/>
                <w:kern w:val="0"/>
                <w:szCs w:val="21"/>
              </w:rPr>
            </w:pP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是否有提出采购人不能接受的合同条件的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autoSpaceDE w:val="0"/>
              <w:autoSpaceDN w:val="0"/>
              <w:adjustRightInd w:val="0"/>
              <w:snapToGrid w:val="0"/>
              <w:jc w:val="center"/>
              <w:rPr>
                <w:rFonts w:ascii="宋体" w:hAnsi="宋体"/>
                <w:szCs w:val="21"/>
              </w:rPr>
            </w:pPr>
            <w:r>
              <w:rPr>
                <w:rFonts w:hint="eastAsia" w:ascii="宋体" w:hAnsi="宋体"/>
                <w:szCs w:val="21"/>
              </w:rPr>
              <w:t>其他要求（一）</w:t>
            </w:r>
          </w:p>
        </w:tc>
        <w:tc>
          <w:tcPr>
            <w:tcW w:w="4730" w:type="dxa"/>
            <w:vAlign w:val="center"/>
          </w:tcPr>
          <w:p>
            <w:pPr>
              <w:autoSpaceDE w:val="0"/>
              <w:autoSpaceDN w:val="0"/>
              <w:adjustRightInd w:val="0"/>
              <w:snapToGrid w:val="0"/>
              <w:rPr>
                <w:rFonts w:ascii="宋体" w:hAnsi="宋体"/>
                <w:szCs w:val="21"/>
              </w:rPr>
            </w:pPr>
            <w:r>
              <w:rPr>
                <w:rFonts w:hint="eastAsia" w:ascii="宋体" w:hAnsi="宋体"/>
                <w:szCs w:val="21"/>
              </w:rPr>
              <w:t>供应商未有下列任一情形：</w:t>
            </w:r>
          </w:p>
          <w:p>
            <w:pPr>
              <w:autoSpaceDE w:val="0"/>
              <w:autoSpaceDN w:val="0"/>
              <w:adjustRightInd w:val="0"/>
              <w:snapToGrid w:val="0"/>
              <w:rPr>
                <w:rFonts w:ascii="宋体" w:hAnsi="宋体"/>
                <w:szCs w:val="21"/>
              </w:rPr>
            </w:pPr>
            <w:r>
              <w:rPr>
                <w:rFonts w:hint="eastAsia" w:ascii="宋体" w:hAnsi="宋体"/>
                <w:szCs w:val="21"/>
              </w:rPr>
              <w:t>（1）不同供应商的响应文件由同一单位或者个人编制；</w:t>
            </w:r>
          </w:p>
          <w:p>
            <w:pPr>
              <w:autoSpaceDE w:val="0"/>
              <w:autoSpaceDN w:val="0"/>
              <w:adjustRightInd w:val="0"/>
              <w:snapToGrid w:val="0"/>
              <w:rPr>
                <w:rFonts w:ascii="宋体" w:hAnsi="宋体"/>
                <w:szCs w:val="21"/>
              </w:rPr>
            </w:pPr>
            <w:r>
              <w:rPr>
                <w:rFonts w:hint="eastAsia" w:ascii="宋体" w:hAnsi="宋体"/>
                <w:szCs w:val="21"/>
              </w:rPr>
              <w:t>（2）不同供应商委托同一单位或者个人办理投标事宜；</w:t>
            </w:r>
          </w:p>
          <w:p>
            <w:pPr>
              <w:autoSpaceDE w:val="0"/>
              <w:autoSpaceDN w:val="0"/>
              <w:adjustRightInd w:val="0"/>
              <w:snapToGrid w:val="0"/>
              <w:rPr>
                <w:rFonts w:ascii="宋体" w:hAnsi="宋体"/>
                <w:szCs w:val="21"/>
              </w:rPr>
            </w:pPr>
            <w:r>
              <w:rPr>
                <w:rFonts w:hint="eastAsia" w:ascii="宋体" w:hAnsi="宋体"/>
                <w:szCs w:val="21"/>
              </w:rPr>
              <w:t>（3）不同供应商的响应文件载明的项目管理成员或者联系人员为同一人；</w:t>
            </w:r>
          </w:p>
          <w:p>
            <w:pPr>
              <w:autoSpaceDE w:val="0"/>
              <w:autoSpaceDN w:val="0"/>
              <w:adjustRightInd w:val="0"/>
              <w:snapToGrid w:val="0"/>
              <w:rPr>
                <w:rFonts w:ascii="宋体" w:hAnsi="宋体"/>
                <w:szCs w:val="21"/>
              </w:rPr>
            </w:pPr>
            <w:r>
              <w:rPr>
                <w:rFonts w:hint="eastAsia" w:ascii="宋体" w:hAnsi="宋体"/>
                <w:szCs w:val="21"/>
              </w:rPr>
              <w:t>（4）不同供应商的响应文件异常一致或者投标报价呈规律性差异；</w:t>
            </w:r>
          </w:p>
          <w:p>
            <w:pPr>
              <w:autoSpaceDE w:val="0"/>
              <w:autoSpaceDN w:val="0"/>
              <w:adjustRightInd w:val="0"/>
              <w:snapToGrid w:val="0"/>
              <w:rPr>
                <w:rFonts w:ascii="宋体" w:hAnsi="宋体"/>
                <w:szCs w:val="21"/>
              </w:rPr>
            </w:pPr>
            <w:r>
              <w:rPr>
                <w:rFonts w:hint="eastAsia" w:ascii="宋体" w:hAnsi="宋体"/>
                <w:szCs w:val="21"/>
              </w:rPr>
              <w:t>（5）不同供应商的响应文件相互混装。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3" w:hRule="atLeast"/>
          <w:jc w:val="center"/>
        </w:trPr>
        <w:tc>
          <w:tcPr>
            <w:tcW w:w="680" w:type="dxa"/>
            <w:vMerge w:val="continue"/>
            <w:vAlign w:val="center"/>
          </w:tcPr>
          <w:p>
            <w:pPr>
              <w:widowControl/>
              <w:jc w:val="center"/>
              <w:rPr>
                <w:rFonts w:asciiTheme="minorEastAsia" w:hAnsiTheme="minorEastAsia" w:eastAsiaTheme="minorEastAsia" w:cstheme="minorEastAsia"/>
                <w:bCs/>
                <w:kern w:val="0"/>
                <w:szCs w:val="21"/>
              </w:rPr>
            </w:pPr>
          </w:p>
        </w:tc>
        <w:tc>
          <w:tcPr>
            <w:tcW w:w="851" w:type="dxa"/>
            <w:vMerge w:val="continue"/>
            <w:vAlign w:val="center"/>
          </w:tcPr>
          <w:p>
            <w:pPr>
              <w:widowControl/>
              <w:jc w:val="center"/>
              <w:rPr>
                <w:rFonts w:asciiTheme="minorEastAsia" w:hAnsiTheme="minorEastAsia" w:eastAsiaTheme="minorEastAsia" w:cstheme="minorEastAsia"/>
                <w:bCs/>
                <w:kern w:val="0"/>
                <w:szCs w:val="21"/>
              </w:rPr>
            </w:pPr>
          </w:p>
        </w:tc>
        <w:tc>
          <w:tcPr>
            <w:tcW w:w="3101"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其他要求（二）</w:t>
            </w:r>
          </w:p>
        </w:tc>
        <w:tc>
          <w:tcPr>
            <w:tcW w:w="4730" w:type="dxa"/>
            <w:vAlign w:val="center"/>
          </w:tcPr>
          <w:p>
            <w:pPr>
              <w:widowControl/>
              <w:rPr>
                <w:rFonts w:asciiTheme="minorEastAsia" w:hAnsiTheme="minorEastAsia" w:eastAsiaTheme="minorEastAsia" w:cstheme="minorEastAsia"/>
                <w:kern w:val="0"/>
                <w:szCs w:val="21"/>
              </w:rPr>
            </w:pPr>
            <w:r>
              <w:rPr>
                <w:rFonts w:hint="eastAsia" w:ascii="宋体" w:hAnsi="宋体" w:cs="宋体"/>
                <w:kern w:val="0"/>
                <w:szCs w:val="21"/>
              </w:rPr>
              <w:t>磋商文件中规定被视为无效投标其它条款的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2" w:hRule="atLeast"/>
          <w:jc w:val="center"/>
        </w:trPr>
        <w:tc>
          <w:tcPr>
            <w:tcW w:w="680"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w:t>
            </w:r>
          </w:p>
        </w:tc>
        <w:tc>
          <w:tcPr>
            <w:tcW w:w="851" w:type="dxa"/>
            <w:vMerge w:val="restart"/>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确定磋商供应商进行最后报价</w:t>
            </w:r>
          </w:p>
        </w:tc>
        <w:tc>
          <w:tcPr>
            <w:tcW w:w="3101"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磋商文件能完整、明确列明采购需求，无需要供应商提供最终设计方案或者解决方案的</w:t>
            </w:r>
          </w:p>
        </w:tc>
        <w:tc>
          <w:tcPr>
            <w:tcW w:w="4730" w:type="dxa"/>
            <w:vAlign w:val="center"/>
          </w:tcPr>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在磋商结束后，磋商小组向所有通过资格性和符合性审查的磋商供应商发出报价书，并要求其在规定时间内提交最后报价。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85" w:hRule="atLeast"/>
          <w:jc w:val="center"/>
        </w:trPr>
        <w:tc>
          <w:tcPr>
            <w:tcW w:w="680" w:type="dxa"/>
            <w:vMerge w:val="continue"/>
            <w:vAlign w:val="center"/>
          </w:tcPr>
          <w:p>
            <w:pPr>
              <w:widowControl/>
              <w:jc w:val="center"/>
              <w:rPr>
                <w:rFonts w:asciiTheme="minorEastAsia" w:hAnsiTheme="minorEastAsia" w:eastAsiaTheme="minorEastAsia" w:cstheme="minorEastAsia"/>
                <w:kern w:val="0"/>
                <w:szCs w:val="21"/>
              </w:rPr>
            </w:pPr>
          </w:p>
        </w:tc>
        <w:tc>
          <w:tcPr>
            <w:tcW w:w="851" w:type="dxa"/>
            <w:vMerge w:val="continue"/>
            <w:vAlign w:val="center"/>
          </w:tcPr>
          <w:p>
            <w:pPr>
              <w:widowControl/>
              <w:jc w:val="center"/>
              <w:rPr>
                <w:rFonts w:asciiTheme="minorEastAsia" w:hAnsiTheme="minorEastAsia" w:eastAsiaTheme="minorEastAsia" w:cstheme="minorEastAsia"/>
                <w:kern w:val="0"/>
                <w:szCs w:val="21"/>
              </w:rPr>
            </w:pPr>
          </w:p>
        </w:tc>
        <w:tc>
          <w:tcPr>
            <w:tcW w:w="3101"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磋商文件不能完整、明确列明采购需求，需要由供应商提供最终设计方案或者解决方案的</w:t>
            </w:r>
          </w:p>
        </w:tc>
        <w:tc>
          <w:tcPr>
            <w:tcW w:w="47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在磋商结束后，磋商小组应当按照少数服从多数的原则投票推荐供应商的设计方案或者解决方案，并要求其在规定时间内提交最后报价。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680" w:type="dxa"/>
            <w:vAlign w:val="center"/>
          </w:tcPr>
          <w:p>
            <w:pPr>
              <w:widowControl/>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w:t>
            </w:r>
          </w:p>
        </w:tc>
        <w:tc>
          <w:tcPr>
            <w:tcW w:w="851" w:type="dxa"/>
            <w:vAlign w:val="center"/>
          </w:tcPr>
          <w:p>
            <w:pPr>
              <w:widowControl/>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评定</w:t>
            </w:r>
          </w:p>
          <w:p>
            <w:pPr>
              <w:widowControl/>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办法</w:t>
            </w:r>
          </w:p>
        </w:tc>
        <w:tc>
          <w:tcPr>
            <w:tcW w:w="3101"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kern w:val="0"/>
                <w:szCs w:val="21"/>
              </w:rPr>
              <w:t>综合评分法</w:t>
            </w:r>
          </w:p>
        </w:tc>
        <w:tc>
          <w:tcPr>
            <w:tcW w:w="473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各供应商的最终得分为各评委所评定分数的算术平均值。磋商小组将根据供应商最终得分由高到低的照顺序推荐3名成交候选人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 w:hRule="atLeast"/>
          <w:jc w:val="center"/>
        </w:trPr>
        <w:tc>
          <w:tcPr>
            <w:tcW w:w="9362" w:type="dxa"/>
            <w:gridSpan w:val="4"/>
            <w:vAlign w:val="center"/>
          </w:tcPr>
          <w:p>
            <w:pPr>
              <w:widowControl/>
              <w:pBdr>
                <w:between w:val="single" w:color="auto" w:sz="4" w:space="0"/>
              </w:pBd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政策支持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所属行业及</w:t>
            </w:r>
          </w:p>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划型标准</w:t>
            </w:r>
          </w:p>
        </w:tc>
        <w:tc>
          <w:tcPr>
            <w:tcW w:w="7831" w:type="dxa"/>
            <w:gridSpan w:val="2"/>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类型：工业 制造业……（查询划型标准）</w:t>
            </w:r>
          </w:p>
          <w:p>
            <w:pPr>
              <w:widowControl/>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小型：营业收入</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从业人员</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资产总额</w:t>
            </w:r>
            <w:r>
              <w:rPr>
                <w:rFonts w:hint="eastAsia" w:asciiTheme="minorEastAsia" w:hAnsiTheme="minorEastAsia" w:eastAsiaTheme="minorEastAsia" w:cstheme="minorEastAsia"/>
                <w:kern w:val="0"/>
                <w:szCs w:val="21"/>
                <w:u w:val="single"/>
              </w:rPr>
              <w:t xml:space="preserve">      </w:t>
            </w:r>
          </w:p>
          <w:p>
            <w:pPr>
              <w:widowControl/>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微型：营业收入</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从业人员</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资产总额</w:t>
            </w:r>
            <w:r>
              <w:rPr>
                <w:rFonts w:hint="eastAsia" w:asciiTheme="minorEastAsia" w:hAnsiTheme="minorEastAsia" w:eastAsiaTheme="minorEastAsia" w:cstheme="minorEastAsia"/>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中小企业</w:t>
            </w:r>
          </w:p>
        </w:tc>
        <w:tc>
          <w:tcPr>
            <w:tcW w:w="7831" w:type="dxa"/>
            <w:gridSpan w:val="2"/>
            <w:vAlign w:val="center"/>
          </w:tcPr>
          <w:p>
            <w:pPr>
              <w:widowControl/>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如符合工信部联企业【2011】300号文中对中小企业划型标准的， 需提供本单位的 《中小企业声明函》（格式见第六章）及企业相关数据资料。代理商竞标需同时提供制造商及代理商双方的数据资料（制造商直接竞标的仅需提供制造商数据资料），如果数据资料与声明函不一致的，由磋商小组判定。经磋商小组审核确认供应商符合工信部联企业【2011】300 号文中对中小企业划型标准的，将根据财库【2011】181号文的相关规定在评定时对小型和微型企业产品的价格给予6%的扣除后的价格参与评审。大中型企业与小型、微型企业组成联合体共同参加非专门面向中小企业的政府采购活动，且联合体协议中约定小型、微型企业的协议合同金额占到联合体协议合同总金额 30%以上的，给予联合体2%的价格扣除。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5" w:hRule="atLeast"/>
          <w:jc w:val="center"/>
        </w:trPr>
        <w:tc>
          <w:tcPr>
            <w:tcW w:w="1531" w:type="dxa"/>
            <w:gridSpan w:val="2"/>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监狱企业</w:t>
            </w:r>
          </w:p>
        </w:tc>
        <w:tc>
          <w:tcPr>
            <w:tcW w:w="7831" w:type="dxa"/>
            <w:gridSpan w:val="2"/>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磋商小组审核确认供应商属于监狱企业的，在评定时视同中小企业，价格给予6%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7" w:hRule="atLeast"/>
          <w:jc w:val="center"/>
        </w:trPr>
        <w:tc>
          <w:tcPr>
            <w:tcW w:w="1531" w:type="dxa"/>
            <w:gridSpan w:val="2"/>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促进残疾人</w:t>
            </w:r>
          </w:p>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就业</w:t>
            </w:r>
          </w:p>
        </w:tc>
        <w:tc>
          <w:tcPr>
            <w:tcW w:w="7831" w:type="dxa"/>
            <w:gridSpan w:val="2"/>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按照《三部门联合发布关于促进残疾人就业政府采购政策的通知》（财库【2017】141 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格式见第六章），并对声明的真实性负责，未提供声明函的不予折扣。经磋商小组审核确认供应商符合残疾人福利性单位条件的，在评定时视同中小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autoSpaceDE w:val="0"/>
              <w:autoSpaceDN w:val="0"/>
              <w:adjustRightInd w:val="0"/>
              <w:jc w:val="center"/>
              <w:rPr>
                <w:rFonts w:ascii="宋体" w:hAnsi="宋体" w:cs="宋体"/>
                <w:snapToGrid w:val="0"/>
                <w:kern w:val="0"/>
                <w:szCs w:val="21"/>
                <w:lang w:val="zh-CN"/>
              </w:rPr>
            </w:pPr>
          </w:p>
          <w:p>
            <w:pPr>
              <w:autoSpaceDE w:val="0"/>
              <w:autoSpaceDN w:val="0"/>
              <w:adjustRightInd w:val="0"/>
              <w:jc w:val="center"/>
              <w:rPr>
                <w:rFonts w:asciiTheme="minorEastAsia" w:hAnsiTheme="minorEastAsia" w:cstheme="minorEastAsia"/>
                <w:kern w:val="0"/>
                <w:szCs w:val="21"/>
              </w:rPr>
            </w:pPr>
            <w:r>
              <w:rPr>
                <w:rFonts w:hint="eastAsia" w:ascii="宋体" w:hAnsi="宋体" w:cs="宋体"/>
                <w:snapToGrid w:val="0"/>
                <w:kern w:val="0"/>
                <w:szCs w:val="21"/>
                <w:lang w:val="zh-CN"/>
              </w:rPr>
              <w:t>节能</w:t>
            </w:r>
            <w:r>
              <w:rPr>
                <w:rFonts w:hint="eastAsia" w:ascii="宋体" w:hAnsi="宋体" w:cs="宋体"/>
                <w:snapToGrid w:val="0"/>
                <w:kern w:val="0"/>
                <w:szCs w:val="21"/>
              </w:rPr>
              <w:t>环保</w:t>
            </w:r>
          </w:p>
        </w:tc>
        <w:tc>
          <w:tcPr>
            <w:tcW w:w="7831" w:type="dxa"/>
            <w:gridSpan w:val="2"/>
            <w:vAlign w:val="center"/>
          </w:tcPr>
          <w:p>
            <w:pPr>
              <w:autoSpaceDE w:val="0"/>
              <w:autoSpaceDN w:val="0"/>
              <w:adjustRightIn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如供应商投标产品符合以上文件的政策支持，须提供产品认证证书（合格有效时间内的）或节能产品查（http://www、ccgp、gov、cn/search/jnqdchaxun、htm）/环境标志产品查询（http://www、ccgp、gov、cn/search/hbqdchaxun、htm）查询结果截图。经评委会审核确认供应商投标产品符合以上政府采购政策的，给予该项投标产品所占价格的 1%的价格扣除，用扣除后的价格参与评审。上述政府采购政策优惠须经评标委评审后执行，未提供单独分项报价或证明资料不全的不给予价格扣除。同一项目包内的节能产品价格扣除只对属于节能产品政府清单内的非强制类产品进行，强制类产品已作为投标时强制性要求不再给予价格扣除。同时被认证为节能产品和环境标志产品的不重复享受价格扣除。</w:t>
            </w:r>
          </w:p>
        </w:tc>
      </w:tr>
    </w:tbl>
    <w:p>
      <w:pPr>
        <w:spacing w:line="360" w:lineRule="auto"/>
        <w:outlineLvl w:val="1"/>
        <w:rPr>
          <w:rFonts w:asciiTheme="minorEastAsia" w:hAnsiTheme="minorEastAsia" w:eastAsiaTheme="minorEastAsia" w:cstheme="minorEastAsia"/>
          <w:b/>
          <w:szCs w:val="21"/>
        </w:rPr>
      </w:pPr>
      <w:bookmarkStart w:id="108" w:name="_Toc25729"/>
      <w:r>
        <w:rPr>
          <w:rFonts w:hint="eastAsia" w:asciiTheme="minorEastAsia" w:hAnsiTheme="minorEastAsia" w:eastAsiaTheme="minorEastAsia" w:cstheme="minorEastAsia"/>
          <w:b/>
          <w:szCs w:val="21"/>
        </w:rPr>
        <w:t>二、计算办法</w:t>
      </w:r>
      <w:bookmarkEnd w:id="108"/>
    </w:p>
    <w:tbl>
      <w:tblPr>
        <w:tblStyle w:val="26"/>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940"/>
        <w:gridCol w:w="6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2"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分值构成(总分100分)</w:t>
            </w:r>
          </w:p>
        </w:tc>
        <w:tc>
          <w:tcPr>
            <w:tcW w:w="632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4"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评标基准价计算方法</w:t>
            </w:r>
          </w:p>
        </w:tc>
        <w:tc>
          <w:tcPr>
            <w:tcW w:w="632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满足采购文件要求且报价最低的竞标报价为评标基准价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评分因素</w:t>
            </w:r>
          </w:p>
        </w:tc>
        <w:tc>
          <w:tcPr>
            <w:tcW w:w="6322"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技术部分评分标准</w:t>
            </w:r>
          </w:p>
        </w:tc>
        <w:tc>
          <w:tcPr>
            <w:tcW w:w="632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商务部分评分标准</w:t>
            </w:r>
          </w:p>
        </w:tc>
        <w:tc>
          <w:tcPr>
            <w:tcW w:w="632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6"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竞标报价评分标准</w:t>
            </w:r>
          </w:p>
        </w:tc>
        <w:tc>
          <w:tcPr>
            <w:tcW w:w="6322" w:type="dxa"/>
            <w:vAlign w:val="center"/>
          </w:tcPr>
          <w:p>
            <w:pPr>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低价优先法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各供应商的最终得分计算办法</w:t>
            </w:r>
          </w:p>
        </w:tc>
        <w:tc>
          <w:tcPr>
            <w:tcW w:w="632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所有评委评分的算术平均值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供应商最后得分相同时对供应商进行排序的方法</w:t>
            </w:r>
          </w:p>
        </w:tc>
        <w:tc>
          <w:tcPr>
            <w:tcW w:w="6322" w:type="dxa"/>
            <w:vAlign w:val="center"/>
          </w:tcPr>
          <w:p>
            <w:pPr>
              <w:widowControl/>
              <w:jc w:val="center"/>
              <w:rPr>
                <w:rFonts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得分相同的供应商，按竞标报价由低到高顺序排列。得分且报价相同的，按技术指标优劣顺序排列。</w:t>
            </w:r>
          </w:p>
        </w:tc>
      </w:tr>
    </w:tbl>
    <w:p>
      <w:pPr>
        <w:spacing w:line="360" w:lineRule="auto"/>
        <w:rPr>
          <w:rFonts w:asciiTheme="minorEastAsia" w:hAnsiTheme="minorEastAsia" w:eastAsiaTheme="minorEastAsia" w:cstheme="minorEastAsia"/>
          <w:b/>
          <w:szCs w:val="21"/>
        </w:rPr>
      </w:pPr>
    </w:p>
    <w:p>
      <w:r>
        <w:rPr>
          <w:rFonts w:hint="eastAsia" w:asciiTheme="minorEastAsia" w:hAnsiTheme="minorEastAsia" w:eastAsiaTheme="minorEastAsia" w:cstheme="minorEastAsia"/>
        </w:rPr>
        <w:br w:type="page"/>
      </w:r>
    </w:p>
    <w:p>
      <w:pPr>
        <w:spacing w:line="360" w:lineRule="auto"/>
        <w:outlineLvl w:val="1"/>
        <w:rPr>
          <w:rFonts w:asciiTheme="minorEastAsia" w:hAnsiTheme="minorEastAsia" w:eastAsiaTheme="minorEastAsia" w:cstheme="minorEastAsia"/>
          <w:b/>
          <w:szCs w:val="21"/>
        </w:rPr>
      </w:pPr>
      <w:bookmarkStart w:id="109" w:name="_Toc16455"/>
      <w:r>
        <w:rPr>
          <w:rFonts w:hint="eastAsia" w:asciiTheme="minorEastAsia" w:hAnsiTheme="minorEastAsia" w:eastAsiaTheme="minorEastAsia" w:cstheme="minorEastAsia"/>
          <w:b/>
          <w:szCs w:val="21"/>
        </w:rPr>
        <w:t>三、评分细则</w:t>
      </w:r>
      <w:bookmarkEnd w:id="109"/>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0"/>
        <w:gridCol w:w="712"/>
        <w:gridCol w:w="7195"/>
        <w:gridCol w:w="6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blHeader/>
        </w:trPr>
        <w:tc>
          <w:tcPr>
            <w:tcW w:w="720" w:type="dxa"/>
            <w:tcBorders>
              <w:top w:val="single" w:color="auto" w:sz="12" w:space="0"/>
            </w:tcBorders>
            <w:vAlign w:val="center"/>
          </w:tcPr>
          <w:p>
            <w:pPr>
              <w:spacing w:line="360" w:lineRule="auto"/>
              <w:jc w:val="center"/>
              <w:rPr>
                <w:rFonts w:hint="eastAsia" w:ascii="宋体" w:hAnsi="宋体" w:eastAsia="宋体" w:cs="宋体"/>
                <w:b/>
                <w:bCs/>
                <w:spacing w:val="-6"/>
                <w:sz w:val="21"/>
                <w:szCs w:val="21"/>
              </w:rPr>
            </w:pPr>
            <w:bookmarkStart w:id="110" w:name="_Toc30868"/>
            <w:r>
              <w:rPr>
                <w:rFonts w:hint="eastAsia" w:ascii="宋体" w:hAnsi="宋体" w:eastAsia="宋体" w:cs="宋体"/>
                <w:b/>
                <w:bCs/>
                <w:sz w:val="21"/>
                <w:szCs w:val="21"/>
              </w:rPr>
              <w:t>类别</w:t>
            </w:r>
          </w:p>
        </w:tc>
        <w:tc>
          <w:tcPr>
            <w:tcW w:w="712" w:type="dxa"/>
            <w:tcBorders>
              <w:top w:val="single" w:color="auto" w:sz="12" w:space="0"/>
            </w:tcBorders>
            <w:vAlign w:val="center"/>
          </w:tcPr>
          <w:p>
            <w:pPr>
              <w:spacing w:line="360" w:lineRule="auto"/>
              <w:jc w:val="center"/>
              <w:rPr>
                <w:rFonts w:hint="eastAsia" w:ascii="宋体" w:hAnsi="宋体" w:eastAsia="宋体" w:cs="宋体"/>
                <w:b/>
                <w:bCs/>
                <w:spacing w:val="-6"/>
                <w:sz w:val="21"/>
                <w:szCs w:val="21"/>
              </w:rPr>
            </w:pPr>
            <w:r>
              <w:rPr>
                <w:rFonts w:hint="eastAsia" w:ascii="宋体" w:hAnsi="宋体" w:eastAsia="宋体" w:cs="宋体"/>
                <w:b/>
                <w:bCs/>
                <w:sz w:val="21"/>
                <w:szCs w:val="21"/>
              </w:rPr>
              <w:t>评审因素</w:t>
            </w:r>
          </w:p>
        </w:tc>
        <w:tc>
          <w:tcPr>
            <w:tcW w:w="7195" w:type="dxa"/>
            <w:tcBorders>
              <w:top w:val="single" w:color="auto" w:sz="12" w:space="0"/>
            </w:tcBorders>
            <w:vAlign w:val="center"/>
          </w:tcPr>
          <w:p>
            <w:pPr>
              <w:spacing w:line="360" w:lineRule="auto"/>
              <w:jc w:val="center"/>
              <w:rPr>
                <w:rFonts w:hint="eastAsia" w:ascii="宋体" w:hAnsi="宋体" w:eastAsia="宋体" w:cs="宋体"/>
                <w:b/>
                <w:bCs/>
                <w:spacing w:val="-6"/>
                <w:sz w:val="21"/>
                <w:szCs w:val="21"/>
              </w:rPr>
            </w:pPr>
            <w:r>
              <w:rPr>
                <w:rFonts w:hint="eastAsia" w:ascii="宋体" w:hAnsi="宋体" w:eastAsia="宋体" w:cs="宋体"/>
                <w:b/>
                <w:bCs/>
                <w:sz w:val="21"/>
                <w:szCs w:val="21"/>
              </w:rPr>
              <w:t>评审标准</w:t>
            </w:r>
          </w:p>
        </w:tc>
        <w:tc>
          <w:tcPr>
            <w:tcW w:w="661" w:type="dxa"/>
            <w:tcBorders>
              <w:top w:val="single" w:color="auto" w:sz="12" w:space="0"/>
            </w:tcBorders>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720" w:type="dxa"/>
            <w:vAlign w:val="center"/>
          </w:tcPr>
          <w:p>
            <w:pPr>
              <w:widowControl/>
              <w:spacing w:line="360" w:lineRule="auto"/>
              <w:jc w:val="center"/>
              <w:textAlignment w:val="center"/>
              <w:rPr>
                <w:rFonts w:hint="eastAsia" w:ascii="宋体" w:hAnsi="宋体" w:eastAsia="宋体" w:cs="宋体"/>
                <w:spacing w:val="-6"/>
                <w:sz w:val="21"/>
                <w:szCs w:val="21"/>
              </w:rPr>
            </w:pPr>
            <w:r>
              <w:rPr>
                <w:rFonts w:hint="eastAsia" w:ascii="宋体" w:hAnsi="宋体" w:eastAsia="宋体" w:cs="宋体"/>
                <w:kern w:val="0"/>
                <w:sz w:val="21"/>
                <w:szCs w:val="21"/>
              </w:rPr>
              <w:t>竞标报价</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40分</w:t>
            </w:r>
          </w:p>
        </w:tc>
        <w:tc>
          <w:tcPr>
            <w:tcW w:w="712" w:type="dxa"/>
            <w:vAlign w:val="center"/>
          </w:tcPr>
          <w:p>
            <w:pPr>
              <w:widowControl/>
              <w:spacing w:line="360" w:lineRule="auto"/>
              <w:jc w:val="center"/>
              <w:textAlignment w:val="center"/>
              <w:rPr>
                <w:rFonts w:hint="eastAsia" w:ascii="宋体" w:hAnsi="宋体" w:eastAsia="宋体" w:cs="宋体"/>
                <w:spacing w:val="-6"/>
                <w:sz w:val="21"/>
                <w:szCs w:val="21"/>
              </w:rPr>
            </w:pPr>
            <w:r>
              <w:rPr>
                <w:rFonts w:hint="eastAsia" w:ascii="宋体" w:hAnsi="宋体" w:eastAsia="宋体" w:cs="宋体"/>
                <w:kern w:val="0"/>
                <w:sz w:val="21"/>
                <w:szCs w:val="21"/>
              </w:rPr>
              <w:t>最后报价</w:t>
            </w:r>
          </w:p>
        </w:tc>
        <w:tc>
          <w:tcPr>
            <w:tcW w:w="7195" w:type="dxa"/>
            <w:vAlign w:val="center"/>
          </w:tcPr>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1、报价采用低价优先法计算，即满足磋商采购文件要求且报价最低的报价为磋商基准价，其报价分为满分40分；</w:t>
            </w:r>
          </w:p>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2、其他供应商的报价分按照下列公式计算：</w:t>
            </w:r>
          </w:p>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报价分=（磋商基准价/磋商报价）×40</w:t>
            </w:r>
          </w:p>
          <w:p>
            <w:pPr>
              <w:widowControl/>
              <w:spacing w:line="36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备注：1、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p>
          <w:p>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b/>
                <w:bCs/>
                <w:sz w:val="21"/>
                <w:szCs w:val="21"/>
              </w:rPr>
              <w:t>2、符合本磋商文件第四章“政策支持”条件的，在评审时予以价格扣除，用扣除后的价格参与评审。</w:t>
            </w:r>
          </w:p>
        </w:tc>
        <w:tc>
          <w:tcPr>
            <w:tcW w:w="661" w:type="dxa"/>
            <w:vAlign w:val="center"/>
          </w:tcPr>
          <w:p>
            <w:pPr>
              <w:widowControl/>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40分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7" w:hRule="atLeast"/>
        </w:trPr>
        <w:tc>
          <w:tcPr>
            <w:tcW w:w="720" w:type="dxa"/>
            <w:vMerge w:val="restart"/>
            <w:vAlign w:val="center"/>
          </w:tcPr>
          <w:p>
            <w:pPr>
              <w:spacing w:line="360"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商务20分</w:t>
            </w:r>
          </w:p>
        </w:tc>
        <w:tc>
          <w:tcPr>
            <w:tcW w:w="712" w:type="dxa"/>
            <w:vAlign w:val="center"/>
          </w:tcPr>
          <w:p>
            <w:pPr>
              <w:autoSpaceDE w:val="0"/>
              <w:autoSpaceDN w:val="0"/>
              <w:adjustRightInd w:val="0"/>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财务状况</w:t>
            </w:r>
          </w:p>
        </w:tc>
        <w:tc>
          <w:tcPr>
            <w:tcW w:w="7195"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根据供应商提供的近三年财务报告，对其经营状况、财务状况(或银行出具的</w:t>
            </w:r>
            <w:r>
              <w:rPr>
                <w:rFonts w:hint="eastAsia" w:ascii="宋体" w:hAnsi="宋体" w:eastAsia="宋体" w:cs="宋体"/>
                <w:color w:val="auto"/>
                <w:sz w:val="21"/>
                <w:szCs w:val="21"/>
                <w:lang w:val="zh-CN"/>
              </w:rPr>
              <w:t>银行资信证明</w:t>
            </w:r>
            <w:r>
              <w:rPr>
                <w:rFonts w:hint="eastAsia" w:ascii="宋体" w:hAnsi="宋体" w:eastAsia="宋体" w:cs="宋体"/>
                <w:color w:val="auto"/>
                <w:sz w:val="21"/>
                <w:szCs w:val="21"/>
              </w:rPr>
              <w:t>)相互比较：</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连续盈利，偿债能力、盈利能力和抗风险能力强的，得3分；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盈利情况一般，偿债能力和抗风险能力较弱的，得2分；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无盈利，偿债能力和抗风险能力差的，得1分；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（成立不足三年的按公司成立时间起算）</w:t>
            </w:r>
          </w:p>
        </w:tc>
        <w:tc>
          <w:tcPr>
            <w:tcW w:w="661" w:type="dxa"/>
            <w:vAlign w:val="center"/>
          </w:tcPr>
          <w:p>
            <w:pPr>
              <w:spacing w:line="360" w:lineRule="auto"/>
              <w:jc w:val="center"/>
              <w:rPr>
                <w:rFonts w:hint="eastAsia" w:ascii="宋体" w:hAnsi="宋体" w:eastAsia="宋体" w:cs="宋体"/>
                <w:color w:val="auto"/>
                <w:spacing w:val="-6"/>
                <w:sz w:val="21"/>
                <w:szCs w:val="21"/>
              </w:rPr>
            </w:pPr>
            <w:r>
              <w:rPr>
                <w:rFonts w:hint="eastAsia" w:ascii="宋体" w:hAnsi="宋体" w:eastAsia="宋体" w:cs="宋体"/>
                <w:color w:val="auto"/>
                <w:sz w:val="21"/>
                <w:szCs w:val="21"/>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trPr>
        <w:tc>
          <w:tcPr>
            <w:tcW w:w="720" w:type="dxa"/>
            <w:vMerge w:val="continue"/>
            <w:vAlign w:val="center"/>
          </w:tcPr>
          <w:p>
            <w:pPr>
              <w:spacing w:line="360" w:lineRule="auto"/>
              <w:rPr>
                <w:rFonts w:hint="eastAsia" w:ascii="宋体" w:hAnsi="宋体" w:eastAsia="宋体" w:cs="宋体"/>
                <w:sz w:val="21"/>
                <w:szCs w:val="21"/>
              </w:rPr>
            </w:pPr>
          </w:p>
        </w:tc>
        <w:tc>
          <w:tcPr>
            <w:tcW w:w="712" w:type="dxa"/>
            <w:vAlign w:val="center"/>
          </w:tcPr>
          <w:p>
            <w:pPr>
              <w:autoSpaceDE w:val="0"/>
              <w:autoSpaceDN w:val="0"/>
              <w:adjustRightInd w:val="0"/>
              <w:spacing w:line="360" w:lineRule="auto"/>
              <w:jc w:val="center"/>
              <w:rPr>
                <w:rFonts w:hint="eastAsia" w:ascii="宋体" w:hAnsi="宋体" w:eastAsia="宋体" w:cs="宋体"/>
                <w:spacing w:val="-6"/>
                <w:kern w:val="0"/>
                <w:sz w:val="21"/>
                <w:szCs w:val="21"/>
              </w:rPr>
            </w:pPr>
            <w:r>
              <w:rPr>
                <w:rFonts w:hint="eastAsia" w:ascii="宋体" w:hAnsi="宋体" w:eastAsia="宋体" w:cs="宋体"/>
                <w:sz w:val="21"/>
                <w:szCs w:val="21"/>
                <w:lang w:val="zh-CN"/>
              </w:rPr>
              <w:t>企业业绩</w:t>
            </w:r>
          </w:p>
        </w:tc>
        <w:tc>
          <w:tcPr>
            <w:tcW w:w="719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近三年（磋商截止时间往前推算36个月）承担过的类似项目业绩一个得1分，最高</w:t>
            </w:r>
            <w:r>
              <w:rPr>
                <w:rFonts w:hint="eastAsia" w:ascii="宋体" w:hAnsi="宋体" w:eastAsia="宋体" w:cs="宋体"/>
                <w:sz w:val="21"/>
                <w:szCs w:val="21"/>
                <w:lang w:val="en-US" w:eastAsia="zh-CN"/>
              </w:rPr>
              <w:t>5</w:t>
            </w:r>
            <w:r>
              <w:rPr>
                <w:rFonts w:hint="eastAsia" w:ascii="宋体" w:hAnsi="宋体" w:eastAsia="宋体" w:cs="宋体"/>
                <w:sz w:val="21"/>
                <w:szCs w:val="21"/>
              </w:rPr>
              <w:t>分。（须提供中标通知书(或验收报告）及合同复印件加盖公章）</w:t>
            </w:r>
          </w:p>
        </w:tc>
        <w:tc>
          <w:tcPr>
            <w:tcW w:w="661" w:type="dxa"/>
            <w:vAlign w:val="center"/>
          </w:tcPr>
          <w:p>
            <w:pPr>
              <w:autoSpaceDE w:val="0"/>
              <w:autoSpaceDN w:val="0"/>
              <w:adjustRightInd w:val="0"/>
              <w:spacing w:line="360" w:lineRule="auto"/>
              <w:ind w:right="71" w:rightChars="34"/>
              <w:jc w:val="center"/>
              <w:rPr>
                <w:rFonts w:hint="eastAsia" w:ascii="宋体" w:hAnsi="宋体" w:eastAsia="宋体" w:cs="宋体"/>
                <w:spacing w:val="-6"/>
                <w:kern w:val="0"/>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3" w:hRule="atLeast"/>
        </w:trPr>
        <w:tc>
          <w:tcPr>
            <w:tcW w:w="720" w:type="dxa"/>
            <w:vMerge w:val="continue"/>
            <w:vAlign w:val="center"/>
          </w:tcPr>
          <w:p>
            <w:pPr>
              <w:spacing w:line="360" w:lineRule="auto"/>
              <w:rPr>
                <w:rFonts w:hint="eastAsia" w:ascii="宋体" w:hAnsi="宋体" w:eastAsia="宋体" w:cs="宋体"/>
                <w:sz w:val="21"/>
                <w:szCs w:val="21"/>
              </w:rPr>
            </w:pPr>
          </w:p>
        </w:tc>
        <w:tc>
          <w:tcPr>
            <w:tcW w:w="712" w:type="dxa"/>
            <w:tcBorders>
              <w:top w:val="single" w:color="auto" w:sz="4" w:space="0"/>
            </w:tcBorders>
            <w:vAlign w:val="center"/>
          </w:tcPr>
          <w:p>
            <w:pPr>
              <w:spacing w:line="360" w:lineRule="auto"/>
              <w:jc w:val="center"/>
              <w:rPr>
                <w:rFonts w:hint="eastAsia" w:ascii="宋体" w:hAnsi="宋体" w:eastAsia="宋体" w:cs="宋体"/>
                <w:sz w:val="21"/>
                <w:szCs w:val="21"/>
                <w:lang w:val="zh-CN" w:eastAsia="zh-CN"/>
              </w:rPr>
            </w:pPr>
            <w:r>
              <w:rPr>
                <w:rFonts w:hint="eastAsia" w:ascii="宋体" w:hAnsi="宋体" w:eastAsia="宋体" w:cs="宋体"/>
                <w:color w:val="000000"/>
                <w:sz w:val="21"/>
                <w:szCs w:val="21"/>
                <w:lang w:eastAsia="zh-CN"/>
              </w:rPr>
              <w:t>用户反馈</w:t>
            </w:r>
          </w:p>
        </w:tc>
        <w:tc>
          <w:tcPr>
            <w:tcW w:w="7195" w:type="dxa"/>
            <w:tcBorders>
              <w:top w:val="single" w:color="auto" w:sz="4" w:space="0"/>
            </w:tcBorders>
            <w:vAlign w:val="center"/>
          </w:tcPr>
          <w:p>
            <w:pPr>
              <w:spacing w:line="360" w:lineRule="auto"/>
              <w:rPr>
                <w:rFonts w:hint="eastAsia" w:ascii="宋体" w:hAnsi="宋体" w:eastAsia="宋体" w:cs="宋体"/>
                <w:color w:val="FF0000"/>
                <w:sz w:val="21"/>
                <w:szCs w:val="21"/>
                <w:lang w:eastAsia="zh-CN"/>
              </w:rPr>
            </w:pPr>
            <w:r>
              <w:rPr>
                <w:rFonts w:hint="eastAsia" w:ascii="宋体" w:hAnsi="宋体" w:eastAsia="宋体" w:cs="宋体"/>
                <w:sz w:val="21"/>
                <w:szCs w:val="21"/>
                <w:lang w:val="zh-CN"/>
              </w:rPr>
              <w:t>根据供应商提供的业主出具的满意评价证明（盖用户单位公章），每提供1个得</w:t>
            </w:r>
            <w:r>
              <w:rPr>
                <w:rFonts w:hint="eastAsia" w:ascii="宋体" w:hAnsi="宋体" w:eastAsia="宋体" w:cs="宋体"/>
                <w:sz w:val="21"/>
                <w:szCs w:val="21"/>
                <w:lang w:val="en-US" w:eastAsia="zh-CN"/>
              </w:rPr>
              <w:t>1</w:t>
            </w:r>
            <w:r>
              <w:rPr>
                <w:rFonts w:hint="eastAsia" w:ascii="宋体" w:hAnsi="宋体" w:eastAsia="宋体" w:cs="宋体"/>
                <w:sz w:val="21"/>
                <w:szCs w:val="21"/>
                <w:lang w:val="zh-CN"/>
              </w:rPr>
              <w:t>分，最高得</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分</w:t>
            </w:r>
          </w:p>
        </w:tc>
        <w:tc>
          <w:tcPr>
            <w:tcW w:w="661" w:type="dxa"/>
            <w:tcBorders>
              <w:top w:val="single" w:color="auto" w:sz="4" w:space="0"/>
            </w:tcBorders>
            <w:vAlign w:val="center"/>
          </w:tcPr>
          <w:p>
            <w:pPr>
              <w:autoSpaceDE w:val="0"/>
              <w:autoSpaceDN w:val="0"/>
              <w:adjustRightInd w:val="0"/>
              <w:spacing w:line="360" w:lineRule="auto"/>
              <w:ind w:right="71" w:rightChars="34"/>
              <w:jc w:val="center"/>
              <w:rPr>
                <w:rFonts w:hint="eastAsia" w:ascii="宋体" w:hAnsi="宋体" w:eastAsia="宋体" w:cs="宋体"/>
                <w:spacing w:val="-6"/>
                <w:kern w:val="0"/>
                <w:sz w:val="21"/>
                <w:szCs w:val="21"/>
              </w:rPr>
            </w:pPr>
            <w:r>
              <w:rPr>
                <w:rFonts w:hint="eastAsia" w:ascii="宋体" w:hAnsi="宋体" w:eastAsia="宋体" w:cs="宋体"/>
                <w:spacing w:val="-6"/>
                <w:kern w:val="0"/>
                <w:sz w:val="21"/>
                <w:szCs w:val="21"/>
                <w:lang w:val="en-US" w:eastAsia="zh-CN"/>
              </w:rPr>
              <w:t>4</w:t>
            </w:r>
            <w:r>
              <w:rPr>
                <w:rFonts w:hint="eastAsia" w:ascii="宋体" w:hAnsi="宋体" w:eastAsia="宋体" w:cs="宋体"/>
                <w:spacing w:val="-6"/>
                <w:kern w:val="0"/>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6" w:hRule="atLeast"/>
        </w:trPr>
        <w:tc>
          <w:tcPr>
            <w:tcW w:w="720" w:type="dxa"/>
            <w:vMerge w:val="continue"/>
            <w:vAlign w:val="center"/>
          </w:tcPr>
          <w:p>
            <w:pPr>
              <w:spacing w:line="360" w:lineRule="auto"/>
              <w:rPr>
                <w:rFonts w:hint="eastAsia" w:ascii="宋体" w:hAnsi="宋体" w:eastAsia="宋体" w:cs="宋体"/>
                <w:sz w:val="21"/>
                <w:szCs w:val="21"/>
              </w:rPr>
            </w:pPr>
          </w:p>
        </w:tc>
        <w:tc>
          <w:tcPr>
            <w:tcW w:w="712" w:type="dxa"/>
            <w:vMerge w:val="restart"/>
            <w:tcBorders>
              <w:top w:val="single" w:color="auto" w:sz="4" w:space="0"/>
            </w:tcBorders>
            <w:vAlign w:val="center"/>
          </w:tcPr>
          <w:p>
            <w:pPr>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人员配备情况</w:t>
            </w:r>
          </w:p>
        </w:tc>
        <w:tc>
          <w:tcPr>
            <w:tcW w:w="7195" w:type="dxa"/>
            <w:tcBorders>
              <w:top w:val="single" w:color="auto" w:sz="4" w:space="0"/>
            </w:tcBorders>
            <w:vAlign w:val="center"/>
          </w:tcPr>
          <w:p>
            <w:pPr>
              <w:spacing w:line="360" w:lineRule="auto"/>
              <w:rPr>
                <w:rFonts w:hint="eastAsia" w:ascii="宋体" w:hAnsi="宋体" w:eastAsia="宋体" w:cs="宋体"/>
                <w:sz w:val="21"/>
                <w:szCs w:val="21"/>
              </w:rPr>
            </w:pPr>
            <w:r>
              <w:rPr>
                <w:rFonts w:hint="eastAsia" w:ascii="宋体" w:hAnsi="宋体" w:eastAsia="宋体" w:cs="宋体"/>
                <w:color w:val="000000"/>
                <w:sz w:val="21"/>
                <w:szCs w:val="21"/>
              </w:rPr>
              <w:t>供应商提供文化创意类专业技术人员具有二级工艺美术师的得3分；</w:t>
            </w:r>
          </w:p>
        </w:tc>
        <w:tc>
          <w:tcPr>
            <w:tcW w:w="661" w:type="dxa"/>
            <w:tcBorders>
              <w:top w:val="single" w:color="auto" w:sz="4" w:space="0"/>
            </w:tcBorders>
            <w:vAlign w:val="center"/>
          </w:tcPr>
          <w:p>
            <w:pPr>
              <w:autoSpaceDE w:val="0"/>
              <w:autoSpaceDN w:val="0"/>
              <w:adjustRightInd w:val="0"/>
              <w:spacing w:line="360" w:lineRule="auto"/>
              <w:ind w:right="71" w:rightChars="34"/>
              <w:jc w:val="center"/>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6" w:hRule="atLeast"/>
        </w:trPr>
        <w:tc>
          <w:tcPr>
            <w:tcW w:w="720" w:type="dxa"/>
            <w:vMerge w:val="continue"/>
            <w:vAlign w:val="center"/>
          </w:tcPr>
          <w:p>
            <w:pPr>
              <w:spacing w:line="360" w:lineRule="auto"/>
              <w:rPr>
                <w:rFonts w:hint="eastAsia" w:ascii="宋体" w:hAnsi="宋体" w:eastAsia="宋体" w:cs="宋体"/>
                <w:sz w:val="21"/>
                <w:szCs w:val="21"/>
              </w:rPr>
            </w:pPr>
          </w:p>
        </w:tc>
        <w:tc>
          <w:tcPr>
            <w:tcW w:w="712" w:type="dxa"/>
            <w:vMerge w:val="continue"/>
            <w:vAlign w:val="center"/>
          </w:tcPr>
          <w:p>
            <w:pPr>
              <w:spacing w:line="360" w:lineRule="auto"/>
              <w:jc w:val="center"/>
              <w:rPr>
                <w:rFonts w:hint="eastAsia" w:ascii="宋体" w:hAnsi="宋体" w:eastAsia="宋体" w:cs="宋体"/>
                <w:sz w:val="21"/>
                <w:szCs w:val="21"/>
                <w:lang w:val="zh-CN"/>
              </w:rPr>
            </w:pPr>
          </w:p>
        </w:tc>
        <w:tc>
          <w:tcPr>
            <w:tcW w:w="7195" w:type="dxa"/>
            <w:tcBorders>
              <w:top w:val="single" w:color="auto" w:sz="4" w:space="0"/>
            </w:tcBorders>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供应商提供文化创意类专业技术人员具有高级设计师的得2分；</w:t>
            </w:r>
          </w:p>
        </w:tc>
        <w:tc>
          <w:tcPr>
            <w:tcW w:w="661" w:type="dxa"/>
            <w:tcBorders>
              <w:top w:val="single" w:color="auto" w:sz="4" w:space="0"/>
            </w:tcBorders>
            <w:vAlign w:val="center"/>
          </w:tcPr>
          <w:p>
            <w:pPr>
              <w:autoSpaceDE w:val="0"/>
              <w:autoSpaceDN w:val="0"/>
              <w:adjustRightInd w:val="0"/>
              <w:spacing w:line="360" w:lineRule="auto"/>
              <w:ind w:right="71" w:rightChars="34"/>
              <w:jc w:val="center"/>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720" w:type="dxa"/>
            <w:vMerge w:val="continue"/>
            <w:vAlign w:val="center"/>
          </w:tcPr>
          <w:p>
            <w:pPr>
              <w:spacing w:line="360" w:lineRule="auto"/>
              <w:rPr>
                <w:rFonts w:hint="eastAsia" w:ascii="宋体" w:hAnsi="宋体" w:eastAsia="宋体" w:cs="宋体"/>
                <w:sz w:val="21"/>
                <w:szCs w:val="21"/>
              </w:rPr>
            </w:pPr>
          </w:p>
        </w:tc>
        <w:tc>
          <w:tcPr>
            <w:tcW w:w="712" w:type="dxa"/>
            <w:vMerge w:val="continue"/>
            <w:vAlign w:val="center"/>
          </w:tcPr>
          <w:p>
            <w:pPr>
              <w:spacing w:line="360" w:lineRule="auto"/>
              <w:jc w:val="center"/>
              <w:rPr>
                <w:rFonts w:hint="eastAsia" w:ascii="宋体" w:hAnsi="宋体" w:eastAsia="宋体" w:cs="宋体"/>
                <w:sz w:val="21"/>
                <w:szCs w:val="21"/>
                <w:lang w:val="zh-CN"/>
              </w:rPr>
            </w:pPr>
          </w:p>
        </w:tc>
        <w:tc>
          <w:tcPr>
            <w:tcW w:w="7195" w:type="dxa"/>
            <w:tcBorders>
              <w:top w:val="single" w:color="auto" w:sz="4" w:space="0"/>
            </w:tcBorders>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供应商提供文化创意类专业技术人员具有城市雕塑师的得3分。</w:t>
            </w:r>
          </w:p>
        </w:tc>
        <w:tc>
          <w:tcPr>
            <w:tcW w:w="661" w:type="dxa"/>
            <w:tcBorders>
              <w:top w:val="single" w:color="auto" w:sz="4" w:space="0"/>
            </w:tcBorders>
            <w:vAlign w:val="center"/>
          </w:tcPr>
          <w:p>
            <w:pPr>
              <w:autoSpaceDE w:val="0"/>
              <w:autoSpaceDN w:val="0"/>
              <w:adjustRightInd w:val="0"/>
              <w:spacing w:line="360" w:lineRule="auto"/>
              <w:ind w:right="71" w:rightChars="34"/>
              <w:jc w:val="center"/>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20" w:type="dxa"/>
            <w:vMerge w:val="restart"/>
            <w:vAlign w:val="center"/>
          </w:tcPr>
          <w:p>
            <w:pPr>
              <w:spacing w:line="360"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技术服务40分</w:t>
            </w:r>
          </w:p>
        </w:tc>
        <w:tc>
          <w:tcPr>
            <w:tcW w:w="712" w:type="dxa"/>
            <w:vAlign w:val="center"/>
          </w:tcPr>
          <w:p>
            <w:pPr>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验收方案</w:t>
            </w:r>
          </w:p>
        </w:tc>
        <w:tc>
          <w:tcPr>
            <w:tcW w:w="7195" w:type="dxa"/>
            <w:vAlign w:val="center"/>
          </w:tcPr>
          <w:p>
            <w:pPr>
              <w:spacing w:line="360" w:lineRule="auto"/>
              <w:ind w:left="-4" w:leftChars="-2" w:firstLine="1" w:firstLineChars="1"/>
              <w:rPr>
                <w:rFonts w:hint="eastAsia" w:ascii="宋体" w:hAnsi="宋体" w:eastAsia="宋体" w:cs="宋体"/>
                <w:spacing w:val="-6"/>
                <w:sz w:val="21"/>
                <w:szCs w:val="21"/>
              </w:rPr>
            </w:pPr>
            <w:r>
              <w:rPr>
                <w:rFonts w:hint="eastAsia" w:ascii="宋体" w:hAnsi="宋体" w:eastAsia="宋体" w:cs="宋体"/>
                <w:spacing w:val="-6"/>
                <w:sz w:val="21"/>
                <w:szCs w:val="21"/>
              </w:rPr>
              <w:t>根据供应商提供的产品检验、安装、调试与验收方案进行评分：</w:t>
            </w:r>
          </w:p>
          <w:p>
            <w:pPr>
              <w:spacing w:line="360" w:lineRule="auto"/>
              <w:ind w:left="-4" w:leftChars="-2" w:firstLine="2" w:firstLineChars="1"/>
              <w:rPr>
                <w:rFonts w:hint="eastAsia" w:ascii="宋体" w:hAnsi="宋体" w:eastAsia="宋体" w:cs="宋体"/>
                <w:sz w:val="21"/>
                <w:szCs w:val="21"/>
              </w:rPr>
            </w:pPr>
            <w:r>
              <w:rPr>
                <w:rFonts w:hint="eastAsia" w:ascii="宋体" w:hAnsi="宋体" w:eastAsia="宋体" w:cs="宋体"/>
                <w:sz w:val="21"/>
                <w:szCs w:val="21"/>
              </w:rPr>
              <w:t>内容完备、合理，针对性强，5分；</w:t>
            </w:r>
          </w:p>
          <w:p>
            <w:pPr>
              <w:spacing w:line="360" w:lineRule="auto"/>
              <w:ind w:left="-4" w:leftChars="-2" w:firstLine="2" w:firstLineChars="1"/>
              <w:rPr>
                <w:rFonts w:hint="eastAsia" w:ascii="宋体" w:hAnsi="宋体" w:eastAsia="宋体" w:cs="宋体"/>
                <w:sz w:val="21"/>
                <w:szCs w:val="21"/>
              </w:rPr>
            </w:pPr>
            <w:r>
              <w:rPr>
                <w:rFonts w:hint="eastAsia" w:ascii="宋体" w:hAnsi="宋体" w:eastAsia="宋体" w:cs="宋体"/>
                <w:sz w:val="21"/>
                <w:szCs w:val="21"/>
              </w:rPr>
              <w:t>内容完备，可行，3分；</w:t>
            </w:r>
          </w:p>
          <w:p>
            <w:pPr>
              <w:spacing w:line="360" w:lineRule="auto"/>
              <w:ind w:left="-4" w:leftChars="-2" w:firstLine="2" w:firstLineChars="1"/>
              <w:rPr>
                <w:rFonts w:hint="eastAsia" w:ascii="宋体" w:hAnsi="宋体" w:eastAsia="宋体" w:cs="宋体"/>
                <w:sz w:val="21"/>
                <w:szCs w:val="21"/>
              </w:rPr>
            </w:pPr>
            <w:r>
              <w:rPr>
                <w:rFonts w:hint="eastAsia" w:ascii="宋体" w:hAnsi="宋体" w:eastAsia="宋体" w:cs="宋体"/>
                <w:sz w:val="21"/>
                <w:szCs w:val="21"/>
              </w:rPr>
              <w:t>内容欠完备，基本可行，1分；</w:t>
            </w:r>
          </w:p>
          <w:p>
            <w:pPr>
              <w:spacing w:line="360" w:lineRule="auto"/>
              <w:ind w:left="-4" w:leftChars="-2" w:firstLine="2" w:firstLineChars="1"/>
              <w:rPr>
                <w:rFonts w:hint="eastAsia" w:ascii="宋体" w:hAnsi="宋体" w:eastAsia="宋体" w:cs="宋体"/>
                <w:spacing w:val="-6"/>
                <w:sz w:val="21"/>
                <w:szCs w:val="21"/>
              </w:rPr>
            </w:pPr>
            <w:r>
              <w:rPr>
                <w:rFonts w:hint="eastAsia" w:ascii="宋体" w:hAnsi="宋体" w:eastAsia="宋体" w:cs="宋体"/>
                <w:sz w:val="21"/>
                <w:szCs w:val="21"/>
              </w:rPr>
              <w:t>不可行，0 分。</w:t>
            </w:r>
          </w:p>
        </w:tc>
        <w:tc>
          <w:tcPr>
            <w:tcW w:w="661" w:type="dxa"/>
            <w:vAlign w:val="center"/>
          </w:tcPr>
          <w:p>
            <w:pPr>
              <w:autoSpaceDE w:val="0"/>
              <w:autoSpaceDN w:val="0"/>
              <w:adjustRightInd w:val="0"/>
              <w:spacing w:line="360" w:lineRule="auto"/>
              <w:ind w:right="71" w:rightChars="34"/>
              <w:jc w:val="center"/>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7" w:hRule="atLeast"/>
        </w:trPr>
        <w:tc>
          <w:tcPr>
            <w:tcW w:w="720" w:type="dxa"/>
            <w:vMerge w:val="continue"/>
            <w:vAlign w:val="center"/>
          </w:tcPr>
          <w:p>
            <w:pPr>
              <w:spacing w:line="360" w:lineRule="auto"/>
              <w:ind w:left="-4" w:leftChars="-2" w:firstLine="2" w:firstLineChars="1"/>
              <w:rPr>
                <w:rFonts w:hint="eastAsia" w:ascii="宋体" w:hAnsi="宋体" w:eastAsia="宋体" w:cs="宋体"/>
                <w:sz w:val="21"/>
                <w:szCs w:val="21"/>
              </w:rPr>
            </w:pPr>
          </w:p>
        </w:tc>
        <w:tc>
          <w:tcPr>
            <w:tcW w:w="712" w:type="dxa"/>
            <w:vAlign w:val="center"/>
          </w:tcPr>
          <w:p>
            <w:pPr>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售后服务方案</w:t>
            </w:r>
          </w:p>
        </w:tc>
        <w:tc>
          <w:tcPr>
            <w:tcW w:w="7195" w:type="dxa"/>
            <w:vAlign w:val="center"/>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根据供应商提供的售后服务体系情况、售后服务响应时间以及供应商提供的切实可行的售后服务优惠承诺等进行评分：</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内容完备、合理，针对性强，5分；</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内容完备，可行，3 分；</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内容欠完备，基本可行，1 分；</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不可行，0 分。</w:t>
            </w:r>
          </w:p>
        </w:tc>
        <w:tc>
          <w:tcPr>
            <w:tcW w:w="661" w:type="dxa"/>
            <w:vAlign w:val="center"/>
          </w:tcPr>
          <w:p>
            <w:pPr>
              <w:autoSpaceDE w:val="0"/>
              <w:autoSpaceDN w:val="0"/>
              <w:adjustRightInd w:val="0"/>
              <w:spacing w:line="360" w:lineRule="auto"/>
              <w:ind w:right="71" w:rightChars="34"/>
              <w:jc w:val="center"/>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9" w:hRule="atLeast"/>
        </w:trPr>
        <w:tc>
          <w:tcPr>
            <w:tcW w:w="720" w:type="dxa"/>
            <w:vMerge w:val="continue"/>
            <w:vAlign w:val="center"/>
          </w:tcPr>
          <w:p>
            <w:pPr>
              <w:spacing w:line="360" w:lineRule="auto"/>
              <w:rPr>
                <w:rFonts w:hint="eastAsia" w:ascii="宋体" w:hAnsi="宋体" w:eastAsia="宋体" w:cs="宋体"/>
                <w:sz w:val="21"/>
                <w:szCs w:val="21"/>
              </w:rPr>
            </w:pPr>
          </w:p>
        </w:tc>
        <w:tc>
          <w:tcPr>
            <w:tcW w:w="712" w:type="dxa"/>
            <w:vAlign w:val="center"/>
          </w:tcPr>
          <w:p>
            <w:pPr>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技术偏离</w:t>
            </w:r>
          </w:p>
        </w:tc>
        <w:tc>
          <w:tcPr>
            <w:tcW w:w="719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技术参数响应情况占20分，具体由评委根据供应商的磋商文件中设计图样、效果图、产品情况、《技术响应、偏离说明表》等有关资料打分。</w:t>
            </w:r>
          </w:p>
          <w:p>
            <w:pPr>
              <w:spacing w:line="360" w:lineRule="auto"/>
              <w:rPr>
                <w:rFonts w:hint="eastAsia" w:ascii="宋体" w:hAnsi="宋体" w:eastAsia="宋体" w:cs="宋体"/>
                <w:sz w:val="21"/>
                <w:szCs w:val="21"/>
              </w:rPr>
            </w:pPr>
            <w:r>
              <w:rPr>
                <w:rFonts w:hint="eastAsia" w:ascii="宋体" w:hAnsi="宋体" w:eastAsia="宋体" w:cs="宋体"/>
                <w:sz w:val="21"/>
                <w:szCs w:val="21"/>
              </w:rPr>
              <w:t>其中：完全满足磋商文件要求的得25分；在此基础上，有一项不符合或达不到要求的，则每项扣2分，扣完为止。</w:t>
            </w:r>
          </w:p>
          <w:p>
            <w:pPr>
              <w:spacing w:line="360" w:lineRule="auto"/>
              <w:rPr>
                <w:rFonts w:hint="eastAsia" w:ascii="宋体" w:hAnsi="宋体" w:eastAsia="宋体" w:cs="宋体"/>
                <w:sz w:val="21"/>
                <w:szCs w:val="21"/>
              </w:rPr>
            </w:pPr>
            <w:r>
              <w:rPr>
                <w:rFonts w:hint="eastAsia" w:ascii="宋体" w:hAnsi="宋体" w:eastAsia="宋体" w:cs="宋体"/>
                <w:sz w:val="21"/>
                <w:szCs w:val="21"/>
              </w:rPr>
              <w:t>备注：复制磋商文件技术要求作为实际响应数据或投标响应数据无对应支持文件的，其技术响应将可能按负偏离处理。参数需列出证明文件及设计图样予以佐证,未予以佐证视为不响应。</w:t>
            </w:r>
          </w:p>
        </w:tc>
        <w:tc>
          <w:tcPr>
            <w:tcW w:w="661" w:type="dxa"/>
            <w:vAlign w:val="center"/>
          </w:tcPr>
          <w:p>
            <w:pPr>
              <w:autoSpaceDE w:val="0"/>
              <w:autoSpaceDN w:val="0"/>
              <w:adjustRightInd w:val="0"/>
              <w:spacing w:line="360" w:lineRule="auto"/>
              <w:ind w:right="71" w:rightChars="34"/>
              <w:jc w:val="center"/>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25分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20" w:type="dxa"/>
            <w:vMerge w:val="continue"/>
            <w:vAlign w:val="center"/>
          </w:tcPr>
          <w:p>
            <w:pPr>
              <w:spacing w:line="360" w:lineRule="auto"/>
              <w:rPr>
                <w:rFonts w:hint="eastAsia" w:ascii="宋体" w:hAnsi="宋体" w:eastAsia="宋体" w:cs="宋体"/>
                <w:sz w:val="21"/>
                <w:szCs w:val="21"/>
              </w:rPr>
            </w:pPr>
          </w:p>
        </w:tc>
        <w:tc>
          <w:tcPr>
            <w:tcW w:w="712" w:type="dxa"/>
            <w:vAlign w:val="center"/>
          </w:tcPr>
          <w:p>
            <w:pPr>
              <w:spacing w:line="360" w:lineRule="auto"/>
              <w:jc w:val="center"/>
              <w:rPr>
                <w:rFonts w:hint="eastAsia" w:ascii="宋体" w:hAnsi="宋体" w:eastAsia="宋体" w:cs="宋体"/>
                <w:kern w:val="0"/>
                <w:sz w:val="21"/>
                <w:szCs w:val="21"/>
                <w:lang w:val="zh-CN"/>
              </w:rPr>
            </w:pPr>
            <w:r>
              <w:rPr>
                <w:rFonts w:hint="eastAsia" w:ascii="宋体" w:hAnsi="宋体" w:eastAsia="宋体" w:cs="宋体"/>
                <w:sz w:val="21"/>
                <w:szCs w:val="21"/>
              </w:rPr>
              <w:t>配送方案</w:t>
            </w:r>
          </w:p>
        </w:tc>
        <w:tc>
          <w:tcPr>
            <w:tcW w:w="719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根据供应商提供对项目实施进度安排，时间点控制，人员和产品保护措施等情况进行评分：</w:t>
            </w:r>
          </w:p>
          <w:p>
            <w:pPr>
              <w:spacing w:line="360" w:lineRule="auto"/>
              <w:rPr>
                <w:rFonts w:hint="eastAsia" w:ascii="宋体" w:hAnsi="宋体" w:eastAsia="宋体" w:cs="宋体"/>
                <w:sz w:val="21"/>
                <w:szCs w:val="21"/>
              </w:rPr>
            </w:pPr>
            <w:r>
              <w:rPr>
                <w:rFonts w:hint="eastAsia" w:ascii="宋体" w:hAnsi="宋体" w:eastAsia="宋体" w:cs="宋体"/>
                <w:sz w:val="21"/>
                <w:szCs w:val="21"/>
              </w:rPr>
              <w:t>内容完备、合理，针对性强，5分；</w:t>
            </w:r>
          </w:p>
          <w:p>
            <w:pPr>
              <w:spacing w:line="360" w:lineRule="auto"/>
              <w:rPr>
                <w:rFonts w:hint="eastAsia" w:ascii="宋体" w:hAnsi="宋体" w:eastAsia="宋体" w:cs="宋体"/>
                <w:sz w:val="21"/>
                <w:szCs w:val="21"/>
              </w:rPr>
            </w:pPr>
            <w:r>
              <w:rPr>
                <w:rFonts w:hint="eastAsia" w:ascii="宋体" w:hAnsi="宋体" w:eastAsia="宋体" w:cs="宋体"/>
                <w:sz w:val="21"/>
                <w:szCs w:val="21"/>
              </w:rPr>
              <w:t>内容完备，可行，3 分；</w:t>
            </w:r>
          </w:p>
          <w:p>
            <w:pPr>
              <w:spacing w:line="360" w:lineRule="auto"/>
              <w:rPr>
                <w:rFonts w:hint="eastAsia" w:ascii="宋体" w:hAnsi="宋体" w:eastAsia="宋体" w:cs="宋体"/>
                <w:sz w:val="21"/>
                <w:szCs w:val="21"/>
              </w:rPr>
            </w:pPr>
            <w:r>
              <w:rPr>
                <w:rFonts w:hint="eastAsia" w:ascii="宋体" w:hAnsi="宋体" w:eastAsia="宋体" w:cs="宋体"/>
                <w:sz w:val="21"/>
                <w:szCs w:val="21"/>
              </w:rPr>
              <w:t>内容欠完备，基本可行，1 分；</w:t>
            </w:r>
          </w:p>
          <w:p>
            <w:pPr>
              <w:spacing w:line="360" w:lineRule="auto"/>
              <w:rPr>
                <w:rFonts w:hint="eastAsia" w:ascii="宋体" w:hAnsi="宋体" w:eastAsia="宋体" w:cs="宋体"/>
                <w:sz w:val="21"/>
                <w:szCs w:val="21"/>
              </w:rPr>
            </w:pPr>
            <w:r>
              <w:rPr>
                <w:rFonts w:hint="eastAsia" w:ascii="宋体" w:hAnsi="宋体" w:eastAsia="宋体" w:cs="宋体"/>
                <w:sz w:val="21"/>
                <w:szCs w:val="21"/>
              </w:rPr>
              <w:t>不可行，0 分。</w:t>
            </w:r>
          </w:p>
        </w:tc>
        <w:tc>
          <w:tcPr>
            <w:tcW w:w="661" w:type="dxa"/>
            <w:vAlign w:val="center"/>
          </w:tcPr>
          <w:p>
            <w:pPr>
              <w:autoSpaceDE w:val="0"/>
              <w:autoSpaceDN w:val="0"/>
              <w:adjustRightInd w:val="0"/>
              <w:spacing w:line="360" w:lineRule="auto"/>
              <w:ind w:right="71" w:rightChars="34"/>
              <w:jc w:val="center"/>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2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总分</w:t>
            </w:r>
          </w:p>
        </w:tc>
        <w:tc>
          <w:tcPr>
            <w:tcW w:w="8568" w:type="dxa"/>
            <w:gridSpan w:val="3"/>
            <w:vAlign w:val="center"/>
          </w:tcPr>
          <w:p>
            <w:pPr>
              <w:spacing w:line="360"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100</w:t>
            </w:r>
          </w:p>
        </w:tc>
      </w:tr>
    </w:tbl>
    <w:p>
      <w:pPr>
        <w:spacing w:line="360" w:lineRule="auto"/>
        <w:outlineLvl w:val="1"/>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t>四、评定办法</w:t>
      </w:r>
      <w:bookmarkEnd w:id="110"/>
    </w:p>
    <w:p>
      <w:pPr>
        <w:numPr>
          <w:ilvl w:val="3"/>
          <w:numId w:val="37"/>
        </w:numPr>
        <w:tabs>
          <w:tab w:val="left" w:pos="54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初步审查标准</w:t>
      </w:r>
    </w:p>
    <w:p>
      <w:pPr>
        <w:numPr>
          <w:ilvl w:val="1"/>
          <w:numId w:val="38"/>
        </w:numPr>
        <w:tabs>
          <w:tab w:val="left" w:pos="540"/>
          <w:tab w:val="clear" w:pos="36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资格性审查标准：见评定办法前附表。</w:t>
      </w:r>
    </w:p>
    <w:p>
      <w:pPr>
        <w:numPr>
          <w:ilvl w:val="1"/>
          <w:numId w:val="38"/>
        </w:numPr>
        <w:tabs>
          <w:tab w:val="left" w:pos="540"/>
          <w:tab w:val="clear" w:pos="36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符合性审查标准：见评定办法前附表。</w:t>
      </w:r>
    </w:p>
    <w:p>
      <w:pPr>
        <w:numPr>
          <w:ilvl w:val="1"/>
          <w:numId w:val="38"/>
        </w:numPr>
        <w:tabs>
          <w:tab w:val="left" w:pos="540"/>
          <w:tab w:val="clear" w:pos="36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确定磋商供应商进行最后报价：见评定方法前附表。</w:t>
      </w:r>
    </w:p>
    <w:p>
      <w:pPr>
        <w:numPr>
          <w:ilvl w:val="3"/>
          <w:numId w:val="37"/>
        </w:numPr>
        <w:tabs>
          <w:tab w:val="left" w:pos="54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评定方法：见评定办法前附表。</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 分值构成</w:t>
      </w:r>
    </w:p>
    <w:p>
      <w:pPr>
        <w:spacing w:line="360" w:lineRule="auto"/>
        <w:ind w:firstLine="718" w:firstLineChars="3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（1）技术部分：见评标办法前附表；</w:t>
      </w:r>
    </w:p>
    <w:p>
      <w:pPr>
        <w:spacing w:line="360" w:lineRule="auto"/>
        <w:ind w:firstLine="718" w:firstLineChars="3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（2）商务部分：见评标办法前附表；</w:t>
      </w:r>
    </w:p>
    <w:p>
      <w:pPr>
        <w:spacing w:line="360" w:lineRule="auto"/>
        <w:ind w:firstLine="718" w:firstLineChars="3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（3）竞标报价：见评标办法前附表。</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 评标基准价计算</w:t>
      </w:r>
    </w:p>
    <w:p>
      <w:pPr>
        <w:spacing w:line="360" w:lineRule="auto"/>
        <w:ind w:firstLine="840" w:firstLineChars="4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评标基准价计算方法：见评标办法前附表。</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 评分标准</w:t>
      </w:r>
    </w:p>
    <w:p>
      <w:pPr>
        <w:spacing w:line="360" w:lineRule="auto"/>
        <w:ind w:firstLine="718" w:firstLineChars="3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（1）技术部分评分标准：见评标办法前附表；</w:t>
      </w:r>
    </w:p>
    <w:p>
      <w:pPr>
        <w:spacing w:line="360" w:lineRule="auto"/>
        <w:ind w:firstLine="718" w:firstLineChars="3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（2）商务部分评分标准：见评标办法前附表；</w:t>
      </w:r>
    </w:p>
    <w:p>
      <w:pPr>
        <w:spacing w:line="360" w:lineRule="auto"/>
        <w:ind w:firstLine="718" w:firstLineChars="342"/>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（3）竞标报价评分标准：见评标办法前附表。</w:t>
      </w:r>
    </w:p>
    <w:p>
      <w:pPr>
        <w:numPr>
          <w:ilvl w:val="3"/>
          <w:numId w:val="37"/>
        </w:numPr>
        <w:tabs>
          <w:tab w:val="left" w:pos="54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评定结果</w:t>
      </w:r>
    </w:p>
    <w:p>
      <w:pPr>
        <w:tabs>
          <w:tab w:val="left" w:pos="540"/>
        </w:tabs>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3.1磋商小组严格按照本章要求对最终报价进行评定。</w:t>
      </w:r>
    </w:p>
    <w:p>
      <w:pPr>
        <w:tabs>
          <w:tab w:val="left" w:pos="540"/>
        </w:tabs>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3.2完成评定后，</w:t>
      </w:r>
      <w:r>
        <w:rPr>
          <w:rFonts w:hint="eastAsia" w:asciiTheme="minorEastAsia" w:hAnsiTheme="minorEastAsia" w:eastAsiaTheme="minorEastAsia" w:cstheme="minorEastAsia"/>
          <w:snapToGrid w:val="0"/>
          <w:kern w:val="0"/>
          <w:szCs w:val="21"/>
          <w:lang w:val="zh-CN"/>
        </w:rPr>
        <w:t>磋商小组</w:t>
      </w:r>
      <w:r>
        <w:rPr>
          <w:rFonts w:hint="eastAsia" w:asciiTheme="minorEastAsia" w:hAnsiTheme="minorEastAsia" w:eastAsiaTheme="minorEastAsia" w:cstheme="minorEastAsia"/>
          <w:szCs w:val="21"/>
        </w:rPr>
        <w:t>须在评审结果推荐意见上共同签字。</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3"/>
          <w:numId w:val="37"/>
        </w:numPr>
        <w:tabs>
          <w:tab w:val="left" w:pos="540"/>
        </w:tabs>
        <w:spacing w:line="360" w:lineRule="auto"/>
        <w:ind w:left="540" w:hanging="5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w:t>
      </w:r>
    </w:p>
    <w:p>
      <w:pPr>
        <w:spacing w:line="360" w:lineRule="auto"/>
        <w:ind w:firstLine="420"/>
        <w:jc w:val="left"/>
        <w:rPr>
          <w:rFonts w:asciiTheme="minorEastAsia" w:hAnsiTheme="minorEastAsia" w:eastAsiaTheme="minorEastAsia" w:cstheme="minorEastAsia"/>
        </w:rPr>
      </w:pPr>
      <w:r>
        <w:rPr>
          <w:rFonts w:hint="eastAsia" w:asciiTheme="minorEastAsia" w:hAnsiTheme="minorEastAsia" w:eastAsiaTheme="minorEastAsia" w:cstheme="minorEastAsia"/>
        </w:rPr>
        <w:t>磋商供应商的最终报价均超过了政府采购预算，采购人不能支付的，磋商活动终止；终止后，采购人需要采取调整采购预算或项目配置标准等，或采取其他采购方式的，应当在采购活动开始前获得政府采购监督管理部门批准。</w:t>
      </w:r>
    </w:p>
    <w:p/>
    <w:p/>
    <w:p/>
    <w:p/>
    <w:p>
      <w:pPr>
        <w:spacing w:line="360" w:lineRule="auto"/>
        <w:outlineLvl w:val="1"/>
        <w:rPr>
          <w:rFonts w:asciiTheme="minorEastAsia" w:hAnsiTheme="minorEastAsia" w:eastAsiaTheme="minorEastAsia" w:cstheme="minorEastAsia"/>
          <w:b/>
          <w:szCs w:val="21"/>
        </w:rPr>
      </w:pPr>
      <w:bookmarkStart w:id="111" w:name="_Toc18437"/>
      <w:r>
        <w:rPr>
          <w:rFonts w:hint="eastAsia" w:asciiTheme="minorEastAsia" w:hAnsiTheme="minorEastAsia" w:eastAsiaTheme="minorEastAsia" w:cstheme="minorEastAsia"/>
          <w:b/>
          <w:szCs w:val="21"/>
        </w:rPr>
        <w:t>五、磋商及评审步骤</w:t>
      </w:r>
      <w:bookmarkEnd w:id="111"/>
    </w:p>
    <w:p>
      <w:pPr>
        <w:spacing w:line="360" w:lineRule="auto"/>
        <w:ind w:left="420" w:leftChars="200"/>
        <w:jc w:val="lef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磋商及评审步骤分别依次为磋商小组对供应商及其响应文件的资格和符合性检查、磋商小组同供应商的磋商及供应商的最后报价、详细评审。</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1.验证委托代理人身份、响应文件密封检查</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主持人按以下程序进行：</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① 宣布会场纪律。</w:t>
      </w:r>
    </w:p>
    <w:p>
      <w:pPr>
        <w:spacing w:line="360" w:lineRule="auto"/>
        <w:ind w:left="420" w:leftChars="200"/>
        <w:jc w:val="lef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② 公布在响应文件递交截止时间前递交响应文件的供应商名称，并点名确认供应商的委托代理人是否到场（验证委托代理人身份证原件）。</w:t>
      </w:r>
    </w:p>
    <w:p>
      <w:pPr>
        <w:spacing w:line="360" w:lineRule="auto"/>
        <w:ind w:firstLine="420" w:firstLineChars="200"/>
        <w:rPr>
          <w:rFonts w:asciiTheme="minorEastAsia" w:hAnsiTheme="minorEastAsia" w:eastAsiaTheme="minorEastAsia" w:cstheme="minorEastAsia"/>
          <w:b/>
          <w:szCs w:val="28"/>
        </w:rPr>
      </w:pPr>
      <w:r>
        <w:rPr>
          <w:rFonts w:hint="eastAsia" w:asciiTheme="minorEastAsia" w:hAnsiTheme="minorEastAsia" w:eastAsiaTheme="minorEastAsia" w:cstheme="minorEastAsia"/>
          <w:szCs w:val="28"/>
        </w:rPr>
        <w:t>③ 检查响应文件密封情况。</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2.资格和符合性审查</w:t>
      </w:r>
    </w:p>
    <w:p>
      <w:pPr>
        <w:spacing w:line="360" w:lineRule="auto"/>
        <w:ind w:left="420" w:leftChars="200"/>
        <w:jc w:val="lef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2.1磋商小组审查每份响应文件是否实质上响应了采购文件的要求。磋商小组决定其是否响应只根据响应文件本身的内容，而不依据外部的证据，但响应文件有不真实不正确的内容时除外。</w:t>
      </w:r>
    </w:p>
    <w:p>
      <w:pPr>
        <w:spacing w:line="360" w:lineRule="auto"/>
        <w:ind w:left="420" w:leftChars="200"/>
        <w:jc w:val="lef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2.3只有通过了资格和符合性审查的供应商才能进入详细评审阶段。</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3.供应商的澄清</w:t>
      </w:r>
    </w:p>
    <w:p>
      <w:pPr>
        <w:spacing w:line="360" w:lineRule="auto"/>
        <w:ind w:left="420" w:leftChars="200"/>
        <w:jc w:val="lef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3.1磋商小组要求供应商澄清、说明或者更正响应文件将以书面形式作出。供应商的澄清、说明或者更正应当由法定代表人或其授权代表签字或者加盖公章。</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4.磋商及最后报价</w:t>
      </w:r>
    </w:p>
    <w:p>
      <w:pPr>
        <w:spacing w:line="360" w:lineRule="auto"/>
        <w:ind w:left="420" w:leftChars="200"/>
        <w:jc w:val="lef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4.1磋商小组所有成员应当集中与单一供应商分别进行磋商，并按照磋商会随机抽签的顺序给予所有参加磋商的供应商平等的磋商机会。</w:t>
      </w:r>
    </w:p>
    <w:p>
      <w:pPr>
        <w:spacing w:line="360" w:lineRule="auto"/>
        <w:ind w:left="420" w:leftChars="200"/>
        <w:jc w:val="lef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4.2</w:t>
      </w:r>
      <w:r>
        <w:rPr>
          <w:rFonts w:hint="eastAsia" w:asciiTheme="minorEastAsia" w:hAnsiTheme="minorEastAsia" w:eastAsiaTheme="minorEastAsia" w:cstheme="minorEastAsia"/>
          <w:b/>
          <w:szCs w:val="28"/>
        </w:rPr>
        <w:t>在磋商过程中，若磋商小组无法联系上供应商代表或者供应商代表在接到磋商小组通知后15分钟内不能抵达磋商会现场的，视为该供应商自动退出磋商。</w:t>
      </w:r>
    </w:p>
    <w:p>
      <w:pPr>
        <w:spacing w:line="360" w:lineRule="auto"/>
        <w:ind w:left="420" w:leftChars="200"/>
        <w:jc w:val="lef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4.3</w:t>
      </w:r>
      <w:r>
        <w:rPr>
          <w:rFonts w:hint="eastAsia" w:asciiTheme="minorEastAsia" w:hAnsiTheme="minorEastAsia" w:eastAsiaTheme="minorEastAsia" w:cstheme="minorEastAsia"/>
          <w:b/>
          <w:szCs w:val="28"/>
        </w:rPr>
        <w:t>磋商小组在与供应商磋商之前，应首先对参与磋商的供应商代表的身份进行核验，未按采购文件要求提供身份证原件或经核验的供应商代表身份与证明文件（法定代表人身份证明或法定代表人授权委托书）或身份证不符的，磋商小组有权拒绝该供应商参加磋商。</w:t>
      </w:r>
    </w:p>
    <w:p>
      <w:pPr>
        <w:spacing w:line="360" w:lineRule="auto"/>
        <w:ind w:left="420" w:leftChars="200"/>
        <w:jc w:val="lef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4.4在磋商过程中，磋商小组可以根据采购文件和磋商情况实质性变动采购需求中的技术、服务要求以及合同草案条款，但不得变动采购文件中的其他内容。实质性变动的内容，经采购人代表确认后，将作为采购文件的有效组成部分，磋商小组应当及时以书面形式同时通知所有参加磋商的供应商。</w:t>
      </w:r>
    </w:p>
    <w:p>
      <w:pPr>
        <w:spacing w:line="360" w:lineRule="auto"/>
        <w:ind w:left="420" w:leftChars="200"/>
        <w:jc w:val="left"/>
        <w:rPr>
          <w:rFonts w:asciiTheme="minorEastAsia" w:hAnsiTheme="minorEastAsia" w:eastAsiaTheme="minorEastAsia" w:cstheme="minorEastAsia"/>
          <w:bCs/>
          <w:szCs w:val="28"/>
        </w:rPr>
      </w:pPr>
      <w:r>
        <w:rPr>
          <w:rFonts w:hint="eastAsia" w:asciiTheme="minorEastAsia" w:hAnsiTheme="minorEastAsia" w:eastAsiaTheme="minorEastAsia" w:cstheme="minorEastAsia"/>
          <w:szCs w:val="28"/>
        </w:rPr>
        <w:t>4.5磋商结束后，磋商小组将要求所有实质性响应的供应商在规定时间内提交最后报价，最后报价是供应商响应文件的有效组成部分。</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szCs w:val="28"/>
        </w:rPr>
        <w:t>4.6</w:t>
      </w:r>
      <w:r>
        <w:rPr>
          <w:rFonts w:hint="eastAsia" w:asciiTheme="minorEastAsia" w:hAnsiTheme="minorEastAsia" w:eastAsiaTheme="minorEastAsia" w:cstheme="minorEastAsia"/>
          <w:szCs w:val="28"/>
        </w:rPr>
        <w:t>已提交响应文件的供应商，在提交最后报价之前，可以根据磋商情况退出磋商。</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4.7符合下列情形，在采购过程中符合要求的供应商可以为2家：</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（1）政府购买服务项目（含政府和社会资本合作项目）；</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（2）市场竞争不充分的科研项目，以及需要扶持的科技成果转化项目。</w:t>
      </w:r>
    </w:p>
    <w:p>
      <w:pPr>
        <w:spacing w:line="360" w:lineRule="auto"/>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5.详细评审</w:t>
      </w:r>
    </w:p>
    <w:p>
      <w:pPr>
        <w:spacing w:line="360" w:lineRule="auto"/>
        <w:ind w:left="420" w:left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5.1经磋商确定最终采购需求和提交最后报价的供应商后，由磋商小组采用综合评分法对提交最后报价的供应商的响应文件和最后报价进行综合评分。具体详见“评分细则”。</w:t>
      </w:r>
    </w:p>
    <w:p>
      <w:pPr>
        <w:spacing w:line="360" w:lineRule="auto"/>
        <w:ind w:left="420" w:left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5.2评审时，磋商小组各成员应当独立对每个有效响应的文件进行评价、打分，然后汇总每个供应商每项评分因素的得分。</w:t>
      </w:r>
    </w:p>
    <w:p>
      <w:pPr>
        <w:spacing w:line="360" w:lineRule="auto"/>
        <w:ind w:left="420" w:left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5.3采购代理机构负责对各磋商小组成员的总分进行复核和汇总。各项统计结果均精确到小数点后两位。 </w:t>
      </w:r>
    </w:p>
    <w:p>
      <w:pPr>
        <w:spacing w:line="360" w:lineRule="auto"/>
        <w:ind w:left="420" w:left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5.4磋商小组应当根据综合评分情况，按照评审得分由高到低顺序（评审得分相同的，按照最后报价由低到高的顺序确定，评审得分且最后报价相同的，按照技术指标优劣顺序确定）推荐3名成交候选供应商，并编写评审报告。</w:t>
      </w:r>
    </w:p>
    <w:p>
      <w:pPr>
        <w:spacing w:line="360" w:lineRule="auto"/>
        <w:ind w:left="420" w:leftChars="20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5.5在评审期间，供应商不得干扰和阻碍评审工作，供应商不得向磋商小组询问评审情况，任何影响和干扰评审工作的行为都可能导致被取消本次评审的资格，并承担相应的法律责任。</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8"/>
        </w:rPr>
        <w:t>5.6在评审过程中，磋商小组不得与供应商私下交换意见，从采购工作开始，直到授予供应商合同止，凡是属于审查、澄清、评价和比较响应文件的有关资料以及授标意向等，均不得向供应商或其他无关的人员透露。否则，磋商小组应承担法律、法规责任。</w:t>
      </w:r>
      <w:r>
        <w:rPr>
          <w:rFonts w:hint="eastAsia" w:asciiTheme="minorEastAsia" w:hAnsiTheme="minorEastAsia" w:eastAsiaTheme="minorEastAsia" w:cstheme="minorEastAsia"/>
          <w:szCs w:val="28"/>
        </w:rPr>
        <w:br w:type="textWrapping"/>
      </w:r>
      <w:r>
        <w:rPr>
          <w:rFonts w:hint="eastAsia" w:asciiTheme="minorEastAsia" w:hAnsiTheme="minorEastAsia" w:eastAsiaTheme="minorEastAsia" w:cstheme="minorEastAsia"/>
          <w:szCs w:val="28"/>
        </w:rPr>
        <w:br w:type="textWrapping"/>
      </w:r>
      <w:r>
        <w:rPr>
          <w:rFonts w:hint="eastAsia" w:asciiTheme="minorEastAsia" w:hAnsiTheme="minorEastAsia" w:eastAsiaTheme="minorEastAsia" w:cstheme="minorEastAsia"/>
          <w:szCs w:val="21"/>
        </w:rPr>
        <w:br w:type="textWrapping"/>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pStyle w:val="3"/>
        <w:numPr>
          <w:ilvl w:val="0"/>
          <w:numId w:val="4"/>
        </w:numPr>
        <w:spacing w:line="240" w:lineRule="auto"/>
        <w:jc w:val="center"/>
        <w:rPr>
          <w:rFonts w:asciiTheme="minorEastAsia" w:hAnsiTheme="minorEastAsia" w:eastAsiaTheme="minorEastAsia" w:cstheme="minorEastAsia"/>
          <w:b w:val="0"/>
          <w:kern w:val="0"/>
          <w:szCs w:val="21"/>
        </w:rPr>
      </w:pPr>
      <w:bookmarkStart w:id="112" w:name="_Toc318643471"/>
      <w:bookmarkStart w:id="113" w:name="_Toc211783328"/>
      <w:bookmarkStart w:id="114" w:name="_Toc7958"/>
      <w:r>
        <w:rPr>
          <w:rFonts w:hint="eastAsia" w:asciiTheme="minorEastAsia" w:hAnsiTheme="minorEastAsia" w:eastAsiaTheme="minorEastAsia" w:cstheme="minorEastAsia"/>
          <w:sz w:val="36"/>
          <w:szCs w:val="36"/>
        </w:rPr>
        <w:t>合同书</w:t>
      </w:r>
      <w:bookmarkEnd w:id="112"/>
      <w:bookmarkEnd w:id="113"/>
      <w:r>
        <w:rPr>
          <w:rFonts w:hint="eastAsia" w:asciiTheme="minorEastAsia" w:hAnsiTheme="minorEastAsia" w:eastAsiaTheme="minorEastAsia" w:cstheme="minorEastAsia"/>
          <w:sz w:val="36"/>
          <w:szCs w:val="36"/>
        </w:rPr>
        <w:t>格式</w:t>
      </w:r>
      <w:bookmarkEnd w:id="114"/>
    </w:p>
    <w:p>
      <w:pPr>
        <w:ind w:firstLine="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bCs/>
          <w:szCs w:val="21"/>
        </w:rPr>
        <w:t>（此合同书仅供签订正式合同时参考用）</w:t>
      </w:r>
    </w:p>
    <w:p>
      <w:pPr>
        <w:autoSpaceDE w:val="0"/>
        <w:autoSpaceDN w:val="0"/>
        <w:adjustRightInd w:val="0"/>
        <w:spacing w:line="360" w:lineRule="auto"/>
        <w:jc w:val="center"/>
        <w:rPr>
          <w:rFonts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合　　同　　协    议   书</w:t>
      </w:r>
    </w:p>
    <w:p>
      <w:pPr>
        <w:autoSpaceDE w:val="0"/>
        <w:autoSpaceDN w:val="0"/>
        <w:adjustRightInd w:val="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p>
    <w:p>
      <w:pPr>
        <w:autoSpaceDE w:val="0"/>
        <w:autoSpaceDN w:val="0"/>
        <w:adjustRightInd w:val="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合同编号：</w:t>
      </w:r>
    </w:p>
    <w:p>
      <w:pPr>
        <w:autoSpaceDE w:val="0"/>
        <w:autoSpaceDN w:val="0"/>
        <w:adjustRightInd w:val="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签订日期：</w:t>
      </w:r>
    </w:p>
    <w:p>
      <w:pPr>
        <w:autoSpaceDE w:val="0"/>
        <w:autoSpaceDN w:val="0"/>
        <w:adjustRightIn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签订合同地点：</w:t>
      </w:r>
    </w:p>
    <w:p>
      <w:pPr>
        <w:pStyle w:val="21"/>
        <w:ind w:firstLine="416"/>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1"/>
          <w:szCs w:val="21"/>
        </w:rPr>
        <w:t>本合同由</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（以下简称“需方”）与</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（以下简称“供方”）签订。供方以总金额</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万元人民币（用大写数字书写）向需方提供如下 （工程/货物/服务）：</w:t>
      </w:r>
    </w:p>
    <w:p>
      <w:pPr>
        <w:autoSpaceDE w:val="0"/>
        <w:autoSpaceDN w:val="0"/>
        <w:adjustRightInd w:val="0"/>
        <w:spacing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经双方协商，同意按下列条文执行：</w:t>
      </w:r>
    </w:p>
    <w:p>
      <w:pPr>
        <w:autoSpaceDE w:val="0"/>
        <w:autoSpaceDN w:val="0"/>
        <w:adjustRightInd w:val="0"/>
        <w:spacing w:line="360" w:lineRule="auto"/>
        <w:ind w:left="210" w:hanging="210" w:hangingChars="1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1.本合同供、需双方必须遵守国家颁布的“合同法”，并各自履行应负的全部责任和义务。</w:t>
      </w:r>
    </w:p>
    <w:p>
      <w:pPr>
        <w:autoSpaceDE w:val="0"/>
        <w:autoSpaceDN w:val="0"/>
        <w:adjustRightInd w:val="0"/>
        <w:spacing w:line="360" w:lineRule="auto"/>
        <w:ind w:left="210" w:hanging="210" w:hangingChars="1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2.需方保证按合同条款规定的时间和方式付给供方到期应付的货款，并承担应负的责任和义务。</w:t>
      </w:r>
    </w:p>
    <w:p>
      <w:pPr>
        <w:autoSpaceDE w:val="0"/>
        <w:autoSpaceDN w:val="0"/>
        <w:adjustRightInd w:val="0"/>
        <w:spacing w:line="360" w:lineRule="auto"/>
        <w:ind w:left="210" w:hanging="210" w:hangingChars="1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3.供方保证全部按合同条款规定的内容和交货期向需方提供合格的</w:t>
      </w:r>
      <w:r>
        <w:rPr>
          <w:rFonts w:hint="eastAsia" w:asciiTheme="minorEastAsia" w:hAnsiTheme="minorEastAsia" w:eastAsiaTheme="minorEastAsia" w:cstheme="minorEastAsia"/>
          <w:kern w:val="0"/>
          <w:szCs w:val="21"/>
          <w:u w:val="single"/>
        </w:rPr>
        <w:t>（工程/货物/服务）</w:t>
      </w:r>
      <w:r>
        <w:rPr>
          <w:rFonts w:hint="eastAsia" w:asciiTheme="minorEastAsia" w:hAnsiTheme="minorEastAsia" w:eastAsiaTheme="minorEastAsia" w:cstheme="minorEastAsia"/>
          <w:kern w:val="0"/>
          <w:szCs w:val="21"/>
        </w:rPr>
        <w:t>，并承担应负的责任和义务。</w:t>
      </w:r>
    </w:p>
    <w:p>
      <w:pPr>
        <w:autoSpaceDE w:val="0"/>
        <w:autoSpaceDN w:val="0"/>
        <w:adjustRightInd w:val="0"/>
        <w:spacing w:before="156" w:line="360" w:lineRule="auto"/>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4.</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合同文件</w:t>
      </w:r>
    </w:p>
    <w:p>
      <w:pPr>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下列文件为本合同不可分割的部分。</w:t>
      </w:r>
    </w:p>
    <w:p>
      <w:pPr>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4.1</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本竞争性磋商采购文件；</w:t>
      </w:r>
    </w:p>
    <w:p>
      <w:pPr>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供方成交的竞争性磋商响应文件；</w:t>
      </w:r>
    </w:p>
    <w:p>
      <w:pPr>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合同协议书；</w:t>
      </w:r>
    </w:p>
    <w:p>
      <w:pPr>
        <w:autoSpaceDE w:val="0"/>
        <w:autoSpaceDN w:val="0"/>
        <w:adjustRightIn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4.4</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合同条款；</w:t>
      </w:r>
    </w:p>
    <w:p>
      <w:pPr>
        <w:autoSpaceDE w:val="0"/>
        <w:autoSpaceDN w:val="0"/>
        <w:adjustRightIn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u w:val="single"/>
        </w:rPr>
        <w:t xml:space="preserve">  （政府采购代理机构）  </w:t>
      </w:r>
      <w:r>
        <w:rPr>
          <w:rFonts w:hint="eastAsia" w:asciiTheme="minorEastAsia" w:hAnsiTheme="minorEastAsia" w:eastAsiaTheme="minorEastAsia" w:cstheme="minorEastAsia"/>
          <w:kern w:val="0"/>
          <w:szCs w:val="21"/>
        </w:rPr>
        <w:t>发出的成交通知书；</w:t>
      </w:r>
    </w:p>
    <w:p>
      <w:pPr>
        <w:autoSpaceDE w:val="0"/>
        <w:autoSpaceDN w:val="0"/>
        <w:adjustRightIn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附件：</w:t>
      </w:r>
    </w:p>
    <w:p>
      <w:pPr>
        <w:autoSpaceDE w:val="0"/>
        <w:autoSpaceDN w:val="0"/>
        <w:adjustRightIn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4.6.1 采购方在采购期间发布的所有补充通知；</w:t>
      </w:r>
    </w:p>
    <w:p>
      <w:pPr>
        <w:autoSpaceDE w:val="0"/>
        <w:autoSpaceDN w:val="0"/>
        <w:adjustRightIn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4.6.2 供方在磋商期内补充的所有书面文件；</w:t>
      </w:r>
    </w:p>
    <w:p>
      <w:pPr>
        <w:autoSpaceDE w:val="0"/>
        <w:autoSpaceDN w:val="0"/>
        <w:adjustRightIn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4.6.3 供方在磋商时随同竞争性磋商响应文件一起递送的资料及附图；</w:t>
      </w:r>
    </w:p>
    <w:p>
      <w:pPr>
        <w:autoSpaceDE w:val="0"/>
        <w:autoSpaceDN w:val="0"/>
        <w:adjustRightIn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4.6.4 在商洽本合同时，双方澄清、确认并共同签字的补充文件、技术协议。</w:t>
      </w:r>
    </w:p>
    <w:p>
      <w:pPr>
        <w:autoSpaceDE w:val="0"/>
        <w:autoSpaceDN w:val="0"/>
        <w:adjustRightInd w:val="0"/>
        <w:spacing w:before="156" w:line="360" w:lineRule="auto"/>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5.</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合同范围和条件</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本合同的范围和条件应与上述规定的合同文件内容相一致。</w:t>
      </w:r>
    </w:p>
    <w:p>
      <w:pPr>
        <w:autoSpaceDE w:val="0"/>
        <w:autoSpaceDN w:val="0"/>
        <w:adjustRightInd w:val="0"/>
        <w:spacing w:before="156"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6.</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货物及数量</w:t>
      </w:r>
    </w:p>
    <w:p>
      <w:pPr>
        <w:pStyle w:val="21"/>
        <w:spacing w:line="360" w:lineRule="auto"/>
        <w:ind w:left="0" w:leftChars="0"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本合同所提供的</w:t>
      </w:r>
      <w:r>
        <w:rPr>
          <w:rFonts w:hint="eastAsia" w:asciiTheme="minorEastAsia" w:hAnsiTheme="minorEastAsia" w:eastAsiaTheme="minorEastAsia" w:cstheme="minorEastAsia"/>
          <w:kern w:val="0"/>
          <w:sz w:val="21"/>
          <w:szCs w:val="21"/>
          <w:u w:val="single"/>
        </w:rPr>
        <w:t xml:space="preserve">  （工程/货物/服务）  </w:t>
      </w:r>
      <w:r>
        <w:rPr>
          <w:rFonts w:hint="eastAsia" w:asciiTheme="minorEastAsia" w:hAnsiTheme="minorEastAsia" w:eastAsiaTheme="minorEastAsia" w:cstheme="minorEastAsia"/>
          <w:kern w:val="0"/>
          <w:sz w:val="21"/>
          <w:szCs w:val="21"/>
        </w:rPr>
        <w:t>及数量详见竞争性磋商采购文件的要求及供方竞争性磋商响应文件中的承诺。</w:t>
      </w:r>
    </w:p>
    <w:p>
      <w:pPr>
        <w:autoSpaceDE w:val="0"/>
        <w:autoSpaceDN w:val="0"/>
        <w:adjustRightInd w:val="0"/>
        <w:spacing w:before="156"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7.</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付款条件</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本合同的付款条件在竞争性磋商采购文件中有明确规定。</w:t>
      </w:r>
    </w:p>
    <w:p>
      <w:pPr>
        <w:autoSpaceDE w:val="0"/>
        <w:autoSpaceDN w:val="0"/>
        <w:adjustRightInd w:val="0"/>
        <w:spacing w:before="156"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8.</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合同金额</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合同总金额见合同书，分项价格在供方的竞争性磋商响应文件中有明确规定。</w:t>
      </w:r>
    </w:p>
    <w:p>
      <w:pPr>
        <w:autoSpaceDE w:val="0"/>
        <w:autoSpaceDN w:val="0"/>
        <w:adjustRightInd w:val="0"/>
        <w:spacing w:before="156" w:line="360" w:lineRule="auto"/>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9.</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交货时间和交货地点</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本合同中</w:t>
      </w:r>
      <w:r>
        <w:rPr>
          <w:rFonts w:hint="eastAsia" w:asciiTheme="minorEastAsia" w:hAnsiTheme="minorEastAsia" w:eastAsiaTheme="minorEastAsia" w:cstheme="minorEastAsia"/>
          <w:kern w:val="0"/>
          <w:szCs w:val="21"/>
          <w:u w:val="single"/>
        </w:rPr>
        <w:t xml:space="preserve"> （工程/货物/服务） </w:t>
      </w:r>
      <w:r>
        <w:rPr>
          <w:rFonts w:hint="eastAsia" w:asciiTheme="minorEastAsia" w:hAnsiTheme="minorEastAsia" w:eastAsiaTheme="minorEastAsia" w:cstheme="minorEastAsia"/>
          <w:kern w:val="0"/>
          <w:szCs w:val="21"/>
        </w:rPr>
        <w:t>的</w:t>
      </w:r>
      <w:r>
        <w:rPr>
          <w:rFonts w:hint="eastAsia" w:asciiTheme="minorEastAsia" w:hAnsiTheme="minorEastAsia" w:eastAsiaTheme="minorEastAsia" w:cstheme="minorEastAsia"/>
          <w:kern w:val="0"/>
          <w:szCs w:val="21"/>
          <w:u w:val="single"/>
        </w:rPr>
        <w:t xml:space="preserve"> (交货时间/服务完成时间） </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u w:val="single"/>
        </w:rPr>
        <w:t xml:space="preserve"> (交货地点/服务地点） </w:t>
      </w:r>
      <w:r>
        <w:rPr>
          <w:rFonts w:hint="eastAsia" w:asciiTheme="minorEastAsia" w:hAnsiTheme="minorEastAsia" w:eastAsiaTheme="minorEastAsia" w:cstheme="minorEastAsia"/>
          <w:kern w:val="0"/>
          <w:szCs w:val="21"/>
        </w:rPr>
        <w:t>在竞争性磋商采购文件中有明确规定。</w:t>
      </w:r>
    </w:p>
    <w:p>
      <w:pPr>
        <w:autoSpaceDE w:val="0"/>
        <w:autoSpaceDN w:val="0"/>
        <w:adjustRightInd w:val="0"/>
        <w:spacing w:before="156" w:line="360" w:lineRule="auto"/>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10.</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合同生效</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本合同经供、需双方授权代表签字和加盖公章（或合同专用章）后生效。如采购申请公证的，合同需经公证机构公证后生效。</w:t>
      </w:r>
    </w:p>
    <w:p>
      <w:pPr>
        <w:autoSpaceDE w:val="0"/>
        <w:autoSpaceDN w:val="0"/>
        <w:adjustRightInd w:val="0"/>
        <w:spacing w:before="156" w:line="360" w:lineRule="auto"/>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11.</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合同的份数</w:t>
      </w:r>
    </w:p>
    <w:p>
      <w:pPr>
        <w:autoSpaceDE w:val="0"/>
        <w:autoSpaceDN w:val="0"/>
        <w:adjustRightInd w:val="0"/>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本合同正本一式</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份，需方执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份，供方执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份；副本一式</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份，需方执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份，供方执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份，主管部门执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w:t>
      </w:r>
    </w:p>
    <w:p>
      <w:pPr>
        <w:autoSpaceDE w:val="0"/>
        <w:autoSpaceDN w:val="0"/>
        <w:adjustRightInd w:val="0"/>
        <w:spacing w:before="156" w:line="360" w:lineRule="auto"/>
        <w:jc w:val="lef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12.</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合同的失效</w:t>
      </w:r>
    </w:p>
    <w:p>
      <w:pPr>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本合同在合同价款结清后失效。</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需　　方</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供　　方</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单位名称（盖章）：</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单位名称（盖章）：</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单位地址：</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单位地址：</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法人代表授权人(签字)：</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法人代表授权人(签字)：</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 系 人：</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联 系 人：</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电　　话：</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传　　真：</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邮政编码：</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邮政编码：</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开户银行：</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帐　　号：</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帐　　号：</w:t>
      </w:r>
    </w:p>
    <w:p>
      <w:pPr>
        <w:tabs>
          <w:tab w:val="left" w:pos="4615"/>
        </w:tabs>
        <w:autoSpaceDE w:val="0"/>
        <w:autoSpaceDN w:val="0"/>
        <w:adjustRightInd w:val="0"/>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税　　号：</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税　　号：</w:t>
      </w:r>
    </w:p>
    <w:p>
      <w:pPr>
        <w:spacing w:line="360" w:lineRule="auto"/>
      </w:pPr>
      <w:r>
        <w:rPr>
          <w:rFonts w:hint="eastAsia" w:asciiTheme="minorEastAsia" w:hAnsiTheme="minorEastAsia" w:eastAsiaTheme="minorEastAsia" w:cstheme="minorEastAsia"/>
          <w:szCs w:val="21"/>
        </w:rPr>
        <w:t>合同签订地址：</w:t>
      </w:r>
    </w:p>
    <w:p>
      <w:pPr>
        <w:pStyle w:val="3"/>
        <w:numPr>
          <w:ilvl w:val="0"/>
          <w:numId w:val="4"/>
        </w:numPr>
        <w:jc w:val="center"/>
        <w:rPr>
          <w:rFonts w:asciiTheme="minorEastAsia" w:hAnsiTheme="minorEastAsia" w:eastAsiaTheme="minorEastAsia" w:cstheme="minorEastAsia"/>
          <w:sz w:val="36"/>
          <w:szCs w:val="36"/>
        </w:rPr>
      </w:pPr>
      <w:bookmarkStart w:id="115" w:name="_Toc32354"/>
      <w:r>
        <w:rPr>
          <w:rFonts w:hint="eastAsia" w:asciiTheme="minorEastAsia" w:hAnsiTheme="minorEastAsia" w:eastAsiaTheme="minorEastAsia" w:cstheme="minorEastAsia"/>
          <w:sz w:val="36"/>
          <w:szCs w:val="36"/>
        </w:rPr>
        <w:t>竞争性磋商响应文件格式</w:t>
      </w:r>
      <w:bookmarkEnd w:id="115"/>
    </w:p>
    <w:p>
      <w:pPr>
        <w:autoSpaceDE w:val="0"/>
        <w:autoSpaceDN w:val="0"/>
        <w:adjustRightInd w:val="0"/>
        <w:rPr>
          <w:rFonts w:asciiTheme="minorEastAsia" w:hAnsiTheme="minorEastAsia" w:eastAsiaTheme="minorEastAsia" w:cstheme="minorEastAsia"/>
        </w:rPr>
      </w:pPr>
      <w:r>
        <w:rPr>
          <w:rFonts w:hint="eastAsia" w:asciiTheme="minorEastAsia" w:hAnsiTheme="minorEastAsia" w:eastAsiaTheme="minorEastAsia" w:cstheme="minorEastAsia"/>
        </w:rPr>
        <w:t>封面：</w:t>
      </w:r>
    </w:p>
    <w:p>
      <w:pPr>
        <w:autoSpaceDE w:val="0"/>
        <w:autoSpaceDN w:val="0"/>
        <w:adjustRightInd w:val="0"/>
        <w:rPr>
          <w:rFonts w:asciiTheme="minorEastAsia" w:hAnsiTheme="minorEastAsia" w:eastAsiaTheme="minorEastAsia" w:cstheme="minorEastAsia"/>
        </w:rPr>
      </w:pPr>
    </w:p>
    <w:p>
      <w:pPr>
        <w:autoSpaceDE w:val="0"/>
        <w:autoSpaceDN w:val="0"/>
        <w:adjustRightInd w:val="0"/>
        <w:rPr>
          <w:rFonts w:asciiTheme="minorEastAsia" w:hAnsiTheme="minorEastAsia" w:eastAsiaTheme="minorEastAsia" w:cstheme="minorEastAsia"/>
        </w:rPr>
      </w:pPr>
    </w:p>
    <w:p>
      <w:pPr>
        <w:autoSpaceDE w:val="0"/>
        <w:autoSpaceDN w:val="0"/>
        <w:adjustRightInd w:val="0"/>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autoSpaceDE w:val="0"/>
        <w:autoSpaceDN w:val="0"/>
        <w:adjustRightInd w:val="0"/>
        <w:jc w:val="center"/>
        <w:rPr>
          <w:rFonts w:asciiTheme="minorEastAsia" w:hAnsiTheme="minorEastAsia" w:eastAsiaTheme="minorEastAsia" w:cstheme="minorEastAsia"/>
          <w:b/>
          <w:sz w:val="84"/>
          <w:szCs w:val="84"/>
        </w:rPr>
      </w:pPr>
      <w:r>
        <w:rPr>
          <w:rFonts w:hint="eastAsia" w:asciiTheme="minorEastAsia" w:hAnsiTheme="minorEastAsia" w:eastAsiaTheme="minorEastAsia" w:cstheme="minorEastAsia"/>
          <w:b/>
          <w:sz w:val="84"/>
          <w:szCs w:val="84"/>
        </w:rPr>
        <w:t>响 应 文 件</w:t>
      </w: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（正本/副本）</w:t>
      </w: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ind w:firstLine="1190" w:firstLineChars="395"/>
        <w:rPr>
          <w:rFonts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rPr>
        <w:t>项目编号：</w:t>
      </w:r>
      <w:r>
        <w:rPr>
          <w:rFonts w:hint="eastAsia" w:asciiTheme="minorEastAsia" w:hAnsiTheme="minorEastAsia" w:eastAsiaTheme="minorEastAsia" w:cstheme="minorEastAsia"/>
          <w:b/>
          <w:bCs/>
          <w:sz w:val="30"/>
          <w:szCs w:val="30"/>
          <w:u w:val="single"/>
        </w:rPr>
        <w:t xml:space="preserve">                            </w:t>
      </w:r>
    </w:p>
    <w:p>
      <w:pPr>
        <w:tabs>
          <w:tab w:val="left" w:pos="7230"/>
        </w:tabs>
        <w:ind w:firstLine="1190" w:firstLineChars="395"/>
        <w:rPr>
          <w:rFonts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rPr>
        <w:t>项目名称：</w:t>
      </w: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ind w:firstLine="1190" w:firstLineChars="395"/>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 </w:t>
      </w: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rPr>
          <w:rFonts w:asciiTheme="minorEastAsia" w:hAnsiTheme="minorEastAsia" w:eastAsiaTheme="minorEastAsia" w:cstheme="minorEastAsia"/>
          <w:szCs w:val="21"/>
        </w:rPr>
      </w:pPr>
    </w:p>
    <w:p>
      <w:pPr>
        <w:autoSpaceDE w:val="0"/>
        <w:autoSpaceDN w:val="0"/>
        <w:adjustRightInd w:val="0"/>
        <w:spacing w:line="360" w:lineRule="auto"/>
        <w:ind w:firstLine="1260" w:firstLineChars="450"/>
        <w:rPr>
          <w:rFonts w:asciiTheme="minorEastAsia" w:hAnsiTheme="minorEastAsia" w:eastAsiaTheme="minorEastAsia" w:cstheme="minorEastAsia"/>
          <w:b/>
          <w:bCs/>
          <w:sz w:val="32"/>
          <w:u w:val="single"/>
        </w:rPr>
      </w:pPr>
      <w:r>
        <w:rPr>
          <w:rFonts w:hint="eastAsia" w:asciiTheme="minorEastAsia" w:hAnsiTheme="minorEastAsia" w:eastAsiaTheme="minorEastAsia" w:cstheme="minorEastAsia"/>
          <w:sz w:val="28"/>
          <w:szCs w:val="28"/>
        </w:rPr>
        <w:t>磋商供应商名称（盖章）：</w:t>
      </w:r>
      <w:r>
        <w:rPr>
          <w:rFonts w:hint="eastAsia" w:asciiTheme="minorEastAsia" w:hAnsiTheme="minorEastAsia" w:eastAsiaTheme="minorEastAsia" w:cstheme="minorEastAsia"/>
          <w:b/>
          <w:bCs/>
          <w:sz w:val="32"/>
          <w:u w:val="single"/>
        </w:rPr>
        <w:t xml:space="preserve">                       </w:t>
      </w:r>
      <w:bookmarkStart w:id="116" w:name="_Toc23858"/>
      <w:bookmarkStart w:id="117" w:name="_Toc5751"/>
    </w:p>
    <w:p>
      <w:pPr>
        <w:autoSpaceDE w:val="0"/>
        <w:autoSpaceDN w:val="0"/>
        <w:adjustRightInd w:val="0"/>
        <w:spacing w:line="360" w:lineRule="auto"/>
        <w:ind w:firstLine="1260" w:firstLineChars="4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bookmarkEnd w:id="116"/>
    <w:bookmarkEnd w:id="117"/>
    <w:p>
      <w:pPr>
        <w:autoSpaceDE w:val="0"/>
        <w:autoSpaceDN w:val="0"/>
        <w:adjustRightInd w:val="0"/>
        <w:spacing w:line="360" w:lineRule="auto"/>
        <w:jc w:val="center"/>
        <w:rPr>
          <w:rFonts w:asciiTheme="minorEastAsia" w:hAnsiTheme="minorEastAsia" w:eastAsiaTheme="minorEastAsia" w:cstheme="minorEastAsia"/>
          <w:b/>
          <w:bCs/>
          <w:sz w:val="24"/>
        </w:rPr>
      </w:pPr>
      <w:bookmarkStart w:id="118" w:name="_Toc360174584"/>
      <w:bookmarkStart w:id="119" w:name="_Toc264644272"/>
      <w:bookmarkStart w:id="120" w:name="_Toc533331084"/>
      <w:bookmarkStart w:id="121" w:name="_Toc533330957"/>
      <w:bookmarkStart w:id="122" w:name="_Toc11320441"/>
      <w:bookmarkStart w:id="123" w:name="_Toc211783342"/>
      <w:r>
        <w:rPr>
          <w:rFonts w:hint="eastAsia" w:asciiTheme="minorEastAsia" w:hAnsiTheme="minorEastAsia" w:eastAsiaTheme="minorEastAsia" w:cstheme="minorEastAsia"/>
          <w:b/>
          <w:bCs/>
          <w:sz w:val="24"/>
        </w:rPr>
        <w:br w:type="page"/>
      </w:r>
      <w:r>
        <w:rPr>
          <w:rFonts w:hint="eastAsia" w:asciiTheme="minorEastAsia" w:hAnsiTheme="minorEastAsia" w:eastAsiaTheme="minorEastAsia" w:cstheme="minorEastAsia"/>
          <w:b/>
          <w:bCs/>
          <w:sz w:val="24"/>
        </w:rPr>
        <w:t>响应文件目录</w:t>
      </w:r>
      <w:bookmarkEnd w:id="118"/>
      <w:bookmarkEnd w:id="119"/>
    </w:p>
    <w:p>
      <w:pPr>
        <w:autoSpaceDE w:val="0"/>
        <w:autoSpaceDN w:val="0"/>
        <w:adjustRightInd w:val="0"/>
        <w:rPr>
          <w:rFonts w:asciiTheme="minorEastAsia" w:hAnsiTheme="minorEastAsia" w:eastAsiaTheme="minorEastAsia" w:cstheme="minorEastAsia"/>
          <w:b/>
          <w:bCs/>
          <w:szCs w:val="21"/>
        </w:rPr>
      </w:pPr>
    </w:p>
    <w:p>
      <w:pPr>
        <w:autoSpaceDE w:val="0"/>
        <w:autoSpaceDN w:val="0"/>
        <w:adjustRightInd w:val="0"/>
        <w:spacing w:line="360" w:lineRule="auto"/>
        <w:rPr>
          <w:rFonts w:ascii="宋体" w:hAnsi="宋体" w:cs="宋体"/>
          <w:b/>
          <w:szCs w:val="21"/>
        </w:rPr>
      </w:pPr>
      <w:r>
        <w:rPr>
          <w:rFonts w:hint="eastAsia" w:ascii="宋体" w:hAnsi="宋体" w:cs="宋体"/>
          <w:b/>
          <w:szCs w:val="21"/>
        </w:rPr>
        <w:t>注：投标文件目录及内容每页须顺序编写页码。</w:t>
      </w:r>
    </w:p>
    <w:p>
      <w:pPr>
        <w:autoSpaceDE w:val="0"/>
        <w:autoSpaceDN w:val="0"/>
        <w:adjustRightInd w:val="0"/>
        <w:spacing w:line="360" w:lineRule="auto"/>
        <w:jc w:val="center"/>
        <w:outlineLvl w:val="1"/>
        <w:rPr>
          <w:rFonts w:ascii="宋体" w:hAnsi="宋体" w:cs="宋体"/>
          <w:b/>
          <w:szCs w:val="21"/>
        </w:rPr>
      </w:pPr>
      <w:bookmarkStart w:id="124" w:name="_Toc21743"/>
      <w:r>
        <w:rPr>
          <w:rFonts w:hint="eastAsia" w:ascii="宋体" w:hAnsi="宋体" w:cs="宋体"/>
          <w:b/>
          <w:szCs w:val="21"/>
        </w:rPr>
        <w:br w:type="textWrapping"/>
      </w:r>
      <w:r>
        <w:rPr>
          <w:rFonts w:hint="eastAsia" w:ascii="宋体" w:hAnsi="宋体" w:cs="宋体"/>
          <w:b/>
          <w:szCs w:val="21"/>
        </w:rPr>
        <w:t>一、评分标准索引表</w:t>
      </w:r>
      <w:bookmarkEnd w:id="124"/>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1285"/>
        <w:gridCol w:w="5358"/>
        <w:gridCol w:w="825"/>
        <w:gridCol w:w="11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687" w:type="dxa"/>
            <w:tcBorders>
              <w:top w:val="single" w:color="auto" w:sz="12" w:space="0"/>
            </w:tcBorders>
            <w:vAlign w:val="center"/>
          </w:tcPr>
          <w:p>
            <w:pPr>
              <w:spacing w:line="360" w:lineRule="auto"/>
              <w:jc w:val="center"/>
              <w:rPr>
                <w:rFonts w:ascii="宋体" w:hAnsi="宋体" w:cs="宋体"/>
                <w:b/>
                <w:bCs/>
                <w:spacing w:val="-6"/>
                <w:szCs w:val="21"/>
              </w:rPr>
            </w:pPr>
            <w:r>
              <w:rPr>
                <w:rFonts w:hint="eastAsia" w:ascii="宋体" w:hAnsi="宋体" w:cs="宋体"/>
                <w:b/>
                <w:bCs/>
                <w:szCs w:val="21"/>
              </w:rPr>
              <w:t>类别</w:t>
            </w:r>
          </w:p>
        </w:tc>
        <w:tc>
          <w:tcPr>
            <w:tcW w:w="1285" w:type="dxa"/>
            <w:tcBorders>
              <w:top w:val="single" w:color="auto" w:sz="12" w:space="0"/>
            </w:tcBorders>
            <w:vAlign w:val="center"/>
          </w:tcPr>
          <w:p>
            <w:pPr>
              <w:spacing w:line="360" w:lineRule="auto"/>
              <w:jc w:val="center"/>
              <w:rPr>
                <w:rFonts w:ascii="宋体" w:hAnsi="宋体" w:cs="宋体"/>
                <w:b/>
                <w:bCs/>
                <w:spacing w:val="-6"/>
                <w:szCs w:val="21"/>
              </w:rPr>
            </w:pPr>
            <w:r>
              <w:rPr>
                <w:rFonts w:hint="eastAsia" w:ascii="宋体" w:hAnsi="宋体" w:cs="宋体"/>
                <w:b/>
                <w:bCs/>
                <w:szCs w:val="21"/>
              </w:rPr>
              <w:t>评审因素</w:t>
            </w:r>
          </w:p>
        </w:tc>
        <w:tc>
          <w:tcPr>
            <w:tcW w:w="5358" w:type="dxa"/>
            <w:tcBorders>
              <w:top w:val="single" w:color="auto" w:sz="12" w:space="0"/>
            </w:tcBorders>
            <w:vAlign w:val="center"/>
          </w:tcPr>
          <w:p>
            <w:pPr>
              <w:spacing w:line="360" w:lineRule="auto"/>
              <w:jc w:val="center"/>
              <w:rPr>
                <w:rFonts w:ascii="宋体" w:hAnsi="宋体" w:cs="宋体"/>
                <w:b/>
                <w:bCs/>
                <w:spacing w:val="-6"/>
                <w:szCs w:val="21"/>
              </w:rPr>
            </w:pPr>
            <w:r>
              <w:rPr>
                <w:rFonts w:hint="eastAsia" w:ascii="宋体" w:hAnsi="宋体" w:cs="宋体"/>
                <w:b/>
                <w:bCs/>
                <w:szCs w:val="21"/>
              </w:rPr>
              <w:t>评审标准</w:t>
            </w:r>
          </w:p>
        </w:tc>
        <w:tc>
          <w:tcPr>
            <w:tcW w:w="825" w:type="dxa"/>
            <w:tcBorders>
              <w:top w:val="single" w:color="auto" w:sz="12" w:space="0"/>
            </w:tcBorders>
            <w:vAlign w:val="center"/>
          </w:tcPr>
          <w:p>
            <w:pPr>
              <w:spacing w:line="360" w:lineRule="auto"/>
              <w:jc w:val="center"/>
              <w:rPr>
                <w:rFonts w:ascii="宋体" w:hAnsi="宋体" w:cs="宋体"/>
                <w:b/>
                <w:bCs/>
                <w:szCs w:val="21"/>
              </w:rPr>
            </w:pPr>
            <w:r>
              <w:rPr>
                <w:rFonts w:hint="eastAsia" w:ascii="宋体" w:hAnsi="宋体" w:cs="宋体"/>
                <w:b/>
                <w:bCs/>
                <w:szCs w:val="21"/>
              </w:rPr>
              <w:t>分值</w:t>
            </w:r>
          </w:p>
        </w:tc>
        <w:tc>
          <w:tcPr>
            <w:tcW w:w="1133" w:type="dxa"/>
            <w:tcBorders>
              <w:top w:val="single" w:color="auto" w:sz="12" w:space="0"/>
            </w:tcBorders>
            <w:vAlign w:val="center"/>
          </w:tcPr>
          <w:p>
            <w:pPr>
              <w:spacing w:line="360" w:lineRule="auto"/>
              <w:jc w:val="center"/>
              <w:rPr>
                <w:rFonts w:ascii="宋体" w:hAnsi="宋体" w:cs="宋体"/>
                <w:b/>
                <w:bCs/>
                <w:szCs w:val="21"/>
              </w:rPr>
            </w:pPr>
            <w:r>
              <w:rPr>
                <w:rFonts w:hint="eastAsia" w:ascii="宋体" w:hAnsi="宋体" w:cs="宋体"/>
                <w:b/>
                <w:bCs/>
                <w:szCs w:val="21"/>
              </w:rPr>
              <w:t>对应页码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687" w:type="dxa"/>
            <w:vAlign w:val="center"/>
          </w:tcPr>
          <w:p>
            <w:pPr>
              <w:widowControl/>
              <w:spacing w:line="360" w:lineRule="auto"/>
              <w:jc w:val="center"/>
              <w:textAlignment w:val="center"/>
              <w:rPr>
                <w:rFonts w:ascii="宋体" w:hAnsi="宋体" w:cs="宋体"/>
                <w:spacing w:val="-6"/>
                <w:szCs w:val="21"/>
              </w:rPr>
            </w:pPr>
          </w:p>
        </w:tc>
        <w:tc>
          <w:tcPr>
            <w:tcW w:w="1285" w:type="dxa"/>
            <w:vAlign w:val="center"/>
          </w:tcPr>
          <w:p>
            <w:pPr>
              <w:widowControl/>
              <w:spacing w:line="360" w:lineRule="auto"/>
              <w:jc w:val="center"/>
              <w:textAlignment w:val="center"/>
              <w:rPr>
                <w:rFonts w:ascii="宋体" w:hAnsi="宋体" w:cs="宋体"/>
                <w:spacing w:val="-6"/>
                <w:szCs w:val="21"/>
              </w:rPr>
            </w:pPr>
          </w:p>
        </w:tc>
        <w:tc>
          <w:tcPr>
            <w:tcW w:w="5358" w:type="dxa"/>
            <w:vAlign w:val="center"/>
          </w:tcPr>
          <w:p>
            <w:pPr>
              <w:widowControl/>
              <w:spacing w:line="360" w:lineRule="auto"/>
              <w:jc w:val="left"/>
              <w:textAlignment w:val="center"/>
              <w:rPr>
                <w:rFonts w:ascii="宋体" w:hAnsi="宋体" w:cs="宋体"/>
                <w:szCs w:val="21"/>
              </w:rPr>
            </w:pPr>
          </w:p>
        </w:tc>
        <w:tc>
          <w:tcPr>
            <w:tcW w:w="825" w:type="dxa"/>
            <w:vAlign w:val="center"/>
          </w:tcPr>
          <w:p>
            <w:pPr>
              <w:widowControl/>
              <w:spacing w:line="360" w:lineRule="auto"/>
              <w:jc w:val="center"/>
              <w:textAlignment w:val="center"/>
              <w:rPr>
                <w:rFonts w:ascii="宋体" w:hAnsi="宋体" w:cs="宋体"/>
                <w:szCs w:val="21"/>
              </w:rPr>
            </w:pPr>
          </w:p>
        </w:tc>
        <w:tc>
          <w:tcPr>
            <w:tcW w:w="1133" w:type="dxa"/>
            <w:vAlign w:val="center"/>
          </w:tcPr>
          <w:p>
            <w:pPr>
              <w:widowControl/>
              <w:spacing w:line="360" w:lineRule="auto"/>
              <w:jc w:val="center"/>
              <w:textAlignment w:val="center"/>
              <w:rPr>
                <w:rFonts w:ascii="宋体" w:hAnsi="宋体" w:cs="宋体"/>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vAlign w:val="center"/>
          </w:tcPr>
          <w:p>
            <w:pPr>
              <w:spacing w:line="360" w:lineRule="auto"/>
              <w:jc w:val="center"/>
              <w:rPr>
                <w:rFonts w:ascii="宋体" w:hAnsi="宋体" w:cs="宋体"/>
                <w:spacing w:val="-6"/>
                <w:szCs w:val="21"/>
              </w:rPr>
            </w:pPr>
          </w:p>
        </w:tc>
        <w:tc>
          <w:tcPr>
            <w:tcW w:w="1285" w:type="dxa"/>
            <w:vAlign w:val="center"/>
          </w:tcPr>
          <w:p>
            <w:pPr>
              <w:spacing w:line="360" w:lineRule="auto"/>
              <w:rPr>
                <w:rFonts w:ascii="宋体" w:hAnsi="宋体" w:cs="宋体"/>
                <w:spacing w:val="-6"/>
                <w:kern w:val="0"/>
                <w:szCs w:val="21"/>
              </w:rPr>
            </w:pPr>
          </w:p>
        </w:tc>
        <w:tc>
          <w:tcPr>
            <w:tcW w:w="5358" w:type="dxa"/>
            <w:vAlign w:val="center"/>
          </w:tcPr>
          <w:p>
            <w:pPr>
              <w:spacing w:line="360" w:lineRule="auto"/>
              <w:rPr>
                <w:rFonts w:ascii="宋体" w:hAnsi="宋体" w:cs="宋体"/>
                <w:spacing w:val="-6"/>
                <w:szCs w:val="21"/>
              </w:rPr>
            </w:pPr>
          </w:p>
        </w:tc>
        <w:tc>
          <w:tcPr>
            <w:tcW w:w="825" w:type="dxa"/>
            <w:vAlign w:val="center"/>
          </w:tcPr>
          <w:p>
            <w:pPr>
              <w:spacing w:line="360" w:lineRule="auto"/>
              <w:rPr>
                <w:rFonts w:ascii="宋体" w:hAnsi="宋体" w:cs="宋体"/>
                <w:spacing w:val="-6"/>
                <w:szCs w:val="21"/>
              </w:rPr>
            </w:pPr>
          </w:p>
        </w:tc>
        <w:tc>
          <w:tcPr>
            <w:tcW w:w="1133" w:type="dxa"/>
            <w:vAlign w:val="center"/>
          </w:tcPr>
          <w:p>
            <w:pPr>
              <w:spacing w:line="360" w:lineRule="auto"/>
              <w:rPr>
                <w:rFonts w:ascii="宋体" w:hAnsi="宋体" w:cs="宋体"/>
                <w:spacing w:val="-6"/>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spacing w:line="360" w:lineRule="auto"/>
              <w:rPr>
                <w:rFonts w:ascii="宋体" w:hAnsi="宋体" w:cs="宋体"/>
                <w:szCs w:val="21"/>
              </w:rPr>
            </w:pPr>
          </w:p>
        </w:tc>
        <w:tc>
          <w:tcPr>
            <w:tcW w:w="1285" w:type="dxa"/>
            <w:vAlign w:val="center"/>
          </w:tcPr>
          <w:p>
            <w:pPr>
              <w:spacing w:line="360" w:lineRule="auto"/>
              <w:rPr>
                <w:rFonts w:ascii="宋体" w:hAnsi="宋体" w:cs="宋体"/>
                <w:spacing w:val="-6"/>
                <w:kern w:val="0"/>
                <w:szCs w:val="21"/>
              </w:rPr>
            </w:pPr>
          </w:p>
        </w:tc>
        <w:tc>
          <w:tcPr>
            <w:tcW w:w="5358" w:type="dxa"/>
            <w:vAlign w:val="center"/>
          </w:tcPr>
          <w:p>
            <w:pPr>
              <w:autoSpaceDE w:val="0"/>
              <w:autoSpaceDN w:val="0"/>
              <w:adjustRightInd w:val="0"/>
              <w:spacing w:line="360" w:lineRule="auto"/>
              <w:ind w:right="71" w:rightChars="34"/>
              <w:rPr>
                <w:rFonts w:ascii="宋体" w:hAnsi="宋体" w:cs="宋体"/>
                <w:spacing w:val="-6"/>
                <w:kern w:val="0"/>
                <w:szCs w:val="21"/>
              </w:rPr>
            </w:pPr>
          </w:p>
        </w:tc>
        <w:tc>
          <w:tcPr>
            <w:tcW w:w="825" w:type="dxa"/>
            <w:vAlign w:val="center"/>
          </w:tcPr>
          <w:p>
            <w:pPr>
              <w:autoSpaceDE w:val="0"/>
              <w:autoSpaceDN w:val="0"/>
              <w:adjustRightInd w:val="0"/>
              <w:spacing w:line="360" w:lineRule="auto"/>
              <w:ind w:right="71" w:rightChars="34"/>
              <w:rPr>
                <w:rFonts w:ascii="宋体" w:hAnsi="宋体" w:cs="宋体"/>
                <w:spacing w:val="-6"/>
                <w:kern w:val="0"/>
                <w:szCs w:val="21"/>
              </w:rPr>
            </w:pPr>
          </w:p>
        </w:tc>
        <w:tc>
          <w:tcPr>
            <w:tcW w:w="1133" w:type="dxa"/>
            <w:vAlign w:val="center"/>
          </w:tcPr>
          <w:p>
            <w:pPr>
              <w:autoSpaceDE w:val="0"/>
              <w:autoSpaceDN w:val="0"/>
              <w:adjustRightInd w:val="0"/>
              <w:spacing w:line="360" w:lineRule="auto"/>
              <w:ind w:right="71" w:rightChars="34"/>
              <w:rPr>
                <w:rFonts w:ascii="宋体" w:hAnsi="宋体" w:cs="宋体"/>
                <w:spacing w:val="-6"/>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spacing w:line="360" w:lineRule="auto"/>
              <w:rPr>
                <w:rFonts w:ascii="宋体" w:hAnsi="宋体" w:cs="宋体"/>
                <w:szCs w:val="21"/>
              </w:rPr>
            </w:pPr>
          </w:p>
        </w:tc>
        <w:tc>
          <w:tcPr>
            <w:tcW w:w="1285" w:type="dxa"/>
            <w:vAlign w:val="center"/>
          </w:tcPr>
          <w:p>
            <w:pPr>
              <w:spacing w:line="360" w:lineRule="auto"/>
              <w:rPr>
                <w:rFonts w:ascii="宋体" w:hAnsi="宋体" w:cs="宋体"/>
                <w:color w:val="000000"/>
                <w:spacing w:val="-6"/>
                <w:szCs w:val="21"/>
              </w:rPr>
            </w:pPr>
          </w:p>
        </w:tc>
        <w:tc>
          <w:tcPr>
            <w:tcW w:w="5358" w:type="dxa"/>
            <w:vAlign w:val="center"/>
          </w:tcPr>
          <w:p>
            <w:pPr>
              <w:autoSpaceDE w:val="0"/>
              <w:autoSpaceDN w:val="0"/>
              <w:adjustRightInd w:val="0"/>
              <w:spacing w:line="360" w:lineRule="auto"/>
              <w:ind w:right="71" w:rightChars="34"/>
              <w:rPr>
                <w:rFonts w:ascii="宋体" w:hAnsi="宋体" w:cs="宋体"/>
                <w:color w:val="000000"/>
                <w:spacing w:val="-6"/>
                <w:szCs w:val="21"/>
              </w:rPr>
            </w:pPr>
          </w:p>
        </w:tc>
        <w:tc>
          <w:tcPr>
            <w:tcW w:w="825" w:type="dxa"/>
            <w:vAlign w:val="center"/>
          </w:tcPr>
          <w:p>
            <w:pPr>
              <w:autoSpaceDE w:val="0"/>
              <w:autoSpaceDN w:val="0"/>
              <w:adjustRightInd w:val="0"/>
              <w:spacing w:line="360" w:lineRule="auto"/>
              <w:ind w:right="71" w:rightChars="34"/>
              <w:rPr>
                <w:rFonts w:ascii="宋体" w:hAnsi="宋体" w:cs="宋体"/>
                <w:color w:val="000000"/>
                <w:spacing w:val="-6"/>
                <w:szCs w:val="21"/>
              </w:rPr>
            </w:pPr>
          </w:p>
        </w:tc>
        <w:tc>
          <w:tcPr>
            <w:tcW w:w="1133" w:type="dxa"/>
            <w:vAlign w:val="center"/>
          </w:tcPr>
          <w:p>
            <w:pPr>
              <w:autoSpaceDE w:val="0"/>
              <w:autoSpaceDN w:val="0"/>
              <w:adjustRightInd w:val="0"/>
              <w:spacing w:line="360" w:lineRule="auto"/>
              <w:ind w:right="71" w:rightChars="34"/>
              <w:rPr>
                <w:rFonts w:ascii="宋体" w:hAnsi="宋体" w:cs="宋体"/>
                <w:color w:val="000000"/>
                <w:spacing w:val="-6"/>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spacing w:line="360" w:lineRule="auto"/>
              <w:rPr>
                <w:rFonts w:ascii="宋体" w:hAnsi="宋体" w:cs="宋体"/>
                <w:szCs w:val="21"/>
              </w:rPr>
            </w:pPr>
          </w:p>
        </w:tc>
        <w:tc>
          <w:tcPr>
            <w:tcW w:w="1285" w:type="dxa"/>
            <w:tcBorders>
              <w:bottom w:val="single" w:color="auto" w:sz="4" w:space="0"/>
            </w:tcBorders>
            <w:vAlign w:val="center"/>
          </w:tcPr>
          <w:p>
            <w:pPr>
              <w:spacing w:line="360" w:lineRule="auto"/>
              <w:rPr>
                <w:rFonts w:ascii="宋体" w:hAnsi="宋体" w:cs="宋体"/>
                <w:spacing w:val="-6"/>
                <w:kern w:val="0"/>
                <w:szCs w:val="21"/>
              </w:rPr>
            </w:pPr>
          </w:p>
        </w:tc>
        <w:tc>
          <w:tcPr>
            <w:tcW w:w="5358" w:type="dxa"/>
            <w:tcBorders>
              <w:bottom w:val="single" w:color="auto" w:sz="4" w:space="0"/>
            </w:tcBorders>
            <w:vAlign w:val="center"/>
          </w:tcPr>
          <w:p>
            <w:pPr>
              <w:autoSpaceDE w:val="0"/>
              <w:autoSpaceDN w:val="0"/>
              <w:adjustRightInd w:val="0"/>
              <w:spacing w:line="360" w:lineRule="auto"/>
              <w:ind w:right="71" w:rightChars="34"/>
              <w:rPr>
                <w:rFonts w:ascii="宋体" w:hAnsi="宋体" w:cs="宋体"/>
                <w:spacing w:val="-6"/>
                <w:kern w:val="0"/>
                <w:szCs w:val="21"/>
              </w:rPr>
            </w:pPr>
          </w:p>
        </w:tc>
        <w:tc>
          <w:tcPr>
            <w:tcW w:w="825" w:type="dxa"/>
            <w:tcBorders>
              <w:bottom w:val="single" w:color="auto" w:sz="4" w:space="0"/>
            </w:tcBorders>
            <w:vAlign w:val="center"/>
          </w:tcPr>
          <w:p>
            <w:pPr>
              <w:autoSpaceDE w:val="0"/>
              <w:autoSpaceDN w:val="0"/>
              <w:adjustRightInd w:val="0"/>
              <w:spacing w:line="360" w:lineRule="auto"/>
              <w:ind w:right="71" w:rightChars="34"/>
              <w:rPr>
                <w:rFonts w:ascii="宋体" w:hAnsi="宋体" w:cs="宋体"/>
                <w:spacing w:val="-6"/>
                <w:kern w:val="0"/>
                <w:szCs w:val="21"/>
              </w:rPr>
            </w:pPr>
          </w:p>
        </w:tc>
        <w:tc>
          <w:tcPr>
            <w:tcW w:w="1133" w:type="dxa"/>
            <w:tcBorders>
              <w:bottom w:val="single" w:color="auto" w:sz="4" w:space="0"/>
            </w:tcBorders>
            <w:vAlign w:val="center"/>
          </w:tcPr>
          <w:p>
            <w:pPr>
              <w:autoSpaceDE w:val="0"/>
              <w:autoSpaceDN w:val="0"/>
              <w:adjustRightInd w:val="0"/>
              <w:spacing w:line="360" w:lineRule="auto"/>
              <w:ind w:right="71" w:rightChars="34"/>
              <w:rPr>
                <w:rFonts w:ascii="宋体" w:hAnsi="宋体" w:cs="宋体"/>
                <w:spacing w:val="-6"/>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spacing w:line="360" w:lineRule="auto"/>
              <w:rPr>
                <w:rFonts w:ascii="宋体" w:hAnsi="宋体" w:cs="宋体"/>
                <w:szCs w:val="21"/>
              </w:rPr>
            </w:pPr>
          </w:p>
        </w:tc>
        <w:tc>
          <w:tcPr>
            <w:tcW w:w="1285" w:type="dxa"/>
            <w:tcBorders>
              <w:top w:val="single" w:color="auto" w:sz="4" w:space="0"/>
            </w:tcBorders>
            <w:vAlign w:val="center"/>
          </w:tcPr>
          <w:p>
            <w:pPr>
              <w:spacing w:line="360" w:lineRule="auto"/>
              <w:rPr>
                <w:rFonts w:ascii="宋体" w:hAnsi="宋体" w:cs="宋体"/>
                <w:spacing w:val="-6"/>
                <w:kern w:val="0"/>
                <w:szCs w:val="21"/>
              </w:rPr>
            </w:pPr>
          </w:p>
        </w:tc>
        <w:tc>
          <w:tcPr>
            <w:tcW w:w="5358" w:type="dxa"/>
            <w:tcBorders>
              <w:top w:val="single" w:color="auto" w:sz="4" w:space="0"/>
            </w:tcBorders>
            <w:vAlign w:val="center"/>
          </w:tcPr>
          <w:p>
            <w:pPr>
              <w:autoSpaceDE w:val="0"/>
              <w:autoSpaceDN w:val="0"/>
              <w:adjustRightInd w:val="0"/>
              <w:spacing w:line="360" w:lineRule="auto"/>
              <w:ind w:right="71" w:rightChars="34"/>
              <w:rPr>
                <w:rFonts w:ascii="宋体" w:hAnsi="宋体" w:cs="宋体"/>
                <w:spacing w:val="-6"/>
                <w:kern w:val="0"/>
                <w:szCs w:val="21"/>
              </w:rPr>
            </w:pPr>
          </w:p>
        </w:tc>
        <w:tc>
          <w:tcPr>
            <w:tcW w:w="825" w:type="dxa"/>
            <w:tcBorders>
              <w:top w:val="single" w:color="auto" w:sz="4" w:space="0"/>
            </w:tcBorders>
            <w:vAlign w:val="center"/>
          </w:tcPr>
          <w:p>
            <w:pPr>
              <w:autoSpaceDE w:val="0"/>
              <w:autoSpaceDN w:val="0"/>
              <w:adjustRightInd w:val="0"/>
              <w:spacing w:line="360" w:lineRule="auto"/>
              <w:ind w:right="71" w:rightChars="34"/>
              <w:rPr>
                <w:rFonts w:ascii="宋体" w:hAnsi="宋体" w:cs="宋体"/>
                <w:spacing w:val="-6"/>
                <w:kern w:val="0"/>
                <w:szCs w:val="21"/>
              </w:rPr>
            </w:pPr>
          </w:p>
        </w:tc>
        <w:tc>
          <w:tcPr>
            <w:tcW w:w="1133" w:type="dxa"/>
            <w:tcBorders>
              <w:top w:val="single" w:color="auto" w:sz="4" w:space="0"/>
            </w:tcBorders>
            <w:vAlign w:val="center"/>
          </w:tcPr>
          <w:p>
            <w:pPr>
              <w:autoSpaceDE w:val="0"/>
              <w:autoSpaceDN w:val="0"/>
              <w:adjustRightInd w:val="0"/>
              <w:spacing w:line="360" w:lineRule="auto"/>
              <w:ind w:right="71" w:rightChars="34"/>
              <w:rPr>
                <w:rFonts w:ascii="宋体" w:hAnsi="宋体" w:cs="宋体"/>
                <w:spacing w:val="-6"/>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vAlign w:val="center"/>
          </w:tcPr>
          <w:p>
            <w:pPr>
              <w:spacing w:line="360" w:lineRule="auto"/>
              <w:jc w:val="center"/>
              <w:rPr>
                <w:rFonts w:ascii="宋体" w:hAnsi="宋体" w:cs="宋体"/>
                <w:spacing w:val="-6"/>
                <w:szCs w:val="21"/>
              </w:rPr>
            </w:pPr>
          </w:p>
        </w:tc>
        <w:tc>
          <w:tcPr>
            <w:tcW w:w="1285" w:type="dxa"/>
            <w:vAlign w:val="center"/>
          </w:tcPr>
          <w:p>
            <w:pPr>
              <w:spacing w:line="360" w:lineRule="auto"/>
              <w:rPr>
                <w:rFonts w:ascii="宋体" w:hAnsi="宋体" w:cs="宋体"/>
                <w:spacing w:val="-6"/>
                <w:szCs w:val="21"/>
              </w:rPr>
            </w:pPr>
          </w:p>
        </w:tc>
        <w:tc>
          <w:tcPr>
            <w:tcW w:w="5358" w:type="dxa"/>
            <w:vAlign w:val="center"/>
          </w:tcPr>
          <w:p>
            <w:pPr>
              <w:spacing w:line="360" w:lineRule="auto"/>
              <w:ind w:left="-4" w:leftChars="-2" w:firstLine="1" w:firstLineChars="1"/>
              <w:rPr>
                <w:rFonts w:ascii="宋体" w:hAnsi="宋体" w:cs="宋体"/>
                <w:spacing w:val="-6"/>
                <w:szCs w:val="21"/>
              </w:rPr>
            </w:pPr>
          </w:p>
        </w:tc>
        <w:tc>
          <w:tcPr>
            <w:tcW w:w="825" w:type="dxa"/>
            <w:vAlign w:val="center"/>
          </w:tcPr>
          <w:p>
            <w:pPr>
              <w:spacing w:line="360" w:lineRule="auto"/>
              <w:ind w:left="-4" w:leftChars="-2" w:firstLine="1" w:firstLineChars="1"/>
              <w:rPr>
                <w:rFonts w:ascii="宋体" w:hAnsi="宋体" w:cs="宋体"/>
                <w:spacing w:val="-6"/>
                <w:szCs w:val="21"/>
              </w:rPr>
            </w:pPr>
          </w:p>
        </w:tc>
        <w:tc>
          <w:tcPr>
            <w:tcW w:w="1133" w:type="dxa"/>
            <w:vAlign w:val="center"/>
          </w:tcPr>
          <w:p>
            <w:pPr>
              <w:spacing w:line="360" w:lineRule="auto"/>
              <w:ind w:left="-4" w:leftChars="-2" w:firstLine="1" w:firstLineChars="1"/>
              <w:rPr>
                <w:rFonts w:ascii="宋体" w:hAnsi="宋体" w:cs="宋体"/>
                <w:spacing w:val="-6"/>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spacing w:line="360" w:lineRule="auto"/>
              <w:ind w:left="-4" w:leftChars="-2" w:firstLine="2" w:firstLineChars="1"/>
              <w:rPr>
                <w:rFonts w:ascii="宋体" w:hAnsi="宋体" w:cs="宋体"/>
                <w:szCs w:val="21"/>
              </w:rPr>
            </w:pPr>
          </w:p>
        </w:tc>
        <w:tc>
          <w:tcPr>
            <w:tcW w:w="1285" w:type="dxa"/>
            <w:vAlign w:val="center"/>
          </w:tcPr>
          <w:p>
            <w:pPr>
              <w:spacing w:line="360" w:lineRule="auto"/>
              <w:ind w:left="-4" w:leftChars="-2" w:firstLine="2" w:firstLineChars="1"/>
              <w:rPr>
                <w:rFonts w:ascii="宋体" w:hAnsi="宋体" w:cs="宋体"/>
                <w:szCs w:val="21"/>
              </w:rPr>
            </w:pPr>
          </w:p>
        </w:tc>
        <w:tc>
          <w:tcPr>
            <w:tcW w:w="5358" w:type="dxa"/>
            <w:vAlign w:val="center"/>
          </w:tcPr>
          <w:p>
            <w:pPr>
              <w:spacing w:line="360" w:lineRule="auto"/>
              <w:ind w:left="-4" w:leftChars="-2" w:firstLine="2" w:firstLineChars="1"/>
              <w:rPr>
                <w:rFonts w:ascii="宋体" w:hAnsi="宋体" w:cs="宋体"/>
                <w:szCs w:val="21"/>
              </w:rPr>
            </w:pPr>
          </w:p>
        </w:tc>
        <w:tc>
          <w:tcPr>
            <w:tcW w:w="825" w:type="dxa"/>
            <w:vAlign w:val="center"/>
          </w:tcPr>
          <w:p>
            <w:pPr>
              <w:spacing w:line="360" w:lineRule="auto"/>
              <w:ind w:left="-4" w:leftChars="-2" w:firstLine="2" w:firstLineChars="1"/>
              <w:rPr>
                <w:rFonts w:ascii="宋体" w:hAnsi="宋体" w:cs="宋体"/>
                <w:szCs w:val="21"/>
              </w:rPr>
            </w:pPr>
          </w:p>
        </w:tc>
        <w:tc>
          <w:tcPr>
            <w:tcW w:w="1133" w:type="dxa"/>
            <w:vAlign w:val="center"/>
          </w:tcPr>
          <w:p>
            <w:pPr>
              <w:spacing w:line="360" w:lineRule="auto"/>
              <w:ind w:left="-4" w:leftChars="-2" w:firstLine="2" w:firstLineChars="1"/>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spacing w:line="360" w:lineRule="auto"/>
              <w:rPr>
                <w:rFonts w:ascii="宋体" w:hAnsi="宋体" w:cs="宋体"/>
                <w:szCs w:val="21"/>
              </w:rPr>
            </w:pPr>
          </w:p>
        </w:tc>
        <w:tc>
          <w:tcPr>
            <w:tcW w:w="1285" w:type="dxa"/>
            <w:vAlign w:val="center"/>
          </w:tcPr>
          <w:p>
            <w:pPr>
              <w:spacing w:line="360" w:lineRule="auto"/>
              <w:rPr>
                <w:rFonts w:ascii="宋体" w:hAnsi="宋体" w:cs="宋体"/>
                <w:spacing w:val="-6"/>
                <w:kern w:val="0"/>
                <w:szCs w:val="21"/>
              </w:rPr>
            </w:pPr>
          </w:p>
        </w:tc>
        <w:tc>
          <w:tcPr>
            <w:tcW w:w="5358" w:type="dxa"/>
            <w:vAlign w:val="center"/>
          </w:tcPr>
          <w:p>
            <w:pPr>
              <w:autoSpaceDE w:val="0"/>
              <w:autoSpaceDN w:val="0"/>
              <w:adjustRightInd w:val="0"/>
              <w:spacing w:line="360" w:lineRule="auto"/>
              <w:rPr>
                <w:rFonts w:ascii="宋体" w:hAnsi="宋体" w:cs="宋体"/>
                <w:spacing w:val="-6"/>
                <w:kern w:val="0"/>
                <w:szCs w:val="21"/>
              </w:rPr>
            </w:pPr>
          </w:p>
        </w:tc>
        <w:tc>
          <w:tcPr>
            <w:tcW w:w="825" w:type="dxa"/>
            <w:vAlign w:val="center"/>
          </w:tcPr>
          <w:p>
            <w:pPr>
              <w:autoSpaceDE w:val="0"/>
              <w:autoSpaceDN w:val="0"/>
              <w:adjustRightInd w:val="0"/>
              <w:spacing w:line="360" w:lineRule="auto"/>
              <w:rPr>
                <w:rFonts w:ascii="宋体" w:hAnsi="宋体" w:cs="宋体"/>
                <w:spacing w:val="-6"/>
                <w:kern w:val="0"/>
                <w:szCs w:val="21"/>
              </w:rPr>
            </w:pPr>
          </w:p>
        </w:tc>
        <w:tc>
          <w:tcPr>
            <w:tcW w:w="1133" w:type="dxa"/>
            <w:vAlign w:val="center"/>
          </w:tcPr>
          <w:p>
            <w:pPr>
              <w:autoSpaceDE w:val="0"/>
              <w:autoSpaceDN w:val="0"/>
              <w:adjustRightInd w:val="0"/>
              <w:spacing w:line="360" w:lineRule="auto"/>
              <w:rPr>
                <w:rFonts w:ascii="宋体" w:hAnsi="宋体" w:cs="宋体"/>
                <w:spacing w:val="-6"/>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spacing w:line="360" w:lineRule="auto"/>
              <w:rPr>
                <w:rFonts w:ascii="宋体" w:hAnsi="宋体" w:cs="宋体"/>
                <w:szCs w:val="21"/>
              </w:rPr>
            </w:pPr>
          </w:p>
        </w:tc>
        <w:tc>
          <w:tcPr>
            <w:tcW w:w="1285" w:type="dxa"/>
            <w:vAlign w:val="center"/>
          </w:tcPr>
          <w:p>
            <w:pPr>
              <w:spacing w:line="360" w:lineRule="auto"/>
              <w:rPr>
                <w:rFonts w:ascii="宋体" w:hAnsi="宋体" w:cs="宋体"/>
                <w:spacing w:val="-6"/>
                <w:szCs w:val="21"/>
              </w:rPr>
            </w:pPr>
          </w:p>
        </w:tc>
        <w:tc>
          <w:tcPr>
            <w:tcW w:w="5358" w:type="dxa"/>
            <w:vAlign w:val="center"/>
          </w:tcPr>
          <w:p>
            <w:pPr>
              <w:spacing w:line="360" w:lineRule="auto"/>
              <w:ind w:left="-4" w:leftChars="-2" w:firstLine="1" w:firstLineChars="1"/>
              <w:rPr>
                <w:rFonts w:ascii="宋体" w:hAnsi="宋体" w:cs="宋体"/>
                <w:spacing w:val="-6"/>
                <w:szCs w:val="21"/>
              </w:rPr>
            </w:pPr>
          </w:p>
        </w:tc>
        <w:tc>
          <w:tcPr>
            <w:tcW w:w="825" w:type="dxa"/>
            <w:vAlign w:val="center"/>
          </w:tcPr>
          <w:p>
            <w:pPr>
              <w:spacing w:line="360" w:lineRule="auto"/>
              <w:ind w:left="-4" w:leftChars="-2" w:firstLine="1" w:firstLineChars="1"/>
              <w:rPr>
                <w:rFonts w:ascii="宋体" w:hAnsi="宋体" w:cs="宋体"/>
                <w:spacing w:val="-6"/>
                <w:szCs w:val="21"/>
              </w:rPr>
            </w:pPr>
          </w:p>
        </w:tc>
        <w:tc>
          <w:tcPr>
            <w:tcW w:w="1133" w:type="dxa"/>
            <w:vAlign w:val="center"/>
          </w:tcPr>
          <w:p>
            <w:pPr>
              <w:spacing w:line="360" w:lineRule="auto"/>
              <w:ind w:left="-4" w:leftChars="-2" w:firstLine="1" w:firstLineChars="1"/>
              <w:rPr>
                <w:rFonts w:ascii="宋体" w:hAnsi="宋体" w:cs="宋体"/>
                <w:spacing w:val="-6"/>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spacing w:line="360" w:lineRule="auto"/>
              <w:rPr>
                <w:rFonts w:ascii="宋体" w:hAnsi="宋体" w:cs="宋体"/>
                <w:szCs w:val="21"/>
              </w:rPr>
            </w:pPr>
          </w:p>
        </w:tc>
        <w:tc>
          <w:tcPr>
            <w:tcW w:w="1285" w:type="dxa"/>
            <w:vAlign w:val="center"/>
          </w:tcPr>
          <w:p>
            <w:pPr>
              <w:spacing w:line="360" w:lineRule="auto"/>
              <w:rPr>
                <w:rFonts w:ascii="宋体" w:hAnsi="宋体" w:cs="宋体"/>
                <w:spacing w:val="-6"/>
                <w:szCs w:val="21"/>
              </w:rPr>
            </w:pPr>
          </w:p>
        </w:tc>
        <w:tc>
          <w:tcPr>
            <w:tcW w:w="5358" w:type="dxa"/>
            <w:vAlign w:val="center"/>
          </w:tcPr>
          <w:p>
            <w:pPr>
              <w:spacing w:line="360" w:lineRule="auto"/>
              <w:rPr>
                <w:rFonts w:ascii="宋体" w:hAnsi="宋体" w:cs="宋体"/>
                <w:spacing w:val="-6"/>
                <w:szCs w:val="21"/>
              </w:rPr>
            </w:pPr>
          </w:p>
        </w:tc>
        <w:tc>
          <w:tcPr>
            <w:tcW w:w="825" w:type="dxa"/>
            <w:vAlign w:val="center"/>
          </w:tcPr>
          <w:p>
            <w:pPr>
              <w:spacing w:line="360" w:lineRule="auto"/>
              <w:rPr>
                <w:rFonts w:ascii="宋体" w:hAnsi="宋体" w:cs="宋体"/>
                <w:spacing w:val="-6"/>
                <w:szCs w:val="21"/>
              </w:rPr>
            </w:pPr>
          </w:p>
        </w:tc>
        <w:tc>
          <w:tcPr>
            <w:tcW w:w="1133" w:type="dxa"/>
            <w:vAlign w:val="center"/>
          </w:tcPr>
          <w:p>
            <w:pPr>
              <w:spacing w:line="360" w:lineRule="auto"/>
              <w:rPr>
                <w:rFonts w:ascii="宋体" w:hAnsi="宋体" w:cs="宋体"/>
                <w:spacing w:val="-6"/>
                <w:szCs w:val="21"/>
              </w:rPr>
            </w:pPr>
          </w:p>
        </w:tc>
      </w:tr>
    </w:tbl>
    <w:p>
      <w:pPr>
        <w:autoSpaceDE w:val="0"/>
        <w:autoSpaceDN w:val="0"/>
        <w:adjustRightInd w:val="0"/>
        <w:spacing w:line="480" w:lineRule="auto"/>
        <w:rPr>
          <w:rFonts w:asciiTheme="minorEastAsia" w:hAnsiTheme="minorEastAsia" w:eastAsiaTheme="minorEastAsia" w:cstheme="minorEastAsia"/>
          <w:b/>
        </w:rPr>
      </w:pPr>
    </w:p>
    <w:p>
      <w:pPr>
        <w:adjustRightInd w:val="0"/>
        <w:snapToGrid w:val="0"/>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rPr>
        <w:br w:type="textWrapping"/>
      </w:r>
    </w:p>
    <w:p>
      <w:pPr>
        <w:adjustRightInd w:val="0"/>
        <w:snapToGrid w:val="0"/>
        <w:spacing w:line="480" w:lineRule="auto"/>
        <w:jc w:val="center"/>
        <w:outlineLvl w:val="1"/>
        <w:rPr>
          <w:rFonts w:asciiTheme="minorEastAsia" w:hAnsiTheme="minorEastAsia" w:eastAsiaTheme="minorEastAsia" w:cstheme="minorEastAsia"/>
          <w:b/>
        </w:rPr>
      </w:pPr>
      <w:bookmarkStart w:id="125" w:name="_Toc30144"/>
      <w:bookmarkStart w:id="126" w:name="_Toc479184125"/>
      <w:bookmarkStart w:id="127" w:name="_Toc20006"/>
      <w:bookmarkStart w:id="128" w:name="_Toc15789"/>
      <w:r>
        <w:rPr>
          <w:rFonts w:hint="eastAsia" w:asciiTheme="minorEastAsia" w:hAnsiTheme="minorEastAsia" w:eastAsiaTheme="minorEastAsia" w:cstheme="minorEastAsia"/>
          <w:b/>
        </w:rPr>
        <w:t>二、磋商书</w:t>
      </w:r>
      <w:bookmarkEnd w:id="125"/>
      <w:bookmarkEnd w:id="126"/>
      <w:bookmarkEnd w:id="127"/>
      <w:bookmarkEnd w:id="128"/>
    </w:p>
    <w:p>
      <w:pPr>
        <w:pStyle w:val="20"/>
        <w:rPr>
          <w:rFonts w:asciiTheme="minorEastAsia" w:hAnsiTheme="minorEastAsia" w:eastAsiaTheme="minorEastAsia" w:cstheme="minorEastAsia"/>
          <w:b/>
          <w:szCs w:val="21"/>
        </w:rPr>
      </w:pPr>
    </w:p>
    <w:p>
      <w:pPr>
        <w:autoSpaceDE w:val="0"/>
        <w:autoSpaceDN w:val="0"/>
        <w:adjustRightInd w:val="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u w:val="single"/>
        </w:rPr>
        <w:t>（政府采购代理机构）：</w:t>
      </w:r>
    </w:p>
    <w:p>
      <w:pPr>
        <w:autoSpaceDE w:val="0"/>
        <w:autoSpaceDN w:val="0"/>
        <w:adjustRightInd w:val="0"/>
        <w:ind w:left="2" w:firstLine="462" w:firstLineChars="2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依据贵方（项目名称/项目编号）项目第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包货物的磋商邀请，我方代表（姓名、职务）经正式授权并代表供应商（供应商的名称、地址）提交下述文件正本一份，副本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w:t>
      </w:r>
    </w:p>
    <w:p>
      <w:pPr>
        <w:numPr>
          <w:ilvl w:val="1"/>
          <w:numId w:val="39"/>
        </w:numPr>
        <w:tabs>
          <w:tab w:val="left" w:pos="840"/>
          <w:tab w:val="clear" w:pos="360"/>
        </w:tabs>
        <w:autoSpaceDE w:val="0"/>
        <w:autoSpaceDN w:val="0"/>
        <w:adjustRightInd w:val="0"/>
        <w:ind w:left="840" w:hanging="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竞争性磋商响应文件；</w:t>
      </w:r>
    </w:p>
    <w:p>
      <w:pPr>
        <w:numPr>
          <w:ilvl w:val="1"/>
          <w:numId w:val="39"/>
        </w:numPr>
        <w:tabs>
          <w:tab w:val="left" w:pos="840"/>
          <w:tab w:val="clear" w:pos="360"/>
        </w:tabs>
        <w:autoSpaceDE w:val="0"/>
        <w:autoSpaceDN w:val="0"/>
        <w:adjustRightInd w:val="0"/>
        <w:ind w:left="840" w:hanging="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资格证明文件；</w:t>
      </w:r>
    </w:p>
    <w:p>
      <w:pPr>
        <w:numPr>
          <w:ilvl w:val="1"/>
          <w:numId w:val="39"/>
        </w:numPr>
        <w:tabs>
          <w:tab w:val="left" w:pos="840"/>
          <w:tab w:val="clear" w:pos="360"/>
        </w:tabs>
        <w:autoSpaceDE w:val="0"/>
        <w:autoSpaceDN w:val="0"/>
        <w:adjustRightInd w:val="0"/>
        <w:ind w:left="840" w:hanging="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按采购的规定递交</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元（人民币大写）的保证金（如有）。</w:t>
      </w:r>
    </w:p>
    <w:p>
      <w:pPr>
        <w:autoSpaceDE w:val="0"/>
        <w:autoSpaceDN w:val="0"/>
        <w:adjustRightInd w:val="0"/>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并进行如下承诺声明：</w:t>
      </w:r>
    </w:p>
    <w:p>
      <w:pPr>
        <w:numPr>
          <w:ilvl w:val="0"/>
          <w:numId w:val="40"/>
        </w:numPr>
        <w:tabs>
          <w:tab w:val="left" w:pos="840"/>
        </w:tabs>
        <w:autoSpaceDE w:val="0"/>
        <w:autoSpaceDN w:val="0"/>
        <w:adjustRightInd w:val="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我公司在参加本次政府采购活动前</w:t>
      </w:r>
      <w:r>
        <w:rPr>
          <w:rFonts w:hint="eastAsia" w:asciiTheme="minorEastAsia" w:hAnsiTheme="minorEastAsia" w:eastAsiaTheme="minorEastAsia" w:cstheme="minorEastAsia"/>
          <w:kern w:val="0"/>
          <w:szCs w:val="21"/>
        </w:rPr>
        <w:t>3年内在经营活动中没有重大违法记录；</w:t>
      </w:r>
    </w:p>
    <w:p>
      <w:pPr>
        <w:numPr>
          <w:ilvl w:val="0"/>
          <w:numId w:val="40"/>
        </w:numPr>
        <w:tabs>
          <w:tab w:val="left" w:pos="840"/>
        </w:tabs>
        <w:autoSpaceDE w:val="0"/>
        <w:autoSpaceDN w:val="0"/>
        <w:adjustRightInd w:val="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我公司在本响应文件中所提供的全部资格证明文件均真实有效，我方承诺对其真实性负责并承担相应后果；</w:t>
      </w:r>
    </w:p>
    <w:p>
      <w:pPr>
        <w:numPr>
          <w:ilvl w:val="0"/>
          <w:numId w:val="40"/>
        </w:numPr>
        <w:tabs>
          <w:tab w:val="left" w:pos="840"/>
        </w:tabs>
        <w:autoSpaceDE w:val="0"/>
        <w:autoSpaceDN w:val="0"/>
        <w:adjustRightInd w:val="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我公司在本响应文件中所响应的内容均将成为签订合同的依据，并承诺按响应内容提供相应服务；</w:t>
      </w:r>
    </w:p>
    <w:p>
      <w:pPr>
        <w:numPr>
          <w:ilvl w:val="0"/>
          <w:numId w:val="40"/>
        </w:numPr>
        <w:tabs>
          <w:tab w:val="left" w:pos="840"/>
        </w:tabs>
        <w:autoSpaceDE w:val="0"/>
        <w:autoSpaceDN w:val="0"/>
        <w:adjustRightInd w:val="0"/>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kern w:val="0"/>
          <w:szCs w:val="21"/>
        </w:rPr>
        <w:t>重要声明：</w:t>
      </w:r>
    </w:p>
    <w:p>
      <w:pPr>
        <w:tabs>
          <w:tab w:val="left" w:pos="840"/>
        </w:tabs>
        <w:autoSpaceDE w:val="0"/>
        <w:autoSpaceDN w:val="0"/>
        <w:adjustRightInd w:val="0"/>
        <w:ind w:left="420" w:leftChars="200"/>
        <w:rPr>
          <w:rFonts w:asciiTheme="minorEastAsia" w:hAnsiTheme="minorEastAsia" w:eastAsiaTheme="minorEastAsia" w:cstheme="minorEastAsia"/>
        </w:rPr>
      </w:pPr>
      <w:r>
        <w:rPr>
          <w:rFonts w:hint="eastAsia" w:asciiTheme="minorEastAsia" w:hAnsiTheme="minorEastAsia" w:eastAsiaTheme="minorEastAsia" w:cstheme="minorEastAsia"/>
          <w:kern w:val="0"/>
          <w:szCs w:val="21"/>
        </w:rPr>
        <w:t>4.1</w:t>
      </w:r>
      <w:r>
        <w:rPr>
          <w:rFonts w:hint="eastAsia" w:asciiTheme="minorEastAsia" w:hAnsiTheme="minorEastAsia" w:eastAsiaTheme="minorEastAsia" w:cstheme="minorEastAsia"/>
        </w:rPr>
        <w:t>与我方单位负责人为同一人的其他单位名称：□无；□有，具体单位名称为：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 xml:space="preserve">      </w:t>
      </w:r>
    </w:p>
    <w:p>
      <w:pPr>
        <w:tabs>
          <w:tab w:val="left" w:pos="840"/>
        </w:tabs>
        <w:autoSpaceDE w:val="0"/>
        <w:autoSpaceDN w:val="0"/>
        <w:adjustRightInd w:val="0"/>
        <w:ind w:left="420" w:leftChars="200"/>
        <w:rPr>
          <w:rFonts w:asciiTheme="minorEastAsia" w:hAnsiTheme="minorEastAsia" w:eastAsiaTheme="minorEastAsia" w:cstheme="minorEastAsia"/>
        </w:rPr>
      </w:pPr>
      <w:r>
        <w:rPr>
          <w:rFonts w:hint="eastAsia" w:asciiTheme="minorEastAsia" w:hAnsiTheme="minorEastAsia" w:eastAsiaTheme="minorEastAsia" w:cstheme="minorEastAsia"/>
        </w:rPr>
        <w:t>4.2与我方存在控股、管理关系的其他单位的名称：□无；□有，具体单位名称为：</w:t>
      </w:r>
      <w:r>
        <w:rPr>
          <w:rFonts w:hint="eastAsia" w:asciiTheme="minorEastAsia" w:hAnsiTheme="minorEastAsia" w:eastAsiaTheme="minorEastAsia" w:cstheme="minorEastAsia"/>
          <w:u w:val="single"/>
        </w:rPr>
        <w:t>     </w:t>
      </w:r>
    </w:p>
    <w:p>
      <w:pPr>
        <w:tabs>
          <w:tab w:val="left" w:pos="840"/>
        </w:tabs>
        <w:autoSpaceDE w:val="0"/>
        <w:autoSpaceDN w:val="0"/>
        <w:adjustRightInd w:val="0"/>
        <w:ind w:left="420" w:leftChars="200"/>
        <w:rPr>
          <w:rFonts w:asciiTheme="minorEastAsia" w:hAnsiTheme="minorEastAsia" w:eastAsiaTheme="minorEastAsia" w:cstheme="minorEastAsia"/>
        </w:rPr>
      </w:pPr>
      <w:r>
        <w:rPr>
          <w:rFonts w:hint="eastAsia" w:asciiTheme="minorEastAsia" w:hAnsiTheme="minorEastAsia" w:eastAsiaTheme="minorEastAsia" w:cstheme="minorEastAsia"/>
        </w:rPr>
        <w:t>4.3参与本项目采购活动前，是否为本项目前期准备提供过整体设计、规范编制或者项目管理、监理、检测等服务：□否；□是，已提供的具体服务内容为：</w:t>
      </w:r>
      <w:r>
        <w:rPr>
          <w:rFonts w:hint="eastAsia" w:asciiTheme="minorEastAsia" w:hAnsiTheme="minorEastAsia" w:eastAsiaTheme="minorEastAsia" w:cstheme="minorEastAsia"/>
          <w:u w:val="single"/>
        </w:rPr>
        <w:t>     </w:t>
      </w:r>
    </w:p>
    <w:p>
      <w:r>
        <w:rPr>
          <w:rFonts w:hint="eastAsia" w:asciiTheme="minorEastAsia" w:hAnsiTheme="minorEastAsia" w:eastAsiaTheme="minorEastAsia" w:cstheme="minorEastAsia"/>
          <w:b/>
          <w:bCs/>
        </w:rPr>
        <w:t>（备注：以上3项声明，必须如实选择，选中项用√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autoSpaceDE w:val="0"/>
        <w:autoSpaceDN w:val="0"/>
        <w:adjustRightInd w:val="0"/>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在此，我方宣布同意如下：</w:t>
      </w:r>
    </w:p>
    <w:p>
      <w:pPr>
        <w:numPr>
          <w:ilvl w:val="6"/>
          <w:numId w:val="41"/>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所附《报价一览表》中规定的应提交和交付的货物报价总价为</w:t>
      </w:r>
      <w:r>
        <w:rPr>
          <w:rFonts w:hint="eastAsia" w:asciiTheme="minorEastAsia" w:hAnsiTheme="minorEastAsia" w:eastAsiaTheme="minorEastAsia" w:cstheme="minorEastAsia"/>
          <w:kern w:val="0"/>
          <w:szCs w:val="21"/>
          <w:u w:val="single"/>
        </w:rPr>
        <w:t>（注明币种，并用文字和数字表示的报价总价）</w:t>
      </w:r>
      <w:r>
        <w:rPr>
          <w:rFonts w:hint="eastAsia" w:asciiTheme="minorEastAsia" w:hAnsiTheme="minorEastAsia" w:eastAsiaTheme="minorEastAsia" w:cstheme="minorEastAsia"/>
          <w:kern w:val="0"/>
          <w:szCs w:val="21"/>
        </w:rPr>
        <w:t>。</w:t>
      </w:r>
    </w:p>
    <w:p>
      <w:pPr>
        <w:numPr>
          <w:ilvl w:val="6"/>
          <w:numId w:val="41"/>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将按竞争性磋商采购文件的约定履行合同责任和义务。</w:t>
      </w:r>
    </w:p>
    <w:p>
      <w:pPr>
        <w:numPr>
          <w:ilvl w:val="6"/>
          <w:numId w:val="41"/>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已详细审查全部竞争性磋商采购文件，包括</w:t>
      </w:r>
      <w:r>
        <w:rPr>
          <w:rFonts w:hint="eastAsia" w:asciiTheme="minorEastAsia" w:hAnsiTheme="minorEastAsia" w:eastAsiaTheme="minorEastAsia" w:cstheme="minorEastAsia"/>
          <w:kern w:val="0"/>
          <w:szCs w:val="21"/>
          <w:u w:val="single"/>
        </w:rPr>
        <w:t>（补充文件等）</w:t>
      </w:r>
      <w:r>
        <w:rPr>
          <w:rFonts w:hint="eastAsia" w:asciiTheme="minorEastAsia" w:hAnsiTheme="minorEastAsia" w:eastAsiaTheme="minorEastAsia" w:cstheme="minorEastAsia"/>
          <w:kern w:val="0"/>
          <w:szCs w:val="21"/>
        </w:rPr>
        <w:t>，对此无异议。</w:t>
      </w:r>
    </w:p>
    <w:p>
      <w:pPr>
        <w:numPr>
          <w:ilvl w:val="6"/>
          <w:numId w:val="41"/>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本竞争性磋商响应文件的有效期自磋商截止时间起共</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日历天。</w:t>
      </w:r>
    </w:p>
    <w:p>
      <w:pPr>
        <w:numPr>
          <w:ilvl w:val="6"/>
          <w:numId w:val="41"/>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接收竞争性磋商采购文件中关于没收保证金的约定。</w:t>
      </w:r>
    </w:p>
    <w:p>
      <w:pPr>
        <w:numPr>
          <w:ilvl w:val="6"/>
          <w:numId w:val="41"/>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同意提供按照贵方可能要求的与其报价有关的一切数据或资料。</w:t>
      </w:r>
    </w:p>
    <w:p>
      <w:pPr>
        <w:numPr>
          <w:ilvl w:val="6"/>
          <w:numId w:val="41"/>
        </w:numPr>
        <w:tabs>
          <w:tab w:val="left" w:pos="840"/>
        </w:tabs>
        <w:autoSpaceDE w:val="0"/>
        <w:autoSpaceDN w:val="0"/>
        <w:adjustRightInd w:val="0"/>
        <w:ind w:left="0"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与本报价有关的一切正式往来信函请寄：</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asciiTheme="minorEastAsia" w:hAnsiTheme="minorEastAsia" w:eastAsiaTheme="minorEastAsia" w:cstheme="minorEastAsia"/>
          <w:kern w:val="0"/>
          <w:szCs w:val="21"/>
        </w:rPr>
      </w:pP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    应    商：（盖章）</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通  讯  地  址：</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子  函  件：</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授权代表（签字）：</w:t>
      </w:r>
    </w:p>
    <w:p>
      <w:pPr>
        <w:autoSpaceDE w:val="0"/>
        <w:autoSpaceDN w:val="0"/>
        <w:adjustRightIn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p>
    <w:p>
      <w:pPr>
        <w:tabs>
          <w:tab w:val="left" w:pos="540"/>
        </w:tabs>
        <w:autoSpaceDE w:val="0"/>
        <w:autoSpaceDN w:val="0"/>
        <w:adjustRightInd w:val="0"/>
        <w:jc w:val="center"/>
        <w:outlineLvl w:val="1"/>
        <w:rPr>
          <w:rFonts w:asciiTheme="minorEastAsia" w:hAnsiTheme="minorEastAsia" w:eastAsiaTheme="minorEastAsia" w:cstheme="minorEastAsia"/>
          <w:b/>
        </w:rPr>
      </w:pPr>
      <w:bookmarkStart w:id="129" w:name="_Toc24205"/>
      <w:bookmarkStart w:id="130" w:name="_Toc7513"/>
      <w:bookmarkStart w:id="131" w:name="_Toc479184126"/>
      <w:bookmarkStart w:id="132" w:name="_Toc13969"/>
      <w:r>
        <w:rPr>
          <w:rFonts w:hint="eastAsia" w:asciiTheme="minorEastAsia" w:hAnsiTheme="minorEastAsia" w:eastAsiaTheme="minorEastAsia" w:cstheme="minorEastAsia"/>
          <w:b/>
        </w:rPr>
        <w:br w:type="textWrapping"/>
      </w:r>
      <w:r>
        <w:rPr>
          <w:rFonts w:hint="eastAsia" w:asciiTheme="minorEastAsia" w:hAnsiTheme="minorEastAsia" w:eastAsiaTheme="minorEastAsia" w:cstheme="minorEastAsia"/>
          <w:b/>
        </w:rPr>
        <w:br w:type="textWrapping"/>
      </w:r>
      <w:r>
        <w:rPr>
          <w:rFonts w:hint="eastAsia" w:asciiTheme="minorEastAsia" w:hAnsiTheme="minorEastAsia" w:eastAsiaTheme="minorEastAsia" w:cstheme="minorEastAsia"/>
          <w:b/>
        </w:rPr>
        <w:br w:type="textWrapping"/>
      </w:r>
      <w:r>
        <w:rPr>
          <w:rFonts w:hint="eastAsia" w:asciiTheme="minorEastAsia" w:hAnsiTheme="minorEastAsia" w:eastAsiaTheme="minorEastAsia" w:cstheme="minorEastAsia"/>
          <w:b/>
        </w:rPr>
        <w:t>三、法定代表人授权书</w:t>
      </w:r>
      <w:bookmarkEnd w:id="129"/>
      <w:bookmarkEnd w:id="130"/>
      <w:bookmarkEnd w:id="131"/>
      <w:bookmarkEnd w:id="132"/>
    </w:p>
    <w:p>
      <w:pPr>
        <w:rPr>
          <w:rFonts w:asciiTheme="minorEastAsia" w:hAnsiTheme="minorEastAsia" w:eastAsiaTheme="minorEastAsia" w:cstheme="minorEastAsia"/>
          <w:kern w:val="0"/>
          <w:szCs w:val="21"/>
        </w:rPr>
      </w:pPr>
    </w:p>
    <w:p>
      <w:pPr>
        <w:rPr>
          <w:rFonts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兹授权</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同志为我公司参加贵单位组织的</w:t>
      </w:r>
      <w:r>
        <w:rPr>
          <w:rFonts w:hint="eastAsia" w:asciiTheme="minorEastAsia" w:hAnsiTheme="minorEastAsia" w:eastAsiaTheme="minorEastAsia" w:cstheme="minorEastAsia"/>
          <w:kern w:val="0"/>
          <w:szCs w:val="21"/>
          <w:u w:val="single"/>
        </w:rPr>
        <w:t>（项目名称）</w:t>
      </w:r>
      <w:r>
        <w:rPr>
          <w:rFonts w:hint="eastAsia" w:asciiTheme="minorEastAsia" w:hAnsiTheme="minorEastAsia" w:eastAsiaTheme="minorEastAsia" w:cstheme="minorEastAsia"/>
          <w:kern w:val="0"/>
          <w:szCs w:val="21"/>
        </w:rPr>
        <w:t>采购活动的供应商代表人（磋商代表），全权代表我公司处理在该项目采购活动中的一切事宜。代理期限从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日起至</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日止。</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授权单位（盖章）：</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签发日期：</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日         </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附：</w:t>
      </w:r>
      <w:r>
        <w:rPr>
          <w:rFonts w:hint="eastAsia" w:asciiTheme="minorEastAsia" w:hAnsiTheme="minorEastAsia" w:eastAsiaTheme="minorEastAsia" w:cstheme="minorEastAsia"/>
          <w:kern w:val="0"/>
          <w:szCs w:val="21"/>
          <w:u w:val="single"/>
        </w:rPr>
        <w:t xml:space="preserve">                               </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授权代表职务：</w:t>
      </w:r>
      <w:r>
        <w:rPr>
          <w:rFonts w:hint="eastAsia" w:asciiTheme="minorEastAsia" w:hAnsiTheme="minorEastAsia" w:eastAsiaTheme="minorEastAsia" w:cstheme="minorEastAsia"/>
          <w:kern w:val="0"/>
          <w:szCs w:val="21"/>
          <w:u w:val="single"/>
        </w:rPr>
        <w:t xml:space="preserve">                            </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授权代表身份证号码：</w:t>
      </w:r>
      <w:r>
        <w:rPr>
          <w:rFonts w:hint="eastAsia" w:asciiTheme="minorEastAsia" w:hAnsiTheme="minorEastAsia" w:eastAsiaTheme="minorEastAsia" w:cstheme="minorEastAsia"/>
          <w:kern w:val="0"/>
          <w:szCs w:val="21"/>
          <w:u w:val="single"/>
        </w:rPr>
        <w:t xml:space="preserve">                                                                                    </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tcPr>
          <w:p>
            <w:pPr>
              <w:autoSpaceDE w:val="0"/>
              <w:autoSpaceDN w:val="0"/>
              <w:adjustRightInd w:val="0"/>
              <w:spacing w:line="360" w:lineRule="auto"/>
              <w:jc w:val="left"/>
            </w:pPr>
            <w:r>
              <w:rPr>
                <w:rFonts w:hint="eastAsia"/>
              </w:rPr>
              <w:t>授权代表身份证正反面（真彩扫描件）：</w:t>
            </w:r>
          </w:p>
          <w:p>
            <w:pPr>
              <w:autoSpaceDE w:val="0"/>
              <w:autoSpaceDN w:val="0"/>
              <w:adjustRightInd w:val="0"/>
              <w:spacing w:line="360" w:lineRule="auto"/>
              <w:jc w:val="left"/>
            </w:pPr>
            <w:r>
              <w:rPr>
                <w:rFonts w:hint="eastAsia"/>
              </w:rPr>
              <w:t>法定代表人身份证正反面（真彩扫描件）：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71" w:type="dxa"/>
          </w:tcPr>
          <w:p>
            <w:pPr>
              <w:autoSpaceDE w:val="0"/>
              <w:autoSpaceDN w:val="0"/>
              <w:adjustRightInd w:val="0"/>
              <w:spacing w:line="360" w:lineRule="auto"/>
              <w:jc w:val="left"/>
            </w:pPr>
            <w:r>
              <w:rPr>
                <w:rFonts w:hint="eastAsia"/>
                <w:b/>
                <w:bCs/>
              </w:rPr>
              <w:t>注：如法定代表人直接参加磋商并签署响应文件，无须提供本授权书。</w:t>
            </w:r>
          </w:p>
        </w:tc>
      </w:tr>
    </w:tbl>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bookmarkStart w:id="133" w:name="_Toc30476"/>
      <w:bookmarkStart w:id="134" w:name="_Toc10986"/>
      <w:bookmarkStart w:id="135" w:name="_Toc479184127"/>
      <w:bookmarkStart w:id="136" w:name="_Toc424832832"/>
      <w:bookmarkStart w:id="137" w:name="_Toc30245"/>
      <w:bookmarkStart w:id="138" w:name="_Toc432149008"/>
      <w:bookmarkStart w:id="139" w:name="_Toc29904"/>
      <w:bookmarkStart w:id="140" w:name="_Toc360120184"/>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t>四、</w:t>
      </w:r>
      <w:r>
        <w:rPr>
          <w:rFonts w:hint="eastAsia" w:asciiTheme="minorEastAsia" w:hAnsiTheme="minorEastAsia" w:eastAsiaTheme="minorEastAsia" w:cstheme="minorEastAsia"/>
          <w:b/>
          <w:bCs/>
          <w:szCs w:val="21"/>
        </w:rPr>
        <w:t>法定代表人身份证明书</w:t>
      </w:r>
      <w:bookmarkEnd w:id="133"/>
      <w:bookmarkEnd w:id="134"/>
      <w:bookmarkEnd w:id="135"/>
      <w:bookmarkEnd w:id="136"/>
      <w:bookmarkEnd w:id="137"/>
      <w:bookmarkEnd w:id="138"/>
      <w:bookmarkEnd w:id="139"/>
      <w:bookmarkEnd w:id="140"/>
    </w:p>
    <w:p>
      <w:pPr>
        <w:spacing w:line="360" w:lineRule="auto"/>
        <w:rPr>
          <w:rFonts w:asciiTheme="minorEastAsia" w:hAnsiTheme="minorEastAsia" w:eastAsiaTheme="minorEastAsia" w:cstheme="minorEastAsia"/>
          <w:kern w:val="0"/>
          <w:szCs w:val="21"/>
        </w:rPr>
      </w:pPr>
    </w:p>
    <w:p>
      <w:pPr>
        <w:spacing w:line="360" w:lineRule="auto"/>
        <w:ind w:firstLine="630" w:firstLineChars="3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兹证明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（姓名）</w:t>
      </w:r>
      <w:r>
        <w:rPr>
          <w:rFonts w:hint="eastAsia" w:asciiTheme="minorEastAsia" w:hAnsiTheme="minorEastAsia" w:eastAsiaTheme="minorEastAsia" w:cstheme="minorEastAsia"/>
          <w:szCs w:val="21"/>
        </w:rPr>
        <w:t>在我单位任</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kern w:val="0"/>
          <w:szCs w:val="21"/>
        </w:rPr>
        <w:t>，系</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（供应商）的法定代表人。</w:t>
      </w:r>
    </w:p>
    <w:p>
      <w:pPr>
        <w:spacing w:line="360" w:lineRule="auto"/>
        <w:ind w:firstLine="630" w:firstLineChars="300"/>
        <w:rPr>
          <w:rFonts w:asciiTheme="minorEastAsia" w:hAnsiTheme="minorEastAsia" w:eastAsiaTheme="minorEastAsia" w:cstheme="minorEastAsia"/>
          <w:kern w:val="0"/>
          <w:szCs w:val="21"/>
        </w:rPr>
      </w:pPr>
    </w:p>
    <w:p>
      <w:pPr>
        <w:spacing w:line="360" w:lineRule="auto"/>
        <w:ind w:firstLine="630" w:firstLineChars="3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供应商（盖章）：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年龄：</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身份证号码：</w:t>
      </w:r>
      <w:r>
        <w:rPr>
          <w:rFonts w:hint="eastAsia" w:asciiTheme="minorEastAsia" w:hAnsiTheme="minorEastAsia" w:eastAsiaTheme="minorEastAsia" w:cstheme="minorEastAsia"/>
          <w:kern w:val="0"/>
          <w:szCs w:val="21"/>
          <w:u w:val="single"/>
        </w:rPr>
        <w:t xml:space="preserve">                  </w:t>
      </w:r>
    </w:p>
    <w:p>
      <w:pPr>
        <w:spacing w:line="360" w:lineRule="auto"/>
        <w:ind w:firstLine="5985" w:firstLineChars="285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w:t>
      </w:r>
    </w:p>
    <w:p>
      <w:pPr>
        <w:autoSpaceDE w:val="0"/>
        <w:autoSpaceDN w:val="0"/>
        <w:adjustRightInd w:val="0"/>
        <w:spacing w:line="360" w:lineRule="auto"/>
        <w:rPr>
          <w:rFonts w:asciiTheme="minorEastAsia" w:hAnsiTheme="minorEastAsia" w:eastAsiaTheme="minorEastAsia" w:cstheme="minorEastAsia"/>
          <w:kern w:val="0"/>
          <w:szCs w:val="21"/>
        </w:rPr>
      </w:pPr>
    </w:p>
    <w:p>
      <w:pPr>
        <w:autoSpaceDE w:val="0"/>
        <w:autoSpaceDN w:val="0"/>
        <w:adjustRightInd w:val="0"/>
        <w:spacing w:line="360" w:lineRule="auto"/>
        <w:rPr>
          <w:rFonts w:asciiTheme="minorEastAsia" w:hAnsiTheme="minorEastAsia" w:eastAsiaTheme="minorEastAsia" w:cstheme="minorEastAsia"/>
          <w:kern w:val="0"/>
          <w:szCs w:val="21"/>
        </w:rPr>
      </w:pPr>
    </w:p>
    <w:p>
      <w:pPr>
        <w:autoSpaceDE w:val="0"/>
        <w:autoSpaceDN w:val="0"/>
        <w:adjustRightInd w:val="0"/>
        <w:spacing w:line="360" w:lineRule="auto"/>
        <w:rPr>
          <w:rFonts w:asciiTheme="minorEastAsia" w:hAnsiTheme="minorEastAsia" w:eastAsiaTheme="minorEastAsia" w:cstheme="minorEastAsia"/>
          <w:kern w:val="0"/>
          <w:szCs w:val="21"/>
        </w:rPr>
      </w:pP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auto"/>
              <w:rPr>
                <w:rFonts w:asciiTheme="minorEastAsia" w:hAnsiTheme="minorEastAsia" w:eastAsiaTheme="minorEastAsia" w:cstheme="minorEastAsia"/>
                <w:kern w:val="0"/>
                <w:szCs w:val="21"/>
              </w:rPr>
            </w:pPr>
          </w:p>
          <w:p>
            <w:pPr>
              <w:spacing w:line="360" w:lineRule="auto"/>
              <w:rPr>
                <w:rFonts w:asciiTheme="minorEastAsia" w:hAnsiTheme="minorEastAsia" w:eastAsiaTheme="minorEastAsia" w:cstheme="minorEastAsia"/>
                <w:kern w:val="0"/>
                <w:szCs w:val="21"/>
              </w:rPr>
            </w:pPr>
            <w:r>
              <w:rPr>
                <w:rFonts w:hint="eastAsia"/>
              </w:rPr>
              <w:t>粘贴法定代表人身份证正反面（真彩扫描件）：</w:t>
            </w:r>
          </w:p>
        </w:tc>
      </w:tr>
    </w:tbl>
    <w:p>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注：本表适用于供应商不授权代理人，而由法定代表人直接参加磋商并签署响应文件的情况；</w:t>
      </w:r>
    </w:p>
    <w:p>
      <w:pPr>
        <w:rPr>
          <w:rFonts w:asciiTheme="minorEastAsia" w:hAnsiTheme="minorEastAsia" w:eastAsiaTheme="minorEastAsia" w:cstheme="minorEastAsia"/>
          <w:b/>
          <w:kern w:val="0"/>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bCs/>
          <w:szCs w:val="21"/>
        </w:rPr>
      </w:pPr>
    </w:p>
    <w:p>
      <w:pPr>
        <w:tabs>
          <w:tab w:val="left" w:pos="3969"/>
        </w:tabs>
        <w:spacing w:line="500" w:lineRule="exact"/>
        <w:rPr>
          <w:rFonts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bookmarkStart w:id="141" w:name="_Toc422466732"/>
      <w:bookmarkStart w:id="142" w:name="_Toc432149006"/>
      <w:r>
        <w:rPr>
          <w:rFonts w:hint="eastAsia" w:asciiTheme="minorEastAsia" w:hAnsiTheme="minorEastAsia" w:eastAsiaTheme="minorEastAsia" w:cstheme="minorEastAsia"/>
          <w:b/>
          <w:bCs/>
          <w:sz w:val="24"/>
        </w:rPr>
        <w:br w:type="page"/>
      </w:r>
      <w:bookmarkStart w:id="143" w:name="_Toc4301"/>
      <w:bookmarkStart w:id="144" w:name="_Toc19882"/>
      <w:bookmarkStart w:id="145" w:name="_Toc4741"/>
      <w:bookmarkStart w:id="146" w:name="_Toc479184128"/>
      <w:r>
        <w:rPr>
          <w:rFonts w:hint="eastAsia" w:asciiTheme="minorEastAsia" w:hAnsiTheme="minorEastAsia" w:eastAsiaTheme="minorEastAsia" w:cstheme="minorEastAsia"/>
          <w:b/>
          <w:bCs/>
          <w:szCs w:val="21"/>
        </w:rPr>
        <w:t>五、报价一览表</w:t>
      </w:r>
      <w:bookmarkEnd w:id="141"/>
      <w:bookmarkEnd w:id="142"/>
      <w:bookmarkEnd w:id="143"/>
      <w:bookmarkEnd w:id="144"/>
      <w:bookmarkEnd w:id="145"/>
      <w:bookmarkEnd w:id="146"/>
    </w:p>
    <w:p>
      <w:pPr>
        <w:adjustRightInd w:val="0"/>
        <w:snapToGrid w:val="0"/>
        <w:ind w:left="-88" w:leftChars="-42"/>
        <w:rPr>
          <w:rFonts w:asciiTheme="minorEastAsia" w:hAnsiTheme="minorEastAsia" w:eastAsiaTheme="minorEastAsia" w:cstheme="minorEastAsia"/>
          <w:szCs w:val="21"/>
        </w:rPr>
      </w:pPr>
      <w:r>
        <w:rPr>
          <w:rFonts w:hint="eastAsia" w:asciiTheme="minorEastAsia" w:hAnsiTheme="minorEastAsia" w:eastAsiaTheme="minorEastAsia" w:cstheme="minorEastAsia"/>
        </w:rPr>
        <w:t xml:space="preserve">            </w:t>
      </w:r>
    </w:p>
    <w:p>
      <w:pPr>
        <w:adjustRightInd w:val="0"/>
        <w:snapToGrid w:val="0"/>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tbl>
      <w:tblPr>
        <w:tblStyle w:val="26"/>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宋体" w:hAnsi="宋体"/>
                <w:szCs w:val="21"/>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竞标报价</w:t>
            </w:r>
          </w:p>
        </w:tc>
        <w:tc>
          <w:tcPr>
            <w:tcW w:w="6166"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u w:val="single"/>
              </w:rPr>
              <w:t xml:space="preserve">大写：      </w:t>
            </w:r>
            <w:r>
              <w:rPr>
                <w:rFonts w:hint="eastAsia" w:asciiTheme="minorEastAsia" w:hAnsiTheme="minorEastAsia" w:eastAsiaTheme="minorEastAsia" w:cstheme="minorEastAsia"/>
                <w:color w:val="FF0000"/>
                <w:szCs w:val="21"/>
              </w:rPr>
              <w:br w:type="textWrapping"/>
            </w:r>
            <w:r>
              <w:rPr>
                <w:rFonts w:hint="eastAsia" w:asciiTheme="minorEastAsia" w:hAnsiTheme="minorEastAsia" w:eastAsiaTheme="minorEastAsia" w:cstheme="minorEastAsia"/>
                <w:color w:val="FF0000"/>
                <w:szCs w:val="21"/>
                <w:u w:val="single"/>
              </w:rPr>
              <w:t xml:space="preserve">小写：      </w:t>
            </w:r>
            <w:r>
              <w:rPr>
                <w:rFonts w:hint="eastAsia" w:asciiTheme="minorEastAsia" w:hAnsiTheme="minorEastAsia" w:eastAsiaTheme="minorEastAsia" w:cstheme="minorEastAsia"/>
                <w:color w:val="FF0000"/>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主要产品概况</w:t>
            </w: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color w:val="FF0000"/>
                <w:szCs w:val="21"/>
              </w:rPr>
              <w:t>请填写本项目主要产品的品牌、规格型号和制造商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交货期</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质保期/保修期</w:t>
            </w: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优惠声明（如有）</w:t>
            </w:r>
          </w:p>
        </w:tc>
        <w:tc>
          <w:tcPr>
            <w:tcW w:w="61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r>
              <w:rPr>
                <w:rFonts w:hint="eastAsia" w:asciiTheme="minorEastAsia" w:hAnsiTheme="minorEastAsia" w:eastAsiaTheme="minorEastAsia" w:cstheme="minorEastAsia"/>
                <w:szCs w:val="21"/>
              </w:rPr>
              <w:t>备注</w:t>
            </w:r>
          </w:p>
        </w:tc>
        <w:tc>
          <w:tcPr>
            <w:tcW w:w="6166" w:type="dxa"/>
            <w:tcBorders>
              <w:top w:val="single" w:color="auto" w:sz="4" w:space="0"/>
              <w:left w:val="single" w:color="auto" w:sz="4" w:space="0"/>
              <w:bottom w:val="single" w:color="auto" w:sz="4" w:space="0"/>
              <w:right w:val="single" w:color="auto" w:sz="4" w:space="0"/>
            </w:tcBorders>
            <w:vAlign w:val="center"/>
          </w:tcPr>
          <w:p/>
        </w:tc>
      </w:tr>
    </w:tbl>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Cs w:val="21"/>
        </w:rPr>
        <w:t>说明</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人民币报价。</w:t>
      </w:r>
    </w:p>
    <w:p>
      <w:pPr>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（2）价格应按照“供应商须知” 的要求报价。</w:t>
      </w:r>
    </w:p>
    <w:p>
      <w:pPr>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（3）此表除保留在竞争性磋商响应文件中外，另复制一份与法定代表人授权书（原件）、保证金缴纳证明（如有）（复印件）及报价优惠声明（如有）一起另外密封装在一个小信封中，作为磋商记录之用。</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磋商供应商法定代表人（签字）：</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磋商供应商名称（盖章）：</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szCs w:val="21"/>
          <w:u w:val="single"/>
        </w:rPr>
      </w:pPr>
      <w:bookmarkStart w:id="147" w:name="_Toc460258117"/>
      <w:bookmarkStart w:id="148" w:name="_Toc259028723"/>
      <w:bookmarkStart w:id="149" w:name="_Toc432149007"/>
      <w:bookmarkStart w:id="150" w:name="_Toc424832831"/>
      <w:r>
        <w:rPr>
          <w:rFonts w:hint="eastAsia" w:asciiTheme="minorEastAsia" w:hAnsiTheme="minorEastAsia" w:eastAsiaTheme="minorEastAsia" w:cstheme="minorEastAsia"/>
          <w:b/>
          <w:bCs/>
          <w:sz w:val="24"/>
        </w:rPr>
        <w:br w:type="page"/>
      </w:r>
      <w:bookmarkStart w:id="151" w:name="_Toc18559"/>
      <w:bookmarkStart w:id="152" w:name="_Toc479184129"/>
      <w:bookmarkStart w:id="153" w:name="_Toc1079"/>
      <w:bookmarkStart w:id="154" w:name="_Toc3144"/>
      <w:r>
        <w:rPr>
          <w:rFonts w:hint="eastAsia" w:asciiTheme="minorEastAsia" w:hAnsiTheme="minorEastAsia" w:eastAsiaTheme="minorEastAsia" w:cstheme="minorEastAsia"/>
          <w:b/>
          <w:bCs/>
          <w:szCs w:val="21"/>
        </w:rPr>
        <w:t>六、</w:t>
      </w:r>
      <w:bookmarkEnd w:id="147"/>
      <w:bookmarkEnd w:id="148"/>
      <w:bookmarkEnd w:id="151"/>
      <w:bookmarkEnd w:id="152"/>
      <w:bookmarkEnd w:id="153"/>
      <w:r>
        <w:rPr>
          <w:rFonts w:hint="eastAsia" w:asciiTheme="minorEastAsia" w:hAnsiTheme="minorEastAsia" w:eastAsiaTheme="minorEastAsia" w:cstheme="minorEastAsia"/>
          <w:b/>
          <w:bCs/>
          <w:szCs w:val="21"/>
        </w:rPr>
        <w:t>报价费用构成表</w:t>
      </w:r>
      <w:bookmarkEnd w:id="154"/>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u w:val="single"/>
        </w:rPr>
        <w:t xml:space="preserve">                         </w:t>
      </w:r>
    </w:p>
    <w:tbl>
      <w:tblPr>
        <w:tblStyle w:val="26"/>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78"/>
        <w:gridCol w:w="1875"/>
        <w:gridCol w:w="1428"/>
        <w:gridCol w:w="741"/>
        <w:gridCol w:w="828"/>
        <w:gridCol w:w="736"/>
        <w:gridCol w:w="72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37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1875"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规格型号（如有）</w:t>
            </w:r>
          </w:p>
        </w:tc>
        <w:tc>
          <w:tcPr>
            <w:tcW w:w="14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制造商名称（如有）</w:t>
            </w:r>
          </w:p>
        </w:tc>
        <w:tc>
          <w:tcPr>
            <w:tcW w:w="741"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产地</w:t>
            </w:r>
          </w:p>
        </w:tc>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36"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tc>
        <w:tc>
          <w:tcPr>
            <w:tcW w:w="727"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w:t>
            </w:r>
          </w:p>
        </w:tc>
        <w:tc>
          <w:tcPr>
            <w:tcW w:w="719"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378" w:type="dxa"/>
            <w:vAlign w:val="center"/>
          </w:tcPr>
          <w:p>
            <w:pPr>
              <w:adjustRightInd w:val="0"/>
              <w:snapToGrid w:val="0"/>
              <w:jc w:val="center"/>
              <w:rPr>
                <w:rFonts w:asciiTheme="minorEastAsia" w:hAnsiTheme="minorEastAsia" w:eastAsiaTheme="minorEastAsia" w:cstheme="minorEastAsia"/>
                <w:szCs w:val="21"/>
              </w:rPr>
            </w:pP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7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875" w:type="dxa"/>
            <w:vAlign w:val="center"/>
          </w:tcPr>
          <w:p>
            <w:pPr>
              <w:adjustRightInd w:val="0"/>
              <w:snapToGrid w:val="0"/>
              <w:jc w:val="center"/>
              <w:rPr>
                <w:rFonts w:asciiTheme="minorEastAsia" w:hAnsiTheme="minorEastAsia" w:eastAsiaTheme="minorEastAsia" w:cstheme="minorEastAsia"/>
                <w:szCs w:val="21"/>
              </w:rPr>
            </w:pPr>
          </w:p>
        </w:tc>
        <w:tc>
          <w:tcPr>
            <w:tcW w:w="1428" w:type="dxa"/>
            <w:vAlign w:val="center"/>
          </w:tcPr>
          <w:p>
            <w:pPr>
              <w:adjustRightInd w:val="0"/>
              <w:snapToGrid w:val="0"/>
              <w:jc w:val="center"/>
              <w:rPr>
                <w:rFonts w:asciiTheme="minorEastAsia" w:hAnsiTheme="minorEastAsia" w:eastAsiaTheme="minorEastAsia" w:cstheme="minorEastAsia"/>
                <w:szCs w:val="21"/>
              </w:rPr>
            </w:pP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09" w:type="dxa"/>
            <w:gridSpan w:val="4"/>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总计</w:t>
            </w:r>
          </w:p>
        </w:tc>
        <w:tc>
          <w:tcPr>
            <w:tcW w:w="741" w:type="dxa"/>
            <w:vAlign w:val="center"/>
          </w:tcPr>
          <w:p>
            <w:pPr>
              <w:adjustRightInd w:val="0"/>
              <w:snapToGrid w:val="0"/>
              <w:jc w:val="center"/>
              <w:rPr>
                <w:rFonts w:asciiTheme="minorEastAsia" w:hAnsiTheme="minorEastAsia" w:eastAsiaTheme="minorEastAsia" w:cstheme="minorEastAsia"/>
                <w:szCs w:val="21"/>
              </w:rPr>
            </w:pPr>
          </w:p>
        </w:tc>
        <w:tc>
          <w:tcPr>
            <w:tcW w:w="828" w:type="dxa"/>
            <w:vAlign w:val="center"/>
          </w:tcPr>
          <w:p>
            <w:pPr>
              <w:adjustRightInd w:val="0"/>
              <w:snapToGrid w:val="0"/>
              <w:jc w:val="center"/>
              <w:rPr>
                <w:rFonts w:asciiTheme="minorEastAsia" w:hAnsiTheme="minorEastAsia" w:eastAsiaTheme="minorEastAsia" w:cstheme="minorEastAsia"/>
                <w:szCs w:val="21"/>
              </w:rPr>
            </w:pPr>
          </w:p>
        </w:tc>
        <w:tc>
          <w:tcPr>
            <w:tcW w:w="736" w:type="dxa"/>
            <w:vAlign w:val="center"/>
          </w:tcPr>
          <w:p>
            <w:pPr>
              <w:adjustRightInd w:val="0"/>
              <w:snapToGrid w:val="0"/>
              <w:jc w:val="center"/>
              <w:rPr>
                <w:rFonts w:asciiTheme="minorEastAsia" w:hAnsiTheme="minorEastAsia" w:eastAsiaTheme="minorEastAsia" w:cstheme="minorEastAsia"/>
                <w:szCs w:val="21"/>
              </w:rPr>
            </w:pPr>
          </w:p>
        </w:tc>
        <w:tc>
          <w:tcPr>
            <w:tcW w:w="727" w:type="dxa"/>
            <w:vAlign w:val="center"/>
          </w:tcPr>
          <w:p>
            <w:pPr>
              <w:adjustRightInd w:val="0"/>
              <w:snapToGrid w:val="0"/>
              <w:jc w:val="center"/>
              <w:rPr>
                <w:rFonts w:asciiTheme="minorEastAsia" w:hAnsiTheme="minorEastAsia" w:eastAsiaTheme="minorEastAsia" w:cstheme="minorEastAsia"/>
                <w:szCs w:val="21"/>
              </w:rPr>
            </w:pPr>
          </w:p>
        </w:tc>
        <w:tc>
          <w:tcPr>
            <w:tcW w:w="719" w:type="dxa"/>
            <w:vAlign w:val="center"/>
          </w:tcPr>
          <w:p>
            <w:pPr>
              <w:adjustRightInd w:val="0"/>
              <w:snapToGrid w:val="0"/>
              <w:jc w:val="center"/>
              <w:rPr>
                <w:rFonts w:asciiTheme="minorEastAsia" w:hAnsiTheme="minorEastAsia" w:eastAsiaTheme="minorEastAsia" w:cstheme="minorEastAsia"/>
                <w:szCs w:val="21"/>
              </w:rPr>
            </w:pPr>
          </w:p>
        </w:tc>
      </w:tr>
    </w:tbl>
    <w:p>
      <w:pPr>
        <w:adjustRightInd w:val="0"/>
        <w:snapToGrid w:val="0"/>
        <w:rPr>
          <w:rFonts w:asciiTheme="minorEastAsia" w:hAnsiTheme="minorEastAsia" w:eastAsiaTheme="minorEastAsia" w:cstheme="minorEastAsia"/>
          <w:szCs w:val="21"/>
        </w:rPr>
      </w:pP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0"/>
          <w:numId w:val="42"/>
        </w:num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所有价格按照“供应商须知”要求执行，精确到个数位。</w:t>
      </w:r>
    </w:p>
    <w:p>
      <w:pPr>
        <w:numPr>
          <w:ilvl w:val="0"/>
          <w:numId w:val="42"/>
        </w:num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分项报价总计价格必须与《报价一览表》报价一致。</w:t>
      </w:r>
    </w:p>
    <w:p>
      <w:pPr>
        <w:numPr>
          <w:ilvl w:val="0"/>
          <w:numId w:val="42"/>
        </w:num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如果不提供详细的报价费用构成可能将被视为没有实质性响应磋商文件。</w:t>
      </w:r>
    </w:p>
    <w:p>
      <w:pPr>
        <w:adjustRightInd w:val="0"/>
        <w:snapToGrid w:val="0"/>
        <w:spacing w:line="360" w:lineRule="auto"/>
        <w:ind w:left="-88" w:leftChars="-42"/>
        <w:rPr>
          <w:rFonts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磋商供应商法定代表人（签字）：</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磋商供应商名称（盖章）：</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55" w:name="_Toc66"/>
      <w:bookmarkStart w:id="156" w:name="_Toc28656"/>
      <w:bookmarkStart w:id="157" w:name="_Toc26825"/>
      <w:bookmarkStart w:id="158" w:name="_Toc479184130"/>
      <w:r>
        <w:rPr>
          <w:rFonts w:hint="eastAsia" w:asciiTheme="minorEastAsia" w:hAnsiTheme="minorEastAsia" w:eastAsiaTheme="minorEastAsia" w:cstheme="minorEastAsia"/>
          <w:b/>
          <w:bCs/>
          <w:szCs w:val="21"/>
        </w:rPr>
        <w:t>七、耗材清单</w:t>
      </w:r>
      <w:bookmarkEnd w:id="155"/>
      <w:bookmarkEnd w:id="156"/>
      <w:bookmarkEnd w:id="157"/>
      <w:bookmarkEnd w:id="158"/>
    </w:p>
    <w:p>
      <w:pPr>
        <w:adjustRightInd w:val="0"/>
        <w:snapToGrid w:val="0"/>
        <w:rPr>
          <w:rFonts w:asciiTheme="minorEastAsia" w:hAnsiTheme="minorEastAsia" w:eastAsiaTheme="minorEastAsia" w:cstheme="minorEastAsia"/>
          <w:b/>
          <w:szCs w:val="21"/>
        </w:rPr>
      </w:pP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耗材名称</w:t>
            </w:r>
          </w:p>
        </w:tc>
        <w:tc>
          <w:tcPr>
            <w:tcW w:w="1512"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left"/>
              <w:rPr>
                <w:rFonts w:asciiTheme="minorEastAsia" w:hAnsiTheme="minorEastAsia" w:eastAsiaTheme="minorEastAsia" w:cstheme="minorEastAsia"/>
                <w:kern w:val="0"/>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bl>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磋商供应商名称（盖章）：</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left"/>
        <w:rPr>
          <w:rFonts w:asciiTheme="minorEastAsia" w:hAnsiTheme="minorEastAsia" w:eastAsiaTheme="minorEastAsia" w:cstheme="minorEastAsia"/>
          <w:szCs w:val="21"/>
        </w:rPr>
      </w:pPr>
    </w:p>
    <w:p/>
    <w:p>
      <w:pPr>
        <w:tabs>
          <w:tab w:val="left" w:pos="540"/>
        </w:tabs>
        <w:autoSpaceDE w:val="0"/>
        <w:autoSpaceDN w:val="0"/>
        <w:adjustRightInd w:val="0"/>
        <w:spacing w:line="360" w:lineRule="auto"/>
        <w:jc w:val="left"/>
        <w:rPr>
          <w:rFonts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59" w:name="_Toc479184131"/>
      <w:bookmarkStart w:id="160" w:name="_Toc7535"/>
      <w:bookmarkStart w:id="161" w:name="_Toc32726"/>
      <w:bookmarkStart w:id="162" w:name="_Toc26501"/>
      <w:r>
        <w:rPr>
          <w:rFonts w:hint="eastAsia" w:asciiTheme="minorEastAsia" w:hAnsiTheme="minorEastAsia" w:eastAsiaTheme="minorEastAsia" w:cstheme="minorEastAsia"/>
          <w:b/>
          <w:bCs/>
          <w:szCs w:val="21"/>
        </w:rPr>
        <w:t>八、拟投入设备/备件、工具情况</w:t>
      </w:r>
      <w:bookmarkEnd w:id="159"/>
      <w:bookmarkEnd w:id="160"/>
      <w:bookmarkEnd w:id="161"/>
      <w:bookmarkEnd w:id="162"/>
    </w:p>
    <w:p>
      <w:pPr>
        <w:spacing w:line="360" w:lineRule="auto"/>
        <w:rPr>
          <w:rFonts w:asciiTheme="minorEastAsia" w:hAnsiTheme="minorEastAsia" w:eastAsiaTheme="minorEastAsia" w:cstheme="minorEastAsia"/>
          <w:szCs w:val="21"/>
        </w:rPr>
      </w:pP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设备</w:t>
            </w:r>
            <w:r>
              <w:rPr>
                <w:rFonts w:hint="eastAsia" w:asciiTheme="minorEastAsia" w:hAnsiTheme="minorEastAsia" w:eastAsiaTheme="minorEastAsia" w:cstheme="minorEastAsia"/>
                <w:b/>
                <w:bCs/>
                <w:szCs w:val="21"/>
              </w:rPr>
              <w:t>/备件</w:t>
            </w:r>
            <w:r>
              <w:rPr>
                <w:rFonts w:hint="eastAsia" w:asciiTheme="minorEastAsia" w:hAnsiTheme="minorEastAsia" w:eastAsiaTheme="minorEastAsia" w:cstheme="minorEastAsia"/>
                <w:b/>
                <w:szCs w:val="21"/>
              </w:rPr>
              <w:t>名称</w:t>
            </w:r>
          </w:p>
        </w:tc>
        <w:tc>
          <w:tcPr>
            <w:tcW w:w="1512"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left"/>
              <w:rPr>
                <w:rFonts w:asciiTheme="minorEastAsia" w:hAnsiTheme="minorEastAsia" w:eastAsiaTheme="minorEastAsia" w:cstheme="minorEastAsia"/>
                <w:kern w:val="0"/>
                <w:szCs w:val="21"/>
              </w:rPr>
            </w:pPr>
          </w:p>
        </w:tc>
        <w:tc>
          <w:tcPr>
            <w:tcW w:w="1512" w:type="dxa"/>
          </w:tcPr>
          <w:p>
            <w:pPr>
              <w:widowControl/>
              <w:jc w:val="center"/>
              <w:rPr>
                <w:rFonts w:asciiTheme="minorEastAsia" w:hAnsiTheme="minorEastAsia" w:eastAsiaTheme="minorEastAsia" w:cstheme="minorEastAsia"/>
                <w:szCs w:val="21"/>
              </w:rPr>
            </w:pPr>
          </w:p>
        </w:tc>
        <w:tc>
          <w:tcPr>
            <w:tcW w:w="1513" w:type="dxa"/>
          </w:tcPr>
          <w:p>
            <w:pPr>
              <w:widowControl/>
              <w:jc w:val="center"/>
              <w:rPr>
                <w:rFonts w:asciiTheme="minorEastAsia" w:hAnsiTheme="minorEastAsia" w:eastAsiaTheme="minorEastAsia" w:cstheme="minorEastAsia"/>
                <w:szCs w:val="21"/>
              </w:rPr>
            </w:pPr>
          </w:p>
        </w:tc>
        <w:tc>
          <w:tcPr>
            <w:tcW w:w="709" w:type="dxa"/>
            <w:vAlign w:val="center"/>
          </w:tcPr>
          <w:p>
            <w:pPr>
              <w:widowControl/>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295" w:type="dxa"/>
            <w:vAlign w:val="center"/>
          </w:tcPr>
          <w:p>
            <w:pPr>
              <w:widowControl/>
              <w:jc w:val="center"/>
              <w:rPr>
                <w:rFonts w:asciiTheme="minorEastAsia" w:hAnsiTheme="minorEastAsia" w:eastAsiaTheme="minorEastAsia" w:cstheme="minorEastAsia"/>
                <w:szCs w:val="21"/>
              </w:rPr>
            </w:pPr>
          </w:p>
        </w:tc>
        <w:tc>
          <w:tcPr>
            <w:tcW w:w="1512" w:type="dxa"/>
            <w:vAlign w:val="center"/>
          </w:tcPr>
          <w:p>
            <w:pPr>
              <w:widowControl/>
              <w:jc w:val="center"/>
              <w:rPr>
                <w:rFonts w:asciiTheme="minorEastAsia" w:hAnsiTheme="minorEastAsia" w:eastAsiaTheme="minorEastAsia" w:cstheme="minorEastAsia"/>
                <w:szCs w:val="21"/>
              </w:rPr>
            </w:pPr>
          </w:p>
        </w:tc>
        <w:tc>
          <w:tcPr>
            <w:tcW w:w="1512" w:type="dxa"/>
          </w:tcPr>
          <w:p>
            <w:pPr>
              <w:jc w:val="center"/>
              <w:rPr>
                <w:rFonts w:asciiTheme="minorEastAsia" w:hAnsiTheme="minorEastAsia" w:eastAsiaTheme="minorEastAsia" w:cstheme="minorEastAsia"/>
                <w:szCs w:val="21"/>
              </w:rPr>
            </w:pPr>
          </w:p>
        </w:tc>
        <w:tc>
          <w:tcPr>
            <w:tcW w:w="1513" w:type="dxa"/>
          </w:tcPr>
          <w:p>
            <w:pPr>
              <w:jc w:val="center"/>
              <w:rPr>
                <w:rFonts w:asciiTheme="minorEastAsia" w:hAnsiTheme="minorEastAsia" w:eastAsiaTheme="minorEastAsia" w:cstheme="minorEastAsia"/>
                <w:szCs w:val="21"/>
              </w:rPr>
            </w:pPr>
          </w:p>
        </w:tc>
        <w:tc>
          <w:tcPr>
            <w:tcW w:w="709" w:type="dxa"/>
            <w:vAlign w:val="center"/>
          </w:tcPr>
          <w:p>
            <w:pPr>
              <w:jc w:val="center"/>
              <w:rPr>
                <w:rFonts w:asciiTheme="minorEastAsia" w:hAnsiTheme="minorEastAsia" w:eastAsiaTheme="minorEastAsia" w:cstheme="minorEastAsia"/>
                <w:szCs w:val="21"/>
              </w:rPr>
            </w:pPr>
          </w:p>
        </w:tc>
        <w:tc>
          <w:tcPr>
            <w:tcW w:w="958" w:type="dxa"/>
            <w:vAlign w:val="center"/>
          </w:tcPr>
          <w:p>
            <w:pPr>
              <w:widowControl/>
              <w:jc w:val="center"/>
              <w:rPr>
                <w:rFonts w:asciiTheme="minorEastAsia" w:hAnsiTheme="minorEastAsia" w:eastAsiaTheme="minorEastAsia" w:cstheme="minorEastAsia"/>
                <w:szCs w:val="21"/>
              </w:rPr>
            </w:pPr>
          </w:p>
        </w:tc>
      </w:tr>
    </w:tbl>
    <w:p>
      <w:pPr>
        <w:spacing w:line="360" w:lineRule="auto"/>
        <w:rPr>
          <w:rFonts w:asciiTheme="minorEastAsia" w:hAnsiTheme="minorEastAsia" w:eastAsiaTheme="minorEastAsia" w:cstheme="minorEastAsia"/>
          <w:szCs w:val="21"/>
        </w:rPr>
      </w:pPr>
    </w:p>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磋商供应商名称（盖章）：</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63" w:name="_Toc450827818"/>
      <w:bookmarkStart w:id="164" w:name="_Toc10449"/>
      <w:bookmarkStart w:id="165" w:name="_Toc479184132"/>
      <w:bookmarkStart w:id="166" w:name="_Toc27053"/>
      <w:bookmarkStart w:id="167" w:name="_Toc12313"/>
      <w:r>
        <w:rPr>
          <w:rFonts w:hint="eastAsia" w:asciiTheme="minorEastAsia" w:hAnsiTheme="minorEastAsia" w:eastAsiaTheme="minorEastAsia" w:cstheme="minorEastAsia"/>
          <w:b/>
          <w:bCs/>
          <w:szCs w:val="21"/>
        </w:rPr>
        <w:t>九、缴纳保证金的银行凭证</w:t>
      </w:r>
      <w:bookmarkEnd w:id="163"/>
      <w:bookmarkEnd w:id="164"/>
      <w:bookmarkEnd w:id="165"/>
      <w:bookmarkEnd w:id="166"/>
      <w:r>
        <w:rPr>
          <w:rFonts w:hint="eastAsia" w:asciiTheme="minorEastAsia" w:hAnsiTheme="minorEastAsia" w:eastAsiaTheme="minorEastAsia" w:cstheme="minorEastAsia"/>
          <w:b/>
          <w:bCs/>
          <w:szCs w:val="21"/>
        </w:rPr>
        <w:t>（如有）</w:t>
      </w:r>
      <w:bookmarkEnd w:id="167"/>
    </w:p>
    <w:p>
      <w:pPr>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中经国际招标集团有限公司：</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u w:val="single"/>
        </w:rPr>
        <w:t xml:space="preserve">                       (供应商全称)</w:t>
      </w:r>
      <w:r>
        <w:rPr>
          <w:rFonts w:hint="eastAsia" w:asciiTheme="minorEastAsia" w:hAnsiTheme="minorEastAsia" w:eastAsiaTheme="minorEastAsia" w:cstheme="minorEastAsia"/>
          <w:bCs/>
          <w:szCs w:val="21"/>
        </w:rPr>
        <w:t xml:space="preserve"> 参加贵方组织的，采购编号为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的采购活动。</w:t>
      </w:r>
      <w:r>
        <w:rPr>
          <w:rFonts w:hint="eastAsia" w:asciiTheme="minorEastAsia" w:hAnsiTheme="minorEastAsia" w:eastAsiaTheme="minorEastAsia" w:cstheme="minorEastAsia"/>
          <w:szCs w:val="21"/>
        </w:rPr>
        <w:t>按竞争性磋商文件的规定，已递交人民币</w:t>
      </w:r>
      <w:r>
        <w:rPr>
          <w:rFonts w:hint="eastAsia" w:asciiTheme="minorEastAsia" w:hAnsiTheme="minorEastAsia" w:eastAsiaTheme="minorEastAsia" w:cstheme="minorEastAsia"/>
          <w:szCs w:val="21"/>
          <w:u w:val="single"/>
        </w:rPr>
        <w:t xml:space="preserve">（大写）  　　 </w:t>
      </w:r>
      <w:r>
        <w:rPr>
          <w:rFonts w:hint="eastAsia" w:asciiTheme="minorEastAsia" w:hAnsiTheme="minorEastAsia" w:eastAsiaTheme="minorEastAsia" w:cstheme="minorEastAsia"/>
          <w:szCs w:val="21"/>
        </w:rPr>
        <w:t xml:space="preserve"> 元的保证金。</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 应 商 名 称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供应商开户银行：</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供应商银行账号：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磋商供应商法定代表人（签字）：</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磋商供应商名称（盖章）：</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tbl>
      <w:tblPr>
        <w:tblStyle w:val="2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8820" w:type="dxa"/>
          </w:tcPr>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粘贴转账或电汇银行凭证（复印件）</w:t>
            </w: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bCs/>
                <w:szCs w:val="21"/>
              </w:rPr>
            </w:pPr>
          </w:p>
        </w:tc>
      </w:tr>
    </w:tbl>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注： 请供应商认真填写银行信息，并要求与粘贴转账或电汇银行凭证的相关信息一致，采购代理机构将依据此凭证信息退还保证金。</w:t>
      </w:r>
    </w:p>
    <w:bookmarkEnd w:id="149"/>
    <w:bookmarkEnd w:id="150"/>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68" w:name="_Toc432149012"/>
      <w:bookmarkStart w:id="169" w:name="_Toc17270"/>
      <w:bookmarkStart w:id="170" w:name="_Toc28200"/>
      <w:bookmarkStart w:id="171" w:name="_Toc1591"/>
      <w:bookmarkStart w:id="172" w:name="_Toc479184133"/>
      <w:bookmarkStart w:id="173" w:name="_Toc422466736"/>
      <w:r>
        <w:rPr>
          <w:rFonts w:hint="eastAsia" w:asciiTheme="minorEastAsia" w:hAnsiTheme="minorEastAsia" w:eastAsiaTheme="minorEastAsia" w:cstheme="minorEastAsia"/>
          <w:b/>
          <w:bCs/>
          <w:szCs w:val="21"/>
        </w:rPr>
        <w:t>十、偏离说明表</w:t>
      </w:r>
      <w:bookmarkEnd w:id="168"/>
      <w:bookmarkEnd w:id="169"/>
      <w:bookmarkEnd w:id="170"/>
      <w:bookmarkEnd w:id="171"/>
      <w:bookmarkEnd w:id="172"/>
      <w:bookmarkEnd w:id="173"/>
    </w:p>
    <w:p>
      <w:pPr>
        <w:adjustRightInd w:val="0"/>
        <w:snapToGrid w:val="0"/>
        <w:rPr>
          <w:rFonts w:asciiTheme="minorEastAsia" w:hAnsiTheme="minorEastAsia" w:eastAsiaTheme="minorEastAsia" w:cstheme="minorEastAsia"/>
          <w:szCs w:val="21"/>
        </w:rPr>
      </w:pPr>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874"/>
        <w:gridCol w:w="344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shd w:val="clear" w:color="auto" w:fill="C0C0C0"/>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874" w:type="dxa"/>
            <w:shd w:val="clear" w:color="auto" w:fill="C0C0C0"/>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采购需求</w:t>
            </w:r>
          </w:p>
        </w:tc>
        <w:tc>
          <w:tcPr>
            <w:tcW w:w="3449" w:type="dxa"/>
            <w:shd w:val="clear" w:color="auto" w:fill="C0C0C0"/>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报价响应</w:t>
            </w:r>
          </w:p>
        </w:tc>
        <w:tc>
          <w:tcPr>
            <w:tcW w:w="1675" w:type="dxa"/>
            <w:shd w:val="clear" w:color="auto" w:fill="C0C0C0"/>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D7D7D7" w:themeFill="background1" w:themeFillShade="D8"/>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shd w:val="clear" w:color="auto" w:fill="D7D7D7" w:themeFill="background1" w:themeFillShade="D8"/>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344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675"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bl>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7"/>
          <w:numId w:val="43"/>
        </w:numPr>
        <w:tabs>
          <w:tab w:val="left" w:pos="540"/>
        </w:tabs>
        <w:adjustRightInd w:val="0"/>
        <w:snapToGrid w:val="0"/>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供应商应对竞争性磋商采购文件的各项要求，逐条说明竞争性磋商响应文件做出的实质性响应，并申明竞争性磋商响应文件的偏离和例外。优于竞争性磋商采购文件要求的为正偏离，不满足的为负偏离。</w:t>
      </w:r>
    </w:p>
    <w:p>
      <w:pPr>
        <w:numPr>
          <w:ilvl w:val="7"/>
          <w:numId w:val="43"/>
        </w:numPr>
        <w:tabs>
          <w:tab w:val="left" w:pos="540"/>
        </w:tabs>
        <w:adjustRightInd w:val="0"/>
        <w:snapToGrid w:val="0"/>
        <w:ind w:left="540" w:hanging="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对有具体参数要求的指标，磋商供应商必须提供所投产品的具体参数值。如果仅注明“符合”，“满足”或简单复制竞争性磋商采购文件要求，将可能导致报价被拒绝。</w:t>
      </w:r>
    </w:p>
    <w:p>
      <w:pPr>
        <w:adjustRightInd w:val="0"/>
        <w:snapToGrid w:val="0"/>
        <w:ind w:firstLine="420"/>
        <w:rPr>
          <w:rFonts w:asciiTheme="minorEastAsia" w:hAnsiTheme="minorEastAsia" w:eastAsiaTheme="minorEastAsia" w:cstheme="minorEastAsia"/>
          <w:szCs w:val="21"/>
        </w:rPr>
      </w:pPr>
    </w:p>
    <w:p>
      <w:pPr>
        <w:adjustRightInd w:val="0"/>
        <w:snapToGrid w:val="0"/>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rPr>
          <w:rFonts w:asciiTheme="minorEastAsia" w:hAnsiTheme="minorEastAsia" w:eastAsiaTheme="minorEastAsia" w:cstheme="minorEastAsia"/>
          <w:b/>
          <w:kern w:val="0"/>
          <w:szCs w:val="21"/>
        </w:rPr>
      </w:pP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b/>
          <w:kern w:val="0"/>
          <w:szCs w:val="21"/>
        </w:rPr>
        <w:br w:type="page"/>
      </w:r>
      <w:bookmarkStart w:id="174" w:name="_Toc28283"/>
      <w:bookmarkStart w:id="175" w:name="_Toc479184134"/>
      <w:bookmarkStart w:id="176" w:name="_Toc32060"/>
      <w:bookmarkStart w:id="177" w:name="_Toc432149013"/>
      <w:bookmarkStart w:id="178" w:name="_Toc362935521"/>
      <w:bookmarkStart w:id="179" w:name="_Toc18816"/>
      <w:r>
        <w:rPr>
          <w:rFonts w:hint="eastAsia" w:asciiTheme="minorEastAsia" w:hAnsiTheme="minorEastAsia" w:eastAsiaTheme="minorEastAsia" w:cstheme="minorEastAsia"/>
          <w:b/>
          <w:kern w:val="0"/>
          <w:szCs w:val="21"/>
        </w:rPr>
        <w:t>十一、</w:t>
      </w:r>
      <w:r>
        <w:rPr>
          <w:rFonts w:hint="eastAsia" w:asciiTheme="minorEastAsia" w:hAnsiTheme="minorEastAsia" w:eastAsiaTheme="minorEastAsia" w:cstheme="minorEastAsia"/>
          <w:b/>
          <w:bCs/>
          <w:szCs w:val="21"/>
        </w:rPr>
        <w:t>类似业绩一览表</w:t>
      </w:r>
      <w:bookmarkEnd w:id="174"/>
      <w:bookmarkEnd w:id="175"/>
      <w:bookmarkEnd w:id="176"/>
      <w:bookmarkEnd w:id="177"/>
      <w:bookmarkEnd w:id="178"/>
      <w:r>
        <w:rPr>
          <w:rFonts w:hint="eastAsia" w:asciiTheme="minorEastAsia" w:hAnsiTheme="minorEastAsia" w:eastAsiaTheme="minorEastAsia" w:cstheme="minorEastAsia"/>
          <w:b/>
          <w:bCs/>
          <w:szCs w:val="21"/>
        </w:rPr>
        <w:br w:type="textWrapping"/>
      </w:r>
      <w:bookmarkEnd w:id="179"/>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项目编号：</w:t>
      </w:r>
    </w:p>
    <w:tbl>
      <w:tblPr>
        <w:tblStyle w:val="26"/>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330"/>
        <w:gridCol w:w="771"/>
        <w:gridCol w:w="964"/>
        <w:gridCol w:w="768"/>
        <w:gridCol w:w="756"/>
        <w:gridCol w:w="1176"/>
        <w:gridCol w:w="1212"/>
        <w:gridCol w:w="1019"/>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42"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序号</w:t>
            </w:r>
          </w:p>
        </w:tc>
        <w:tc>
          <w:tcPr>
            <w:tcW w:w="1330"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771"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w:t>
            </w:r>
          </w:p>
        </w:tc>
        <w:tc>
          <w:tcPr>
            <w:tcW w:w="964"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合同签订</w:t>
            </w: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时间</w:t>
            </w:r>
          </w:p>
        </w:tc>
        <w:tc>
          <w:tcPr>
            <w:tcW w:w="768"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合同金额</w:t>
            </w:r>
          </w:p>
        </w:tc>
        <w:tc>
          <w:tcPr>
            <w:tcW w:w="756"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1176"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业主单位联系人及电话</w:t>
            </w:r>
          </w:p>
        </w:tc>
        <w:tc>
          <w:tcPr>
            <w:tcW w:w="1212"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中标公告网页链接（如有）</w:t>
            </w:r>
          </w:p>
        </w:tc>
        <w:tc>
          <w:tcPr>
            <w:tcW w:w="101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是否投</w:t>
            </w: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入使用</w:t>
            </w:r>
          </w:p>
        </w:tc>
        <w:tc>
          <w:tcPr>
            <w:tcW w:w="599"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330"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71"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64"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68"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5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17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21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01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59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330"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71"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64"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68"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5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17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21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01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59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330"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71"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64"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68"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5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17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21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01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59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330"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71"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64"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68"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5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17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21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01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59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330"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71"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64"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68"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5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17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21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01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59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330"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71"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64"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68"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5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17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21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01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59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330"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71"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64"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68"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5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17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21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01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59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30"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71"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964"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68"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75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176"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212"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101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c>
          <w:tcPr>
            <w:tcW w:w="599" w:type="dxa"/>
          </w:tcPr>
          <w:p>
            <w:pPr>
              <w:adjustRightInd w:val="0"/>
              <w:snapToGrid w:val="0"/>
              <w:spacing w:beforeLines="10" w:afterLines="10"/>
              <w:ind w:left="21" w:leftChars="10" w:right="21" w:rightChars="10"/>
              <w:jc w:val="center"/>
              <w:rPr>
                <w:rFonts w:asciiTheme="minorEastAsia" w:hAnsiTheme="minorEastAsia" w:eastAsiaTheme="minorEastAsia" w:cstheme="minorEastAsia"/>
                <w:szCs w:val="21"/>
              </w:rPr>
            </w:pPr>
          </w:p>
        </w:tc>
      </w:tr>
    </w:tbl>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1.附磋商供应商承担类似项目的情况填入本表中，提供业绩合同等评分标准要求的相关证明材料。 无证明材料的内容评审时将不予考虑。</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2.公开竞标成交的类似业绩，还应提供成交/中标公告网页链接。</w:t>
      </w:r>
    </w:p>
    <w:p>
      <w:pPr>
        <w:spacing w:line="360" w:lineRule="auto"/>
        <w:rPr>
          <w:rFonts w:asciiTheme="minorEastAsia" w:hAnsiTheme="minorEastAsia" w:eastAsiaTheme="minorEastAsia" w:cstheme="minorEastAsia"/>
          <w:szCs w:val="21"/>
        </w:rPr>
      </w:pPr>
      <w:bookmarkStart w:id="180" w:name="_Toc460258118"/>
      <w:bookmarkStart w:id="181" w:name="_Toc454806053"/>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82" w:name="_Toc8374"/>
      <w:bookmarkStart w:id="183" w:name="_Toc30455"/>
      <w:bookmarkStart w:id="184" w:name="_Toc4834"/>
      <w:bookmarkStart w:id="185" w:name="_Toc479184135"/>
      <w:r>
        <w:rPr>
          <w:rFonts w:hint="eastAsia" w:asciiTheme="minorEastAsia" w:hAnsiTheme="minorEastAsia" w:eastAsiaTheme="minorEastAsia" w:cstheme="minorEastAsia"/>
          <w:b/>
          <w:bCs/>
          <w:szCs w:val="21"/>
        </w:rPr>
        <w:t>十二、拟投入项目组人员一览表</w:t>
      </w:r>
      <w:bookmarkEnd w:id="180"/>
      <w:bookmarkEnd w:id="181"/>
      <w:bookmarkEnd w:id="182"/>
      <w:bookmarkEnd w:id="183"/>
      <w:bookmarkEnd w:id="184"/>
      <w:bookmarkEnd w:id="185"/>
    </w:p>
    <w:p>
      <w:pPr>
        <w:adjustRightInd w:val="0"/>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ind w:left="-181" w:leftChars="-86" w:firstLine="180" w:firstLineChars="8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34"/>
        <w:gridCol w:w="2208"/>
        <w:gridCol w:w="850"/>
        <w:gridCol w:w="693"/>
        <w:gridCol w:w="877"/>
        <w:gridCol w:w="877"/>
        <w:gridCol w:w="1383"/>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在本项目中担当职位</w:t>
            </w: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学历</w:t>
            </w: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职称</w:t>
            </w: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从业经历</w:t>
            </w: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83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asciiTheme="minorEastAsia" w:hAnsiTheme="minorEastAsia" w:eastAsiaTheme="minorEastAsia" w:cstheme="minorEastAsia"/>
                <w:szCs w:val="21"/>
              </w:rPr>
            </w:pPr>
          </w:p>
        </w:tc>
      </w:tr>
    </w:tbl>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说明：附拟投入项目组人员身份证、劳动合同、社保证明、</w:t>
      </w:r>
      <w:r>
        <w:rPr>
          <w:rFonts w:hint="eastAsia"/>
        </w:rPr>
        <w:t>职称证书、学历证书</w:t>
      </w:r>
      <w:r>
        <w:rPr>
          <w:rFonts w:hint="eastAsia" w:asciiTheme="minorEastAsia" w:hAnsiTheme="minorEastAsia" w:eastAsiaTheme="minorEastAsia" w:cstheme="minorEastAsia"/>
          <w:szCs w:val="21"/>
        </w:rPr>
        <w:t>等评分标准要求的其他相关证明材料。无证明材料的内容评审时将不予考虑。</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186" w:name="_Toc10429"/>
      <w:bookmarkStart w:id="187" w:name="_Toc479184136"/>
      <w:bookmarkStart w:id="188" w:name="_Toc422466737"/>
      <w:bookmarkStart w:id="189" w:name="_Toc26838"/>
      <w:bookmarkStart w:id="190" w:name="_Toc8711"/>
      <w:bookmarkStart w:id="191" w:name="_Toc432149014"/>
      <w:r>
        <w:rPr>
          <w:rFonts w:hint="eastAsia" w:asciiTheme="minorEastAsia" w:hAnsiTheme="minorEastAsia" w:eastAsiaTheme="minorEastAsia" w:cstheme="minorEastAsia"/>
          <w:b/>
          <w:bCs/>
          <w:kern w:val="0"/>
          <w:szCs w:val="21"/>
        </w:rPr>
        <w:t>十三、</w:t>
      </w:r>
      <w:r>
        <w:rPr>
          <w:rFonts w:hint="eastAsia" w:asciiTheme="minorEastAsia" w:hAnsiTheme="minorEastAsia" w:eastAsiaTheme="minorEastAsia" w:cstheme="minorEastAsia"/>
          <w:b/>
          <w:bCs/>
          <w:szCs w:val="21"/>
        </w:rPr>
        <w:t>供应商的资格声明</w:t>
      </w:r>
      <w:bookmarkEnd w:id="186"/>
      <w:bookmarkEnd w:id="187"/>
      <w:bookmarkEnd w:id="188"/>
      <w:bookmarkEnd w:id="189"/>
      <w:bookmarkEnd w:id="190"/>
      <w:bookmarkEnd w:id="191"/>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1.名称及基本情况：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邮箱：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传真：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（3）成立或注册日期：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（4）公司性质：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（5）法定代表人或主要负责人：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（6）员工人数：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（7）注册资本：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（8）实收资本：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（9）上年末资产负债率：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1）固定资产</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原值：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净值：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2）流动资产：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3）长期负债：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4）短期负债：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2．与报价服务内容有关的情况：</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（1）供应商提供此响应服务内容的经验（包括年限、项目业主、额定能力、商业运营的起始日期等）；</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（2）服务网点分布（可另行附表）：</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1737"/>
        <w:gridCol w:w="226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服务网点名称和地址</w:t>
            </w:r>
          </w:p>
        </w:tc>
        <w:tc>
          <w:tcPr>
            <w:tcW w:w="173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主要服务范围</w:t>
            </w:r>
          </w:p>
        </w:tc>
        <w:tc>
          <w:tcPr>
            <w:tcW w:w="2269"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服务人员数</w:t>
            </w:r>
          </w:p>
        </w:tc>
        <w:tc>
          <w:tcPr>
            <w:tcW w:w="2268"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asciiTheme="minorEastAsia" w:hAnsiTheme="minorEastAsia" w:eastAsiaTheme="minorEastAsia" w:cstheme="minorEastAsia"/>
                <w:szCs w:val="21"/>
              </w:rPr>
            </w:pPr>
          </w:p>
        </w:tc>
        <w:tc>
          <w:tcPr>
            <w:tcW w:w="1737" w:type="dxa"/>
            <w:vAlign w:val="center"/>
          </w:tcPr>
          <w:p>
            <w:pPr>
              <w:spacing w:line="360" w:lineRule="auto"/>
              <w:jc w:val="center"/>
              <w:rPr>
                <w:rFonts w:asciiTheme="minorEastAsia" w:hAnsiTheme="minorEastAsia" w:eastAsiaTheme="minorEastAsia" w:cstheme="minorEastAsia"/>
                <w:szCs w:val="21"/>
              </w:rPr>
            </w:pPr>
          </w:p>
        </w:tc>
        <w:tc>
          <w:tcPr>
            <w:tcW w:w="2269" w:type="dxa"/>
            <w:vAlign w:val="center"/>
          </w:tcPr>
          <w:p>
            <w:pPr>
              <w:spacing w:line="360" w:lineRule="auto"/>
              <w:jc w:val="center"/>
              <w:rPr>
                <w:rFonts w:asciiTheme="minorEastAsia" w:hAnsiTheme="minorEastAsia" w:eastAsiaTheme="minorEastAsia" w:cstheme="minorEastAsia"/>
                <w:szCs w:val="21"/>
              </w:rPr>
            </w:pPr>
          </w:p>
        </w:tc>
        <w:tc>
          <w:tcPr>
            <w:tcW w:w="2268" w:type="dxa"/>
            <w:vAlign w:val="center"/>
          </w:tcPr>
          <w:p>
            <w:pPr>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asciiTheme="minorEastAsia" w:hAnsiTheme="minorEastAsia" w:eastAsiaTheme="minorEastAsia" w:cstheme="minorEastAsia"/>
                <w:szCs w:val="21"/>
              </w:rPr>
            </w:pPr>
          </w:p>
        </w:tc>
        <w:tc>
          <w:tcPr>
            <w:tcW w:w="1737" w:type="dxa"/>
            <w:vAlign w:val="center"/>
          </w:tcPr>
          <w:p>
            <w:pPr>
              <w:spacing w:line="360" w:lineRule="auto"/>
              <w:jc w:val="center"/>
              <w:rPr>
                <w:rFonts w:asciiTheme="minorEastAsia" w:hAnsiTheme="minorEastAsia" w:eastAsiaTheme="minorEastAsia" w:cstheme="minorEastAsia"/>
                <w:szCs w:val="21"/>
              </w:rPr>
            </w:pPr>
          </w:p>
        </w:tc>
        <w:tc>
          <w:tcPr>
            <w:tcW w:w="2269" w:type="dxa"/>
            <w:vAlign w:val="center"/>
          </w:tcPr>
          <w:p>
            <w:pPr>
              <w:spacing w:line="360" w:lineRule="auto"/>
              <w:jc w:val="center"/>
              <w:rPr>
                <w:rFonts w:asciiTheme="minorEastAsia" w:hAnsiTheme="minorEastAsia" w:eastAsiaTheme="minorEastAsia" w:cstheme="minorEastAsia"/>
                <w:szCs w:val="21"/>
              </w:rPr>
            </w:pPr>
          </w:p>
        </w:tc>
        <w:tc>
          <w:tcPr>
            <w:tcW w:w="2268" w:type="dxa"/>
            <w:vAlign w:val="center"/>
          </w:tcPr>
          <w:p>
            <w:pPr>
              <w:spacing w:line="360" w:lineRule="auto"/>
              <w:jc w:val="center"/>
              <w:rPr>
                <w:rFonts w:asciiTheme="minorEastAsia" w:hAnsiTheme="minorEastAsia" w:eastAsiaTheme="minorEastAsia" w:cstheme="minorEastAsia"/>
                <w:szCs w:val="21"/>
              </w:rPr>
            </w:pPr>
          </w:p>
        </w:tc>
      </w:tr>
    </w:tbl>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3．供应商认为需要声明的其他情况：</w:t>
      </w:r>
    </w:p>
    <w:p>
      <w:pPr>
        <w:ind w:firstLine="210" w:firstLineChars="1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兹证明上述声明是真实的、正确的，并提供了全部能提供的资料和数据，我们同意遵照</w:t>
      </w:r>
      <w:r>
        <w:rPr>
          <w:rFonts w:hint="eastAsia" w:asciiTheme="minorEastAsia" w:hAnsiTheme="minorEastAsia" w:eastAsiaTheme="minorEastAsia" w:cstheme="minorEastAsia"/>
          <w:bCs/>
          <w:szCs w:val="21"/>
          <w:u w:val="single"/>
        </w:rPr>
        <w:t>采购代理机构</w:t>
      </w:r>
      <w:r>
        <w:rPr>
          <w:rFonts w:hint="eastAsia" w:asciiTheme="minorEastAsia" w:hAnsiTheme="minorEastAsia" w:eastAsiaTheme="minorEastAsia" w:cstheme="minorEastAsia"/>
          <w:bCs/>
          <w:szCs w:val="21"/>
        </w:rPr>
        <w:t>要求出示的有关证明文件。</w:t>
      </w:r>
    </w:p>
    <w:p>
      <w:pPr>
        <w:spacing w:line="360" w:lineRule="auto"/>
        <w:ind w:firstLine="210" w:firstLineChars="100"/>
        <w:rPr>
          <w:rFonts w:asciiTheme="minorEastAsia" w:hAnsiTheme="minorEastAsia" w:eastAsiaTheme="minorEastAsia" w:cstheme="minorEastAsia"/>
          <w:bCs/>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192" w:name="_Toc17527"/>
      <w:bookmarkStart w:id="193" w:name="_Toc259028731"/>
      <w:bookmarkStart w:id="194" w:name="_Toc17331"/>
      <w:bookmarkStart w:id="195" w:name="_Toc450827823"/>
      <w:bookmarkStart w:id="196" w:name="_Toc479184137"/>
      <w:bookmarkStart w:id="197" w:name="_Toc103"/>
      <w:r>
        <w:rPr>
          <w:rFonts w:hint="eastAsia" w:asciiTheme="minorEastAsia" w:hAnsiTheme="minorEastAsia" w:eastAsiaTheme="minorEastAsia" w:cstheme="minorEastAsia"/>
          <w:b/>
          <w:bCs/>
          <w:kern w:val="0"/>
          <w:szCs w:val="21"/>
        </w:rPr>
        <w:t>十四、</w:t>
      </w:r>
      <w:r>
        <w:rPr>
          <w:rFonts w:hint="eastAsia" w:asciiTheme="minorEastAsia" w:hAnsiTheme="minorEastAsia" w:eastAsiaTheme="minorEastAsia" w:cstheme="minorEastAsia"/>
          <w:b/>
          <w:bCs/>
          <w:szCs w:val="21"/>
        </w:rPr>
        <w:t>资格证明文件</w:t>
      </w:r>
      <w:bookmarkEnd w:id="192"/>
      <w:bookmarkEnd w:id="193"/>
      <w:bookmarkEnd w:id="194"/>
      <w:bookmarkEnd w:id="195"/>
      <w:bookmarkEnd w:id="196"/>
      <w:bookmarkEnd w:id="197"/>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提供第一章第二款资格要求的资格证明文件的真彩扫描件。</w:t>
      </w:r>
    </w:p>
    <w:p>
      <w:pPr>
        <w:rPr>
          <w:rFonts w:asciiTheme="minorEastAsia" w:hAnsiTheme="minorEastAsia" w:eastAsiaTheme="minorEastAsia" w:cstheme="minorEastAsia"/>
          <w:szCs w:val="21"/>
        </w:rPr>
      </w:pPr>
    </w:p>
    <w:p>
      <w:pPr>
        <w:adjustRightInd w:val="0"/>
        <w:snapToGrid w:val="0"/>
        <w:spacing w:line="360" w:lineRule="auto"/>
        <w:ind w:left="-88" w:leftChars="-42"/>
        <w:jc w:val="center"/>
        <w:rPr>
          <w:rFonts w:asciiTheme="minorEastAsia" w:hAnsiTheme="minorEastAsia" w:eastAsiaTheme="minorEastAsia" w:cstheme="minorEastAsia"/>
          <w:szCs w:val="21"/>
        </w:rPr>
      </w:pPr>
    </w:p>
    <w:p>
      <w:pPr>
        <w:spacing w:line="360" w:lineRule="auto"/>
        <w:ind w:left="168" w:leftChars="8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p>
    <w:p>
      <w:pPr>
        <w:spacing w:line="360" w:lineRule="auto"/>
        <w:ind w:left="168" w:leftChars="8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bookmarkStart w:id="198" w:name="_Toc427239751"/>
      <w:bookmarkStart w:id="199" w:name="_Toc18555"/>
      <w:bookmarkStart w:id="200" w:name="_Toc5793"/>
      <w:bookmarkStart w:id="201" w:name="_Toc32187"/>
      <w:bookmarkStart w:id="202" w:name="_Toc290207179"/>
      <w:bookmarkStart w:id="203" w:name="_Toc364868916"/>
      <w:bookmarkStart w:id="204" w:name="_Toc358447587"/>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bCs/>
          <w:kern w:val="0"/>
          <w:szCs w:val="21"/>
        </w:rPr>
      </w:pPr>
      <w:bookmarkStart w:id="205" w:name="_Toc6332"/>
      <w:r>
        <w:rPr>
          <w:rFonts w:hint="eastAsia" w:asciiTheme="minorEastAsia" w:hAnsiTheme="minorEastAsia" w:eastAsiaTheme="minorEastAsia" w:cstheme="minorEastAsia"/>
          <w:b/>
          <w:bCs/>
          <w:kern w:val="0"/>
          <w:szCs w:val="21"/>
        </w:rPr>
        <w:t>十五、</w:t>
      </w:r>
      <w:bookmarkEnd w:id="198"/>
      <w:bookmarkEnd w:id="199"/>
      <w:bookmarkEnd w:id="200"/>
      <w:bookmarkEnd w:id="201"/>
      <w:bookmarkEnd w:id="202"/>
      <w:bookmarkEnd w:id="203"/>
      <w:bookmarkEnd w:id="204"/>
      <w:bookmarkStart w:id="206" w:name="_Toc27229"/>
      <w:bookmarkStart w:id="207" w:name="_Toc479184138"/>
      <w:bookmarkStart w:id="208" w:name="_Toc460258123"/>
      <w:bookmarkStart w:id="209" w:name="_Toc29785"/>
      <w:r>
        <w:rPr>
          <w:rFonts w:hint="eastAsia" w:asciiTheme="minorEastAsia" w:hAnsiTheme="minorEastAsia" w:eastAsiaTheme="minorEastAsia" w:cstheme="minorEastAsia"/>
          <w:b/>
          <w:bCs/>
          <w:kern w:val="0"/>
          <w:szCs w:val="21"/>
        </w:rPr>
        <w:t>报价技术文件</w:t>
      </w:r>
      <w:bookmarkEnd w:id="205"/>
      <w:bookmarkEnd w:id="206"/>
      <w:bookmarkEnd w:id="207"/>
      <w:bookmarkEnd w:id="208"/>
      <w:bookmarkEnd w:id="209"/>
    </w:p>
    <w:p>
      <w:pPr>
        <w:rPr>
          <w:rFonts w:asciiTheme="minorEastAsia" w:hAnsiTheme="minorEastAsia" w:eastAsiaTheme="minorEastAsia" w:cstheme="minorEastAsia"/>
          <w:szCs w:val="21"/>
        </w:rPr>
      </w:pPr>
    </w:p>
    <w:p>
      <w:pPr>
        <w:pStyle w:val="97"/>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由供应商自行编制，目录清晰、内容详尽、易于理解和评审并富有建设性的技术方案将在评审时具有优势。</w:t>
      </w:r>
    </w:p>
    <w:p>
      <w:pPr>
        <w:adjustRightInd w:val="0"/>
        <w:snapToGrid w:val="0"/>
        <w:spacing w:line="360" w:lineRule="auto"/>
        <w:ind w:left="-88" w:leftChars="-42"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以下内容仅供参考，格式自拟。</w:t>
      </w:r>
    </w:p>
    <w:p>
      <w:pPr>
        <w:numPr>
          <w:ilvl w:val="1"/>
          <w:numId w:val="44"/>
        </w:numPr>
        <w:tabs>
          <w:tab w:val="left" w:pos="640"/>
          <w:tab w:val="clear"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项目概况及对本项目总体要求的理解</w:t>
      </w:r>
    </w:p>
    <w:p>
      <w:pPr>
        <w:numPr>
          <w:ilvl w:val="1"/>
          <w:numId w:val="44"/>
        </w:numPr>
        <w:tabs>
          <w:tab w:val="left" w:pos="640"/>
          <w:tab w:val="clear"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项目实施方案</w:t>
      </w:r>
    </w:p>
    <w:p>
      <w:pPr>
        <w:numPr>
          <w:ilvl w:val="1"/>
          <w:numId w:val="44"/>
        </w:numPr>
        <w:tabs>
          <w:tab w:val="left" w:pos="640"/>
          <w:tab w:val="clear"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项目重点及难点解析</w:t>
      </w:r>
    </w:p>
    <w:p>
      <w:pPr>
        <w:numPr>
          <w:ilvl w:val="1"/>
          <w:numId w:val="44"/>
        </w:numPr>
        <w:tabs>
          <w:tab w:val="left" w:pos="640"/>
          <w:tab w:val="clear"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质量控制措施</w:t>
      </w:r>
    </w:p>
    <w:p>
      <w:pPr>
        <w:numPr>
          <w:ilvl w:val="1"/>
          <w:numId w:val="44"/>
        </w:numPr>
        <w:tabs>
          <w:tab w:val="left" w:pos="640"/>
          <w:tab w:val="clear"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进度控制措施</w:t>
      </w:r>
    </w:p>
    <w:p>
      <w:pPr>
        <w:numPr>
          <w:ilvl w:val="1"/>
          <w:numId w:val="44"/>
        </w:numPr>
        <w:tabs>
          <w:tab w:val="left" w:pos="640"/>
          <w:tab w:val="clear" w:pos="0"/>
        </w:tabs>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对本项目的合理化建议</w:t>
      </w:r>
    </w:p>
    <w:p>
      <w:pPr>
        <w:tabs>
          <w:tab w:val="left" w:pos="540"/>
        </w:tabs>
        <w:autoSpaceDE w:val="0"/>
        <w:autoSpaceDN w:val="0"/>
        <w:adjustRightInd w:val="0"/>
        <w:spacing w:line="360" w:lineRule="auto"/>
        <w:jc w:val="center"/>
        <w:outlineLvl w:val="1"/>
        <w:rPr>
          <w:rFonts w:asciiTheme="minorEastAsia" w:hAnsiTheme="minorEastAsia" w:eastAsiaTheme="minorEastAsia" w:cstheme="minorEastAsia"/>
          <w:b/>
        </w:rPr>
      </w:pPr>
      <w:r>
        <w:rPr>
          <w:rFonts w:hint="eastAsia" w:asciiTheme="minorEastAsia" w:hAnsiTheme="minorEastAsia" w:eastAsiaTheme="minorEastAsia" w:cstheme="minorEastAsia"/>
        </w:rPr>
        <w:br w:type="page"/>
      </w:r>
      <w:bookmarkStart w:id="210" w:name="_Toc355802499"/>
      <w:bookmarkStart w:id="211" w:name="_Toc2101"/>
      <w:bookmarkStart w:id="212" w:name="_Toc422466739"/>
      <w:bookmarkStart w:id="213" w:name="_Toc479184140"/>
      <w:bookmarkStart w:id="214" w:name="_Toc432149016"/>
      <w:bookmarkStart w:id="215" w:name="_Toc8098"/>
      <w:bookmarkStart w:id="216" w:name="_Toc12119"/>
      <w:bookmarkStart w:id="217" w:name="_Toc22465"/>
      <w:bookmarkStart w:id="218" w:name="_Toc356836516"/>
      <w:bookmarkStart w:id="219" w:name="_Toc26126"/>
      <w:r>
        <w:rPr>
          <w:rFonts w:hint="eastAsia" w:asciiTheme="minorEastAsia" w:hAnsiTheme="minorEastAsia" w:eastAsiaTheme="minorEastAsia" w:cstheme="minorEastAsia"/>
          <w:b/>
        </w:rPr>
        <w:t>十六、中小企业声明函</w:t>
      </w:r>
      <w:bookmarkEnd w:id="210"/>
      <w:bookmarkEnd w:id="211"/>
      <w:bookmarkEnd w:id="212"/>
      <w:bookmarkEnd w:id="213"/>
      <w:bookmarkEnd w:id="214"/>
      <w:bookmarkEnd w:id="215"/>
      <w:bookmarkEnd w:id="216"/>
      <w:bookmarkEnd w:id="217"/>
      <w:bookmarkEnd w:id="218"/>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rPr>
        <w:t>符合</w:t>
      </w:r>
      <w:r>
        <w:rPr>
          <w:rFonts w:hint="eastAsia" w:asciiTheme="minorEastAsia" w:hAnsiTheme="minorEastAsia" w:eastAsiaTheme="minorEastAsia" w:cstheme="minorEastAsia"/>
          <w:b/>
          <w:lang w:val="zh-CN"/>
        </w:rPr>
        <w:t>）</w:t>
      </w:r>
      <w:bookmarkEnd w:id="219"/>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本公司郑重声明，根据《政府采购促进中小企业发展暂行办法》（财库[2011]181号）的规定，本公司为</w:t>
      </w:r>
      <w:bookmarkStart w:id="220" w:name="OLE_LINK5"/>
      <w:r>
        <w:rPr>
          <w:rFonts w:hint="eastAsia" w:asciiTheme="minorEastAsia" w:hAnsiTheme="minorEastAsia" w:eastAsiaTheme="minorEastAsia" w:cstheme="minorEastAsia"/>
          <w:spacing w:val="6"/>
          <w:szCs w:val="21"/>
        </w:rPr>
        <w:t>______（请填写：中型、小型、微型）企业</w:t>
      </w:r>
      <w:bookmarkEnd w:id="220"/>
      <w:r>
        <w:rPr>
          <w:rFonts w:hint="eastAsia" w:asciiTheme="minorEastAsia" w:hAnsiTheme="minorEastAsia" w:eastAsiaTheme="minorEastAsia" w:cstheme="minorEastAsia"/>
          <w:spacing w:val="6"/>
          <w:szCs w:val="21"/>
        </w:rPr>
        <w:t>。即，本公司同时满足以下条件：</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2.本公司参加______单位的______项目采购活动提供本企业制造的货物，由本企业承担工程、提供服务，或者提供其他______（请填写：中型、小型、微型）企业____（制造商名称）/__（产地）（填写此次响应所供主要货物制造商名称或价值最高的货物制造商名称及生产产地）制造的货物。本条所称货物不包括使用大型企业注册商标的货物。</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本公司对上述声明的真实性负责。如有虚假，将依法承担相应责任。</w:t>
      </w:r>
    </w:p>
    <w:p>
      <w:pPr>
        <w:spacing w:line="360" w:lineRule="auto"/>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附证明材料：</w:t>
      </w:r>
    </w:p>
    <w:p>
      <w:pPr>
        <w:numPr>
          <w:ilvl w:val="0"/>
          <w:numId w:val="45"/>
        </w:numPr>
        <w:spacing w:line="360" w:lineRule="auto"/>
        <w:ind w:firstLine="446" w:firstLineChars="200"/>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pacing w:val="6"/>
          <w:szCs w:val="21"/>
        </w:rPr>
        <w:t>提供供应商企业规模、年产值、员工数量及制造商企业规模、年产值、员工数量等数据资料。</w:t>
      </w:r>
    </w:p>
    <w:p>
      <w:pPr>
        <w:numPr>
          <w:ilvl w:val="0"/>
          <w:numId w:val="45"/>
        </w:numPr>
        <w:spacing w:line="360" w:lineRule="auto"/>
        <w:ind w:firstLine="446" w:firstLineChars="200"/>
      </w:pPr>
      <w:r>
        <w:rPr>
          <w:rFonts w:hint="eastAsia" w:asciiTheme="minorEastAsia" w:hAnsiTheme="minorEastAsia" w:eastAsiaTheme="minorEastAsia" w:cstheme="minorEastAsia"/>
          <w:b/>
          <w:bCs/>
          <w:spacing w:val="6"/>
          <w:szCs w:val="21"/>
        </w:rPr>
        <w:t>供应商非所投货物制造商的，还应当提供货物制造商的中小企业声明函，否则在评审时不予考虑。</w:t>
      </w:r>
    </w:p>
    <w:p>
      <w:pPr>
        <w:spacing w:line="360" w:lineRule="auto"/>
        <w:ind w:firstLine="44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备注：未提供证明材料或材料不全的不予折扣。</w:t>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ind w:firstLine="444" w:firstLineChars="200"/>
        <w:rPr>
          <w:rFonts w:asciiTheme="minorEastAsia" w:hAnsiTheme="minorEastAsia" w:eastAsiaTheme="minorEastAsia" w:cstheme="minorEastAsia"/>
          <w:spacing w:val="6"/>
          <w:szCs w:val="21"/>
        </w:rPr>
      </w:pPr>
    </w:p>
    <w:p>
      <w:pPr>
        <w:autoSpaceDE w:val="0"/>
        <w:autoSpaceDN w:val="0"/>
        <w:adjustRightInd w:val="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 xml:space="preserve">              </w:t>
      </w:r>
    </w:p>
    <w:bookmarkEnd w:id="120"/>
    <w:bookmarkEnd w:id="121"/>
    <w:bookmarkEnd w:id="122"/>
    <w:bookmarkEnd w:id="123"/>
    <w:p>
      <w:pPr>
        <w:adjustRightInd w:val="0"/>
        <w:snapToGrid w:val="0"/>
        <w:jc w:val="center"/>
        <w:outlineLvl w:val="1"/>
        <w:rPr>
          <w:rFonts w:asciiTheme="minorEastAsia" w:hAnsiTheme="minorEastAsia" w:eastAsiaTheme="minorEastAsia" w:cstheme="minorEastAsia"/>
          <w:b/>
        </w:rPr>
      </w:pPr>
      <w:r>
        <w:rPr>
          <w:rFonts w:hint="eastAsia" w:asciiTheme="minorEastAsia" w:hAnsiTheme="minorEastAsia" w:eastAsiaTheme="minorEastAsia" w:cstheme="minorEastAsia"/>
          <w:spacing w:val="6"/>
          <w:szCs w:val="21"/>
        </w:rPr>
        <w:br w:type="page"/>
      </w:r>
      <w:bookmarkStart w:id="221" w:name="_Toc26897"/>
      <w:bookmarkStart w:id="222" w:name="_Toc476839034"/>
      <w:bookmarkStart w:id="223" w:name="_Toc4320"/>
      <w:bookmarkStart w:id="224" w:name="_Toc30406"/>
      <w:bookmarkStart w:id="225" w:name="_Toc7229"/>
      <w:bookmarkStart w:id="226" w:name="_Toc479184141"/>
      <w:r>
        <w:rPr>
          <w:rFonts w:hint="eastAsia" w:asciiTheme="minorEastAsia" w:hAnsiTheme="minorEastAsia" w:eastAsiaTheme="minorEastAsia" w:cstheme="minorEastAsia"/>
          <w:b/>
          <w:bCs/>
          <w:spacing w:val="6"/>
          <w:szCs w:val="21"/>
        </w:rPr>
        <w:t>十七、</w:t>
      </w:r>
      <w:r>
        <w:rPr>
          <w:rFonts w:hint="eastAsia" w:asciiTheme="minorEastAsia" w:hAnsiTheme="minorEastAsia" w:eastAsiaTheme="minorEastAsia" w:cstheme="minorEastAsia"/>
          <w:b/>
          <w:bCs/>
          <w:lang w:val="zh-CN"/>
        </w:rPr>
        <w:t>监狱企业证</w:t>
      </w:r>
      <w:r>
        <w:rPr>
          <w:rFonts w:hint="eastAsia" w:asciiTheme="minorEastAsia" w:hAnsiTheme="minorEastAsia" w:eastAsiaTheme="minorEastAsia" w:cstheme="minorEastAsia"/>
          <w:b/>
          <w:lang w:val="zh-CN"/>
        </w:rPr>
        <w:t>明文</w:t>
      </w:r>
      <w:r>
        <w:rPr>
          <w:rFonts w:hint="eastAsia" w:asciiTheme="minorEastAsia" w:hAnsiTheme="minorEastAsia" w:eastAsiaTheme="minorEastAsia" w:cstheme="minorEastAsia"/>
          <w:b/>
        </w:rPr>
        <w:t>件</w:t>
      </w:r>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rPr>
        <w:t>符合</w:t>
      </w:r>
      <w:r>
        <w:rPr>
          <w:rFonts w:hint="eastAsia" w:asciiTheme="minorEastAsia" w:hAnsiTheme="minorEastAsia" w:eastAsiaTheme="minorEastAsia" w:cstheme="minorEastAsia"/>
          <w:b/>
          <w:lang w:val="zh-CN"/>
        </w:rPr>
        <w:t>）</w:t>
      </w:r>
      <w:bookmarkEnd w:id="221"/>
    </w:p>
    <w:p>
      <w:pPr>
        <w:adjustRightInd w:val="0"/>
        <w:snapToGrid w:val="0"/>
        <w:jc w:val="center"/>
        <w:rPr>
          <w:rFonts w:asciiTheme="minorEastAsia" w:hAnsiTheme="minorEastAsia" w:eastAsiaTheme="minorEastAsia" w:cstheme="minorEastAsia"/>
          <w:spacing w:val="6"/>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t>供应商如是监狱企业，提供相关证明文件。</w:t>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zCs w:val="21"/>
        </w:rPr>
        <w:t>磋商供应商授权代表（签字）：</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名称（盖章 ）：</w:t>
      </w:r>
      <w:r>
        <w:rPr>
          <w:rFonts w:hint="eastAsia" w:asciiTheme="minorEastAsia" w:hAnsiTheme="minorEastAsia" w:eastAsiaTheme="minorEastAsia" w:cstheme="minorEastAsia"/>
          <w:szCs w:val="21"/>
          <w:u w:val="single"/>
        </w:rPr>
        <w:t xml:space="preserve">                                     </w:t>
      </w:r>
    </w:p>
    <w:p>
      <w:pPr>
        <w:adjustRightInd w:val="0"/>
        <w:snapToGrid w:val="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adjustRightInd w:val="0"/>
        <w:snapToGrid w:val="0"/>
        <w:rPr>
          <w:rFonts w:asciiTheme="minorEastAsia" w:hAnsiTheme="minorEastAsia" w:eastAsiaTheme="minorEastAsia" w:cstheme="minorEastAsia"/>
          <w:spacing w:val="6"/>
          <w:szCs w:val="21"/>
        </w:rPr>
      </w:pPr>
    </w:p>
    <w:p>
      <w:pPr>
        <w:adjustRightInd w:val="0"/>
        <w:snapToGrid w:val="0"/>
        <w:rPr>
          <w:rFonts w:asciiTheme="minorEastAsia" w:hAnsiTheme="minorEastAsia" w:eastAsiaTheme="minorEastAsia" w:cstheme="minorEastAsia"/>
          <w:spacing w:val="6"/>
          <w:szCs w:val="21"/>
        </w:rPr>
      </w:pPr>
    </w:p>
    <w:p>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p>
    <w:p>
      <w:pPr>
        <w:adjustRightInd w:val="0"/>
        <w:snapToGrid w:val="0"/>
        <w:jc w:val="center"/>
        <w:outlineLvl w:val="1"/>
        <w:rPr>
          <w:rFonts w:asciiTheme="minorEastAsia" w:hAnsiTheme="minorEastAsia" w:eastAsiaTheme="minorEastAsia" w:cstheme="minorEastAsia"/>
          <w:b/>
          <w:lang w:val="zh-CN"/>
        </w:rPr>
      </w:pPr>
      <w:bookmarkStart w:id="227" w:name="_Toc21843"/>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b/>
        </w:rPr>
        <w:t>十八、</w:t>
      </w:r>
      <w:r>
        <w:rPr>
          <w:rFonts w:hint="eastAsia" w:asciiTheme="minorEastAsia" w:hAnsiTheme="minorEastAsia" w:eastAsiaTheme="minorEastAsia" w:cstheme="minorEastAsia"/>
          <w:b/>
          <w:lang w:val="zh-CN"/>
        </w:rPr>
        <w:t>残疾人福利性单位声明函（若</w:t>
      </w:r>
      <w:r>
        <w:rPr>
          <w:rFonts w:hint="eastAsia" w:asciiTheme="minorEastAsia" w:hAnsiTheme="minorEastAsia" w:eastAsiaTheme="minorEastAsia" w:cstheme="minorEastAsia"/>
          <w:b/>
        </w:rPr>
        <w:t>符合</w:t>
      </w:r>
      <w:r>
        <w:rPr>
          <w:rFonts w:hint="eastAsia" w:asciiTheme="minorEastAsia" w:hAnsiTheme="minorEastAsia" w:eastAsiaTheme="minorEastAsia" w:cstheme="minorEastAsia"/>
          <w:b/>
          <w:lang w:val="zh-CN"/>
        </w:rPr>
        <w:t>）</w:t>
      </w:r>
      <w:bookmarkEnd w:id="227"/>
    </w:p>
    <w:p>
      <w:pPr>
        <w:pStyle w:val="14"/>
        <w:spacing w:line="360" w:lineRule="auto"/>
        <w:ind w:firstLine="415" w:firstLineChars="198"/>
        <w:jc w:val="left"/>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郑重声明，根据《财政部民政部中国残疾人联合会关于促进残疾人就业政府采购政策的通知》（财库〔2017〕141号）的规定，本单位为符合条件的残疾人福利性单位（详见“残疾人福利性单位应当满足的条件”）。</w:t>
      </w:r>
    </w:p>
    <w:p>
      <w:pPr>
        <w:pStyle w:val="14"/>
        <w:spacing w:line="360" w:lineRule="auto"/>
        <w:ind w:firstLine="415" w:firstLineChars="198"/>
        <w:jc w:val="left"/>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本单位授权</w:t>
      </w:r>
      <w:r>
        <w:rPr>
          <w:rFonts w:hint="eastAsia" w:asciiTheme="minorEastAsia" w:hAnsiTheme="minorEastAsia" w:eastAsiaTheme="minorEastAsia" w:cstheme="minorEastAsia"/>
          <w:color w:val="auto"/>
          <w:sz w:val="21"/>
          <w:u w:val="single"/>
        </w:rPr>
        <w:t xml:space="preserve">     （供应商） </w:t>
      </w:r>
      <w:r>
        <w:rPr>
          <w:rFonts w:hint="eastAsia" w:asciiTheme="minorEastAsia" w:hAnsiTheme="minorEastAsia" w:eastAsiaTheme="minorEastAsia" w:cstheme="minorEastAsia"/>
          <w:color w:val="auto"/>
          <w:sz w:val="21"/>
        </w:rPr>
        <w:t>参加</w:t>
      </w:r>
      <w:r>
        <w:rPr>
          <w:rFonts w:hint="eastAsia" w:asciiTheme="minorEastAsia" w:hAnsiTheme="minorEastAsia" w:eastAsiaTheme="minorEastAsia" w:cstheme="minorEastAsia"/>
          <w:color w:val="auto"/>
          <w:sz w:val="21"/>
          <w:u w:val="single"/>
        </w:rPr>
        <w:t xml:space="preserve">     （采购人）</w:t>
      </w:r>
      <w:r>
        <w:rPr>
          <w:rFonts w:hint="eastAsia" w:asciiTheme="minorEastAsia" w:hAnsiTheme="minorEastAsia" w:eastAsiaTheme="minorEastAsia" w:cstheme="minorEastAsia"/>
          <w:color w:val="auto"/>
          <w:sz w:val="21"/>
        </w:rPr>
        <w:t>的</w:t>
      </w:r>
      <w:r>
        <w:rPr>
          <w:rFonts w:hint="eastAsia" w:asciiTheme="minorEastAsia" w:hAnsiTheme="minorEastAsia" w:eastAsiaTheme="minorEastAsia" w:cstheme="minorEastAsia"/>
          <w:color w:val="auto"/>
          <w:sz w:val="21"/>
          <w:u w:val="single"/>
        </w:rPr>
        <w:t>    </w:t>
      </w:r>
      <w:r>
        <w:rPr>
          <w:rFonts w:hint="eastAsia" w:asciiTheme="minorEastAsia" w:hAnsiTheme="minorEastAsia" w:eastAsiaTheme="minorEastAsia" w:cstheme="minorEastAsia"/>
          <w:color w:val="auto"/>
          <w:sz w:val="21"/>
        </w:rPr>
        <w:t>项目（项目编号：_____）采购活动提供本单位制造的货物（由本单位承担工程/提供服务）。或者提供其他残疾人福利性单位制造的货物（不包括使用非残疾人福利性单位注册商标的货物）。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本单位对上述声明的真实性负责。如有虚假，将依法承担相应责任。</w:t>
      </w:r>
    </w:p>
    <w:p>
      <w:pPr>
        <w:pStyle w:val="14"/>
        <w:spacing w:line="360" w:lineRule="auto"/>
        <w:jc w:val="left"/>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bCs/>
          <w:color w:val="auto"/>
          <w:sz w:val="21"/>
        </w:rPr>
        <w:t>说明：</w:t>
      </w:r>
      <w:r>
        <w:rPr>
          <w:rFonts w:hint="eastAsia" w:asciiTheme="minorEastAsia" w:hAnsiTheme="minorEastAsia" w:eastAsiaTheme="minorEastAsia" w:cstheme="minorEastAsia"/>
          <w:color w:val="auto"/>
          <w:sz w:val="21"/>
        </w:rPr>
        <w:t>1、供应商所投货物为自己制造的，也应按本声明函格式填写。</w:t>
      </w:r>
    </w:p>
    <w:p>
      <w:pPr>
        <w:pStyle w:val="14"/>
        <w:spacing w:line="360" w:lineRule="auto"/>
        <w:ind w:left="1033" w:leftChars="342" w:hanging="315" w:hangingChars="150"/>
        <w:jc w:val="left"/>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2、组成联合体的大中型企业和其他自然人、法人或者其他组织，与残疾人福利性单位之间不得存在投资关系。</w:t>
      </w:r>
    </w:p>
    <w:p>
      <w:pPr>
        <w:pStyle w:val="14"/>
        <w:spacing w:line="360" w:lineRule="auto"/>
        <w:ind w:left="1033" w:leftChars="342" w:hanging="315" w:hangingChars="1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color w:val="auto"/>
          <w:sz w:val="21"/>
        </w:rPr>
        <w:t>3、如以联合体方式参与本项目响应的供应商，则应由联合体双方签字盖章。</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制造商（</w:t>
      </w:r>
      <w:r>
        <w:rPr>
          <w:rFonts w:hint="eastAsia" w:asciiTheme="minorEastAsia" w:hAnsiTheme="minorEastAsia" w:eastAsiaTheme="minorEastAsia" w:cstheme="minorEastAsia"/>
          <w:szCs w:val="21"/>
        </w:rPr>
        <w:t>盖章</w:t>
      </w:r>
      <w:r>
        <w:rPr>
          <w:rFonts w:hint="eastAsia" w:asciiTheme="minorEastAsia" w:hAnsiTheme="minorEastAsia" w:eastAsiaTheme="minorEastAsia" w:cstheme="minorEastAsia"/>
          <w:szCs w:val="21"/>
          <w:lang w:val="zh-CN"/>
        </w:rPr>
        <w:t>）：</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制造商法定代表人（签字）：</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磋商供应商法定代表人（签字）：</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磋商供应商授权代表（签字）：                        </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磋商供应商名称（</w:t>
      </w:r>
      <w:r>
        <w:rPr>
          <w:rFonts w:hint="eastAsia" w:asciiTheme="minorEastAsia" w:hAnsiTheme="minorEastAsia" w:eastAsiaTheme="minorEastAsia" w:cstheme="minorEastAsia"/>
          <w:szCs w:val="21"/>
        </w:rPr>
        <w:t>盖章</w:t>
      </w:r>
      <w:r>
        <w:rPr>
          <w:rFonts w:hint="eastAsia" w:asciiTheme="minorEastAsia" w:hAnsiTheme="minorEastAsia" w:eastAsiaTheme="minorEastAsia" w:cstheme="minorEastAsia"/>
          <w:szCs w:val="21"/>
          <w:lang w:val="zh-CN"/>
        </w:rPr>
        <w:t xml:space="preserve">）：                                     </w:t>
      </w:r>
    </w:p>
    <w:p>
      <w:p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时                 间：           年          月          日</w:t>
      </w:r>
    </w:p>
    <w:p>
      <w:p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br w:type="textWrapping"/>
      </w:r>
      <w:r>
        <w:rPr>
          <w:rFonts w:hint="eastAsia" w:asciiTheme="minorEastAsia" w:hAnsiTheme="minorEastAsia" w:eastAsiaTheme="minorEastAsia" w:cstheme="minorEastAsia"/>
          <w:szCs w:val="21"/>
          <w:lang w:val="zh-CN"/>
        </w:rPr>
        <w:t>备注：享受政府采购支持政策的残疾人福利性单位应当同时满足以下条件：</w:t>
      </w:r>
    </w:p>
    <w:p>
      <w:pPr>
        <w:numPr>
          <w:ilvl w:val="0"/>
          <w:numId w:val="46"/>
        </w:num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安置的残疾人占本单位在职职工人数的比例不低于 25%（含 25%），并且安置的残疾人人数不少于 10 人（含 10 人）；</w:t>
      </w:r>
    </w:p>
    <w:p>
      <w:pPr>
        <w:numPr>
          <w:ilvl w:val="0"/>
          <w:numId w:val="46"/>
        </w:num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依法与安置的每位残疾人签订了一年以上（含一年）的劳动合同或服务协议；</w:t>
      </w:r>
    </w:p>
    <w:p>
      <w:pPr>
        <w:numPr>
          <w:ilvl w:val="0"/>
          <w:numId w:val="46"/>
        </w:num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为安置的每位残疾人按月足额缴纳了基本养老保险、基本医疗保险、失业保险、工伤保险和生育保险等社会保险费；</w:t>
      </w:r>
    </w:p>
    <w:p>
      <w:pPr>
        <w:numPr>
          <w:ilvl w:val="0"/>
          <w:numId w:val="46"/>
        </w:num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通过银行等金融机构向安置的每位残疾人，按月支付了不低于单位所在区县适用的经省级人民政府批准的月最低工资标准的工资；</w:t>
      </w:r>
    </w:p>
    <w:p>
      <w:pPr>
        <w:numPr>
          <w:ilvl w:val="0"/>
          <w:numId w:val="46"/>
        </w:numPr>
        <w:spacing w:before="100" w:beforeAutospacing="1" w:after="100" w:afterAutospacing="1"/>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spacing w:before="100" w:beforeAutospacing="1" w:after="100" w:afterAutospacing="1" w:line="360" w:lineRule="auto"/>
        <w:jc w:val="center"/>
        <w:outlineLvl w:val="1"/>
        <w:rPr>
          <w:rFonts w:asciiTheme="minorEastAsia" w:hAnsiTheme="minorEastAsia" w:eastAsiaTheme="minorEastAsia" w:cstheme="minorEastAsia"/>
          <w:bCs/>
          <w:szCs w:val="21"/>
          <w:u w:val="single"/>
        </w:rPr>
      </w:pPr>
      <w:bookmarkStart w:id="228" w:name="_Toc20002"/>
      <w:r>
        <w:rPr>
          <w:rFonts w:hint="eastAsia" w:asciiTheme="minorEastAsia" w:hAnsiTheme="minorEastAsia" w:eastAsiaTheme="minorEastAsia" w:cstheme="minorEastAsia"/>
          <w:b/>
        </w:rPr>
        <w:t>十九、节能环保产品证明材料（若符合）</w:t>
      </w:r>
      <w:bookmarkEnd w:id="228"/>
    </w:p>
    <w:p>
      <w:pPr>
        <w:adjustRightInd w:val="0"/>
        <w:snapToGrid w:val="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spacing w:before="100" w:beforeAutospacing="1" w:after="100" w:afterAutospacing="1"/>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（1）节能产品：</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9"/>
        <w:gridCol w:w="1370"/>
        <w:gridCol w:w="639"/>
        <w:gridCol w:w="639"/>
        <w:gridCol w:w="639"/>
        <w:gridCol w:w="1383"/>
        <w:gridCol w:w="130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10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设备名称</w:t>
            </w:r>
          </w:p>
        </w:tc>
        <w:tc>
          <w:tcPr>
            <w:tcW w:w="1370"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制造商名称</w:t>
            </w: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w:t>
            </w: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单价（万元）</w:t>
            </w:r>
          </w:p>
        </w:tc>
        <w:tc>
          <w:tcPr>
            <w:tcW w:w="1304"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总价（万元）</w:t>
            </w:r>
          </w:p>
        </w:tc>
        <w:tc>
          <w:tcPr>
            <w:tcW w:w="134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属强制采购或优先采购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10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bl>
    <w:p>
      <w:pPr>
        <w:spacing w:before="100" w:beforeAutospacing="1" w:after="100" w:afterAutospacing="1"/>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（2）环保产品：</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06"/>
        <w:gridCol w:w="1613"/>
        <w:gridCol w:w="849"/>
        <w:gridCol w:w="849"/>
        <w:gridCol w:w="849"/>
        <w:gridCol w:w="148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306"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设备名称</w:t>
            </w:r>
          </w:p>
        </w:tc>
        <w:tc>
          <w:tcPr>
            <w:tcW w:w="1613"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制造商名称</w:t>
            </w: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w:t>
            </w: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w:t>
            </w: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48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单价（万元）</w:t>
            </w:r>
          </w:p>
        </w:tc>
        <w:tc>
          <w:tcPr>
            <w:tcW w:w="138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6"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06"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asciiTheme="minorEastAsia" w:hAnsiTheme="minorEastAsia" w:eastAsiaTheme="minorEastAsia" w:cstheme="minorEastAsia"/>
                <w:szCs w:val="21"/>
              </w:rPr>
            </w:pPr>
          </w:p>
        </w:tc>
      </w:tr>
    </w:tbl>
    <w:p>
      <w:pPr>
        <w:spacing w:before="100" w:beforeAutospacing="1" w:after="100" w:afterAutospacing="1" w:line="360" w:lineRule="auto"/>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rPr>
        <w:t>注：供应商所提供产品如为节能环保产品，则应按本磋商文件第四章“政策支持”提供相关证明材料，并将节能、环保产品分别列入上表中，未填写本表或未提供有效认证证书的不给予价格扣除。</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磋商供应商授权代表（签字）：                        </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磋商供应商名称（</w:t>
      </w:r>
      <w:r>
        <w:rPr>
          <w:rFonts w:hint="eastAsia" w:asciiTheme="minorEastAsia" w:hAnsiTheme="minorEastAsia" w:eastAsiaTheme="minorEastAsia" w:cstheme="minorEastAsia"/>
          <w:szCs w:val="21"/>
        </w:rPr>
        <w:t>盖章</w:t>
      </w:r>
      <w:r>
        <w:rPr>
          <w:rFonts w:hint="eastAsia" w:asciiTheme="minorEastAsia" w:hAnsiTheme="minorEastAsia" w:eastAsiaTheme="minorEastAsia" w:cstheme="minorEastAsia"/>
          <w:szCs w:val="21"/>
          <w:lang w:val="zh-CN"/>
        </w:rPr>
        <w:t xml:space="preserve">）：                                     </w:t>
      </w:r>
    </w:p>
    <w:p>
      <w:pPr>
        <w:spacing w:before="100" w:beforeAutospacing="1" w:after="100" w:afterAutospacing="1" w:line="360" w:lineRule="auto"/>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lang w:val="zh-CN"/>
        </w:rPr>
        <w:t>时                 间：           年          月          日</w:t>
      </w:r>
      <w:r>
        <w:rPr>
          <w:rFonts w:hint="eastAsia" w:asciiTheme="minorEastAsia" w:hAnsiTheme="minorEastAsia" w:eastAsiaTheme="minorEastAsia" w:cstheme="minorEastAsia"/>
          <w:szCs w:val="21"/>
        </w:rPr>
        <w:t xml:space="preserve"> </w:t>
      </w:r>
    </w:p>
    <w:p>
      <w:pPr>
        <w:spacing w:before="100" w:beforeAutospacing="1" w:after="100" w:afterAutospacing="1"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u w:val="single"/>
        </w:rPr>
        <w:br w:type="textWrapping"/>
      </w:r>
    </w:p>
    <w:p>
      <w:pPr>
        <w:adjustRightInd w:val="0"/>
        <w:snapToGrid w:val="0"/>
        <w:spacing w:line="360" w:lineRule="auto"/>
        <w:jc w:val="center"/>
        <w:outlineLvl w:val="1"/>
        <w:rPr>
          <w:rFonts w:asciiTheme="minorEastAsia" w:hAnsiTheme="minorEastAsia" w:eastAsiaTheme="minorEastAsia" w:cstheme="minorEastAsia"/>
          <w:b/>
        </w:rPr>
      </w:pPr>
      <w:bookmarkStart w:id="229" w:name="_Toc4769"/>
      <w:r>
        <w:rPr>
          <w:rFonts w:hint="eastAsia" w:asciiTheme="minorEastAsia" w:hAnsiTheme="minorEastAsia" w:eastAsiaTheme="minorEastAsia" w:cstheme="minorEastAsia"/>
          <w:b/>
          <w:bCs/>
          <w:spacing w:val="6"/>
          <w:szCs w:val="21"/>
        </w:rPr>
        <w:t>二十、</w:t>
      </w:r>
      <w:r>
        <w:rPr>
          <w:rFonts w:hint="eastAsia" w:asciiTheme="minorEastAsia" w:hAnsiTheme="minorEastAsia" w:eastAsiaTheme="minorEastAsia" w:cstheme="minorEastAsia"/>
          <w:b/>
        </w:rPr>
        <w:t>无重大违法记录声明</w:t>
      </w:r>
      <w:bookmarkEnd w:id="222"/>
      <w:bookmarkEnd w:id="223"/>
      <w:bookmarkEnd w:id="224"/>
      <w:bookmarkEnd w:id="225"/>
      <w:bookmarkEnd w:id="226"/>
      <w:bookmarkEnd w:id="229"/>
    </w:p>
    <w:p>
      <w:pPr>
        <w:spacing w:line="48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（磋商供应商应在此基础上，根据本单位实际情况进行声明）</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采购人和采购代理机构：</w:t>
      </w:r>
    </w:p>
    <w:p>
      <w:pPr>
        <w:spacing w:line="48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我方在此声明，我方在参加本</w:t>
      </w:r>
      <w:r>
        <w:rPr>
          <w:rFonts w:hint="eastAsia" w:asciiTheme="minorEastAsia" w:hAnsiTheme="minorEastAsia" w:eastAsiaTheme="minorEastAsia" w:cstheme="minorEastAsia"/>
          <w:kern w:val="0"/>
          <w:szCs w:val="21"/>
          <w:shd w:val="clear" w:color="auto" w:fill="FFFFFF"/>
        </w:rPr>
        <w:t>次政府采购活动前三年内，在经营活动中没有以下重大违法记录：</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1.我方因违法经营被追究过刑事责任；</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2.我方因违法经营被责令停产停业、吊销许可证或者执照；</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3.我方因违法经营被处以较大数额罚款等行政处罚。</w:t>
      </w:r>
    </w:p>
    <w:p>
      <w:pPr>
        <w:spacing w:line="48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特此声明！</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 </w:t>
      </w:r>
    </w:p>
    <w:p>
      <w:pPr>
        <w:spacing w:line="48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 </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磋商供应商法定代表人（签字）：</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磋商供应商授权代表（签字）：                        </w:t>
      </w:r>
    </w:p>
    <w:p>
      <w:pPr>
        <w:spacing w:before="100" w:beforeAutospacing="1" w:after="100" w:afterAutospacing="1"/>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磋商供应商名称（</w:t>
      </w:r>
      <w:r>
        <w:rPr>
          <w:rFonts w:hint="eastAsia" w:asciiTheme="minorEastAsia" w:hAnsiTheme="minorEastAsia" w:eastAsiaTheme="minorEastAsia" w:cstheme="minorEastAsia"/>
          <w:szCs w:val="21"/>
        </w:rPr>
        <w:t>盖章</w:t>
      </w:r>
      <w:r>
        <w:rPr>
          <w:rFonts w:hint="eastAsia" w:asciiTheme="minorEastAsia" w:hAnsiTheme="minorEastAsia" w:eastAsiaTheme="minorEastAsia" w:cstheme="minorEastAsia"/>
          <w:szCs w:val="21"/>
          <w:lang w:val="zh-CN"/>
        </w:rPr>
        <w:t xml:space="preserve">）：                                     </w:t>
      </w:r>
    </w:p>
    <w:p>
      <w:pPr>
        <w:spacing w:line="360" w:lineRule="auto"/>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szCs w:val="21"/>
          <w:lang w:val="zh-CN"/>
        </w:rPr>
        <w:t>时                 间：           年          月          日</w:t>
      </w:r>
      <w:r>
        <w:rPr>
          <w:rFonts w:hint="eastAsia" w:asciiTheme="minorEastAsia" w:hAnsiTheme="minorEastAsia" w:eastAsiaTheme="minorEastAsia" w:cstheme="minorEastAsia"/>
          <w:szCs w:val="21"/>
        </w:rPr>
        <w:t xml:space="preserve"> </w:t>
      </w:r>
    </w:p>
    <w:p>
      <w:pPr>
        <w:spacing w:line="360" w:lineRule="auto"/>
        <w:ind w:firstLine="420" w:firstLineChars="200"/>
        <w:rPr>
          <w:rFonts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注：发生的诉讼和仲裁情况仅限于供应商败诉的，且与经营活动有关的案件，不包括调解结案的案件。与经营活动有关，但尚未裁决或终审判决的案件请单独另附《情况说明》（说明内容：案件当事人、基本案情）。</w:t>
      </w:r>
      <w:r>
        <w:rPr>
          <w:rFonts w:hint="eastAsia" w:asciiTheme="minorEastAsia" w:hAnsiTheme="minorEastAsia" w:eastAsiaTheme="minorEastAsia" w:cstheme="minorEastAsia"/>
          <w:kern w:val="0"/>
          <w:szCs w:val="21"/>
          <w:shd w:val="clear" w:color="auto" w:fill="FFFFFF"/>
        </w:rPr>
        <w:br w:type="textWrapping"/>
      </w:r>
    </w:p>
    <w:p>
      <w:pPr>
        <w:jc w:val="center"/>
        <w:outlineLvl w:val="1"/>
        <w:rPr>
          <w:rFonts w:asciiTheme="minorEastAsia" w:hAnsiTheme="minorEastAsia" w:eastAsiaTheme="minorEastAsia" w:cstheme="minorEastAsia"/>
          <w:spacing w:val="6"/>
          <w:szCs w:val="21"/>
        </w:rPr>
      </w:pPr>
      <w:bookmarkStart w:id="230" w:name="_Toc16716"/>
      <w:bookmarkStart w:id="231" w:name="_Toc10829"/>
      <w:r>
        <w:rPr>
          <w:rFonts w:hint="eastAsia" w:asciiTheme="minorEastAsia" w:hAnsiTheme="minorEastAsia" w:eastAsiaTheme="minorEastAsia" w:cstheme="minorEastAsia"/>
          <w:kern w:val="0"/>
          <w:szCs w:val="21"/>
          <w:shd w:val="clear" w:color="auto" w:fill="FFFFFF"/>
        </w:rPr>
        <w:br w:type="textWrapping"/>
      </w:r>
      <w:r>
        <w:rPr>
          <w:rFonts w:hint="eastAsia" w:asciiTheme="minorEastAsia" w:hAnsiTheme="minorEastAsia" w:eastAsiaTheme="minorEastAsia" w:cstheme="minorEastAsia"/>
          <w:b/>
          <w:bCs/>
          <w:kern w:val="0"/>
          <w:szCs w:val="21"/>
          <w:shd w:val="clear" w:color="auto" w:fill="FFFFFF"/>
        </w:rPr>
        <w:t>二十一、磋商供应商认为应该提交的其它文件（格式自拟）</w:t>
      </w:r>
      <w:bookmarkEnd w:id="230"/>
      <w:bookmarkEnd w:id="231"/>
    </w:p>
    <w:sectPr>
      <w:footerReference r:id="rId7" w:type="default"/>
      <w:type w:val="continuous"/>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font-weight : 400">
    <w:altName w:val="Courier New"/>
    <w:panose1 w:val="00000000000000000000"/>
    <w:charset w:val="00"/>
    <w:family w:val="auto"/>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0"/>
      </w:rPr>
    </w:pPr>
    <w:r>
      <w:fldChar w:fldCharType="begin"/>
    </w:r>
    <w:r>
      <w:rPr>
        <w:rStyle w:val="30"/>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33</w:t>
    </w:r>
    <w:r>
      <w:rPr>
        <w:lang w:val="zh-CN"/>
      </w:rP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PowerPlusWaterMarkObject2" o:spid="_x0000_s2049" o:spt="136" type="#_x0000_t136" style="position:absolute;left:0pt;height:200.25pt;width:600.75pt;mso-position-horizontal:center;mso-position-horizontal-relative:page;mso-position-vertical:center;mso-position-vertical-relative:page;rotation:20643840f;z-index:-251658240;mso-width-relative:page;mso-height-relative:page;" fillcolor="#FF0000" filled="t" stroked="f" coordsize="21600,21600" o:allowincell="f">
          <v:path/>
          <v:fill on="t" opacity="32768f" focussize="0,0"/>
          <v:stroke on="f"/>
          <v:imagedata o:title=""/>
          <o:lock v:ext="edit" text="f"/>
          <v:textpath on="t" fitshape="t" fitpath="t" trim="t" xscale="f" string="第一稿" style="font-family:宋体;font-size:9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5EA7B7"/>
    <w:multiLevelType w:val="singleLevel"/>
    <w:tmpl w:val="C95EA7B7"/>
    <w:lvl w:ilvl="0" w:tentative="0">
      <w:start w:val="1"/>
      <w:numFmt w:val="decimal"/>
      <w:suff w:val="nothing"/>
      <w:lvlText w:val="%1、"/>
      <w:lvlJc w:val="left"/>
    </w:lvl>
  </w:abstractNum>
  <w:abstractNum w:abstractNumId="1">
    <w:nsid w:val="D757A492"/>
    <w:multiLevelType w:val="singleLevel"/>
    <w:tmpl w:val="D757A492"/>
    <w:lvl w:ilvl="0" w:tentative="0">
      <w:start w:val="1"/>
      <w:numFmt w:val="decimal"/>
      <w:suff w:val="space"/>
      <w:lvlText w:val="%1）"/>
      <w:lvlJc w:val="left"/>
    </w:lvl>
  </w:abstractNum>
  <w:abstractNum w:abstractNumId="2">
    <w:nsid w:val="FF4B8943"/>
    <w:multiLevelType w:val="singleLevel"/>
    <w:tmpl w:val="FF4B8943"/>
    <w:lvl w:ilvl="0" w:tentative="0">
      <w:start w:val="1"/>
      <w:numFmt w:val="decimal"/>
      <w:suff w:val="nothing"/>
      <w:lvlText w:val="（%1）"/>
      <w:lvlJc w:val="left"/>
    </w:lvl>
  </w:abstractNum>
  <w:abstractNum w:abstractNumId="3">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00F67C5B"/>
    <w:multiLevelType w:val="multilevel"/>
    <w:tmpl w:val="00F67C5B"/>
    <w:lvl w:ilvl="0" w:tentative="0">
      <w:start w:val="8"/>
      <w:numFmt w:val="decimal"/>
      <w:lvlText w:val="%1"/>
      <w:lvlJc w:val="left"/>
      <w:pPr>
        <w:tabs>
          <w:tab w:val="left" w:pos="360"/>
        </w:tabs>
        <w:ind w:left="360" w:hanging="360"/>
      </w:pPr>
      <w:rPr>
        <w:rFonts w:hint="default"/>
        <w:b/>
      </w:rPr>
    </w:lvl>
    <w:lvl w:ilvl="1" w:tentative="0">
      <w:start w:val="1"/>
      <w:numFmt w:val="decimal"/>
      <w:lvlText w:val="%1.%2"/>
      <w:lvlJc w:val="left"/>
      <w:pPr>
        <w:tabs>
          <w:tab w:val="left" w:pos="360"/>
        </w:tabs>
        <w:ind w:left="360" w:hanging="360"/>
      </w:pPr>
      <w:rPr>
        <w:rFonts w:hint="default"/>
        <w:b w:val="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1080"/>
        </w:tabs>
        <w:ind w:left="1080" w:hanging="108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440"/>
        </w:tabs>
        <w:ind w:left="1440" w:hanging="144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800"/>
        </w:tabs>
        <w:ind w:left="1800" w:hanging="180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5">
    <w:nsid w:val="044F5BAD"/>
    <w:multiLevelType w:val="singleLevel"/>
    <w:tmpl w:val="044F5BAD"/>
    <w:lvl w:ilvl="0" w:tentative="0">
      <w:start w:val="1"/>
      <w:numFmt w:val="decimal"/>
      <w:suff w:val="nothing"/>
      <w:lvlText w:val="（%1）"/>
      <w:lvlJc w:val="left"/>
    </w:lvl>
  </w:abstractNum>
  <w:abstractNum w:abstractNumId="6">
    <w:nsid w:val="06F92C31"/>
    <w:multiLevelType w:val="multilevel"/>
    <w:tmpl w:val="06F92C31"/>
    <w:lvl w:ilvl="0" w:tentative="0">
      <w:start w:val="10"/>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10152ABE"/>
    <w:multiLevelType w:val="multilevel"/>
    <w:tmpl w:val="10152ABE"/>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0"/>
        </w:tabs>
        <w:ind w:left="0" w:firstLine="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11726340"/>
    <w:multiLevelType w:val="multilevel"/>
    <w:tmpl w:val="11726340"/>
    <w:lvl w:ilvl="0" w:tentative="0">
      <w:start w:val="15"/>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9">
    <w:nsid w:val="118D7FF0"/>
    <w:multiLevelType w:val="multilevel"/>
    <w:tmpl w:val="118D7FF0"/>
    <w:lvl w:ilvl="0" w:tentative="0">
      <w:start w:val="1"/>
      <w:numFmt w:val="chineseCountingThousand"/>
      <w:lvlText w:val="%1、"/>
      <w:lvlJc w:val="left"/>
      <w:pPr>
        <w:tabs>
          <w:tab w:val="left" w:pos="425"/>
        </w:tabs>
        <w:ind w:left="425" w:firstLine="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040"/>
        </w:tabs>
        <w:ind w:left="2040" w:hanging="360"/>
      </w:pPr>
      <w:rPr>
        <w:rFonts w:hint="default"/>
      </w:rPr>
    </w:lvl>
    <w:lvl w:ilvl="5" w:tentative="0">
      <w:start w:val="1"/>
      <w:numFmt w:val="lowerLetter"/>
      <w:lvlText w:val="%6）"/>
      <w:lvlJc w:val="left"/>
      <w:pPr>
        <w:tabs>
          <w:tab w:val="left" w:pos="2460"/>
        </w:tabs>
        <w:ind w:left="2460" w:hanging="360"/>
      </w:pPr>
      <w:rPr>
        <w:rFonts w:hint="default" w:ascii="宋体" w:hAnsi="宋体"/>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56E5987"/>
    <w:multiLevelType w:val="multilevel"/>
    <w:tmpl w:val="156E5987"/>
    <w:lvl w:ilvl="0" w:tentative="0">
      <w:start w:val="19"/>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1">
    <w:nsid w:val="15907297"/>
    <w:multiLevelType w:val="multilevel"/>
    <w:tmpl w:val="15907297"/>
    <w:lvl w:ilvl="0" w:tentative="0">
      <w:start w:val="1"/>
      <w:numFmt w:val="decimal"/>
      <w:pStyle w:val="79"/>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pStyle w:val="91"/>
      <w:lvlText w:val="%1.%2.%3"/>
      <w:lvlJc w:val="left"/>
      <w:pPr>
        <w:tabs>
          <w:tab w:val="left" w:pos="720"/>
        </w:tabs>
        <w:ind w:left="720" w:hanging="153"/>
      </w:pPr>
      <w:rPr>
        <w:rFonts w:hint="eastAsia"/>
      </w:rPr>
    </w:lvl>
    <w:lvl w:ilvl="3" w:tentative="0">
      <w:start w:val="1"/>
      <w:numFmt w:val="decimal"/>
      <w:pStyle w:val="78"/>
      <w:lvlText w:val="%1.%2.%3.%4"/>
      <w:lvlJc w:val="left"/>
      <w:pPr>
        <w:tabs>
          <w:tab w:val="left" w:pos="864"/>
        </w:tabs>
        <w:ind w:left="864" w:hanging="13"/>
      </w:pPr>
      <w:rPr>
        <w:rFonts w:hint="eastAsia"/>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2">
    <w:nsid w:val="159114E6"/>
    <w:multiLevelType w:val="multilevel"/>
    <w:tmpl w:val="159114E6"/>
    <w:lvl w:ilvl="0" w:tentative="0">
      <w:start w:val="14"/>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3">
    <w:nsid w:val="179B3BE8"/>
    <w:multiLevelType w:val="multilevel"/>
    <w:tmpl w:val="179B3BE8"/>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97549D3"/>
    <w:multiLevelType w:val="multilevel"/>
    <w:tmpl w:val="197549D3"/>
    <w:lvl w:ilvl="0" w:tentative="0">
      <w:start w:val="1"/>
      <w:numFmt w:val="japaneseCounting"/>
      <w:lvlText w:val="第%1章"/>
      <w:lvlJc w:val="left"/>
      <w:pPr>
        <w:tabs>
          <w:tab w:val="left" w:pos="1305"/>
        </w:tabs>
        <w:ind w:left="1305" w:hanging="1305"/>
      </w:pPr>
      <w:rPr>
        <w:rFonts w:hint="default"/>
        <w:b/>
        <w:sz w:val="36"/>
        <w:szCs w:val="36"/>
      </w:rPr>
    </w:lvl>
    <w:lvl w:ilvl="1" w:tentative="0">
      <w:start w:val="1"/>
      <w:numFmt w:val="japaneseCounting"/>
      <w:lvlText w:val="%2、"/>
      <w:lvlJc w:val="left"/>
      <w:pPr>
        <w:tabs>
          <w:tab w:val="left" w:pos="840"/>
        </w:tabs>
        <w:ind w:left="840" w:hanging="420"/>
      </w:pPr>
      <w:rPr>
        <w:rFonts w:hint="default"/>
        <w:b/>
        <w:sz w:val="21"/>
        <w:szCs w:val="21"/>
      </w:rPr>
    </w:lvl>
    <w:lvl w:ilvl="2" w:tentative="0">
      <w:start w:val="6"/>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1E84619A"/>
    <w:multiLevelType w:val="singleLevel"/>
    <w:tmpl w:val="1E84619A"/>
    <w:lvl w:ilvl="0" w:tentative="0">
      <w:start w:val="1"/>
      <w:numFmt w:val="decimal"/>
      <w:suff w:val="nothing"/>
      <w:lvlText w:val="%1、"/>
      <w:lvlJc w:val="left"/>
    </w:lvl>
  </w:abstractNum>
  <w:abstractNum w:abstractNumId="17">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18">
    <w:nsid w:val="277F6DC9"/>
    <w:multiLevelType w:val="multilevel"/>
    <w:tmpl w:val="277F6DC9"/>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9">
    <w:nsid w:val="2AA957BB"/>
    <w:multiLevelType w:val="multilevel"/>
    <w:tmpl w:val="2AA957B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lvlText w:val="%1.%2.%3"/>
      <w:lvlJc w:val="left"/>
      <w:pPr>
        <w:tabs>
          <w:tab w:val="left" w:pos="720"/>
        </w:tabs>
        <w:ind w:left="720" w:hanging="153"/>
      </w:pPr>
      <w:rPr>
        <w:rFonts w:hint="eastAsia"/>
      </w:rPr>
    </w:lvl>
    <w:lvl w:ilvl="3" w:tentative="0">
      <w:start w:val="1"/>
      <w:numFmt w:val="bullet"/>
      <w:pStyle w:val="85"/>
      <w:lvlText w:val=""/>
      <w:lvlJc w:val="left"/>
      <w:pPr>
        <w:tabs>
          <w:tab w:val="left" w:pos="1271"/>
        </w:tabs>
        <w:ind w:left="1271" w:hanging="420"/>
      </w:pPr>
      <w:rPr>
        <w:rFonts w:hint="default" w:ascii="Wingdings" w:hAnsi="Wingdings"/>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0">
    <w:nsid w:val="2C7A7351"/>
    <w:multiLevelType w:val="multilevel"/>
    <w:tmpl w:val="2C7A7351"/>
    <w:lvl w:ilvl="0" w:tentative="0">
      <w:start w:val="21"/>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1">
    <w:nsid w:val="2F576453"/>
    <w:multiLevelType w:val="multilevel"/>
    <w:tmpl w:val="2F576453"/>
    <w:lvl w:ilvl="0" w:tentative="0">
      <w:start w:val="12"/>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2">
    <w:nsid w:val="35135A59"/>
    <w:multiLevelType w:val="multilevel"/>
    <w:tmpl w:val="35135A59"/>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3">
    <w:nsid w:val="359C51AA"/>
    <w:multiLevelType w:val="multilevel"/>
    <w:tmpl w:val="359C51AA"/>
    <w:lvl w:ilvl="0" w:tentative="0">
      <w:start w:val="18"/>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4">
    <w:nsid w:val="44274878"/>
    <w:multiLevelType w:val="multilevel"/>
    <w:tmpl w:val="44274878"/>
    <w:lvl w:ilvl="0" w:tentative="0">
      <w:start w:val="27"/>
      <w:numFmt w:val="decimal"/>
      <w:lvlText w:val="%1"/>
      <w:lvlJc w:val="left"/>
      <w:pPr>
        <w:ind w:left="360" w:hanging="360"/>
      </w:pPr>
      <w:rPr>
        <w:rFonts w:hint="default"/>
      </w:rPr>
    </w:lvl>
    <w:lvl w:ilvl="1" w:tentative="0">
      <w:start w:val="1"/>
      <w:numFmt w:val="decimal"/>
      <w:isLgl/>
      <w:lvlText w:val="%1.%2"/>
      <w:lvlJc w:val="left"/>
      <w:pPr>
        <w:ind w:left="510" w:hanging="510"/>
      </w:pPr>
      <w:rPr>
        <w:rFonts w:hint="default"/>
      </w:rPr>
    </w:lvl>
    <w:lvl w:ilvl="2" w:tentative="0">
      <w:start w:val="1"/>
      <w:numFmt w:val="decimal"/>
      <w:isLgl/>
      <w:lvlText w:val="%1.%2.%3"/>
      <w:lvlJc w:val="left"/>
      <w:pPr>
        <w:ind w:left="510" w:hanging="510"/>
      </w:pPr>
      <w:rPr>
        <w:rFonts w:hint="default"/>
      </w:rPr>
    </w:lvl>
    <w:lvl w:ilvl="3" w:tentative="0">
      <w:start w:val="1"/>
      <w:numFmt w:val="decimal"/>
      <w:isLgl/>
      <w:lvlText w:val="%1.%2.%3.%4"/>
      <w:lvlJc w:val="left"/>
      <w:pPr>
        <w:ind w:left="510" w:hanging="510"/>
      </w:pPr>
      <w:rPr>
        <w:rFonts w:hint="default"/>
      </w:rPr>
    </w:lvl>
    <w:lvl w:ilvl="4" w:tentative="0">
      <w:start w:val="1"/>
      <w:numFmt w:val="decimal"/>
      <w:isLgl/>
      <w:lvlText w:val="%1.%2.%3.%4.%5"/>
      <w:lvlJc w:val="left"/>
      <w:pPr>
        <w:ind w:left="510" w:hanging="510"/>
      </w:pPr>
      <w:rPr>
        <w:rFonts w:hint="default"/>
      </w:rPr>
    </w:lvl>
    <w:lvl w:ilvl="5" w:tentative="0">
      <w:start w:val="1"/>
      <w:numFmt w:val="decimal"/>
      <w:isLgl/>
      <w:lvlText w:val="%1.%2.%3.%4.%5.%6"/>
      <w:lvlJc w:val="left"/>
      <w:pPr>
        <w:ind w:left="510" w:hanging="510"/>
      </w:pPr>
      <w:rPr>
        <w:rFonts w:hint="default"/>
      </w:rPr>
    </w:lvl>
    <w:lvl w:ilvl="6" w:tentative="0">
      <w:start w:val="1"/>
      <w:numFmt w:val="decimal"/>
      <w:isLgl/>
      <w:lvlText w:val="%1.%2.%3.%4.%5.%6.%7"/>
      <w:lvlJc w:val="left"/>
      <w:pPr>
        <w:ind w:left="510" w:hanging="510"/>
      </w:pPr>
      <w:rPr>
        <w:rFonts w:hint="default"/>
      </w:rPr>
    </w:lvl>
    <w:lvl w:ilvl="7" w:tentative="0">
      <w:start w:val="1"/>
      <w:numFmt w:val="decimal"/>
      <w:isLgl/>
      <w:lvlText w:val="%1.%2.%3.%4.%5.%6.%7.%8"/>
      <w:lvlJc w:val="left"/>
      <w:pPr>
        <w:ind w:left="510" w:hanging="510"/>
      </w:pPr>
      <w:rPr>
        <w:rFonts w:hint="default"/>
      </w:rPr>
    </w:lvl>
    <w:lvl w:ilvl="8" w:tentative="0">
      <w:start w:val="1"/>
      <w:numFmt w:val="decimal"/>
      <w:isLgl/>
      <w:lvlText w:val="%1.%2.%3.%4.%5.%6.%7.%8.%9"/>
      <w:lvlJc w:val="left"/>
      <w:pPr>
        <w:ind w:left="510" w:hanging="510"/>
      </w:pPr>
      <w:rPr>
        <w:rFonts w:hint="default"/>
      </w:rPr>
    </w:lvl>
  </w:abstractNum>
  <w:abstractNum w:abstractNumId="25">
    <w:nsid w:val="46450AAB"/>
    <w:multiLevelType w:val="multilevel"/>
    <w:tmpl w:val="46450AAB"/>
    <w:lvl w:ilvl="0" w:tentative="0">
      <w:start w:val="11"/>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6">
    <w:nsid w:val="46C95EB7"/>
    <w:multiLevelType w:val="multilevel"/>
    <w:tmpl w:val="46C95EB7"/>
    <w:lvl w:ilvl="0" w:tentative="0">
      <w:start w:val="1"/>
      <w:numFmt w:val="decimal"/>
      <w:lvlText w:val="%1、"/>
      <w:lvlJc w:val="left"/>
      <w:pPr>
        <w:tabs>
          <w:tab w:val="left" w:pos="1305"/>
        </w:tabs>
        <w:ind w:left="1305" w:hanging="360"/>
      </w:pPr>
      <w:rPr>
        <w:rFonts w:hint="default"/>
      </w:rPr>
    </w:lvl>
    <w:lvl w:ilvl="1" w:tentative="0">
      <w:start w:val="1"/>
      <w:numFmt w:val="japaneseCounting"/>
      <w:lvlText w:val="%2、"/>
      <w:lvlJc w:val="left"/>
      <w:pPr>
        <w:tabs>
          <w:tab w:val="left" w:pos="1305"/>
        </w:tabs>
        <w:ind w:left="1305" w:hanging="465"/>
      </w:pPr>
      <w:rPr>
        <w:rFonts w:hint="default" w:cs="黑体"/>
      </w:rPr>
    </w:lvl>
    <w:lvl w:ilvl="2" w:tentative="0">
      <w:start w:val="1"/>
      <w:numFmt w:val="decimal"/>
      <w:lvlText w:val="%3)"/>
      <w:lvlJc w:val="left"/>
      <w:pPr>
        <w:tabs>
          <w:tab w:val="left" w:pos="1500"/>
        </w:tabs>
        <w:ind w:left="1500" w:hanging="240"/>
      </w:pPr>
      <w:rPr>
        <w:rFonts w:hint="default"/>
      </w:rPr>
    </w:lvl>
    <w:lvl w:ilvl="3" w:tentative="0">
      <w:start w:val="1"/>
      <w:numFmt w:val="decimal"/>
      <w:lvlText w:val="%4）"/>
      <w:lvlJc w:val="left"/>
      <w:pPr>
        <w:tabs>
          <w:tab w:val="left" w:pos="2040"/>
        </w:tabs>
        <w:ind w:left="2040" w:hanging="360"/>
      </w:pPr>
      <w:rPr>
        <w:rFonts w:hint="default"/>
      </w:rPr>
    </w:lvl>
    <w:lvl w:ilvl="4" w:tentative="0">
      <w:start w:val="4"/>
      <w:numFmt w:val="decimal"/>
      <w:lvlText w:val="%5．"/>
      <w:lvlJc w:val="left"/>
      <w:pPr>
        <w:tabs>
          <w:tab w:val="left" w:pos="2460"/>
        </w:tabs>
        <w:ind w:left="2460" w:hanging="360"/>
      </w:pPr>
      <w:rPr>
        <w:rFonts w:hint="default"/>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7">
    <w:nsid w:val="48D858E8"/>
    <w:multiLevelType w:val="multilevel"/>
    <w:tmpl w:val="48D858E8"/>
    <w:lvl w:ilvl="0" w:tentative="0">
      <w:start w:val="4"/>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8">
    <w:nsid w:val="4B331C36"/>
    <w:multiLevelType w:val="multilevel"/>
    <w:tmpl w:val="4B331C36"/>
    <w:lvl w:ilvl="0" w:tentative="0">
      <w:start w:val="1"/>
      <w:numFmt w:val="japaneseCounting"/>
      <w:pStyle w:val="90"/>
      <w:lvlText w:val="第%1章"/>
      <w:lvlJc w:val="left"/>
      <w:pPr>
        <w:tabs>
          <w:tab w:val="left" w:pos="1275"/>
        </w:tabs>
        <w:ind w:left="1275" w:hanging="1275"/>
      </w:pPr>
      <w:rPr>
        <w:rFonts w:hint="default"/>
        <w:b/>
        <w:sz w:val="36"/>
        <w:szCs w:val="36"/>
      </w:rPr>
    </w:lvl>
    <w:lvl w:ilvl="1" w:tentative="0">
      <w:start w:val="1"/>
      <w:numFmt w:val="japaneseCounting"/>
      <w:lvlText w:val="%2、"/>
      <w:lvlJc w:val="left"/>
      <w:pPr>
        <w:tabs>
          <w:tab w:val="left" w:pos="420"/>
        </w:tabs>
        <w:ind w:left="420" w:hanging="420"/>
      </w:pPr>
      <w:rPr>
        <w:rFonts w:hint="default"/>
        <w:sz w:val="21"/>
        <w:szCs w:val="21"/>
      </w:rPr>
    </w:lvl>
    <w:lvl w:ilvl="2" w:tentative="0">
      <w:start w:val="1"/>
      <w:numFmt w:val="decimal"/>
      <w:lvlText w:val="%3、"/>
      <w:lvlJc w:val="left"/>
      <w:pPr>
        <w:tabs>
          <w:tab w:val="left" w:pos="420"/>
        </w:tabs>
        <w:ind w:left="0" w:firstLine="420"/>
      </w:pPr>
      <w:rPr>
        <w:rFonts w:hint="default"/>
        <w:b w:val="0"/>
        <w:sz w:val="21"/>
        <w:szCs w:val="21"/>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4F7C056F"/>
    <w:multiLevelType w:val="multilevel"/>
    <w:tmpl w:val="4F7C056F"/>
    <w:lvl w:ilvl="0" w:tentative="0">
      <w:start w:val="17"/>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0">
    <w:nsid w:val="54D12799"/>
    <w:multiLevelType w:val="multilevel"/>
    <w:tmpl w:val="54D12799"/>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32">
    <w:nsid w:val="57063C4C"/>
    <w:multiLevelType w:val="singleLevel"/>
    <w:tmpl w:val="57063C4C"/>
    <w:lvl w:ilvl="0" w:tentative="0">
      <w:start w:val="1"/>
      <w:numFmt w:val="decimal"/>
      <w:suff w:val="nothing"/>
      <w:lvlText w:val="%1．"/>
      <w:lvlJc w:val="left"/>
      <w:pPr>
        <w:ind w:left="26" w:firstLine="400"/>
      </w:pPr>
      <w:rPr>
        <w:rFonts w:hint="default"/>
      </w:rPr>
    </w:lvl>
  </w:abstractNum>
  <w:abstractNum w:abstractNumId="33">
    <w:nsid w:val="5E076C81"/>
    <w:multiLevelType w:val="multilevel"/>
    <w:tmpl w:val="5E076C81"/>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4">
    <w:nsid w:val="5F4F21DF"/>
    <w:multiLevelType w:val="multilevel"/>
    <w:tmpl w:val="5F4F21DF"/>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5">
    <w:nsid w:val="6065484F"/>
    <w:multiLevelType w:val="multilevel"/>
    <w:tmpl w:val="6065484F"/>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6">
    <w:nsid w:val="615413D2"/>
    <w:multiLevelType w:val="multilevel"/>
    <w:tmpl w:val="615413D2"/>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7">
    <w:nsid w:val="68C50813"/>
    <w:multiLevelType w:val="multilevel"/>
    <w:tmpl w:val="68C50813"/>
    <w:lvl w:ilvl="0" w:tentative="0">
      <w:start w:val="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8">
    <w:nsid w:val="6CEA2025"/>
    <w:multiLevelType w:val="multilevel"/>
    <w:tmpl w:val="6CEA2025"/>
    <w:lvl w:ilvl="0" w:tentative="0">
      <w:start w:val="1"/>
      <w:numFmt w:val="none"/>
      <w:pStyle w:val="67"/>
      <w:suff w:val="nothing"/>
      <w:lvlText w:val="%1"/>
      <w:lvlJc w:val="left"/>
      <w:pPr>
        <w:ind w:left="0" w:firstLine="0"/>
      </w:pPr>
      <w:rPr>
        <w:rFonts w:hint="default" w:ascii="Times New Roman" w:hAnsi="Times New Roman"/>
        <w:b/>
        <w:i w:val="0"/>
        <w:sz w:val="21"/>
      </w:rPr>
    </w:lvl>
    <w:lvl w:ilvl="1" w:tentative="0">
      <w:start w:val="1"/>
      <w:numFmt w:val="decimal"/>
      <w:pStyle w:val="70"/>
      <w:suff w:val="nothing"/>
      <w:lvlText w:val="%1%2　"/>
      <w:lvlJc w:val="left"/>
      <w:pPr>
        <w:ind w:left="180" w:firstLine="0"/>
      </w:pPr>
      <w:rPr>
        <w:rFonts w:hint="eastAsia" w:ascii="黑体" w:hAnsi="Times New Roman" w:eastAsia="黑体"/>
        <w:b/>
        <w:i w:val="0"/>
        <w:sz w:val="24"/>
        <w:szCs w:val="24"/>
      </w:rPr>
    </w:lvl>
    <w:lvl w:ilvl="2" w:tentative="0">
      <w:start w:val="1"/>
      <w:numFmt w:val="decimal"/>
      <w:pStyle w:val="76"/>
      <w:suff w:val="nothing"/>
      <w:lvlText w:val="%1%2.%3　"/>
      <w:lvlJc w:val="left"/>
      <w:pPr>
        <w:ind w:left="720" w:firstLine="0"/>
      </w:pPr>
      <w:rPr>
        <w:rFonts w:hint="eastAsia" w:ascii="黑体" w:hAnsi="Times New Roman" w:eastAsia="黑体"/>
        <w:b w:val="0"/>
        <w:i w:val="0"/>
        <w:sz w:val="21"/>
      </w:rPr>
    </w:lvl>
    <w:lvl w:ilvl="3" w:tentative="0">
      <w:start w:val="1"/>
      <w:numFmt w:val="decimal"/>
      <w:pStyle w:val="75"/>
      <w:suff w:val="nothing"/>
      <w:lvlText w:val="%1%2.4.%4　"/>
      <w:lvlJc w:val="left"/>
      <w:pPr>
        <w:ind w:left="420" w:firstLine="0"/>
      </w:pPr>
      <w:rPr>
        <w:rFonts w:hint="eastAsia" w:ascii="黑体" w:hAnsi="Times New Roman" w:eastAsia="黑体"/>
        <w:b w:val="0"/>
        <w:i w:val="0"/>
        <w:sz w:val="21"/>
      </w:rPr>
    </w:lvl>
    <w:lvl w:ilvl="4" w:tentative="0">
      <w:start w:val="1"/>
      <w:numFmt w:val="decimal"/>
      <w:pStyle w:val="82"/>
      <w:suff w:val="nothing"/>
      <w:lvlText w:val="5.%12.5.%5　"/>
      <w:lvlJc w:val="left"/>
      <w:pPr>
        <w:ind w:left="42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9">
    <w:nsid w:val="6F113A89"/>
    <w:multiLevelType w:val="multilevel"/>
    <w:tmpl w:val="6F113A89"/>
    <w:lvl w:ilvl="0" w:tentative="0">
      <w:start w:val="16"/>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600"/>
        </w:tabs>
        <w:ind w:left="600" w:hanging="600"/>
      </w:pPr>
      <w:rPr>
        <w:rFonts w:hint="default"/>
      </w:rPr>
    </w:lvl>
    <w:lvl w:ilvl="3" w:tentative="0">
      <w:start w:val="1"/>
      <w:numFmt w:val="decimal"/>
      <w:lvlText w:val="%1.%2.%3.%4"/>
      <w:lvlJc w:val="left"/>
      <w:pPr>
        <w:tabs>
          <w:tab w:val="left" w:pos="600"/>
        </w:tabs>
        <w:ind w:left="600" w:hanging="60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40">
    <w:nsid w:val="715F29F2"/>
    <w:multiLevelType w:val="multilevel"/>
    <w:tmpl w:val="715F29F2"/>
    <w:lvl w:ilvl="0" w:tentative="0">
      <w:start w:val="13"/>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1">
    <w:nsid w:val="76195D75"/>
    <w:multiLevelType w:val="multilevel"/>
    <w:tmpl w:val="76195D75"/>
    <w:lvl w:ilvl="0" w:tentative="0">
      <w:start w:val="28"/>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62D7317"/>
    <w:multiLevelType w:val="multilevel"/>
    <w:tmpl w:val="762D7317"/>
    <w:lvl w:ilvl="0" w:tentative="0">
      <w:start w:val="22"/>
      <w:numFmt w:val="decimal"/>
      <w:lvlText w:val="%1"/>
      <w:lvlJc w:val="left"/>
      <w:pPr>
        <w:tabs>
          <w:tab w:val="left" w:pos="480"/>
        </w:tabs>
        <w:ind w:left="480" w:hanging="480"/>
      </w:pPr>
      <w:rPr>
        <w:rFonts w:hint="default"/>
      </w:rPr>
    </w:lvl>
    <w:lvl w:ilvl="1" w:tentative="0">
      <w:start w:val="1"/>
      <w:numFmt w:val="decimal"/>
      <w:lvlText w:val="%1.%2"/>
      <w:lvlJc w:val="left"/>
      <w:pPr>
        <w:tabs>
          <w:tab w:val="left" w:pos="840"/>
        </w:tabs>
        <w:ind w:left="84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3">
    <w:nsid w:val="7D1440D7"/>
    <w:multiLevelType w:val="multilevel"/>
    <w:tmpl w:val="7D1440D7"/>
    <w:lvl w:ilvl="0" w:tentative="0">
      <w:start w:val="1"/>
      <w:numFmt w:val="decimal"/>
      <w:lvlText w:val="%1）"/>
      <w:lvlJc w:val="left"/>
      <w:pPr>
        <w:tabs>
          <w:tab w:val="left" w:pos="2040"/>
        </w:tabs>
        <w:ind w:left="2040" w:hanging="360"/>
      </w:pPr>
      <w:rPr>
        <w:rFonts w:hint="default"/>
      </w:rPr>
    </w:lvl>
    <w:lvl w:ilvl="1" w:tentative="0">
      <w:start w:val="3"/>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rPr>
        <w:b w:val="0"/>
        <w:sz w:val="21"/>
        <w:szCs w:val="21"/>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7F03740D"/>
    <w:multiLevelType w:val="multilevel"/>
    <w:tmpl w:val="7F03740D"/>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5">
    <w:nsid w:val="7FC50114"/>
    <w:multiLevelType w:val="multilevel"/>
    <w:tmpl w:val="7FC50114"/>
    <w:lvl w:ilvl="0" w:tentative="0">
      <w:start w:val="3"/>
      <w:numFmt w:val="decimal"/>
      <w:lvlText w:val="%1"/>
      <w:lvlJc w:val="left"/>
      <w:pPr>
        <w:tabs>
          <w:tab w:val="left" w:pos="360"/>
        </w:tabs>
        <w:ind w:left="360" w:hanging="360"/>
      </w:pPr>
      <w:rPr>
        <w:rFonts w:hint="default" w:cs="宋体"/>
      </w:rPr>
    </w:lvl>
    <w:lvl w:ilvl="1" w:tentative="0">
      <w:start w:val="1"/>
      <w:numFmt w:val="decimal"/>
      <w:lvlText w:val="%1.%2"/>
      <w:lvlJc w:val="left"/>
      <w:pPr>
        <w:tabs>
          <w:tab w:val="left" w:pos="360"/>
        </w:tabs>
        <w:ind w:left="360" w:hanging="360"/>
      </w:pPr>
      <w:rPr>
        <w:rFonts w:hint="default" w:cs="宋体"/>
      </w:rPr>
    </w:lvl>
    <w:lvl w:ilvl="2" w:tentative="0">
      <w:start w:val="1"/>
      <w:numFmt w:val="decimal"/>
      <w:lvlText w:val="%1.%2.%3"/>
      <w:lvlJc w:val="left"/>
      <w:pPr>
        <w:tabs>
          <w:tab w:val="left" w:pos="720"/>
        </w:tabs>
        <w:ind w:left="720" w:hanging="720"/>
      </w:pPr>
      <w:rPr>
        <w:rFonts w:hint="default" w:cs="宋体"/>
      </w:rPr>
    </w:lvl>
    <w:lvl w:ilvl="3" w:tentative="0">
      <w:start w:val="1"/>
      <w:numFmt w:val="decimal"/>
      <w:lvlText w:val="%1.%2.%3.%4"/>
      <w:lvlJc w:val="left"/>
      <w:pPr>
        <w:tabs>
          <w:tab w:val="left" w:pos="1080"/>
        </w:tabs>
        <w:ind w:left="1080" w:hanging="1080"/>
      </w:pPr>
      <w:rPr>
        <w:rFonts w:hint="default" w:cs="宋体"/>
      </w:rPr>
    </w:lvl>
    <w:lvl w:ilvl="4" w:tentative="0">
      <w:start w:val="1"/>
      <w:numFmt w:val="decimal"/>
      <w:lvlText w:val="%1.%2.%3.%4.%5"/>
      <w:lvlJc w:val="left"/>
      <w:pPr>
        <w:tabs>
          <w:tab w:val="left" w:pos="1080"/>
        </w:tabs>
        <w:ind w:left="1080" w:hanging="1080"/>
      </w:pPr>
      <w:rPr>
        <w:rFonts w:hint="default" w:cs="宋体"/>
      </w:rPr>
    </w:lvl>
    <w:lvl w:ilvl="5" w:tentative="0">
      <w:start w:val="1"/>
      <w:numFmt w:val="decimal"/>
      <w:lvlText w:val="%1.%2.%3.%4.%5.%6"/>
      <w:lvlJc w:val="left"/>
      <w:pPr>
        <w:tabs>
          <w:tab w:val="left" w:pos="1440"/>
        </w:tabs>
        <w:ind w:left="1440" w:hanging="1440"/>
      </w:pPr>
      <w:rPr>
        <w:rFonts w:hint="default" w:cs="宋体"/>
      </w:rPr>
    </w:lvl>
    <w:lvl w:ilvl="6" w:tentative="0">
      <w:start w:val="1"/>
      <w:numFmt w:val="decimal"/>
      <w:lvlText w:val="%1.%2.%3.%4.%5.%6.%7"/>
      <w:lvlJc w:val="left"/>
      <w:pPr>
        <w:tabs>
          <w:tab w:val="left" w:pos="1440"/>
        </w:tabs>
        <w:ind w:left="1440" w:hanging="1440"/>
      </w:pPr>
      <w:rPr>
        <w:rFonts w:hint="default" w:cs="宋体"/>
      </w:rPr>
    </w:lvl>
    <w:lvl w:ilvl="7" w:tentative="0">
      <w:start w:val="1"/>
      <w:numFmt w:val="decimal"/>
      <w:lvlText w:val="%1.%2.%3.%4.%5.%6.%7.%8"/>
      <w:lvlJc w:val="left"/>
      <w:pPr>
        <w:tabs>
          <w:tab w:val="left" w:pos="1800"/>
        </w:tabs>
        <w:ind w:left="1800" w:hanging="1800"/>
      </w:pPr>
      <w:rPr>
        <w:rFonts w:hint="default" w:cs="宋体"/>
      </w:rPr>
    </w:lvl>
    <w:lvl w:ilvl="8" w:tentative="0">
      <w:start w:val="1"/>
      <w:numFmt w:val="decimal"/>
      <w:lvlText w:val="%1.%2.%3.%4.%5.%6.%7.%8.%9"/>
      <w:lvlJc w:val="left"/>
      <w:pPr>
        <w:tabs>
          <w:tab w:val="left" w:pos="1800"/>
        </w:tabs>
        <w:ind w:left="1800" w:hanging="1800"/>
      </w:pPr>
      <w:rPr>
        <w:rFonts w:hint="default" w:cs="宋体"/>
      </w:rPr>
    </w:lvl>
  </w:abstractNum>
  <w:num w:numId="1">
    <w:abstractNumId w:val="38"/>
  </w:num>
  <w:num w:numId="2">
    <w:abstractNumId w:val="11"/>
  </w:num>
  <w:num w:numId="3">
    <w:abstractNumId w:val="19"/>
  </w:num>
  <w:num w:numId="4">
    <w:abstractNumId w:val="28"/>
  </w:num>
  <w:num w:numId="5">
    <w:abstractNumId w:val="14"/>
  </w:num>
  <w:num w:numId="6">
    <w:abstractNumId w:val="13"/>
  </w:num>
  <w:num w:numId="7">
    <w:abstractNumId w:val="2"/>
  </w:num>
  <w:num w:numId="8">
    <w:abstractNumId w:val="32"/>
  </w:num>
  <w:num w:numId="9">
    <w:abstractNumId w:val="16"/>
  </w:num>
  <w:num w:numId="10">
    <w:abstractNumId w:val="9"/>
  </w:num>
  <w:num w:numId="11">
    <w:abstractNumId w:val="15"/>
  </w:num>
  <w:num w:numId="12">
    <w:abstractNumId w:val="34"/>
  </w:num>
  <w:num w:numId="13">
    <w:abstractNumId w:val="44"/>
  </w:num>
  <w:num w:numId="14">
    <w:abstractNumId w:val="45"/>
  </w:num>
  <w:num w:numId="15">
    <w:abstractNumId w:val="27"/>
  </w:num>
  <w:num w:numId="16">
    <w:abstractNumId w:val="30"/>
  </w:num>
  <w:num w:numId="17">
    <w:abstractNumId w:val="33"/>
  </w:num>
  <w:num w:numId="18">
    <w:abstractNumId w:val="35"/>
  </w:num>
  <w:num w:numId="19">
    <w:abstractNumId w:val="4"/>
  </w:num>
  <w:num w:numId="20">
    <w:abstractNumId w:val="37"/>
  </w:num>
  <w:num w:numId="21">
    <w:abstractNumId w:val="6"/>
  </w:num>
  <w:num w:numId="22">
    <w:abstractNumId w:val="25"/>
  </w:num>
  <w:num w:numId="23">
    <w:abstractNumId w:val="21"/>
  </w:num>
  <w:num w:numId="24">
    <w:abstractNumId w:val="40"/>
  </w:num>
  <w:num w:numId="25">
    <w:abstractNumId w:val="12"/>
  </w:num>
  <w:num w:numId="26">
    <w:abstractNumId w:val="26"/>
  </w:num>
  <w:num w:numId="27">
    <w:abstractNumId w:val="8"/>
  </w:num>
  <w:num w:numId="28">
    <w:abstractNumId w:val="39"/>
  </w:num>
  <w:num w:numId="29">
    <w:abstractNumId w:val="43"/>
  </w:num>
  <w:num w:numId="30">
    <w:abstractNumId w:val="29"/>
  </w:num>
  <w:num w:numId="31">
    <w:abstractNumId w:val="23"/>
  </w:num>
  <w:num w:numId="32">
    <w:abstractNumId w:val="10"/>
  </w:num>
  <w:num w:numId="33">
    <w:abstractNumId w:val="20"/>
  </w:num>
  <w:num w:numId="34">
    <w:abstractNumId w:val="42"/>
  </w:num>
  <w:num w:numId="35">
    <w:abstractNumId w:val="24"/>
  </w:num>
  <w:num w:numId="36">
    <w:abstractNumId w:val="1"/>
  </w:num>
  <w:num w:numId="37">
    <w:abstractNumId w:val="41"/>
  </w:num>
  <w:num w:numId="38">
    <w:abstractNumId w:val="36"/>
  </w:num>
  <w:num w:numId="39">
    <w:abstractNumId w:val="17"/>
  </w:num>
  <w:num w:numId="40">
    <w:abstractNumId w:val="31"/>
  </w:num>
  <w:num w:numId="41">
    <w:abstractNumId w:val="3"/>
  </w:num>
  <w:num w:numId="42">
    <w:abstractNumId w:val="18"/>
  </w:num>
  <w:num w:numId="43">
    <w:abstractNumId w:val="22"/>
  </w:num>
  <w:num w:numId="44">
    <w:abstractNumId w:val="7"/>
  </w:num>
  <w:num w:numId="45">
    <w:abstractNumId w:val="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1E68"/>
    <w:rsid w:val="000033B9"/>
    <w:rsid w:val="000047AE"/>
    <w:rsid w:val="00004A24"/>
    <w:rsid w:val="00004EFB"/>
    <w:rsid w:val="00007E56"/>
    <w:rsid w:val="0001587C"/>
    <w:rsid w:val="00015F4D"/>
    <w:rsid w:val="000215F4"/>
    <w:rsid w:val="00022666"/>
    <w:rsid w:val="00023392"/>
    <w:rsid w:val="000239A8"/>
    <w:rsid w:val="00024103"/>
    <w:rsid w:val="000253AD"/>
    <w:rsid w:val="0002669A"/>
    <w:rsid w:val="00026C24"/>
    <w:rsid w:val="00027066"/>
    <w:rsid w:val="0003059B"/>
    <w:rsid w:val="0003259A"/>
    <w:rsid w:val="0003403B"/>
    <w:rsid w:val="00034188"/>
    <w:rsid w:val="00034401"/>
    <w:rsid w:val="00034C37"/>
    <w:rsid w:val="00034DD0"/>
    <w:rsid w:val="00036612"/>
    <w:rsid w:val="00040CD1"/>
    <w:rsid w:val="00041FF2"/>
    <w:rsid w:val="00042D58"/>
    <w:rsid w:val="00043B68"/>
    <w:rsid w:val="00044766"/>
    <w:rsid w:val="00045299"/>
    <w:rsid w:val="00047217"/>
    <w:rsid w:val="00052BAD"/>
    <w:rsid w:val="00054956"/>
    <w:rsid w:val="000601EB"/>
    <w:rsid w:val="00060505"/>
    <w:rsid w:val="00061770"/>
    <w:rsid w:val="000637D5"/>
    <w:rsid w:val="00064234"/>
    <w:rsid w:val="00064EC5"/>
    <w:rsid w:val="00065B60"/>
    <w:rsid w:val="00066D4A"/>
    <w:rsid w:val="0006772A"/>
    <w:rsid w:val="0007168B"/>
    <w:rsid w:val="00073173"/>
    <w:rsid w:val="000738DC"/>
    <w:rsid w:val="000740E4"/>
    <w:rsid w:val="0007591B"/>
    <w:rsid w:val="000764B9"/>
    <w:rsid w:val="000808FD"/>
    <w:rsid w:val="00083858"/>
    <w:rsid w:val="00084E33"/>
    <w:rsid w:val="0008685D"/>
    <w:rsid w:val="000874D5"/>
    <w:rsid w:val="0008753B"/>
    <w:rsid w:val="000879E8"/>
    <w:rsid w:val="00087F0E"/>
    <w:rsid w:val="000927C7"/>
    <w:rsid w:val="000935C0"/>
    <w:rsid w:val="0009702B"/>
    <w:rsid w:val="00097DC4"/>
    <w:rsid w:val="000A08A5"/>
    <w:rsid w:val="000A1233"/>
    <w:rsid w:val="000A20A7"/>
    <w:rsid w:val="000A3F65"/>
    <w:rsid w:val="000A50F6"/>
    <w:rsid w:val="000A54F4"/>
    <w:rsid w:val="000A6C98"/>
    <w:rsid w:val="000B0404"/>
    <w:rsid w:val="000B0E4B"/>
    <w:rsid w:val="000B1147"/>
    <w:rsid w:val="000B1258"/>
    <w:rsid w:val="000B1404"/>
    <w:rsid w:val="000B25DE"/>
    <w:rsid w:val="000B27B8"/>
    <w:rsid w:val="000B3274"/>
    <w:rsid w:val="000B4D1A"/>
    <w:rsid w:val="000B6702"/>
    <w:rsid w:val="000C005A"/>
    <w:rsid w:val="000C114A"/>
    <w:rsid w:val="000C2471"/>
    <w:rsid w:val="000C3488"/>
    <w:rsid w:val="000C3DA3"/>
    <w:rsid w:val="000C420C"/>
    <w:rsid w:val="000C6D16"/>
    <w:rsid w:val="000C7ACA"/>
    <w:rsid w:val="000D017D"/>
    <w:rsid w:val="000D0DD2"/>
    <w:rsid w:val="000D3FD9"/>
    <w:rsid w:val="000D680D"/>
    <w:rsid w:val="000D75EB"/>
    <w:rsid w:val="000E044D"/>
    <w:rsid w:val="000E1552"/>
    <w:rsid w:val="000E1D32"/>
    <w:rsid w:val="000E2E3B"/>
    <w:rsid w:val="000E4823"/>
    <w:rsid w:val="000F09C3"/>
    <w:rsid w:val="000F25D9"/>
    <w:rsid w:val="000F2A59"/>
    <w:rsid w:val="000F661F"/>
    <w:rsid w:val="00100A0F"/>
    <w:rsid w:val="00101897"/>
    <w:rsid w:val="001025BD"/>
    <w:rsid w:val="00102981"/>
    <w:rsid w:val="00102DF0"/>
    <w:rsid w:val="00104978"/>
    <w:rsid w:val="001074B3"/>
    <w:rsid w:val="0010789F"/>
    <w:rsid w:val="001141C4"/>
    <w:rsid w:val="00114D60"/>
    <w:rsid w:val="001163B1"/>
    <w:rsid w:val="00116C7E"/>
    <w:rsid w:val="00124AA6"/>
    <w:rsid w:val="00125943"/>
    <w:rsid w:val="00127C5B"/>
    <w:rsid w:val="00134B30"/>
    <w:rsid w:val="00134FD7"/>
    <w:rsid w:val="0013620B"/>
    <w:rsid w:val="001408A8"/>
    <w:rsid w:val="00142545"/>
    <w:rsid w:val="0014282F"/>
    <w:rsid w:val="0014397E"/>
    <w:rsid w:val="00145432"/>
    <w:rsid w:val="001478B2"/>
    <w:rsid w:val="00150976"/>
    <w:rsid w:val="00150BBE"/>
    <w:rsid w:val="00150C35"/>
    <w:rsid w:val="00151409"/>
    <w:rsid w:val="00151CA6"/>
    <w:rsid w:val="00152FC8"/>
    <w:rsid w:val="00155948"/>
    <w:rsid w:val="001627D3"/>
    <w:rsid w:val="00162FE0"/>
    <w:rsid w:val="0016373B"/>
    <w:rsid w:val="00170342"/>
    <w:rsid w:val="00172C43"/>
    <w:rsid w:val="00173A77"/>
    <w:rsid w:val="0017427A"/>
    <w:rsid w:val="001744CA"/>
    <w:rsid w:val="001749AF"/>
    <w:rsid w:val="00175CFD"/>
    <w:rsid w:val="00175F5F"/>
    <w:rsid w:val="001777D8"/>
    <w:rsid w:val="0018039E"/>
    <w:rsid w:val="00181E47"/>
    <w:rsid w:val="001839B5"/>
    <w:rsid w:val="00185050"/>
    <w:rsid w:val="00185F86"/>
    <w:rsid w:val="00186CF1"/>
    <w:rsid w:val="00187F0E"/>
    <w:rsid w:val="00191399"/>
    <w:rsid w:val="00192611"/>
    <w:rsid w:val="001930D2"/>
    <w:rsid w:val="00194A27"/>
    <w:rsid w:val="00197EF1"/>
    <w:rsid w:val="001A02ED"/>
    <w:rsid w:val="001A1937"/>
    <w:rsid w:val="001A263A"/>
    <w:rsid w:val="001A2EB5"/>
    <w:rsid w:val="001A36FE"/>
    <w:rsid w:val="001A3E2E"/>
    <w:rsid w:val="001A4886"/>
    <w:rsid w:val="001A4FEF"/>
    <w:rsid w:val="001B0296"/>
    <w:rsid w:val="001B07C7"/>
    <w:rsid w:val="001B07DE"/>
    <w:rsid w:val="001B1154"/>
    <w:rsid w:val="001B20B0"/>
    <w:rsid w:val="001B727F"/>
    <w:rsid w:val="001B78A1"/>
    <w:rsid w:val="001C1736"/>
    <w:rsid w:val="001C1DA4"/>
    <w:rsid w:val="001C33E7"/>
    <w:rsid w:val="001C3B5D"/>
    <w:rsid w:val="001C4413"/>
    <w:rsid w:val="001C5A5B"/>
    <w:rsid w:val="001C6428"/>
    <w:rsid w:val="001C6B84"/>
    <w:rsid w:val="001D4194"/>
    <w:rsid w:val="001D4319"/>
    <w:rsid w:val="001D572B"/>
    <w:rsid w:val="001D7585"/>
    <w:rsid w:val="001E0C05"/>
    <w:rsid w:val="001E3837"/>
    <w:rsid w:val="001E3E08"/>
    <w:rsid w:val="001E3F69"/>
    <w:rsid w:val="001E56C2"/>
    <w:rsid w:val="001E63BF"/>
    <w:rsid w:val="001E744E"/>
    <w:rsid w:val="001F0E30"/>
    <w:rsid w:val="001F0E43"/>
    <w:rsid w:val="001F15DC"/>
    <w:rsid w:val="001F4124"/>
    <w:rsid w:val="001F44D4"/>
    <w:rsid w:val="001F6F7C"/>
    <w:rsid w:val="00202287"/>
    <w:rsid w:val="00203024"/>
    <w:rsid w:val="00204550"/>
    <w:rsid w:val="00205017"/>
    <w:rsid w:val="00205438"/>
    <w:rsid w:val="002062AF"/>
    <w:rsid w:val="002063F0"/>
    <w:rsid w:val="00207D04"/>
    <w:rsid w:val="00207DD9"/>
    <w:rsid w:val="00211F1C"/>
    <w:rsid w:val="00213D50"/>
    <w:rsid w:val="00220C09"/>
    <w:rsid w:val="00225358"/>
    <w:rsid w:val="002261E6"/>
    <w:rsid w:val="00226DC3"/>
    <w:rsid w:val="00227ED9"/>
    <w:rsid w:val="00230501"/>
    <w:rsid w:val="002339D1"/>
    <w:rsid w:val="00233ACA"/>
    <w:rsid w:val="00235704"/>
    <w:rsid w:val="002359B0"/>
    <w:rsid w:val="00235C97"/>
    <w:rsid w:val="00235F58"/>
    <w:rsid w:val="00235F62"/>
    <w:rsid w:val="00240060"/>
    <w:rsid w:val="00243A8A"/>
    <w:rsid w:val="00247965"/>
    <w:rsid w:val="002509F0"/>
    <w:rsid w:val="00251B5C"/>
    <w:rsid w:val="002530F4"/>
    <w:rsid w:val="00253653"/>
    <w:rsid w:val="00253BAC"/>
    <w:rsid w:val="0025542B"/>
    <w:rsid w:val="0025626F"/>
    <w:rsid w:val="00256A91"/>
    <w:rsid w:val="002603F9"/>
    <w:rsid w:val="002623C9"/>
    <w:rsid w:val="0026428F"/>
    <w:rsid w:val="002646B0"/>
    <w:rsid w:val="00265C3F"/>
    <w:rsid w:val="00267586"/>
    <w:rsid w:val="00267DB6"/>
    <w:rsid w:val="00270533"/>
    <w:rsid w:val="00271F95"/>
    <w:rsid w:val="002729C3"/>
    <w:rsid w:val="00273196"/>
    <w:rsid w:val="0027335E"/>
    <w:rsid w:val="002739FC"/>
    <w:rsid w:val="00273FBB"/>
    <w:rsid w:val="0027522F"/>
    <w:rsid w:val="002759DC"/>
    <w:rsid w:val="00280409"/>
    <w:rsid w:val="00281E10"/>
    <w:rsid w:val="002852EB"/>
    <w:rsid w:val="002861D3"/>
    <w:rsid w:val="00287848"/>
    <w:rsid w:val="00290E4C"/>
    <w:rsid w:val="00293D8B"/>
    <w:rsid w:val="002942BF"/>
    <w:rsid w:val="0029782F"/>
    <w:rsid w:val="0029786C"/>
    <w:rsid w:val="002A2523"/>
    <w:rsid w:val="002A4287"/>
    <w:rsid w:val="002A4B44"/>
    <w:rsid w:val="002A5EAC"/>
    <w:rsid w:val="002A5FE4"/>
    <w:rsid w:val="002A6048"/>
    <w:rsid w:val="002A6253"/>
    <w:rsid w:val="002A62EA"/>
    <w:rsid w:val="002A647B"/>
    <w:rsid w:val="002A64F2"/>
    <w:rsid w:val="002A7BA2"/>
    <w:rsid w:val="002B18B4"/>
    <w:rsid w:val="002B1B84"/>
    <w:rsid w:val="002B1F08"/>
    <w:rsid w:val="002B2E16"/>
    <w:rsid w:val="002B4AA4"/>
    <w:rsid w:val="002B4E54"/>
    <w:rsid w:val="002B58F7"/>
    <w:rsid w:val="002C151B"/>
    <w:rsid w:val="002C1964"/>
    <w:rsid w:val="002C2691"/>
    <w:rsid w:val="002C2825"/>
    <w:rsid w:val="002C41E4"/>
    <w:rsid w:val="002C461D"/>
    <w:rsid w:val="002C4CD2"/>
    <w:rsid w:val="002C5671"/>
    <w:rsid w:val="002C57F2"/>
    <w:rsid w:val="002C62DA"/>
    <w:rsid w:val="002D44D6"/>
    <w:rsid w:val="002D4D2D"/>
    <w:rsid w:val="002D682B"/>
    <w:rsid w:val="002D78B4"/>
    <w:rsid w:val="002D79E1"/>
    <w:rsid w:val="002E034F"/>
    <w:rsid w:val="002E03D7"/>
    <w:rsid w:val="002E3B90"/>
    <w:rsid w:val="002E5B25"/>
    <w:rsid w:val="002E621E"/>
    <w:rsid w:val="002E6941"/>
    <w:rsid w:val="002E7568"/>
    <w:rsid w:val="002E7BCB"/>
    <w:rsid w:val="002F04D7"/>
    <w:rsid w:val="002F4524"/>
    <w:rsid w:val="002F4F9A"/>
    <w:rsid w:val="00300A17"/>
    <w:rsid w:val="00300DE8"/>
    <w:rsid w:val="00301075"/>
    <w:rsid w:val="00303733"/>
    <w:rsid w:val="00304C84"/>
    <w:rsid w:val="00306010"/>
    <w:rsid w:val="003072A8"/>
    <w:rsid w:val="00307CF7"/>
    <w:rsid w:val="00310E92"/>
    <w:rsid w:val="0031173B"/>
    <w:rsid w:val="00311C3E"/>
    <w:rsid w:val="003120D8"/>
    <w:rsid w:val="00312B4A"/>
    <w:rsid w:val="003219E3"/>
    <w:rsid w:val="00323623"/>
    <w:rsid w:val="00326087"/>
    <w:rsid w:val="00326F11"/>
    <w:rsid w:val="0032719C"/>
    <w:rsid w:val="003278E1"/>
    <w:rsid w:val="00330A2D"/>
    <w:rsid w:val="00330B2E"/>
    <w:rsid w:val="00330B59"/>
    <w:rsid w:val="003328A4"/>
    <w:rsid w:val="00332C49"/>
    <w:rsid w:val="00333FA6"/>
    <w:rsid w:val="00335AF3"/>
    <w:rsid w:val="00337E74"/>
    <w:rsid w:val="00340003"/>
    <w:rsid w:val="00340409"/>
    <w:rsid w:val="00341769"/>
    <w:rsid w:val="00342802"/>
    <w:rsid w:val="003433E3"/>
    <w:rsid w:val="00343E09"/>
    <w:rsid w:val="003469C4"/>
    <w:rsid w:val="00346C9E"/>
    <w:rsid w:val="0034708C"/>
    <w:rsid w:val="0035254D"/>
    <w:rsid w:val="0035442F"/>
    <w:rsid w:val="003544F2"/>
    <w:rsid w:val="00360437"/>
    <w:rsid w:val="003614ED"/>
    <w:rsid w:val="0036151C"/>
    <w:rsid w:val="003636FC"/>
    <w:rsid w:val="00363B0E"/>
    <w:rsid w:val="0036524C"/>
    <w:rsid w:val="00365CE5"/>
    <w:rsid w:val="00366A63"/>
    <w:rsid w:val="00371F39"/>
    <w:rsid w:val="00371F92"/>
    <w:rsid w:val="00374C54"/>
    <w:rsid w:val="00377473"/>
    <w:rsid w:val="0037775F"/>
    <w:rsid w:val="003804FB"/>
    <w:rsid w:val="00382FC0"/>
    <w:rsid w:val="00383978"/>
    <w:rsid w:val="00384AB1"/>
    <w:rsid w:val="00385E6D"/>
    <w:rsid w:val="003861E9"/>
    <w:rsid w:val="003911FB"/>
    <w:rsid w:val="00392E5E"/>
    <w:rsid w:val="003939DC"/>
    <w:rsid w:val="00395273"/>
    <w:rsid w:val="0039777F"/>
    <w:rsid w:val="003A0645"/>
    <w:rsid w:val="003A0D8F"/>
    <w:rsid w:val="003A345A"/>
    <w:rsid w:val="003A3569"/>
    <w:rsid w:val="003A3BED"/>
    <w:rsid w:val="003A40C4"/>
    <w:rsid w:val="003A53FA"/>
    <w:rsid w:val="003A6DDF"/>
    <w:rsid w:val="003B229A"/>
    <w:rsid w:val="003B2550"/>
    <w:rsid w:val="003B2851"/>
    <w:rsid w:val="003B2E90"/>
    <w:rsid w:val="003B3303"/>
    <w:rsid w:val="003C0602"/>
    <w:rsid w:val="003C09A4"/>
    <w:rsid w:val="003C25C8"/>
    <w:rsid w:val="003C26BA"/>
    <w:rsid w:val="003C347E"/>
    <w:rsid w:val="003C40BC"/>
    <w:rsid w:val="003C6EEA"/>
    <w:rsid w:val="003D2108"/>
    <w:rsid w:val="003D3DE1"/>
    <w:rsid w:val="003D43F4"/>
    <w:rsid w:val="003D4CCD"/>
    <w:rsid w:val="003E1DFB"/>
    <w:rsid w:val="003E3023"/>
    <w:rsid w:val="003E434A"/>
    <w:rsid w:val="003E5FD1"/>
    <w:rsid w:val="003F2162"/>
    <w:rsid w:val="003F2483"/>
    <w:rsid w:val="003F5780"/>
    <w:rsid w:val="003F5C2F"/>
    <w:rsid w:val="003F61E2"/>
    <w:rsid w:val="003F6EBF"/>
    <w:rsid w:val="0040035B"/>
    <w:rsid w:val="00400767"/>
    <w:rsid w:val="00400FF3"/>
    <w:rsid w:val="00401592"/>
    <w:rsid w:val="00401B39"/>
    <w:rsid w:val="00401F8D"/>
    <w:rsid w:val="00403EC7"/>
    <w:rsid w:val="00404737"/>
    <w:rsid w:val="00404AC0"/>
    <w:rsid w:val="0040715A"/>
    <w:rsid w:val="0041082C"/>
    <w:rsid w:val="00412EE9"/>
    <w:rsid w:val="00413598"/>
    <w:rsid w:val="00414D62"/>
    <w:rsid w:val="004151E7"/>
    <w:rsid w:val="0041672A"/>
    <w:rsid w:val="004168C6"/>
    <w:rsid w:val="00421282"/>
    <w:rsid w:val="004212E6"/>
    <w:rsid w:val="00421300"/>
    <w:rsid w:val="004225F2"/>
    <w:rsid w:val="00423062"/>
    <w:rsid w:val="00425599"/>
    <w:rsid w:val="00426AE9"/>
    <w:rsid w:val="004317F4"/>
    <w:rsid w:val="00431F70"/>
    <w:rsid w:val="004330C5"/>
    <w:rsid w:val="00435FDF"/>
    <w:rsid w:val="004417F5"/>
    <w:rsid w:val="00441812"/>
    <w:rsid w:val="00444B91"/>
    <w:rsid w:val="00444D72"/>
    <w:rsid w:val="00450A56"/>
    <w:rsid w:val="004529FE"/>
    <w:rsid w:val="00453191"/>
    <w:rsid w:val="004536D3"/>
    <w:rsid w:val="00454F59"/>
    <w:rsid w:val="004574D4"/>
    <w:rsid w:val="00460CF7"/>
    <w:rsid w:val="00462FA9"/>
    <w:rsid w:val="0046424E"/>
    <w:rsid w:val="004650B1"/>
    <w:rsid w:val="004654A9"/>
    <w:rsid w:val="00466CD9"/>
    <w:rsid w:val="00470049"/>
    <w:rsid w:val="00471C4F"/>
    <w:rsid w:val="00473C97"/>
    <w:rsid w:val="00474CAA"/>
    <w:rsid w:val="00475D91"/>
    <w:rsid w:val="00476316"/>
    <w:rsid w:val="004813F2"/>
    <w:rsid w:val="004840EA"/>
    <w:rsid w:val="004866AA"/>
    <w:rsid w:val="004877AD"/>
    <w:rsid w:val="00487B13"/>
    <w:rsid w:val="00487CDF"/>
    <w:rsid w:val="0049128D"/>
    <w:rsid w:val="00491BD8"/>
    <w:rsid w:val="0049242C"/>
    <w:rsid w:val="00492661"/>
    <w:rsid w:val="00494B84"/>
    <w:rsid w:val="004962D7"/>
    <w:rsid w:val="00497E9A"/>
    <w:rsid w:val="004A07F3"/>
    <w:rsid w:val="004A0A22"/>
    <w:rsid w:val="004A223B"/>
    <w:rsid w:val="004A23AB"/>
    <w:rsid w:val="004A26B9"/>
    <w:rsid w:val="004A3BF6"/>
    <w:rsid w:val="004A3EC8"/>
    <w:rsid w:val="004A4250"/>
    <w:rsid w:val="004A4EB1"/>
    <w:rsid w:val="004A51E7"/>
    <w:rsid w:val="004A5714"/>
    <w:rsid w:val="004A583E"/>
    <w:rsid w:val="004A7813"/>
    <w:rsid w:val="004A7E77"/>
    <w:rsid w:val="004B1E35"/>
    <w:rsid w:val="004B3A16"/>
    <w:rsid w:val="004B3E63"/>
    <w:rsid w:val="004B4034"/>
    <w:rsid w:val="004B43E3"/>
    <w:rsid w:val="004B5BE2"/>
    <w:rsid w:val="004B673B"/>
    <w:rsid w:val="004B69BD"/>
    <w:rsid w:val="004B6BF2"/>
    <w:rsid w:val="004B7C76"/>
    <w:rsid w:val="004C01B4"/>
    <w:rsid w:val="004C36E8"/>
    <w:rsid w:val="004C3992"/>
    <w:rsid w:val="004C5ABD"/>
    <w:rsid w:val="004C7CF4"/>
    <w:rsid w:val="004D2C5A"/>
    <w:rsid w:val="004D3E0A"/>
    <w:rsid w:val="004D4E37"/>
    <w:rsid w:val="004D64B3"/>
    <w:rsid w:val="004D667C"/>
    <w:rsid w:val="004D674E"/>
    <w:rsid w:val="004D7E2E"/>
    <w:rsid w:val="004E0CE5"/>
    <w:rsid w:val="004E1FCE"/>
    <w:rsid w:val="004E5B0B"/>
    <w:rsid w:val="004E68F9"/>
    <w:rsid w:val="004F1700"/>
    <w:rsid w:val="004F1836"/>
    <w:rsid w:val="004F1C14"/>
    <w:rsid w:val="004F3520"/>
    <w:rsid w:val="004F463B"/>
    <w:rsid w:val="004F4AE7"/>
    <w:rsid w:val="004F4ED7"/>
    <w:rsid w:val="004F5FEC"/>
    <w:rsid w:val="004F62B8"/>
    <w:rsid w:val="0050076B"/>
    <w:rsid w:val="00502D31"/>
    <w:rsid w:val="00502FE2"/>
    <w:rsid w:val="00503A40"/>
    <w:rsid w:val="00503DBA"/>
    <w:rsid w:val="00504F72"/>
    <w:rsid w:val="00506AFD"/>
    <w:rsid w:val="00510CC0"/>
    <w:rsid w:val="00512066"/>
    <w:rsid w:val="00512E41"/>
    <w:rsid w:val="00513F7B"/>
    <w:rsid w:val="00514311"/>
    <w:rsid w:val="005149E1"/>
    <w:rsid w:val="00521C3F"/>
    <w:rsid w:val="00523722"/>
    <w:rsid w:val="00525EA0"/>
    <w:rsid w:val="0052675A"/>
    <w:rsid w:val="00530AC1"/>
    <w:rsid w:val="00530AEB"/>
    <w:rsid w:val="00531BAA"/>
    <w:rsid w:val="0053207C"/>
    <w:rsid w:val="00534A40"/>
    <w:rsid w:val="00535705"/>
    <w:rsid w:val="005366C2"/>
    <w:rsid w:val="00536974"/>
    <w:rsid w:val="00543F14"/>
    <w:rsid w:val="005522F1"/>
    <w:rsid w:val="005535DE"/>
    <w:rsid w:val="005538A7"/>
    <w:rsid w:val="0055465D"/>
    <w:rsid w:val="00554B6C"/>
    <w:rsid w:val="00554CD6"/>
    <w:rsid w:val="00555455"/>
    <w:rsid w:val="00555470"/>
    <w:rsid w:val="0055601F"/>
    <w:rsid w:val="00557813"/>
    <w:rsid w:val="00561D16"/>
    <w:rsid w:val="00564205"/>
    <w:rsid w:val="00567C36"/>
    <w:rsid w:val="00567F98"/>
    <w:rsid w:val="00570148"/>
    <w:rsid w:val="00570D42"/>
    <w:rsid w:val="00571337"/>
    <w:rsid w:val="00572087"/>
    <w:rsid w:val="00572729"/>
    <w:rsid w:val="00572851"/>
    <w:rsid w:val="00572CBA"/>
    <w:rsid w:val="00572F28"/>
    <w:rsid w:val="005730AB"/>
    <w:rsid w:val="0057497A"/>
    <w:rsid w:val="00575D74"/>
    <w:rsid w:val="00576EB0"/>
    <w:rsid w:val="00576FD7"/>
    <w:rsid w:val="00577616"/>
    <w:rsid w:val="00580693"/>
    <w:rsid w:val="005809F8"/>
    <w:rsid w:val="0058131F"/>
    <w:rsid w:val="005829E5"/>
    <w:rsid w:val="00583E5E"/>
    <w:rsid w:val="00590C4F"/>
    <w:rsid w:val="005913E3"/>
    <w:rsid w:val="005945E8"/>
    <w:rsid w:val="00595EB3"/>
    <w:rsid w:val="00596FB7"/>
    <w:rsid w:val="0059796C"/>
    <w:rsid w:val="005A07C7"/>
    <w:rsid w:val="005A1094"/>
    <w:rsid w:val="005A158B"/>
    <w:rsid w:val="005A18A8"/>
    <w:rsid w:val="005A5010"/>
    <w:rsid w:val="005A66DA"/>
    <w:rsid w:val="005B1331"/>
    <w:rsid w:val="005B34C8"/>
    <w:rsid w:val="005B3A1F"/>
    <w:rsid w:val="005B6422"/>
    <w:rsid w:val="005B6680"/>
    <w:rsid w:val="005B674D"/>
    <w:rsid w:val="005C1616"/>
    <w:rsid w:val="005C1B3A"/>
    <w:rsid w:val="005C4110"/>
    <w:rsid w:val="005C4B6B"/>
    <w:rsid w:val="005D08DC"/>
    <w:rsid w:val="005D2929"/>
    <w:rsid w:val="005D4A76"/>
    <w:rsid w:val="005D7313"/>
    <w:rsid w:val="005E02CE"/>
    <w:rsid w:val="005E1654"/>
    <w:rsid w:val="005E2A51"/>
    <w:rsid w:val="005E34B3"/>
    <w:rsid w:val="005E466A"/>
    <w:rsid w:val="005E6B54"/>
    <w:rsid w:val="005E754F"/>
    <w:rsid w:val="005F0A04"/>
    <w:rsid w:val="005F1228"/>
    <w:rsid w:val="005F33C9"/>
    <w:rsid w:val="005F3D99"/>
    <w:rsid w:val="005F5ED3"/>
    <w:rsid w:val="006001B3"/>
    <w:rsid w:val="00601AE5"/>
    <w:rsid w:val="0060350F"/>
    <w:rsid w:val="00603B97"/>
    <w:rsid w:val="00604B0F"/>
    <w:rsid w:val="00604C27"/>
    <w:rsid w:val="00605E39"/>
    <w:rsid w:val="00610024"/>
    <w:rsid w:val="00610A77"/>
    <w:rsid w:val="006134CF"/>
    <w:rsid w:val="00613E47"/>
    <w:rsid w:val="006146CA"/>
    <w:rsid w:val="00614F81"/>
    <w:rsid w:val="0061537F"/>
    <w:rsid w:val="006156F7"/>
    <w:rsid w:val="006158ED"/>
    <w:rsid w:val="006160A3"/>
    <w:rsid w:val="00616747"/>
    <w:rsid w:val="00617325"/>
    <w:rsid w:val="006177F7"/>
    <w:rsid w:val="0062159F"/>
    <w:rsid w:val="00623215"/>
    <w:rsid w:val="00624015"/>
    <w:rsid w:val="00624ABD"/>
    <w:rsid w:val="006256B1"/>
    <w:rsid w:val="006260DB"/>
    <w:rsid w:val="00626356"/>
    <w:rsid w:val="0062642C"/>
    <w:rsid w:val="00626EA7"/>
    <w:rsid w:val="00634D15"/>
    <w:rsid w:val="006351F3"/>
    <w:rsid w:val="00636117"/>
    <w:rsid w:val="00641E86"/>
    <w:rsid w:val="0064217E"/>
    <w:rsid w:val="00642979"/>
    <w:rsid w:val="00645283"/>
    <w:rsid w:val="006459D5"/>
    <w:rsid w:val="00646657"/>
    <w:rsid w:val="00646713"/>
    <w:rsid w:val="006477EE"/>
    <w:rsid w:val="00650533"/>
    <w:rsid w:val="00650FBC"/>
    <w:rsid w:val="0065141E"/>
    <w:rsid w:val="00653135"/>
    <w:rsid w:val="006536A2"/>
    <w:rsid w:val="006545B0"/>
    <w:rsid w:val="00654CED"/>
    <w:rsid w:val="00660348"/>
    <w:rsid w:val="006604C1"/>
    <w:rsid w:val="0066378A"/>
    <w:rsid w:val="006674BB"/>
    <w:rsid w:val="00667F16"/>
    <w:rsid w:val="00670FAB"/>
    <w:rsid w:val="00671072"/>
    <w:rsid w:val="00671594"/>
    <w:rsid w:val="0067167B"/>
    <w:rsid w:val="00671E63"/>
    <w:rsid w:val="006762CB"/>
    <w:rsid w:val="0067778A"/>
    <w:rsid w:val="006808BD"/>
    <w:rsid w:val="0068114C"/>
    <w:rsid w:val="00682105"/>
    <w:rsid w:val="0068216D"/>
    <w:rsid w:val="00682453"/>
    <w:rsid w:val="0068470E"/>
    <w:rsid w:val="00685219"/>
    <w:rsid w:val="0068527F"/>
    <w:rsid w:val="00685D09"/>
    <w:rsid w:val="006870B3"/>
    <w:rsid w:val="006879A5"/>
    <w:rsid w:val="00692797"/>
    <w:rsid w:val="00692D08"/>
    <w:rsid w:val="006938E5"/>
    <w:rsid w:val="00693DC5"/>
    <w:rsid w:val="00694BD6"/>
    <w:rsid w:val="006979DD"/>
    <w:rsid w:val="006979ED"/>
    <w:rsid w:val="006A04CE"/>
    <w:rsid w:val="006A06C3"/>
    <w:rsid w:val="006A197B"/>
    <w:rsid w:val="006A24E0"/>
    <w:rsid w:val="006A349B"/>
    <w:rsid w:val="006A4EB4"/>
    <w:rsid w:val="006B070B"/>
    <w:rsid w:val="006B1662"/>
    <w:rsid w:val="006B212E"/>
    <w:rsid w:val="006B3A4C"/>
    <w:rsid w:val="006B411E"/>
    <w:rsid w:val="006B42FC"/>
    <w:rsid w:val="006B4EC8"/>
    <w:rsid w:val="006B5102"/>
    <w:rsid w:val="006C0618"/>
    <w:rsid w:val="006C11E1"/>
    <w:rsid w:val="006C1B17"/>
    <w:rsid w:val="006C1FBB"/>
    <w:rsid w:val="006C5486"/>
    <w:rsid w:val="006C5E1E"/>
    <w:rsid w:val="006C6067"/>
    <w:rsid w:val="006C667E"/>
    <w:rsid w:val="006D001D"/>
    <w:rsid w:val="006D04DA"/>
    <w:rsid w:val="006D171A"/>
    <w:rsid w:val="006D1ABC"/>
    <w:rsid w:val="006D4C38"/>
    <w:rsid w:val="006D65EF"/>
    <w:rsid w:val="006D7C32"/>
    <w:rsid w:val="006E0B77"/>
    <w:rsid w:val="006E2B1D"/>
    <w:rsid w:val="006E3DDC"/>
    <w:rsid w:val="006E4106"/>
    <w:rsid w:val="006E43A8"/>
    <w:rsid w:val="006E506B"/>
    <w:rsid w:val="006E5F4F"/>
    <w:rsid w:val="006E6948"/>
    <w:rsid w:val="006E7106"/>
    <w:rsid w:val="006E7519"/>
    <w:rsid w:val="006F04AD"/>
    <w:rsid w:val="006F1B49"/>
    <w:rsid w:val="006F571B"/>
    <w:rsid w:val="006F7746"/>
    <w:rsid w:val="0070076E"/>
    <w:rsid w:val="007018B6"/>
    <w:rsid w:val="00702B2E"/>
    <w:rsid w:val="007031A3"/>
    <w:rsid w:val="00703AC7"/>
    <w:rsid w:val="007060C5"/>
    <w:rsid w:val="00707CF9"/>
    <w:rsid w:val="00707D6D"/>
    <w:rsid w:val="00707DBC"/>
    <w:rsid w:val="00714FB9"/>
    <w:rsid w:val="00717640"/>
    <w:rsid w:val="0072062D"/>
    <w:rsid w:val="007242CF"/>
    <w:rsid w:val="007245AA"/>
    <w:rsid w:val="00725281"/>
    <w:rsid w:val="0072778E"/>
    <w:rsid w:val="00727E0F"/>
    <w:rsid w:val="00731178"/>
    <w:rsid w:val="007312BC"/>
    <w:rsid w:val="0073210B"/>
    <w:rsid w:val="00732911"/>
    <w:rsid w:val="00737A9A"/>
    <w:rsid w:val="0074030C"/>
    <w:rsid w:val="007440C9"/>
    <w:rsid w:val="00744474"/>
    <w:rsid w:val="00744AF1"/>
    <w:rsid w:val="00745998"/>
    <w:rsid w:val="0074606E"/>
    <w:rsid w:val="00746605"/>
    <w:rsid w:val="00747D48"/>
    <w:rsid w:val="00750AD7"/>
    <w:rsid w:val="00752756"/>
    <w:rsid w:val="00753955"/>
    <w:rsid w:val="007540A6"/>
    <w:rsid w:val="00755C30"/>
    <w:rsid w:val="0075697C"/>
    <w:rsid w:val="00756CDD"/>
    <w:rsid w:val="00757482"/>
    <w:rsid w:val="00760970"/>
    <w:rsid w:val="00763507"/>
    <w:rsid w:val="00763BB1"/>
    <w:rsid w:val="00767104"/>
    <w:rsid w:val="007671A0"/>
    <w:rsid w:val="007704EF"/>
    <w:rsid w:val="00770A6C"/>
    <w:rsid w:val="007749F0"/>
    <w:rsid w:val="00775959"/>
    <w:rsid w:val="00776424"/>
    <w:rsid w:val="00776942"/>
    <w:rsid w:val="00777FB3"/>
    <w:rsid w:val="007804D2"/>
    <w:rsid w:val="00780BC2"/>
    <w:rsid w:val="00781507"/>
    <w:rsid w:val="00781ABE"/>
    <w:rsid w:val="007836C9"/>
    <w:rsid w:val="00785C0A"/>
    <w:rsid w:val="007864D7"/>
    <w:rsid w:val="00791159"/>
    <w:rsid w:val="00791934"/>
    <w:rsid w:val="0079516C"/>
    <w:rsid w:val="00797750"/>
    <w:rsid w:val="007A196A"/>
    <w:rsid w:val="007A25EF"/>
    <w:rsid w:val="007A294B"/>
    <w:rsid w:val="007B3F0C"/>
    <w:rsid w:val="007B3F75"/>
    <w:rsid w:val="007B6DA5"/>
    <w:rsid w:val="007B732F"/>
    <w:rsid w:val="007C0895"/>
    <w:rsid w:val="007C1124"/>
    <w:rsid w:val="007C1383"/>
    <w:rsid w:val="007C1FED"/>
    <w:rsid w:val="007C31C0"/>
    <w:rsid w:val="007C3714"/>
    <w:rsid w:val="007C48B8"/>
    <w:rsid w:val="007C5ABA"/>
    <w:rsid w:val="007D050F"/>
    <w:rsid w:val="007D21B0"/>
    <w:rsid w:val="007D24DD"/>
    <w:rsid w:val="007D3CB1"/>
    <w:rsid w:val="007D45A7"/>
    <w:rsid w:val="007D6D18"/>
    <w:rsid w:val="007D72D3"/>
    <w:rsid w:val="007E5890"/>
    <w:rsid w:val="007F1C25"/>
    <w:rsid w:val="007F3188"/>
    <w:rsid w:val="007F3E56"/>
    <w:rsid w:val="007F41A7"/>
    <w:rsid w:val="007F626E"/>
    <w:rsid w:val="007F63EE"/>
    <w:rsid w:val="007F6D9D"/>
    <w:rsid w:val="007F79E9"/>
    <w:rsid w:val="007F7E37"/>
    <w:rsid w:val="00801928"/>
    <w:rsid w:val="00801FC4"/>
    <w:rsid w:val="00802723"/>
    <w:rsid w:val="00802A21"/>
    <w:rsid w:val="008030F0"/>
    <w:rsid w:val="008041E8"/>
    <w:rsid w:val="00806D9B"/>
    <w:rsid w:val="00810B21"/>
    <w:rsid w:val="0081277D"/>
    <w:rsid w:val="00814014"/>
    <w:rsid w:val="008144BF"/>
    <w:rsid w:val="00815C7B"/>
    <w:rsid w:val="00816A3A"/>
    <w:rsid w:val="00817FDB"/>
    <w:rsid w:val="00820BF3"/>
    <w:rsid w:val="00821774"/>
    <w:rsid w:val="008219F7"/>
    <w:rsid w:val="00827143"/>
    <w:rsid w:val="00827B66"/>
    <w:rsid w:val="00827F6B"/>
    <w:rsid w:val="00830F70"/>
    <w:rsid w:val="00832EEC"/>
    <w:rsid w:val="00833768"/>
    <w:rsid w:val="00835BF5"/>
    <w:rsid w:val="008364C2"/>
    <w:rsid w:val="00843EAB"/>
    <w:rsid w:val="008441E4"/>
    <w:rsid w:val="0084442E"/>
    <w:rsid w:val="00845552"/>
    <w:rsid w:val="00847218"/>
    <w:rsid w:val="00850D24"/>
    <w:rsid w:val="00852233"/>
    <w:rsid w:val="00861300"/>
    <w:rsid w:val="00862348"/>
    <w:rsid w:val="00862913"/>
    <w:rsid w:val="00862D43"/>
    <w:rsid w:val="00863138"/>
    <w:rsid w:val="00863E09"/>
    <w:rsid w:val="0086480A"/>
    <w:rsid w:val="00865A89"/>
    <w:rsid w:val="0087020A"/>
    <w:rsid w:val="008725A7"/>
    <w:rsid w:val="00872D36"/>
    <w:rsid w:val="00872DBC"/>
    <w:rsid w:val="00873E1E"/>
    <w:rsid w:val="00874A3A"/>
    <w:rsid w:val="00875DC5"/>
    <w:rsid w:val="00876041"/>
    <w:rsid w:val="00877518"/>
    <w:rsid w:val="00880645"/>
    <w:rsid w:val="00880C2C"/>
    <w:rsid w:val="00880D52"/>
    <w:rsid w:val="00883BAD"/>
    <w:rsid w:val="00885A85"/>
    <w:rsid w:val="00886B49"/>
    <w:rsid w:val="00886EA3"/>
    <w:rsid w:val="00887DFA"/>
    <w:rsid w:val="008907B5"/>
    <w:rsid w:val="00891535"/>
    <w:rsid w:val="00891902"/>
    <w:rsid w:val="0089246F"/>
    <w:rsid w:val="00892800"/>
    <w:rsid w:val="0089307F"/>
    <w:rsid w:val="0089324E"/>
    <w:rsid w:val="00895994"/>
    <w:rsid w:val="008966B7"/>
    <w:rsid w:val="00896C4D"/>
    <w:rsid w:val="008A01C7"/>
    <w:rsid w:val="008A0C04"/>
    <w:rsid w:val="008A2560"/>
    <w:rsid w:val="008A4F3B"/>
    <w:rsid w:val="008A5126"/>
    <w:rsid w:val="008A66AC"/>
    <w:rsid w:val="008B0B14"/>
    <w:rsid w:val="008B134A"/>
    <w:rsid w:val="008B1B48"/>
    <w:rsid w:val="008B32F6"/>
    <w:rsid w:val="008B3BC4"/>
    <w:rsid w:val="008B3FB6"/>
    <w:rsid w:val="008B5DEC"/>
    <w:rsid w:val="008B6D40"/>
    <w:rsid w:val="008B7299"/>
    <w:rsid w:val="008C044F"/>
    <w:rsid w:val="008C0B33"/>
    <w:rsid w:val="008C100A"/>
    <w:rsid w:val="008C2D08"/>
    <w:rsid w:val="008C4638"/>
    <w:rsid w:val="008C468D"/>
    <w:rsid w:val="008C72B6"/>
    <w:rsid w:val="008C7F35"/>
    <w:rsid w:val="008D01C5"/>
    <w:rsid w:val="008D08F5"/>
    <w:rsid w:val="008D2BF3"/>
    <w:rsid w:val="008D5E9E"/>
    <w:rsid w:val="008D61BC"/>
    <w:rsid w:val="008D75BB"/>
    <w:rsid w:val="008E0380"/>
    <w:rsid w:val="008E2D0E"/>
    <w:rsid w:val="008E3209"/>
    <w:rsid w:val="008E413B"/>
    <w:rsid w:val="008E6EBC"/>
    <w:rsid w:val="008F489B"/>
    <w:rsid w:val="008F499F"/>
    <w:rsid w:val="008F4F52"/>
    <w:rsid w:val="008F51E2"/>
    <w:rsid w:val="008F5B8F"/>
    <w:rsid w:val="008F644C"/>
    <w:rsid w:val="008F7222"/>
    <w:rsid w:val="008F73EC"/>
    <w:rsid w:val="008F7D97"/>
    <w:rsid w:val="008F7DFE"/>
    <w:rsid w:val="00902321"/>
    <w:rsid w:val="00902F8F"/>
    <w:rsid w:val="00904A42"/>
    <w:rsid w:val="00907076"/>
    <w:rsid w:val="00910EA0"/>
    <w:rsid w:val="00912F2B"/>
    <w:rsid w:val="00913D05"/>
    <w:rsid w:val="0091414C"/>
    <w:rsid w:val="00914B20"/>
    <w:rsid w:val="00914BE7"/>
    <w:rsid w:val="009178A6"/>
    <w:rsid w:val="00917C1E"/>
    <w:rsid w:val="00917FB4"/>
    <w:rsid w:val="009210FA"/>
    <w:rsid w:val="00921BFC"/>
    <w:rsid w:val="00922766"/>
    <w:rsid w:val="00923012"/>
    <w:rsid w:val="00923501"/>
    <w:rsid w:val="00926F06"/>
    <w:rsid w:val="00927AB7"/>
    <w:rsid w:val="009303EC"/>
    <w:rsid w:val="009306DA"/>
    <w:rsid w:val="00931FDE"/>
    <w:rsid w:val="009328A8"/>
    <w:rsid w:val="0093528A"/>
    <w:rsid w:val="00936267"/>
    <w:rsid w:val="009374DA"/>
    <w:rsid w:val="00937BA0"/>
    <w:rsid w:val="00937E5A"/>
    <w:rsid w:val="00940072"/>
    <w:rsid w:val="00940CF1"/>
    <w:rsid w:val="00943458"/>
    <w:rsid w:val="009436EA"/>
    <w:rsid w:val="00943A5C"/>
    <w:rsid w:val="0094405F"/>
    <w:rsid w:val="00944249"/>
    <w:rsid w:val="009455B4"/>
    <w:rsid w:val="009470FB"/>
    <w:rsid w:val="00952E9A"/>
    <w:rsid w:val="00954B96"/>
    <w:rsid w:val="0095669C"/>
    <w:rsid w:val="0095783C"/>
    <w:rsid w:val="00961751"/>
    <w:rsid w:val="009636A9"/>
    <w:rsid w:val="0096405B"/>
    <w:rsid w:val="00964CB2"/>
    <w:rsid w:val="00964E1C"/>
    <w:rsid w:val="00965D07"/>
    <w:rsid w:val="00965D33"/>
    <w:rsid w:val="00966EF1"/>
    <w:rsid w:val="00967882"/>
    <w:rsid w:val="0096794D"/>
    <w:rsid w:val="00967DC1"/>
    <w:rsid w:val="00970B31"/>
    <w:rsid w:val="009715EF"/>
    <w:rsid w:val="009733BE"/>
    <w:rsid w:val="00975060"/>
    <w:rsid w:val="009755FA"/>
    <w:rsid w:val="009824B0"/>
    <w:rsid w:val="00982DA0"/>
    <w:rsid w:val="00983222"/>
    <w:rsid w:val="00983DAD"/>
    <w:rsid w:val="00984980"/>
    <w:rsid w:val="00985BD5"/>
    <w:rsid w:val="00985D2D"/>
    <w:rsid w:val="009864A9"/>
    <w:rsid w:val="0098656F"/>
    <w:rsid w:val="00990834"/>
    <w:rsid w:val="009908BA"/>
    <w:rsid w:val="009928DA"/>
    <w:rsid w:val="00992BB0"/>
    <w:rsid w:val="009938D0"/>
    <w:rsid w:val="00995CC4"/>
    <w:rsid w:val="0099610A"/>
    <w:rsid w:val="00996BC0"/>
    <w:rsid w:val="009A0565"/>
    <w:rsid w:val="009A15EA"/>
    <w:rsid w:val="009A27C5"/>
    <w:rsid w:val="009A3164"/>
    <w:rsid w:val="009A4BE1"/>
    <w:rsid w:val="009A768D"/>
    <w:rsid w:val="009A7F27"/>
    <w:rsid w:val="009B1812"/>
    <w:rsid w:val="009B1C94"/>
    <w:rsid w:val="009B4F95"/>
    <w:rsid w:val="009B5055"/>
    <w:rsid w:val="009B54B9"/>
    <w:rsid w:val="009B7DF7"/>
    <w:rsid w:val="009C09E4"/>
    <w:rsid w:val="009C0F8B"/>
    <w:rsid w:val="009C7765"/>
    <w:rsid w:val="009C7D28"/>
    <w:rsid w:val="009D2759"/>
    <w:rsid w:val="009D28E3"/>
    <w:rsid w:val="009D3663"/>
    <w:rsid w:val="009D4ED9"/>
    <w:rsid w:val="009D500A"/>
    <w:rsid w:val="009D614A"/>
    <w:rsid w:val="009D6F8C"/>
    <w:rsid w:val="009D750F"/>
    <w:rsid w:val="009E0D84"/>
    <w:rsid w:val="009E282B"/>
    <w:rsid w:val="009E2EED"/>
    <w:rsid w:val="009E42F9"/>
    <w:rsid w:val="009E493A"/>
    <w:rsid w:val="009E5351"/>
    <w:rsid w:val="009E6358"/>
    <w:rsid w:val="009E7F9E"/>
    <w:rsid w:val="009F038F"/>
    <w:rsid w:val="009F066C"/>
    <w:rsid w:val="009F185E"/>
    <w:rsid w:val="009F1F76"/>
    <w:rsid w:val="009F269D"/>
    <w:rsid w:val="009F2D80"/>
    <w:rsid w:val="009F4F0D"/>
    <w:rsid w:val="009F7DF3"/>
    <w:rsid w:val="00A00F87"/>
    <w:rsid w:val="00A00F93"/>
    <w:rsid w:val="00A023CA"/>
    <w:rsid w:val="00A02467"/>
    <w:rsid w:val="00A03D89"/>
    <w:rsid w:val="00A04D12"/>
    <w:rsid w:val="00A065EA"/>
    <w:rsid w:val="00A06C3E"/>
    <w:rsid w:val="00A10636"/>
    <w:rsid w:val="00A10E37"/>
    <w:rsid w:val="00A11896"/>
    <w:rsid w:val="00A12E3B"/>
    <w:rsid w:val="00A15BC6"/>
    <w:rsid w:val="00A163B5"/>
    <w:rsid w:val="00A20CD5"/>
    <w:rsid w:val="00A219B2"/>
    <w:rsid w:val="00A21C3F"/>
    <w:rsid w:val="00A2303A"/>
    <w:rsid w:val="00A248D1"/>
    <w:rsid w:val="00A24E6E"/>
    <w:rsid w:val="00A25B12"/>
    <w:rsid w:val="00A275D2"/>
    <w:rsid w:val="00A27D50"/>
    <w:rsid w:val="00A307DD"/>
    <w:rsid w:val="00A31DDE"/>
    <w:rsid w:val="00A3507B"/>
    <w:rsid w:val="00A37517"/>
    <w:rsid w:val="00A37624"/>
    <w:rsid w:val="00A3762D"/>
    <w:rsid w:val="00A407B6"/>
    <w:rsid w:val="00A41BC5"/>
    <w:rsid w:val="00A42929"/>
    <w:rsid w:val="00A43083"/>
    <w:rsid w:val="00A442B8"/>
    <w:rsid w:val="00A468C1"/>
    <w:rsid w:val="00A47FB8"/>
    <w:rsid w:val="00A523FE"/>
    <w:rsid w:val="00A525FE"/>
    <w:rsid w:val="00A528E9"/>
    <w:rsid w:val="00A536B2"/>
    <w:rsid w:val="00A53EE5"/>
    <w:rsid w:val="00A54301"/>
    <w:rsid w:val="00A57C3F"/>
    <w:rsid w:val="00A60CC2"/>
    <w:rsid w:val="00A61805"/>
    <w:rsid w:val="00A61E5C"/>
    <w:rsid w:val="00A64C1E"/>
    <w:rsid w:val="00A66DDD"/>
    <w:rsid w:val="00A676D7"/>
    <w:rsid w:val="00A67C90"/>
    <w:rsid w:val="00A7003F"/>
    <w:rsid w:val="00A705D2"/>
    <w:rsid w:val="00A729CB"/>
    <w:rsid w:val="00A75944"/>
    <w:rsid w:val="00A822B8"/>
    <w:rsid w:val="00A84B6B"/>
    <w:rsid w:val="00A901B3"/>
    <w:rsid w:val="00A908A8"/>
    <w:rsid w:val="00A90A4B"/>
    <w:rsid w:val="00A91316"/>
    <w:rsid w:val="00A92D14"/>
    <w:rsid w:val="00A930B3"/>
    <w:rsid w:val="00A93E19"/>
    <w:rsid w:val="00A9510F"/>
    <w:rsid w:val="00A96B78"/>
    <w:rsid w:val="00AA2694"/>
    <w:rsid w:val="00AA415B"/>
    <w:rsid w:val="00AA4552"/>
    <w:rsid w:val="00AA5C52"/>
    <w:rsid w:val="00AA679C"/>
    <w:rsid w:val="00AB0731"/>
    <w:rsid w:val="00AB1663"/>
    <w:rsid w:val="00AB4505"/>
    <w:rsid w:val="00AB550D"/>
    <w:rsid w:val="00AB6072"/>
    <w:rsid w:val="00AC0904"/>
    <w:rsid w:val="00AC28BC"/>
    <w:rsid w:val="00AC2FB0"/>
    <w:rsid w:val="00AC48C4"/>
    <w:rsid w:val="00AC5864"/>
    <w:rsid w:val="00AC5D4F"/>
    <w:rsid w:val="00AC715E"/>
    <w:rsid w:val="00AD1AC0"/>
    <w:rsid w:val="00AD304E"/>
    <w:rsid w:val="00AD39B1"/>
    <w:rsid w:val="00AD40D0"/>
    <w:rsid w:val="00AD4583"/>
    <w:rsid w:val="00AD5216"/>
    <w:rsid w:val="00AD6354"/>
    <w:rsid w:val="00AE0801"/>
    <w:rsid w:val="00AE1389"/>
    <w:rsid w:val="00AE26A8"/>
    <w:rsid w:val="00AE4551"/>
    <w:rsid w:val="00AE4812"/>
    <w:rsid w:val="00AE57C7"/>
    <w:rsid w:val="00AF01E1"/>
    <w:rsid w:val="00AF146D"/>
    <w:rsid w:val="00AF18C1"/>
    <w:rsid w:val="00AF29C6"/>
    <w:rsid w:val="00AF2F47"/>
    <w:rsid w:val="00AF34B1"/>
    <w:rsid w:val="00AF547E"/>
    <w:rsid w:val="00AF6159"/>
    <w:rsid w:val="00AF6971"/>
    <w:rsid w:val="00AF7C72"/>
    <w:rsid w:val="00B01171"/>
    <w:rsid w:val="00B01DFC"/>
    <w:rsid w:val="00B04E90"/>
    <w:rsid w:val="00B06876"/>
    <w:rsid w:val="00B069E1"/>
    <w:rsid w:val="00B06D52"/>
    <w:rsid w:val="00B06F27"/>
    <w:rsid w:val="00B0722E"/>
    <w:rsid w:val="00B1009C"/>
    <w:rsid w:val="00B11429"/>
    <w:rsid w:val="00B14B9C"/>
    <w:rsid w:val="00B155E2"/>
    <w:rsid w:val="00B16B10"/>
    <w:rsid w:val="00B1701C"/>
    <w:rsid w:val="00B20A90"/>
    <w:rsid w:val="00B20EFC"/>
    <w:rsid w:val="00B22A37"/>
    <w:rsid w:val="00B23DE2"/>
    <w:rsid w:val="00B249F9"/>
    <w:rsid w:val="00B24FDF"/>
    <w:rsid w:val="00B26B04"/>
    <w:rsid w:val="00B27230"/>
    <w:rsid w:val="00B27F30"/>
    <w:rsid w:val="00B3268D"/>
    <w:rsid w:val="00B32A0B"/>
    <w:rsid w:val="00B34544"/>
    <w:rsid w:val="00B34AFF"/>
    <w:rsid w:val="00B34DA8"/>
    <w:rsid w:val="00B4076D"/>
    <w:rsid w:val="00B41659"/>
    <w:rsid w:val="00B424D0"/>
    <w:rsid w:val="00B44FCC"/>
    <w:rsid w:val="00B4537B"/>
    <w:rsid w:val="00B479C6"/>
    <w:rsid w:val="00B50799"/>
    <w:rsid w:val="00B50D1C"/>
    <w:rsid w:val="00B5371E"/>
    <w:rsid w:val="00B568EE"/>
    <w:rsid w:val="00B56F4C"/>
    <w:rsid w:val="00B62002"/>
    <w:rsid w:val="00B6448A"/>
    <w:rsid w:val="00B64578"/>
    <w:rsid w:val="00B65773"/>
    <w:rsid w:val="00B67CB7"/>
    <w:rsid w:val="00B70006"/>
    <w:rsid w:val="00B703A6"/>
    <w:rsid w:val="00B717D9"/>
    <w:rsid w:val="00B72D8D"/>
    <w:rsid w:val="00B7432A"/>
    <w:rsid w:val="00B75CE4"/>
    <w:rsid w:val="00B82552"/>
    <w:rsid w:val="00B847BC"/>
    <w:rsid w:val="00B87D2A"/>
    <w:rsid w:val="00B90642"/>
    <w:rsid w:val="00B9095A"/>
    <w:rsid w:val="00B91BCA"/>
    <w:rsid w:val="00B91DF7"/>
    <w:rsid w:val="00B92730"/>
    <w:rsid w:val="00B93231"/>
    <w:rsid w:val="00B93373"/>
    <w:rsid w:val="00BA00F1"/>
    <w:rsid w:val="00BA19BA"/>
    <w:rsid w:val="00BA22CD"/>
    <w:rsid w:val="00BA26AC"/>
    <w:rsid w:val="00BA4CC2"/>
    <w:rsid w:val="00BA57A4"/>
    <w:rsid w:val="00BA5C3D"/>
    <w:rsid w:val="00BB06BE"/>
    <w:rsid w:val="00BB163F"/>
    <w:rsid w:val="00BB28F5"/>
    <w:rsid w:val="00BB54AE"/>
    <w:rsid w:val="00BB5CCC"/>
    <w:rsid w:val="00BB6214"/>
    <w:rsid w:val="00BB674D"/>
    <w:rsid w:val="00BB6FAD"/>
    <w:rsid w:val="00BB70AE"/>
    <w:rsid w:val="00BB7148"/>
    <w:rsid w:val="00BB7A84"/>
    <w:rsid w:val="00BB7C5A"/>
    <w:rsid w:val="00BC0580"/>
    <w:rsid w:val="00BC2936"/>
    <w:rsid w:val="00BC2D2F"/>
    <w:rsid w:val="00BC3058"/>
    <w:rsid w:val="00BC4BC5"/>
    <w:rsid w:val="00BC618C"/>
    <w:rsid w:val="00BC668D"/>
    <w:rsid w:val="00BD0880"/>
    <w:rsid w:val="00BD41A3"/>
    <w:rsid w:val="00BD47E4"/>
    <w:rsid w:val="00BD6E58"/>
    <w:rsid w:val="00BE011D"/>
    <w:rsid w:val="00BE1CE7"/>
    <w:rsid w:val="00BE4909"/>
    <w:rsid w:val="00BE62F1"/>
    <w:rsid w:val="00BE6845"/>
    <w:rsid w:val="00BF02ED"/>
    <w:rsid w:val="00BF150C"/>
    <w:rsid w:val="00BF1EC8"/>
    <w:rsid w:val="00BF314E"/>
    <w:rsid w:val="00BF3507"/>
    <w:rsid w:val="00BF3723"/>
    <w:rsid w:val="00BF45E3"/>
    <w:rsid w:val="00BF4615"/>
    <w:rsid w:val="00BF47EA"/>
    <w:rsid w:val="00BF6183"/>
    <w:rsid w:val="00BF700F"/>
    <w:rsid w:val="00C02FDF"/>
    <w:rsid w:val="00C05D13"/>
    <w:rsid w:val="00C06A5E"/>
    <w:rsid w:val="00C07810"/>
    <w:rsid w:val="00C07DF7"/>
    <w:rsid w:val="00C110CF"/>
    <w:rsid w:val="00C1247A"/>
    <w:rsid w:val="00C128BA"/>
    <w:rsid w:val="00C12B4F"/>
    <w:rsid w:val="00C135B6"/>
    <w:rsid w:val="00C13671"/>
    <w:rsid w:val="00C13C97"/>
    <w:rsid w:val="00C14851"/>
    <w:rsid w:val="00C1499B"/>
    <w:rsid w:val="00C14CEA"/>
    <w:rsid w:val="00C1588A"/>
    <w:rsid w:val="00C163FC"/>
    <w:rsid w:val="00C16FED"/>
    <w:rsid w:val="00C21B3A"/>
    <w:rsid w:val="00C22576"/>
    <w:rsid w:val="00C2315C"/>
    <w:rsid w:val="00C240F4"/>
    <w:rsid w:val="00C24558"/>
    <w:rsid w:val="00C245ED"/>
    <w:rsid w:val="00C2619E"/>
    <w:rsid w:val="00C30F01"/>
    <w:rsid w:val="00C30FAA"/>
    <w:rsid w:val="00C310AB"/>
    <w:rsid w:val="00C33951"/>
    <w:rsid w:val="00C35D3B"/>
    <w:rsid w:val="00C4054B"/>
    <w:rsid w:val="00C41365"/>
    <w:rsid w:val="00C4455F"/>
    <w:rsid w:val="00C44DAC"/>
    <w:rsid w:val="00C466ED"/>
    <w:rsid w:val="00C47BA5"/>
    <w:rsid w:val="00C51480"/>
    <w:rsid w:val="00C51981"/>
    <w:rsid w:val="00C52068"/>
    <w:rsid w:val="00C522D0"/>
    <w:rsid w:val="00C53D0A"/>
    <w:rsid w:val="00C56227"/>
    <w:rsid w:val="00C576BB"/>
    <w:rsid w:val="00C64E40"/>
    <w:rsid w:val="00C655F9"/>
    <w:rsid w:val="00C67B1C"/>
    <w:rsid w:val="00C70B7D"/>
    <w:rsid w:val="00C71F13"/>
    <w:rsid w:val="00C74990"/>
    <w:rsid w:val="00C755C2"/>
    <w:rsid w:val="00C76323"/>
    <w:rsid w:val="00C7768B"/>
    <w:rsid w:val="00C77D8A"/>
    <w:rsid w:val="00C83AA7"/>
    <w:rsid w:val="00C843FB"/>
    <w:rsid w:val="00C84AA3"/>
    <w:rsid w:val="00C84FB0"/>
    <w:rsid w:val="00C919FC"/>
    <w:rsid w:val="00C948C2"/>
    <w:rsid w:val="00C958B5"/>
    <w:rsid w:val="00CA0315"/>
    <w:rsid w:val="00CA19E3"/>
    <w:rsid w:val="00CA36F9"/>
    <w:rsid w:val="00CA3F1A"/>
    <w:rsid w:val="00CA4173"/>
    <w:rsid w:val="00CA4B87"/>
    <w:rsid w:val="00CA4FDC"/>
    <w:rsid w:val="00CA53F1"/>
    <w:rsid w:val="00CA5F9D"/>
    <w:rsid w:val="00CA6032"/>
    <w:rsid w:val="00CA6C52"/>
    <w:rsid w:val="00CB0AFF"/>
    <w:rsid w:val="00CB1770"/>
    <w:rsid w:val="00CB2D84"/>
    <w:rsid w:val="00CB6A1D"/>
    <w:rsid w:val="00CC11C4"/>
    <w:rsid w:val="00CC19CF"/>
    <w:rsid w:val="00CC1D01"/>
    <w:rsid w:val="00CC253A"/>
    <w:rsid w:val="00CC3BB3"/>
    <w:rsid w:val="00CC4DD4"/>
    <w:rsid w:val="00CC4DED"/>
    <w:rsid w:val="00CC78BB"/>
    <w:rsid w:val="00CD2DA3"/>
    <w:rsid w:val="00CD4654"/>
    <w:rsid w:val="00CD6CDB"/>
    <w:rsid w:val="00CE00BF"/>
    <w:rsid w:val="00CE12C1"/>
    <w:rsid w:val="00CE22DA"/>
    <w:rsid w:val="00CE3138"/>
    <w:rsid w:val="00CE6BBD"/>
    <w:rsid w:val="00CF1554"/>
    <w:rsid w:val="00CF176D"/>
    <w:rsid w:val="00CF39DE"/>
    <w:rsid w:val="00CF4E4F"/>
    <w:rsid w:val="00D01E68"/>
    <w:rsid w:val="00D024A3"/>
    <w:rsid w:val="00D02874"/>
    <w:rsid w:val="00D02A08"/>
    <w:rsid w:val="00D031CC"/>
    <w:rsid w:val="00D04A2A"/>
    <w:rsid w:val="00D06401"/>
    <w:rsid w:val="00D06F60"/>
    <w:rsid w:val="00D07EC6"/>
    <w:rsid w:val="00D1073A"/>
    <w:rsid w:val="00D10941"/>
    <w:rsid w:val="00D1359D"/>
    <w:rsid w:val="00D179CB"/>
    <w:rsid w:val="00D25C8B"/>
    <w:rsid w:val="00D26C1D"/>
    <w:rsid w:val="00D27170"/>
    <w:rsid w:val="00D32097"/>
    <w:rsid w:val="00D32C0C"/>
    <w:rsid w:val="00D33089"/>
    <w:rsid w:val="00D330C2"/>
    <w:rsid w:val="00D35313"/>
    <w:rsid w:val="00D35E91"/>
    <w:rsid w:val="00D366D3"/>
    <w:rsid w:val="00D370EF"/>
    <w:rsid w:val="00D41830"/>
    <w:rsid w:val="00D420DA"/>
    <w:rsid w:val="00D4244C"/>
    <w:rsid w:val="00D4482B"/>
    <w:rsid w:val="00D4634F"/>
    <w:rsid w:val="00D4649B"/>
    <w:rsid w:val="00D46A99"/>
    <w:rsid w:val="00D50289"/>
    <w:rsid w:val="00D502DF"/>
    <w:rsid w:val="00D50355"/>
    <w:rsid w:val="00D50991"/>
    <w:rsid w:val="00D54F4C"/>
    <w:rsid w:val="00D61731"/>
    <w:rsid w:val="00D62FB1"/>
    <w:rsid w:val="00D63289"/>
    <w:rsid w:val="00D6386B"/>
    <w:rsid w:val="00D63A65"/>
    <w:rsid w:val="00D64B1C"/>
    <w:rsid w:val="00D65F11"/>
    <w:rsid w:val="00D66BEF"/>
    <w:rsid w:val="00D66E0A"/>
    <w:rsid w:val="00D66F5B"/>
    <w:rsid w:val="00D7026D"/>
    <w:rsid w:val="00D71C30"/>
    <w:rsid w:val="00D73CDA"/>
    <w:rsid w:val="00D756AA"/>
    <w:rsid w:val="00D77C2D"/>
    <w:rsid w:val="00D81D88"/>
    <w:rsid w:val="00D8219D"/>
    <w:rsid w:val="00D825A8"/>
    <w:rsid w:val="00D82972"/>
    <w:rsid w:val="00D8513D"/>
    <w:rsid w:val="00D85781"/>
    <w:rsid w:val="00D879D3"/>
    <w:rsid w:val="00D90B34"/>
    <w:rsid w:val="00D91609"/>
    <w:rsid w:val="00D91C67"/>
    <w:rsid w:val="00D949F2"/>
    <w:rsid w:val="00D95270"/>
    <w:rsid w:val="00D95A49"/>
    <w:rsid w:val="00D9785E"/>
    <w:rsid w:val="00D97C18"/>
    <w:rsid w:val="00DA19F6"/>
    <w:rsid w:val="00DA2121"/>
    <w:rsid w:val="00DA2BAA"/>
    <w:rsid w:val="00DA2F10"/>
    <w:rsid w:val="00DA31EC"/>
    <w:rsid w:val="00DA795E"/>
    <w:rsid w:val="00DA7C01"/>
    <w:rsid w:val="00DB10CA"/>
    <w:rsid w:val="00DB2349"/>
    <w:rsid w:val="00DB2409"/>
    <w:rsid w:val="00DB3B8E"/>
    <w:rsid w:val="00DB4103"/>
    <w:rsid w:val="00DB443D"/>
    <w:rsid w:val="00DB4916"/>
    <w:rsid w:val="00DB4EEE"/>
    <w:rsid w:val="00DC1E5E"/>
    <w:rsid w:val="00DC40FB"/>
    <w:rsid w:val="00DC5D82"/>
    <w:rsid w:val="00DD285D"/>
    <w:rsid w:val="00DD4BB1"/>
    <w:rsid w:val="00DD582D"/>
    <w:rsid w:val="00DD6384"/>
    <w:rsid w:val="00DD779B"/>
    <w:rsid w:val="00DE1100"/>
    <w:rsid w:val="00DE41DA"/>
    <w:rsid w:val="00DE4C70"/>
    <w:rsid w:val="00DE516F"/>
    <w:rsid w:val="00DE553E"/>
    <w:rsid w:val="00DE6326"/>
    <w:rsid w:val="00DE704E"/>
    <w:rsid w:val="00DE72B2"/>
    <w:rsid w:val="00DE7D72"/>
    <w:rsid w:val="00DF05BA"/>
    <w:rsid w:val="00DF06F1"/>
    <w:rsid w:val="00DF2072"/>
    <w:rsid w:val="00DF3162"/>
    <w:rsid w:val="00DF4B93"/>
    <w:rsid w:val="00DF54EC"/>
    <w:rsid w:val="00DF563A"/>
    <w:rsid w:val="00DF57A2"/>
    <w:rsid w:val="00DF6CB9"/>
    <w:rsid w:val="00E00598"/>
    <w:rsid w:val="00E00A1F"/>
    <w:rsid w:val="00E04828"/>
    <w:rsid w:val="00E05138"/>
    <w:rsid w:val="00E06085"/>
    <w:rsid w:val="00E07F13"/>
    <w:rsid w:val="00E10C23"/>
    <w:rsid w:val="00E12CBE"/>
    <w:rsid w:val="00E12F48"/>
    <w:rsid w:val="00E14589"/>
    <w:rsid w:val="00E1504F"/>
    <w:rsid w:val="00E1565A"/>
    <w:rsid w:val="00E15853"/>
    <w:rsid w:val="00E169DC"/>
    <w:rsid w:val="00E17A1F"/>
    <w:rsid w:val="00E17C70"/>
    <w:rsid w:val="00E20141"/>
    <w:rsid w:val="00E2064E"/>
    <w:rsid w:val="00E20EA7"/>
    <w:rsid w:val="00E21BB1"/>
    <w:rsid w:val="00E23640"/>
    <w:rsid w:val="00E25E48"/>
    <w:rsid w:val="00E26C6A"/>
    <w:rsid w:val="00E31B9F"/>
    <w:rsid w:val="00E32C81"/>
    <w:rsid w:val="00E3476B"/>
    <w:rsid w:val="00E34992"/>
    <w:rsid w:val="00E34F15"/>
    <w:rsid w:val="00E3719A"/>
    <w:rsid w:val="00E4297C"/>
    <w:rsid w:val="00E43371"/>
    <w:rsid w:val="00E4351C"/>
    <w:rsid w:val="00E46EAE"/>
    <w:rsid w:val="00E47233"/>
    <w:rsid w:val="00E509F9"/>
    <w:rsid w:val="00E531C6"/>
    <w:rsid w:val="00E55EEF"/>
    <w:rsid w:val="00E56639"/>
    <w:rsid w:val="00E61628"/>
    <w:rsid w:val="00E631C0"/>
    <w:rsid w:val="00E636F3"/>
    <w:rsid w:val="00E65FB3"/>
    <w:rsid w:val="00E6677A"/>
    <w:rsid w:val="00E66884"/>
    <w:rsid w:val="00E675E5"/>
    <w:rsid w:val="00E6778C"/>
    <w:rsid w:val="00E70299"/>
    <w:rsid w:val="00E70F2F"/>
    <w:rsid w:val="00E7183C"/>
    <w:rsid w:val="00E7288B"/>
    <w:rsid w:val="00E73F70"/>
    <w:rsid w:val="00E76991"/>
    <w:rsid w:val="00E76CF7"/>
    <w:rsid w:val="00E801B1"/>
    <w:rsid w:val="00E805C4"/>
    <w:rsid w:val="00E8197B"/>
    <w:rsid w:val="00E83105"/>
    <w:rsid w:val="00E85D3B"/>
    <w:rsid w:val="00E87ADE"/>
    <w:rsid w:val="00E90FED"/>
    <w:rsid w:val="00E9230C"/>
    <w:rsid w:val="00E95F06"/>
    <w:rsid w:val="00E971DA"/>
    <w:rsid w:val="00EA096A"/>
    <w:rsid w:val="00EA0E26"/>
    <w:rsid w:val="00EA1449"/>
    <w:rsid w:val="00EA1636"/>
    <w:rsid w:val="00EA220B"/>
    <w:rsid w:val="00EA6092"/>
    <w:rsid w:val="00EA7517"/>
    <w:rsid w:val="00EA7BC9"/>
    <w:rsid w:val="00EB103B"/>
    <w:rsid w:val="00EB287E"/>
    <w:rsid w:val="00EB553B"/>
    <w:rsid w:val="00EB5BFE"/>
    <w:rsid w:val="00EB7491"/>
    <w:rsid w:val="00EC25B9"/>
    <w:rsid w:val="00EC4122"/>
    <w:rsid w:val="00EC61CE"/>
    <w:rsid w:val="00EC7ECD"/>
    <w:rsid w:val="00ED18AC"/>
    <w:rsid w:val="00ED298B"/>
    <w:rsid w:val="00ED5833"/>
    <w:rsid w:val="00ED59A7"/>
    <w:rsid w:val="00ED670D"/>
    <w:rsid w:val="00EE0C22"/>
    <w:rsid w:val="00EE7D80"/>
    <w:rsid w:val="00EF024D"/>
    <w:rsid w:val="00EF0400"/>
    <w:rsid w:val="00EF0960"/>
    <w:rsid w:val="00EF2BD1"/>
    <w:rsid w:val="00EF2BEE"/>
    <w:rsid w:val="00EF488E"/>
    <w:rsid w:val="00EF4F43"/>
    <w:rsid w:val="00EF5EB5"/>
    <w:rsid w:val="00EF5FCA"/>
    <w:rsid w:val="00EF605C"/>
    <w:rsid w:val="00EF7EEC"/>
    <w:rsid w:val="00F00AD9"/>
    <w:rsid w:val="00F04722"/>
    <w:rsid w:val="00F05F22"/>
    <w:rsid w:val="00F06418"/>
    <w:rsid w:val="00F072E6"/>
    <w:rsid w:val="00F07C47"/>
    <w:rsid w:val="00F11779"/>
    <w:rsid w:val="00F140BD"/>
    <w:rsid w:val="00F15112"/>
    <w:rsid w:val="00F23168"/>
    <w:rsid w:val="00F245B7"/>
    <w:rsid w:val="00F2575A"/>
    <w:rsid w:val="00F26A21"/>
    <w:rsid w:val="00F30ABF"/>
    <w:rsid w:val="00F30DCE"/>
    <w:rsid w:val="00F31A10"/>
    <w:rsid w:val="00F32776"/>
    <w:rsid w:val="00F32D0E"/>
    <w:rsid w:val="00F343EB"/>
    <w:rsid w:val="00F35E25"/>
    <w:rsid w:val="00F364D0"/>
    <w:rsid w:val="00F36871"/>
    <w:rsid w:val="00F40477"/>
    <w:rsid w:val="00F44260"/>
    <w:rsid w:val="00F449B9"/>
    <w:rsid w:val="00F449BD"/>
    <w:rsid w:val="00F507A1"/>
    <w:rsid w:val="00F53FEA"/>
    <w:rsid w:val="00F55C2D"/>
    <w:rsid w:val="00F56FF4"/>
    <w:rsid w:val="00F61558"/>
    <w:rsid w:val="00F62592"/>
    <w:rsid w:val="00F67C5A"/>
    <w:rsid w:val="00F73460"/>
    <w:rsid w:val="00F73F5B"/>
    <w:rsid w:val="00F74ADE"/>
    <w:rsid w:val="00F75A0B"/>
    <w:rsid w:val="00F80D96"/>
    <w:rsid w:val="00F81BC8"/>
    <w:rsid w:val="00F81D39"/>
    <w:rsid w:val="00F84475"/>
    <w:rsid w:val="00F85698"/>
    <w:rsid w:val="00F85CFD"/>
    <w:rsid w:val="00F860CA"/>
    <w:rsid w:val="00F86A96"/>
    <w:rsid w:val="00F8753D"/>
    <w:rsid w:val="00F87816"/>
    <w:rsid w:val="00F9150F"/>
    <w:rsid w:val="00F91DE5"/>
    <w:rsid w:val="00F942E1"/>
    <w:rsid w:val="00F95689"/>
    <w:rsid w:val="00F956B3"/>
    <w:rsid w:val="00F95BCA"/>
    <w:rsid w:val="00F964A8"/>
    <w:rsid w:val="00F972CC"/>
    <w:rsid w:val="00F97F5E"/>
    <w:rsid w:val="00FA056A"/>
    <w:rsid w:val="00FA0573"/>
    <w:rsid w:val="00FA21AC"/>
    <w:rsid w:val="00FA31E9"/>
    <w:rsid w:val="00FA5904"/>
    <w:rsid w:val="00FA618E"/>
    <w:rsid w:val="00FA6954"/>
    <w:rsid w:val="00FB3003"/>
    <w:rsid w:val="00FB3077"/>
    <w:rsid w:val="00FB378E"/>
    <w:rsid w:val="00FB5396"/>
    <w:rsid w:val="00FB6B63"/>
    <w:rsid w:val="00FC1687"/>
    <w:rsid w:val="00FC2B18"/>
    <w:rsid w:val="00FD04E5"/>
    <w:rsid w:val="00FD2069"/>
    <w:rsid w:val="00FD3749"/>
    <w:rsid w:val="00FD3A95"/>
    <w:rsid w:val="00FD48D9"/>
    <w:rsid w:val="00FD570D"/>
    <w:rsid w:val="00FD5DD2"/>
    <w:rsid w:val="00FE1606"/>
    <w:rsid w:val="00FE49F6"/>
    <w:rsid w:val="00FE4FCC"/>
    <w:rsid w:val="00FE5911"/>
    <w:rsid w:val="00FE74DB"/>
    <w:rsid w:val="00FE7B3D"/>
    <w:rsid w:val="00FF0B24"/>
    <w:rsid w:val="00FF14B0"/>
    <w:rsid w:val="00FF2088"/>
    <w:rsid w:val="00FF2ECB"/>
    <w:rsid w:val="00FF33F6"/>
    <w:rsid w:val="00FF349E"/>
    <w:rsid w:val="00FF3CAB"/>
    <w:rsid w:val="00FF3F80"/>
    <w:rsid w:val="00FF45DF"/>
    <w:rsid w:val="010B1330"/>
    <w:rsid w:val="01461ACD"/>
    <w:rsid w:val="01757860"/>
    <w:rsid w:val="018D0205"/>
    <w:rsid w:val="01C12A88"/>
    <w:rsid w:val="01CC51AF"/>
    <w:rsid w:val="01D07706"/>
    <w:rsid w:val="0221271C"/>
    <w:rsid w:val="022D649C"/>
    <w:rsid w:val="02351774"/>
    <w:rsid w:val="023A6ECB"/>
    <w:rsid w:val="02420646"/>
    <w:rsid w:val="028223A8"/>
    <w:rsid w:val="02A9706C"/>
    <w:rsid w:val="02AF6599"/>
    <w:rsid w:val="02DE374B"/>
    <w:rsid w:val="03044359"/>
    <w:rsid w:val="031C67BA"/>
    <w:rsid w:val="03511571"/>
    <w:rsid w:val="035E37BC"/>
    <w:rsid w:val="03715197"/>
    <w:rsid w:val="03A25185"/>
    <w:rsid w:val="03A92E0C"/>
    <w:rsid w:val="03A93F07"/>
    <w:rsid w:val="03DD17F0"/>
    <w:rsid w:val="03F730D5"/>
    <w:rsid w:val="040E4213"/>
    <w:rsid w:val="04137380"/>
    <w:rsid w:val="04160294"/>
    <w:rsid w:val="0421064D"/>
    <w:rsid w:val="0424709F"/>
    <w:rsid w:val="04273734"/>
    <w:rsid w:val="042C6AE4"/>
    <w:rsid w:val="0439748C"/>
    <w:rsid w:val="045F4428"/>
    <w:rsid w:val="04663DEE"/>
    <w:rsid w:val="048B6224"/>
    <w:rsid w:val="049C3EF3"/>
    <w:rsid w:val="04BC1BA0"/>
    <w:rsid w:val="04CC4566"/>
    <w:rsid w:val="04FD23FC"/>
    <w:rsid w:val="05005426"/>
    <w:rsid w:val="055A38B5"/>
    <w:rsid w:val="059C5F8E"/>
    <w:rsid w:val="05AD5736"/>
    <w:rsid w:val="05CA2818"/>
    <w:rsid w:val="05CF4780"/>
    <w:rsid w:val="05FA06DD"/>
    <w:rsid w:val="06023A8F"/>
    <w:rsid w:val="0611621E"/>
    <w:rsid w:val="063F258E"/>
    <w:rsid w:val="065044F8"/>
    <w:rsid w:val="0653482B"/>
    <w:rsid w:val="06B7286F"/>
    <w:rsid w:val="06C116BD"/>
    <w:rsid w:val="06C767F8"/>
    <w:rsid w:val="06EA2FBD"/>
    <w:rsid w:val="06ED1770"/>
    <w:rsid w:val="06FE4AAE"/>
    <w:rsid w:val="070157D1"/>
    <w:rsid w:val="07117CDC"/>
    <w:rsid w:val="07354BE2"/>
    <w:rsid w:val="07506DDE"/>
    <w:rsid w:val="078360F1"/>
    <w:rsid w:val="079555F7"/>
    <w:rsid w:val="07AA21A6"/>
    <w:rsid w:val="07B323DD"/>
    <w:rsid w:val="07B3708F"/>
    <w:rsid w:val="07CB1191"/>
    <w:rsid w:val="07D33E7D"/>
    <w:rsid w:val="07DA2552"/>
    <w:rsid w:val="07E61182"/>
    <w:rsid w:val="07F876CF"/>
    <w:rsid w:val="07FA3FC0"/>
    <w:rsid w:val="08376BE0"/>
    <w:rsid w:val="08483779"/>
    <w:rsid w:val="085D5FC0"/>
    <w:rsid w:val="0886626A"/>
    <w:rsid w:val="08912C45"/>
    <w:rsid w:val="08AD0CF8"/>
    <w:rsid w:val="08AD503B"/>
    <w:rsid w:val="08C76CFD"/>
    <w:rsid w:val="08E340CC"/>
    <w:rsid w:val="08E95B0E"/>
    <w:rsid w:val="090C54BE"/>
    <w:rsid w:val="092936B1"/>
    <w:rsid w:val="096A4BCE"/>
    <w:rsid w:val="098226D8"/>
    <w:rsid w:val="09894939"/>
    <w:rsid w:val="09A02CD8"/>
    <w:rsid w:val="0A165448"/>
    <w:rsid w:val="0A502EA2"/>
    <w:rsid w:val="0A5758F7"/>
    <w:rsid w:val="0A67144A"/>
    <w:rsid w:val="0A71618F"/>
    <w:rsid w:val="0A7E1671"/>
    <w:rsid w:val="0AC16F66"/>
    <w:rsid w:val="0B435CD5"/>
    <w:rsid w:val="0B456825"/>
    <w:rsid w:val="0B4B17AC"/>
    <w:rsid w:val="0B4C1B40"/>
    <w:rsid w:val="0B4F5787"/>
    <w:rsid w:val="0B625354"/>
    <w:rsid w:val="0B6438A9"/>
    <w:rsid w:val="0B781AE4"/>
    <w:rsid w:val="0BB32685"/>
    <w:rsid w:val="0BC22757"/>
    <w:rsid w:val="0BD0342B"/>
    <w:rsid w:val="0BE3070D"/>
    <w:rsid w:val="0BE94FBA"/>
    <w:rsid w:val="0C367BBD"/>
    <w:rsid w:val="0C3C4113"/>
    <w:rsid w:val="0C4225D4"/>
    <w:rsid w:val="0C49239C"/>
    <w:rsid w:val="0C4E57C8"/>
    <w:rsid w:val="0C7336D0"/>
    <w:rsid w:val="0CC36F40"/>
    <w:rsid w:val="0CE75800"/>
    <w:rsid w:val="0CF02600"/>
    <w:rsid w:val="0D162766"/>
    <w:rsid w:val="0D30615A"/>
    <w:rsid w:val="0D4A590E"/>
    <w:rsid w:val="0D50445B"/>
    <w:rsid w:val="0D7807F1"/>
    <w:rsid w:val="0D895A46"/>
    <w:rsid w:val="0D9B67EB"/>
    <w:rsid w:val="0DA45AD2"/>
    <w:rsid w:val="0DE86CEC"/>
    <w:rsid w:val="0E0A51BD"/>
    <w:rsid w:val="0E141CA7"/>
    <w:rsid w:val="0E386D2E"/>
    <w:rsid w:val="0E442D5B"/>
    <w:rsid w:val="0E4E7B59"/>
    <w:rsid w:val="0E6E5960"/>
    <w:rsid w:val="0EAE4301"/>
    <w:rsid w:val="0ED27024"/>
    <w:rsid w:val="0ED94F19"/>
    <w:rsid w:val="0EDC5EDB"/>
    <w:rsid w:val="0F1B0DB7"/>
    <w:rsid w:val="0F3425BB"/>
    <w:rsid w:val="0F5A5FCA"/>
    <w:rsid w:val="0F6C7EA7"/>
    <w:rsid w:val="0FA03F81"/>
    <w:rsid w:val="0FC5121F"/>
    <w:rsid w:val="0FC52200"/>
    <w:rsid w:val="0FC57219"/>
    <w:rsid w:val="0FF11896"/>
    <w:rsid w:val="0FF743B8"/>
    <w:rsid w:val="104114BC"/>
    <w:rsid w:val="104F21E7"/>
    <w:rsid w:val="10522A43"/>
    <w:rsid w:val="10571BE4"/>
    <w:rsid w:val="105950B7"/>
    <w:rsid w:val="10681B45"/>
    <w:rsid w:val="10D545EB"/>
    <w:rsid w:val="10E51E7E"/>
    <w:rsid w:val="110045E6"/>
    <w:rsid w:val="1109548A"/>
    <w:rsid w:val="11156035"/>
    <w:rsid w:val="111F2499"/>
    <w:rsid w:val="11296D36"/>
    <w:rsid w:val="1146103D"/>
    <w:rsid w:val="116C7384"/>
    <w:rsid w:val="12305D0B"/>
    <w:rsid w:val="124B307E"/>
    <w:rsid w:val="12595354"/>
    <w:rsid w:val="12676ACE"/>
    <w:rsid w:val="128C79F5"/>
    <w:rsid w:val="12987FD1"/>
    <w:rsid w:val="12D57C7C"/>
    <w:rsid w:val="12DE2F04"/>
    <w:rsid w:val="12F453F7"/>
    <w:rsid w:val="135A65CD"/>
    <w:rsid w:val="13681291"/>
    <w:rsid w:val="139A72A6"/>
    <w:rsid w:val="13D75C16"/>
    <w:rsid w:val="141A71FC"/>
    <w:rsid w:val="14393E39"/>
    <w:rsid w:val="1439492C"/>
    <w:rsid w:val="144E282E"/>
    <w:rsid w:val="14905D77"/>
    <w:rsid w:val="14C13D98"/>
    <w:rsid w:val="14C818C6"/>
    <w:rsid w:val="14D17473"/>
    <w:rsid w:val="14D2285A"/>
    <w:rsid w:val="14F848F0"/>
    <w:rsid w:val="1533008F"/>
    <w:rsid w:val="153D3401"/>
    <w:rsid w:val="155142E7"/>
    <w:rsid w:val="15855A36"/>
    <w:rsid w:val="158E06A1"/>
    <w:rsid w:val="15932B1E"/>
    <w:rsid w:val="15AF36C0"/>
    <w:rsid w:val="15D73E4B"/>
    <w:rsid w:val="15EE7CEF"/>
    <w:rsid w:val="160D691C"/>
    <w:rsid w:val="16333435"/>
    <w:rsid w:val="16391530"/>
    <w:rsid w:val="16550678"/>
    <w:rsid w:val="166C136C"/>
    <w:rsid w:val="168C0198"/>
    <w:rsid w:val="16C6539F"/>
    <w:rsid w:val="16C83962"/>
    <w:rsid w:val="16ED23AA"/>
    <w:rsid w:val="17244236"/>
    <w:rsid w:val="173223AD"/>
    <w:rsid w:val="173E2364"/>
    <w:rsid w:val="173E4E07"/>
    <w:rsid w:val="1761710C"/>
    <w:rsid w:val="17812612"/>
    <w:rsid w:val="1789592C"/>
    <w:rsid w:val="17933C9F"/>
    <w:rsid w:val="17B13E29"/>
    <w:rsid w:val="17D67A38"/>
    <w:rsid w:val="17DB1463"/>
    <w:rsid w:val="17ED5B45"/>
    <w:rsid w:val="18260DD1"/>
    <w:rsid w:val="182656C2"/>
    <w:rsid w:val="18303541"/>
    <w:rsid w:val="183735E3"/>
    <w:rsid w:val="18744310"/>
    <w:rsid w:val="189F530B"/>
    <w:rsid w:val="18A12DFD"/>
    <w:rsid w:val="18A922F3"/>
    <w:rsid w:val="18B137E8"/>
    <w:rsid w:val="18D46399"/>
    <w:rsid w:val="18F56002"/>
    <w:rsid w:val="192F50C9"/>
    <w:rsid w:val="19633F03"/>
    <w:rsid w:val="196F047E"/>
    <w:rsid w:val="199E02FC"/>
    <w:rsid w:val="19BA1CE3"/>
    <w:rsid w:val="19DF55C2"/>
    <w:rsid w:val="1A0C61A8"/>
    <w:rsid w:val="1A132F57"/>
    <w:rsid w:val="1A300E03"/>
    <w:rsid w:val="1A5F760F"/>
    <w:rsid w:val="1A6F3E95"/>
    <w:rsid w:val="1A6F6E85"/>
    <w:rsid w:val="1AD22ED2"/>
    <w:rsid w:val="1AD51B88"/>
    <w:rsid w:val="1B2058A0"/>
    <w:rsid w:val="1B566A66"/>
    <w:rsid w:val="1B8565CF"/>
    <w:rsid w:val="1B9104B0"/>
    <w:rsid w:val="1BAC363D"/>
    <w:rsid w:val="1BD60F79"/>
    <w:rsid w:val="1C0C60A0"/>
    <w:rsid w:val="1C41527E"/>
    <w:rsid w:val="1C49412F"/>
    <w:rsid w:val="1C4D3DCD"/>
    <w:rsid w:val="1C4F5FC4"/>
    <w:rsid w:val="1C64078D"/>
    <w:rsid w:val="1C81524F"/>
    <w:rsid w:val="1CA121A3"/>
    <w:rsid w:val="1CDF257F"/>
    <w:rsid w:val="1CE40841"/>
    <w:rsid w:val="1CF405AE"/>
    <w:rsid w:val="1CFB22F4"/>
    <w:rsid w:val="1D014450"/>
    <w:rsid w:val="1D2A2C86"/>
    <w:rsid w:val="1D2A6659"/>
    <w:rsid w:val="1D41310E"/>
    <w:rsid w:val="1D426DC5"/>
    <w:rsid w:val="1D4377C2"/>
    <w:rsid w:val="1D54682E"/>
    <w:rsid w:val="1D575B51"/>
    <w:rsid w:val="1D83301E"/>
    <w:rsid w:val="1D836FC7"/>
    <w:rsid w:val="1D9F4A19"/>
    <w:rsid w:val="1DA05599"/>
    <w:rsid w:val="1DAB519B"/>
    <w:rsid w:val="1DC65420"/>
    <w:rsid w:val="1DC94DC3"/>
    <w:rsid w:val="1DD04ECF"/>
    <w:rsid w:val="1E0649A4"/>
    <w:rsid w:val="1E474E6F"/>
    <w:rsid w:val="1E6843C7"/>
    <w:rsid w:val="1EA60FCA"/>
    <w:rsid w:val="1EA87417"/>
    <w:rsid w:val="1ED70A99"/>
    <w:rsid w:val="1F35766F"/>
    <w:rsid w:val="1F65672E"/>
    <w:rsid w:val="1F6B4880"/>
    <w:rsid w:val="1F6D18D3"/>
    <w:rsid w:val="1F7222CF"/>
    <w:rsid w:val="1F855EC8"/>
    <w:rsid w:val="1F865B87"/>
    <w:rsid w:val="1F8D0E35"/>
    <w:rsid w:val="1FB611E4"/>
    <w:rsid w:val="1FBA2E91"/>
    <w:rsid w:val="1FC02D54"/>
    <w:rsid w:val="1FD92D82"/>
    <w:rsid w:val="1FEE1F52"/>
    <w:rsid w:val="204E7ADF"/>
    <w:rsid w:val="207471CF"/>
    <w:rsid w:val="20950348"/>
    <w:rsid w:val="20981E88"/>
    <w:rsid w:val="20A06A24"/>
    <w:rsid w:val="20A10137"/>
    <w:rsid w:val="20B97750"/>
    <w:rsid w:val="20BD2343"/>
    <w:rsid w:val="20C125E5"/>
    <w:rsid w:val="20F77EBA"/>
    <w:rsid w:val="20FE0571"/>
    <w:rsid w:val="212F48FD"/>
    <w:rsid w:val="216135E4"/>
    <w:rsid w:val="21B23C30"/>
    <w:rsid w:val="21D5663A"/>
    <w:rsid w:val="220D5F91"/>
    <w:rsid w:val="220F017A"/>
    <w:rsid w:val="223D6488"/>
    <w:rsid w:val="224F423C"/>
    <w:rsid w:val="227710AB"/>
    <w:rsid w:val="229B4E78"/>
    <w:rsid w:val="22C77F82"/>
    <w:rsid w:val="22E50F21"/>
    <w:rsid w:val="22F562BD"/>
    <w:rsid w:val="231C3AC6"/>
    <w:rsid w:val="23261385"/>
    <w:rsid w:val="233970A1"/>
    <w:rsid w:val="2390118C"/>
    <w:rsid w:val="23A33225"/>
    <w:rsid w:val="23A3458B"/>
    <w:rsid w:val="23A83880"/>
    <w:rsid w:val="23AC3B0D"/>
    <w:rsid w:val="23AC7B00"/>
    <w:rsid w:val="23AE3EA4"/>
    <w:rsid w:val="23BD797B"/>
    <w:rsid w:val="23CC13DF"/>
    <w:rsid w:val="241374BB"/>
    <w:rsid w:val="24210897"/>
    <w:rsid w:val="242E0AC8"/>
    <w:rsid w:val="24474E0A"/>
    <w:rsid w:val="244E4AD0"/>
    <w:rsid w:val="246B4679"/>
    <w:rsid w:val="249900C5"/>
    <w:rsid w:val="24BF7D42"/>
    <w:rsid w:val="252F27FF"/>
    <w:rsid w:val="255D2F2A"/>
    <w:rsid w:val="256C5A3D"/>
    <w:rsid w:val="257963F1"/>
    <w:rsid w:val="25A7402B"/>
    <w:rsid w:val="25D966A6"/>
    <w:rsid w:val="25FE15DC"/>
    <w:rsid w:val="26263EE6"/>
    <w:rsid w:val="26806C09"/>
    <w:rsid w:val="26863962"/>
    <w:rsid w:val="268F15B2"/>
    <w:rsid w:val="26983FA4"/>
    <w:rsid w:val="26FA6E39"/>
    <w:rsid w:val="271E4603"/>
    <w:rsid w:val="272A0710"/>
    <w:rsid w:val="27555997"/>
    <w:rsid w:val="276E4B45"/>
    <w:rsid w:val="277E0E1B"/>
    <w:rsid w:val="27C13C20"/>
    <w:rsid w:val="27E47883"/>
    <w:rsid w:val="28120519"/>
    <w:rsid w:val="281327C3"/>
    <w:rsid w:val="28195AAE"/>
    <w:rsid w:val="28323569"/>
    <w:rsid w:val="28326E12"/>
    <w:rsid w:val="28504863"/>
    <w:rsid w:val="287013AF"/>
    <w:rsid w:val="28943CBF"/>
    <w:rsid w:val="28E96526"/>
    <w:rsid w:val="28F77A34"/>
    <w:rsid w:val="29213FAC"/>
    <w:rsid w:val="294019F3"/>
    <w:rsid w:val="295C30A0"/>
    <w:rsid w:val="295F6F3A"/>
    <w:rsid w:val="2978542E"/>
    <w:rsid w:val="298168E8"/>
    <w:rsid w:val="29880DC9"/>
    <w:rsid w:val="299658C8"/>
    <w:rsid w:val="29C74336"/>
    <w:rsid w:val="2A0C4705"/>
    <w:rsid w:val="2A104C01"/>
    <w:rsid w:val="2A2219FF"/>
    <w:rsid w:val="2A2649D3"/>
    <w:rsid w:val="2A2F0453"/>
    <w:rsid w:val="2A375CB0"/>
    <w:rsid w:val="2A4F7A8E"/>
    <w:rsid w:val="2A5C693A"/>
    <w:rsid w:val="2A9D1044"/>
    <w:rsid w:val="2AA14EFF"/>
    <w:rsid w:val="2AC52B69"/>
    <w:rsid w:val="2AE42B9F"/>
    <w:rsid w:val="2AFA4FF0"/>
    <w:rsid w:val="2AFF35D3"/>
    <w:rsid w:val="2B0A651F"/>
    <w:rsid w:val="2B132D50"/>
    <w:rsid w:val="2B6076B4"/>
    <w:rsid w:val="2B617D56"/>
    <w:rsid w:val="2B6E542D"/>
    <w:rsid w:val="2BEB27E3"/>
    <w:rsid w:val="2BEB2E9D"/>
    <w:rsid w:val="2BF61207"/>
    <w:rsid w:val="2C1713D1"/>
    <w:rsid w:val="2C2E6F83"/>
    <w:rsid w:val="2C620007"/>
    <w:rsid w:val="2CD367CC"/>
    <w:rsid w:val="2CDD2B9E"/>
    <w:rsid w:val="2D09394F"/>
    <w:rsid w:val="2D6345E9"/>
    <w:rsid w:val="2D7E4209"/>
    <w:rsid w:val="2D9B288E"/>
    <w:rsid w:val="2DBD42B5"/>
    <w:rsid w:val="2DCB5DC1"/>
    <w:rsid w:val="2DCE5309"/>
    <w:rsid w:val="2DE2242A"/>
    <w:rsid w:val="2E2E3C0F"/>
    <w:rsid w:val="2E4225F7"/>
    <w:rsid w:val="2E463849"/>
    <w:rsid w:val="2E5A5340"/>
    <w:rsid w:val="2E6E73D5"/>
    <w:rsid w:val="2E81141D"/>
    <w:rsid w:val="2E9A7ADA"/>
    <w:rsid w:val="2EC2396D"/>
    <w:rsid w:val="2F1B0798"/>
    <w:rsid w:val="2F4F0438"/>
    <w:rsid w:val="2F506BFB"/>
    <w:rsid w:val="2F7E2CC0"/>
    <w:rsid w:val="2F921764"/>
    <w:rsid w:val="2F98405A"/>
    <w:rsid w:val="2FD11EB8"/>
    <w:rsid w:val="2FE1749B"/>
    <w:rsid w:val="303D5772"/>
    <w:rsid w:val="306E40F7"/>
    <w:rsid w:val="306F4499"/>
    <w:rsid w:val="30B15581"/>
    <w:rsid w:val="30B93848"/>
    <w:rsid w:val="30BE1DE8"/>
    <w:rsid w:val="30F83C13"/>
    <w:rsid w:val="31253510"/>
    <w:rsid w:val="313177AD"/>
    <w:rsid w:val="31341EAD"/>
    <w:rsid w:val="31423CC5"/>
    <w:rsid w:val="3157256E"/>
    <w:rsid w:val="3160159B"/>
    <w:rsid w:val="316102EA"/>
    <w:rsid w:val="31665B97"/>
    <w:rsid w:val="31711EF3"/>
    <w:rsid w:val="31854B7E"/>
    <w:rsid w:val="31E86EE4"/>
    <w:rsid w:val="31FD6157"/>
    <w:rsid w:val="32171B71"/>
    <w:rsid w:val="322B53E9"/>
    <w:rsid w:val="32915ABA"/>
    <w:rsid w:val="329C1497"/>
    <w:rsid w:val="32A12BE0"/>
    <w:rsid w:val="32B06035"/>
    <w:rsid w:val="32D72576"/>
    <w:rsid w:val="32D93319"/>
    <w:rsid w:val="32E04086"/>
    <w:rsid w:val="32F96A45"/>
    <w:rsid w:val="330D0307"/>
    <w:rsid w:val="332C3D97"/>
    <w:rsid w:val="3360351F"/>
    <w:rsid w:val="33620CB2"/>
    <w:rsid w:val="33B17CDB"/>
    <w:rsid w:val="33E04B57"/>
    <w:rsid w:val="33FA7456"/>
    <w:rsid w:val="34024883"/>
    <w:rsid w:val="342C6E98"/>
    <w:rsid w:val="344F7140"/>
    <w:rsid w:val="34755DB1"/>
    <w:rsid w:val="349E0FB2"/>
    <w:rsid w:val="34A96A1A"/>
    <w:rsid w:val="34B370D1"/>
    <w:rsid w:val="34CA52FD"/>
    <w:rsid w:val="34E622D6"/>
    <w:rsid w:val="3518700F"/>
    <w:rsid w:val="352F2FF3"/>
    <w:rsid w:val="35375748"/>
    <w:rsid w:val="35486C73"/>
    <w:rsid w:val="359E09BB"/>
    <w:rsid w:val="361A4DE1"/>
    <w:rsid w:val="361F592F"/>
    <w:rsid w:val="362F79EA"/>
    <w:rsid w:val="36516B14"/>
    <w:rsid w:val="36556C85"/>
    <w:rsid w:val="365B1C96"/>
    <w:rsid w:val="36603459"/>
    <w:rsid w:val="366D2C19"/>
    <w:rsid w:val="3675230B"/>
    <w:rsid w:val="36766F5C"/>
    <w:rsid w:val="36777C43"/>
    <w:rsid w:val="367E7A3F"/>
    <w:rsid w:val="36C1347A"/>
    <w:rsid w:val="36C31B41"/>
    <w:rsid w:val="36C532A1"/>
    <w:rsid w:val="36CE234D"/>
    <w:rsid w:val="36D347D3"/>
    <w:rsid w:val="36DA50A9"/>
    <w:rsid w:val="372F4949"/>
    <w:rsid w:val="3736228A"/>
    <w:rsid w:val="37671725"/>
    <w:rsid w:val="376F122C"/>
    <w:rsid w:val="3798526A"/>
    <w:rsid w:val="37B72EB1"/>
    <w:rsid w:val="37C806F3"/>
    <w:rsid w:val="37C85C3C"/>
    <w:rsid w:val="37CF1603"/>
    <w:rsid w:val="37D2047F"/>
    <w:rsid w:val="38585500"/>
    <w:rsid w:val="385D1C71"/>
    <w:rsid w:val="386038B3"/>
    <w:rsid w:val="388E1434"/>
    <w:rsid w:val="38BA5460"/>
    <w:rsid w:val="38C62FF5"/>
    <w:rsid w:val="38D62476"/>
    <w:rsid w:val="38E27127"/>
    <w:rsid w:val="39027E88"/>
    <w:rsid w:val="39075875"/>
    <w:rsid w:val="391904A1"/>
    <w:rsid w:val="391C718D"/>
    <w:rsid w:val="394D30B0"/>
    <w:rsid w:val="39624091"/>
    <w:rsid w:val="397C6037"/>
    <w:rsid w:val="39D43B66"/>
    <w:rsid w:val="39EC03FA"/>
    <w:rsid w:val="3A1D058F"/>
    <w:rsid w:val="3A1E303B"/>
    <w:rsid w:val="3A1F74C9"/>
    <w:rsid w:val="3A2A1F54"/>
    <w:rsid w:val="3A2D40D1"/>
    <w:rsid w:val="3A314B02"/>
    <w:rsid w:val="3A5C2602"/>
    <w:rsid w:val="3A79657B"/>
    <w:rsid w:val="3A8B77C7"/>
    <w:rsid w:val="3A9A32EA"/>
    <w:rsid w:val="3ACD391F"/>
    <w:rsid w:val="3B026D00"/>
    <w:rsid w:val="3B1471CB"/>
    <w:rsid w:val="3B655681"/>
    <w:rsid w:val="3B6C4553"/>
    <w:rsid w:val="3B6F3ABC"/>
    <w:rsid w:val="3B7527F4"/>
    <w:rsid w:val="3BAA143A"/>
    <w:rsid w:val="3BC378A6"/>
    <w:rsid w:val="3BDC08FD"/>
    <w:rsid w:val="3BE42ECD"/>
    <w:rsid w:val="3BFE1CAB"/>
    <w:rsid w:val="3C10260E"/>
    <w:rsid w:val="3C274A05"/>
    <w:rsid w:val="3C7511AE"/>
    <w:rsid w:val="3CA977D2"/>
    <w:rsid w:val="3CC733AF"/>
    <w:rsid w:val="3CD72551"/>
    <w:rsid w:val="3CF76813"/>
    <w:rsid w:val="3CFC6063"/>
    <w:rsid w:val="3D1319B5"/>
    <w:rsid w:val="3D260CA6"/>
    <w:rsid w:val="3D520CCB"/>
    <w:rsid w:val="3D5C6974"/>
    <w:rsid w:val="3D6678B0"/>
    <w:rsid w:val="3D772181"/>
    <w:rsid w:val="3D823D30"/>
    <w:rsid w:val="3DCE6FB3"/>
    <w:rsid w:val="3DD16176"/>
    <w:rsid w:val="3E104E3F"/>
    <w:rsid w:val="3E1D6E9C"/>
    <w:rsid w:val="3E4A1BED"/>
    <w:rsid w:val="3E662345"/>
    <w:rsid w:val="3E82228B"/>
    <w:rsid w:val="3E8242C1"/>
    <w:rsid w:val="3EB33AF3"/>
    <w:rsid w:val="3EFD0DF6"/>
    <w:rsid w:val="3EFE49C6"/>
    <w:rsid w:val="3F0A5B5C"/>
    <w:rsid w:val="3F1A0890"/>
    <w:rsid w:val="3F3F5846"/>
    <w:rsid w:val="3F71500B"/>
    <w:rsid w:val="3F801023"/>
    <w:rsid w:val="3F8064EB"/>
    <w:rsid w:val="3F950FB5"/>
    <w:rsid w:val="3F982DCA"/>
    <w:rsid w:val="3FCB5632"/>
    <w:rsid w:val="3FD12D26"/>
    <w:rsid w:val="3FDE4917"/>
    <w:rsid w:val="3FE2412F"/>
    <w:rsid w:val="402F3ADF"/>
    <w:rsid w:val="40306F5A"/>
    <w:rsid w:val="40476BB3"/>
    <w:rsid w:val="40546FB6"/>
    <w:rsid w:val="40554803"/>
    <w:rsid w:val="407A60D5"/>
    <w:rsid w:val="407D4F24"/>
    <w:rsid w:val="40961808"/>
    <w:rsid w:val="40AB4DEE"/>
    <w:rsid w:val="40D24BBE"/>
    <w:rsid w:val="40EC4043"/>
    <w:rsid w:val="41166469"/>
    <w:rsid w:val="412008E0"/>
    <w:rsid w:val="413A6D3B"/>
    <w:rsid w:val="41515AC7"/>
    <w:rsid w:val="41902B9F"/>
    <w:rsid w:val="41C02331"/>
    <w:rsid w:val="41C13A63"/>
    <w:rsid w:val="41C67037"/>
    <w:rsid w:val="41D229E1"/>
    <w:rsid w:val="41EC6E94"/>
    <w:rsid w:val="41F72149"/>
    <w:rsid w:val="42415ACC"/>
    <w:rsid w:val="427D539F"/>
    <w:rsid w:val="42991E30"/>
    <w:rsid w:val="42CC19F4"/>
    <w:rsid w:val="42CE0B28"/>
    <w:rsid w:val="42CF6367"/>
    <w:rsid w:val="42DE1CCC"/>
    <w:rsid w:val="4308546B"/>
    <w:rsid w:val="43263445"/>
    <w:rsid w:val="434157E3"/>
    <w:rsid w:val="43494860"/>
    <w:rsid w:val="434D380E"/>
    <w:rsid w:val="43934189"/>
    <w:rsid w:val="439D4850"/>
    <w:rsid w:val="43C27232"/>
    <w:rsid w:val="43ED069F"/>
    <w:rsid w:val="442A6E5A"/>
    <w:rsid w:val="445C4B8F"/>
    <w:rsid w:val="44833851"/>
    <w:rsid w:val="44982752"/>
    <w:rsid w:val="44BF6F86"/>
    <w:rsid w:val="44C45031"/>
    <w:rsid w:val="44D53AB2"/>
    <w:rsid w:val="44F27B0D"/>
    <w:rsid w:val="45485BDE"/>
    <w:rsid w:val="458571EC"/>
    <w:rsid w:val="45945C30"/>
    <w:rsid w:val="459F2306"/>
    <w:rsid w:val="45A832FE"/>
    <w:rsid w:val="45AB6174"/>
    <w:rsid w:val="45BA63E5"/>
    <w:rsid w:val="45CC5EDC"/>
    <w:rsid w:val="45F73D47"/>
    <w:rsid w:val="462D2575"/>
    <w:rsid w:val="46467FD8"/>
    <w:rsid w:val="46601D33"/>
    <w:rsid w:val="4666746C"/>
    <w:rsid w:val="467505FA"/>
    <w:rsid w:val="467B6008"/>
    <w:rsid w:val="468720BA"/>
    <w:rsid w:val="46895AFC"/>
    <w:rsid w:val="468E6A9E"/>
    <w:rsid w:val="46BC623F"/>
    <w:rsid w:val="46D855B9"/>
    <w:rsid w:val="470D2C74"/>
    <w:rsid w:val="477570F1"/>
    <w:rsid w:val="47AD33FA"/>
    <w:rsid w:val="47B41AAA"/>
    <w:rsid w:val="47CD38AD"/>
    <w:rsid w:val="47DB16D8"/>
    <w:rsid w:val="481726F3"/>
    <w:rsid w:val="48416760"/>
    <w:rsid w:val="48466F81"/>
    <w:rsid w:val="484D02A2"/>
    <w:rsid w:val="486B647A"/>
    <w:rsid w:val="48896934"/>
    <w:rsid w:val="48C12AEC"/>
    <w:rsid w:val="48D072A1"/>
    <w:rsid w:val="48D1341D"/>
    <w:rsid w:val="48D63F90"/>
    <w:rsid w:val="48E0279A"/>
    <w:rsid w:val="48E64C8E"/>
    <w:rsid w:val="48FA7B87"/>
    <w:rsid w:val="48FC4310"/>
    <w:rsid w:val="49107396"/>
    <w:rsid w:val="4919356E"/>
    <w:rsid w:val="492A7740"/>
    <w:rsid w:val="49300AA7"/>
    <w:rsid w:val="49391CB0"/>
    <w:rsid w:val="493C3A20"/>
    <w:rsid w:val="49401E21"/>
    <w:rsid w:val="49526EB9"/>
    <w:rsid w:val="49684311"/>
    <w:rsid w:val="496D00AD"/>
    <w:rsid w:val="49742114"/>
    <w:rsid w:val="49754CB4"/>
    <w:rsid w:val="49921F0F"/>
    <w:rsid w:val="49CE6B8E"/>
    <w:rsid w:val="49D72FF3"/>
    <w:rsid w:val="49E0102B"/>
    <w:rsid w:val="4A2945F2"/>
    <w:rsid w:val="4A615154"/>
    <w:rsid w:val="4A96607C"/>
    <w:rsid w:val="4AB92E92"/>
    <w:rsid w:val="4B2134B8"/>
    <w:rsid w:val="4B24233C"/>
    <w:rsid w:val="4B330A0B"/>
    <w:rsid w:val="4B5E55F9"/>
    <w:rsid w:val="4B685D82"/>
    <w:rsid w:val="4B7B4674"/>
    <w:rsid w:val="4B7C663B"/>
    <w:rsid w:val="4B812078"/>
    <w:rsid w:val="4BF71347"/>
    <w:rsid w:val="4BF97932"/>
    <w:rsid w:val="4C141E75"/>
    <w:rsid w:val="4C2A4039"/>
    <w:rsid w:val="4C736F36"/>
    <w:rsid w:val="4CAE60E3"/>
    <w:rsid w:val="4CB0555B"/>
    <w:rsid w:val="4CEE1D13"/>
    <w:rsid w:val="4D032DA9"/>
    <w:rsid w:val="4D0C6DBE"/>
    <w:rsid w:val="4D0C7C8F"/>
    <w:rsid w:val="4D25615C"/>
    <w:rsid w:val="4D36054D"/>
    <w:rsid w:val="4D41137F"/>
    <w:rsid w:val="4D524AEA"/>
    <w:rsid w:val="4D5724F7"/>
    <w:rsid w:val="4D757452"/>
    <w:rsid w:val="4D8C3F82"/>
    <w:rsid w:val="4DBC14B8"/>
    <w:rsid w:val="4DE936C7"/>
    <w:rsid w:val="4DEF3141"/>
    <w:rsid w:val="4DF23555"/>
    <w:rsid w:val="4E050D4C"/>
    <w:rsid w:val="4E06569E"/>
    <w:rsid w:val="4E093792"/>
    <w:rsid w:val="4E1D26B7"/>
    <w:rsid w:val="4E1F052C"/>
    <w:rsid w:val="4E451D41"/>
    <w:rsid w:val="4E7A454C"/>
    <w:rsid w:val="4E820B4C"/>
    <w:rsid w:val="4E85341C"/>
    <w:rsid w:val="4E9B7B12"/>
    <w:rsid w:val="4EC47712"/>
    <w:rsid w:val="4EDD3C61"/>
    <w:rsid w:val="4EF1457F"/>
    <w:rsid w:val="4F2C40A0"/>
    <w:rsid w:val="4F2F3B98"/>
    <w:rsid w:val="4F380B7A"/>
    <w:rsid w:val="4F424B82"/>
    <w:rsid w:val="4F4B0CB3"/>
    <w:rsid w:val="4F4F0EBF"/>
    <w:rsid w:val="4F8C4B40"/>
    <w:rsid w:val="4FAA5CD5"/>
    <w:rsid w:val="4FBD187E"/>
    <w:rsid w:val="4FC56067"/>
    <w:rsid w:val="4FD11AC0"/>
    <w:rsid w:val="502F75EB"/>
    <w:rsid w:val="50400243"/>
    <w:rsid w:val="50494336"/>
    <w:rsid w:val="50784012"/>
    <w:rsid w:val="50813C12"/>
    <w:rsid w:val="5087463E"/>
    <w:rsid w:val="50A11680"/>
    <w:rsid w:val="50B77550"/>
    <w:rsid w:val="50C773AE"/>
    <w:rsid w:val="50CD6602"/>
    <w:rsid w:val="510D0F23"/>
    <w:rsid w:val="51197B59"/>
    <w:rsid w:val="51615030"/>
    <w:rsid w:val="51627812"/>
    <w:rsid w:val="51C136D4"/>
    <w:rsid w:val="51D33F6D"/>
    <w:rsid w:val="51DB1448"/>
    <w:rsid w:val="52045DB4"/>
    <w:rsid w:val="522C275E"/>
    <w:rsid w:val="524C13A2"/>
    <w:rsid w:val="529000F6"/>
    <w:rsid w:val="5296149A"/>
    <w:rsid w:val="52A65672"/>
    <w:rsid w:val="52B87A49"/>
    <w:rsid w:val="52BA4073"/>
    <w:rsid w:val="52CD7B31"/>
    <w:rsid w:val="52D576F4"/>
    <w:rsid w:val="52DF170A"/>
    <w:rsid w:val="52E25B6D"/>
    <w:rsid w:val="52F362FB"/>
    <w:rsid w:val="52F4161A"/>
    <w:rsid w:val="52F965A5"/>
    <w:rsid w:val="53081AD8"/>
    <w:rsid w:val="53235275"/>
    <w:rsid w:val="53240623"/>
    <w:rsid w:val="53321C03"/>
    <w:rsid w:val="533415F9"/>
    <w:rsid w:val="534823B8"/>
    <w:rsid w:val="535657D0"/>
    <w:rsid w:val="535868CC"/>
    <w:rsid w:val="53597EDB"/>
    <w:rsid w:val="538D066D"/>
    <w:rsid w:val="53934B1D"/>
    <w:rsid w:val="53A2278E"/>
    <w:rsid w:val="53CB788B"/>
    <w:rsid w:val="53E32E36"/>
    <w:rsid w:val="54203B94"/>
    <w:rsid w:val="5424233E"/>
    <w:rsid w:val="542A3DC2"/>
    <w:rsid w:val="542C299E"/>
    <w:rsid w:val="543642C1"/>
    <w:rsid w:val="5461235D"/>
    <w:rsid w:val="54667BA2"/>
    <w:rsid w:val="547E7555"/>
    <w:rsid w:val="54806F19"/>
    <w:rsid w:val="54A01FAE"/>
    <w:rsid w:val="54AC3148"/>
    <w:rsid w:val="54C0256E"/>
    <w:rsid w:val="54C334B7"/>
    <w:rsid w:val="54D4667D"/>
    <w:rsid w:val="54D55C56"/>
    <w:rsid w:val="54EC389B"/>
    <w:rsid w:val="54F847D9"/>
    <w:rsid w:val="55126190"/>
    <w:rsid w:val="555F3833"/>
    <w:rsid w:val="55667780"/>
    <w:rsid w:val="556E493A"/>
    <w:rsid w:val="55725F14"/>
    <w:rsid w:val="55941D63"/>
    <w:rsid w:val="559C0CE1"/>
    <w:rsid w:val="55B42D88"/>
    <w:rsid w:val="55D11119"/>
    <w:rsid w:val="55DB1F79"/>
    <w:rsid w:val="560A42BD"/>
    <w:rsid w:val="560C1D89"/>
    <w:rsid w:val="560C2D67"/>
    <w:rsid w:val="56353B20"/>
    <w:rsid w:val="56443B98"/>
    <w:rsid w:val="56453A77"/>
    <w:rsid w:val="56757259"/>
    <w:rsid w:val="568B7EB7"/>
    <w:rsid w:val="56BC078F"/>
    <w:rsid w:val="56CB4BCB"/>
    <w:rsid w:val="56FB75FE"/>
    <w:rsid w:val="57391A95"/>
    <w:rsid w:val="573F3C9E"/>
    <w:rsid w:val="574C52C4"/>
    <w:rsid w:val="57526FDB"/>
    <w:rsid w:val="57572F35"/>
    <w:rsid w:val="575B33A4"/>
    <w:rsid w:val="57674A5D"/>
    <w:rsid w:val="579775E1"/>
    <w:rsid w:val="57C90530"/>
    <w:rsid w:val="57CE0836"/>
    <w:rsid w:val="582F44F7"/>
    <w:rsid w:val="583F27F2"/>
    <w:rsid w:val="58455B6D"/>
    <w:rsid w:val="584D29B0"/>
    <w:rsid w:val="584F7C49"/>
    <w:rsid w:val="5888302C"/>
    <w:rsid w:val="5889129A"/>
    <w:rsid w:val="58AD528C"/>
    <w:rsid w:val="58B31955"/>
    <w:rsid w:val="58BA45A1"/>
    <w:rsid w:val="594F6915"/>
    <w:rsid w:val="59737A65"/>
    <w:rsid w:val="59842DF4"/>
    <w:rsid w:val="59A0359A"/>
    <w:rsid w:val="59E52D9A"/>
    <w:rsid w:val="5A300449"/>
    <w:rsid w:val="5A482DEE"/>
    <w:rsid w:val="5A4F2365"/>
    <w:rsid w:val="5A55295D"/>
    <w:rsid w:val="5A7E104A"/>
    <w:rsid w:val="5A8208A0"/>
    <w:rsid w:val="5A861FD5"/>
    <w:rsid w:val="5AE3253A"/>
    <w:rsid w:val="5AEA30C9"/>
    <w:rsid w:val="5AEA3475"/>
    <w:rsid w:val="5AF54C6B"/>
    <w:rsid w:val="5B087B94"/>
    <w:rsid w:val="5B0C2FBE"/>
    <w:rsid w:val="5B0E3E89"/>
    <w:rsid w:val="5B124740"/>
    <w:rsid w:val="5B31434D"/>
    <w:rsid w:val="5B3F60FF"/>
    <w:rsid w:val="5B3F66E7"/>
    <w:rsid w:val="5B872AE6"/>
    <w:rsid w:val="5BA77753"/>
    <w:rsid w:val="5BB60E53"/>
    <w:rsid w:val="5BC025EF"/>
    <w:rsid w:val="5C1203C7"/>
    <w:rsid w:val="5C1F35AE"/>
    <w:rsid w:val="5C3905BF"/>
    <w:rsid w:val="5C66397A"/>
    <w:rsid w:val="5C7349B6"/>
    <w:rsid w:val="5C824C05"/>
    <w:rsid w:val="5C8725EE"/>
    <w:rsid w:val="5C962BD6"/>
    <w:rsid w:val="5CAB4712"/>
    <w:rsid w:val="5CB0251A"/>
    <w:rsid w:val="5CB97030"/>
    <w:rsid w:val="5CC97332"/>
    <w:rsid w:val="5D187049"/>
    <w:rsid w:val="5D1D2427"/>
    <w:rsid w:val="5D756277"/>
    <w:rsid w:val="5D955FBD"/>
    <w:rsid w:val="5DA62524"/>
    <w:rsid w:val="5DAC3919"/>
    <w:rsid w:val="5DB36259"/>
    <w:rsid w:val="5DBD33B2"/>
    <w:rsid w:val="5DC223CB"/>
    <w:rsid w:val="5DEF62F1"/>
    <w:rsid w:val="5DF66637"/>
    <w:rsid w:val="5DFF6858"/>
    <w:rsid w:val="5E0F2B0E"/>
    <w:rsid w:val="5E185132"/>
    <w:rsid w:val="5E2A0167"/>
    <w:rsid w:val="5E5D68E8"/>
    <w:rsid w:val="5E802A96"/>
    <w:rsid w:val="5E9074FF"/>
    <w:rsid w:val="5EAE1AF2"/>
    <w:rsid w:val="5EB62A77"/>
    <w:rsid w:val="5EB80355"/>
    <w:rsid w:val="5EBB2226"/>
    <w:rsid w:val="5EBE5F24"/>
    <w:rsid w:val="5EF07004"/>
    <w:rsid w:val="5F0E1E9A"/>
    <w:rsid w:val="5F860C23"/>
    <w:rsid w:val="5FC44411"/>
    <w:rsid w:val="5FE426E2"/>
    <w:rsid w:val="605C7AA6"/>
    <w:rsid w:val="605F132B"/>
    <w:rsid w:val="608510A4"/>
    <w:rsid w:val="608762FF"/>
    <w:rsid w:val="609E1C45"/>
    <w:rsid w:val="60BD4FD1"/>
    <w:rsid w:val="60D507D0"/>
    <w:rsid w:val="60EA1511"/>
    <w:rsid w:val="60EB6C34"/>
    <w:rsid w:val="60FD5C7B"/>
    <w:rsid w:val="613D7E7B"/>
    <w:rsid w:val="617162E9"/>
    <w:rsid w:val="61A52BAA"/>
    <w:rsid w:val="61FA0AE4"/>
    <w:rsid w:val="623438BB"/>
    <w:rsid w:val="624B10F0"/>
    <w:rsid w:val="624F3E48"/>
    <w:rsid w:val="62635981"/>
    <w:rsid w:val="629B3E75"/>
    <w:rsid w:val="629B5D43"/>
    <w:rsid w:val="62A36D1F"/>
    <w:rsid w:val="62A40365"/>
    <w:rsid w:val="62A469A9"/>
    <w:rsid w:val="62A92FF1"/>
    <w:rsid w:val="62B90FFE"/>
    <w:rsid w:val="62E10186"/>
    <w:rsid w:val="62F6018D"/>
    <w:rsid w:val="63016E3A"/>
    <w:rsid w:val="63034141"/>
    <w:rsid w:val="63045E00"/>
    <w:rsid w:val="630A731B"/>
    <w:rsid w:val="63386B48"/>
    <w:rsid w:val="633A3FE7"/>
    <w:rsid w:val="63410B16"/>
    <w:rsid w:val="63562840"/>
    <w:rsid w:val="637141EC"/>
    <w:rsid w:val="63805B1F"/>
    <w:rsid w:val="63834973"/>
    <w:rsid w:val="638F3DC7"/>
    <w:rsid w:val="6397194C"/>
    <w:rsid w:val="63DA4B5E"/>
    <w:rsid w:val="64273E62"/>
    <w:rsid w:val="642E2892"/>
    <w:rsid w:val="643B736C"/>
    <w:rsid w:val="64AD7C37"/>
    <w:rsid w:val="64B05758"/>
    <w:rsid w:val="64BE4B0D"/>
    <w:rsid w:val="65075A96"/>
    <w:rsid w:val="650E600B"/>
    <w:rsid w:val="650F0C7B"/>
    <w:rsid w:val="65B221E6"/>
    <w:rsid w:val="66426031"/>
    <w:rsid w:val="66593B74"/>
    <w:rsid w:val="665D2DD8"/>
    <w:rsid w:val="66651C8A"/>
    <w:rsid w:val="66675176"/>
    <w:rsid w:val="669F2C65"/>
    <w:rsid w:val="66BE6B53"/>
    <w:rsid w:val="66C55FD8"/>
    <w:rsid w:val="66D333AF"/>
    <w:rsid w:val="67144DF8"/>
    <w:rsid w:val="67192A34"/>
    <w:rsid w:val="674A4927"/>
    <w:rsid w:val="677243C5"/>
    <w:rsid w:val="678568CD"/>
    <w:rsid w:val="67904A3A"/>
    <w:rsid w:val="67A24F14"/>
    <w:rsid w:val="67BB4EAD"/>
    <w:rsid w:val="67E453F6"/>
    <w:rsid w:val="67F130F8"/>
    <w:rsid w:val="67F84AFE"/>
    <w:rsid w:val="67F84BF4"/>
    <w:rsid w:val="680878A3"/>
    <w:rsid w:val="68340476"/>
    <w:rsid w:val="68375AD4"/>
    <w:rsid w:val="683870E8"/>
    <w:rsid w:val="68457681"/>
    <w:rsid w:val="684977D5"/>
    <w:rsid w:val="68552C50"/>
    <w:rsid w:val="685D34E7"/>
    <w:rsid w:val="68A8123A"/>
    <w:rsid w:val="68B84F4C"/>
    <w:rsid w:val="69055229"/>
    <w:rsid w:val="690A35FE"/>
    <w:rsid w:val="6929374C"/>
    <w:rsid w:val="692F20BB"/>
    <w:rsid w:val="696A12F0"/>
    <w:rsid w:val="69784C3F"/>
    <w:rsid w:val="69C1095D"/>
    <w:rsid w:val="6A0138F7"/>
    <w:rsid w:val="6A1E155A"/>
    <w:rsid w:val="6A7B5447"/>
    <w:rsid w:val="6ADB012D"/>
    <w:rsid w:val="6AE3748E"/>
    <w:rsid w:val="6AF53FAE"/>
    <w:rsid w:val="6B1C3EC6"/>
    <w:rsid w:val="6B3F4C28"/>
    <w:rsid w:val="6B574638"/>
    <w:rsid w:val="6B5F5B98"/>
    <w:rsid w:val="6B615C8D"/>
    <w:rsid w:val="6B67068F"/>
    <w:rsid w:val="6B6E2E8D"/>
    <w:rsid w:val="6B977A86"/>
    <w:rsid w:val="6BAB6FBB"/>
    <w:rsid w:val="6BB568D4"/>
    <w:rsid w:val="6BDF79C7"/>
    <w:rsid w:val="6BE146ED"/>
    <w:rsid w:val="6C0B074D"/>
    <w:rsid w:val="6C1458EF"/>
    <w:rsid w:val="6C231806"/>
    <w:rsid w:val="6C275F8B"/>
    <w:rsid w:val="6C3B15FF"/>
    <w:rsid w:val="6C3B431E"/>
    <w:rsid w:val="6C3E5116"/>
    <w:rsid w:val="6C725FD7"/>
    <w:rsid w:val="6C852D02"/>
    <w:rsid w:val="6CEA2C90"/>
    <w:rsid w:val="6CFA5C74"/>
    <w:rsid w:val="6D2C4A68"/>
    <w:rsid w:val="6D3B2E78"/>
    <w:rsid w:val="6D3C3AC0"/>
    <w:rsid w:val="6D410335"/>
    <w:rsid w:val="6D4305C3"/>
    <w:rsid w:val="6D48445E"/>
    <w:rsid w:val="6D500B73"/>
    <w:rsid w:val="6D666AA6"/>
    <w:rsid w:val="6D687043"/>
    <w:rsid w:val="6D7D6DC8"/>
    <w:rsid w:val="6D885EAB"/>
    <w:rsid w:val="6D953F0C"/>
    <w:rsid w:val="6DB67EBB"/>
    <w:rsid w:val="6DEF52E3"/>
    <w:rsid w:val="6E0E6A1E"/>
    <w:rsid w:val="6E2D763E"/>
    <w:rsid w:val="6E420FB1"/>
    <w:rsid w:val="6E953983"/>
    <w:rsid w:val="6E95768E"/>
    <w:rsid w:val="6EA14900"/>
    <w:rsid w:val="6EB27AA3"/>
    <w:rsid w:val="6EBD1CFE"/>
    <w:rsid w:val="6EF9461D"/>
    <w:rsid w:val="6F1348E9"/>
    <w:rsid w:val="6F2A01FE"/>
    <w:rsid w:val="6F2A71A4"/>
    <w:rsid w:val="6F9415EA"/>
    <w:rsid w:val="6FB72F84"/>
    <w:rsid w:val="6FCA5E7C"/>
    <w:rsid w:val="6FE3419F"/>
    <w:rsid w:val="6FF778F1"/>
    <w:rsid w:val="700346D4"/>
    <w:rsid w:val="700972F0"/>
    <w:rsid w:val="70287F2C"/>
    <w:rsid w:val="70AF69EB"/>
    <w:rsid w:val="70F97D93"/>
    <w:rsid w:val="71181113"/>
    <w:rsid w:val="711D7CA6"/>
    <w:rsid w:val="71227E63"/>
    <w:rsid w:val="71614B6B"/>
    <w:rsid w:val="71880879"/>
    <w:rsid w:val="718D2905"/>
    <w:rsid w:val="719909D2"/>
    <w:rsid w:val="719B61D4"/>
    <w:rsid w:val="71A10922"/>
    <w:rsid w:val="71D214DD"/>
    <w:rsid w:val="71F62920"/>
    <w:rsid w:val="72091DAA"/>
    <w:rsid w:val="72267D97"/>
    <w:rsid w:val="724E29D1"/>
    <w:rsid w:val="728564F5"/>
    <w:rsid w:val="728B7ACE"/>
    <w:rsid w:val="728E70EC"/>
    <w:rsid w:val="729701CD"/>
    <w:rsid w:val="729C31BE"/>
    <w:rsid w:val="72AB431D"/>
    <w:rsid w:val="72DA09BB"/>
    <w:rsid w:val="72E745EF"/>
    <w:rsid w:val="730E0485"/>
    <w:rsid w:val="730E4D7D"/>
    <w:rsid w:val="731466EF"/>
    <w:rsid w:val="73212A01"/>
    <w:rsid w:val="73322FF0"/>
    <w:rsid w:val="733712FB"/>
    <w:rsid w:val="73460FB0"/>
    <w:rsid w:val="73513F28"/>
    <w:rsid w:val="735A7119"/>
    <w:rsid w:val="736127BE"/>
    <w:rsid w:val="739E0038"/>
    <w:rsid w:val="73B34591"/>
    <w:rsid w:val="73D850A2"/>
    <w:rsid w:val="73DE7F6C"/>
    <w:rsid w:val="73E365CE"/>
    <w:rsid w:val="73E64B1D"/>
    <w:rsid w:val="740735EA"/>
    <w:rsid w:val="7408106C"/>
    <w:rsid w:val="7412351E"/>
    <w:rsid w:val="74BE4E97"/>
    <w:rsid w:val="74D504C8"/>
    <w:rsid w:val="74F679F1"/>
    <w:rsid w:val="74F841F7"/>
    <w:rsid w:val="75003D28"/>
    <w:rsid w:val="750445F2"/>
    <w:rsid w:val="751D637E"/>
    <w:rsid w:val="751F2555"/>
    <w:rsid w:val="753504B8"/>
    <w:rsid w:val="75466A74"/>
    <w:rsid w:val="757F267E"/>
    <w:rsid w:val="758418D8"/>
    <w:rsid w:val="75A17528"/>
    <w:rsid w:val="75AA6AC3"/>
    <w:rsid w:val="75B749A9"/>
    <w:rsid w:val="75C518F0"/>
    <w:rsid w:val="75CB1443"/>
    <w:rsid w:val="75CD3F16"/>
    <w:rsid w:val="761A34DA"/>
    <w:rsid w:val="76781DCD"/>
    <w:rsid w:val="76D84698"/>
    <w:rsid w:val="775865D7"/>
    <w:rsid w:val="775A33B3"/>
    <w:rsid w:val="775B4584"/>
    <w:rsid w:val="776234AF"/>
    <w:rsid w:val="776D12AE"/>
    <w:rsid w:val="77895532"/>
    <w:rsid w:val="77AD0FE0"/>
    <w:rsid w:val="77BE7384"/>
    <w:rsid w:val="78821B50"/>
    <w:rsid w:val="788E2A2A"/>
    <w:rsid w:val="78C52EE0"/>
    <w:rsid w:val="78D23C9C"/>
    <w:rsid w:val="7913610A"/>
    <w:rsid w:val="791A167A"/>
    <w:rsid w:val="794D119C"/>
    <w:rsid w:val="796B6F7E"/>
    <w:rsid w:val="79935707"/>
    <w:rsid w:val="799A2128"/>
    <w:rsid w:val="79C0552F"/>
    <w:rsid w:val="79C30D65"/>
    <w:rsid w:val="79CC3295"/>
    <w:rsid w:val="7A0B1561"/>
    <w:rsid w:val="7A25258A"/>
    <w:rsid w:val="7A2C646D"/>
    <w:rsid w:val="7A55546C"/>
    <w:rsid w:val="7A743686"/>
    <w:rsid w:val="7A824E2E"/>
    <w:rsid w:val="7A9E7BE0"/>
    <w:rsid w:val="7AFF6437"/>
    <w:rsid w:val="7B021BF1"/>
    <w:rsid w:val="7B9F2862"/>
    <w:rsid w:val="7BA9751C"/>
    <w:rsid w:val="7BAB44F6"/>
    <w:rsid w:val="7BB856C6"/>
    <w:rsid w:val="7BBB27D3"/>
    <w:rsid w:val="7BC24A45"/>
    <w:rsid w:val="7BD52A90"/>
    <w:rsid w:val="7BDD4258"/>
    <w:rsid w:val="7C076616"/>
    <w:rsid w:val="7C0D60AB"/>
    <w:rsid w:val="7C295DFC"/>
    <w:rsid w:val="7C4B37FA"/>
    <w:rsid w:val="7C58255B"/>
    <w:rsid w:val="7C5B5FF8"/>
    <w:rsid w:val="7C910DB6"/>
    <w:rsid w:val="7CE40775"/>
    <w:rsid w:val="7CF03F88"/>
    <w:rsid w:val="7CF73786"/>
    <w:rsid w:val="7D5E51C4"/>
    <w:rsid w:val="7D7525FB"/>
    <w:rsid w:val="7DC111D1"/>
    <w:rsid w:val="7DC43A43"/>
    <w:rsid w:val="7DC74225"/>
    <w:rsid w:val="7DDA69EF"/>
    <w:rsid w:val="7DDD18D5"/>
    <w:rsid w:val="7E6C26A2"/>
    <w:rsid w:val="7EB35583"/>
    <w:rsid w:val="7EB5276C"/>
    <w:rsid w:val="7EBC57D7"/>
    <w:rsid w:val="7ED0794B"/>
    <w:rsid w:val="7ED70A6F"/>
    <w:rsid w:val="7EE20D78"/>
    <w:rsid w:val="7F3206AA"/>
    <w:rsid w:val="7F4D2355"/>
    <w:rsid w:val="7F5E6382"/>
    <w:rsid w:val="7F5F2553"/>
    <w:rsid w:val="7F89742A"/>
    <w:rsid w:val="7F9B22D0"/>
    <w:rsid w:val="7F9F74D0"/>
    <w:rsid w:val="7FA200C0"/>
    <w:rsid w:val="7FA23B7F"/>
    <w:rsid w:val="7FBE60DA"/>
    <w:rsid w:val="7FBF3588"/>
    <w:rsid w:val="7FDE4F4F"/>
    <w:rsid w:val="7FEB69A3"/>
    <w:rsid w:val="7FFB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35"/>
    <w:qFormat/>
    <w:uiPriority w:val="0"/>
    <w:rPr>
      <w:rFonts w:ascii="宋体" w:hAnsi="Tahoma"/>
      <w:sz w:val="18"/>
      <w:szCs w:val="18"/>
    </w:rPr>
  </w:style>
  <w:style w:type="paragraph" w:styleId="8">
    <w:name w:val="annotation text"/>
    <w:basedOn w:val="1"/>
    <w:link w:val="64"/>
    <w:semiHidden/>
    <w:qFormat/>
    <w:uiPriority w:val="99"/>
    <w:pPr>
      <w:jc w:val="left"/>
    </w:pPr>
    <w:rPr>
      <w:rFonts w:ascii="Tahoma" w:hAnsi="Tahoma"/>
    </w:rPr>
  </w:style>
  <w:style w:type="paragraph" w:styleId="9">
    <w:name w:val="Body Text 3"/>
    <w:basedOn w:val="1"/>
    <w:qFormat/>
    <w:uiPriority w:val="0"/>
    <w:rPr>
      <w:kern w:val="0"/>
      <w:sz w:val="16"/>
      <w:szCs w:val="16"/>
    </w:rPr>
  </w:style>
  <w:style w:type="paragraph" w:styleId="10">
    <w:name w:val="Body Text"/>
    <w:basedOn w:val="1"/>
    <w:qFormat/>
    <w:uiPriority w:val="0"/>
    <w:pPr>
      <w:spacing w:after="120"/>
    </w:pPr>
  </w:style>
  <w:style w:type="paragraph" w:styleId="11">
    <w:name w:val="Body Text Indent"/>
    <w:basedOn w:val="1"/>
    <w:qFormat/>
    <w:uiPriority w:val="0"/>
    <w:pPr>
      <w:spacing w:after="120"/>
      <w:ind w:left="420" w:leftChars="200"/>
    </w:pPr>
  </w:style>
  <w:style w:type="paragraph" w:styleId="12">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3">
    <w:name w:val="toc 3"/>
    <w:basedOn w:val="1"/>
    <w:next w:val="1"/>
    <w:unhideWhenUsed/>
    <w:qFormat/>
    <w:uiPriority w:val="39"/>
    <w:pPr>
      <w:ind w:left="840" w:leftChars="400"/>
    </w:pPr>
    <w:rPr>
      <w:sz w:val="28"/>
    </w:rPr>
  </w:style>
  <w:style w:type="paragraph" w:styleId="14">
    <w:name w:val="Plain Text"/>
    <w:basedOn w:val="1"/>
    <w:qFormat/>
    <w:uiPriority w:val="0"/>
    <w:rPr>
      <w:rFonts w:ascii="宋体" w:hAnsi="Courier New" w:eastAsia="楷体_GB2312"/>
      <w:snapToGrid w:val="0"/>
      <w:color w:val="000000"/>
      <w:kern w:val="0"/>
      <w:sz w:val="32"/>
      <w:szCs w:val="21"/>
    </w:rPr>
  </w:style>
  <w:style w:type="paragraph" w:styleId="15">
    <w:name w:val="Date"/>
    <w:basedOn w:val="1"/>
    <w:next w:val="1"/>
    <w:qFormat/>
    <w:uiPriority w:val="0"/>
    <w:rPr>
      <w:rFonts w:ascii="楷体_GB2312" w:eastAsia="楷体_GB2312"/>
      <w:color w:val="000000"/>
      <w:kern w:val="0"/>
      <w:sz w:val="32"/>
      <w:szCs w:val="32"/>
    </w:rPr>
  </w:style>
  <w:style w:type="paragraph" w:styleId="16">
    <w:name w:val="Body Text Indent 2"/>
    <w:basedOn w:val="1"/>
    <w:qFormat/>
    <w:uiPriority w:val="0"/>
    <w:pPr>
      <w:autoSpaceDE w:val="0"/>
      <w:autoSpaceDN w:val="0"/>
      <w:adjustRightInd w:val="0"/>
      <w:spacing w:line="489" w:lineRule="atLeast"/>
      <w:ind w:firstLine="709"/>
      <w:jc w:val="left"/>
    </w:pPr>
    <w:rPr>
      <w:rFonts w:ascii="华文仿宋" w:hAnsi="华文仿宋" w:eastAsia="华文仿宋"/>
      <w:color w:val="000000"/>
      <w:kern w:val="0"/>
      <w:sz w:val="32"/>
      <w:szCs w:val="32"/>
    </w:rPr>
  </w:style>
  <w:style w:type="paragraph" w:styleId="17">
    <w:name w:val="Balloon Text"/>
    <w:basedOn w:val="1"/>
    <w:unhideWhenUsed/>
    <w:qFormat/>
    <w:uiPriority w:val="0"/>
    <w:rPr>
      <w:sz w:val="18"/>
      <w:szCs w:val="18"/>
    </w:rPr>
  </w:style>
  <w:style w:type="paragraph" w:styleId="18">
    <w:name w:val="footer"/>
    <w:basedOn w:val="1"/>
    <w:link w:val="58"/>
    <w:qFormat/>
    <w:uiPriority w:val="99"/>
    <w:pPr>
      <w:tabs>
        <w:tab w:val="center" w:pos="4153"/>
        <w:tab w:val="right" w:pos="8306"/>
      </w:tabs>
      <w:snapToGrid w:val="0"/>
      <w:jc w:val="left"/>
    </w:pPr>
    <w:rPr>
      <w:rFonts w:ascii="Tahoma" w:hAnsi="Tahoma"/>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Body Text Indent 3"/>
    <w:basedOn w:val="1"/>
    <w:qFormat/>
    <w:uiPriority w:val="0"/>
    <w:pPr>
      <w:ind w:left="359" w:leftChars="171" w:firstLine="554" w:firstLineChars="198"/>
    </w:pPr>
    <w:rPr>
      <w:sz w:val="28"/>
      <w:szCs w:val="20"/>
    </w:rPr>
  </w:style>
  <w:style w:type="paragraph" w:styleId="22">
    <w:name w:val="toc 2"/>
    <w:basedOn w:val="1"/>
    <w:next w:val="1"/>
    <w:qFormat/>
    <w:uiPriority w:val="39"/>
    <w:pPr>
      <w:ind w:left="420" w:leftChars="200"/>
    </w:pPr>
  </w:style>
  <w:style w:type="paragraph" w:styleId="23">
    <w:name w:val="Body Text 2"/>
    <w:basedOn w:val="1"/>
    <w:qFormat/>
    <w:uiPriority w:val="0"/>
    <w:pPr>
      <w:spacing w:after="120" w:line="480" w:lineRule="auto"/>
    </w:pPr>
  </w:style>
  <w:style w:type="paragraph" w:styleId="24">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5">
    <w:name w:val="annotation subject"/>
    <w:basedOn w:val="8"/>
    <w:next w:val="8"/>
    <w:link w:val="62"/>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rFonts w:ascii="Tahoma" w:hAnsi="Tahoma"/>
      <w:b/>
      <w:bCs/>
      <w:sz w:val="24"/>
    </w:rPr>
  </w:style>
  <w:style w:type="character" w:styleId="30">
    <w:name w:val="page number"/>
    <w:basedOn w:val="28"/>
    <w:qFormat/>
    <w:uiPriority w:val="0"/>
  </w:style>
  <w:style w:type="character" w:styleId="31">
    <w:name w:val="FollowedHyperlink"/>
    <w:qFormat/>
    <w:uiPriority w:val="0"/>
    <w:rPr>
      <w:rFonts w:ascii="Tahoma" w:hAnsi="Tahoma"/>
      <w:color w:val="000000"/>
      <w:sz w:val="18"/>
      <w:szCs w:val="18"/>
      <w:u w:val="none"/>
    </w:rPr>
  </w:style>
  <w:style w:type="character" w:styleId="32">
    <w:name w:val="Hyperlink"/>
    <w:qFormat/>
    <w:uiPriority w:val="99"/>
    <w:rPr>
      <w:rFonts w:ascii="Tahoma" w:hAnsi="Tahoma"/>
      <w:color w:val="0000FF"/>
      <w:sz w:val="24"/>
      <w:u w:val="single"/>
    </w:rPr>
  </w:style>
  <w:style w:type="character" w:styleId="33">
    <w:name w:val="annotation reference"/>
    <w:unhideWhenUsed/>
    <w:qFormat/>
    <w:uiPriority w:val="99"/>
    <w:rPr>
      <w:rFonts w:ascii="Tahoma" w:hAnsi="Tahoma"/>
      <w:sz w:val="21"/>
      <w:szCs w:val="21"/>
    </w:rPr>
  </w:style>
  <w:style w:type="character" w:customStyle="1" w:styleId="34">
    <w:name w:val="cfdate"/>
    <w:basedOn w:val="28"/>
    <w:qFormat/>
    <w:uiPriority w:val="0"/>
    <w:rPr>
      <w:color w:val="333333"/>
      <w:sz w:val="18"/>
      <w:szCs w:val="18"/>
    </w:rPr>
  </w:style>
  <w:style w:type="character" w:customStyle="1" w:styleId="35">
    <w:name w:val="文档结构图 Char"/>
    <w:link w:val="7"/>
    <w:qFormat/>
    <w:uiPriority w:val="0"/>
    <w:rPr>
      <w:rFonts w:ascii="宋体" w:hAnsi="Tahoma"/>
      <w:kern w:val="2"/>
      <w:sz w:val="18"/>
      <w:szCs w:val="18"/>
    </w:rPr>
  </w:style>
  <w:style w:type="character" w:customStyle="1" w:styleId="36">
    <w:name w:val="copyright"/>
    <w:basedOn w:val="28"/>
    <w:qFormat/>
    <w:uiPriority w:val="0"/>
  </w:style>
  <w:style w:type="character" w:customStyle="1" w:styleId="37">
    <w:name w:val="Char Char6"/>
    <w:qFormat/>
    <w:uiPriority w:val="0"/>
    <w:rPr>
      <w:rFonts w:ascii="Tahoma" w:hAnsi="Tahoma" w:eastAsia="宋体"/>
      <w:b/>
      <w:bCs/>
      <w:kern w:val="2"/>
      <w:sz w:val="32"/>
      <w:szCs w:val="32"/>
      <w:lang w:val="en-US" w:eastAsia="zh-CN" w:bidi="ar-SA"/>
    </w:rPr>
  </w:style>
  <w:style w:type="character" w:customStyle="1" w:styleId="38">
    <w:name w:val="qxdate"/>
    <w:basedOn w:val="28"/>
    <w:qFormat/>
    <w:uiPriority w:val="0"/>
    <w:rPr>
      <w:color w:val="333333"/>
      <w:sz w:val="18"/>
      <w:szCs w:val="18"/>
    </w:rPr>
  </w:style>
  <w:style w:type="character" w:customStyle="1" w:styleId="39">
    <w:name w:val="gjfg"/>
    <w:basedOn w:val="28"/>
    <w:qFormat/>
    <w:uiPriority w:val="0"/>
  </w:style>
  <w:style w:type="character" w:customStyle="1" w:styleId="40">
    <w:name w:val="Char Char3"/>
    <w:semiHidden/>
    <w:qFormat/>
    <w:uiPriority w:val="0"/>
    <w:rPr>
      <w:rFonts w:ascii="Tahoma" w:hAnsi="Tahoma" w:eastAsia="宋体"/>
      <w:kern w:val="2"/>
      <w:sz w:val="18"/>
      <w:szCs w:val="18"/>
      <w:lang w:val="en-US" w:eastAsia="zh-CN" w:bidi="ar-SA"/>
    </w:rPr>
  </w:style>
  <w:style w:type="character" w:customStyle="1" w:styleId="41">
    <w:name w:val="普通文字 Char2"/>
    <w:qFormat/>
    <w:uiPriority w:val="0"/>
    <w:rPr>
      <w:rFonts w:ascii="宋体" w:hAnsi="Courier New" w:eastAsia="楷体_GB2312"/>
      <w:snapToGrid w:val="0"/>
      <w:color w:val="000000"/>
      <w:sz w:val="32"/>
      <w:szCs w:val="21"/>
      <w:lang w:val="en-US" w:eastAsia="zh-CN" w:bidi="ar-SA"/>
    </w:rPr>
  </w:style>
  <w:style w:type="character" w:customStyle="1" w:styleId="42">
    <w:name w:val="Char Char4"/>
    <w:qFormat/>
    <w:uiPriority w:val="0"/>
    <w:rPr>
      <w:rFonts w:ascii="Tahoma" w:hAnsi="Tahoma" w:eastAsia="宋体"/>
      <w:kern w:val="2"/>
      <w:sz w:val="18"/>
      <w:szCs w:val="18"/>
      <w:lang w:val="en-US" w:eastAsia="zh-CN" w:bidi="ar-SA"/>
    </w:rPr>
  </w:style>
  <w:style w:type="character" w:customStyle="1" w:styleId="43">
    <w:name w:val="font51"/>
    <w:qFormat/>
    <w:uiPriority w:val="0"/>
    <w:rPr>
      <w:rFonts w:hint="eastAsia" w:ascii="宋体" w:hAnsi="宋体" w:eastAsia="宋体" w:cs="宋体"/>
      <w:color w:val="000000"/>
      <w:sz w:val="21"/>
      <w:szCs w:val="21"/>
      <w:u w:val="none"/>
    </w:rPr>
  </w:style>
  <w:style w:type="character" w:customStyle="1" w:styleId="44">
    <w:name w:val="Char Char1"/>
    <w:semiHidden/>
    <w:qFormat/>
    <w:uiPriority w:val="0"/>
    <w:rPr>
      <w:rFonts w:ascii="Tahoma" w:hAnsi="Tahoma" w:eastAsia="宋体"/>
      <w:kern w:val="2"/>
      <w:sz w:val="28"/>
      <w:lang w:val="en-US" w:eastAsia="zh-CN" w:bidi="ar-SA"/>
    </w:rPr>
  </w:style>
  <w:style w:type="character" w:customStyle="1" w:styleId="45">
    <w:name w:val="profont1"/>
    <w:qFormat/>
    <w:uiPriority w:val="0"/>
    <w:rPr>
      <w:rFonts w:hint="default" w:ascii="Verdana" w:hAnsi="Verdana"/>
      <w:b/>
      <w:bCs/>
      <w:color w:val="333333"/>
      <w:sz w:val="24"/>
      <w:szCs w:val="24"/>
      <w:u w:val="none"/>
    </w:rPr>
  </w:style>
  <w:style w:type="character" w:customStyle="1" w:styleId="46">
    <w:name w:val="标题 2 Char"/>
    <w:qFormat/>
    <w:uiPriority w:val="0"/>
    <w:rPr>
      <w:rFonts w:ascii="Arial" w:hAnsi="Arial" w:eastAsia="黑体"/>
      <w:b/>
      <w:bCs/>
      <w:kern w:val="2"/>
      <w:sz w:val="32"/>
      <w:szCs w:val="32"/>
      <w:lang w:val="en-US" w:eastAsia="zh-CN" w:bidi="ar-SA"/>
    </w:rPr>
  </w:style>
  <w:style w:type="character" w:customStyle="1" w:styleId="47">
    <w:name w:val="Char Char5"/>
    <w:qFormat/>
    <w:uiPriority w:val="0"/>
    <w:rPr>
      <w:rFonts w:ascii="Tahoma" w:hAnsi="Tahoma" w:eastAsia="宋体"/>
      <w:kern w:val="2"/>
      <w:sz w:val="18"/>
      <w:szCs w:val="18"/>
      <w:lang w:val="en-US" w:eastAsia="zh-CN" w:bidi="ar-SA"/>
    </w:rPr>
  </w:style>
  <w:style w:type="character" w:customStyle="1" w:styleId="48">
    <w:name w:val="标题 1.1 Char1"/>
    <w:qFormat/>
    <w:uiPriority w:val="0"/>
    <w:rPr>
      <w:rFonts w:ascii="Arial" w:hAnsi="Arial" w:eastAsia="黑体"/>
      <w:b/>
      <w:bCs/>
      <w:kern w:val="2"/>
      <w:sz w:val="32"/>
      <w:szCs w:val="32"/>
      <w:lang w:val="en-US" w:eastAsia="zh-CN" w:bidi="ar-SA"/>
    </w:rPr>
  </w:style>
  <w:style w:type="character" w:customStyle="1" w:styleId="49">
    <w:name w:val="font01"/>
    <w:qFormat/>
    <w:uiPriority w:val="0"/>
    <w:rPr>
      <w:rFonts w:hint="eastAsia" w:ascii="宋体" w:hAnsi="宋体" w:eastAsia="宋体" w:cs="宋体"/>
      <w:color w:val="000000"/>
      <w:sz w:val="24"/>
      <w:szCs w:val="24"/>
      <w:u w:val="none"/>
    </w:rPr>
  </w:style>
  <w:style w:type="character" w:customStyle="1" w:styleId="50">
    <w:name w:val="font11"/>
    <w:qFormat/>
    <w:uiPriority w:val="0"/>
    <w:rPr>
      <w:rFonts w:hint="eastAsia" w:ascii="宋体" w:hAnsi="宋体" w:eastAsia="宋体" w:cs="宋体"/>
      <w:b/>
      <w:color w:val="000000"/>
      <w:sz w:val="24"/>
      <w:szCs w:val="24"/>
      <w:u w:val="none"/>
    </w:rPr>
  </w:style>
  <w:style w:type="character" w:customStyle="1" w:styleId="51">
    <w:name w:val="Char Char"/>
    <w:qFormat/>
    <w:uiPriority w:val="0"/>
    <w:rPr>
      <w:rFonts w:ascii="Tahoma" w:hAnsi="Tahoma"/>
      <w:kern w:val="2"/>
      <w:sz w:val="21"/>
      <w:szCs w:val="24"/>
    </w:rPr>
  </w:style>
  <w:style w:type="character" w:customStyle="1" w:styleId="52">
    <w:name w:val="style111"/>
    <w:qFormat/>
    <w:uiPriority w:val="0"/>
    <w:rPr>
      <w:rFonts w:ascii="Tahoma" w:hAnsi="Tahoma"/>
      <w:sz w:val="22"/>
      <w:szCs w:val="22"/>
    </w:rPr>
  </w:style>
  <w:style w:type="character" w:customStyle="1" w:styleId="53">
    <w:name w:val="displayarti"/>
    <w:basedOn w:val="28"/>
    <w:qFormat/>
    <w:uiPriority w:val="0"/>
    <w:rPr>
      <w:color w:val="FFFFFF"/>
      <w:shd w:val="clear" w:color="auto" w:fill="A00000"/>
    </w:rPr>
  </w:style>
  <w:style w:type="character" w:customStyle="1" w:styleId="54">
    <w:name w:val="Char Char7"/>
    <w:qFormat/>
    <w:uiPriority w:val="0"/>
    <w:rPr>
      <w:rFonts w:ascii="Tahoma" w:hAnsi="Tahoma" w:eastAsia="宋体"/>
      <w:b/>
      <w:bCs/>
      <w:kern w:val="44"/>
      <w:sz w:val="44"/>
      <w:szCs w:val="44"/>
      <w:lang w:val="en-US" w:eastAsia="zh-CN" w:bidi="ar-SA"/>
    </w:rPr>
  </w:style>
  <w:style w:type="character" w:customStyle="1" w:styleId="55">
    <w:name w:val="font31"/>
    <w:qFormat/>
    <w:uiPriority w:val="0"/>
    <w:rPr>
      <w:rFonts w:hint="eastAsia" w:ascii="宋体" w:hAnsi="宋体" w:eastAsia="宋体" w:cs="宋体"/>
      <w:color w:val="000000"/>
      <w:sz w:val="21"/>
      <w:szCs w:val="21"/>
      <w:u w:val="none"/>
    </w:rPr>
  </w:style>
  <w:style w:type="character" w:customStyle="1" w:styleId="56">
    <w:name w:val="Char Char2"/>
    <w:qFormat/>
    <w:uiPriority w:val="0"/>
    <w:rPr>
      <w:rFonts w:ascii="华文仿宋" w:hAnsi="华文仿宋" w:eastAsia="华文仿宋"/>
      <w:color w:val="000000"/>
      <w:sz w:val="32"/>
      <w:szCs w:val="32"/>
      <w:lang w:val="en-US" w:eastAsia="zh-CN" w:bidi="ar-SA"/>
    </w:rPr>
  </w:style>
  <w:style w:type="character" w:customStyle="1" w:styleId="57">
    <w:name w:val="style51"/>
    <w:qFormat/>
    <w:uiPriority w:val="0"/>
    <w:rPr>
      <w:rFonts w:ascii="Tahoma" w:hAnsi="Tahoma"/>
      <w:b/>
      <w:bCs/>
      <w:color w:val="814107"/>
      <w:sz w:val="21"/>
      <w:szCs w:val="21"/>
    </w:rPr>
  </w:style>
  <w:style w:type="character" w:customStyle="1" w:styleId="58">
    <w:name w:val="页脚 Char"/>
    <w:link w:val="18"/>
    <w:qFormat/>
    <w:uiPriority w:val="99"/>
    <w:rPr>
      <w:rFonts w:ascii="Tahoma" w:hAnsi="Tahoma"/>
      <w:kern w:val="2"/>
      <w:sz w:val="18"/>
      <w:szCs w:val="18"/>
    </w:rPr>
  </w:style>
  <w:style w:type="character" w:customStyle="1" w:styleId="59">
    <w:name w:val="标题 1.1 Char"/>
    <w:qFormat/>
    <w:uiPriority w:val="0"/>
    <w:rPr>
      <w:rFonts w:ascii="仿宋_GB2312" w:hAnsi="Arial" w:eastAsia="仿宋_GB2312" w:cs="Arial"/>
      <w:b/>
      <w:bCs/>
      <w:kern w:val="2"/>
      <w:sz w:val="24"/>
      <w:szCs w:val="24"/>
      <w:lang w:val="en-US" w:eastAsia="zh-CN" w:bidi="ar-SA"/>
    </w:rPr>
  </w:style>
  <w:style w:type="character" w:customStyle="1" w:styleId="60">
    <w:name w:val="普通文字 Char1"/>
    <w:qFormat/>
    <w:uiPriority w:val="0"/>
    <w:rPr>
      <w:rFonts w:ascii="宋体" w:hAnsi="Courier New" w:eastAsia="宋体"/>
      <w:kern w:val="2"/>
      <w:sz w:val="21"/>
      <w:szCs w:val="21"/>
      <w:lang w:val="en-US" w:eastAsia="zh-CN" w:bidi="ar-SA"/>
    </w:rPr>
  </w:style>
  <w:style w:type="character" w:customStyle="1" w:styleId="61">
    <w:name w:val="font41"/>
    <w:qFormat/>
    <w:uiPriority w:val="0"/>
    <w:rPr>
      <w:rFonts w:ascii="font-weight : 400" w:hAnsi="font-weight : 400" w:eastAsia="font-weight : 400" w:cs="font-weight : 400"/>
      <w:color w:val="000000"/>
      <w:sz w:val="21"/>
      <w:szCs w:val="21"/>
      <w:u w:val="none"/>
    </w:rPr>
  </w:style>
  <w:style w:type="character" w:customStyle="1" w:styleId="62">
    <w:name w:val="批注主题 Char"/>
    <w:link w:val="25"/>
    <w:qFormat/>
    <w:uiPriority w:val="0"/>
    <w:rPr>
      <w:rFonts w:ascii="Tahoma" w:hAnsi="Tahoma"/>
      <w:b/>
      <w:bCs/>
      <w:kern w:val="2"/>
      <w:sz w:val="21"/>
      <w:szCs w:val="24"/>
    </w:rPr>
  </w:style>
  <w:style w:type="character" w:customStyle="1" w:styleId="63">
    <w:name w:val="redfilefwwh"/>
    <w:basedOn w:val="28"/>
    <w:qFormat/>
    <w:uiPriority w:val="0"/>
    <w:rPr>
      <w:color w:val="BA2636"/>
      <w:sz w:val="18"/>
      <w:szCs w:val="18"/>
    </w:rPr>
  </w:style>
  <w:style w:type="character" w:customStyle="1" w:styleId="64">
    <w:name w:val="批注文字 Char"/>
    <w:link w:val="8"/>
    <w:semiHidden/>
    <w:qFormat/>
    <w:uiPriority w:val="99"/>
    <w:rPr>
      <w:rFonts w:ascii="Tahoma" w:hAnsi="Tahoma"/>
      <w:kern w:val="2"/>
      <w:sz w:val="21"/>
      <w:szCs w:val="24"/>
    </w:rPr>
  </w:style>
  <w:style w:type="character" w:customStyle="1" w:styleId="65">
    <w:name w:val="redfilenumber"/>
    <w:basedOn w:val="28"/>
    <w:qFormat/>
    <w:uiPriority w:val="0"/>
    <w:rPr>
      <w:color w:val="BA2636"/>
      <w:sz w:val="18"/>
      <w:szCs w:val="18"/>
    </w:rPr>
  </w:style>
  <w:style w:type="paragraph" w:customStyle="1" w:styleId="66">
    <w:name w:val="Char1 Char Char Char"/>
    <w:basedOn w:val="1"/>
    <w:qFormat/>
    <w:uiPriority w:val="0"/>
    <w:pPr>
      <w:adjustRightInd w:val="0"/>
      <w:spacing w:line="360" w:lineRule="auto"/>
    </w:pPr>
    <w:rPr>
      <w:kern w:val="0"/>
      <w:sz w:val="24"/>
      <w:szCs w:val="20"/>
    </w:rPr>
  </w:style>
  <w:style w:type="paragraph" w:customStyle="1" w:styleId="6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8">
    <w:name w:val="_Style 2"/>
    <w:basedOn w:val="1"/>
    <w:qFormat/>
    <w:uiPriority w:val="34"/>
    <w:pPr>
      <w:ind w:firstLine="420" w:firstLineChars="200"/>
    </w:pPr>
  </w:style>
  <w:style w:type="paragraph" w:customStyle="1" w:styleId="69">
    <w:name w:val="Char Char Char Char Char Char"/>
    <w:basedOn w:val="1"/>
    <w:qFormat/>
    <w:uiPriority w:val="0"/>
    <w:rPr>
      <w:rFonts w:ascii="Tahoma" w:hAnsi="Tahoma"/>
      <w:sz w:val="24"/>
    </w:rPr>
  </w:style>
  <w:style w:type="paragraph" w:customStyle="1" w:styleId="70">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1">
    <w:name w:val="Char Char Char"/>
    <w:basedOn w:val="1"/>
    <w:qFormat/>
    <w:uiPriority w:val="0"/>
    <w:rPr>
      <w:rFonts w:ascii="Tahoma" w:hAnsi="Tahoma"/>
      <w:sz w:val="24"/>
      <w:szCs w:val="20"/>
    </w:rPr>
  </w:style>
  <w:style w:type="paragraph" w:customStyle="1" w:styleId="7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样式 宋体 三号 加粗 居中 行距: 最小值 12 磅"/>
    <w:basedOn w:val="1"/>
    <w:qFormat/>
    <w:uiPriority w:val="0"/>
    <w:pPr>
      <w:spacing w:line="240" w:lineRule="atLeast"/>
      <w:jc w:val="center"/>
    </w:pPr>
    <w:rPr>
      <w:rFonts w:ascii="宋体" w:hAnsi="宋体" w:cs="宋体"/>
      <w:b/>
      <w:bCs/>
      <w:szCs w:val="20"/>
    </w:rPr>
  </w:style>
  <w:style w:type="paragraph" w:customStyle="1" w:styleId="7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二级条标题"/>
    <w:basedOn w:val="76"/>
    <w:next w:val="1"/>
    <w:qFormat/>
    <w:uiPriority w:val="0"/>
    <w:pPr>
      <w:numPr>
        <w:ilvl w:val="3"/>
      </w:numPr>
      <w:outlineLvl w:val="3"/>
    </w:pPr>
  </w:style>
  <w:style w:type="paragraph" w:customStyle="1" w:styleId="76">
    <w:name w:val="一级条标题"/>
    <w:basedOn w:val="70"/>
    <w:next w:val="1"/>
    <w:qFormat/>
    <w:uiPriority w:val="0"/>
    <w:pPr>
      <w:numPr>
        <w:ilvl w:val="2"/>
      </w:numPr>
      <w:spacing w:beforeLines="0" w:afterLines="0"/>
      <w:outlineLvl w:val="2"/>
    </w:pPr>
  </w:style>
  <w:style w:type="paragraph" w:customStyle="1" w:styleId="77">
    <w:name w:val="Char Char Char1"/>
    <w:basedOn w:val="1"/>
    <w:qFormat/>
    <w:uiPriority w:val="0"/>
    <w:rPr>
      <w:rFonts w:ascii="Tahoma" w:hAnsi="Tahoma"/>
      <w:sz w:val="24"/>
      <w:szCs w:val="20"/>
    </w:rPr>
  </w:style>
  <w:style w:type="paragraph" w:customStyle="1" w:styleId="78">
    <w:name w:val="样式5"/>
    <w:basedOn w:val="79"/>
    <w:qFormat/>
    <w:uiPriority w:val="0"/>
    <w:pPr>
      <w:numPr>
        <w:ilvl w:val="3"/>
      </w:numPr>
      <w:tabs>
        <w:tab w:val="left" w:pos="432"/>
      </w:tabs>
      <w:spacing w:before="156"/>
    </w:pPr>
  </w:style>
  <w:style w:type="paragraph" w:customStyle="1" w:styleId="79">
    <w:name w:val="样式4"/>
    <w:basedOn w:val="1"/>
    <w:qFormat/>
    <w:uiPriority w:val="0"/>
    <w:pPr>
      <w:numPr>
        <w:ilvl w:val="0"/>
        <w:numId w:val="2"/>
      </w:numPr>
      <w:spacing w:beforeLines="50"/>
      <w:outlineLvl w:val="2"/>
    </w:pPr>
    <w:rPr>
      <w:rFonts w:ascii="宋体" w:hAnsi="宋体" w:cs="MS Shell Dlg"/>
      <w:b/>
      <w:kern w:val="0"/>
      <w:szCs w:val="21"/>
    </w:rPr>
  </w:style>
  <w:style w:type="paragraph" w:customStyle="1" w:styleId="80">
    <w:name w:val="Char"/>
    <w:basedOn w:val="1"/>
    <w:qFormat/>
    <w:uiPriority w:val="0"/>
    <w:pPr>
      <w:adjustRightInd w:val="0"/>
      <w:spacing w:line="360" w:lineRule="auto"/>
    </w:pPr>
    <w:rPr>
      <w:kern w:val="0"/>
      <w:sz w:val="24"/>
      <w:szCs w:val="20"/>
    </w:rPr>
  </w:style>
  <w:style w:type="paragraph" w:customStyle="1" w:styleId="81">
    <w:name w:val="Char1"/>
    <w:basedOn w:val="1"/>
    <w:qFormat/>
    <w:uiPriority w:val="0"/>
    <w:pPr>
      <w:adjustRightInd w:val="0"/>
      <w:spacing w:line="360" w:lineRule="auto"/>
    </w:pPr>
    <w:rPr>
      <w:kern w:val="0"/>
      <w:sz w:val="24"/>
      <w:szCs w:val="20"/>
    </w:rPr>
  </w:style>
  <w:style w:type="paragraph" w:customStyle="1" w:styleId="82">
    <w:name w:val="三级条标题"/>
    <w:basedOn w:val="75"/>
    <w:next w:val="1"/>
    <w:qFormat/>
    <w:uiPriority w:val="0"/>
    <w:pPr>
      <w:numPr>
        <w:ilvl w:val="4"/>
      </w:numPr>
      <w:outlineLvl w:val="4"/>
    </w:pPr>
  </w:style>
  <w:style w:type="paragraph" w:customStyle="1" w:styleId="83">
    <w:name w:val="Char Char8"/>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Char Char Char Char Char Char Char"/>
    <w:basedOn w:val="1"/>
    <w:qFormat/>
    <w:uiPriority w:val="0"/>
    <w:rPr>
      <w:rFonts w:ascii="Tahoma" w:hAnsi="Tahoma" w:cs="Arial"/>
      <w:szCs w:val="21"/>
    </w:rPr>
  </w:style>
  <w:style w:type="paragraph" w:customStyle="1" w:styleId="85">
    <w:name w:val="样式8"/>
    <w:basedOn w:val="1"/>
    <w:qFormat/>
    <w:uiPriority w:val="0"/>
    <w:pPr>
      <w:numPr>
        <w:ilvl w:val="3"/>
        <w:numId w:val="3"/>
      </w:numPr>
      <w:tabs>
        <w:tab w:val="left" w:pos="1838"/>
        <w:tab w:val="clear" w:pos="1271"/>
      </w:tabs>
      <w:ind w:left="1838"/>
      <w:outlineLvl w:val="2"/>
    </w:pPr>
    <w:rPr>
      <w:rFonts w:ascii="宋体" w:hAnsi="宋体" w:cs="MS Shell Dlg"/>
      <w:kern w:val="0"/>
      <w:szCs w:val="21"/>
    </w:rPr>
  </w:style>
  <w:style w:type="paragraph" w:customStyle="1" w:styleId="86">
    <w:name w:val="px12black"/>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7">
    <w:name w:val="五级条标题"/>
    <w:basedOn w:val="88"/>
    <w:next w:val="1"/>
    <w:qFormat/>
    <w:uiPriority w:val="0"/>
    <w:pPr>
      <w:numPr>
        <w:ilvl w:val="6"/>
      </w:numPr>
      <w:outlineLvl w:val="6"/>
    </w:pPr>
  </w:style>
  <w:style w:type="paragraph" w:customStyle="1" w:styleId="88">
    <w:name w:val="四级条标题"/>
    <w:basedOn w:val="82"/>
    <w:next w:val="1"/>
    <w:qFormat/>
    <w:uiPriority w:val="0"/>
    <w:pPr>
      <w:numPr>
        <w:ilvl w:val="5"/>
      </w:numPr>
      <w:outlineLvl w:val="5"/>
    </w:pPr>
  </w:style>
  <w:style w:type="paragraph" w:customStyle="1" w:styleId="89">
    <w:name w:val="Normal Indent1"/>
    <w:basedOn w:val="1"/>
    <w:qFormat/>
    <w:uiPriority w:val="99"/>
    <w:pPr>
      <w:autoSpaceDE w:val="0"/>
      <w:autoSpaceDN w:val="0"/>
      <w:adjustRightInd w:val="0"/>
      <w:ind w:firstLine="420"/>
    </w:pPr>
    <w:rPr>
      <w:kern w:val="0"/>
      <w:szCs w:val="21"/>
    </w:rPr>
  </w:style>
  <w:style w:type="paragraph" w:customStyle="1" w:styleId="90">
    <w:name w:val="样式1"/>
    <w:basedOn w:val="1"/>
    <w:qFormat/>
    <w:uiPriority w:val="0"/>
    <w:pPr>
      <w:numPr>
        <w:ilvl w:val="0"/>
        <w:numId w:val="4"/>
      </w:numPr>
      <w:adjustRightInd w:val="0"/>
      <w:textAlignment w:val="baseline"/>
    </w:pPr>
    <w:rPr>
      <w:rFonts w:ascii="宋体" w:hAnsi="宋体"/>
      <w:kern w:val="0"/>
      <w:szCs w:val="21"/>
    </w:rPr>
  </w:style>
  <w:style w:type="paragraph" w:customStyle="1" w:styleId="91">
    <w:name w:val="样式6"/>
    <w:basedOn w:val="79"/>
    <w:qFormat/>
    <w:uiPriority w:val="0"/>
    <w:pPr>
      <w:numPr>
        <w:ilvl w:val="2"/>
      </w:numPr>
      <w:tabs>
        <w:tab w:val="clear" w:pos="432"/>
      </w:tabs>
      <w:spacing w:before="156"/>
      <w:outlineLvl w:val="4"/>
    </w:pPr>
    <w:rPr>
      <w:rFonts w:ascii="MS Shell Dlg" w:hAnsi="MS Shell Dlg"/>
    </w:rPr>
  </w:style>
  <w:style w:type="paragraph" w:styleId="92">
    <w:name w:val="List Paragraph"/>
    <w:basedOn w:val="1"/>
    <w:qFormat/>
    <w:uiPriority w:val="34"/>
    <w:pPr>
      <w:ind w:firstLine="420" w:firstLineChars="200"/>
    </w:pPr>
    <w:rPr>
      <w:sz w:val="28"/>
    </w:rPr>
  </w:style>
  <w:style w:type="paragraph" w:customStyle="1" w:styleId="93">
    <w:name w:val="列出段落1"/>
    <w:basedOn w:val="1"/>
    <w:qFormat/>
    <w:uiPriority w:val="0"/>
    <w:pPr>
      <w:ind w:firstLine="420" w:firstLineChars="200"/>
    </w:pPr>
    <w:rPr>
      <w:rFonts w:ascii="Calibri" w:hAnsi="Calibri"/>
      <w:kern w:val="0"/>
      <w:sz w:val="20"/>
      <w:szCs w:val="20"/>
    </w:rPr>
  </w:style>
  <w:style w:type="paragraph" w:customStyle="1" w:styleId="94">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95">
    <w:name w:val="Table Paragraph"/>
    <w:basedOn w:val="1"/>
    <w:unhideWhenUsed/>
    <w:qFormat/>
    <w:uiPriority w:val="1"/>
    <w:rPr>
      <w:rFonts w:hint="eastAsia"/>
      <w:sz w:val="24"/>
    </w:rPr>
  </w:style>
  <w:style w:type="paragraph" w:customStyle="1" w:styleId="96">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Default"/>
    <w:qFormat/>
    <w:uiPriority w:val="99"/>
    <w:pPr>
      <w:widowControl w:val="0"/>
      <w:autoSpaceDE w:val="0"/>
      <w:autoSpaceDN w:val="0"/>
      <w:adjustRightInd w:val="0"/>
    </w:pPr>
    <w:rPr>
      <w:rFonts w:ascii=".." w:hAnsi="Times New Roman"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2B2385-3158-4ADC-BD0F-6105BF37358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32147</Words>
  <Characters>12201</Characters>
  <Lines>101</Lines>
  <Paragraphs>88</Paragraphs>
  <TotalTime>4</TotalTime>
  <ScaleCrop>false</ScaleCrop>
  <LinksUpToDate>false</LinksUpToDate>
  <CharactersWithSpaces>44260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2018-07-02T23:53:00Z</dcterms:created>
  <dc:creator>风之客</dc:creator>
  <cp:lastModifiedBy>Administrator</cp:lastModifiedBy>
  <cp:lastPrinted>2019-09-01T07:55:00Z</cp:lastPrinted>
  <dcterms:modified xsi:type="dcterms:W3CDTF">2020-09-29T11:25:31Z</dcterms:modified>
  <dc:title>湖 北  招 标</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