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b/>
          <w:bCs/>
          <w:color w:val="auto"/>
          <w:sz w:val="28"/>
        </w:rPr>
        <w:t>湖 北 省 省 级 政 府 采 购 项 目</w:t>
      </w:r>
    </w:p>
    <w:p>
      <w:pPr>
        <w:pStyle w:val="11"/>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jc w:val="center"/>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spacing w:before="2" w:after="1"/>
        <w:rPr>
          <w:rFonts w:hint="eastAsia" w:asciiTheme="minorEastAsia" w:hAnsiTheme="minorEastAsia" w:eastAsiaTheme="minorEastAsia" w:cstheme="minorEastAsia"/>
          <w:color w:val="auto"/>
          <w:sz w:val="11"/>
        </w:rPr>
      </w:pPr>
    </w:p>
    <w:tbl>
      <w:tblPr>
        <w:tblStyle w:val="27"/>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line="320" w:lineRule="exact"/>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en-US" w:eastAsia="zh-CN"/>
              </w:rPr>
              <w:t>预算</w:t>
            </w:r>
            <w:r>
              <w:rPr>
                <w:rFonts w:hint="eastAsia" w:asciiTheme="minorEastAsia" w:hAnsiTheme="minorEastAsia" w:eastAsiaTheme="minorEastAsia" w:cstheme="minorEastAsia"/>
                <w:b/>
                <w:color w:val="auto"/>
                <w:sz w:val="28"/>
              </w:rPr>
              <w:t>执行</w:t>
            </w:r>
            <w:r>
              <w:rPr>
                <w:rFonts w:hint="eastAsia" w:asciiTheme="minorEastAsia" w:hAnsiTheme="minorEastAsia" w:eastAsiaTheme="minorEastAsia" w:cstheme="minorEastAsia"/>
                <w:b/>
                <w:color w:val="auto"/>
                <w:sz w:val="28"/>
                <w:lang w:val="en-US" w:eastAsia="zh-CN"/>
              </w:rPr>
              <w:t>计划</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96"/>
              <w:kinsoku w:val="0"/>
              <w:overflowPunct w:val="0"/>
              <w:spacing w:line="320"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en-US" w:eastAsia="zh-CN"/>
              </w:rPr>
              <w:t>鄂采计[2020]-15345号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3" w:line="242" w:lineRule="auto"/>
              <w:ind w:left="55" w:right="136"/>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项 目  编 号：</w:t>
            </w:r>
          </w:p>
        </w:tc>
        <w:tc>
          <w:tcPr>
            <w:tcW w:w="6053" w:type="dxa"/>
            <w:tcBorders>
              <w:top w:val="nil"/>
              <w:left w:val="nil"/>
              <w:bottom w:val="nil"/>
              <w:right w:val="nil"/>
              <w:tl2br w:val="nil"/>
              <w:tr2bl w:val="nil"/>
            </w:tcBorders>
            <w:vAlign w:val="center"/>
          </w:tcPr>
          <w:p>
            <w:pPr>
              <w:pStyle w:val="96"/>
              <w:kinsoku w:val="0"/>
              <w:overflowPunct w:val="0"/>
              <w:spacing w:before="123" w:line="242" w:lineRule="auto"/>
              <w:ind w:left="55" w:right="136"/>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ZJZB-ZC-202009-257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3" w:line="242" w:lineRule="auto"/>
              <w:ind w:left="55" w:right="136"/>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项 目  名 称：</w:t>
            </w:r>
          </w:p>
        </w:tc>
        <w:tc>
          <w:tcPr>
            <w:tcW w:w="6053" w:type="dxa"/>
            <w:tcBorders>
              <w:top w:val="nil"/>
              <w:left w:val="nil"/>
              <w:bottom w:val="nil"/>
              <w:right w:val="nil"/>
              <w:tl2br w:val="nil"/>
              <w:tr2bl w:val="nil"/>
            </w:tcBorders>
            <w:vAlign w:val="center"/>
          </w:tcPr>
          <w:p>
            <w:pPr>
              <w:pStyle w:val="96"/>
              <w:kinsoku w:val="0"/>
              <w:overflowPunct w:val="0"/>
              <w:spacing w:before="123" w:line="242" w:lineRule="auto"/>
              <w:ind w:left="55" w:right="136"/>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长江工程职业技术学院自动化综合实训室设备采购项目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96"/>
              <w:kinsoku w:val="0"/>
              <w:overflowPunct w:val="0"/>
              <w:spacing w:before="122" w:line="299"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center"/>
          </w:tcPr>
          <w:p>
            <w:pPr>
              <w:pStyle w:val="96"/>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货物</w:t>
            </w:r>
          </w:p>
        </w:tc>
      </w:tr>
    </w:tbl>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rPr>
          <w:rFonts w:hint="eastAsia" w:asciiTheme="minorEastAsia" w:hAnsiTheme="minorEastAsia" w:eastAsiaTheme="minorEastAsia" w:cstheme="minorEastAsia"/>
          <w:color w:val="auto"/>
          <w:sz w:val="20"/>
        </w:rPr>
      </w:pPr>
    </w:p>
    <w:p>
      <w:pPr>
        <w:pStyle w:val="11"/>
        <w:kinsoku w:val="0"/>
        <w:overflowPunct w:val="0"/>
        <w:spacing w:before="4"/>
        <w:rPr>
          <w:rFonts w:hint="eastAsia" w:asciiTheme="minorEastAsia" w:hAnsiTheme="minorEastAsia" w:eastAsiaTheme="minorEastAsia" w:cstheme="minorEastAsia"/>
          <w:color w:val="auto"/>
          <w:sz w:val="20"/>
        </w:rPr>
      </w:pPr>
    </w:p>
    <w:tbl>
      <w:tblPr>
        <w:tblStyle w:val="27"/>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1"/>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人：</w:t>
            </w:r>
          </w:p>
        </w:tc>
        <w:tc>
          <w:tcPr>
            <w:tcW w:w="6082"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长江工程职业技术学院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采购代理机构：</w:t>
            </w:r>
          </w:p>
        </w:tc>
        <w:tc>
          <w:tcPr>
            <w:tcW w:w="6082"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 ：</w:t>
            </w:r>
          </w:p>
        </w:tc>
        <w:tc>
          <w:tcPr>
            <w:tcW w:w="6082" w:type="dxa"/>
            <w:tcBorders>
              <w:top w:val="nil"/>
              <w:left w:val="nil"/>
              <w:bottom w:val="nil"/>
              <w:right w:val="nil"/>
              <w:tl2br w:val="nil"/>
              <w:tr2bl w:val="nil"/>
            </w:tcBorders>
            <w:vAlign w:val="center"/>
          </w:tcPr>
          <w:p>
            <w:pPr>
              <w:pStyle w:val="96"/>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2020年9月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tabs>
          <w:tab w:val="center" w:pos="4597"/>
          <w:tab w:val="left" w:pos="6772"/>
        </w:tabs>
        <w:jc w:val="left"/>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ab/>
      </w:r>
      <w:r>
        <w:rPr>
          <w:rFonts w:hint="eastAsia" w:asciiTheme="minorEastAsia" w:hAnsiTheme="minorEastAsia" w:eastAsiaTheme="minorEastAsia" w:cstheme="minorEastAsia"/>
          <w:b/>
          <w:bCs/>
          <w:sz w:val="44"/>
          <w:szCs w:val="44"/>
          <w:lang w:val="zh-CN"/>
        </w:rPr>
        <w:t>目  录</w:t>
      </w:r>
      <w:r>
        <w:rPr>
          <w:rFonts w:hint="eastAsia" w:asciiTheme="minorEastAsia" w:hAnsiTheme="minorEastAsia" w:eastAsiaTheme="minorEastAsia" w:cstheme="minorEastAsia"/>
          <w:b/>
          <w:bCs/>
          <w:sz w:val="44"/>
          <w:szCs w:val="44"/>
          <w:lang w:val="zh-CN"/>
        </w:rPr>
        <w:tab/>
      </w:r>
    </w:p>
    <w:p>
      <w:pPr>
        <w:jc w:val="center"/>
        <w:rPr>
          <w:rFonts w:hint="eastAsia" w:asciiTheme="minorEastAsia" w:hAnsiTheme="minorEastAsia" w:eastAsiaTheme="minorEastAsia" w:cstheme="minorEastAsia"/>
          <w:b/>
          <w:bCs/>
          <w:szCs w:val="21"/>
          <w:lang w:val="zh-CN"/>
        </w:rPr>
      </w:pPr>
    </w:p>
    <w:p>
      <w:pPr>
        <w:pStyle w:val="21"/>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_Toc1628 </w:instrText>
      </w:r>
      <w:r>
        <w:rPr>
          <w:rFonts w:hint="eastAsia" w:asciiTheme="minorEastAsia" w:hAnsiTheme="minorEastAsia" w:eastAsiaTheme="minorEastAsia" w:cstheme="minorEastAsia"/>
        </w:rPr>
        <w:fldChar w:fldCharType="separate"/>
      </w:r>
      <w:r>
        <w:rPr>
          <w:rFonts w:hint="default"/>
          <w:bCs/>
          <w:szCs w:val="36"/>
        </w:rPr>
        <w:t xml:space="preserve">第一章 </w:t>
      </w:r>
      <w:r>
        <w:rPr>
          <w:rFonts w:hint="eastAsia" w:ascii="宋体" w:hAnsi="宋体" w:cs="宋体"/>
          <w:szCs w:val="36"/>
        </w:rPr>
        <w:t>竞争性磋商公告</w:t>
      </w:r>
      <w:r>
        <w:tab/>
      </w:r>
      <w:r>
        <w:fldChar w:fldCharType="begin"/>
      </w:r>
      <w:r>
        <w:instrText xml:space="preserve"> PAGEREF _Toc1628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_Toc24710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一、 项目基本情况</w:t>
      </w:r>
      <w:r>
        <w:tab/>
      </w:r>
      <w:r>
        <w:fldChar w:fldCharType="begin"/>
      </w:r>
      <w:r>
        <w:instrText xml:space="preserve"> PAGEREF _Toc24710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_Toc20667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二、 申请人的资格要求</w:t>
      </w:r>
      <w:r>
        <w:tab/>
      </w:r>
      <w:r>
        <w:fldChar w:fldCharType="begin"/>
      </w:r>
      <w:r>
        <w:instrText xml:space="preserve"> PAGEREF _Toc20667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_Toc30193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三、 获取</w:t>
      </w:r>
      <w:r>
        <w:rPr>
          <w:rFonts w:hint="eastAsia" w:ascii="宋体" w:hAnsi="宋体" w:eastAsia="宋体" w:cs="宋体"/>
          <w:szCs w:val="21"/>
          <w:lang w:eastAsia="zh-CN"/>
        </w:rPr>
        <w:t>采购</w:t>
      </w:r>
      <w:r>
        <w:rPr>
          <w:rFonts w:hint="eastAsia" w:ascii="宋体" w:hAnsi="宋体" w:eastAsia="宋体" w:cs="宋体"/>
          <w:szCs w:val="21"/>
        </w:rPr>
        <w:t>文件</w:t>
      </w:r>
      <w:r>
        <w:tab/>
      </w:r>
      <w:r>
        <w:fldChar w:fldCharType="begin"/>
      </w:r>
      <w:r>
        <w:instrText xml:space="preserve"> PAGEREF _Toc30193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_Toc3841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 xml:space="preserve">四、 </w:t>
      </w:r>
      <w:r>
        <w:rPr>
          <w:rFonts w:hint="eastAsia" w:ascii="宋体" w:hAnsi="宋体" w:eastAsia="宋体" w:cs="宋体"/>
          <w:szCs w:val="21"/>
          <w:lang w:eastAsia="zh-CN"/>
        </w:rPr>
        <w:t>响应文件提交</w:t>
      </w:r>
      <w:r>
        <w:tab/>
      </w:r>
      <w:r>
        <w:fldChar w:fldCharType="begin"/>
      </w:r>
      <w:r>
        <w:instrText xml:space="preserve"> PAGEREF _Toc3841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_Toc11052 </w:instrText>
      </w:r>
      <w:r>
        <w:rPr>
          <w:rFonts w:hint="eastAsia" w:asciiTheme="minorEastAsia" w:hAnsiTheme="minorEastAsia" w:eastAsiaTheme="minorEastAsia" w:cstheme="minorEastAsia"/>
        </w:rPr>
        <w:fldChar w:fldCharType="separate"/>
      </w:r>
      <w:r>
        <w:rPr>
          <w:rFonts w:hint="eastAsia" w:eastAsia="宋体"/>
          <w:szCs w:val="21"/>
          <w:lang w:eastAsia="zh-CN"/>
        </w:rPr>
        <w:t xml:space="preserve">五、 </w:t>
      </w:r>
      <w:r>
        <w:rPr>
          <w:rFonts w:hint="eastAsia" w:ascii="宋体" w:hAnsi="宋体" w:eastAsia="宋体" w:cs="宋体"/>
          <w:szCs w:val="21"/>
          <w:lang w:eastAsia="zh-CN"/>
        </w:rPr>
        <w:t>开启</w:t>
      </w:r>
      <w:r>
        <w:tab/>
      </w:r>
      <w:r>
        <w:fldChar w:fldCharType="begin"/>
      </w:r>
      <w:r>
        <w:instrText xml:space="preserve"> PAGEREF _Toc11052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_Toc23624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六、 公告期限</w:t>
      </w:r>
      <w:r>
        <w:tab/>
      </w:r>
      <w:r>
        <w:fldChar w:fldCharType="begin"/>
      </w:r>
      <w:r>
        <w:instrText xml:space="preserve"> PAGEREF _Toc23624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_Toc17673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七、 其他补充事宜</w:t>
      </w:r>
      <w:r>
        <w:tab/>
      </w:r>
      <w:r>
        <w:fldChar w:fldCharType="begin"/>
      </w:r>
      <w:r>
        <w:instrText xml:space="preserve"> PAGEREF _Toc17673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_Toc12218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八、 凡对本次采购提出询问，请按以下方式联系</w:t>
      </w:r>
      <w:r>
        <w:tab/>
      </w:r>
      <w:r>
        <w:fldChar w:fldCharType="begin"/>
      </w:r>
      <w:r>
        <w:instrText xml:space="preserve"> PAGEREF _Toc12218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_Toc30016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九、 注意事项</w:t>
      </w:r>
      <w:r>
        <w:tab/>
      </w:r>
      <w:r>
        <w:fldChar w:fldCharType="begin"/>
      </w:r>
      <w:r>
        <w:instrText xml:space="preserve"> PAGEREF _Toc30016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_Toc30354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_Toc5340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_Toc5340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_Toc19309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_Toc19309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_Toc19164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_Toc19164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_Toc7383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_Toc7383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_Toc18687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_Toc18687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_Toc25967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_Toc25967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_Toc22488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_Toc22488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_Toc27172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_Toc27172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_Toc29851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_Toc29851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_Toc22354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_Toc5704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_Toc5704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_Toc7112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_Toc7112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_Toc7443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_Toc7443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_Toc6398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_Toc6398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_Toc17989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_Toc17989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_Toc14856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_Toc14856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_Toc4071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_Toc4071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_Toc20227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_Toc20227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_Toc4849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_Toc4849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_Toc14612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_Toc14612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_Toc20441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_Toc20441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_Toc4910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_Toc4910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_Toc2229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_Toc9786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_Toc23886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_Toc23886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_Toc11099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_Toc11099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_Toc16589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_Toc16589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_Toc13658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_Toc13658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_Toc24054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_Toc8841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_Toc8841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_Toc26119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_Toc26119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_Toc17050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_Toc17050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_Toc26543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_Toc26543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_Toc30772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_Toc30407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_Toc7258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_Toc7258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_Toc29351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_Toc23007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_Toc23007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_Toc26703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_Toc10603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_Toc10603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_Toc14017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_Toc14017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_Toc6896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_Toc6896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_Toc3901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_Toc3901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_Toc16251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_Toc30779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_Toc30779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_Toc24256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_Toc24256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_Toc29013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_Toc15828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_Toc15828 </w:instrText>
      </w:r>
      <w:r>
        <w:fldChar w:fldCharType="separate"/>
      </w:r>
      <w:r>
        <w:t>28</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_Toc1933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_Toc1933 </w:instrText>
      </w:r>
      <w:r>
        <w:fldChar w:fldCharType="separate"/>
      </w:r>
      <w:r>
        <w:t>29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_Toc10483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_Toc10483 </w:instrText>
      </w:r>
      <w:r>
        <w:fldChar w:fldCharType="separate"/>
      </w:r>
      <w:r>
        <w:t>29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_Toc25729 </w:instrText>
      </w:r>
      <w:r>
        <w:fldChar w:fldCharType="separate"/>
      </w:r>
      <w:r>
        <w:t>31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_Toc16455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评分细则</w:t>
      </w:r>
      <w:r>
        <w:tab/>
      </w:r>
      <w:r>
        <w:fldChar w:fldCharType="begin"/>
      </w:r>
      <w:r>
        <w:instrText xml:space="preserve"> PAGEREF _Toc16455 </w:instrText>
      </w:r>
      <w:r>
        <w:fldChar w:fldCharType="separate"/>
      </w:r>
      <w:r>
        <w:t>32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评定办法</w:t>
      </w:r>
      <w:r>
        <w:tab/>
      </w:r>
      <w:r>
        <w:fldChar w:fldCharType="begin"/>
      </w:r>
      <w:r>
        <w:instrText xml:space="preserve"> PAGEREF _Toc30868 </w:instrText>
      </w:r>
      <w:r>
        <w:fldChar w:fldCharType="separate"/>
      </w:r>
      <w:r>
        <w:t>33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_Toc18437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_Toc18437 </w:instrText>
      </w:r>
      <w:r>
        <w:fldChar w:fldCharType="separate"/>
      </w:r>
      <w:r>
        <w:t>34</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_Toc7958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_Toc7958 </w:instrText>
      </w:r>
      <w:r>
        <w:fldChar w:fldCharType="separate"/>
      </w:r>
      <w:r>
        <w:t>36</w:t>
      </w:r>
      <w:r>
        <w:fldChar w:fldCharType="end"/>
      </w:r>
      <w:r>
        <w:rPr>
          <w:rFonts w:hint="eastAsia" w:asciiTheme="minorEastAsia" w:hAnsiTheme="minorEastAsia" w:eastAsiaTheme="minorEastAsia" w:cstheme="minorEastAsia"/>
        </w:rPr>
        <w:fldChar w:fldCharType="end"/>
      </w:r>
    </w:p>
    <w:p>
      <w:pPr>
        <w:pStyle w:val="21"/>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_Toc32354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_Toc32354 </w:instrText>
      </w:r>
      <w:r>
        <w:fldChar w:fldCharType="separate"/>
      </w:r>
      <w:r>
        <w:t>38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_Toc21743 </w:instrText>
      </w:r>
      <w:r>
        <w:rPr>
          <w:rFonts w:hint="eastAsia" w:asciiTheme="minorEastAsia" w:hAnsiTheme="minorEastAsia" w:eastAsiaTheme="minorEastAsia" w:cstheme="minorEastAsia"/>
        </w:rPr>
        <w:fldChar w:fldCharType="separate"/>
      </w:r>
      <w:r>
        <w:rPr>
          <w:rFonts w:hint="eastAsia" w:ascii="宋体" w:hAnsi="宋体" w:eastAsia="宋体" w:cs="宋体"/>
          <w:szCs w:val="21"/>
        </w:rPr>
        <w:t>一</w:t>
      </w:r>
      <w:r>
        <w:rPr>
          <w:rFonts w:hint="eastAsia" w:ascii="宋体" w:hAnsi="宋体" w:eastAsia="宋体" w:cs="宋体"/>
          <w:szCs w:val="21"/>
          <w:lang w:eastAsia="zh-CN"/>
        </w:rPr>
        <w:t>、</w:t>
      </w:r>
      <w:r>
        <w:rPr>
          <w:rFonts w:hint="eastAsia" w:ascii="宋体" w:hAnsi="宋体" w:eastAsia="宋体" w:cs="宋体"/>
          <w:szCs w:val="21"/>
        </w:rPr>
        <w:t>评分标准索引表</w:t>
      </w:r>
      <w:r>
        <w:tab/>
      </w:r>
      <w:r>
        <w:fldChar w:fldCharType="begin"/>
      </w:r>
      <w:r>
        <w:instrText xml:space="preserve"> PAGEREF _Toc21743 </w:instrText>
      </w:r>
      <w:r>
        <w:fldChar w:fldCharType="separate"/>
      </w:r>
      <w:r>
        <w:t>39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_Toc20006 </w:instrText>
      </w:r>
      <w:r>
        <w:fldChar w:fldCharType="separate"/>
      </w:r>
      <w:r>
        <w:t>40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_Toc7513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、法定代表人授权书</w:t>
      </w:r>
      <w:r>
        <w:tab/>
      </w:r>
      <w:r>
        <w:fldChar w:fldCharType="begin"/>
      </w:r>
      <w:r>
        <w:instrText xml:space="preserve"> PAGEREF _Toc7513 </w:instrText>
      </w:r>
      <w:r>
        <w:fldChar w:fldCharType="separate"/>
      </w:r>
      <w:r>
        <w:t>41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_Toc10986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_Toc10986 </w:instrText>
      </w:r>
      <w:r>
        <w:fldChar w:fldCharType="separate"/>
      </w:r>
      <w:r>
        <w:t>42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_Toc19882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五</w:t>
      </w:r>
      <w:r>
        <w:rPr>
          <w:rFonts w:hint="eastAsia" w:asciiTheme="minorEastAsia" w:hAnsiTheme="minorEastAsia" w:eastAsiaTheme="minorEastAsia" w:cstheme="minorEastAsia"/>
          <w:bCs/>
          <w:szCs w:val="21"/>
        </w:rPr>
        <w:t>、报价一览表</w:t>
      </w:r>
      <w:r>
        <w:tab/>
      </w:r>
      <w:r>
        <w:fldChar w:fldCharType="begin"/>
      </w:r>
      <w:r>
        <w:instrText xml:space="preserve"> PAGEREF _Toc19882 </w:instrText>
      </w:r>
      <w:r>
        <w:fldChar w:fldCharType="separate"/>
      </w:r>
      <w:r>
        <w:t>43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报价费用构成表</w:t>
      </w:r>
      <w:r>
        <w:tab/>
      </w:r>
      <w:r>
        <w:fldChar w:fldCharType="begin"/>
      </w:r>
      <w:r>
        <w:instrText xml:space="preserve"> PAGEREF _Toc3144 </w:instrText>
      </w:r>
      <w:r>
        <w:fldChar w:fldCharType="separate"/>
      </w:r>
      <w:r>
        <w:t>44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七</w:t>
      </w:r>
      <w:r>
        <w:rPr>
          <w:rFonts w:hint="eastAsia" w:asciiTheme="minorEastAsia" w:hAnsiTheme="minorEastAsia" w:eastAsiaTheme="minorEastAsia" w:cstheme="minorEastAsia"/>
          <w:bCs/>
          <w:szCs w:val="21"/>
        </w:rPr>
        <w:t>、耗材清单</w:t>
      </w:r>
      <w:r>
        <w:tab/>
      </w:r>
      <w:r>
        <w:fldChar w:fldCharType="begin"/>
      </w:r>
      <w:r>
        <w:instrText xml:space="preserve"> PAGEREF _Toc66 </w:instrText>
      </w:r>
      <w:r>
        <w:fldChar w:fldCharType="separate"/>
      </w:r>
      <w:r>
        <w:t>45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_Toc26501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八、拟投入设备/备件、工具情况</w:t>
      </w:r>
      <w:r>
        <w:tab/>
      </w:r>
      <w:r>
        <w:fldChar w:fldCharType="begin"/>
      </w:r>
      <w:r>
        <w:instrText xml:space="preserve"> PAGEREF _Toc26501 </w:instrText>
      </w:r>
      <w:r>
        <w:fldChar w:fldCharType="separate"/>
      </w:r>
      <w:r>
        <w:t>46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_Toc12313 </w:instrText>
      </w:r>
      <w:r>
        <w:fldChar w:fldCharType="separate"/>
      </w:r>
      <w:r>
        <w:t>47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十</w:t>
      </w:r>
      <w:r>
        <w:rPr>
          <w:rFonts w:hint="eastAsia" w:asciiTheme="minorEastAsia" w:hAnsiTheme="minorEastAsia" w:eastAsiaTheme="minorEastAsia" w:cstheme="minorEastAsia"/>
          <w:bCs/>
          <w:szCs w:val="21"/>
        </w:rPr>
        <w:t>、偏离说明表</w:t>
      </w:r>
      <w:r>
        <w:tab/>
      </w:r>
      <w:r>
        <w:fldChar w:fldCharType="begin"/>
      </w:r>
      <w:r>
        <w:instrText xml:space="preserve"> PAGEREF _Toc17270 </w:instrText>
      </w:r>
      <w:r>
        <w:fldChar w:fldCharType="separate"/>
      </w:r>
      <w:r>
        <w:t>48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kern w:val="0"/>
          <w:szCs w:val="21"/>
          <w:lang w:eastAsia="zh-CN"/>
        </w:rPr>
        <w:t>一</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_Toc18816 </w:instrText>
      </w:r>
      <w:r>
        <w:fldChar w:fldCharType="separate"/>
      </w:r>
      <w:r>
        <w:t>49</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_Toc8374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二</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_Toc8374 </w:instrText>
      </w:r>
      <w:r>
        <w:fldChar w:fldCharType="separate"/>
      </w:r>
      <w:r>
        <w:t>50</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_Toc8711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_Toc8711 </w:instrText>
      </w:r>
      <w:r>
        <w:fldChar w:fldCharType="separate"/>
      </w:r>
      <w:r>
        <w:t>51</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四</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_Toc103 </w:instrText>
      </w:r>
      <w:r>
        <w:fldChar w:fldCharType="separate"/>
      </w:r>
      <w:r>
        <w:t>52</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十五、</w:t>
      </w:r>
      <w:r>
        <w:rPr>
          <w:rFonts w:hint="eastAsia" w:asciiTheme="minorEastAsia" w:hAnsiTheme="minorEastAsia" w:eastAsiaTheme="minorEastAsia" w:cstheme="minorEastAsia"/>
          <w:bCs/>
          <w:kern w:val="0"/>
          <w:szCs w:val="21"/>
        </w:rPr>
        <w:t>报价技术文件</w:t>
      </w:r>
      <w:r>
        <w:tab/>
      </w:r>
      <w:r>
        <w:fldChar w:fldCharType="begin"/>
      </w:r>
      <w:r>
        <w:instrText xml:space="preserve"> PAGEREF _Toc6332 </w:instrText>
      </w:r>
      <w:r>
        <w:fldChar w:fldCharType="separate"/>
      </w:r>
      <w:r>
        <w:t>53</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_Toc26126 </w:instrText>
      </w:r>
      <w:r>
        <w:fldChar w:fldCharType="separate"/>
      </w:r>
      <w:r>
        <w:t>54</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_Toc26897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十七、</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_Toc26897 </w:instrText>
      </w:r>
      <w:r>
        <w:fldChar w:fldCharType="separate"/>
      </w:r>
      <w:r>
        <w:t>55</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_Toc21843 </w:instrText>
      </w:r>
      <w:r>
        <w:fldChar w:fldCharType="separate"/>
      </w:r>
      <w:r>
        <w:t>56</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十九、节能环保产品证明材料（若符合）</w:t>
      </w:r>
      <w:r>
        <w:tab/>
      </w:r>
      <w:r>
        <w:fldChar w:fldCharType="begin"/>
      </w:r>
      <w:r>
        <w:instrText xml:space="preserve"> PAGEREF _Toc20002 </w:instrText>
      </w:r>
      <w:r>
        <w:fldChar w:fldCharType="separate"/>
      </w:r>
      <w:r>
        <w:t>57</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二十</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_Toc4769 </w:instrText>
      </w:r>
      <w:r>
        <w:fldChar w:fldCharType="separate"/>
      </w:r>
      <w:r>
        <w:t>58</w:t>
      </w:r>
      <w:r>
        <w:fldChar w:fldCharType="end"/>
      </w:r>
      <w:r>
        <w:rPr>
          <w:rFonts w:hint="eastAsia" w:asciiTheme="minorEastAsia" w:hAnsiTheme="minorEastAsia" w:eastAsiaTheme="minorEastAsia" w:cstheme="minorEastAsia"/>
        </w:rPr>
        <w:fldChar w:fldCharType="end"/>
      </w:r>
    </w:p>
    <w:p>
      <w:pPr>
        <w:pStyle w:val="23"/>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_Toc16716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shd w:val="clear" w:color="auto" w:fill="FFFFFF"/>
          <w:lang w:val="en-US" w:eastAsia="zh-CN"/>
        </w:rPr>
        <w:t>二十一</w:t>
      </w:r>
      <w:r>
        <w:rPr>
          <w:rFonts w:hint="eastAsia" w:asciiTheme="minorEastAsia" w:hAnsiTheme="minorEastAsia" w:eastAsiaTheme="minorEastAsia" w:cstheme="minorEastAsia"/>
          <w:bCs/>
          <w:kern w:val="0"/>
          <w:szCs w:val="21"/>
          <w:shd w:val="clear" w:color="auto" w:fill="FFFFFF"/>
        </w:rPr>
        <w:t>、磋商供应商认为应该提交的其它文件（格式自拟）</w:t>
      </w:r>
      <w:r>
        <w:tab/>
      </w:r>
      <w:r>
        <w:fldChar w:fldCharType="begin"/>
      </w:r>
      <w:r>
        <w:instrText xml:space="preserve"> PAGEREF _Toc16716 </w:instrText>
      </w:r>
      <w:r>
        <w:fldChar w:fldCharType="separate"/>
      </w:r>
      <w:r>
        <w:t>58</w:t>
      </w:r>
      <w:r>
        <w:fldChar w:fldCharType="end"/>
      </w:r>
      <w:r>
        <w:rPr>
          <w:rFonts w:hint="eastAsia" w:asciiTheme="minorEastAsia" w:hAnsiTheme="minorEastAsia" w:eastAsiaTheme="minorEastAsia" w:cstheme="minorEastAsia"/>
        </w:rPr>
        <w:fldChar w:fldCharType="end"/>
      </w:r>
    </w:p>
    <w:p>
      <w:pPr>
        <w:jc w:val="left"/>
        <w:rPr>
          <w:rFonts w:hint="eastAsia"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numPr>
          <w:ilvl w:val="0"/>
          <w:numId w:val="5"/>
        </w:numPr>
        <w:spacing w:line="360" w:lineRule="auto"/>
        <w:jc w:val="center"/>
        <w:outlineLvl w:val="0"/>
        <w:rPr>
          <w:rFonts w:hint="eastAsia"/>
          <w:b/>
          <w:bCs/>
          <w:sz w:val="24"/>
          <w:szCs w:val="24"/>
        </w:rPr>
      </w:pPr>
      <w:bookmarkStart w:id="0" w:name="_Toc1628"/>
      <w:bookmarkStart w:id="1" w:name="_Toc6866"/>
      <w:r>
        <w:rPr>
          <w:rFonts w:hint="eastAsia" w:ascii="宋体" w:hAnsi="宋体" w:cs="宋体"/>
          <w:b/>
          <w:sz w:val="36"/>
          <w:szCs w:val="36"/>
        </w:rPr>
        <w:t>竞争性磋商公告</w:t>
      </w:r>
      <w:bookmarkEnd w:id="0"/>
      <w:bookmarkEnd w:id="1"/>
      <w:bookmarkStart w:id="2" w:name="_Toc152042288"/>
      <w:bookmarkStart w:id="3" w:name="_Toc524908844"/>
      <w:bookmarkStart w:id="4" w:name="_Toc144974480"/>
      <w:bookmarkStart w:id="5" w:name="_Toc9976"/>
      <w:bookmarkStart w:id="6" w:name="_Toc152045512"/>
      <w:bookmarkStart w:id="7" w:name="_Toc179632528"/>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lang w:val="en-US" w:eastAsia="zh-CN"/>
        </w:rPr>
        <w:t>长江工程职业技术学院自动化综合实训室设备采购项目</w:t>
      </w:r>
      <w:r>
        <w:rPr>
          <w:rFonts w:hint="eastAsia" w:ascii="宋体" w:hAnsi="宋体" w:eastAsia="宋体" w:cs="宋体"/>
          <w:color w:val="auto"/>
          <w:sz w:val="21"/>
          <w:szCs w:val="21"/>
          <w:u w:val="none"/>
          <w:lang w:val="en-US" w:eastAsia="zh-CN"/>
        </w:rPr>
        <w:t>采购项目的潜在供应商应在</w:t>
      </w:r>
      <w:r>
        <w:rPr>
          <w:rFonts w:hint="eastAsia" w:ascii="宋体" w:hAnsi="宋体" w:eastAsia="宋体" w:cs="宋体"/>
          <w:color w:val="000000"/>
          <w:sz w:val="21"/>
          <w:szCs w:val="21"/>
          <w:u w:val="single"/>
        </w:rPr>
        <w:t>中经国际招标</w:t>
      </w:r>
      <w:r>
        <w:rPr>
          <w:rFonts w:hint="eastAsia" w:ascii="宋体" w:hAnsi="宋体" w:eastAsia="宋体" w:cs="宋体"/>
          <w:color w:val="auto"/>
          <w:sz w:val="21"/>
          <w:szCs w:val="21"/>
          <w:u w:val="single"/>
        </w:rPr>
        <w:t>集团有限公司</w:t>
      </w:r>
      <w:r>
        <w:rPr>
          <w:rFonts w:hint="eastAsia" w:ascii="宋体" w:hAnsi="宋体" w:eastAsia="宋体" w:cs="宋体"/>
          <w:color w:val="auto"/>
          <w:sz w:val="21"/>
          <w:szCs w:val="21"/>
          <w:u w:val="single"/>
          <w:lang w:eastAsia="zh-CN"/>
        </w:rPr>
        <w:t>（武昌区中北路岳家嘴立交山河企业大厦</w:t>
      </w:r>
      <w:r>
        <w:rPr>
          <w:rFonts w:hint="eastAsia" w:ascii="宋体" w:hAnsi="宋体" w:eastAsia="宋体" w:cs="宋体"/>
          <w:color w:val="auto"/>
          <w:sz w:val="21"/>
          <w:szCs w:val="21"/>
          <w:u w:val="single"/>
          <w:lang w:val="en-US" w:eastAsia="zh-CN"/>
        </w:rPr>
        <w:t>48楼</w:t>
      </w:r>
      <w:r>
        <w:rPr>
          <w:rFonts w:hint="eastAsia" w:ascii="宋体" w:hAnsi="宋体" w:eastAsia="宋体" w:cs="宋体"/>
          <w:color w:val="auto"/>
          <w:sz w:val="21"/>
          <w:szCs w:val="21"/>
          <w:u w:val="single"/>
          <w:lang w:eastAsia="zh-CN"/>
        </w:rPr>
        <w:t>4805室）</w:t>
      </w:r>
      <w:r>
        <w:rPr>
          <w:rFonts w:hint="eastAsia" w:ascii="宋体" w:hAnsi="宋体" w:eastAsia="宋体" w:cs="宋体"/>
          <w:color w:val="auto"/>
          <w:sz w:val="21"/>
          <w:szCs w:val="21"/>
        </w:rPr>
        <w:t>获取</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文件，并于</w:t>
      </w:r>
      <w:r>
        <w:rPr>
          <w:rFonts w:hint="eastAsia" w:ascii="宋体" w:hAnsi="宋体" w:eastAsia="宋体" w:cs="宋体"/>
          <w:color w:val="auto"/>
          <w:sz w:val="21"/>
          <w:szCs w:val="21"/>
          <w:u w:val="single"/>
          <w:lang w:val="en-US" w:eastAsia="zh-CN"/>
        </w:rPr>
        <w:t>2020</w:t>
      </w:r>
      <w:r>
        <w:rPr>
          <w:rFonts w:hint="eastAsia" w:ascii="宋体" w:hAnsi="宋体" w:eastAsia="宋体" w:cs="宋体"/>
          <w:color w:val="auto"/>
          <w:sz w:val="21"/>
          <w:szCs w:val="21"/>
          <w:u w:val="single"/>
        </w:rPr>
        <w:t>年</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rPr>
        <w:t>月</w:t>
      </w: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u w:val="single"/>
        </w:rPr>
        <w:t>日</w:t>
      </w:r>
      <w:r>
        <w:rPr>
          <w:rFonts w:hint="eastAsia" w:ascii="宋体" w:hAnsi="宋体" w:cs="宋体"/>
          <w:color w:val="auto"/>
          <w:sz w:val="21"/>
          <w:szCs w:val="21"/>
          <w:u w:val="single"/>
          <w:lang w:val="en-US" w:eastAsia="zh-CN"/>
        </w:rPr>
        <w:t>14</w:t>
      </w:r>
      <w:r>
        <w:rPr>
          <w:rFonts w:hint="eastAsia" w:ascii="宋体" w:hAnsi="宋体" w:eastAsia="宋体" w:cs="宋体"/>
          <w:color w:val="auto"/>
          <w:sz w:val="21"/>
          <w:szCs w:val="21"/>
          <w:u w:val="single"/>
        </w:rPr>
        <w:t>点</w:t>
      </w:r>
      <w:r>
        <w:rPr>
          <w:rFonts w:hint="eastAsia" w:ascii="宋体" w:hAnsi="宋体" w:cs="宋体"/>
          <w:color w:val="auto"/>
          <w:sz w:val="21"/>
          <w:szCs w:val="21"/>
          <w:u w:val="single"/>
          <w:lang w:val="en-US" w:eastAsia="zh-CN"/>
        </w:rPr>
        <w:t>00</w:t>
      </w:r>
      <w:r>
        <w:rPr>
          <w:rFonts w:hint="eastAsia" w:ascii="宋体" w:hAnsi="宋体" w:eastAsia="宋体" w:cs="宋体"/>
          <w:color w:val="auto"/>
          <w:sz w:val="21"/>
          <w:szCs w:val="21"/>
          <w:u w:val="single"/>
        </w:rPr>
        <w:t>分</w:t>
      </w:r>
      <w:r>
        <w:rPr>
          <w:rFonts w:hint="eastAsia" w:ascii="宋体" w:hAnsi="宋体" w:eastAsia="宋体" w:cs="宋体"/>
          <w:color w:val="auto"/>
          <w:sz w:val="21"/>
          <w:szCs w:val="21"/>
        </w:rPr>
        <w:t>（北京时间）前递交</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w:t>
      </w:r>
    </w:p>
    <w:p>
      <w:pPr>
        <w:pStyle w:val="4"/>
        <w:numPr>
          <w:ilvl w:val="0"/>
          <w:numId w:val="6"/>
        </w:numPr>
        <w:spacing w:line="360" w:lineRule="auto"/>
        <w:jc w:val="left"/>
        <w:rPr>
          <w:rFonts w:hint="eastAsia" w:ascii="宋体" w:hAnsi="宋体" w:eastAsia="宋体" w:cs="宋体"/>
          <w:color w:val="auto"/>
          <w:sz w:val="21"/>
          <w:szCs w:val="21"/>
        </w:rPr>
      </w:pPr>
      <w:bookmarkStart w:id="8" w:name="_Toc24710"/>
      <w:r>
        <w:rPr>
          <w:rFonts w:hint="eastAsia" w:ascii="宋体" w:hAnsi="宋体" w:eastAsia="宋体" w:cs="宋体"/>
          <w:color w:val="auto"/>
          <w:sz w:val="21"/>
          <w:szCs w:val="21"/>
        </w:rPr>
        <w:t>项目基本情况</w:t>
      </w:r>
      <w:bookmarkEnd w:id="8"/>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1、项目编号：</w:t>
      </w:r>
      <w:r>
        <w:rPr>
          <w:rFonts w:hint="eastAsia" w:asciiTheme="minorEastAsia" w:hAnsiTheme="minorEastAsia" w:eastAsiaTheme="minorEastAsia" w:cstheme="minorEastAsia"/>
          <w:color w:val="auto"/>
          <w:sz w:val="21"/>
          <w:szCs w:val="21"/>
          <w:lang w:val="en-US" w:eastAsia="zh-CN"/>
        </w:rPr>
        <w:t>ZJZB-ZC-202009-257；</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2、采购计划备案号：鄂采计[2020]-15345号；</w:t>
      </w:r>
      <w:r>
        <w:rPr>
          <w:rFonts w:hint="eastAsia" w:asciiTheme="minorEastAsia" w:hAnsiTheme="minorEastAsia" w:eastAsiaTheme="minorEastAsia" w:cstheme="minorEastAsia"/>
          <w:color w:val="FF0000"/>
          <w:sz w:val="21"/>
          <w:szCs w:val="21"/>
        </w:rPr>
        <w:br w:type="textWrapping"/>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长江工程职业技术学院自动化综合实训室设备采购项目</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4、采购方式：竞争性磋商</w:t>
      </w:r>
    </w:p>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、预算</w:t>
      </w:r>
      <w:r>
        <w:rPr>
          <w:rFonts w:hint="eastAsia" w:asciiTheme="minorEastAsia" w:hAnsiTheme="minorEastAsia" w:eastAsiaTheme="minorEastAsia" w:cstheme="minorEastAsia"/>
          <w:color w:val="auto"/>
          <w:sz w:val="21"/>
          <w:szCs w:val="21"/>
          <w:highlight w:val="none"/>
          <w:lang w:eastAsia="zh-CN"/>
        </w:rPr>
        <w:t>金额</w:t>
      </w: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u w:val="single"/>
          <w:lang w:val="en-US" w:eastAsia="zh-CN"/>
        </w:rPr>
        <w:t>91.22</w:t>
      </w:r>
      <w:r>
        <w:rPr>
          <w:rFonts w:hint="eastAsia" w:asciiTheme="minorEastAsia" w:hAnsiTheme="minorEastAsia" w:eastAsiaTheme="minorEastAsia" w:cstheme="minorEastAsia"/>
          <w:color w:val="auto"/>
          <w:sz w:val="21"/>
          <w:szCs w:val="21"/>
          <w:highlight w:val="none"/>
        </w:rPr>
        <w:t>万元（含财政资金</w:t>
      </w:r>
      <w:r>
        <w:rPr>
          <w:rFonts w:hint="eastAsia" w:asciiTheme="minorEastAsia" w:hAnsiTheme="minorEastAsia" w:eastAsiaTheme="minorEastAsia" w:cstheme="minorEastAsia"/>
          <w:color w:val="auto"/>
          <w:sz w:val="21"/>
          <w:szCs w:val="21"/>
          <w:highlight w:val="none"/>
          <w:u w:val="single"/>
          <w:lang w:val="en-US" w:eastAsia="zh-CN"/>
        </w:rPr>
        <w:t>91.22</w:t>
      </w:r>
      <w:r>
        <w:rPr>
          <w:rFonts w:hint="eastAsia" w:asciiTheme="minorEastAsia" w:hAnsiTheme="minorEastAsia" w:eastAsiaTheme="minorEastAsia" w:cstheme="minorEastAsia"/>
          <w:color w:val="auto"/>
          <w:sz w:val="21"/>
          <w:szCs w:val="21"/>
          <w:highlight w:val="none"/>
        </w:rPr>
        <w:t>万元，其他资金</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 </w:t>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6、最高限价：</w:t>
      </w: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u w:val="single"/>
          <w:lang w:val="en-US" w:eastAsia="zh-CN"/>
        </w:rPr>
        <w:t>91.22</w:t>
      </w:r>
      <w:r>
        <w:rPr>
          <w:rFonts w:hint="eastAsia" w:asciiTheme="minorEastAsia" w:hAnsiTheme="minorEastAsia" w:eastAsiaTheme="minorEastAsia" w:cstheme="minorEastAsia"/>
          <w:color w:val="auto"/>
          <w:sz w:val="21"/>
          <w:szCs w:val="21"/>
          <w:highlight w:val="none"/>
        </w:rPr>
        <w:t>万元</w:t>
      </w:r>
      <w:r>
        <w:rPr>
          <w:rFonts w:hint="eastAsia" w:asciiTheme="minorEastAsia" w:hAnsiTheme="minorEastAsia" w:eastAsiaTheme="minorEastAsia" w:cstheme="minorEastAsia"/>
          <w:color w:val="auto"/>
          <w:sz w:val="21"/>
          <w:szCs w:val="21"/>
          <w:highlight w:val="none"/>
          <w:lang w:val="en-US" w:eastAsia="zh-CN"/>
        </w:rPr>
        <w:t>；</w:t>
      </w:r>
    </w:p>
    <w:p>
      <w:pPr>
        <w:spacing w:line="360" w:lineRule="auto"/>
        <w:jc w:val="lef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采购需求：用于长江工程职业技术学院自动化综合实训室设备采购项目，采购</w:t>
      </w:r>
      <w:r>
        <w:rPr>
          <w:rFonts w:hint="eastAsia" w:ascii="宋体" w:hAnsi="宋体" w:eastAsia="宋体" w:cs="宋体"/>
          <w:i w:val="0"/>
          <w:color w:val="auto"/>
          <w:kern w:val="0"/>
          <w:sz w:val="22"/>
          <w:szCs w:val="22"/>
          <w:highlight w:val="none"/>
          <w:u w:val="none"/>
          <w:lang w:val="en-US" w:eastAsia="zh-CN" w:bidi="ar"/>
        </w:rPr>
        <w:t>自动化综合实训系统2套、</w:t>
      </w:r>
      <w:r>
        <w:rPr>
          <w:rFonts w:hint="eastAsia" w:ascii="宋体" w:hAnsi="宋体" w:eastAsia="宋体" w:cs="宋体"/>
          <w:i w:val="0"/>
          <w:color w:val="auto"/>
          <w:kern w:val="0"/>
          <w:sz w:val="21"/>
          <w:szCs w:val="21"/>
          <w:highlight w:val="none"/>
          <w:u w:val="none"/>
          <w:lang w:val="en-US" w:eastAsia="zh-CN" w:bidi="ar"/>
        </w:rPr>
        <w:t>台式电脑20台、钢木方凳82张、</w:t>
      </w:r>
      <w:r>
        <w:rPr>
          <w:rFonts w:hint="eastAsia" w:ascii="宋体" w:hAnsi="宋体" w:eastAsia="宋体" w:cs="宋体"/>
          <w:i w:val="0"/>
          <w:color w:val="auto"/>
          <w:kern w:val="0"/>
          <w:sz w:val="22"/>
          <w:szCs w:val="22"/>
          <w:highlight w:val="none"/>
          <w:u w:val="none"/>
          <w:lang w:val="en-US" w:eastAsia="zh-CN" w:bidi="ar"/>
        </w:rPr>
        <w:t>电脑桌椅60套</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(详见采购文件第三章“项目采购需求”）</w:t>
      </w:r>
    </w:p>
    <w:p>
      <w:pPr>
        <w:numPr>
          <w:ilvl w:val="0"/>
          <w:numId w:val="7"/>
        </w:numPr>
        <w:spacing w:line="360" w:lineRule="auto"/>
        <w:ind w:left="420"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r>
        <w:rPr>
          <w:rFonts w:hint="eastAsia" w:ascii="宋体" w:hAnsi="宋体" w:eastAsia="宋体" w:cs="宋体"/>
          <w:b w:val="0"/>
          <w:bCs w:val="0"/>
          <w:color w:val="auto"/>
          <w:kern w:val="2"/>
          <w:sz w:val="21"/>
          <w:szCs w:val="21"/>
          <w:highlight w:val="none"/>
          <w:lang w:val="en-US" w:eastAsia="zh-CN" w:bidi="ar-SA"/>
        </w:rPr>
        <w:t>货物</w:t>
      </w:r>
    </w:p>
    <w:p>
      <w:pPr>
        <w:numPr>
          <w:ilvl w:val="0"/>
          <w:numId w:val="7"/>
        </w:numPr>
        <w:spacing w:line="360" w:lineRule="auto"/>
        <w:ind w:left="420" w:leftChars="20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交货期：合同签订后</w:t>
      </w:r>
      <w:r>
        <w:rPr>
          <w:rFonts w:hint="eastAsia" w:ascii="宋体" w:hAnsi="宋体" w:cs="宋体"/>
          <w:color w:val="auto"/>
          <w:sz w:val="21"/>
          <w:szCs w:val="21"/>
          <w:highlight w:val="none"/>
          <w:u w:val="single"/>
          <w:lang w:val="en-US" w:eastAsia="zh-CN"/>
        </w:rPr>
        <w:t>30</w:t>
      </w:r>
      <w:r>
        <w:rPr>
          <w:rFonts w:hint="eastAsia" w:ascii="宋体" w:hAnsi="宋体" w:eastAsia="宋体" w:cs="宋体"/>
          <w:b w:val="0"/>
          <w:bCs w:val="0"/>
          <w:color w:val="auto"/>
          <w:kern w:val="2"/>
          <w:sz w:val="21"/>
          <w:szCs w:val="21"/>
          <w:highlight w:val="none"/>
          <w:lang w:val="en-US" w:eastAsia="zh-CN" w:bidi="ar-SA"/>
        </w:rPr>
        <w:t>日历天内供货，</w:t>
      </w:r>
      <w:r>
        <w:rPr>
          <w:rFonts w:hint="eastAsia" w:ascii="宋体" w:hAnsi="宋体" w:cs="宋体"/>
          <w:color w:val="auto"/>
          <w:sz w:val="21"/>
          <w:szCs w:val="21"/>
          <w:highlight w:val="none"/>
          <w:u w:val="single"/>
          <w:lang w:val="en-US" w:eastAsia="zh-CN"/>
        </w:rPr>
        <w:t>并</w:t>
      </w:r>
      <w:r>
        <w:rPr>
          <w:rFonts w:hint="eastAsia" w:ascii="宋体" w:hAnsi="宋体" w:eastAsia="宋体" w:cs="宋体"/>
          <w:b w:val="0"/>
          <w:bCs w:val="0"/>
          <w:color w:val="auto"/>
          <w:kern w:val="2"/>
          <w:sz w:val="21"/>
          <w:szCs w:val="21"/>
          <w:highlight w:val="none"/>
          <w:lang w:val="en-US" w:eastAsia="zh-CN" w:bidi="ar-SA"/>
        </w:rPr>
        <w:t>安装调试</w:t>
      </w:r>
      <w:r>
        <w:rPr>
          <w:rFonts w:hint="eastAsia" w:ascii="宋体" w:hAnsi="宋体" w:cs="宋体"/>
          <w:b w:val="0"/>
          <w:bCs w:val="0"/>
          <w:color w:val="auto"/>
          <w:kern w:val="2"/>
          <w:sz w:val="21"/>
          <w:szCs w:val="21"/>
          <w:highlight w:val="none"/>
          <w:lang w:val="en-US" w:eastAsia="zh-CN" w:bidi="ar-SA"/>
        </w:rPr>
        <w:t>到位。</w:t>
      </w:r>
    </w:p>
    <w:p>
      <w:pPr>
        <w:numPr>
          <w:ilvl w:val="0"/>
          <w:numId w:val="7"/>
        </w:numPr>
        <w:spacing w:line="360" w:lineRule="auto"/>
        <w:ind w:left="420" w:leftChars="200"/>
        <w:jc w:val="left"/>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lang w:val="en-US" w:eastAsia="zh-CN" w:bidi="ar-SA"/>
        </w:rPr>
        <w:t>质保期/保修期：</w:t>
      </w:r>
      <w:r>
        <w:rPr>
          <w:rFonts w:hint="eastAsia" w:ascii="宋体" w:hAnsi="宋体" w:cs="宋体"/>
          <w:b w:val="0"/>
          <w:bCs w:val="0"/>
          <w:color w:val="auto"/>
          <w:kern w:val="2"/>
          <w:sz w:val="21"/>
          <w:szCs w:val="21"/>
          <w:lang w:val="en-US" w:eastAsia="zh-CN" w:bidi="ar-SA"/>
        </w:rPr>
        <w:t>台式</w:t>
      </w:r>
      <w:r>
        <w:rPr>
          <w:rFonts w:hint="eastAsia" w:ascii="宋体" w:hAnsi="宋体" w:eastAsia="宋体" w:cs="宋体"/>
          <w:b w:val="0"/>
          <w:bCs w:val="0"/>
          <w:color w:val="auto"/>
          <w:kern w:val="2"/>
          <w:sz w:val="21"/>
          <w:szCs w:val="21"/>
          <w:lang w:val="en-US" w:eastAsia="zh-CN" w:bidi="ar-SA"/>
        </w:rPr>
        <w:t>电脑提供三年免费上门质保，其它设备免费上门质保不低于12个月。</w:t>
      </w:r>
    </w:p>
    <w:p>
      <w:pPr>
        <w:numPr>
          <w:ilvl w:val="0"/>
          <w:numId w:val="7"/>
        </w:numPr>
        <w:spacing w:line="360" w:lineRule="auto"/>
        <w:ind w:left="420" w:left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质量标准：达到国家或行业颁布的其他现行各项技术标准和验收规范规定</w:t>
      </w:r>
    </w:p>
    <w:p>
      <w:pPr>
        <w:numPr>
          <w:ilvl w:val="0"/>
          <w:numId w:val="7"/>
        </w:numPr>
        <w:spacing w:line="360" w:lineRule="auto"/>
        <w:ind w:left="420" w:leftChars="200"/>
        <w:jc w:val="left"/>
        <w:rPr>
          <w:rFonts w:hint="eastAsia" w:ascii="宋体" w:hAnsi="宋体" w:eastAsia="宋体" w:cs="宋体"/>
          <w:sz w:val="21"/>
          <w:szCs w:val="21"/>
        </w:rPr>
      </w:pP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参加</w:t>
      </w: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的报价超过该包采购最高限价的，该包</w:t>
      </w:r>
      <w:r>
        <w:rPr>
          <w:rFonts w:hint="eastAsia" w:ascii="宋体" w:hAnsi="宋体" w:eastAsia="宋体" w:cs="宋体"/>
          <w:color w:val="auto"/>
          <w:sz w:val="21"/>
          <w:szCs w:val="21"/>
          <w:lang w:eastAsia="zh-CN"/>
        </w:rPr>
        <w:t>竞标</w:t>
      </w:r>
      <w:r>
        <w:rPr>
          <w:rFonts w:hint="eastAsia" w:ascii="宋体" w:hAnsi="宋体" w:eastAsia="宋体" w:cs="宋体"/>
          <w:color w:val="auto"/>
          <w:sz w:val="21"/>
          <w:szCs w:val="21"/>
        </w:rPr>
        <w:t>无效；</w:t>
      </w:r>
      <w:r>
        <w:rPr>
          <w:rFonts w:hint="eastAsia" w:ascii="宋体" w:hAnsi="宋体" w:eastAsia="宋体" w:cs="宋体"/>
          <w:color w:val="auto"/>
          <w:sz w:val="21"/>
          <w:szCs w:val="21"/>
          <w:lang w:eastAsia="zh-CN"/>
        </w:rPr>
        <w:t>供应</w:t>
      </w:r>
      <w:r>
        <w:rPr>
          <w:rFonts w:hint="eastAsia" w:ascii="宋体" w:hAnsi="宋体" w:eastAsia="宋体" w:cs="宋体"/>
          <w:sz w:val="21"/>
          <w:szCs w:val="21"/>
          <w:lang w:eastAsia="zh-CN"/>
        </w:rPr>
        <w:t>商</w:t>
      </w:r>
      <w:r>
        <w:rPr>
          <w:rFonts w:hint="eastAsia" w:ascii="宋体" w:hAnsi="宋体" w:eastAsia="宋体" w:cs="宋体"/>
          <w:sz w:val="21"/>
          <w:szCs w:val="21"/>
        </w:rPr>
        <w:t>报价须包含该采购</w:t>
      </w:r>
      <w:r>
        <w:rPr>
          <w:rFonts w:hint="eastAsia" w:ascii="宋体" w:hAnsi="宋体" w:eastAsia="宋体" w:cs="宋体"/>
          <w:sz w:val="21"/>
          <w:szCs w:val="21"/>
          <w:lang w:eastAsia="zh-CN"/>
        </w:rPr>
        <w:t>需求</w:t>
      </w:r>
      <w:r>
        <w:rPr>
          <w:rFonts w:hint="eastAsia" w:ascii="宋体" w:hAnsi="宋体" w:eastAsia="宋体" w:cs="宋体"/>
          <w:sz w:val="21"/>
          <w:szCs w:val="21"/>
        </w:rPr>
        <w:t>的全部内容。</w:t>
      </w:r>
    </w:p>
    <w:p>
      <w:pPr>
        <w:numPr>
          <w:ilvl w:val="0"/>
          <w:numId w:val="0"/>
        </w:numPr>
        <w:spacing w:line="360" w:lineRule="auto"/>
        <w:jc w:val="left"/>
        <w:rPr>
          <w:rFonts w:hint="eastAsia" w:ascii="宋体" w:hAnsi="宋体" w:eastAsia="宋体" w:cs="宋体"/>
          <w:strike/>
          <w:dstrike w:val="0"/>
          <w:color w:val="auto"/>
          <w:sz w:val="21"/>
          <w:szCs w:val="21"/>
          <w:lang w:eastAsia="zh-CN"/>
        </w:rPr>
      </w:pPr>
      <w:r>
        <w:rPr>
          <w:rFonts w:hint="eastAsia" w:ascii="宋体" w:hAnsi="宋体" w:cs="宋体"/>
          <w:color w:val="000000"/>
          <w:sz w:val="21"/>
          <w:szCs w:val="21"/>
          <w:lang w:val="en-US" w:eastAsia="zh-CN"/>
        </w:rPr>
        <w:t>8</w:t>
      </w: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合同签订后30日历天内供货，并安装调试到</w:t>
      </w:r>
      <w:r>
        <w:rPr>
          <w:rFonts w:hint="eastAsia" w:ascii="宋体" w:hAnsi="宋体" w:eastAsia="宋体" w:cs="宋体"/>
          <w:color w:val="auto"/>
          <w:sz w:val="21"/>
          <w:szCs w:val="21"/>
          <w:u w:val="none"/>
          <w:lang w:val="en-US" w:eastAsia="zh-CN"/>
        </w:rPr>
        <w:t>位</w:t>
      </w:r>
      <w:r>
        <w:rPr>
          <w:rFonts w:hint="eastAsia" w:ascii="宋体" w:hAnsi="宋体" w:eastAsia="宋体" w:cs="宋体"/>
          <w:color w:val="auto"/>
          <w:sz w:val="21"/>
          <w:szCs w:val="21"/>
          <w:u w:val="none"/>
          <w:lang w:eastAsia="zh-CN"/>
        </w:rPr>
        <w:t xml:space="preserve">； </w:t>
      </w:r>
      <w:r>
        <w:rPr>
          <w:rFonts w:hint="eastAsia" w:ascii="宋体" w:hAnsi="宋体" w:eastAsia="宋体" w:cs="宋体"/>
          <w:color w:val="auto"/>
          <w:sz w:val="21"/>
          <w:szCs w:val="21"/>
          <w:u w:val="single"/>
          <w:lang w:eastAsia="zh-CN"/>
        </w:rPr>
        <w:t xml:space="preserve"> </w:t>
      </w:r>
      <w:r>
        <w:rPr>
          <w:rFonts w:hint="eastAsia" w:ascii="宋体" w:hAnsi="宋体" w:eastAsia="宋体" w:cs="宋体"/>
          <w:color w:val="auto"/>
          <w:sz w:val="21"/>
          <w:szCs w:val="21"/>
          <w:u w:val="single"/>
          <w:lang w:val="en-US" w:eastAsia="zh-CN"/>
        </w:rPr>
        <w:t xml:space="preserve">                 </w:t>
      </w:r>
    </w:p>
    <w:p>
      <w:pPr>
        <w:numPr>
          <w:ilvl w:val="0"/>
          <w:numId w:val="0"/>
        </w:numPr>
        <w:spacing w:line="360" w:lineRule="auto"/>
        <w:jc w:val="left"/>
        <w:rPr>
          <w:rFonts w:hint="eastAsia" w:ascii="宋体" w:hAnsi="宋体" w:eastAsia="宋体" w:cs="宋体"/>
          <w:sz w:val="21"/>
          <w:szCs w:val="21"/>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u w:val="single"/>
          <w:lang w:val="en-US" w:eastAsia="zh-CN"/>
        </w:rPr>
        <w:t>不接受</w:t>
      </w:r>
      <w:r>
        <w:rPr>
          <w:rFonts w:hint="eastAsia" w:ascii="宋体" w:hAnsi="宋体" w:eastAsia="宋体" w:cs="宋体"/>
          <w:color w:val="auto"/>
          <w:sz w:val="21"/>
          <w:szCs w:val="21"/>
          <w:lang w:val="en-US" w:eastAsia="zh-CN"/>
        </w:rPr>
        <w:t>联合体竞标；</w:t>
      </w:r>
    </w:p>
    <w:p>
      <w:pPr>
        <w:pStyle w:val="4"/>
        <w:numPr>
          <w:ilvl w:val="0"/>
          <w:numId w:val="6"/>
        </w:numPr>
        <w:spacing w:line="360" w:lineRule="auto"/>
        <w:jc w:val="left"/>
        <w:rPr>
          <w:rFonts w:hint="eastAsia" w:ascii="宋体" w:hAnsi="宋体" w:eastAsia="宋体" w:cs="宋体"/>
          <w:sz w:val="21"/>
          <w:szCs w:val="21"/>
        </w:rPr>
      </w:pPr>
      <w:bookmarkStart w:id="9" w:name="_Toc20667"/>
      <w:r>
        <w:rPr>
          <w:rFonts w:hint="eastAsia" w:ascii="宋体" w:hAnsi="宋体" w:eastAsia="宋体" w:cs="宋体"/>
          <w:sz w:val="21"/>
          <w:szCs w:val="21"/>
        </w:rPr>
        <w:t>申请人的资格要求</w:t>
      </w:r>
      <w:bookmarkEnd w:id="9"/>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满足《中华人民共和国政府采购法》第二十二条规定；</w:t>
      </w:r>
    </w:p>
    <w:p>
      <w:pPr>
        <w:spacing w:line="360" w:lineRule="auto"/>
        <w:ind w:left="446"/>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1.1具有独立承担民事责任的能力；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1.2具有良好的商业信誉和健全的财务会计制度；</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1.3具有履行合同所必需的设备和专业技术能力；</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1.4有依法缴纳税收和社会保障资金的良好记录；</w:t>
      </w:r>
    </w:p>
    <w:p>
      <w:pPr>
        <w:spacing w:line="360" w:lineRule="auto"/>
        <w:ind w:left="420" w:firstLine="315" w:firstLineChars="150"/>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1.5参加政府采购活动前三年内，在经营活动中没有重大违法记录</w:t>
      </w:r>
      <w:r>
        <w:rPr>
          <w:rFonts w:hint="eastAsia" w:asciiTheme="minorEastAsia" w:hAnsiTheme="minorEastAsia" w:eastAsiaTheme="minorEastAsia" w:cstheme="minorEastAsia"/>
          <w:color w:val="000000"/>
          <w:sz w:val="21"/>
          <w:szCs w:val="21"/>
          <w:lang w:eastAsia="zh-CN"/>
        </w:rPr>
        <w:t>；（重大违法记录是指供应商因违法经营受到刑事处罚或者责令停产停业、吊销许可证或者执照、较大数额罚款等行政处罚）</w:t>
      </w:r>
    </w:p>
    <w:p>
      <w:pPr>
        <w:spacing w:line="360" w:lineRule="auto"/>
        <w:ind w:left="420" w:firstLine="315" w:firstLineChars="15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1.6法律、行政法规规定的其他条件；</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单位负责人为同一人或者存在直接控股、管理关系的不同</w:t>
      </w:r>
      <w:r>
        <w:rPr>
          <w:rFonts w:hint="eastAsia" w:asciiTheme="minorEastAsia" w:hAnsiTheme="minorEastAsia" w:eastAsiaTheme="minorEastAsia" w:cstheme="minorEastAsia"/>
          <w:color w:val="000000"/>
          <w:sz w:val="21"/>
          <w:szCs w:val="21"/>
          <w:lang w:eastAsia="zh-CN"/>
        </w:rPr>
        <w:t>供应商</w:t>
      </w:r>
      <w:r>
        <w:rPr>
          <w:rFonts w:hint="eastAsia" w:asciiTheme="minorEastAsia" w:hAnsiTheme="minorEastAsia" w:eastAsiaTheme="minorEastAsia" w:cstheme="minorEastAsia"/>
          <w:color w:val="000000"/>
          <w:sz w:val="21"/>
          <w:szCs w:val="21"/>
        </w:rPr>
        <w:t>，不得参加本项目同一合同项下的政府采购活动。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为本采购项目提供整体设计、规范编制或者项目管理、监理、检测等服务的，不得再参加本项目的其他招标采购活动。</w:t>
      </w:r>
    </w:p>
    <w:p>
      <w:pPr>
        <w:numPr>
          <w:ilvl w:val="0"/>
          <w:numId w:val="8"/>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未被列入失信被执行人、重大税收违法案件当事人名单，未被列入政府采购严重违法失信行为记录名单。</w:t>
      </w:r>
    </w:p>
    <w:p>
      <w:pPr>
        <w:numPr>
          <w:ilvl w:val="0"/>
          <w:numId w:val="8"/>
        </w:numPr>
        <w:spacing w:line="360" w:lineRule="auto"/>
        <w:ind w:firstLine="420" w:firstLineChars="200"/>
        <w:jc w:val="left"/>
        <w:rPr>
          <w:rFonts w:hint="eastAsia" w:asciiTheme="minorEastAsia" w:hAnsiTheme="minorEastAsia" w:eastAsiaTheme="minorEastAsia" w:cstheme="minorEastAsia"/>
          <w:strike w:val="0"/>
          <w:dstrike w:val="0"/>
          <w:color w:val="auto"/>
          <w:sz w:val="21"/>
          <w:szCs w:val="21"/>
        </w:rPr>
      </w:pPr>
      <w:r>
        <w:rPr>
          <w:rFonts w:hint="eastAsia" w:asciiTheme="minorEastAsia" w:hAnsiTheme="minorEastAsia" w:eastAsiaTheme="minorEastAsia" w:cstheme="minorEastAsia"/>
          <w:color w:val="auto"/>
          <w:sz w:val="21"/>
          <w:szCs w:val="21"/>
        </w:rPr>
        <w:t>落实政府采购政策需满足的资格要求：</w:t>
      </w:r>
      <w:r>
        <w:rPr>
          <w:rFonts w:hint="eastAsia" w:asciiTheme="minorEastAsia" w:hAnsiTheme="minorEastAsia" w:eastAsiaTheme="minorEastAsia" w:cstheme="minorEastAsia"/>
          <w:strike w:val="0"/>
          <w:dstrike w:val="0"/>
          <w:color w:val="auto"/>
          <w:sz w:val="21"/>
          <w:szCs w:val="21"/>
        </w:rPr>
        <w:t>本项目需落实政府采购强制、优先采购节能产品政策；政府采购优先采购环保产品政策；政府采购促进中小企业发展（监狱企业、残疾人福利性单位视同小微企业）等政策详见</w:t>
      </w:r>
      <w:r>
        <w:rPr>
          <w:rFonts w:hint="eastAsia" w:asciiTheme="minorEastAsia" w:hAnsiTheme="minorEastAsia" w:eastAsiaTheme="minorEastAsia" w:cstheme="minorEastAsia"/>
          <w:strike w:val="0"/>
          <w:dstrike w:val="0"/>
          <w:color w:val="auto"/>
          <w:sz w:val="21"/>
          <w:szCs w:val="21"/>
          <w:lang w:val="en-US" w:eastAsia="zh-CN"/>
        </w:rPr>
        <w:t>采购</w:t>
      </w:r>
      <w:r>
        <w:rPr>
          <w:rFonts w:hint="eastAsia" w:asciiTheme="minorEastAsia" w:hAnsiTheme="minorEastAsia" w:eastAsiaTheme="minorEastAsia" w:cstheme="minorEastAsia"/>
          <w:strike w:val="0"/>
          <w:dstrike w:val="0"/>
          <w:color w:val="auto"/>
          <w:sz w:val="21"/>
          <w:szCs w:val="21"/>
        </w:rPr>
        <w:t>文件；</w:t>
      </w:r>
    </w:p>
    <w:p>
      <w:pPr>
        <w:numPr>
          <w:ilvl w:val="0"/>
          <w:numId w:val="8"/>
        </w:numPr>
        <w:spacing w:line="360" w:lineRule="auto"/>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本项目的特定资格要求：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    6.2供应商营业执照的经营范围需满足采购需求；</w:t>
      </w:r>
    </w:p>
    <w:p>
      <w:pPr>
        <w:pStyle w:val="4"/>
        <w:numPr>
          <w:ilvl w:val="0"/>
          <w:numId w:val="6"/>
        </w:numPr>
        <w:spacing w:line="360" w:lineRule="auto"/>
        <w:jc w:val="left"/>
        <w:rPr>
          <w:rFonts w:hint="eastAsia" w:ascii="宋体" w:hAnsi="宋体" w:eastAsia="宋体" w:cs="宋体"/>
          <w:sz w:val="21"/>
          <w:szCs w:val="21"/>
        </w:rPr>
      </w:pPr>
      <w:bookmarkStart w:id="10" w:name="_Toc30193"/>
      <w:bookmarkStart w:id="11" w:name="_Toc334539185"/>
      <w:r>
        <w:rPr>
          <w:rFonts w:hint="eastAsia" w:ascii="宋体" w:hAnsi="宋体" w:eastAsia="宋体" w:cs="宋体"/>
          <w:sz w:val="21"/>
          <w:szCs w:val="21"/>
        </w:rPr>
        <w:t>获取</w:t>
      </w:r>
      <w:r>
        <w:rPr>
          <w:rFonts w:hint="eastAsia" w:ascii="宋体" w:hAnsi="宋体" w:eastAsia="宋体" w:cs="宋体"/>
          <w:sz w:val="21"/>
          <w:szCs w:val="21"/>
          <w:lang w:eastAsia="zh-CN"/>
        </w:rPr>
        <w:t>采购</w:t>
      </w:r>
      <w:r>
        <w:rPr>
          <w:rFonts w:hint="eastAsia" w:ascii="宋体" w:hAnsi="宋体" w:eastAsia="宋体" w:cs="宋体"/>
          <w:sz w:val="21"/>
          <w:szCs w:val="21"/>
        </w:rPr>
        <w:t>文件</w:t>
      </w:r>
      <w:bookmarkEnd w:id="10"/>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27</w:t>
      </w:r>
      <w:r>
        <w:rPr>
          <w:rFonts w:hint="eastAsia" w:ascii="宋体" w:hAnsi="宋体" w:eastAsia="宋体" w:cs="宋体"/>
          <w:sz w:val="21"/>
          <w:szCs w:val="21"/>
          <w:u w:val="single"/>
        </w:rPr>
        <w:t>日至</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日</w:t>
      </w:r>
      <w:r>
        <w:rPr>
          <w:rFonts w:hint="eastAsia" w:ascii="宋体" w:hAnsi="宋体" w:eastAsia="宋体" w:cs="宋体"/>
          <w:sz w:val="21"/>
          <w:szCs w:val="21"/>
        </w:rPr>
        <w:t>（提供期限自本公告发布</w:t>
      </w:r>
      <w:r>
        <w:rPr>
          <w:rFonts w:hint="eastAsia" w:ascii="宋体" w:hAnsi="宋体" w:eastAsia="宋体" w:cs="宋体"/>
          <w:sz w:val="21"/>
          <w:szCs w:val="21"/>
          <w:lang w:eastAsia="zh-CN"/>
        </w:rPr>
        <w:t>之</w:t>
      </w:r>
      <w:r>
        <w:rPr>
          <w:rFonts w:hint="eastAsia" w:ascii="宋体" w:hAnsi="宋体" w:eastAsia="宋体" w:cs="宋体"/>
          <w:sz w:val="21"/>
          <w:szCs w:val="21"/>
        </w:rPr>
        <w:t>日起</w:t>
      </w:r>
      <w:r>
        <w:rPr>
          <w:rFonts w:hint="eastAsia" w:ascii="宋体" w:hAnsi="宋体" w:eastAsia="宋体" w:cs="宋体"/>
          <w:sz w:val="21"/>
          <w:szCs w:val="21"/>
          <w:lang w:eastAsia="zh-CN"/>
        </w:rPr>
        <w:t>至少</w:t>
      </w:r>
      <w:r>
        <w:rPr>
          <w:rFonts w:hint="eastAsia" w:ascii="宋体" w:hAnsi="宋体" w:eastAsia="宋体" w:cs="宋体"/>
          <w:sz w:val="21"/>
          <w:szCs w:val="21"/>
        </w:rPr>
        <w:t>5个工作日），每天上午</w:t>
      </w:r>
      <w:r>
        <w:rPr>
          <w:rFonts w:hint="eastAsia" w:ascii="宋体" w:hAnsi="宋体" w:eastAsia="宋体" w:cs="宋体"/>
          <w:sz w:val="21"/>
          <w:szCs w:val="21"/>
          <w:lang w:val="en-US" w:eastAsia="zh-CN"/>
        </w:rPr>
        <w:t>09:00</w:t>
      </w:r>
      <w:r>
        <w:rPr>
          <w:rFonts w:hint="eastAsia" w:ascii="宋体" w:hAnsi="宋体" w:eastAsia="宋体" w:cs="宋体"/>
          <w:sz w:val="21"/>
          <w:szCs w:val="21"/>
        </w:rPr>
        <w:t>至</w:t>
      </w:r>
      <w:r>
        <w:rPr>
          <w:rFonts w:hint="eastAsia" w:ascii="宋体" w:hAnsi="宋体" w:eastAsia="宋体" w:cs="宋体"/>
          <w:sz w:val="21"/>
          <w:szCs w:val="21"/>
          <w:lang w:val="en-US" w:eastAsia="zh-CN"/>
        </w:rPr>
        <w:t>12:00</w:t>
      </w:r>
      <w:r>
        <w:rPr>
          <w:rFonts w:hint="eastAsia" w:ascii="宋体" w:hAnsi="宋体" w:eastAsia="宋体" w:cs="宋体"/>
          <w:sz w:val="21"/>
          <w:szCs w:val="21"/>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至</w:t>
      </w:r>
      <w:r>
        <w:rPr>
          <w:rFonts w:hint="eastAsia" w:ascii="宋体" w:hAnsi="宋体" w:eastAsia="宋体" w:cs="宋体"/>
          <w:sz w:val="21"/>
          <w:szCs w:val="21"/>
          <w:lang w:val="en-US" w:eastAsia="zh-CN"/>
        </w:rPr>
        <w:t>17:00</w:t>
      </w:r>
      <w:r>
        <w:rPr>
          <w:rFonts w:hint="eastAsia" w:ascii="宋体" w:hAnsi="宋体" w:eastAsia="宋体" w:cs="宋体"/>
          <w:sz w:val="21"/>
          <w:szCs w:val="21"/>
        </w:rPr>
        <w:t>（北京时间，法定节假日除外）</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地点：武昌区中北路岳家嘴立交山河企业大厦</w:t>
      </w:r>
      <w:r>
        <w:rPr>
          <w:rFonts w:hint="eastAsia" w:ascii="宋体" w:hAnsi="宋体" w:eastAsia="宋体" w:cs="宋体"/>
          <w:sz w:val="21"/>
          <w:szCs w:val="21"/>
          <w:lang w:val="en-US" w:eastAsia="zh-CN"/>
        </w:rPr>
        <w:t>48楼</w:t>
      </w:r>
      <w:r>
        <w:rPr>
          <w:rFonts w:hint="eastAsia" w:ascii="宋体" w:hAnsi="宋体" w:eastAsia="宋体" w:cs="宋体"/>
          <w:sz w:val="21"/>
          <w:szCs w:val="21"/>
        </w:rPr>
        <w:t>4805室；</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color w:val="auto"/>
          <w:sz w:val="21"/>
          <w:szCs w:val="21"/>
          <w:lang w:eastAsia="zh-CN"/>
        </w:rPr>
        <w:t>现场获取</w:t>
      </w:r>
      <w:r>
        <w:rPr>
          <w:rFonts w:hint="eastAsia" w:ascii="宋体" w:hAnsi="宋体" w:eastAsia="宋体" w:cs="宋体"/>
          <w:b w:val="0"/>
          <w:bCs w:val="0"/>
          <w:color w:val="auto"/>
          <w:sz w:val="21"/>
          <w:szCs w:val="21"/>
        </w:rPr>
        <w:t>：</w:t>
      </w:r>
      <w:bookmarkEnd w:id="11"/>
      <w:r>
        <w:rPr>
          <w:rFonts w:hint="eastAsia" w:ascii="宋体" w:hAnsi="宋体" w:eastAsia="宋体" w:cs="宋体"/>
          <w:b w:val="0"/>
          <w:bCs w:val="0"/>
          <w:color w:val="auto"/>
          <w:sz w:val="21"/>
          <w:szCs w:val="21"/>
        </w:rPr>
        <w:t>1）法定代表人领取的，凭法定代表人身份证明书（格式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）及法定代表人身份证原件领取；2）法定代表人委托他人领取的，凭法定代表人授权书（格式</w:t>
      </w:r>
      <w:r>
        <w:rPr>
          <w:rFonts w:hint="eastAsia" w:ascii="宋体" w:hAnsi="宋体" w:eastAsia="宋体" w:cs="宋体"/>
          <w:b w:val="0"/>
          <w:bCs w:val="0"/>
          <w:color w:val="auto"/>
          <w:sz w:val="21"/>
          <w:szCs w:val="21"/>
          <w:lang w:eastAsia="zh-CN"/>
        </w:rPr>
        <w:t>见附件</w:t>
      </w:r>
      <w:r>
        <w:rPr>
          <w:rFonts w:hint="eastAsia" w:ascii="宋体" w:hAnsi="宋体" w:eastAsia="宋体" w:cs="宋体"/>
          <w:b w:val="0"/>
          <w:bCs w:val="0"/>
          <w:color w:val="auto"/>
          <w:sz w:val="21"/>
          <w:szCs w:val="21"/>
        </w:rPr>
        <w:t>）及受托人身份证原件领取</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）加盖</w:t>
      </w:r>
      <w:r>
        <w:rPr>
          <w:rFonts w:hint="eastAsia" w:ascii="宋体" w:hAnsi="宋体" w:eastAsia="宋体" w:cs="宋体"/>
          <w:b w:val="0"/>
          <w:bCs w:val="0"/>
          <w:color w:val="auto"/>
          <w:sz w:val="21"/>
          <w:szCs w:val="21"/>
          <w:lang w:val="en-US" w:eastAsia="zh-CN"/>
        </w:rPr>
        <w:t>公章</w:t>
      </w:r>
      <w:r>
        <w:rPr>
          <w:rFonts w:hint="eastAsia" w:ascii="宋体" w:hAnsi="宋体" w:eastAsia="宋体" w:cs="宋体"/>
          <w:b w:val="0"/>
          <w:bCs w:val="0"/>
          <w:color w:val="auto"/>
          <w:sz w:val="21"/>
          <w:szCs w:val="21"/>
        </w:rPr>
        <w:t>的营业执照</w:t>
      </w:r>
      <w:r>
        <w:rPr>
          <w:rFonts w:hint="eastAsia" w:ascii="宋体" w:hAnsi="宋体" w:eastAsia="宋体" w:cs="宋体"/>
          <w:b w:val="0"/>
          <w:bCs w:val="0"/>
          <w:color w:val="auto"/>
          <w:sz w:val="21"/>
          <w:szCs w:val="21"/>
          <w:lang w:val="en-US" w:eastAsia="zh-CN"/>
        </w:rPr>
        <w:t>真彩扫描件、项目报名表</w:t>
      </w:r>
      <w:r>
        <w:rPr>
          <w:rFonts w:hint="eastAsia" w:ascii="宋体" w:hAnsi="宋体" w:eastAsia="宋体" w:cs="宋体"/>
          <w:b w:val="0"/>
          <w:bCs w:val="0"/>
          <w:color w:val="auto"/>
          <w:sz w:val="21"/>
          <w:szCs w:val="21"/>
        </w:rPr>
        <w:t>（格式见附件）</w:t>
      </w:r>
      <w:r>
        <w:rPr>
          <w:rFonts w:hint="eastAsia" w:ascii="宋体" w:hAnsi="宋体" w:eastAsia="宋体" w:cs="宋体"/>
          <w:b w:val="0"/>
          <w:bCs w:val="0"/>
          <w:color w:val="auto"/>
          <w:sz w:val="21"/>
          <w:szCs w:val="21"/>
          <w:lang w:val="en-US" w:eastAsia="zh-CN"/>
        </w:rPr>
        <w:t>、供应商信用承诺书（格式见附件）、《中小企业声明函》扫描件，格式详见《政府采购促进中小企业发展暂行办法》(财库【2011】181号)（如项目非专门面向中小微企业，则不需要中小企业声明函）；</w:t>
      </w:r>
      <w:r>
        <w:rPr>
          <w:rFonts w:hint="eastAsia" w:ascii="宋体" w:hAnsi="宋体" w:eastAsia="宋体" w:cs="宋体"/>
          <w:b w:val="0"/>
          <w:bCs w:val="0"/>
          <w:color w:val="auto"/>
          <w:sz w:val="21"/>
          <w:szCs w:val="21"/>
          <w:lang w:val="en-US" w:eastAsia="zh-CN"/>
        </w:rPr>
        <w:br w:type="textWrapping"/>
      </w:r>
      <w:r>
        <w:rPr>
          <w:rFonts w:hint="eastAsia" w:ascii="宋体" w:hAnsi="宋体" w:eastAsia="宋体" w:cs="宋体"/>
          <w:b/>
          <w:bCs/>
          <w:color w:val="auto"/>
          <w:sz w:val="21"/>
          <w:szCs w:val="21"/>
          <w:lang w:val="en-US" w:eastAsia="zh-CN"/>
        </w:rPr>
        <w:t xml:space="preserve">  </w:t>
      </w:r>
      <w:r>
        <w:rPr>
          <w:rFonts w:hint="eastAsia" w:ascii="宋体" w:hAnsi="宋体" w:cs="宋体"/>
          <w:b/>
          <w:bCs/>
          <w:color w:val="auto"/>
          <w:sz w:val="21"/>
          <w:szCs w:val="21"/>
          <w:lang w:val="en-US" w:eastAsia="zh-CN"/>
        </w:rPr>
        <w:t xml:space="preserve">  </w:t>
      </w:r>
      <w:r>
        <w:rPr>
          <w:rFonts w:hint="eastAsia" w:ascii="宋体" w:hAnsi="宋体" w:eastAsia="宋体" w:cs="宋体"/>
          <w:sz w:val="21"/>
          <w:szCs w:val="21"/>
          <w:lang w:val="en-US" w:eastAsia="zh-CN"/>
        </w:rPr>
        <w:t>售价：采购文件</w:t>
      </w:r>
      <w:r>
        <w:rPr>
          <w:rFonts w:hint="eastAsia" w:ascii="宋体" w:hAnsi="宋体" w:eastAsia="宋体" w:cs="宋体"/>
          <w:color w:val="auto"/>
          <w:sz w:val="21"/>
          <w:szCs w:val="21"/>
          <w:lang w:val="en-US" w:eastAsia="zh-CN"/>
        </w:rPr>
        <w:t>人民币400元/本，</w:t>
      </w:r>
      <w:r>
        <w:rPr>
          <w:rFonts w:hint="eastAsia" w:ascii="宋体" w:hAnsi="宋体" w:eastAsia="宋体" w:cs="宋体"/>
          <w:sz w:val="21"/>
          <w:szCs w:val="21"/>
          <w:lang w:val="en-US" w:eastAsia="zh-CN"/>
        </w:rPr>
        <w:t>售后不退，不办理邮寄；</w:t>
      </w:r>
    </w:p>
    <w:p>
      <w:pPr>
        <w:pStyle w:val="4"/>
        <w:numPr>
          <w:ilvl w:val="0"/>
          <w:numId w:val="6"/>
        </w:numPr>
        <w:spacing w:line="360" w:lineRule="auto"/>
        <w:jc w:val="left"/>
        <w:rPr>
          <w:rFonts w:hint="eastAsia" w:ascii="宋体" w:hAnsi="宋体" w:eastAsia="宋体" w:cs="宋体"/>
          <w:sz w:val="21"/>
          <w:szCs w:val="21"/>
        </w:rPr>
      </w:pPr>
      <w:bookmarkStart w:id="12" w:name="_Toc3841"/>
      <w:r>
        <w:rPr>
          <w:rFonts w:hint="eastAsia" w:ascii="宋体" w:hAnsi="宋体" w:eastAsia="宋体" w:cs="宋体"/>
          <w:sz w:val="21"/>
          <w:szCs w:val="21"/>
          <w:lang w:eastAsia="zh-CN"/>
        </w:rPr>
        <w:t>响应文件提交</w:t>
      </w:r>
      <w:bookmarkEnd w:id="12"/>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开始时间：2020年10月15日08点30分（北京时间）</w:t>
      </w:r>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截止时间：2020年10月15日14点00分（北京时间）</w:t>
      </w:r>
    </w:p>
    <w:p>
      <w:pPr>
        <w:numPr>
          <w:ilvl w:val="0"/>
          <w:numId w:val="0"/>
        </w:numPr>
        <w:spacing w:line="360" w:lineRule="auto"/>
        <w:ind w:firstLine="420" w:firstLineChars="200"/>
        <w:jc w:val="left"/>
        <w:outlineLvl w:val="9"/>
        <w:rPr>
          <w:rFonts w:hint="eastAsia" w:ascii="宋体" w:hAnsi="宋体" w:eastAsia="宋体" w:cs="宋体"/>
          <w:sz w:val="21"/>
          <w:szCs w:val="21"/>
        </w:rPr>
      </w:pPr>
      <w:r>
        <w:rPr>
          <w:rFonts w:hint="eastAsia" w:asciiTheme="minorEastAsia" w:hAnsiTheme="minorEastAsia" w:eastAsiaTheme="minorEastAsia" w:cstheme="minorEastAsia"/>
          <w:sz w:val="21"/>
          <w:szCs w:val="21"/>
          <w:lang w:val="en-US" w:eastAsia="zh-CN"/>
        </w:rPr>
        <w:t>地点：武昌区中北路岳家嘴立交山河企业大厦4806室</w:t>
      </w:r>
    </w:p>
    <w:p>
      <w:pPr>
        <w:pStyle w:val="4"/>
        <w:numPr>
          <w:ilvl w:val="0"/>
          <w:numId w:val="6"/>
        </w:numPr>
        <w:spacing w:line="360" w:lineRule="auto"/>
        <w:jc w:val="left"/>
        <w:rPr>
          <w:rFonts w:hint="eastAsia" w:eastAsia="宋体"/>
          <w:sz w:val="21"/>
          <w:szCs w:val="21"/>
          <w:lang w:eastAsia="zh-CN"/>
        </w:rPr>
      </w:pPr>
      <w:bookmarkStart w:id="13" w:name="_Toc11052"/>
      <w:r>
        <w:rPr>
          <w:rFonts w:hint="eastAsia" w:ascii="宋体" w:hAnsi="宋体" w:eastAsia="宋体" w:cs="宋体"/>
          <w:sz w:val="21"/>
          <w:szCs w:val="21"/>
          <w:lang w:eastAsia="zh-CN"/>
        </w:rPr>
        <w:t>开启</w:t>
      </w:r>
      <w:bookmarkEnd w:id="13"/>
    </w:p>
    <w:p>
      <w:pPr>
        <w:numPr>
          <w:ilvl w:val="0"/>
          <w:numId w:val="0"/>
        </w:numPr>
        <w:spacing w:line="360" w:lineRule="auto"/>
        <w:ind w:leftChars="0" w:firstLine="420" w:firstLineChars="200"/>
        <w:jc w:val="left"/>
        <w:outlineLvl w:val="9"/>
        <w:rPr>
          <w:rFonts w:hint="eastAsia" w:eastAsia="宋体"/>
          <w:sz w:val="21"/>
          <w:szCs w:val="21"/>
          <w:lang w:eastAsia="zh-CN"/>
        </w:rPr>
      </w:pPr>
      <w:r>
        <w:rPr>
          <w:rFonts w:hint="eastAsia" w:ascii="宋体" w:hAnsi="宋体" w:eastAsia="宋体" w:cs="宋体"/>
          <w:sz w:val="21"/>
          <w:szCs w:val="21"/>
          <w:lang w:val="en-US" w:eastAsia="zh-CN"/>
        </w:rPr>
        <w:t>时间：2020年10月15日14点00分</w:t>
      </w:r>
      <w:r>
        <w:rPr>
          <w:rFonts w:hint="eastAsia" w:ascii="宋体" w:hAnsi="宋体" w:eastAsia="宋体" w:cs="宋体"/>
          <w:sz w:val="21"/>
          <w:szCs w:val="21"/>
          <w:lang w:eastAsia="zh-CN"/>
        </w:rPr>
        <w:t>（北京时间）</w:t>
      </w:r>
    </w:p>
    <w:p>
      <w:pPr>
        <w:pStyle w:val="4"/>
        <w:numPr>
          <w:ilvl w:val="0"/>
          <w:numId w:val="6"/>
        </w:numPr>
        <w:spacing w:line="360" w:lineRule="auto"/>
        <w:jc w:val="left"/>
        <w:rPr>
          <w:rFonts w:hint="eastAsia" w:ascii="宋体" w:hAnsi="宋体" w:eastAsia="宋体" w:cs="宋体"/>
          <w:sz w:val="21"/>
          <w:szCs w:val="21"/>
        </w:rPr>
      </w:pPr>
      <w:bookmarkStart w:id="14" w:name="_Toc23624"/>
      <w:r>
        <w:rPr>
          <w:rFonts w:hint="eastAsia" w:ascii="宋体" w:hAnsi="宋体" w:eastAsia="宋体" w:cs="宋体"/>
          <w:sz w:val="21"/>
          <w:szCs w:val="21"/>
        </w:rPr>
        <w:t>公告期限</w:t>
      </w:r>
      <w:bookmarkEnd w:id="14"/>
    </w:p>
    <w:p>
      <w:pPr>
        <w:spacing w:line="360" w:lineRule="auto"/>
        <w:ind w:firstLine="420" w:firstLineChars="200"/>
        <w:jc w:val="left"/>
        <w:rPr>
          <w:rFonts w:hint="eastAsia" w:ascii="宋体" w:hAnsi="宋体" w:eastAsia="宋体" w:cs="宋体"/>
          <w:sz w:val="21"/>
          <w:szCs w:val="21"/>
          <w:lang w:eastAsia="zh-CN"/>
        </w:rPr>
      </w:pPr>
      <w:bookmarkStart w:id="15" w:name="_Toc320898024"/>
      <w:bookmarkStart w:id="16" w:name="_Toc259607751"/>
      <w:bookmarkStart w:id="17" w:name="_Toc317262251"/>
      <w:bookmarkStart w:id="18" w:name="_Toc334539188"/>
      <w:bookmarkStart w:id="19" w:name="_Toc6021"/>
      <w:bookmarkStart w:id="20" w:name="_Toc276368888"/>
      <w:r>
        <w:rPr>
          <w:rFonts w:hint="eastAsia" w:ascii="宋体" w:hAnsi="宋体" w:eastAsia="宋体" w:cs="宋体"/>
          <w:sz w:val="21"/>
          <w:szCs w:val="21"/>
          <w:lang w:val="en-US" w:eastAsia="zh-CN"/>
        </w:rPr>
        <w:t>自本公告发布之日起</w:t>
      </w:r>
      <w:r>
        <w:rPr>
          <w:rFonts w:hint="eastAsia" w:ascii="宋体" w:hAnsi="宋体" w:eastAsia="宋体" w:cs="宋体"/>
          <w:sz w:val="21"/>
          <w:szCs w:val="21"/>
          <w:lang w:eastAsia="zh-CN"/>
        </w:rPr>
        <w:t>至少</w:t>
      </w:r>
      <w:r>
        <w:rPr>
          <w:rFonts w:hint="eastAsia" w:ascii="宋体" w:hAnsi="宋体" w:eastAsia="宋体" w:cs="宋体"/>
          <w:sz w:val="21"/>
          <w:szCs w:val="21"/>
          <w:lang w:val="en-US" w:eastAsia="zh-CN"/>
        </w:rPr>
        <w:t>5个工作日</w:t>
      </w:r>
    </w:p>
    <w:bookmarkEnd w:id="15"/>
    <w:bookmarkEnd w:id="16"/>
    <w:bookmarkEnd w:id="17"/>
    <w:bookmarkEnd w:id="18"/>
    <w:bookmarkEnd w:id="19"/>
    <w:bookmarkEnd w:id="20"/>
    <w:p>
      <w:pPr>
        <w:pStyle w:val="4"/>
        <w:numPr>
          <w:ilvl w:val="0"/>
          <w:numId w:val="6"/>
        </w:numPr>
        <w:spacing w:line="360" w:lineRule="auto"/>
        <w:jc w:val="left"/>
        <w:rPr>
          <w:rFonts w:hint="eastAsia" w:ascii="宋体" w:hAnsi="宋体" w:eastAsia="宋体" w:cs="宋体"/>
          <w:sz w:val="21"/>
          <w:szCs w:val="21"/>
        </w:rPr>
      </w:pPr>
      <w:bookmarkStart w:id="21" w:name="_Toc17673"/>
      <w:r>
        <w:rPr>
          <w:rFonts w:hint="eastAsia" w:ascii="宋体" w:hAnsi="宋体" w:eastAsia="宋体" w:cs="宋体"/>
          <w:sz w:val="21"/>
          <w:szCs w:val="21"/>
        </w:rPr>
        <w:t>其他补充事宜</w:t>
      </w:r>
      <w:bookmarkEnd w:id="21"/>
    </w:p>
    <w:p>
      <w:pPr>
        <w:numPr>
          <w:ilvl w:val="0"/>
          <w:numId w:val="0"/>
        </w:numPr>
        <w:spacing w:line="360" w:lineRule="auto"/>
        <w:ind w:firstLine="420" w:firstLineChars="200"/>
        <w:jc w:val="left"/>
        <w:rPr>
          <w:rFonts w:hint="eastAsia" w:ascii="宋体" w:hAnsi="宋体" w:eastAsia="宋体" w:cs="宋体"/>
          <w:color w:val="auto"/>
          <w:sz w:val="21"/>
          <w:szCs w:val="21"/>
          <w:lang w:val="en-US" w:eastAsia="zh-CN"/>
        </w:rPr>
      </w:pPr>
      <w:bookmarkStart w:id="22" w:name="_Toc259028279"/>
      <w:r>
        <w:rPr>
          <w:rFonts w:hint="eastAsia" w:ascii="宋体" w:hAnsi="宋体" w:eastAsia="宋体" w:cs="宋体"/>
          <w:sz w:val="21"/>
          <w:szCs w:val="21"/>
          <w:lang w:val="en-US" w:eastAsia="zh-CN"/>
        </w:rPr>
        <w:t>1.本项目是否专门面向中小企业、监狱企业、</w:t>
      </w:r>
      <w:r>
        <w:rPr>
          <w:rFonts w:hint="eastAsia" w:ascii="宋体" w:hAnsi="宋体" w:eastAsia="宋体" w:cs="宋体"/>
          <w:color w:val="auto"/>
          <w:sz w:val="21"/>
          <w:szCs w:val="21"/>
          <w:lang w:val="en-US" w:eastAsia="zh-CN"/>
        </w:rPr>
        <w:t>残疾人福利性单位：否</w:t>
      </w:r>
    </w:p>
    <w:p>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2.与采购人存在利害关系可能影响采购公正性的法人、其他组织或者个人，不</w:t>
      </w:r>
      <w:r>
        <w:rPr>
          <w:rFonts w:hint="eastAsia" w:ascii="宋体" w:hAnsi="宋体" w:eastAsia="宋体" w:cs="宋体"/>
          <w:sz w:val="21"/>
          <w:szCs w:val="21"/>
          <w:lang w:val="en-US" w:eastAsia="zh-CN"/>
        </w:rPr>
        <w:t>得参与本项目；单位负责人为同一人或存在控股、管理关系的不同单位只能有一家单位报名(按在采购代理机构处获取文件登记的先后顺序)。</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3.供应商如需查询技术要求可直接到我处查阅采购文件第三章相关内容。</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4.本项目将在以下网站发布所有信息，请参加本项目竞标的供应商密切关注。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（一）《湖北省政府采购网》（网址：</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"http://www.ccgp-hubei.gov.cn/）"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http://www.ccgp-hubei.gov.cn/）</w:t>
      </w:r>
      <w:r>
        <w:rPr>
          <w:rFonts w:hint="eastAsia" w:ascii="宋体" w:hAnsi="宋体" w:eastAsia="宋体" w:cs="宋体"/>
          <w:sz w:val="21"/>
          <w:szCs w:val="21"/>
          <w:lang w:val="en-US" w:eastAsia="zh-CN"/>
        </w:rPr>
        <w:fldChar w:fldCharType="end"/>
      </w:r>
    </w:p>
    <w:p>
      <w:pPr>
        <w:spacing w:line="360" w:lineRule="auto"/>
        <w:ind w:firstLine="420"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（二）《中经国际招标集团有限公司官网》（网址：</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"http://www.ceitcl.com/）"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http://www.ceitcl.com/）</w:t>
      </w:r>
      <w:r>
        <w:rPr>
          <w:rFonts w:hint="eastAsia" w:ascii="宋体" w:hAnsi="宋体" w:eastAsia="宋体" w:cs="宋体"/>
          <w:sz w:val="21"/>
          <w:szCs w:val="21"/>
          <w:lang w:val="en-US" w:eastAsia="zh-CN"/>
        </w:rPr>
        <w:fldChar w:fldCharType="end"/>
      </w:r>
    </w:p>
    <w:bookmarkEnd w:id="22"/>
    <w:p>
      <w:pPr>
        <w:pStyle w:val="4"/>
        <w:numPr>
          <w:ilvl w:val="0"/>
          <w:numId w:val="6"/>
        </w:numPr>
        <w:spacing w:line="360" w:lineRule="auto"/>
        <w:jc w:val="left"/>
        <w:rPr>
          <w:rFonts w:hint="eastAsia" w:ascii="宋体" w:hAnsi="宋体" w:eastAsia="宋体" w:cs="宋体"/>
          <w:sz w:val="21"/>
          <w:szCs w:val="21"/>
        </w:rPr>
      </w:pPr>
      <w:bookmarkStart w:id="23" w:name="_Toc12218"/>
      <w:r>
        <w:rPr>
          <w:rFonts w:hint="eastAsia" w:ascii="宋体" w:hAnsi="宋体" w:eastAsia="宋体" w:cs="宋体"/>
          <w:sz w:val="21"/>
          <w:szCs w:val="21"/>
        </w:rPr>
        <w:t>凡对本次采购提出询问，请按以下方式联系</w:t>
      </w:r>
      <w:bookmarkEnd w:id="23"/>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称：长江工程职业技术学院</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址：武汉市江夏区经济开发区大桥新区办事处文化大道9号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联系方式：刘老师  027-87933277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称：中经国际招标集团有限公司</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址：武昌区中北路岳家嘴立交山河企业大厦48楼4805、4806室</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联系方式：027-87820788</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3.项目联系方式</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项目联系人：张梦、彭盼明</w:t>
      </w:r>
    </w:p>
    <w:p>
      <w:pPr>
        <w:spacing w:line="360" w:lineRule="auto"/>
        <w:ind w:firstLine="420" w:firstLineChars="200"/>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电    　话：027-87820788</w:t>
      </w:r>
      <w:r>
        <w:rPr>
          <w:rFonts w:hint="eastAsia" w:ascii="宋体" w:hAnsi="宋体" w:eastAsia="宋体" w:cs="宋体"/>
          <w:color w:val="FF0000"/>
          <w:sz w:val="21"/>
          <w:szCs w:val="21"/>
          <w:lang w:eastAsia="zh-CN"/>
        </w:rPr>
        <w:t>　　</w:t>
      </w:r>
    </w:p>
    <w:p>
      <w:pPr>
        <w:pStyle w:val="4"/>
        <w:numPr>
          <w:ilvl w:val="0"/>
          <w:numId w:val="6"/>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24" w:name="_Toc30016"/>
      <w:r>
        <w:rPr>
          <w:rFonts w:hint="eastAsia" w:asciiTheme="minorEastAsia" w:hAnsiTheme="minorEastAsia" w:eastAsiaTheme="minorEastAsia" w:cstheme="minorEastAsia"/>
          <w:sz w:val="21"/>
          <w:szCs w:val="21"/>
        </w:rPr>
        <w:t>注意事项</w:t>
      </w:r>
      <w:bookmarkEnd w:id="24"/>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rPr>
          <w:rFonts w:hint="eastAsia" w:asciiTheme="minorEastAsia" w:hAnsiTheme="minorEastAsia" w:eastAsiaTheme="minorEastAsia" w:cstheme="minorEastAsia"/>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日</w:t>
      </w:r>
    </w:p>
    <w:p>
      <w:pPr>
        <w:outlineLvl w:val="9"/>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pStyle w:val="21"/>
        <w:rPr>
          <w:rFonts w:hint="eastAsia" w:asciiTheme="minorEastAsia" w:hAnsiTheme="minorEastAsia" w:eastAsiaTheme="minorEastAsia" w:cstheme="minorEastAsia"/>
        </w:rPr>
      </w:pPr>
    </w:p>
    <w:p>
      <w:pPr>
        <w:numPr>
          <w:ilvl w:val="0"/>
          <w:numId w:val="4"/>
        </w:numPr>
        <w:jc w:val="center"/>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2"/>
          <w:szCs w:val="32"/>
        </w:rPr>
      </w:pPr>
      <w:bookmarkStart w:id="25" w:name="_Toc30354"/>
      <w:r>
        <w:rPr>
          <w:rFonts w:hint="eastAsia" w:asciiTheme="minorEastAsia" w:hAnsiTheme="minorEastAsia" w:eastAsiaTheme="minorEastAsia" w:cstheme="minorEastAsia"/>
          <w:sz w:val="36"/>
          <w:szCs w:val="36"/>
        </w:rPr>
        <w:t>供应商须知</w:t>
      </w:r>
      <w:bookmarkEnd w:id="25"/>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26" w:name="_Toc5340"/>
      <w:r>
        <w:rPr>
          <w:rFonts w:hint="eastAsia" w:asciiTheme="minorEastAsia" w:hAnsiTheme="minorEastAsia" w:eastAsiaTheme="minorEastAsia" w:cstheme="minorEastAsia"/>
          <w:b/>
          <w:szCs w:val="21"/>
        </w:rPr>
        <w:t>《供应商须知前附表》</w:t>
      </w:r>
      <w:bookmarkEnd w:id="26"/>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条款号</w:t>
            </w:r>
          </w:p>
        </w:tc>
        <w:tc>
          <w:tcPr>
            <w:tcW w:w="2127"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highlight w:val="none"/>
                <w:lang w:val="en-US" w:eastAsia="zh-CN"/>
              </w:rPr>
              <w:t>长江工程职业技术学院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127" w:type="dxa"/>
            <w:vAlign w:val="center"/>
          </w:tcPr>
          <w:p>
            <w:pPr>
              <w:pStyle w:val="25"/>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湖北省财政厅政府采购管理处</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地  址：武汉市武昌区东湖路181号楚天传媒大厦</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电</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zh-CN"/>
              </w:rPr>
              <w:t>话：</w:t>
            </w:r>
            <w:r>
              <w:rPr>
                <w:rFonts w:hint="eastAsia" w:asciiTheme="minorEastAsia" w:hAnsiTheme="minorEastAsia" w:eastAsiaTheme="minorEastAsia" w:cstheme="minorEastAsia"/>
                <w:color w:val="auto"/>
                <w:sz w:val="21"/>
                <w:szCs w:val="21"/>
                <w:lang w:val="en-US" w:eastAsia="zh-CN"/>
              </w:rPr>
              <w:t>027-</w:t>
            </w:r>
            <w:r>
              <w:rPr>
                <w:rFonts w:hint="eastAsia" w:asciiTheme="minorEastAsia" w:hAnsiTheme="minorEastAsia" w:eastAsiaTheme="minorEastAsia" w:cstheme="minorEastAsia"/>
                <w:color w:val="auto"/>
                <w:sz w:val="21"/>
                <w:szCs w:val="21"/>
                <w:lang w:val="zh-CN"/>
              </w:rPr>
              <w:t>67818721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12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5"/>
              <w:widowControl w:val="0"/>
              <w:autoSpaceDE w:val="0"/>
              <w:autoSpaceDN w:val="0"/>
              <w:adjustRightInd w:val="0"/>
              <w:spacing w:before="31" w:beforeLines="10" w:beforeAutospacing="0" w:after="31" w:afterLines="10" w:afterAutospacing="0" w:line="240" w:lineRule="auto"/>
              <w:ind w:left="0" w:leftChars="0" w:right="21" w:rightChars="10" w:firstLine="0" w:firstLineChars="0"/>
              <w:jc w:val="left"/>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rPr>
              <w:t>招标代理服务费</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根据国家发展与改革委员会办公厅发改办价格【2003】857号文的规定，经与</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协商，由</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按国家发展计划委员会计价格【2002】1980号文规定</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取费标准80%</w:t>
            </w:r>
            <w:bookmarkStart w:id="232" w:name="_GoBack"/>
            <w:bookmarkEnd w:id="232"/>
            <w:r>
              <w:rPr>
                <w:rFonts w:hint="eastAsia" w:asciiTheme="minorEastAsia" w:hAnsiTheme="minorEastAsia" w:eastAsiaTheme="minorEastAsia" w:cstheme="minorEastAsia"/>
                <w:sz w:val="21"/>
                <w:szCs w:val="21"/>
              </w:rPr>
              <w:t>向采</w:t>
            </w:r>
            <w:r>
              <w:rPr>
                <w:rFonts w:hint="eastAsia" w:asciiTheme="minorEastAsia" w:hAnsiTheme="minorEastAsia" w:eastAsiaTheme="minorEastAsia" w:cstheme="minorEastAsia"/>
                <w:color w:val="auto"/>
                <w:sz w:val="21"/>
                <w:szCs w:val="21"/>
              </w:rPr>
              <w:t>购代理机构支付招标代理服务费。招标代理服务费由</w:t>
            </w:r>
            <w:r>
              <w:rPr>
                <w:rFonts w:hint="eastAsia" w:asciiTheme="minorEastAsia" w:hAnsiTheme="minorEastAsia" w:eastAsiaTheme="minorEastAsia" w:cstheme="minorEastAsia"/>
                <w:color w:val="auto"/>
                <w:sz w:val="21"/>
                <w:szCs w:val="21"/>
                <w:lang w:eastAsia="zh-CN"/>
              </w:rPr>
              <w:t>中标人</w:t>
            </w:r>
            <w:r>
              <w:rPr>
                <w:rFonts w:hint="eastAsia" w:asciiTheme="minorEastAsia" w:hAnsiTheme="minorEastAsia" w:eastAsiaTheme="minorEastAsia" w:cstheme="minorEastAsia"/>
                <w:color w:val="auto"/>
                <w:sz w:val="21"/>
                <w:szCs w:val="21"/>
              </w:rPr>
              <w:t>在领取成交通知书的同时，向采购代理机构支付。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val="zh-CN"/>
              </w:rPr>
              <w:t>提疑截止时间</w:t>
            </w:r>
          </w:p>
        </w:tc>
        <w:tc>
          <w:tcPr>
            <w:tcW w:w="6130" w:type="dxa"/>
            <w:vAlign w:val="center"/>
          </w:tcPr>
          <w:p>
            <w:pPr>
              <w:pStyle w:val="25"/>
              <w:widowControl w:val="0"/>
              <w:autoSpaceDE w:val="0"/>
              <w:autoSpaceDN w:val="0"/>
              <w:adjustRightInd w:val="0"/>
              <w:spacing w:before="31" w:beforeLines="10" w:beforeAutospacing="0" w:after="31" w:afterLines="10" w:afterAutospacing="0" w:line="240" w:lineRule="auto"/>
              <w:ind w:left="0" w:leftChars="0" w:right="21" w:rightChars="10" w:firstLine="0" w:firstLineChars="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供应商</w:t>
            </w:r>
            <w:r>
              <w:rPr>
                <w:rFonts w:hint="eastAsia" w:asciiTheme="minorEastAsia" w:hAnsiTheme="minorEastAsia" w:eastAsiaTheme="minorEastAsia" w:cstheme="minorEastAsia"/>
                <w:b w:val="0"/>
                <w:bCs w:val="0"/>
                <w:sz w:val="21"/>
                <w:szCs w:val="21"/>
                <w:lang w:val="zh-CN"/>
              </w:rPr>
              <w:t>对</w:t>
            </w:r>
            <w:r>
              <w:rPr>
                <w:rFonts w:hint="eastAsia" w:asciiTheme="minorEastAsia" w:hAnsiTheme="minorEastAsia" w:eastAsiaTheme="minorEastAsia" w:cstheme="minorEastAsia"/>
                <w:b w:val="0"/>
                <w:bCs w:val="0"/>
                <w:sz w:val="21"/>
                <w:szCs w:val="21"/>
                <w:lang w:val="en-US" w:eastAsia="zh-CN"/>
              </w:rPr>
              <w:t>磋商</w:t>
            </w:r>
            <w:r>
              <w:rPr>
                <w:rFonts w:hint="eastAsia" w:asciiTheme="minorEastAsia" w:hAnsiTheme="minorEastAsia" w:eastAsiaTheme="minorEastAsia" w:cstheme="minorEastAsia"/>
                <w:b w:val="0"/>
                <w:bCs w:val="0"/>
                <w:sz w:val="21"/>
                <w:szCs w:val="21"/>
                <w:lang w:val="zh-CN"/>
              </w:rPr>
              <w:t>文件有异议</w:t>
            </w:r>
            <w:r>
              <w:rPr>
                <w:rFonts w:hint="eastAsia" w:asciiTheme="minorEastAsia" w:hAnsiTheme="minorEastAsia" w:eastAsiaTheme="minorEastAsia" w:cstheme="minorEastAsia"/>
                <w:b w:val="0"/>
                <w:bCs w:val="0"/>
                <w:sz w:val="21"/>
                <w:szCs w:val="21"/>
                <w:lang w:val="en-US" w:eastAsia="zh-CN"/>
              </w:rPr>
              <w:t>或疑问</w:t>
            </w:r>
            <w:r>
              <w:rPr>
                <w:rFonts w:hint="eastAsia" w:asciiTheme="minorEastAsia" w:hAnsiTheme="minorEastAsia" w:eastAsiaTheme="minorEastAsia" w:cstheme="minorEastAsia"/>
                <w:b w:val="0"/>
                <w:bCs w:val="0"/>
                <w:sz w:val="21"/>
                <w:szCs w:val="21"/>
                <w:lang w:val="zh-CN"/>
              </w:rPr>
              <w:t>的，均应以书面形式在</w:t>
            </w:r>
          </w:p>
          <w:p>
            <w:pPr>
              <w:pStyle w:val="25"/>
              <w:widowControl w:val="0"/>
              <w:autoSpaceDE w:val="0"/>
              <w:autoSpaceDN w:val="0"/>
              <w:adjustRightInd w:val="0"/>
              <w:spacing w:before="31" w:beforeLines="10" w:beforeAutospacing="0" w:after="31" w:afterLines="10" w:afterAutospacing="0" w:line="240" w:lineRule="auto"/>
              <w:ind w:left="0" w:leftChars="0" w:right="21" w:rightChars="10" w:firstLine="0" w:firstLineChars="0"/>
              <w:jc w:val="left"/>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2020年</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lang w:val="zh-CN"/>
              </w:rPr>
              <w:t>月</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lang w:val="zh-CN"/>
              </w:rPr>
              <w:t>日</w:t>
            </w:r>
            <w:r>
              <w:rPr>
                <w:rFonts w:hint="eastAsia" w:asciiTheme="minorEastAsia" w:hAnsiTheme="minorEastAsia" w:eastAsiaTheme="minorEastAsia" w:cstheme="minorEastAsia"/>
                <w:b w:val="0"/>
                <w:bCs w:val="0"/>
                <w:sz w:val="21"/>
                <w:szCs w:val="21"/>
                <w:lang w:val="en-US" w:eastAsia="zh-CN"/>
              </w:rPr>
              <w:t>17</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时间</w:t>
            </w:r>
          </w:p>
        </w:tc>
        <w:tc>
          <w:tcPr>
            <w:tcW w:w="6130" w:type="dxa"/>
            <w:vAlign w:val="center"/>
          </w:tcPr>
          <w:p>
            <w:pPr>
              <w:pStyle w:val="25"/>
              <w:widowControl w:val="0"/>
              <w:autoSpaceDE w:val="0"/>
              <w:autoSpaceDN w:val="0"/>
              <w:adjustRightInd w:val="0"/>
              <w:spacing w:before="31" w:beforeLines="10" w:beforeAutospacing="0" w:after="31" w:afterLines="10" w:afterAutospacing="0" w:line="240" w:lineRule="auto"/>
              <w:ind w:left="0" w:leftChars="0" w:right="21" w:rightChars="10" w:firstLine="0" w:firstLineChars="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对多</w:t>
            </w:r>
            <w:r>
              <w:rPr>
                <w:rFonts w:hint="eastAsia" w:asciiTheme="minorEastAsia" w:hAnsiTheme="minorEastAsia" w:eastAsiaTheme="minorEastAsia" w:cstheme="minorEastAsia"/>
                <w:snapToGrid w:val="0"/>
                <w:kern w:val="0"/>
                <w:sz w:val="21"/>
                <w:szCs w:val="21"/>
                <w:lang w:val="en-US" w:eastAsia="zh-CN"/>
              </w:rPr>
              <w:t>包</w:t>
            </w:r>
            <w:r>
              <w:rPr>
                <w:rFonts w:hint="eastAsia" w:asciiTheme="minorEastAsia" w:hAnsiTheme="minorEastAsia" w:eastAsiaTheme="minorEastAsia" w:cstheme="minorEastAsia"/>
                <w:snapToGrid w:val="0"/>
                <w:kern w:val="0"/>
                <w:sz w:val="21"/>
                <w:szCs w:val="21"/>
                <w:lang w:val="zh-CN"/>
              </w:rPr>
              <w:t>采购的规定</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详见</w:t>
            </w:r>
            <w:r>
              <w:rPr>
                <w:rFonts w:hint="eastAsia" w:asciiTheme="minorEastAsia" w:hAnsiTheme="minorEastAsia" w:eastAsiaTheme="minorEastAsia" w:cstheme="minorEastAsia"/>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备选方案</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联合体磋商</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bCs/>
                <w:sz w:val="21"/>
                <w:szCs w:val="21"/>
                <w:lang w:val="zh-CN"/>
              </w:rPr>
              <w:t>应提交的其它资格证明文件（实质性要求）</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w:t>
            </w:r>
            <w:r>
              <w:rPr>
                <w:rFonts w:hint="eastAsia" w:asciiTheme="minorEastAsia" w:hAnsiTheme="minorEastAsia" w:eastAsiaTheme="minorEastAsia" w:cstheme="minorEastAsia"/>
                <w:color w:val="auto"/>
                <w:sz w:val="21"/>
                <w:szCs w:val="21"/>
                <w:lang w:val="en-US" w:eastAsia="zh-CN"/>
              </w:rPr>
              <w:t>竞争性磋商</w:t>
            </w:r>
            <w:r>
              <w:rPr>
                <w:rFonts w:hint="eastAsia" w:asciiTheme="minorEastAsia" w:hAnsiTheme="minorEastAsia" w:eastAsiaTheme="minorEastAsia" w:cstheme="minorEastAsia"/>
                <w:color w:val="auto"/>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1、具有独立承担民事责任的能力（经营范围需满足采购需求）；</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响应文件截止时间当月成立但因税务机关原因导致其尚未依法缴纳税收的供应商，提供依法缴纳税收承诺书原件（格式自拟），该承诺书视同税收缴纳凭据。（5）递交响应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rPr>
              <w:t>6、符合本文件第一章第二款资格要求的所有证明资料。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供应商不得存在的其他情形</w:t>
            </w:r>
          </w:p>
        </w:tc>
        <w:tc>
          <w:tcPr>
            <w:tcW w:w="6130" w:type="dxa"/>
            <w:vAlign w:val="center"/>
          </w:tcPr>
          <w:p>
            <w:pPr>
              <w:numPr>
                <w:ilvl w:val="0"/>
                <w:numId w:val="9"/>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与采购人存在利害关系可能影响</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9"/>
              </w:numPr>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r>
              <w:rPr>
                <w:rFonts w:hint="eastAsia" w:asciiTheme="minorEastAsia" w:hAnsiTheme="minorEastAsia" w:eastAsiaTheme="minorEastAsia" w:cstheme="minorEastAsia"/>
                <w:b w:val="0"/>
                <w:bCs w:val="0"/>
                <w:snapToGrid w:val="0"/>
                <w:color w:val="auto"/>
                <w:kern w:val="0"/>
                <w:sz w:val="21"/>
                <w:szCs w:val="21"/>
                <w:lang w:val="zh-CN"/>
              </w:rPr>
              <w:t>（</w:t>
            </w:r>
            <w:r>
              <w:rPr>
                <w:rFonts w:hint="eastAsia" w:asciiTheme="minorEastAsia" w:hAnsiTheme="minorEastAsia" w:eastAsiaTheme="minorEastAsia" w:cstheme="minorEastAsia"/>
                <w:b w:val="0"/>
                <w:bCs w:val="0"/>
                <w:snapToGrid w:val="0"/>
                <w:color w:val="auto"/>
                <w:kern w:val="0"/>
                <w:sz w:val="21"/>
                <w:szCs w:val="21"/>
                <w:lang w:val="en-US" w:eastAsia="zh-CN"/>
              </w:rPr>
              <w:t>本项目不适用</w:t>
            </w:r>
            <w:r>
              <w:rPr>
                <w:rFonts w:hint="eastAsia" w:asciiTheme="minorEastAsia" w:hAnsiTheme="minorEastAsia" w:eastAsiaTheme="minorEastAsia" w:cstheme="minorEastAsia"/>
                <w:b w:val="0"/>
                <w:bCs w:val="0"/>
                <w:snapToGrid w:val="0"/>
                <w:color w:val="auto"/>
                <w:kern w:val="0"/>
                <w:sz w:val="21"/>
                <w:szCs w:val="21"/>
                <w:lang w:val="zh-CN"/>
              </w:rPr>
              <w:t>）</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val="en-US" w:eastAsia="zh-CN"/>
              </w:rPr>
              <w:t>/</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w:t>
            </w:r>
            <w:r>
              <w:rPr>
                <w:rFonts w:hint="eastAsia" w:asciiTheme="minorEastAsia" w:hAnsiTheme="minorEastAsia" w:eastAsiaTheme="minorEastAsia" w:cstheme="minorEastAsia"/>
                <w:color w:val="auto"/>
                <w:sz w:val="21"/>
                <w:szCs w:val="21"/>
                <w:lang w:eastAsia="zh-CN"/>
              </w:rPr>
              <w:t>，以采购代理公司银行到账信息为准。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磋商有效期</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自磋商截止时间起共</w:t>
            </w:r>
            <w:r>
              <w:rPr>
                <w:rFonts w:hint="eastAsia" w:asciiTheme="minorEastAsia" w:hAnsiTheme="minorEastAsia" w:eastAsiaTheme="minorEastAsia" w:cstheme="minorEastAsia"/>
                <w:kern w:val="0"/>
                <w:sz w:val="21"/>
                <w:szCs w:val="21"/>
                <w:u w:val="single"/>
                <w:lang w:val="en-US" w:eastAsia="zh-CN"/>
              </w:rPr>
              <w:t xml:space="preserve"> 90 </w:t>
            </w:r>
            <w:r>
              <w:rPr>
                <w:rFonts w:hint="eastAsia" w:asciiTheme="minorEastAsia" w:hAnsiTheme="minorEastAsia" w:eastAsiaTheme="minorEastAsia" w:cstheme="minorEastAsia"/>
                <w:kern w:val="0"/>
                <w:sz w:val="21"/>
                <w:szCs w:val="21"/>
              </w:rPr>
              <w:t>日历天</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电子版内容：</w:t>
            </w:r>
            <w:r>
              <w:rPr>
                <w:rFonts w:hint="eastAsia" w:asciiTheme="minorEastAsia" w:hAnsiTheme="minorEastAsia" w:eastAsiaTheme="minorEastAsia" w:cstheme="minorEastAsia"/>
                <w:color w:val="auto"/>
                <w:sz w:val="21"/>
                <w:szCs w:val="21"/>
                <w:u w:val="single"/>
              </w:rPr>
              <w:t>与正本保持一致</w:t>
            </w:r>
          </w:p>
          <w:p>
            <w:pPr>
              <w:autoSpaceDE w:val="0"/>
              <w:autoSpaceDN w:val="0"/>
              <w:snapToGrid w:val="0"/>
              <w:spacing w:line="240" w:lineRule="auto"/>
              <w:ind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lang w:eastAsia="zh-CN"/>
              </w:rPr>
              <w:t>响应文件</w:t>
            </w:r>
            <w:r>
              <w:rPr>
                <w:rFonts w:hint="eastAsia" w:asciiTheme="minorEastAsia" w:hAnsiTheme="minorEastAsia" w:eastAsiaTheme="minorEastAsia" w:cstheme="minorEastAsia"/>
                <w:color w:val="auto"/>
                <w:sz w:val="21"/>
                <w:szCs w:val="21"/>
                <w:shd w:val="clear" w:color="auto" w:fill="FFFFFF"/>
              </w:rPr>
              <w:t>电子版格式：</w:t>
            </w:r>
            <w:r>
              <w:rPr>
                <w:rFonts w:hint="eastAsia" w:asciiTheme="minorEastAsia" w:hAnsiTheme="minorEastAsia" w:eastAsiaTheme="minorEastAsia" w:cstheme="minorEastAsia"/>
                <w:color w:val="auto"/>
                <w:sz w:val="21"/>
                <w:szCs w:val="21"/>
                <w:u w:val="single"/>
                <w:shd w:val="clear" w:color="auto" w:fill="FFFFFF"/>
                <w:lang w:val="en-US" w:eastAsia="zh-CN"/>
              </w:rPr>
              <w:t>WORD</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shd w:val="clear" w:color="auto" w:fill="FFFFFF"/>
                <w:lang w:val="en-US" w:eastAsia="zh-CN"/>
              </w:rPr>
              <w:t>和</w:t>
            </w:r>
            <w:r>
              <w:rPr>
                <w:rFonts w:hint="eastAsia" w:asciiTheme="minorEastAsia" w:hAnsiTheme="minorEastAsia" w:eastAsiaTheme="minorEastAsia" w:cstheme="minorEastAsia"/>
                <w:color w:val="auto"/>
                <w:sz w:val="21"/>
                <w:szCs w:val="21"/>
                <w:u w:val="single"/>
                <w:lang w:val="en-US" w:eastAsia="zh-CN"/>
              </w:rPr>
              <w:t>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电子版形式：</w:t>
            </w:r>
            <w:r>
              <w:rPr>
                <w:rFonts w:hint="eastAsia" w:asciiTheme="minorEastAsia" w:hAnsiTheme="minorEastAsia" w:eastAsiaTheme="minorEastAsia" w:cstheme="minorEastAsia"/>
                <w:color w:val="auto"/>
                <w:sz w:val="21"/>
                <w:szCs w:val="21"/>
                <w:u w:val="single"/>
              </w:rPr>
              <w:t xml:space="preserve"> U盘1份</w:t>
            </w:r>
            <w:r>
              <w:rPr>
                <w:rFonts w:hint="eastAsia" w:ascii="宋体" w:hAnsi="宋体" w:eastAsia="宋体" w:cs="宋体"/>
                <w:color w:val="auto"/>
                <w:sz w:val="21"/>
                <w:szCs w:val="21"/>
                <w:u w:val="single"/>
                <w:lang w:eastAsia="zh-CN"/>
              </w:rPr>
              <w:t>（需贴标签并注明公司名称）</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1"/>
                <w:szCs w:val="21"/>
                <w:u w:val="single"/>
              </w:rPr>
            </w:pPr>
            <w:r>
              <w:rPr>
                <w:rFonts w:hint="eastAsia" w:asciiTheme="minorEastAsia" w:hAnsiTheme="minorEastAsia" w:eastAsiaTheme="minorEastAsia" w:cstheme="minorEastAsia"/>
                <w:b w:val="0"/>
                <w:bCs w:val="0"/>
                <w:color w:val="auto"/>
                <w:sz w:val="21"/>
                <w:szCs w:val="21"/>
                <w:u w:val="none"/>
                <w:lang w:val="en-US" w:eastAsia="zh-CN"/>
              </w:rPr>
              <w:t>3、手持</w:t>
            </w:r>
            <w:r>
              <w:rPr>
                <w:rFonts w:hint="eastAsia" w:asciiTheme="minorEastAsia" w:hAnsiTheme="minorEastAsia" w:eastAsiaTheme="minorEastAsia" w:cstheme="minorEastAsia"/>
                <w:b w:val="0"/>
                <w:bCs w:val="0"/>
                <w:color w:val="auto"/>
                <w:sz w:val="21"/>
                <w:szCs w:val="21"/>
                <w:u w:val="none"/>
              </w:rPr>
              <w:t>法定代表人授权委托书（或法定代表人身份证明书）、单独</w:t>
            </w:r>
            <w:r>
              <w:rPr>
                <w:rFonts w:hint="eastAsia" w:asciiTheme="minorEastAsia" w:hAnsiTheme="minorEastAsia" w:eastAsiaTheme="minorEastAsia" w:cstheme="minorEastAsia"/>
                <w:b w:val="0"/>
                <w:bCs w:val="0"/>
                <w:color w:val="auto"/>
                <w:sz w:val="21"/>
                <w:szCs w:val="21"/>
                <w:u w:val="none"/>
                <w:lang w:val="en-US" w:eastAsia="zh-CN"/>
              </w:rPr>
              <w:t>密封</w:t>
            </w:r>
            <w:r>
              <w:rPr>
                <w:rFonts w:hint="eastAsia" w:asciiTheme="minorEastAsia" w:hAnsiTheme="minorEastAsia" w:eastAsiaTheme="minorEastAsia" w:cstheme="minorEastAsia"/>
                <w:b w:val="0"/>
                <w:bCs w:val="0"/>
                <w:color w:val="auto"/>
                <w:sz w:val="21"/>
                <w:szCs w:val="21"/>
                <w:u w:val="none"/>
              </w:rPr>
              <w:t>提供的报价一览表、优惠声明（如有）</w:t>
            </w:r>
            <w:r>
              <w:rPr>
                <w:rFonts w:hint="eastAsia" w:asciiTheme="minorEastAsia" w:hAnsiTheme="minorEastAsia" w:eastAsiaTheme="minorEastAsia" w:cstheme="minorEastAsia"/>
                <w:b w:val="0"/>
                <w:bCs w:val="0"/>
                <w:color w:val="auto"/>
                <w:sz w:val="21"/>
                <w:szCs w:val="21"/>
                <w:u w:val="none"/>
                <w:lang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color w:val="auto"/>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5"/>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kern w:val="0"/>
                <w:sz w:val="21"/>
                <w:szCs w:val="21"/>
                <w:lang w:val="zh-CN"/>
              </w:rPr>
              <w:t>竞争性磋商响应文件的密封和标记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kern w:val="0"/>
                <w:sz w:val="21"/>
                <w:szCs w:val="21"/>
              </w:rPr>
              <w:t>本条款细化为：响应文件</w:t>
            </w:r>
            <w:r>
              <w:rPr>
                <w:rFonts w:hint="eastAsia" w:asciiTheme="minorEastAsia" w:hAnsiTheme="minorEastAsia" w:eastAsiaTheme="minorEastAsia" w:cstheme="minorEastAsia"/>
                <w:kern w:val="0"/>
                <w:sz w:val="21"/>
                <w:szCs w:val="21"/>
                <w:lang w:eastAsia="zh-CN"/>
              </w:rPr>
              <w:t>正本</w:t>
            </w:r>
            <w:r>
              <w:rPr>
                <w:rFonts w:hint="eastAsia" w:asciiTheme="minorEastAsia" w:hAnsiTheme="minorEastAsia" w:eastAsiaTheme="minorEastAsia" w:cstheme="minorEastAsia"/>
                <w:kern w:val="0"/>
                <w:sz w:val="21"/>
                <w:szCs w:val="21"/>
              </w:rPr>
              <w:t>需逐页加盖供应商单位公章，不得使用单位其他专用章代替。</w:t>
            </w:r>
            <w:r>
              <w:rPr>
                <w:rFonts w:hint="eastAsia" w:asciiTheme="minorEastAsia" w:hAnsiTheme="minorEastAsia" w:eastAsiaTheme="minorEastAsia" w:cstheme="minorEastAsia"/>
                <w:kern w:val="0"/>
                <w:sz w:val="21"/>
                <w:szCs w:val="21"/>
                <w:lang w:eastAsia="zh-CN"/>
              </w:rPr>
              <w:t>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样品</w:t>
            </w:r>
          </w:p>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（本项目不适用）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未成交供应商在成交公告发布之日起5个工作日内退还，具体电话通知。成交供应商样品移交采购人作为验收依据，不予退还。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响应文件送达地点及递交截止时间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sz w:val="21"/>
                <w:szCs w:val="21"/>
                <w:lang w:val="en-US" w:eastAsia="zh-CN"/>
              </w:rPr>
              <w:t>为磋商小组详细介绍供应商公司情况及项目了解情况的</w:t>
            </w:r>
            <w:r>
              <w:rPr>
                <w:rFonts w:hint="eastAsia" w:asciiTheme="minorEastAsia" w:hAnsiTheme="minorEastAsia" w:eastAsiaTheme="minorEastAsia" w:cstheme="minorEastAsia"/>
                <w:b/>
                <w:bCs/>
                <w:sz w:val="21"/>
                <w:szCs w:val="21"/>
                <w:lang w:val="zh-CN" w:eastAsia="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 w:val="21"/>
                <w:szCs w:val="21"/>
                <w:lang w:val="en-US" w:eastAsia="zh-CN"/>
              </w:rPr>
              <w:t>在指定地点以</w:t>
            </w:r>
            <w:r>
              <w:rPr>
                <w:rFonts w:hint="eastAsia" w:asciiTheme="minorEastAsia" w:hAnsiTheme="minorEastAsia" w:eastAsiaTheme="minorEastAsia" w:cstheme="minorEastAsia"/>
                <w:snapToGrid w:val="0"/>
                <w:kern w:val="0"/>
                <w:sz w:val="21"/>
                <w:szCs w:val="21"/>
                <w:lang w:val="zh-CN"/>
              </w:rPr>
              <w:t>密封</w:t>
            </w:r>
            <w:r>
              <w:rPr>
                <w:rFonts w:hint="eastAsia" w:asciiTheme="minorEastAsia" w:hAnsiTheme="minorEastAsia" w:eastAsiaTheme="minorEastAsia" w:cstheme="minorEastAsia"/>
                <w:snapToGrid w:val="0"/>
                <w:kern w:val="0"/>
                <w:sz w:val="21"/>
                <w:szCs w:val="21"/>
                <w:lang w:val="en-US" w:eastAsia="zh-CN"/>
              </w:rPr>
              <w:t>等形式</w:t>
            </w:r>
            <w:r>
              <w:rPr>
                <w:rFonts w:hint="eastAsia" w:asciiTheme="minorEastAsia" w:hAnsiTheme="minorEastAsia" w:eastAsiaTheme="minorEastAsia" w:cstheme="minorEastAsia"/>
                <w:snapToGrid w:val="0"/>
                <w:kern w:val="0"/>
                <w:sz w:val="21"/>
                <w:szCs w:val="21"/>
                <w:lang w:val="zh-CN"/>
              </w:rPr>
              <w:t>递交</w:t>
            </w:r>
            <w:r>
              <w:rPr>
                <w:rFonts w:hint="eastAsia" w:asciiTheme="minorEastAsia" w:hAnsiTheme="minorEastAsia" w:eastAsiaTheme="minorEastAsia" w:cstheme="minorEastAsia"/>
                <w:snapToGrid w:val="0"/>
                <w:kern w:val="0"/>
                <w:sz w:val="21"/>
                <w:szCs w:val="21"/>
                <w:lang w:val="en-US" w:eastAsia="zh-CN"/>
              </w:rPr>
              <w:t>给采购代理机构指定现场工作人员或</w:t>
            </w:r>
            <w:r>
              <w:rPr>
                <w:rFonts w:hint="eastAsia" w:asciiTheme="minorEastAsia" w:hAnsiTheme="minorEastAsia" w:eastAsiaTheme="minorEastAsia" w:cstheme="minorEastAsia"/>
                <w:snapToGrid w:val="0"/>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推荐成交候选</w:t>
            </w:r>
            <w:r>
              <w:rPr>
                <w:rFonts w:hint="eastAsia" w:asciiTheme="minorEastAsia" w:hAnsiTheme="minorEastAsia" w:eastAsiaTheme="minorEastAsia" w:cstheme="minorEastAsia"/>
                <w:snapToGrid w:val="0"/>
                <w:kern w:val="0"/>
                <w:sz w:val="21"/>
                <w:szCs w:val="21"/>
                <w:lang w:val="en-US" w:eastAsia="zh-CN"/>
              </w:rPr>
              <w:t>供应商</w:t>
            </w:r>
            <w:r>
              <w:rPr>
                <w:rFonts w:hint="eastAsia" w:asciiTheme="minorEastAsia" w:hAnsiTheme="minorEastAsia" w:eastAsiaTheme="minorEastAsia" w:cstheme="minorEastAsia"/>
                <w:snapToGrid w:val="0"/>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本项目推荐</w:t>
            </w:r>
            <w:r>
              <w:rPr>
                <w:rFonts w:hint="eastAsia" w:asciiTheme="minorEastAsia" w:hAnsiTheme="minorEastAsia" w:eastAsiaTheme="minorEastAsia" w:cstheme="minorEastAsia"/>
                <w:bCs/>
                <w:color w:val="auto"/>
                <w:kern w:val="44"/>
                <w:sz w:val="21"/>
                <w:szCs w:val="21"/>
                <w:u w:val="single"/>
                <w:lang w:val="en-US" w:eastAsia="zh-CN"/>
              </w:rPr>
              <w:t>3</w:t>
            </w:r>
            <w:r>
              <w:rPr>
                <w:rFonts w:hint="eastAsia" w:asciiTheme="minorEastAsia" w:hAnsiTheme="minorEastAsia" w:eastAsiaTheme="minorEastAsia" w:cstheme="minorEastAsia"/>
                <w:bCs/>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成交通知书的领</w:t>
            </w:r>
            <w:r>
              <w:rPr>
                <w:rFonts w:hint="eastAsia" w:asciiTheme="minorEastAsia" w:hAnsiTheme="minorEastAsia" w:eastAsiaTheme="minorEastAsia" w:cstheme="minorEastAsia"/>
                <w:snapToGrid w:val="0"/>
                <w:kern w:val="0"/>
                <w:sz w:val="21"/>
                <w:szCs w:val="21"/>
                <w:lang w:val="en-US" w:eastAsia="zh-CN"/>
              </w:rPr>
              <w:t>时</w:t>
            </w:r>
            <w:r>
              <w:rPr>
                <w:rFonts w:hint="eastAsia" w:asciiTheme="minorEastAsia" w:hAnsiTheme="minorEastAsia" w:eastAsiaTheme="minorEastAsia" w:cstheme="minorEastAsia"/>
                <w:snapToGrid w:val="0"/>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发布以后即可</w:t>
            </w:r>
            <w:r>
              <w:rPr>
                <w:rFonts w:hint="eastAsia" w:asciiTheme="minorEastAsia" w:hAnsiTheme="minorEastAsia" w:eastAsiaTheme="minorEastAsia" w:cstheme="minorEastAsia"/>
                <w:bCs/>
                <w:kern w:val="44"/>
                <w:sz w:val="21"/>
                <w:szCs w:val="21"/>
                <w:lang w:val="en-US" w:eastAsia="zh-CN"/>
              </w:rPr>
              <w:t>联系采购代理机构</w:t>
            </w:r>
            <w:r>
              <w:rPr>
                <w:rFonts w:hint="eastAsia" w:asciiTheme="minorEastAsia" w:hAnsiTheme="minorEastAsia" w:eastAsiaTheme="minorEastAsia" w:cstheme="minorEastAsia"/>
                <w:bCs/>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本项目竞标报价为“交钥匙”价。竞标报价应包括完成该项目的货物</w:t>
            </w:r>
            <w:r>
              <w:rPr>
                <w:rFonts w:hint="eastAsia" w:asciiTheme="minorEastAsia" w:hAnsiTheme="minorEastAsia" w:eastAsiaTheme="minorEastAsia" w:cstheme="minorEastAsia"/>
                <w:color w:val="auto"/>
                <w:sz w:val="21"/>
                <w:szCs w:val="21"/>
                <w:lang w:val="en-US" w:eastAsia="zh-CN"/>
              </w:rPr>
              <w:t>本身</w:t>
            </w:r>
            <w:r>
              <w:rPr>
                <w:rFonts w:hint="eastAsia" w:asciiTheme="minorEastAsia" w:hAnsiTheme="minorEastAsia" w:eastAsiaTheme="minorEastAsia" w:cstheme="minorEastAsia"/>
                <w:color w:val="auto"/>
                <w:sz w:val="21"/>
                <w:szCs w:val="21"/>
                <w:lang w:val="zh-CN"/>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□组织，踏勘时间：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踏勘集中地点：</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和相关的周边环境情况，供应商在编制响应文件时参考，采购人和采购代理机构不对供应商据此作出的判断和决策负责。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核心产品</w:t>
            </w:r>
          </w:p>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snapToGrid w:val="0"/>
                <w:color w:val="auto"/>
                <w:kern w:val="0"/>
                <w:sz w:val="21"/>
                <w:szCs w:val="21"/>
                <w:lang w:val="zh-CN"/>
              </w:rPr>
              <w:t>（</w:t>
            </w:r>
            <w:r>
              <w:rPr>
                <w:rFonts w:hint="eastAsia" w:asciiTheme="minorEastAsia" w:hAnsiTheme="minorEastAsia" w:eastAsiaTheme="minorEastAsia" w:cstheme="minorEastAsia"/>
                <w:b w:val="0"/>
                <w:bCs w:val="0"/>
                <w:snapToGrid w:val="0"/>
                <w:color w:val="auto"/>
                <w:kern w:val="0"/>
                <w:sz w:val="21"/>
                <w:szCs w:val="21"/>
                <w:lang w:val="en-US" w:eastAsia="zh-CN"/>
              </w:rPr>
              <w:t>本项目不适用</w:t>
            </w:r>
            <w:r>
              <w:rPr>
                <w:rFonts w:hint="eastAsia" w:asciiTheme="minorEastAsia" w:hAnsiTheme="minorEastAsia" w:eastAsiaTheme="minorEastAsia" w:cstheme="minorEastAsia"/>
                <w:b w:val="0"/>
                <w:bCs w:val="0"/>
                <w:snapToGrid w:val="0"/>
                <w:color w:val="auto"/>
                <w:kern w:val="0"/>
                <w:sz w:val="21"/>
                <w:szCs w:val="21"/>
                <w:lang w:val="zh-CN"/>
              </w:rPr>
              <w:t>）</w:t>
            </w:r>
          </w:p>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p>
        </w:tc>
        <w:tc>
          <w:tcPr>
            <w:tcW w:w="6130" w:type="dxa"/>
            <w:vAlign w:val="center"/>
          </w:tcPr>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本项目核心产品：</w:t>
            </w:r>
            <w:r>
              <w:rPr>
                <w:rFonts w:hint="eastAsia" w:asciiTheme="minorEastAsia" w:hAnsiTheme="minorEastAsia" w:eastAsiaTheme="minorEastAsia" w:cstheme="minorEastAsia"/>
                <w:color w:val="auto"/>
                <w:sz w:val="21"/>
                <w:szCs w:val="21"/>
                <w:u w:val="single"/>
              </w:rPr>
              <w:t>/</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1.提供相同品牌产品且通过资格审查、符合性审查的不同供应商参</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加同一合同项下投标的，按一家供应商计算，评审后得分最高的同</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品牌供应商获得成交供应商推荐资格；评审得分相同的，采取随机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抽取方式确定，其他同品牌供应商不作为中标候选人。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2.若核心产品不止 1 个，各供应商所投任一核心产品的品牌相同，</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则按一家供应商计算。</w:t>
            </w:r>
          </w:p>
        </w:tc>
      </w:tr>
    </w:tbl>
    <w:p>
      <w:pPr>
        <w:spacing w:line="360" w:lineRule="auto"/>
        <w:outlineLvl w:val="1"/>
        <w:rPr>
          <w:rFonts w:hint="eastAsia" w:asciiTheme="minorEastAsia" w:hAnsiTheme="minorEastAsia" w:eastAsiaTheme="minorEastAsia" w:cstheme="minorEastAsia"/>
          <w:b/>
          <w:szCs w:val="21"/>
        </w:rPr>
      </w:pPr>
      <w:bookmarkStart w:id="27" w:name="_Toc19309"/>
      <w:r>
        <w:rPr>
          <w:rFonts w:hint="eastAsia" w:asciiTheme="minorEastAsia" w:hAnsiTheme="minorEastAsia" w:eastAsiaTheme="minorEastAsia" w:cstheme="minorEastAsia"/>
          <w:b/>
          <w:szCs w:val="21"/>
        </w:rPr>
        <w:t>供应商须知</w:t>
      </w:r>
      <w:bookmarkEnd w:id="27"/>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28" w:name="_Toc19164"/>
      <w:r>
        <w:rPr>
          <w:rFonts w:hint="eastAsia" w:asciiTheme="minorEastAsia" w:hAnsiTheme="minorEastAsia" w:eastAsiaTheme="minorEastAsia" w:cstheme="minorEastAsia"/>
          <w:b/>
          <w:szCs w:val="21"/>
        </w:rPr>
        <w:t>总则</w:t>
      </w:r>
      <w:bookmarkEnd w:id="28"/>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29" w:name="_Toc27243"/>
      <w:bookmarkStart w:id="30" w:name="_Toc7383"/>
      <w:r>
        <w:rPr>
          <w:rFonts w:hint="eastAsia" w:asciiTheme="minorEastAsia" w:hAnsiTheme="minorEastAsia" w:eastAsiaTheme="minorEastAsia" w:cstheme="minorEastAsia"/>
          <w:b/>
          <w:szCs w:val="21"/>
        </w:rPr>
        <w:t>适用法律及范围</w:t>
      </w:r>
      <w:bookmarkEnd w:id="29"/>
      <w:bookmarkEnd w:id="30"/>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1" w:name="_Toc18687"/>
      <w:bookmarkStart w:id="32" w:name="_Toc30547"/>
      <w:r>
        <w:rPr>
          <w:rFonts w:hint="eastAsia" w:asciiTheme="minorEastAsia" w:hAnsiTheme="minorEastAsia" w:eastAsiaTheme="minorEastAsia" w:cstheme="minorEastAsia"/>
          <w:b/>
          <w:szCs w:val="21"/>
        </w:rPr>
        <w:t>定义</w:t>
      </w:r>
      <w:bookmarkEnd w:id="31"/>
      <w:bookmarkEnd w:id="32"/>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是指经磋商小组评审推荐，采购人授予合同的供应商。</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3" w:name="_Toc30503"/>
      <w:bookmarkStart w:id="34" w:name="_Toc25967"/>
      <w:r>
        <w:rPr>
          <w:rFonts w:hint="eastAsia" w:asciiTheme="minorEastAsia" w:hAnsiTheme="minorEastAsia" w:eastAsiaTheme="minorEastAsia" w:cstheme="minorEastAsia"/>
          <w:b/>
          <w:snapToGrid w:val="0"/>
          <w:kern w:val="0"/>
          <w:szCs w:val="21"/>
          <w:lang w:val="zh-CN"/>
        </w:rPr>
        <w:t>工程、货物及服务</w:t>
      </w:r>
      <w:bookmarkEnd w:id="33"/>
      <w:bookmarkEnd w:id="34"/>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5" w:name="_Toc22488"/>
      <w:bookmarkStart w:id="36" w:name="_Toc9974"/>
      <w:r>
        <w:rPr>
          <w:rFonts w:hint="eastAsia" w:asciiTheme="minorEastAsia" w:hAnsiTheme="minorEastAsia" w:eastAsiaTheme="minorEastAsia" w:cstheme="minorEastAsia"/>
          <w:b/>
          <w:szCs w:val="21"/>
        </w:rPr>
        <w:t>费用</w:t>
      </w:r>
      <w:bookmarkEnd w:id="35"/>
      <w:bookmarkEnd w:id="36"/>
      <w:r>
        <w:rPr>
          <w:rFonts w:hint="eastAsia" w:asciiTheme="minorEastAsia" w:hAnsiTheme="minorEastAsia" w:eastAsiaTheme="minorEastAsia" w:cstheme="minorEastAsia"/>
          <w:b/>
          <w:szCs w:val="21"/>
        </w:rPr>
        <w:t xml:space="preserve">  </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注：招标代理服务收费按差额定率累进法计算。例如：某货物招标代理业务中标金额为6000万元，计算招标代理服务收费额如下：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100---500：400×1.100％=44000.000元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500---1000：500×0.800％=40000.000元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1000---5000：4000×0.500％=200000.000元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5000---6000：1000×0.250％=25000.000元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合计收费=324000.000元</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37" w:name="_Toc27172"/>
      <w:r>
        <w:rPr>
          <w:rFonts w:hint="eastAsia" w:asciiTheme="minorEastAsia" w:hAnsiTheme="minorEastAsia" w:eastAsiaTheme="minorEastAsia" w:cstheme="minorEastAsia"/>
          <w:b/>
          <w:szCs w:val="21"/>
        </w:rPr>
        <w:t>竞争性磋商采购文件</w:t>
      </w:r>
      <w:bookmarkEnd w:id="37"/>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38" w:name="_Toc4547"/>
      <w:bookmarkStart w:id="39" w:name="_Toc29851"/>
      <w:r>
        <w:rPr>
          <w:rFonts w:hint="eastAsia" w:asciiTheme="minorEastAsia" w:hAnsiTheme="minorEastAsia" w:eastAsiaTheme="minorEastAsia" w:cstheme="minorEastAsia"/>
          <w:b/>
          <w:szCs w:val="21"/>
        </w:rPr>
        <w:t>竞争性磋商采购文件的构成</w:t>
      </w:r>
      <w:bookmarkEnd w:id="38"/>
      <w:bookmarkEnd w:id="39"/>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磋商小组</w:t>
      </w:r>
      <w:r>
        <w:rPr>
          <w:rFonts w:hint="eastAsia" w:asciiTheme="minorEastAsia" w:hAnsiTheme="minorEastAsia" w:eastAsiaTheme="minorEastAsia" w:cstheme="minorEastAsia"/>
          <w:szCs w:val="21"/>
        </w:rPr>
        <w:t>在磋商过程中发出的对本磋商文件的实质性变动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0" w:name="_Toc29700"/>
      <w:bookmarkStart w:id="41" w:name="_Toc22354"/>
      <w:r>
        <w:rPr>
          <w:rFonts w:hint="eastAsia" w:asciiTheme="minorEastAsia" w:hAnsiTheme="minorEastAsia" w:eastAsiaTheme="minorEastAsia" w:cstheme="minorEastAsia"/>
          <w:b/>
          <w:snapToGrid w:val="0"/>
          <w:kern w:val="0"/>
          <w:szCs w:val="21"/>
          <w:lang w:val="zh-CN"/>
        </w:rPr>
        <w:t>竞争性磋商采购文件的澄清</w:t>
      </w:r>
      <w:bookmarkEnd w:id="40"/>
      <w:bookmarkEnd w:id="41"/>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2" w:name="_Toc31761"/>
      <w:bookmarkStart w:id="43" w:name="_Toc5704"/>
      <w:r>
        <w:rPr>
          <w:rFonts w:hint="eastAsia" w:asciiTheme="minorEastAsia" w:hAnsiTheme="minorEastAsia" w:eastAsiaTheme="minorEastAsia" w:cstheme="minorEastAsia"/>
          <w:b/>
          <w:snapToGrid w:val="0"/>
          <w:kern w:val="0"/>
          <w:szCs w:val="21"/>
          <w:lang w:val="zh-CN"/>
        </w:rPr>
        <w:t>竞争性磋商采购文件的修改</w:t>
      </w:r>
      <w:bookmarkEnd w:id="42"/>
      <w:bookmarkEnd w:id="43"/>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4" w:name="_Toc7112"/>
      <w:r>
        <w:rPr>
          <w:rFonts w:hint="eastAsia" w:asciiTheme="minorEastAsia" w:hAnsiTheme="minorEastAsia" w:eastAsiaTheme="minorEastAsia" w:cstheme="minorEastAsia"/>
          <w:b/>
          <w:szCs w:val="21"/>
        </w:rPr>
        <w:t>竞争性磋商响应文件</w:t>
      </w:r>
      <w:bookmarkEnd w:id="44"/>
    </w:p>
    <w:p>
      <w:pPr>
        <w:numPr>
          <w:ilvl w:val="0"/>
          <w:numId w:val="11"/>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45" w:name="_Toc30987"/>
      <w:bookmarkStart w:id="46" w:name="_Toc7443"/>
      <w:r>
        <w:rPr>
          <w:rFonts w:hint="eastAsia" w:asciiTheme="minorEastAsia" w:hAnsiTheme="minorEastAsia" w:eastAsiaTheme="minorEastAsia" w:cstheme="minorEastAsia"/>
          <w:b/>
          <w:snapToGrid w:val="0"/>
          <w:kern w:val="0"/>
          <w:szCs w:val="21"/>
          <w:lang w:val="zh-CN"/>
        </w:rPr>
        <w:t>语言和计量单位</w:t>
      </w:r>
      <w:bookmarkEnd w:id="45"/>
      <w:bookmarkEnd w:id="46"/>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7" w:name="_Toc32272"/>
      <w:bookmarkStart w:id="48" w:name="_Toc6398"/>
      <w:r>
        <w:rPr>
          <w:rFonts w:hint="eastAsia" w:asciiTheme="minorEastAsia" w:hAnsiTheme="minorEastAsia" w:eastAsiaTheme="minorEastAsia" w:cstheme="minorEastAsia"/>
          <w:b/>
          <w:snapToGrid w:val="0"/>
          <w:kern w:val="0"/>
          <w:szCs w:val="21"/>
          <w:lang w:val="zh-CN"/>
        </w:rPr>
        <w:t>竞争性磋商响应文件的构成</w:t>
      </w:r>
      <w:bookmarkEnd w:id="47"/>
      <w:bookmarkEnd w:id="48"/>
    </w:p>
    <w:p>
      <w:pPr>
        <w:numPr>
          <w:ilvl w:val="1"/>
          <w:numId w:val="20"/>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49" w:name="_Toc25217"/>
      <w:bookmarkStart w:id="50" w:name="_Toc17989"/>
      <w:r>
        <w:rPr>
          <w:rFonts w:hint="eastAsia" w:asciiTheme="minorEastAsia" w:hAnsiTheme="minorEastAsia" w:eastAsiaTheme="minorEastAsia" w:cstheme="minorEastAsia"/>
          <w:b/>
          <w:snapToGrid w:val="0"/>
          <w:kern w:val="0"/>
          <w:szCs w:val="21"/>
          <w:lang w:val="zh-CN"/>
        </w:rPr>
        <w:t>竞争性磋商响应文件的编制</w:t>
      </w:r>
      <w:bookmarkEnd w:id="49"/>
      <w:bookmarkEnd w:id="50"/>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1" w:name="_Toc14856"/>
      <w:bookmarkStart w:id="52" w:name="_Toc24544"/>
      <w:r>
        <w:rPr>
          <w:rFonts w:hint="eastAsia" w:asciiTheme="minorEastAsia" w:hAnsiTheme="minorEastAsia" w:eastAsiaTheme="minorEastAsia" w:cstheme="minorEastAsia"/>
          <w:b/>
          <w:snapToGrid w:val="0"/>
          <w:kern w:val="0"/>
          <w:szCs w:val="21"/>
          <w:lang w:val="zh-CN"/>
        </w:rPr>
        <w:t>磋商报价</w:t>
      </w:r>
      <w:bookmarkEnd w:id="51"/>
      <w:bookmarkEnd w:id="52"/>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3" w:name="_Toc6176"/>
      <w:bookmarkStart w:id="54" w:name="_Toc4071"/>
      <w:r>
        <w:rPr>
          <w:rFonts w:hint="eastAsia" w:asciiTheme="minorEastAsia" w:hAnsiTheme="minorEastAsia" w:eastAsiaTheme="minorEastAsia" w:cstheme="minorEastAsia"/>
          <w:b/>
          <w:snapToGrid w:val="0"/>
          <w:kern w:val="0"/>
          <w:szCs w:val="21"/>
          <w:lang w:val="zh-CN"/>
        </w:rPr>
        <w:t>备选方案</w:t>
      </w:r>
      <w:bookmarkEnd w:id="53"/>
      <w:bookmarkEnd w:id="54"/>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5" w:name="_Toc3324"/>
      <w:bookmarkStart w:id="56" w:name="_Toc20227"/>
      <w:r>
        <w:rPr>
          <w:rFonts w:hint="eastAsia" w:asciiTheme="minorEastAsia" w:hAnsiTheme="minorEastAsia" w:eastAsiaTheme="minorEastAsia" w:cstheme="minorEastAsia"/>
          <w:b/>
          <w:snapToGrid w:val="0"/>
          <w:kern w:val="0"/>
          <w:szCs w:val="21"/>
          <w:lang w:val="zh-CN"/>
        </w:rPr>
        <w:t>联合体</w:t>
      </w:r>
      <w:bookmarkEnd w:id="55"/>
      <w:bookmarkEnd w:id="56"/>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7" w:name="_Toc2434"/>
      <w:bookmarkStart w:id="58" w:name="_Toc4849"/>
      <w:r>
        <w:rPr>
          <w:rFonts w:hint="eastAsia" w:asciiTheme="minorEastAsia" w:hAnsiTheme="minorEastAsia" w:eastAsiaTheme="minorEastAsia" w:cstheme="minorEastAsia"/>
          <w:b/>
          <w:snapToGrid w:val="0"/>
          <w:kern w:val="0"/>
          <w:szCs w:val="21"/>
          <w:lang w:val="zh-CN"/>
        </w:rPr>
        <w:t>供应商资格证明文件</w:t>
      </w:r>
      <w:bookmarkEnd w:id="57"/>
      <w:bookmarkEnd w:id="58"/>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hint="eastAsia" w:eastAsiaTheme="minorEastAsia"/>
          <w:lang w:val="en-US" w:eastAsia="zh-CN"/>
        </w:rPr>
      </w:pPr>
      <w:r>
        <w:rPr>
          <w:rFonts w:hint="eastAsia" w:asciiTheme="minorEastAsia" w:hAnsiTheme="minorEastAsia" w:eastAsiaTheme="minorEastAsia" w:cstheme="minorEastAsia"/>
          <w:snapToGrid w:val="0"/>
          <w:kern w:val="0"/>
          <w:szCs w:val="21"/>
          <w:lang w:val="en-US" w:eastAsia="zh-CN"/>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9" w:name="_Toc9935"/>
      <w:bookmarkStart w:id="60" w:name="_Toc14612"/>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59"/>
      <w:bookmarkEnd w:id="60"/>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1" w:name="_Toc27068"/>
      <w:bookmarkStart w:id="62" w:name="_Toc20441"/>
      <w:r>
        <w:rPr>
          <w:rFonts w:hint="eastAsia" w:asciiTheme="minorEastAsia" w:hAnsiTheme="minorEastAsia" w:eastAsiaTheme="minorEastAsia" w:cstheme="minorEastAsia"/>
          <w:b/>
          <w:snapToGrid w:val="0"/>
          <w:color w:val="auto"/>
          <w:kern w:val="0"/>
          <w:szCs w:val="21"/>
          <w:lang w:val="zh-CN"/>
        </w:rPr>
        <w:t>磋商保证金</w:t>
      </w:r>
      <w:bookmarkEnd w:id="61"/>
      <w:bookmarkEnd w:id="62"/>
    </w:p>
    <w:p>
      <w:pPr>
        <w:numPr>
          <w:ilvl w:val="1"/>
          <w:numId w:val="28"/>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3" w:name="_Toc5668"/>
      <w:bookmarkStart w:id="64" w:name="_Toc4910"/>
      <w:r>
        <w:rPr>
          <w:rFonts w:hint="eastAsia" w:asciiTheme="minorEastAsia" w:hAnsiTheme="minorEastAsia" w:eastAsiaTheme="minorEastAsia" w:cstheme="minorEastAsia"/>
          <w:b/>
          <w:snapToGrid w:val="0"/>
          <w:kern w:val="0"/>
          <w:szCs w:val="21"/>
          <w:lang w:val="zh-CN"/>
        </w:rPr>
        <w:t>磋商有效期</w:t>
      </w:r>
      <w:bookmarkEnd w:id="63"/>
      <w:bookmarkEnd w:id="64"/>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5" w:name="_Toc8272"/>
      <w:bookmarkStart w:id="66" w:name="_Toc2229"/>
      <w:r>
        <w:rPr>
          <w:rFonts w:hint="eastAsia" w:asciiTheme="minorEastAsia" w:hAnsiTheme="minorEastAsia" w:eastAsiaTheme="minorEastAsia" w:cstheme="minorEastAsia"/>
          <w:b/>
          <w:snapToGrid w:val="0"/>
          <w:kern w:val="0"/>
          <w:szCs w:val="21"/>
          <w:lang w:val="zh-CN"/>
        </w:rPr>
        <w:t>竞争性磋商响应文件的装订、签署和数量</w:t>
      </w:r>
      <w:bookmarkEnd w:id="65"/>
      <w:bookmarkEnd w:id="66"/>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67" w:name="_Toc9786"/>
      <w:r>
        <w:rPr>
          <w:rFonts w:hint="eastAsia" w:asciiTheme="minorEastAsia" w:hAnsiTheme="minorEastAsia" w:eastAsiaTheme="minorEastAsia" w:cstheme="minorEastAsia"/>
          <w:b/>
          <w:szCs w:val="21"/>
        </w:rPr>
        <w:t>竞争性磋商响应文件的递交</w:t>
      </w:r>
      <w:bookmarkEnd w:id="67"/>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8" w:name="_Toc27305"/>
      <w:bookmarkStart w:id="69" w:name="_Toc23886"/>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68"/>
      <w:bookmarkEnd w:id="69"/>
    </w:p>
    <w:p>
      <w:pPr>
        <w:numPr>
          <w:ilvl w:val="1"/>
          <w:numId w:val="3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lang w:val="en-US" w:eastAsia="zh-CN"/>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lang w:val="en-US" w:eastAsia="zh-CN"/>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0" w:name="_Toc17857"/>
      <w:bookmarkStart w:id="71" w:name="_Toc11099"/>
      <w:r>
        <w:rPr>
          <w:rFonts w:hint="eastAsia" w:asciiTheme="minorEastAsia" w:hAnsiTheme="minorEastAsia" w:eastAsiaTheme="minorEastAsia" w:cstheme="minorEastAsia"/>
          <w:b/>
          <w:snapToGrid w:val="0"/>
          <w:kern w:val="0"/>
          <w:szCs w:val="21"/>
          <w:lang w:val="zh-CN"/>
        </w:rPr>
        <w:t>竞争性磋商响应文件的送达地点及截止时间</w:t>
      </w:r>
      <w:bookmarkEnd w:id="70"/>
      <w:bookmarkEnd w:id="71"/>
    </w:p>
    <w:p>
      <w:pPr>
        <w:keepNext w:val="0"/>
        <w:keepLines w:val="0"/>
        <w:pageBreakBefore w:val="0"/>
        <w:widowControl w:val="0"/>
        <w:shd w:val="clear"/>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b/>
          <w:snapToGrid w:val="0"/>
          <w:kern w:val="0"/>
          <w:szCs w:val="21"/>
          <w:lang w:val="en-US" w:eastAsia="zh-CN"/>
        </w:rPr>
        <w:t xml:space="preserve"> </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2" w:name="_Toc31376"/>
      <w:bookmarkStart w:id="73" w:name="_Toc16589"/>
      <w:r>
        <w:rPr>
          <w:rFonts w:hint="eastAsia" w:asciiTheme="minorEastAsia" w:hAnsiTheme="minorEastAsia" w:eastAsiaTheme="minorEastAsia" w:cstheme="minorEastAsia"/>
          <w:b/>
          <w:snapToGrid w:val="0"/>
          <w:kern w:val="0"/>
          <w:szCs w:val="21"/>
          <w:lang w:val="zh-CN"/>
        </w:rPr>
        <w:t>迟交的竞争性磋商响应文件</w:t>
      </w:r>
      <w:bookmarkEnd w:id="72"/>
      <w:bookmarkEnd w:id="73"/>
    </w:p>
    <w:p>
      <w:pPr>
        <w:numPr>
          <w:ilvl w:val="1"/>
          <w:numId w:val="33"/>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4" w:name="_Toc31760"/>
      <w:bookmarkStart w:id="75" w:name="_Toc13658"/>
      <w:r>
        <w:rPr>
          <w:rFonts w:hint="eastAsia" w:asciiTheme="minorEastAsia" w:hAnsiTheme="minorEastAsia" w:eastAsiaTheme="minorEastAsia" w:cstheme="minorEastAsia"/>
          <w:b/>
          <w:snapToGrid w:val="0"/>
          <w:kern w:val="0"/>
          <w:szCs w:val="21"/>
          <w:lang w:val="zh-CN"/>
        </w:rPr>
        <w:t>竞争性磋商响应文件的补充、修改或者撤回</w:t>
      </w:r>
      <w:bookmarkEnd w:id="74"/>
      <w:bookmarkEnd w:id="75"/>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76" w:name="_Toc24054"/>
      <w:r>
        <w:rPr>
          <w:rFonts w:hint="eastAsia" w:asciiTheme="minorEastAsia" w:hAnsiTheme="minorEastAsia" w:eastAsiaTheme="minorEastAsia" w:cstheme="minorEastAsia"/>
          <w:b/>
          <w:szCs w:val="21"/>
        </w:rPr>
        <w:t>磋商程序及步骤</w:t>
      </w:r>
      <w:bookmarkEnd w:id="76"/>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7" w:name="_Toc8841"/>
      <w:bookmarkStart w:id="78" w:name="_Toc22624"/>
      <w:r>
        <w:rPr>
          <w:rFonts w:hint="eastAsia" w:asciiTheme="minorEastAsia" w:hAnsiTheme="minorEastAsia" w:eastAsiaTheme="minorEastAsia" w:cstheme="minorEastAsia"/>
          <w:b/>
        </w:rPr>
        <w:t>竞争性磋商小组</w:t>
      </w:r>
      <w:bookmarkEnd w:id="77"/>
      <w:bookmarkEnd w:id="78"/>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9" w:name="_Toc21483"/>
      <w:bookmarkStart w:id="80" w:name="_Toc26119"/>
      <w:r>
        <w:rPr>
          <w:rFonts w:hint="eastAsia" w:asciiTheme="minorEastAsia" w:hAnsiTheme="minorEastAsia" w:eastAsiaTheme="minorEastAsia" w:cstheme="minorEastAsia"/>
          <w:b/>
        </w:rPr>
        <w:t>磋商代表</w:t>
      </w:r>
      <w:bookmarkEnd w:id="79"/>
      <w:bookmarkEnd w:id="80"/>
    </w:p>
    <w:p>
      <w:pPr>
        <w:keepNext w:val="0"/>
        <w:keepLines w:val="0"/>
        <w:pageBreakBefore w:val="0"/>
        <w:widowControl w:val="0"/>
        <w:tabs>
          <w:tab w:val="left" w:pos="864"/>
          <w:tab w:val="left" w:pos="108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lang w:val="en-US" w:eastAsia="zh-CN"/>
        </w:rPr>
      </w:pPr>
      <w:bookmarkStart w:id="81" w:name="_Toc32662"/>
      <w:bookmarkStart w:id="82" w:name="_Toc9967"/>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81"/>
      <w:bookmarkEnd w:id="82"/>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3" w:name="_Toc17050"/>
      <w:r>
        <w:rPr>
          <w:rFonts w:hint="eastAsia" w:asciiTheme="minorEastAsia" w:hAnsiTheme="minorEastAsia" w:eastAsiaTheme="minorEastAsia" w:cstheme="minorEastAsia"/>
          <w:b/>
        </w:rPr>
        <w:t>资格审查和符合性审查</w:t>
      </w:r>
      <w:bookmarkEnd w:id="83"/>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84" w:name="_Toc26543"/>
      <w:r>
        <w:rPr>
          <w:rFonts w:hint="eastAsia" w:asciiTheme="minorEastAsia" w:hAnsiTheme="minorEastAsia" w:eastAsiaTheme="minorEastAsia" w:cstheme="minorEastAsia"/>
          <w:b/>
        </w:rPr>
        <w:t>磋商</w:t>
      </w:r>
      <w:bookmarkEnd w:id="84"/>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15" w:firstLine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5" w:name="_Toc30772"/>
      <w:r>
        <w:rPr>
          <w:rFonts w:hint="eastAsia" w:asciiTheme="minorEastAsia" w:hAnsiTheme="minorEastAsia" w:eastAsiaTheme="minorEastAsia" w:cstheme="minorEastAsia"/>
          <w:b/>
          <w:lang w:val="zh-CN"/>
        </w:rPr>
        <w:t>保密</w:t>
      </w:r>
      <w:bookmarkEnd w:id="85"/>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5"/>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6" w:name="_Toc30407"/>
      <w:r>
        <w:rPr>
          <w:rFonts w:hint="eastAsia" w:asciiTheme="minorEastAsia" w:hAnsiTheme="minorEastAsia" w:eastAsiaTheme="minorEastAsia" w:cstheme="minorEastAsia"/>
          <w:b/>
          <w:szCs w:val="21"/>
        </w:rPr>
        <w:t>成交与签订合同</w:t>
      </w:r>
      <w:bookmarkEnd w:id="86"/>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7" w:name="_Toc7258"/>
      <w:r>
        <w:rPr>
          <w:rFonts w:hint="eastAsia" w:asciiTheme="minorEastAsia" w:hAnsiTheme="minorEastAsia" w:eastAsiaTheme="minorEastAsia" w:cstheme="minorEastAsia"/>
          <w:b/>
          <w:lang w:val="zh-CN"/>
        </w:rPr>
        <w:t>合同授予标准</w:t>
      </w:r>
      <w:bookmarkEnd w:id="87"/>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w:t>
      </w:r>
      <w:r>
        <w:rPr>
          <w:rFonts w:hint="eastAsia" w:asciiTheme="minorEastAsia" w:hAnsiTheme="minorEastAsia" w:eastAsiaTheme="minorEastAsia" w:cstheme="minorEastAsia"/>
          <w:iCs/>
          <w:snapToGrid w:val="0"/>
          <w:kern w:val="0"/>
          <w:szCs w:val="21"/>
          <w:lang w:val="en-US" w:eastAsia="zh-CN"/>
        </w:rPr>
        <w:t xml:space="preserve"> </w:t>
      </w:r>
      <w:r>
        <w:rPr>
          <w:rFonts w:hint="eastAsia" w:asciiTheme="minorEastAsia" w:hAnsiTheme="minorEastAsia" w:eastAsiaTheme="minorEastAsia" w:cstheme="minorEastAsia"/>
          <w:iCs/>
          <w:snapToGrid w:val="0"/>
          <w:kern w:val="0"/>
          <w:szCs w:val="21"/>
          <w:lang w:val="zh-CN"/>
        </w:rPr>
        <w:t>采购人将把合同授予排名第一的供应商，特殊情况按本须知29.3的规定执行。</w:t>
      </w:r>
    </w:p>
    <w:p>
      <w:pPr>
        <w:outlineLvl w:val="9"/>
        <w:rPr>
          <w:rFonts w:ascii="宋体" w:hAnsi="宋体" w:eastAsia="宋体" w:cs="宋体"/>
          <w:sz w:val="24"/>
          <w:szCs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2 </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eastAsia="宋体" w:cs="宋体"/>
          <w:sz w:val="24"/>
          <w:szCs w:val="24"/>
        </w:rPr>
        <w:t xml:space="preserve"> </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28.</w:t>
      </w:r>
      <w:r>
        <w:rPr>
          <w:rFonts w:hint="eastAsia" w:asciiTheme="minorEastAsia" w:hAnsiTheme="minorEastAsia" w:eastAsiaTheme="minorEastAsia" w:cstheme="minorEastAsia"/>
          <w:snapToGrid w:val="0"/>
          <w:kern w:val="0"/>
          <w:szCs w:val="21"/>
          <w:lang w:val="en-US" w:eastAsia="zh-CN"/>
        </w:rPr>
        <w:t xml:space="preserve">3 </w:t>
      </w:r>
      <w:r>
        <w:rPr>
          <w:rFonts w:hint="eastAsia" w:asciiTheme="minorEastAsia" w:hAnsiTheme="minorEastAsia" w:eastAsiaTheme="minorEastAsia" w:cstheme="minorEastAsia"/>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28.</w:t>
      </w:r>
      <w:r>
        <w:rPr>
          <w:rFonts w:hint="eastAsia" w:asciiTheme="minorEastAsia" w:hAnsiTheme="minorEastAsia" w:eastAsiaTheme="minorEastAsia" w:cstheme="minorEastAsia"/>
          <w:snapToGrid w:val="0"/>
          <w:kern w:val="0"/>
          <w:szCs w:val="21"/>
          <w:lang w:val="en-US" w:eastAsia="zh-CN"/>
        </w:rPr>
        <w:t xml:space="preserve">4 </w:t>
      </w:r>
      <w:r>
        <w:rPr>
          <w:rFonts w:hint="eastAsia" w:asciiTheme="minorEastAsia" w:hAnsiTheme="minorEastAsia" w:eastAsiaTheme="minorEastAsia" w:cstheme="minorEastAsia"/>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 xml:space="preserve">5 </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88" w:name="_Toc29351"/>
      <w:r>
        <w:rPr>
          <w:rFonts w:hint="eastAsia" w:asciiTheme="minorEastAsia" w:hAnsiTheme="minorEastAsia" w:eastAsiaTheme="minorEastAsia" w:cstheme="minorEastAsia"/>
          <w:b/>
          <w:lang w:val="zh-CN"/>
        </w:rPr>
        <w:t>签订合同</w:t>
      </w:r>
      <w:bookmarkEnd w:id="88"/>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89" w:name="_Toc4883"/>
      <w:bookmarkStart w:id="90" w:name="_Toc23007"/>
      <w:bookmarkStart w:id="91" w:name="_Toc13988"/>
      <w:bookmarkStart w:id="92" w:name="_Toc14510"/>
      <w:r>
        <w:rPr>
          <w:rFonts w:hint="eastAsia" w:asciiTheme="minorEastAsia" w:hAnsiTheme="minorEastAsia" w:eastAsiaTheme="minorEastAsia" w:cstheme="minorEastAsia"/>
          <w:b/>
          <w:szCs w:val="21"/>
          <w:lang w:val="zh-CN"/>
        </w:rPr>
        <w:t>质疑和投诉</w:t>
      </w:r>
      <w:bookmarkEnd w:id="89"/>
      <w:bookmarkEnd w:id="90"/>
      <w:bookmarkEnd w:id="91"/>
      <w:bookmarkEnd w:id="92"/>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3" w:name="_Toc26703"/>
      <w:r>
        <w:rPr>
          <w:rFonts w:hint="eastAsia" w:asciiTheme="minorEastAsia" w:hAnsiTheme="minorEastAsia" w:eastAsiaTheme="minorEastAsia" w:cstheme="minorEastAsia"/>
          <w:b/>
          <w:lang w:val="zh-CN"/>
        </w:rPr>
        <w:t>质疑</w:t>
      </w:r>
      <w:bookmarkEnd w:id="93"/>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质疑书应当包括下列主要内容：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（5）提出质疑的日期；</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4" w:name="_Toc10603"/>
      <w:r>
        <w:rPr>
          <w:rFonts w:hint="eastAsia" w:asciiTheme="minorEastAsia" w:hAnsiTheme="minorEastAsia" w:eastAsiaTheme="minorEastAsia" w:cstheme="minorEastAsia"/>
          <w:b/>
          <w:lang w:val="zh-CN"/>
        </w:rPr>
        <w:t>质疑回复</w:t>
      </w:r>
      <w:bookmarkEnd w:id="94"/>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5" w:name="_Toc14017"/>
      <w:r>
        <w:rPr>
          <w:rFonts w:hint="eastAsia" w:asciiTheme="minorEastAsia" w:hAnsiTheme="minorEastAsia" w:eastAsiaTheme="minorEastAsia" w:cstheme="minorEastAsia"/>
          <w:b/>
          <w:lang w:val="zh-CN"/>
        </w:rPr>
        <w:t>投诉</w:t>
      </w:r>
      <w:bookmarkEnd w:id="95"/>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96" w:name="_Toc6896"/>
      <w:bookmarkStart w:id="97" w:name="_Toc14767"/>
      <w:bookmarkStart w:id="98" w:name="_Toc5571"/>
      <w:bookmarkStart w:id="99" w:name="_Toc28705"/>
      <w:r>
        <w:rPr>
          <w:rFonts w:hint="eastAsia" w:asciiTheme="minorEastAsia" w:hAnsiTheme="minorEastAsia" w:eastAsiaTheme="minorEastAsia" w:cstheme="minorEastAsia"/>
          <w:b/>
          <w:szCs w:val="21"/>
          <w:lang w:val="zh-CN"/>
        </w:rPr>
        <w:t>政策</w:t>
      </w:r>
      <w:bookmarkEnd w:id="96"/>
      <w:bookmarkEnd w:id="97"/>
      <w:bookmarkEnd w:id="98"/>
      <w:bookmarkEnd w:id="99"/>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100" w:name="_Toc3901"/>
      <w:r>
        <w:rPr>
          <w:rFonts w:hint="eastAsia" w:asciiTheme="minorEastAsia" w:hAnsiTheme="minorEastAsia" w:eastAsiaTheme="minorEastAsia" w:cstheme="minorEastAsia"/>
          <w:b/>
          <w:lang w:val="en-US" w:eastAsia="zh-CN"/>
        </w:rPr>
        <w:t>政府采购政策</w:t>
      </w:r>
      <w:bookmarkEnd w:id="100"/>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w:t>
      </w:r>
      <w:r>
        <w:rPr>
          <w:rFonts w:hint="eastAsia" w:ascii="宋体" w:hAnsi="宋体" w:cs="宋体"/>
          <w:snapToGrid w:val="0"/>
          <w:kern w:val="0"/>
          <w:szCs w:val="21"/>
          <w:lang w:val="en-US" w:eastAsia="zh-CN"/>
        </w:rPr>
        <w:t xml:space="preserve"> </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.2</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lang w:val="zh-CN"/>
        </w:rPr>
        <w:t>为促进中小企业发展，本项目供应商如符合工信部联企业【</w:t>
      </w:r>
      <w:r>
        <w:rPr>
          <w:rFonts w:hint="eastAsia" w:ascii="宋体" w:hAnsi="宋体" w:cs="宋体"/>
          <w:snapToGrid w:val="0"/>
          <w:kern w:val="0"/>
          <w:szCs w:val="21"/>
          <w:lang w:val="en-US" w:eastAsia="zh-CN"/>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33.3 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33.4 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en-US"/>
        </w:rPr>
      </w:pPr>
      <w:r>
        <w:rPr>
          <w:rFonts w:hint="eastAsia" w:ascii="宋体" w:hAnsi="宋体" w:cs="宋体"/>
          <w:snapToGrid w:val="0"/>
          <w:kern w:val="0"/>
          <w:szCs w:val="21"/>
          <w:lang w:val="zh-CN" w:eastAsia="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eastAsia="zh-CN"/>
        </w:rPr>
        <w:t>.</w:t>
      </w:r>
      <w:r>
        <w:rPr>
          <w:rFonts w:hint="eastAsia" w:ascii="宋体" w:hAnsi="宋体" w:cs="宋体"/>
          <w:snapToGrid w:val="0"/>
          <w:kern w:val="0"/>
          <w:szCs w:val="21"/>
          <w:lang w:val="en-US" w:eastAsia="zh-CN"/>
        </w:rPr>
        <w:t>5 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lang w:val="en-US" w:eastAsia="zh-CN"/>
        </w:rPr>
        <w:t xml:space="preserve">6 </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200" w:firstLine="211" w:firstLineChars="100"/>
        <w:jc w:val="left"/>
        <w:textAlignment w:val="auto"/>
        <w:rPr>
          <w:rFonts w:hint="eastAsia"/>
          <w:b/>
          <w:bCs/>
          <w:lang w:val="zh-CN"/>
        </w:rPr>
      </w:pPr>
      <w:r>
        <w:rPr>
          <w:rFonts w:hint="eastAsia" w:ascii="宋体" w:hAnsi="宋体" w:cs="宋体"/>
          <w:b/>
          <w:bCs/>
          <w:snapToGrid w:val="0"/>
          <w:kern w:val="0"/>
          <w:szCs w:val="21"/>
          <w:lang w:val="zh-CN"/>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1" w:name="_Toc16251"/>
      <w:r>
        <w:rPr>
          <w:rFonts w:hint="eastAsia" w:asciiTheme="minorEastAsia" w:hAnsiTheme="minorEastAsia" w:eastAsiaTheme="minorEastAsia" w:cstheme="minorEastAsia"/>
          <w:b/>
          <w:szCs w:val="21"/>
          <w:lang w:val="zh-CN"/>
        </w:rPr>
        <w:t>其他要求</w:t>
      </w:r>
      <w:bookmarkEnd w:id="101"/>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2" w:name="_Toc30779"/>
      <w:r>
        <w:rPr>
          <w:rFonts w:hint="eastAsia" w:asciiTheme="minorEastAsia" w:hAnsiTheme="minorEastAsia" w:eastAsiaTheme="minorEastAsia" w:cstheme="minorEastAsia"/>
          <w:b/>
          <w:szCs w:val="21"/>
          <w:lang w:val="zh-CN"/>
        </w:rPr>
        <w:t>适用法律</w:t>
      </w:r>
      <w:bookmarkEnd w:id="102"/>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103" w:name="_Toc24256"/>
      <w:r>
        <w:rPr>
          <w:rFonts w:hint="eastAsia" w:asciiTheme="minorEastAsia" w:hAnsiTheme="minorEastAsia" w:eastAsiaTheme="minorEastAsia" w:cstheme="minorEastAsia"/>
          <w:b/>
          <w:bCs/>
          <w:sz w:val="36"/>
          <w:szCs w:val="36"/>
        </w:rPr>
        <w:t>采购需求</w:t>
      </w:r>
      <w:bookmarkEnd w:id="103"/>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04" w:name="_Toc29013"/>
      <w:r>
        <w:rPr>
          <w:rFonts w:hint="eastAsia" w:asciiTheme="minorEastAsia" w:hAnsiTheme="minorEastAsia" w:eastAsiaTheme="minorEastAsia" w:cstheme="minorEastAsia"/>
          <w:b/>
          <w:bCs/>
          <w:color w:val="auto"/>
          <w:sz w:val="24"/>
          <w:szCs w:val="24"/>
          <w:lang w:val="en-US" w:eastAsia="zh-CN"/>
        </w:rPr>
        <w:t>一、技术需求</w:t>
      </w:r>
      <w:bookmarkEnd w:id="104"/>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vertAlign w:val="baseline"/>
          <w:lang w:val="en-US" w:eastAsia="zh-CN"/>
        </w:rPr>
      </w:pPr>
      <w:r>
        <w:rPr>
          <w:rFonts w:hint="eastAsia" w:asciiTheme="minorEastAsia" w:hAnsiTheme="minorEastAsia" w:eastAsiaTheme="minorEastAsia" w:cstheme="minorEastAsia"/>
          <w:b w:val="0"/>
          <w:bCs w:val="0"/>
          <w:color w:val="auto"/>
          <w:szCs w:val="21"/>
          <w:lang w:val="en-US" w:eastAsia="zh-CN"/>
        </w:rPr>
        <w:t>1、设备/货物清单</w:t>
      </w:r>
    </w:p>
    <w:tbl>
      <w:tblPr>
        <w:tblStyle w:val="27"/>
        <w:tblW w:w="4998" w:type="pct"/>
        <w:tblInd w:w="0" w:type="dxa"/>
        <w:tblLayout w:type="autofit"/>
        <w:tblCellMar>
          <w:top w:w="0" w:type="dxa"/>
          <w:left w:w="0" w:type="dxa"/>
          <w:bottom w:w="0" w:type="dxa"/>
          <w:right w:w="0" w:type="dxa"/>
        </w:tblCellMar>
      </w:tblPr>
      <w:tblGrid>
        <w:gridCol w:w="804"/>
        <w:gridCol w:w="2704"/>
        <w:gridCol w:w="3980"/>
        <w:gridCol w:w="805"/>
        <w:gridCol w:w="805"/>
      </w:tblGrid>
      <w:tr>
        <w:tblPrEx>
          <w:tblCellMar>
            <w:top w:w="0" w:type="dxa"/>
            <w:left w:w="0" w:type="dxa"/>
            <w:bottom w:w="0" w:type="dxa"/>
            <w:right w:w="0" w:type="dxa"/>
          </w:tblCellMar>
        </w:tblPrEx>
        <w:trPr>
          <w:trHeight w:val="285" w:hRule="atLeast"/>
        </w:trPr>
        <w:tc>
          <w:tcPr>
            <w:tcW w:w="4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14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设备名称</w:t>
            </w:r>
          </w:p>
        </w:tc>
        <w:tc>
          <w:tcPr>
            <w:tcW w:w="21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主要功能、特点或参数</w:t>
            </w:r>
          </w:p>
        </w:tc>
        <w:tc>
          <w:tcPr>
            <w:tcW w:w="4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270" w:hRule="atLeast"/>
        </w:trPr>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自动化综合实训系统</w:t>
            </w:r>
          </w:p>
        </w:tc>
        <w:tc>
          <w:tcPr>
            <w:tcW w:w="21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见附件1：自动化综合实训系统技术参数</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4590" w:hRule="atLeast"/>
        </w:trPr>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台式电脑</w:t>
            </w:r>
          </w:p>
        </w:tc>
        <w:tc>
          <w:tcPr>
            <w:tcW w:w="21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品牌整机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CPU:酷睿I5-9400处理器，6核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内存容量：8G及以上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显卡：独立显卡，显存不低于2G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硬盘：双硬盘，不低于1TB+256GB SSD</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显示器：</w:t>
            </w:r>
            <w:r>
              <w:rPr>
                <w:rFonts w:hint="eastAsia" w:ascii="宋体" w:hAnsi="宋体" w:eastAsia="宋体" w:cs="宋体"/>
                <w:i w:val="0"/>
                <w:color w:val="FF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23.6英寸，</w:t>
            </w:r>
            <w:r>
              <w:rPr>
                <w:rFonts w:hint="eastAsia" w:ascii="宋体" w:hAnsi="宋体" w:eastAsia="宋体" w:cs="宋体"/>
                <w:i w:val="0"/>
                <w:color w:val="FF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1920×1080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机箱：必须为通用式机箱，不得采用便携式小机箱投标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操作系统：预装WIN10专业版操作系统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硬盘保护卡：支持差异拷贝，支持多操作系统共存，支持64位Windows操作系统，单系统多频道管理，多账户管理，软件统一注册等。  接口类型为PCI或基于BIOS。</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810" w:hRule="atLeast"/>
        </w:trPr>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钢木方凳</w:t>
            </w:r>
          </w:p>
        </w:tc>
        <w:tc>
          <w:tcPr>
            <w:tcW w:w="21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钢木结构，主题框架为钢结构，凳面24*34cm，板材厚度不低于18mm，钢材厚度不低于1.5mm。</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r>
      <w:tr>
        <w:tblPrEx>
          <w:tblCellMar>
            <w:top w:w="0" w:type="dxa"/>
            <w:left w:w="0" w:type="dxa"/>
            <w:bottom w:w="0" w:type="dxa"/>
            <w:right w:w="0" w:type="dxa"/>
          </w:tblCellMar>
        </w:tblPrEx>
        <w:trPr>
          <w:trHeight w:val="540" w:hRule="atLeast"/>
        </w:trPr>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电脑桌椅</w:t>
            </w:r>
          </w:p>
        </w:tc>
        <w:tc>
          <w:tcPr>
            <w:tcW w:w="21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钢质龙骨，PVC台面,长宽为1.1*0.6</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4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bl>
    <w:p>
      <w:pPr>
        <w:spacing w:line="360" w:lineRule="auto"/>
        <w:jc w:val="left"/>
        <w:rPr>
          <w:rFonts w:hint="eastAsia" w:ascii="仿宋" w:hAnsi="仿宋" w:eastAsia="仿宋" w:cs="仿宋"/>
          <w:b/>
          <w:bCs/>
          <w:sz w:val="32"/>
          <w:szCs w:val="32"/>
          <w:lang w:val="en-US" w:eastAsia="zh-CN"/>
        </w:rPr>
      </w:pPr>
      <w:r>
        <w:rPr>
          <w:rFonts w:hint="eastAsia" w:asciiTheme="minorEastAsia" w:hAnsiTheme="minorEastAsia" w:eastAsiaTheme="minorEastAsia" w:cstheme="minorEastAsia"/>
          <w:b w:val="0"/>
          <w:bCs w:val="0"/>
          <w:color w:val="auto"/>
          <w:szCs w:val="21"/>
          <w:lang w:val="en-US" w:eastAsia="zh-CN"/>
        </w:rPr>
        <w:br w:type="textWrapping"/>
      </w: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 xml:space="preserve">1：         </w:t>
      </w:r>
    </w:p>
    <w:p>
      <w:p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自动化综合实训系统技术参数</w:t>
      </w:r>
    </w:p>
    <w:p>
      <w:pPr>
        <w:rPr>
          <w:rFonts w:hint="eastAsia"/>
          <w:lang w:eastAsia="zh-CN"/>
        </w:rPr>
      </w:pP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一、设备功能需求</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自动化综合实训系统装置包括智能控制器、双供料单元、装配单元、智能视觉检测单元、RFID单元、分拣单元、工业机器人装配单元、成品入库单元、操作面板、触摸屏、I/O转接板。柔性生产线可完成多种订单柔性生产等一系列的动作。各站是安装在带槽的铝型材基板上，各站可容易的连接在一起组成一条自动生产线。站内由各种模块化形式构成，各模块之间易于搭建、拆卸和维护，各工作站之间可随意组合。</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1、分站一</w:t>
      </w:r>
      <w:r>
        <w:rPr>
          <w:rFonts w:hint="eastAsia" w:asciiTheme="minorEastAsia" w:hAnsiTheme="minorEastAsia" w:eastAsiaTheme="minorEastAsia" w:cstheme="minorEastAsia"/>
          <w:b/>
          <w:bCs/>
          <w:sz w:val="21"/>
          <w:szCs w:val="21"/>
          <w:lang w:val="en-US" w:eastAsia="zh-CN"/>
        </w:rPr>
        <w:t>颗粒上料</w:t>
      </w:r>
      <w:r>
        <w:rPr>
          <w:rFonts w:hint="eastAsia" w:asciiTheme="minorEastAsia" w:hAnsiTheme="minorEastAsia" w:eastAsiaTheme="minorEastAsia" w:cstheme="minorEastAsia"/>
          <w:b/>
          <w:bCs/>
          <w:sz w:val="21"/>
          <w:szCs w:val="21"/>
          <w:lang w:eastAsia="zh-CN"/>
        </w:rPr>
        <w:t>单元</w:t>
      </w:r>
    </w:p>
    <w:p>
      <w:pPr>
        <w:spacing w:line="360" w:lineRule="auto"/>
        <w:ind w:firstLine="420" w:firstLineChars="20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由挂板控制板、瓶上料单元、主输送模块、循环选料模块、上料填装模块、实训桌组成，可进行PLC控制、变频器控制、直流电机控制、传感器设置、气动元件原理等多项实训项目；上料单元逐个将空瓶输送到主输送带；同时循环选料对颗粒物料根据颜色进行分拣；当空瓶到达填装位后，顶瓶装置将空瓶固定，主皮带停止；上料填装模块将分拣到位的颗粒物料吸取放到空瓶内；瓶子内物料到达设定的颗粒数量后，顶瓶装置松开，主皮带启动，将瓶子输送到下一个工位。此单元可以设定多样化的填装方式，可从物料颜色（2种）、颗粒数量（最多4粒）进行不同的组合，产生8种填装方式</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2、分站二---</w:t>
      </w:r>
      <w:r>
        <w:rPr>
          <w:rFonts w:hint="eastAsia" w:asciiTheme="minorEastAsia" w:hAnsiTheme="minorEastAsia" w:eastAsiaTheme="minorEastAsia" w:cstheme="minorEastAsia"/>
          <w:b/>
          <w:bCs/>
          <w:sz w:val="21"/>
          <w:szCs w:val="21"/>
          <w:lang w:val="en-US" w:eastAsia="zh-CN"/>
        </w:rPr>
        <w:t>加盖拧盖</w:t>
      </w:r>
      <w:r>
        <w:rPr>
          <w:rFonts w:hint="eastAsia" w:asciiTheme="minorEastAsia" w:hAnsiTheme="minorEastAsia" w:eastAsiaTheme="minorEastAsia" w:cstheme="minorEastAsia"/>
          <w:b/>
          <w:bCs/>
          <w:sz w:val="21"/>
          <w:szCs w:val="21"/>
          <w:lang w:eastAsia="zh-CN"/>
        </w:rPr>
        <w:t>单元</w:t>
      </w:r>
    </w:p>
    <w:p>
      <w:pPr>
        <w:pStyle w:val="9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主要由挂板控制板、输送模块、加盖模块、拧盖模块、实训桌组成，可进行PLC控制、传感器设置、气动元件原理、机械装调等多项实训项目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瓶子被输送到加盖模块下，加盖位顶瓶装置将瓶子固定，加盖机构启动加盖流程，将盖子（白色或黑色）加到瓶子上；加上盖子的瓶子继续被送往拧盖机构，到拧盖模块下方，拧盖位顶瓶装置将瓶子固定，拧盖机构启动，将瓶盖拧紧。</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3、分站三--检测分拣单元</w:t>
      </w:r>
    </w:p>
    <w:p>
      <w:pPr>
        <w:pStyle w:val="9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主要由挂板控制板、主输送模块、龙门检测模块、辅输送带组件、智能视觉检测、分拣机构、实训桌组成，可进行PLC控制、传感器设置、智能视觉检测、气动元件原理、机械装调等多项实训项目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拧盖完成的瓶子经过此单元进行检测：通过视觉检测系统检测瓶盖是否拧紧、瓶子内部颗粒数量是否符合要求；通过光纤对瓶盖颜色判别区分；拧盖或颗粒不合格的瓶子被分拣机构推送到废品皮带上（辅皮带）；拧盖与颗粒均合格的瓶子被输送到皮带末端，等待机器人搬运。</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4、分站四--六轴机器人单元</w:t>
      </w:r>
    </w:p>
    <w:p>
      <w:pPr>
        <w:spacing w:line="360" w:lineRule="auto"/>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主要由挂板控制板、升降台A模块、升降台B模块、ABB六轴机器人及控制器、实训桌组成，可进行PLC控制、六轴机器人控制、机器人扩展模块、步进驱动器系统控制、气动元件原理、机械装调等多项实训项目；</w:t>
      </w:r>
      <w:r>
        <w:rPr>
          <w:rFonts w:hint="eastAsia" w:asciiTheme="minorEastAsia" w:hAnsiTheme="minorEastAsia" w:eastAsiaTheme="minorEastAsia" w:cstheme="minorEastAsia"/>
          <w:sz w:val="21"/>
          <w:szCs w:val="21"/>
          <w:lang w:eastAsia="zh-CN"/>
        </w:rPr>
        <w:t>两个升降台模块存储包装盒和包装盒盖；A升降台将包装盒提升到位，由六轴工业机器人将包装盒搬运到物料台上；六轴机器人将瓶子抓取放入物料台上的包装盒内；包装盒4个工位放满瓶子后，六轴机器人从B升降台上吸取盒盖，盖在包装盒上；6轴机器人根据瓶盖的颜色对盒盖上标签位分别进行贴标，同时产品信息会通过RFID写入包装盒底部芯片中，贴完4个标签等待成品入仓单元入库。</w:t>
      </w:r>
    </w:p>
    <w:p>
      <w:pPr>
        <w:spacing w:line="360" w:lineRule="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5、分站五--成品入仓单元</w:t>
      </w:r>
    </w:p>
    <w:p>
      <w:pPr>
        <w:pStyle w:val="9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主要由挂板控制板、堆垛机模块、成品仓库模块、实训桌组成，可进行PLC控制、伺服系统控制、传感器智能系统控制、气动元件原理、机械装调等多项实训项目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堆垛机模块把机器人单元物料台上的包装盒体吸取出来，然后按要求依次放入仓储相应仓位。</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×3的仓库每个仓位均安装一个检测传感器，堆垛机构水平轴为一个精密丝杆机构，垂直机构为涡轮丝杆升降机构，均由精密伺服电机进行高精度控制。</w:t>
      </w:r>
    </w:p>
    <w:p>
      <w:pPr>
        <w:ind w:firstLine="420" w:firstLineChars="200"/>
        <w:rPr>
          <w:rFonts w:hint="eastAsia" w:asciiTheme="minorEastAsia" w:hAnsiTheme="minorEastAsia" w:eastAsiaTheme="minorEastAsia" w:cstheme="minorEastAsia"/>
          <w:sz w:val="21"/>
          <w:szCs w:val="21"/>
          <w:lang w:eastAsia="zh-CN"/>
        </w:rPr>
      </w:pPr>
    </w:p>
    <w:p>
      <w:pPr>
        <w:spacing w:line="360" w:lineRule="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二、可完成实训项目要求</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PLC部分：</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（1）PLC编程软件应用</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（2）PLC基本指令的应用</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（3）PLC功能指令的应用</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（4）PLC步进指令的应用</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（5）PLC控制传输带启停</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（6）PLC判断多种物料属性</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（7）PLC判断物料放置位</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（8）PLC对传输带运行的绝对定位控制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（9）PLC对传输带的混合定位控制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（10）PLC对六轴机器人的基本动作控制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（11）利用脉冲指令对步进电机控制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（12）PLC对六轴工业机器人自动控制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（13）PLC对堆垛机模块升降控制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（14）PLC对仓库出库入库自动控制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（15）PLC对仓库间仓位调配的控制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（15）</w:t>
      </w:r>
      <w:r>
        <w:rPr>
          <w:rFonts w:hint="eastAsia" w:asciiTheme="minorEastAsia" w:hAnsiTheme="minorEastAsia" w:eastAsiaTheme="minorEastAsia" w:cstheme="minorEastAsia"/>
          <w:color w:val="000000"/>
          <w:sz w:val="21"/>
          <w:szCs w:val="21"/>
          <w:lang w:eastAsia="zh-CN"/>
        </w:rPr>
        <w:t>PLC对RFID的获取数据</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（16）</w:t>
      </w:r>
      <w:r>
        <w:rPr>
          <w:rFonts w:hint="eastAsia" w:asciiTheme="minorEastAsia" w:hAnsiTheme="minorEastAsia" w:eastAsiaTheme="minorEastAsia" w:cstheme="minorEastAsia"/>
          <w:color w:val="000000"/>
          <w:sz w:val="21"/>
          <w:szCs w:val="21"/>
          <w:lang w:eastAsia="zh-CN"/>
        </w:rPr>
        <w:t>PLC对RFID的数据写入</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人机界面系统实训：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（1）软件安装</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（2）窗口组态</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（3）工程制作与下载</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（4）PLC寄存器连接</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（5）简单动画组态</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（6）报警组态</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（7）触摸屏监控各工作单元设备</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（8）触摸屏对整体实训流程监控与管理</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（9）生产订单的下发</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视觉系统实训：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（1）视觉系统的硬件连接</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（2）视觉系统的图像采集</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（3）视觉系统的焦距调节</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（4）视觉系统的定位工具使用</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（5）视觉系统的测量工具使用</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（6）视觉系统的逻辑处理应用</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（7）视觉系统的IO输出设定</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变频器系统实训：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（1）变频器基本接线操作</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（2）变频器功能参数设置与操作</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（3）PU操作及外部操作</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（4）多档转速的PLC控制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（5）电机正反转运动控制</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（6）速度定位系统实训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（7）变频器的外部运行、组合运行实训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（8）多段速电机控制实训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（9）瞬时停电启动控制实训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（10）面板参数复制实训</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机器人系统实训：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（1）六轴机器人软件操作</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（2）六轴机器人程序编写</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（3）六轴机器人原点与复位</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（4）六轴机器人点示教实训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（5）六轴机器人与PLC I/O通讯实训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（6）网络IO监控机器人工作状态</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（7）六轴机器人位置变量使用实训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（8）六轴机器人抓手控制实训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（9）六轴机器人位置运算实训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（10）通过软件对六轴机器人的调试与应用</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步进电机应用实训：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（1）步进电机接线操作</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（2）步进驱动器参数设置修改</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（3）升降台模块升降定位实训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（4）步进系统控制实训</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交流伺服系统实训：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（1）交流伺服系统基本接线操作</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（2）放大器参数设置</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（3）反馈与脉冲数观察</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（4）脉冲输入控制正反转</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（5）故障代码的熟悉与排除</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传感器部分实训：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（1）数字光纤传感器对单一颜色分拣实训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（2）光电传感器实训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（3）磁性开关实训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（4）对射型与反射型传感器的应用</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网络部分实训：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（1）PLC与RFID的RS422网络实训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（2）N：N的PROFINET网络搭建与调整实训</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（3）PLC与视觉系统的PROFINET通信</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（4）PLC与西门子变频器的PROFINET通信</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（3）PLC与触摸屏的以太网通信</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（5）现场总线网络操作与设置</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（6）现场总线网络搭建入门</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机械部分：</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（1）循环选料模块的装调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（2）颗粒上料模块的装调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（3）输送带模块的装调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（4）加盖模块的装调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（5）拧盖模块的装调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（6）检测模块的装调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（7）升降台A模块的装调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（8）升降台B模块的装调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（9）堆垛机模块的装调</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（10）成品仓库模块的装调</w:t>
      </w:r>
    </w:p>
    <w:p>
      <w:pPr>
        <w:pStyle w:val="25"/>
        <w:spacing w:before="0" w:beforeAutospacing="0" w:after="0" w:afterAutospacing="0" w:line="360" w:lineRule="auto"/>
        <w:ind w:left="0" w:leftChars="0" w:firstLine="422"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系统调试：</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（1）挂板控制板安装接线实训任务</w:t>
      </w:r>
    </w:p>
    <w:p>
      <w:pPr>
        <w:pStyle w:val="25"/>
        <w:spacing w:before="0" w:beforeAutospacing="0" w:after="0" w:afterAutospacing="0" w:line="360" w:lineRule="auto"/>
        <w:ind w:left="0" w:leftChars="0"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（2）单元模型接线与气路连接调试工作</w:t>
      </w:r>
    </w:p>
    <w:p>
      <w:pPr>
        <w:pStyle w:val="9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（3）工艺要求实训</w:t>
      </w:r>
    </w:p>
    <w:p>
      <w:pPr>
        <w:spacing w:line="360" w:lineRule="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三、配置清单及详细参数</w:t>
      </w:r>
    </w:p>
    <w:tbl>
      <w:tblPr>
        <w:tblStyle w:val="2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447"/>
        <w:gridCol w:w="872"/>
        <w:gridCol w:w="6637"/>
        <w:gridCol w:w="447"/>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noWrap w:val="0"/>
            <w:vAlign w:val="top"/>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单元</w:t>
            </w:r>
          </w:p>
        </w:tc>
        <w:tc>
          <w:tcPr>
            <w:tcW w:w="0" w:type="auto"/>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0" w:type="auto"/>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0" w:type="auto"/>
            <w:noWrap w:val="0"/>
            <w:vAlign w:val="top"/>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主要技术参数</w:t>
            </w:r>
          </w:p>
        </w:tc>
        <w:tc>
          <w:tcPr>
            <w:tcW w:w="0" w:type="auto"/>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c>
          <w:tcPr>
            <w:tcW w:w="0" w:type="auto"/>
            <w:noWrap w:val="0"/>
            <w:vAlign w:val="center"/>
          </w:tcPr>
          <w:p>
            <w:pPr>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vMerge w:val="restar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颗粒上料单元</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型材桌</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该系统是安装在带槽的铝型材基板上，方便各站连接在一起组成一条自动生产线。桌体尺寸(长宽高)：L650mm×W720mm ×H800mm，桌面由铝型材、桌体由钣金材料结构组成。控制面板安装工业级按钮，控制按钮须采用工业级按键设计，设置有“启动、停止、复位、联机、急停”等控制功能与对应指示灯显示组成。</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PLC模块</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1200系列</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S7-1200，CPU 1214C， 紧凑型 CPU，DC/DC/DC， 机载 I/O： 14 个 24V DC 数字输入；10 个 24V DC 数字输出； 2 AI 0-10V DC， 电源：直流 20.4-28.8V DC， 程序/数据存储器 100 KB。</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S7-1200，数字量 I/O SM 1223，16DI/16DO， 24V DC，继电器 2A。</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宋体" w:hAnsi="宋体" w:eastAsia="宋体" w:cs="宋体"/>
                <w:sz w:val="21"/>
                <w:szCs w:val="21"/>
              </w:rPr>
              <w:t>★</w:t>
            </w:r>
            <w:r>
              <w:rPr>
                <w:rFonts w:hint="eastAsia" w:asciiTheme="minorEastAsia" w:hAnsiTheme="minorEastAsia" w:eastAsiaTheme="minorEastAsia" w:cstheme="minorEastAsia"/>
                <w:sz w:val="21"/>
                <w:szCs w:val="21"/>
              </w:rPr>
              <w:t>变频器</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G120C系列</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SINAMICS G120C 标称功率：0.75kW 有 150% 过载 3 秒 380-480V+10/-20% 三相交流 47-63Hz A 级集成滤波器 I/O-接口：6DI， 2DO，1AI，1AO 集成式安全转矩切断 现场总线集成：PROFINET-PN 防护等级 IP20/UL Open Typ 尺寸：FSAA 173x 73x 178 （高x宽x深）；</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步进电机</w:t>
            </w:r>
          </w:p>
        </w:tc>
        <w:tc>
          <w:tcPr>
            <w:tcW w:w="0" w:type="auto"/>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型号：3S57Q-04079</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步距角1.2°；</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相电流(A)5.8；</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保持扭矩(Nm)1.5；</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阻尼扭矩(Nm)0.07；</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电机惯量(kg.cm²)0.48；</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绝缘等级B；</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耐压等级600VAC 1S 5mA；</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最大轴向负载(N)15；</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最大径向负载(N)75；</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工作环境温度-20℃～+50℃；</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步进驱动器</w:t>
            </w:r>
          </w:p>
        </w:tc>
        <w:tc>
          <w:tcPr>
            <w:tcW w:w="0" w:type="auto"/>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型号：3CM880</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输入电压：24～70VDC</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输入电压: 5～24VDC; 输入电流: 8mA@5VDC, 12mA@24VDC</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控制方式：脉冲控制: 脉冲+方向(PLS+DIR, 双脉冲(CW/CCW)</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工作环境湿度：&lt;85%, RH(不能结露和有水珠)</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工作环境温度：0℃～+40℃</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重量(净重)：0.253Kg</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减速电机80YS</w:t>
            </w:r>
          </w:p>
        </w:tc>
        <w:tc>
          <w:tcPr>
            <w:tcW w:w="0" w:type="auto"/>
            <w:noWrap w:val="0"/>
            <w:vAlign w:val="center"/>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功率：25W</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使用环境温度：-10℃～40℃</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物料传输机构</w:t>
            </w:r>
          </w:p>
        </w:tc>
        <w:tc>
          <w:tcPr>
            <w:tcW w:w="0" w:type="auto"/>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由物料传输皮带、同步轮、同步带、支撑座、横杆、传动装置、驱动电机、SMC型定位气缸、物料检测传感器组成，支撑座采用优质铝材加工，皮带采用材料加工，皮带宽度≥50mm；</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井式供料工作台</w:t>
            </w:r>
          </w:p>
        </w:tc>
        <w:tc>
          <w:tcPr>
            <w:tcW w:w="0" w:type="auto"/>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由料筒机构、支撑座、SMC型气缸、物料检测传感器组成，支撑座采用优质铝材加工。</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颗粒旋转上料工作台</w:t>
            </w:r>
          </w:p>
        </w:tc>
        <w:tc>
          <w:tcPr>
            <w:tcW w:w="0" w:type="auto"/>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由旋转机构、支撑座、驱动电机、选料传感器、定位传感器等组成，支撑座采用优质铝材加工。</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气动机械手</w:t>
            </w:r>
          </w:p>
        </w:tc>
        <w:tc>
          <w:tcPr>
            <w:tcW w:w="0" w:type="auto"/>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由旋转气缸、升降气缸、选料气缸、真空发生器、真空吸盘等组成。</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bidi="ar"/>
              </w:rPr>
              <w:t>电气元器件</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包含空气开关、熔断器、按钮、指示灯、SMC型气缸、欧姆龙光电传感器、磁性开关、继电器、电磁阀等电器元件。</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vMerge w:val="restar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加盖拧盖单元</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型材桌</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该系统是安装在带槽的铝型材基板上，方便各站连接在一起组成一条自动生产线。桌体尺寸(长宽高)：L650mm×W720mm ×H800mm，桌面由铝型材、桌体由钣金材料结构组成。控制面板安装工业级按钮，控制按钮须采用工业级按键设计，设置有“启动、停止、复位、联机、急停”等控制功能与对应指示灯显示组成。</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PLC模块</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1200系列</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S7-1200，CPU 1214C， 紧凑型 CPU，DC/DC/DC， 机载 I/O： 14 个 24V DC 数字输入；10 个 24V DC 数字输出； 2 AI 0-10V DC， 电源：直流 20.4-28.8V DC， 程序/数据存储器 100 KB。</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S7-1200，数字量 I/O SM 1223，16DI/16DO， 24V DC，继电器 2A。</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物料传输机构</w:t>
            </w:r>
          </w:p>
        </w:tc>
        <w:tc>
          <w:tcPr>
            <w:tcW w:w="0" w:type="auto"/>
            <w:noWrap w:val="0"/>
            <w:vAlign w:val="top"/>
          </w:tcPr>
          <w:p>
            <w:pPr>
              <w:spacing w:line="24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由物料传输皮带、同步轮、同步带、支撑座、横杆、传动装置、驱动电机、SMC型定位气缸、物料检测传感器组成，支撑座采用优质铝材加工，皮带采用材料加工，皮带宽度≥50mm；</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供料加盖机构</w:t>
            </w:r>
          </w:p>
        </w:tc>
        <w:tc>
          <w:tcPr>
            <w:tcW w:w="0" w:type="auto"/>
            <w:noWrap w:val="0"/>
            <w:vAlign w:val="top"/>
          </w:tcPr>
          <w:p>
            <w:pPr>
              <w:spacing w:line="24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由料筒机构、支撑座、SMC型气缸、物料检测传感器组成，支撑座采用优质铝材加工。主要完成料盖推出、定位压紧。</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拧盖机构</w:t>
            </w:r>
          </w:p>
        </w:tc>
        <w:tc>
          <w:tcPr>
            <w:tcW w:w="0" w:type="auto"/>
            <w:noWrap w:val="0"/>
            <w:vAlign w:val="center"/>
          </w:tcPr>
          <w:p>
            <w:pPr>
              <w:spacing w:line="24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拧盖工位由拧盖主轴电机、拧盖升降机构、旋盖机构等部分组成，拧盖升降机构由气缸驱动控制，旋盖机构由电机运动控制。</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bidi="ar"/>
              </w:rPr>
              <w:t>电气元器件</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包含空气开关、熔断器、按钮、指示灯、SMC型气缸、欧姆龙光电传感器、磁性开关、继电器、电磁阀、直流减速电机等电器元件。</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vMerge w:val="restar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检测分拣单元</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型材桌</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该系统是安装在带槽的铝型材基板上，方便各站连接在一起组成一条自动生产线。桌体尺寸(长宽高)：L650mm×W720mm ×H800mm，桌面由铝型材、桌体由钣金材料结构组成。控制面板安装工业级按钮，控制按钮须采用工业级按键设计，设置有“启动、停止、复位、联机、急停”等控制功能与对应指示灯显示组成。</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PLC模块</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1200系列</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S7-1200，CPU 1214C， 紧凑型 CPU，DC/DC/继电器， 机载 I/O： 14 个 24V DC 数字输入；10 DO 继电器 2A； 2 AI 0-10V DC， 电源：直流 20.4-28.8V DC， 程序/数据存储器 100 KB ；</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 PLC与视觉系统采用PROFINET通信获取相关信息；</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S7-1200，数字量 I/O SM 1223，8DI/8DO， 24V DC，继电器 2A。</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6"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智能视觉检测系统</w:t>
            </w:r>
          </w:p>
        </w:tc>
        <w:tc>
          <w:tcPr>
            <w:tcW w:w="0" w:type="auto"/>
            <w:noWrap w:val="0"/>
            <w:vAlign w:val="center"/>
          </w:tcPr>
          <w:p>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相机控制系统</w:t>
            </w:r>
          </w:p>
          <w:p>
            <w:pPr>
              <w:pStyle w:val="93"/>
              <w:numPr>
                <w:ilvl w:val="0"/>
                <w:numId w:val="37"/>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型号：FH1050;</w:t>
            </w:r>
          </w:p>
          <w:p>
            <w:pPr>
              <w:pStyle w:val="93"/>
              <w:numPr>
                <w:ilvl w:val="0"/>
                <w:numId w:val="37"/>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可以连接相机台数：2台；</w:t>
            </w:r>
          </w:p>
          <w:p>
            <w:pPr>
              <w:pStyle w:val="93"/>
              <w:numPr>
                <w:ilvl w:val="0"/>
                <w:numId w:val="37"/>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场景数：128；</w:t>
            </w:r>
          </w:p>
          <w:p>
            <w:pPr>
              <w:pStyle w:val="93"/>
              <w:numPr>
                <w:ilvl w:val="0"/>
                <w:numId w:val="37"/>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通信协议：</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串口：RS232C 1CH；</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Ethernet通信：无协议（TCP/UDP）1000BASE-T；</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EtherNet/IP通信：使用Ethernet端口传输速度：1Gbps （1000BASE-T）；</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EtherCAT通信：EtherCAT专用协议（100BASE-TX）；</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并行输入输出：（使用2线随机触发模式时） 输入17项 （STEP0/ENCTRIG_Z0、 STEP1/ENCTRIG_Z1、 ENCTRIG_A0～1、 ENCTRIG_B0～1、 DSA0～1、 DI0～7、 DI_LINE0） 输出37项 （RUN0～1、 READY0～1、 BUSY0～1、 OR0～1、 ERROR0～1、 GATE0～1、 STGOUT0/SHTOUT0、 STGOUT1/SHTOUT1、 STGOUT2～7、 DO0～15、 ACK）；</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Encoder I/F：RS422-A 线性驱动器水平A、 B相：单相4MHz （相位差4倍 1MHz）、 Z相：1MHz；</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显示屏IF：DVI-I （模拟RGB &amp; DVI-D单通道）输出IF × 1ch *2；</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USBI/F：4CH （基于USB1.1/2.0）；</w:t>
            </w:r>
          </w:p>
          <w:p>
            <w:pPr>
              <w:pStyle w:val="93"/>
              <w:numPr>
                <w:ilvl w:val="0"/>
                <w:numId w:val="38"/>
              </w:numPr>
              <w:ind w:left="0" w:firstLine="42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SD_card I/F：SDHC标准　推荐Class4以上；</w:t>
            </w:r>
          </w:p>
          <w:p>
            <w:pPr>
              <w:pStyle w:val="93"/>
              <w:numPr>
                <w:ilvl w:val="0"/>
                <w:numId w:val="37"/>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电源电压：DC20.4～26.4V；</w:t>
            </w:r>
          </w:p>
          <w:p>
            <w:pPr>
              <w:pStyle w:val="93"/>
              <w:numPr>
                <w:ilvl w:val="0"/>
                <w:numId w:val="37"/>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外形尺寸：190×115×182.5mm；</w:t>
            </w:r>
          </w:p>
          <w:p>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工业</w:t>
            </w:r>
            <w:r>
              <w:rPr>
                <w:rFonts w:hint="eastAsia" w:asciiTheme="minorEastAsia" w:hAnsiTheme="minorEastAsia" w:eastAsiaTheme="minorEastAsia" w:cstheme="minorEastAsia"/>
                <w:b/>
                <w:sz w:val="21"/>
                <w:szCs w:val="21"/>
              </w:rPr>
              <w:t>相机</w:t>
            </w:r>
          </w:p>
          <w:p>
            <w:pPr>
              <w:pStyle w:val="93"/>
              <w:numPr>
                <w:ilvl w:val="0"/>
                <w:numId w:val="39"/>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型号：FH-SC（彩色）；</w:t>
            </w:r>
          </w:p>
          <w:p>
            <w:pPr>
              <w:pStyle w:val="93"/>
              <w:numPr>
                <w:ilvl w:val="0"/>
                <w:numId w:val="39"/>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分辨率：30万像素；</w:t>
            </w:r>
          </w:p>
          <w:p>
            <w:pPr>
              <w:pStyle w:val="93"/>
              <w:numPr>
                <w:ilvl w:val="0"/>
                <w:numId w:val="39"/>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有效像素数：640 （H）×480 （V）</w:t>
            </w:r>
          </w:p>
          <w:p>
            <w:pPr>
              <w:pStyle w:val="93"/>
              <w:numPr>
                <w:ilvl w:val="0"/>
                <w:numId w:val="39"/>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读取时间：3.3ms；</w:t>
            </w:r>
          </w:p>
          <w:p>
            <w:pPr>
              <w:pStyle w:val="93"/>
              <w:numPr>
                <w:ilvl w:val="0"/>
                <w:numId w:val="39"/>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像素尺寸：7.4 （µm）×7.4 （µm）；</w:t>
            </w:r>
          </w:p>
          <w:p>
            <w:pPr>
              <w:pStyle w:val="93"/>
              <w:numPr>
                <w:ilvl w:val="0"/>
                <w:numId w:val="39"/>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快门功能：电子快门方式 快门速度可在20µs～100ms的范围内 设定；</w:t>
            </w:r>
          </w:p>
          <w:p>
            <w:pPr>
              <w:pStyle w:val="93"/>
              <w:numPr>
                <w:ilvl w:val="0"/>
                <w:numId w:val="39"/>
              </w:numPr>
              <w:ind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镜头Mount：C-Mount；</w:t>
            </w:r>
          </w:p>
          <w:p>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相机镜头</w:t>
            </w:r>
          </w:p>
          <w:p>
            <w:pPr>
              <w:pStyle w:val="93"/>
              <w:keepNext w:val="0"/>
              <w:keepLines w:val="0"/>
              <w:pageBreakBefore w:val="0"/>
              <w:widowControl w:val="0"/>
              <w:numPr>
                <w:ilvl w:val="0"/>
                <w:numId w:val="40"/>
              </w:numP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焦距：16mm</w:t>
            </w:r>
          </w:p>
          <w:p>
            <w:pPr>
              <w:pStyle w:val="93"/>
              <w:keepNext w:val="0"/>
              <w:keepLines w:val="0"/>
              <w:pageBreakBefore w:val="0"/>
              <w:widowControl w:val="0"/>
              <w:numPr>
                <w:ilvl w:val="0"/>
                <w:numId w:val="40"/>
              </w:numP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光圈：F1.4</w:t>
            </w:r>
          </w:p>
          <w:p>
            <w:pPr>
              <w:pStyle w:val="93"/>
              <w:keepNext w:val="0"/>
              <w:keepLines w:val="0"/>
              <w:pageBreakBefore w:val="0"/>
              <w:widowControl w:val="0"/>
              <w:numPr>
                <w:ilvl w:val="0"/>
                <w:numId w:val="40"/>
              </w:numP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环形白色光</w:t>
            </w:r>
          </w:p>
          <w:p>
            <w:pPr>
              <w:pStyle w:val="93"/>
              <w:keepNext w:val="0"/>
              <w:keepLines w:val="0"/>
              <w:pageBreakBefore w:val="0"/>
              <w:widowControl w:val="0"/>
              <w:numPr>
                <w:ilvl w:val="0"/>
                <w:numId w:val="40"/>
              </w:numPr>
              <w:kinsoku/>
              <w:wordWrap/>
              <w:overflowPunct/>
              <w:topLinePunct w:val="0"/>
              <w:autoSpaceDE/>
              <w:autoSpaceDN/>
              <w:bidi w:val="0"/>
              <w:adjustRightInd/>
              <w:snapToGrid/>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具体根据最终物料尺寸确定</w:t>
            </w:r>
          </w:p>
          <w:p>
            <w:pPr>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显示屏</w:t>
            </w:r>
          </w:p>
          <w:p>
            <w:pPr>
              <w:jc w:val="left"/>
              <w:rPr>
                <w:rFonts w:hint="eastAsia" w:asciiTheme="minorEastAsia" w:hAnsiTheme="minorEastAsia" w:eastAsiaTheme="minorEastAsia" w:cstheme="minorEastAsia"/>
                <w:sz w:val="21"/>
                <w:szCs w:val="21"/>
              </w:rPr>
            </w:pPr>
            <w:r>
              <w:rPr>
                <w:rFonts w:hint="eastAsia" w:ascii="宋体" w:hAnsi="宋体" w:eastAsia="宋体" w:cs="宋体"/>
                <w:i w:val="0"/>
                <w:color w:val="FF0000"/>
                <w:kern w:val="0"/>
                <w:sz w:val="22"/>
                <w:szCs w:val="22"/>
                <w:u w:val="none"/>
                <w:lang w:val="en-US" w:eastAsia="zh-CN" w:bidi="ar"/>
              </w:rPr>
              <w:t>≥</w:t>
            </w:r>
            <w:r>
              <w:rPr>
                <w:rFonts w:hint="eastAsia" w:asciiTheme="minorEastAsia" w:hAnsiTheme="minorEastAsia" w:eastAsiaTheme="minorEastAsia" w:cstheme="minorEastAsia"/>
                <w:sz w:val="21"/>
                <w:szCs w:val="21"/>
              </w:rPr>
              <w:t>21英寸真彩显示器；</w:t>
            </w:r>
          </w:p>
          <w:p>
            <w:pPr>
              <w:pStyle w:val="2"/>
              <w:spacing w:before="0" w:after="0" w:line="240" w:lineRule="auto"/>
              <w:rPr>
                <w:rFonts w:hint="eastAsia" w:asciiTheme="minorEastAsia" w:hAnsiTheme="minorEastAsia" w:eastAsiaTheme="minorEastAsia" w:cstheme="minorEastAsia"/>
                <w:sz w:val="21"/>
                <w:szCs w:val="21"/>
              </w:rPr>
            </w:pPr>
          </w:p>
          <w:p>
            <w:pPr>
              <w:pStyle w:val="2"/>
              <w:spacing w:before="0" w:after="0" w:line="240" w:lineRule="auto"/>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1"/>
                <w:szCs w:val="21"/>
              </w:rPr>
              <w:t>★</w:t>
            </w:r>
            <w:r>
              <w:rPr>
                <w:rFonts w:hint="eastAsia" w:asciiTheme="minorEastAsia" w:hAnsiTheme="minorEastAsia" w:eastAsiaTheme="minorEastAsia" w:cstheme="minorEastAsia"/>
                <w:sz w:val="21"/>
                <w:szCs w:val="21"/>
                <w:lang w:val="en-US" w:eastAsia="zh-CN"/>
              </w:rPr>
              <w:t>仿真教学软件</w:t>
            </w:r>
          </w:p>
          <w:p>
            <w:pPr>
              <w:pStyle w:val="93"/>
              <w:tabs>
                <w:tab w:val="left" w:pos="2628"/>
              </w:tabs>
              <w:spacing w:line="240" w:lineRule="auto"/>
              <w:ind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1）仿真软件可配置多种型号相机，可以导入图片进行程序修改；</w:t>
            </w:r>
          </w:p>
          <w:p>
            <w:pPr>
              <w:pStyle w:val="93"/>
              <w:tabs>
                <w:tab w:val="left" w:pos="2628"/>
              </w:tabs>
              <w:spacing w:line="240" w:lineRule="auto"/>
              <w:ind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2）仿真软件配置几十种工业现场实例图片及程序；</w:t>
            </w:r>
          </w:p>
          <w:p>
            <w:pPr>
              <w:pStyle w:val="93"/>
              <w:tabs>
                <w:tab w:val="left" w:pos="2628"/>
              </w:tabs>
              <w:spacing w:line="240" w:lineRule="auto"/>
              <w:ind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3）仿真软件可进行离线编程，在线导入。</w:t>
            </w:r>
          </w:p>
          <w:p>
            <w:pPr>
              <w:spacing w:line="240" w:lineRule="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配套机器视觉教学实训平台教学课件PPT，零基础教学开始。</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1）要求投标现场提供检测系统PPT文档（不少于15种（含15种）工业现场检测案例及不少于6个（含6个）PPT教学课件）；</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2）要求投标现场提供不少于15种检测案例，其中至少包含2种与本设备产品相符的检测案例；</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3）要求投标现场展示的不少于15种工业检测效果上要有OK与NG，并且标明NG处，通过PPT展示检测效果对比，检测所用软件与课件讲解软件为同一软件；</w:t>
            </w:r>
          </w:p>
          <w:p>
            <w:pPr>
              <w:spacing w:line="240" w:lineRule="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4）要求投标现场提供教学课件，课件内容要包含指令介绍、应用开发工具的讲解、与第三方通信设置的讲解、输入输出的应用、操作员界面设计、整体优化部署，课件数量不得少于6个PPT，教学课件所讲软件与检测案例所用软件为同一软件</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bidi="ar"/>
              </w:rPr>
              <w:t>电气元器件</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包含空气开关、熔断器、按钮、指示灯、SMC型气缸、欧姆龙光电传感器、磁性开关、继电器、电磁阀、直流减速电机等电器元件。</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机构模块</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分拣机构、主输送皮带机构、相机遮光机构等。</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vMerge w:val="restar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六轴机器人单元</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型材桌</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该系统是安装在带槽的铝型材基板上，方便各站连接在一起组成一条自动生产线。桌体尺寸(长宽高)：L650mm×W720mm ×H800mm，桌面由铝型材、桌体由钣金材料结构组成。控制面板安装工业级按钮，控制按钮须采用工业级按键设计，设置有“启动、停止、复位、联机、急停”等控制功能与对应指示灯显示组成。</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宋体" w:hAnsi="宋体" w:eastAsia="宋体" w:cs="宋体"/>
                <w:sz w:val="21"/>
                <w:szCs w:val="21"/>
              </w:rPr>
              <w:t>★</w:t>
            </w:r>
            <w:r>
              <w:rPr>
                <w:rFonts w:hint="eastAsia" w:asciiTheme="minorEastAsia" w:hAnsiTheme="minorEastAsia" w:eastAsiaTheme="minorEastAsia" w:cstheme="minorEastAsia"/>
                <w:sz w:val="21"/>
                <w:szCs w:val="21"/>
              </w:rPr>
              <w:t>PLC模块</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1200系列</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S7-1200，CPU 1214C， 紧凑型 CPU，DC/DC/DC， 机载 I/O： 14 个 24V DC 数字输入；10 个 24V DC 数字输出； 2 AI 0-10V DC， 电源：直流 20.4-28.8V DC， 程序/数据存储器 100 KB。</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S7-1200，数字量 I/O SM 1223，16DI/16DO， 24V DC，继电器 2A。</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 通信模块 CM 1241， RS-422，9 针 Sub-D（插针）， 支持自由端口</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宋体" w:hAnsi="宋体" w:eastAsia="宋体" w:cs="宋体"/>
                <w:sz w:val="21"/>
                <w:szCs w:val="21"/>
              </w:rPr>
              <w:t>★</w:t>
            </w:r>
            <w:r>
              <w:rPr>
                <w:rFonts w:hint="eastAsia" w:asciiTheme="minorEastAsia" w:hAnsiTheme="minorEastAsia" w:eastAsiaTheme="minorEastAsia" w:cstheme="minorEastAsia"/>
                <w:sz w:val="21"/>
                <w:szCs w:val="21"/>
              </w:rPr>
              <w:t>西门子RFID</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RF200 阅读器 RF260R； RS-422 接口（3964R）； IP67， -25 至 +70°C； 75x 75x 40 mm； 带集成天线；</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工作频率额定值：13.56 MHz；</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作用范围：135mm; 作用范围取决于发射器；</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传输率无线电传输时最大值：26.5kbit/s；</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传输率在点对点连接串口最大值：115.2kbit/s；</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写访问时 每个字节 典型：0.6ms；</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读取访问时每个字节典型：0.6ms；</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接口标准用于通信：RS422；</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电气连接规格：M12，8芯；</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材料：PA6.6</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拧紧扭矩用于设备的固定螺栓最大值：1.5 N·m；</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供电电压：DC24 V；</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运行期间：-20..+70°C；</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防护等级 IP：IP67；</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六轴工业</w:t>
            </w:r>
            <w:r>
              <w:rPr>
                <w:rFonts w:hint="eastAsia" w:asciiTheme="minorEastAsia" w:hAnsiTheme="minorEastAsia" w:eastAsiaTheme="minorEastAsia" w:cstheme="minorEastAsia"/>
                <w:sz w:val="21"/>
                <w:szCs w:val="21"/>
              </w:rPr>
              <w:t>机器人</w:t>
            </w:r>
          </w:p>
        </w:tc>
        <w:tc>
          <w:tcPr>
            <w:tcW w:w="0" w:type="auto"/>
            <w:noWrap w:val="0"/>
            <w:vAlign w:val="center"/>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工业机器人本体</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1）六关节自由度，串联关节型工业机器人；</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2）工作范围：580mm；</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3）额定负载：3kg（最大可达4Kg）；</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4）手臂荷重：0.3Kg；</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5）集成信号源：手腕设有10路信号；</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6）集成气源：手腕设有4路空气（5bar）；</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7）重复定位精度：0.01mm；</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8）机器人安装：任意角度；</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9）防护等级：IP30；</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10）轴运动：</w:t>
            </w:r>
            <w:r>
              <w:rPr>
                <w:rFonts w:hint="eastAsia" w:asciiTheme="minorEastAsia" w:hAnsiTheme="minorEastAsia" w:eastAsiaTheme="minorEastAsia" w:cstheme="minorEastAsia"/>
                <w:sz w:val="21"/>
                <w:szCs w:val="21"/>
              </w:rPr>
              <w:t>轴1旋转：+165°～-165°  最大速度：250°/s</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轴2旋转：+110°～-110°  最大速度：250°/s</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轴3旋转：+70°～-90°    最大速度：250°/s</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轴4旋转：+160°～-160°  最大速度：320°/s</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轴5旋转：+120°～-120°  最大速度：320°/s</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轴6旋转：+400°～-400°  最大速度：420°/s</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11）TCP最大速度：6.2m/s；</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12）TCP最大加速度：28m/s²；</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13）电源电压：200-600V，50/60Hz；</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14）变压器额定功率：3.0KVA；</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15）功耗：0.25KW；</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16）机器人底座尺寸：180×180mm；</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17）机器人高度：700mm；</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18）重量：25Kg；</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19）噪音水平：最高70dB；</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20）安全性：安全停、紧急停、2通道安全回路监测、3位启动装置；</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21）运行中环境温度：+5℃ 至 +45℃；</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22）运输与存储时环境温度：-25℃ 至 +55℃；</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工业机器人控制器</w:t>
            </w:r>
          </w:p>
          <w:p>
            <w:pPr>
              <w:pStyle w:val="93"/>
              <w:spacing w:line="240" w:lineRule="auto"/>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1）控制器硬件：多处理器系统、PCI总线、大容量闪存盘、防掉电备用电源、U盘接口；</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2）控制软件：为成熟的实时操作系统、高级RAPID程序语言；</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3）电源：单相220V/230V，50-60Hz；</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4）尺寸：258×450×565</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5）重量：27.5Kg；</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6）防护等级：IP20；</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7）控制面板：机柜上</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8)FlexPendant：重1 kg</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9)输入/输出：标准16/16（最多8192）；</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10)数字： 24 V DC或继电器信号；</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11)模拟： 1×0-10 V；</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12)串行通道： 1×RS 232（RS422带适配器）；</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13)网络 以太网（10/100 MB/s）；</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14)两条通道： 服务和LAN</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15)现场总线（主）：DeviceNetTM、PROFINET、PROFIBUS DP、Ethernet/IP；</w:t>
            </w:r>
          </w:p>
          <w:p>
            <w:pPr>
              <w:autoSpaceDE w:val="0"/>
              <w:autoSpaceDN w:val="0"/>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16)现场总线（从）：PROFINET、PROFIBUS DP、Ethernet/IP、Interbus、Allen-Bradley远程I/O、CC-link；</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17)处理编码器：最多6通道；</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工业示教器</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1）彩色触摸屏 操纵杆 紧急停 支持惯用左/右手切换 </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2）带有U盘 维护 诊断软件 恢复程序 带时间标记登录 支持 远程服务</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rPr>
              <w:t>★</w:t>
            </w:r>
            <w:r>
              <w:rPr>
                <w:rFonts w:hint="eastAsia" w:asciiTheme="minorEastAsia" w:hAnsiTheme="minorEastAsia" w:eastAsiaTheme="minorEastAsia" w:cstheme="minorEastAsia"/>
                <w:sz w:val="21"/>
                <w:szCs w:val="21"/>
                <w:lang w:eastAsia="zh-CN"/>
              </w:rPr>
              <w:t>机器人配套二次开发软件</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1）使用VS软件进行开发。</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2）支持实体和虚拟仿真进行控制。</w:t>
            </w:r>
          </w:p>
          <w:p>
            <w:pPr>
              <w:autoSpaceDE w:val="0"/>
              <w:autoSpaceDN w:val="0"/>
              <w:adjustRightInd w:val="0"/>
              <w:snapToGri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3）能够同时控制多个机器人，可以显示网络内机器人的系统名称、控制器名称、版本、是否虚拟等。</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4）能够显示当前机器人的任务信息，如任务名称、运行的程序名称等。</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5）可实时显示机器人的位置坐标 ，能够显示点位名称。</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6）可以远程控制机器人电机上下电，程序复位、启动、停止。</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7）能够进行IO读取和写入。能够进行变量的读取和写入。</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8）能够进行单轴运动控制、线性运动控制。</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9）能够进行远程备份，远程恢复。</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10）能够读取日志。</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11）支持故障预警功能。</w:t>
            </w:r>
          </w:p>
          <w:p>
            <w:pPr>
              <w:spacing w:line="240" w:lineRule="auto"/>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rPr>
              <w:t>★</w:t>
            </w:r>
            <w:r>
              <w:rPr>
                <w:rFonts w:hint="eastAsia" w:asciiTheme="minorEastAsia" w:hAnsiTheme="minorEastAsia" w:eastAsiaTheme="minorEastAsia" w:cstheme="minorEastAsia"/>
                <w:sz w:val="21"/>
                <w:szCs w:val="21"/>
                <w:lang w:eastAsia="zh-CN"/>
              </w:rPr>
              <w:t>机器人多品牌仿真软件：</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该仿真系统覆盖了ABB、FANUC、安川、KUKA、广数五类品牌的机器人。系统覆盖的功能：示教盒基本功能模拟，a. 示教盒按键功能b. 菜单功能c. 状态显示功能d.编辑功能e.提示功能。机器人运动控制仿真，a.零点标定b.手动操控c. 示教编程。集成功能、预置功能、操作主功能、辅助示教功能。</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示教系统的集成功能为多机型、多模式等功能的实现；预置功能为机器人示教操作前的一些预备工作的设置功能；示教系统操作的主功能为三种模式下的示教操作功能的实现；辅助示教功能是为了帮助初学者便于快速的学习操作及编程而设定的一些参考和错误提示功能。通过这四种功能的开发实现，可以培训员工使用示教器操作机器人以及机器人使用的整个过程，加上系统的辅助示教功能，能够更好的训练学员的编程和操作能力。</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步进电机</w:t>
            </w:r>
          </w:p>
        </w:tc>
        <w:tc>
          <w:tcPr>
            <w:tcW w:w="0" w:type="auto"/>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型号：3S57Q-04079-BRAKE</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带抱闸</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步距角1.2°；</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相电流(A)5.8；</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保持扭矩(Nm)1.5；</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阻尼扭矩(Nm)0.07；</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相电阻(Ω)1.05±10%；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相电感 (mH)2.4±20%；</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电机惯量(kg.cm²)0.48；</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绝缘等级B；</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工作环境温度-20℃～+50℃；</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重量(Kg)1；</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空载启动频率(Hz)2.1K；</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步进驱动器</w:t>
            </w:r>
          </w:p>
        </w:tc>
        <w:tc>
          <w:tcPr>
            <w:tcW w:w="0" w:type="auto"/>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型号：3CM880</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输入电压：24～70VDC</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输入电压: 5～24VDC; 输入电流: 8mA@5VDC, 12mA@24VDC</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控制方式：脉冲控制: 脉冲+方向(PLS+DIR, 双脉冲(CW/CCW)</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工作环境湿度：&lt;85%, RH(不能结露和有水珠)</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工作环境温度：0℃～+40℃</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重量(净重)：0.253Kg</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物料提升机构</w:t>
            </w:r>
          </w:p>
        </w:tc>
        <w:tc>
          <w:tcPr>
            <w:tcW w:w="0" w:type="auto"/>
            <w:noWrap w:val="0"/>
            <w:vAlign w:val="center"/>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支撑采用优质铝材加工，采用步进电机控制，用于储放箱体与箱盖，存储数量≥3个，根据使用情况实现自动提升；</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0" w:type="auto"/>
            <w:noWrap w:val="0"/>
            <w:vAlign w:val="center"/>
          </w:tcPr>
          <w:p>
            <w:pPr>
              <w:autoSpaceDE w:val="0"/>
              <w:autoSpaceDN w:val="0"/>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末端配套执行工具</w:t>
            </w:r>
          </w:p>
        </w:tc>
        <w:tc>
          <w:tcPr>
            <w:tcW w:w="0" w:type="auto"/>
            <w:noWrap w:val="0"/>
            <w:vAlign w:val="center"/>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1）该机器人单元末端第六轴装有多功能机械手；</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2）该机械手同一手指、同一位置可横向抓取不同直径的物料，直径分为：18mm、32mm，同时具有信号反馈功能；</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3）该机械手再不更换的情况下，同一手指、同一位置可横向抓取不同尺寸的物料，方体物料为：15mm * 19mm、25mm * 28mm，同时具有信号反馈功能；</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4）该机械手再不更换的情况下，同一手指、同一位置可抓取尺寸在15mm～32mm之间的不规则物料，抓取过程中要保证物料的完整性，同时具有信号反馈功能，不规则物料不少于两种。</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投标现场演示以上内容。</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bidi="ar"/>
              </w:rPr>
              <w:t>电气元器件</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包含空气开关、熔断器、按钮、指示灯、SMC型气缸、欧姆龙光电传感器、继电器、直流减速电机等电器元件。</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机构模块</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提升机构、主输送皮带机构等。</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vMerge w:val="restar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成品入仓单元</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型材桌</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该系统是安装在带槽的铝型材基板上，方便各站连接在一起组成一条自动生产线。桌体尺寸(长宽高)：L650mm×W720mm ×H800mm，桌面由铝型材、桌体由钣金材料结构组成。控制面板安装工业级按钮，控制按钮须采用工业级按键设计，设置有“启动、停止、复位、联机、急停”等控制功能与对应指示灯显示组成。</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PLC模块</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1200系列</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S7-1200，CPU 1214C， 紧凑型 CPU，DC/DC/DC， 机载 I/O： 14 个 24V DC 数字输入；10 个 24V DC 数字输出； 2 AI 0-10V DC， 电源：直流 20.4-28.8V DC， 程序/数据存储器 100 KB。</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SIMATIC S7-1200，数字量 I/O SM 1223，16DI/16DO， 24V DC，继电器 2A。</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伺服控制系统</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伺服控制器：MR-JE-10A；</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伺服电机：HG-KN13BJ-S100;</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立体仓库</w:t>
            </w:r>
          </w:p>
        </w:tc>
        <w:tc>
          <w:tcPr>
            <w:tcW w:w="0" w:type="auto"/>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立体仓库采用≥5mm厚的优质铝板加工成型，按三层九仓位布置，仓位上有与物料盒规格大小一致的凹槽，偏于物料盒的存储和精准定位，每仓位均安装有检测传感器，可实时反应仓位的存储状态；</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码垛机</w:t>
            </w:r>
          </w:p>
        </w:tc>
        <w:tc>
          <w:tcPr>
            <w:tcW w:w="0" w:type="auto"/>
            <w:noWrap w:val="0"/>
            <w:vAlign w:val="top"/>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运动部分采用精密丝杆组件与交流伺服系统控制，物料的取送采用真空吸盘实现，运动机构采用高精密的滚珠丝杆，可将物料盒精准的放置于每个仓位。</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bidi="ar"/>
              </w:rPr>
              <w:t>电气元器件</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包含空气开关、熔断器、按钮、指示灯、SMC型气缸、欧姆龙光电传感器、继电器等电器元件。</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0" w:type="auto"/>
            <w:vMerge w:val="restar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主控制系统</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人机界面</w:t>
            </w:r>
          </w:p>
        </w:tc>
        <w:tc>
          <w:tcPr>
            <w:tcW w:w="0" w:type="auto"/>
            <w:noWrap w:val="0"/>
            <w:vAlign w:val="center"/>
          </w:tcPr>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TPC</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0</w:t>
            </w:r>
            <w:r>
              <w:rPr>
                <w:rFonts w:hint="eastAsia" w:asciiTheme="minorEastAsia" w:hAnsiTheme="minorEastAsia" w:eastAsiaTheme="minorEastAsia" w:cstheme="minorEastAsia"/>
                <w:sz w:val="21"/>
                <w:szCs w:val="21"/>
                <w:lang w:val="en-US" w:eastAsia="zh-CN"/>
              </w:rPr>
              <w:t>71G</w:t>
            </w:r>
            <w:r>
              <w:rPr>
                <w:rFonts w:hint="eastAsia" w:asciiTheme="minorEastAsia" w:hAnsiTheme="minorEastAsia" w:eastAsiaTheme="minorEastAsia" w:cstheme="minorEastAsia"/>
                <w:sz w:val="21"/>
                <w:szCs w:val="21"/>
                <w:lang w:eastAsia="zh-CN"/>
              </w:rPr>
              <w:t>i</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液晶屏：</w:t>
            </w:r>
            <w:r>
              <w:rPr>
                <w:rFonts w:hint="eastAsia" w:ascii="宋体" w:hAnsi="宋体" w:eastAsia="宋体" w:cs="宋体"/>
                <w:i w:val="0"/>
                <w:color w:val="FF0000"/>
                <w:kern w:val="0"/>
                <w:sz w:val="22"/>
                <w:szCs w:val="22"/>
                <w:u w:val="none"/>
                <w:lang w:val="en-US" w:eastAsia="zh-CN" w:bidi="ar"/>
              </w:rPr>
              <w:t>≥</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寸TFT</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触摸屏：电阻式</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额定电压：24+20%VDC</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额定功耗：</w:t>
            </w:r>
            <w:r>
              <w:rPr>
                <w:rFonts w:hint="eastAsia" w:asciiTheme="minorEastAsia" w:hAnsiTheme="minorEastAsia" w:eastAsiaTheme="minorEastAsia" w:cstheme="minorEastAsia"/>
                <w:sz w:val="21"/>
                <w:szCs w:val="21"/>
                <w:lang w:val="en-US" w:eastAsia="zh-CN"/>
              </w:rPr>
              <w:t>&lt;30W</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工作温度：0-45℃</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防护等级：IP65</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通讯方式：</w:t>
            </w:r>
            <w:r>
              <w:rPr>
                <w:rFonts w:hint="eastAsia" w:asciiTheme="minorEastAsia" w:hAnsiTheme="minorEastAsia" w:eastAsiaTheme="minorEastAsia" w:cstheme="minorEastAsia"/>
                <w:sz w:val="21"/>
                <w:szCs w:val="21"/>
                <w:lang w:val="en-US" w:eastAsia="zh-CN"/>
              </w:rPr>
              <w:t>TCP/IP</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交换机</w:t>
            </w:r>
          </w:p>
        </w:tc>
        <w:tc>
          <w:tcPr>
            <w:tcW w:w="0" w:type="auto"/>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TP Link</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8口</w:t>
            </w:r>
          </w:p>
          <w:p>
            <w:pPr>
              <w:spacing w:line="24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六类网线</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智能交互系统</w:t>
            </w:r>
          </w:p>
        </w:tc>
        <w:tc>
          <w:tcPr>
            <w:tcW w:w="0" w:type="auto"/>
            <w:noWrap w:val="0"/>
            <w:vAlign w:val="center"/>
          </w:tcPr>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1、具备语音交互能力：</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1）、语音识别能力：实现听用户说话的能力。</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听力所用麦克风阵列可指示唤醒声源的方位，设备舵机同时会作出相应方向的动作反应。</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设备被语音唤醒时，能够同时反馈语音唤醒的可信度，以便于消除一些干扰因素。</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麦克风阵列支持回音消除功能。</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2）、语义解析能力：</w:t>
            </w:r>
          </w:p>
          <w:p>
            <w:pPr>
              <w:pStyle w:val="93"/>
              <w:autoSpaceDE w:val="0"/>
              <w:autoSpaceDN w:val="0"/>
              <w:adjustRightInd w:val="0"/>
              <w:snapToGrid w:val="0"/>
              <w:spacing w:line="240" w:lineRule="auto"/>
              <w:ind w:firstLine="210" w:firstLineChars="1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支持用户一次说话，上报两次事件，其一为原始说话内容，其二为结构化的语义内容，以利于应用解析用户意图。</w:t>
            </w:r>
          </w:p>
          <w:p>
            <w:pPr>
              <w:pStyle w:val="93"/>
              <w:autoSpaceDE w:val="0"/>
              <w:autoSpaceDN w:val="0"/>
              <w:adjustRightInd w:val="0"/>
              <w:snapToGrid w:val="0"/>
              <w:spacing w:line="240" w:lineRule="auto"/>
              <w:ind w:firstLine="210" w:firstLineChars="1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有调试开关，能够将用户说的内容保存在语音文件中，供调试分析。</w:t>
            </w:r>
          </w:p>
          <w:p>
            <w:pPr>
              <w:pStyle w:val="93"/>
              <w:autoSpaceDE w:val="0"/>
              <w:autoSpaceDN w:val="0"/>
              <w:adjustRightInd w:val="0"/>
              <w:snapToGrid w:val="0"/>
              <w:spacing w:line="240" w:lineRule="auto"/>
              <w:ind w:firstLine="210" w:firstLineChars="1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能够分阶段上报用户说话的事件，如检测到用户开始说话、结束说话，方便应用程序制作指示界面。</w:t>
            </w:r>
          </w:p>
          <w:p>
            <w:pPr>
              <w:pStyle w:val="93"/>
              <w:autoSpaceDE w:val="0"/>
              <w:autoSpaceDN w:val="0"/>
              <w:adjustRightInd w:val="0"/>
              <w:snapToGrid w:val="0"/>
              <w:spacing w:line="240" w:lineRule="auto"/>
              <w:ind w:firstLine="210" w:firstLineChars="1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几十种常用开放语义技能测试和应用。</w:t>
            </w:r>
          </w:p>
          <w:p>
            <w:pPr>
              <w:pStyle w:val="93"/>
              <w:autoSpaceDE w:val="0"/>
              <w:autoSpaceDN w:val="0"/>
              <w:adjustRightInd w:val="0"/>
              <w:snapToGrid w:val="0"/>
              <w:spacing w:line="240" w:lineRule="auto"/>
              <w:ind w:firstLine="210" w:firstLineChars="1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自定义语义技能开发和测试。定制个性化的语义，即创建意图、添加用户提问语料、为语义槽配置实体资源。</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3）、语音合成能力：实现设备将文字转换成语音的能力。</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可设置设备说话的音色，可选可预览试听。</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能够调节说话的语速、音调、音量。</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说话过程可中断、继续、取消。</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支持说普通话、粤语、常见方言。</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支持超长内容边合成边播报，避免过长的等待时间。</w:t>
            </w:r>
          </w:p>
          <w:p>
            <w:pPr>
              <w:pStyle w:val="93"/>
              <w:autoSpaceDE w:val="0"/>
              <w:autoSpaceDN w:val="0"/>
              <w:adjustRightInd w:val="0"/>
              <w:snapToGrid w:val="0"/>
              <w:spacing w:line="240" w:lineRule="auto"/>
              <w:ind w:firstLine="210" w:firstLineChars="1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支持说话过程中事件实时反馈，以利于软件根据事件制作不同的指示界面。</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有调试开关，能够将调试状态下的说话内容保存在语音文件中。</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2、视觉识别能力： </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1）、视觉识别包括人脸检测、人脸跟踪、人脸识别、年龄与性别识别、物体识别等功能。</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2）、人脸检测，能够检测并且定位到影像（图片或者视频）中的人脸。</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3）、人脸跟踪，精确定位并追踪面部区域位置，随着人物脸部位置的变化能够快速定位人脸位置，并且适用于不同表情、性别、年龄、姿态、光照等条件。</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4）、人脸比对（1:1）：支持分析两张脸的相似度，用于用户认证及身份验证。</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5）、人脸检索（1：N）：针对一张输入的人脸，在已建立的人脸数据库中检索相似的人脸。</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6)、性别与年龄识别，可以从图片或者视频流中精确快速获取到人物的性别与大致年龄。</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3、典型应用控制能力：</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1）、表情能力：展示类人喜怒哀乐的表情，表情切换等功能；</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2）、通过超声波识别物体的出现及</w:t>
            </w:r>
            <w:r>
              <w:rPr>
                <w:rFonts w:hint="eastAsia" w:asciiTheme="minorEastAsia" w:hAnsiTheme="minorEastAsia" w:eastAsiaTheme="minorEastAsia" w:cstheme="minorEastAsia"/>
                <w:sz w:val="21"/>
                <w:szCs w:val="21"/>
                <w:lang w:val="en-US" w:eastAsia="zh-CN"/>
              </w:rPr>
              <w:t>距离，同时会有语音和图像提示；</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3）、实现外设调用能力，包括热敏打印、二代身份证识别、二维码扫码、LED灯等外设控制功能。</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4、具备二次开发能力：可提供接口封装API,供用户具备自行开发相关功能。</w:t>
            </w:r>
          </w:p>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本项目共计配置1套此设备，投标现场演示以上要求内容。</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气泵</w:t>
            </w:r>
          </w:p>
        </w:tc>
        <w:tc>
          <w:tcPr>
            <w:tcW w:w="0" w:type="auto"/>
            <w:noWrap w:val="0"/>
            <w:vAlign w:val="center"/>
          </w:tcPr>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静音无油空压机</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供电电压/频率：220V/50HZ</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功率：560～600W；</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储气罐：30L</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最高压力：0.8MPa</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出口压力：0～0.6MPa可调</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eastAsia="zh-CN"/>
              </w:rPr>
              <w:t>噪音：≤55dB</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教学课程资源</w:t>
            </w:r>
          </w:p>
        </w:tc>
        <w:tc>
          <w:tcPr>
            <w:tcW w:w="0" w:type="auto"/>
            <w:noWrap w:val="0"/>
            <w:vAlign w:val="center"/>
          </w:tcPr>
          <w:p>
            <w:pPr>
              <w:spacing w:line="240" w:lineRule="auto"/>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rPr>
              <w:t>★</w:t>
            </w:r>
            <w:r>
              <w:rPr>
                <w:rFonts w:hint="eastAsia" w:asciiTheme="minorEastAsia" w:hAnsiTheme="minorEastAsia" w:eastAsiaTheme="minorEastAsia" w:cstheme="minorEastAsia"/>
                <w:sz w:val="21"/>
                <w:szCs w:val="21"/>
                <w:lang w:eastAsia="zh-CN"/>
              </w:rPr>
              <w:t>在线学习平台：</w:t>
            </w:r>
          </w:p>
          <w:p>
            <w:pPr>
              <w:spacing w:line="24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学习服务平台课程有录播跟直播课程两种形式，含“教、学、做、管、考”等功能模块，其中录播课程含制造业专业课程100多门，4000 多个课时，内容涉及维修电工、电工电子、电机拖动、PLC（三菱〡西门子〡欧姆龙）、变频器〡步进〡伺服、HMI、组态软件、单片机、数控机床、工业机器人、机器视觉、液压〡气动及各PLC（三菱〡西门子〡欧姆龙）品牌在各大行业的常用案例；主要课程有完整的学习计划，课程大纲、疑难点解析、考核题库等；直播课程分为三类：技术类课程、职业规划毕业面试技巧等软性课程、行业动态分享等，且直播课程有详细的课表计划，至少可以看到一周内的课程安排。</w:t>
            </w:r>
          </w:p>
          <w:p>
            <w:pPr>
              <w:spacing w:line="24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院校老师可以通过PC端或手机APP（Android、IOS均可）观看视频，辅助教学，安排学生课前预习；</w:t>
            </w:r>
          </w:p>
          <w:p>
            <w:pPr>
              <w:spacing w:line="24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院校老师、学生均可以通过PC端或手机APP（Android、IOS均可）自主学习、自选学习、随时学习、反复学习；</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系统登录应分为三大登陆管理应用模块；其中院校管理员、老师为管理后台，学生为前台学习入口。</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其中管理后台模块功能如下：</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（1）院系管理: 可以按院系名称和编号添加或删减。</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（2）老师管理：可以按老师姓名及详细资料添加或删减，由院系（管理员）授权老师管理相应班级；</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（3）班级管理：含添加或删减学习班级功能，可以看到所有参与学习的班级、班级总人数、所在院系及年级</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（4）课程分配：含添加或删减课程功能；可以看到学生学习的所有课程名称、课程类别及课时总数量；可以选中课程授权分配给老师。</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（5）考试管理：可以看到考试的科目与名称、题目数量、数据中心模块，可以新增、批量导入考试题库。</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（6）数据中心：可以看到所有老师人数、班级人数及学生的学习总人数；以及通过学习课程与考试科目用图形或列表方式表现出各个班级综合学习情况及考试情况，一目了然。</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（7）学生管理：含添加、删减和指导入学生功能，可以看到授权管理班级所有学生的详细情况。</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（8）微课发布：后台管理员可以发布、添加新的课程，可以授权所在班级观看。</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学生学习前台模快功能如下：</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（1）岗位分析：学生登陆后可以看到社会企业招聘的热门岗位、所需技能要求、工作待遇、晋升空间、工作环境，以及根据岗位所需技能要求推荐相关学习课程。</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（2）课程中心：学生登陆后可以看到管理后台老师分配学习的所有课程名称、课时数、课程类别。</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（3）学习记录：学生登陆后可以看到所有授权课程的学习时长，通过柱状形式展示出来，一目了然。</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（4）考试评估：可以看到考试科目，考生可以在规定的时候内练习或参与正式考试，在线（5）在线课堂：每周一至周五晚上通过在线上课链接可以参与晚上自己感兴趣的在线课程</w:t>
            </w:r>
          </w:p>
          <w:p>
            <w:pPr>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论坛：论坛里分很多模块，论坛中含有各种辅助学习的资料下载（如编程软件、学习计划、故障代码查询小工具、软文及常见问题等）学生学习中碰到问题可进入自己感兴趣的论坛，与全国各地的技术人员及老师相互交流学习。提供厂家针对本项目的技术参数确认函（加盖生产厂家公章）以及配套教学资源课程。</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vMerge w:val="restart"/>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装配工作台</w:t>
            </w:r>
          </w:p>
        </w:tc>
        <w:tc>
          <w:tcPr>
            <w:tcW w:w="0" w:type="auto"/>
            <w:noWrap w:val="0"/>
            <w:vAlign w:val="center"/>
          </w:tcPr>
          <w:p>
            <w:pPr>
              <w:pStyle w:val="93"/>
              <w:autoSpaceDE w:val="0"/>
              <w:autoSpaceDN w:val="0"/>
              <w:adjustRightInd w:val="0"/>
              <w:snapToGrid w:val="0"/>
              <w:spacing w:line="240" w:lineRule="auto"/>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尺寸不小于：1500mm*750mm*750mm,由台身和台面两大部分组成。台身用优质Q235冷轧钢板折弯焊接，喷塑后组装连接，台面用高密度中纤板，表面贴压防火板，耐腐蚀、防静电。</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产品配件包</w:t>
            </w:r>
          </w:p>
        </w:tc>
        <w:tc>
          <w:tcPr>
            <w:tcW w:w="0" w:type="auto"/>
            <w:noWrap w:val="0"/>
            <w:vAlign w:val="center"/>
          </w:tcPr>
          <w:p>
            <w:pPr>
              <w:spacing w:line="24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包含了PLC编程线、机器人USB下载线、触摸屏USB下载线、485通讯线、空气压缩机、排插座、物料块、黑色/白色盖板、黑色/白色物料块、黑色/白色标签、发货光盘、设备使用说明书、安装螺丝螺母等。</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电脑桌</w:t>
            </w:r>
          </w:p>
        </w:tc>
        <w:tc>
          <w:tcPr>
            <w:tcW w:w="0" w:type="auto"/>
            <w:noWrap w:val="0"/>
            <w:vAlign w:val="center"/>
          </w:tcPr>
          <w:p>
            <w:pPr>
              <w:pStyle w:val="93"/>
              <w:autoSpaceDE w:val="0"/>
              <w:autoSpaceDN w:val="0"/>
              <w:adjustRightInd w:val="0"/>
              <w:snapToGrid w:val="0"/>
              <w:spacing w:line="240" w:lineRule="auto"/>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1）、尺寸不小于600*500*800mm，配套使用电脑的控制设备，也可独立使用，满足23寸及以下显示器放置；</w:t>
            </w:r>
          </w:p>
          <w:p>
            <w:pPr>
              <w:pStyle w:val="93"/>
              <w:autoSpaceDE w:val="0"/>
              <w:autoSpaceDN w:val="0"/>
              <w:adjustRightInd w:val="0"/>
              <w:snapToGrid w:val="0"/>
              <w:spacing w:line="240" w:lineRule="auto"/>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2）、后挡板主要用于保护显示器意外摔落；主机挡板主要用于保护主机意外摔落，同时将电源插座固定在主机后挡板上，安全整齐，起到有效保护作用；</w:t>
            </w:r>
          </w:p>
          <w:p>
            <w:pPr>
              <w:spacing w:line="240" w:lineRule="auto"/>
              <w:ind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3）、四只带刹车万向轮，灵活移动且随意固定位置；桌面采用25mm E1级环保颗粒板，具有防火、防水、防污特性，整体配色新颖，工业铝型材安全可靠；配有键盘抽屉，使用方便。</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0" w:type="auto"/>
            <w:vMerge w:val="continue"/>
            <w:noWrap w:val="0"/>
            <w:vAlign w:val="center"/>
          </w:tcPr>
          <w:p>
            <w:pPr>
              <w:spacing w:line="240" w:lineRule="auto"/>
              <w:jc w:val="center"/>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p>
        </w:tc>
        <w:tc>
          <w:tcPr>
            <w:tcW w:w="0" w:type="auto"/>
            <w:noWrap w:val="0"/>
            <w:vAlign w:val="center"/>
          </w:tcPr>
          <w:p>
            <w:pPr>
              <w:spacing w:line="240" w:lineRule="auto"/>
              <w:jc w:val="center"/>
              <w:textAlignment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配套</w:t>
            </w:r>
            <w:r>
              <w:rPr>
                <w:rFonts w:hint="eastAsia" w:asciiTheme="minorEastAsia" w:hAnsiTheme="minorEastAsia" w:eastAsiaTheme="minorEastAsia" w:cstheme="minorEastAsia"/>
                <w:bCs/>
                <w:sz w:val="21"/>
                <w:szCs w:val="21"/>
                <w:lang w:eastAsia="zh-CN"/>
              </w:rPr>
              <w:t>工具</w:t>
            </w:r>
          </w:p>
        </w:tc>
        <w:tc>
          <w:tcPr>
            <w:tcW w:w="0" w:type="auto"/>
            <w:noWrap w:val="0"/>
            <w:vAlign w:val="center"/>
          </w:tcPr>
          <w:tbl>
            <w:tblPr>
              <w:tblStyle w:val="27"/>
              <w:tblpPr w:leftFromText="180" w:rightFromText="180" w:vertAnchor="text" w:horzAnchor="page" w:tblpXSpec="center" w:tblpY="15"/>
              <w:tblOverlap w:val="never"/>
              <w:tblW w:w="3758" w:type="dxa"/>
              <w:tblInd w:w="0" w:type="dxa"/>
              <w:tblLayout w:type="autofit"/>
              <w:tblCellMar>
                <w:top w:w="15" w:type="dxa"/>
                <w:left w:w="15" w:type="dxa"/>
                <w:bottom w:w="15" w:type="dxa"/>
                <w:right w:w="15" w:type="dxa"/>
              </w:tblCellMar>
            </w:tblPr>
            <w:tblGrid>
              <w:gridCol w:w="2949"/>
              <w:gridCol w:w="809"/>
            </w:tblGrid>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物料名称</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安装锤（胶锤）</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钢直尺</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钢直尺</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带表游标卡尺</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9件加长球头内六角</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螺丝刀套装</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斜口钳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老虎钳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尖嘴钳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欧式端子压线钳</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活动扳手</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4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不锈钢剪刀</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5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精品镜面两用扳手套装</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CellMar>
                  <w:top w:w="15" w:type="dxa"/>
                  <w:left w:w="15" w:type="dxa"/>
                  <w:bottom w:w="15" w:type="dxa"/>
                  <w:right w:w="15" w:type="dxa"/>
                </w:tblCellMar>
              </w:tblPrEx>
              <w:trPr>
                <w:trHeight w:val="455" w:hRule="atLeast"/>
              </w:trPr>
              <w:tc>
                <w:tcPr>
                  <w:tcW w:w="294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工具箱</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240" w:lineRule="auto"/>
                    <w:ind w:firstLine="42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bl>
          <w:p>
            <w:pPr>
              <w:spacing w:line="240" w:lineRule="auto"/>
              <w:ind w:firstLine="210" w:firstLineChars="100"/>
              <w:rPr>
                <w:rFonts w:hint="eastAsia" w:asciiTheme="minorEastAsia" w:hAnsiTheme="minorEastAsia" w:eastAsiaTheme="minorEastAsia" w:cstheme="minorEastAsia"/>
                <w:sz w:val="21"/>
                <w:szCs w:val="21"/>
              </w:rPr>
            </w:pP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w:t>
            </w:r>
          </w:p>
        </w:tc>
        <w:tc>
          <w:tcPr>
            <w:tcW w:w="0" w:type="auto"/>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套</w:t>
            </w:r>
          </w:p>
        </w:tc>
      </w:tr>
    </w:tbl>
    <w:p>
      <w:pPr>
        <w:rPr>
          <w:rFonts w:hint="eastAsia"/>
          <w:lang w:eastAsia="zh-CN"/>
        </w:rPr>
      </w:pPr>
    </w:p>
    <w:p>
      <w:pPr>
        <w:rPr>
          <w:rFonts w:hint="eastAsia"/>
          <w:lang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br w:type="textWrapping"/>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FF0000"/>
          <w:szCs w:val="21"/>
          <w:lang w:val="en-US" w:eastAsia="zh-CN"/>
        </w:rPr>
      </w:pPr>
      <w:r>
        <w:rPr>
          <w:rFonts w:hint="eastAsia" w:asciiTheme="minorEastAsia" w:hAnsiTheme="minorEastAsia" w:eastAsiaTheme="minorEastAsia" w:cstheme="minorEastAsia"/>
          <w:b w:val="0"/>
          <w:bCs w:val="0"/>
          <w:color w:val="FF0000"/>
          <w:szCs w:val="21"/>
          <w:lang w:val="en-US" w:eastAsia="zh-CN"/>
        </w:rPr>
        <w:t>注：以上清单需求表中如出现涉及固定规格型号、尺寸及重量的均为参考，允许略有误差，但供应商报价的产品必须符合采购人使用功能及质量要求，并提供相应技术参数证明其符合采购需求或优于采购需求，否则视其为不满足采购需求。如涉及固定厂家品牌也均为参考或推荐，并要求其唯一性，供应商可提供同等质量标准或更高标准产品，并提供相应技术参数证明其符合采购需求或优于采购需求，否则视其为不满足采购需求。</w:t>
      </w:r>
    </w:p>
    <w:p>
      <w:pPr>
        <w:autoSpaceDE w:val="0"/>
        <w:autoSpaceDN w:val="0"/>
        <w:adjustRightInd w:val="0"/>
        <w:spacing w:line="360" w:lineRule="auto"/>
        <w:outlineLvl w:val="9"/>
        <w:rPr>
          <w:rFonts w:hint="eastAsia"/>
          <w:lang w:val="en-US" w:eastAsia="zh-CN"/>
        </w:rPr>
      </w:pPr>
      <w:r>
        <w:rPr>
          <w:rFonts w:ascii="宋体" w:hAnsi="宋体" w:eastAsia="宋体" w:cs="宋体"/>
          <w:sz w:val="24"/>
          <w:szCs w:val="24"/>
        </w:rPr>
        <w:t xml:space="preserve"> </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br w:type="textWrapping"/>
      </w:r>
    </w:p>
    <w:p>
      <w:pPr>
        <w:rPr>
          <w:rFonts w:hint="eastAsia" w:asciiTheme="minorEastAsia" w:hAnsiTheme="minorEastAsia" w:eastAsiaTheme="minorEastAsia" w:cstheme="minorEastAsia"/>
          <w:b/>
          <w:bCs/>
          <w:color w:val="auto"/>
          <w:sz w:val="24"/>
          <w:szCs w:val="24"/>
          <w:lang w:val="en-US" w:eastAsia="zh-CN"/>
        </w:rPr>
      </w:pPr>
      <w:bookmarkStart w:id="105" w:name="_Toc15828"/>
      <w:r>
        <w:rPr>
          <w:rFonts w:hint="eastAsia" w:asciiTheme="minorEastAsia" w:hAnsiTheme="minorEastAsia" w:eastAsiaTheme="minorEastAsia" w:cstheme="minorEastAsia"/>
          <w:b/>
          <w:bCs/>
          <w:color w:val="auto"/>
          <w:sz w:val="24"/>
          <w:szCs w:val="24"/>
          <w:lang w:val="en-US" w:eastAsia="zh-CN"/>
        </w:rPr>
        <w:br w:type="page"/>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二、商务需求</w:t>
      </w:r>
      <w:bookmarkEnd w:id="105"/>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成交供应商违约承担违约责任。所有成交产品均需按照磋商文件指标要求进行检查核对后方可进行报验，不满足磋商文件指标要求的产品，采购人有权不对其进行验收；同时采购人有权对成交供应商不满足要求的产品进行双倍罚款或取消合同。</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1.2若非采购人原因，成交供应商逾期交付安装的，成交供应商向采购人支付逾期交付安装违约金，逾期交付安装违约金为每天1000.00元人民币，但其最终累计金额不超过合同价款的10%。</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1.3因成交供应商原因产品质量达不到约定的质量标准，成交供应商应负责退换，使其达到合同约定的质量标准，并由成交供应商向采购人支付合同价款10%的违约金。</w:t>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2、产品质量要求：</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 xml:space="preserve">2.1.项目的产品和安装必须完全满足中华人民共和国国家质量标准及现行规范要求， 供应商应根据企业实际能力在响应文件中对项目质量予以承诺，中标后在合同中加以确认。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 xml:space="preserve">2.2.所有设备和配件均要求是经过实际运行验证、性能稳定的全新产品。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 xml:space="preserve">2.3.供应商在成交后，发生侵犯专利权的行为时，其侵权责任与采购人无关， 应由供应商承担相应的责任，并不得影响采购人的利益。 </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3、产品进场安装、</w:t>
      </w:r>
      <w:r>
        <w:rPr>
          <w:rFonts w:hint="eastAsia" w:asciiTheme="minorEastAsia" w:hAnsiTheme="minorEastAsia" w:eastAsiaTheme="minorEastAsia" w:cstheme="minorEastAsia"/>
          <w:b w:val="0"/>
          <w:bCs w:val="0"/>
          <w:color w:val="auto"/>
          <w:szCs w:val="21"/>
        </w:rPr>
        <w:t>调试及验收</w:t>
      </w:r>
      <w:r>
        <w:rPr>
          <w:rFonts w:hint="eastAsia" w:asciiTheme="minorEastAsia" w:hAnsiTheme="minorEastAsia" w:eastAsiaTheme="minorEastAsia" w:cstheme="minorEastAsia"/>
          <w:b w:val="0"/>
          <w:bCs w:val="0"/>
          <w:color w:val="auto"/>
          <w:szCs w:val="21"/>
          <w:lang w:eastAsia="zh-CN"/>
        </w:rPr>
        <w:t>：</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3.1、成交供应商须提供全新的设备，所有设备均须由成交供应商送货到指定地点并安装调试，采购人不再支付任何费用。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3.2、成交供应商所提供设备到达目的地后，采购人按成交供应商提供的设备清单及检验产品合格证、使用说明书和其他的技术资料负责开箱检验、检查设备及随机附件是否完整无损，技术资料是否与采购人的要求相符，如有损坏、缺件等情况，成交供应商应在 5 日内更换新产品，相应的费用及责任由成交供应商自行负担。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3.3、成交供应商应提供设备所带专用工具清单，并标明其种类、用途和生产厂，并在货物到货时同时提供给采购人。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3.4、成交供应商须免费提供调试专用工具，直到项目质保期满。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3.5、成交供应商必须提供产品安装的详细实施建议方案和产品安装实施过程的工作内容、工作日程表、工作方法，并征得采购人认可后严格按照日程表执行。日程表内容至少应包括到货日期、现场安装、验收等。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3.6、成交供应商应允许采购人的工作人员参与项目的安装、测试、等各项工作。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3.7、安装过程中，成交供应商供给采购人的产品及自己使用的工具，进入采购人使用现场后的保管由成交供应商负责；成交供应商在采购人使用现场安装人员的安全、保险、 食宿、交通由成交供应商负责。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3.8、成交供应商在验收前必须递交书面的验收方案，并报采购人认可后以其为依据，方可开始验收工作。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3.9、采购人确认下列条款后进行验收签字：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val="en-US" w:eastAsia="zh-CN"/>
        </w:rPr>
        <w:t xml:space="preserve">（1）响应文件中提供的产品技术数据经核验证实是真实的； </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 所要求的资料、备件等已按规定数量移交完毕。</w:t>
      </w:r>
      <w:r>
        <w:rPr>
          <w:rFonts w:hint="eastAsia" w:asciiTheme="minorEastAsia" w:hAnsiTheme="minorEastAsia" w:eastAsiaTheme="minorEastAsia" w:cstheme="minorEastAsia"/>
          <w:b w:val="0"/>
          <w:bCs w:val="0"/>
          <w:color w:val="auto"/>
          <w:szCs w:val="21"/>
          <w:lang w:eastAsia="zh-CN"/>
        </w:rPr>
        <w:br w:type="textWrapping"/>
      </w:r>
      <w:r>
        <w:rPr>
          <w:rFonts w:hint="eastAsia" w:asciiTheme="minorEastAsia" w:hAnsiTheme="minorEastAsia" w:eastAsiaTheme="minorEastAsia" w:cstheme="minorEastAsia"/>
          <w:b w:val="0"/>
          <w:bCs w:val="0"/>
          <w:color w:val="auto"/>
          <w:szCs w:val="21"/>
          <w:lang w:val="en-US" w:eastAsia="zh-CN"/>
        </w:rPr>
        <w:t>4、售后服务要求：设备供应商在国内有维修中心，有专职维修工程师和备品备件库。在用户提出维修要求后，制造商（或代理商）应在4工作小时内对用户的服务要求做出响应；需要在现场解决问题的，应在48小时内到达用户现场维修，一般故障应在48小时内修复，重大故障或其他无法迅速解决的问题需在一周内解决或提出明确解决方案。</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5、培训要求：</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5.1、设备安装结束后，必须安排设备厂家开展不低于7天的技术培训。后续每年至少安排5天培训，持续三年。</w:t>
      </w:r>
    </w:p>
    <w:p>
      <w:pPr>
        <w:autoSpaceDE w:val="0"/>
        <w:autoSpaceDN w:val="0"/>
        <w:adjustRightInd w:val="0"/>
        <w:spacing w:line="360" w:lineRule="auto"/>
        <w:ind w:firstLine="420" w:firstLineChars="200"/>
        <w:outlineLvl w:val="9"/>
        <w:rPr>
          <w:rFonts w:hint="default"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5.2、随同设备需提供相应实训指导书纸质档不少于6套，同时提供电子文档。</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6、交货地点：长江工程职业技术学院陆水楼215（湖北省武汉市江夏区文化路9号）</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7、履约保证金：5%；签订合同前5个工作日递交，以支票、汇票、本票或者金融机构、担保机构出具的保函等非现金形式提交。合同签订后，履约保证金转为质保金，一年后无息退还，按采购人财务处相关规定办理；</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8、付款方式：合同签订验收合格后，采购人向供应商一次性支付合同价100%。</w:t>
      </w:r>
      <w:r>
        <w:rPr>
          <w:rFonts w:hint="eastAsia" w:asciiTheme="minorEastAsia" w:hAnsiTheme="minorEastAsia" w:eastAsiaTheme="minorEastAsia" w:cstheme="minorEastAsia"/>
          <w:b w:val="0"/>
          <w:bCs w:val="0"/>
          <w:color w:val="auto"/>
          <w:szCs w:val="21"/>
          <w:lang w:val="en-US" w:eastAsia="zh-CN"/>
        </w:rPr>
        <w:br w:type="textWrapping"/>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bCs/>
          <w:color w:val="FF0000"/>
          <w:szCs w:val="21"/>
          <w:lang w:val="en-US" w:eastAsia="zh-CN"/>
        </w:rPr>
        <w:br w:type="textWrapping"/>
      </w:r>
    </w:p>
    <w:p>
      <w:pPr>
        <w:pStyle w:val="3"/>
        <w:numPr>
          <w:ilvl w:val="0"/>
          <w:numId w:val="4"/>
        </w:numPr>
        <w:jc w:val="center"/>
        <w:rPr>
          <w:rFonts w:hint="eastAsia" w:asciiTheme="minorEastAsia" w:hAnsiTheme="minorEastAsia" w:eastAsiaTheme="minorEastAsia" w:cstheme="minorEastAsia"/>
          <w:szCs w:val="21"/>
        </w:rPr>
      </w:pPr>
      <w:bookmarkStart w:id="106" w:name="_Toc1933"/>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06"/>
    </w:p>
    <w:p>
      <w:pPr>
        <w:spacing w:line="360" w:lineRule="auto"/>
        <w:outlineLvl w:val="1"/>
        <w:rPr>
          <w:rFonts w:hint="eastAsia" w:asciiTheme="minorEastAsia" w:hAnsiTheme="minorEastAsia" w:eastAsiaTheme="minorEastAsia" w:cstheme="minorEastAsia"/>
          <w:b/>
          <w:szCs w:val="21"/>
        </w:rPr>
      </w:pPr>
      <w:bookmarkStart w:id="107" w:name="_Toc10483"/>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07"/>
    </w:p>
    <w:tbl>
      <w:tblPr>
        <w:tblStyle w:val="2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lang w:val="zh-CN"/>
              </w:rPr>
            </w:pPr>
            <w:r>
              <w:rPr>
                <w:rFonts w:hint="eastAsia"/>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lang w:val="zh-CN"/>
              </w:rPr>
            </w:pPr>
            <w:r>
              <w:rPr>
                <w:rFonts w:hint="eastAsia" w:ascii="Times New Roman" w:hAnsi="Times New Roman" w:cs="Times New Roman"/>
                <w:lang w:val="zh-CN"/>
              </w:rPr>
              <w:t>2、参与本项目采购活动前，已为本项目提供过整体设计、规范编制或者项目管理、监理、检测等服务的供应商。</w:t>
            </w:r>
          </w:p>
          <w:p>
            <w:pPr>
              <w:widowControl/>
              <w:spacing w:line="280" w:lineRule="exact"/>
              <w:jc w:val="left"/>
              <w:rPr>
                <w:rFonts w:hint="eastAsia"/>
                <w:lang w:val="zh-CN"/>
              </w:rPr>
            </w:pPr>
            <w:r>
              <w:rPr>
                <w:rFonts w:hint="eastAsia" w:ascii="Times New Roman" w:hAnsi="Times New Roman" w:cs="Times New Roman"/>
                <w:b w:val="0"/>
                <w:bCs w:val="0"/>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kern w:val="0"/>
                <w:szCs w:val="21"/>
              </w:rPr>
              <w:t>磋商保证金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经营范围</w:t>
            </w:r>
          </w:p>
        </w:tc>
        <w:tc>
          <w:tcPr>
            <w:tcW w:w="4730" w:type="dxa"/>
            <w:vAlign w:val="center"/>
          </w:tcPr>
          <w:p>
            <w:pPr>
              <w:widowControl/>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是否</w:t>
            </w:r>
            <w:r>
              <w:rPr>
                <w:rFonts w:hint="eastAsia" w:asciiTheme="minorEastAsia" w:hAnsiTheme="minorEastAsia" w:eastAsiaTheme="minorEastAsia" w:cstheme="minorEastAsia"/>
                <w:kern w:val="0"/>
                <w:szCs w:val="21"/>
                <w:lang w:val="en-US" w:eastAsia="zh-CN"/>
              </w:rPr>
              <w:t>未</w:t>
            </w:r>
            <w:r>
              <w:rPr>
                <w:rFonts w:hint="eastAsia" w:asciiTheme="minorEastAsia" w:hAnsiTheme="minorEastAsia" w:eastAsiaTheme="minorEastAsia" w:cstheme="minorEastAsia"/>
                <w:kern w:val="0"/>
                <w:szCs w:val="21"/>
              </w:rPr>
              <w:t>超出经营范围</w:t>
            </w:r>
            <w:r>
              <w:rPr>
                <w:rFonts w:hint="eastAsia" w:asciiTheme="minorEastAsia" w:hAnsiTheme="minorEastAsia" w:eastAsiaTheme="minorEastAsia" w:cstheme="minorEastAsia"/>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0"/>
                <w:szCs w:val="21"/>
              </w:rPr>
              <w:t>磋商书签字盖章</w:t>
            </w:r>
          </w:p>
        </w:tc>
        <w:tc>
          <w:tcPr>
            <w:tcW w:w="4730" w:type="dxa"/>
            <w:vAlign w:val="center"/>
          </w:tcPr>
          <w:p>
            <w:pPr>
              <w:widowControl/>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磋商有效期</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磋商</w:t>
            </w:r>
            <w:r>
              <w:rPr>
                <w:rFonts w:hint="eastAsia" w:asciiTheme="minorEastAsia" w:hAnsiTheme="minorEastAsia" w:eastAsiaTheme="minorEastAsia" w:cstheme="minorEastAsia"/>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信誉情况</w:t>
            </w:r>
          </w:p>
        </w:tc>
        <w:tc>
          <w:tcPr>
            <w:tcW w:w="4730" w:type="dxa"/>
            <w:vAlign w:val="center"/>
          </w:tcPr>
          <w:p>
            <w:pPr>
              <w:widowControl/>
              <w:rPr>
                <w:rFonts w:hint="eastAsia" w:asciiTheme="minorEastAsia" w:hAnsiTheme="minorEastAsia" w:eastAsiaTheme="minorEastAsia" w:cstheme="minorEastAsia"/>
                <w:kern w:val="0"/>
                <w:szCs w:val="21"/>
                <w:lang w:val="en-US" w:eastAsia="zh-CN"/>
              </w:rPr>
            </w:pPr>
            <w:r>
              <w:rPr>
                <w:rFonts w:hint="eastAsia" w:ascii="宋体" w:hAnsi="宋体" w:cs="宋体"/>
                <w:kern w:val="0"/>
                <w:szCs w:val="21"/>
              </w:rPr>
              <w:t>参加本</w:t>
            </w:r>
            <w:r>
              <w:rPr>
                <w:rFonts w:hint="eastAsia" w:ascii="宋体" w:hAnsi="宋体" w:cs="宋体"/>
                <w:kern w:val="0"/>
                <w:szCs w:val="21"/>
                <w:shd w:val="clear" w:color="auto" w:fill="FFFFFF"/>
              </w:rPr>
              <w:t>次政府采购活动前三年内，是否有不良经济纠纷记录和违法行为</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供应商提供声明或承诺书，格式自拟</w:t>
            </w:r>
            <w:r>
              <w:rPr>
                <w:rFonts w:hint="eastAsia" w:ascii="宋体" w:hAnsi="宋体" w:cs="宋体"/>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采购需求响应</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技术参数及商务需求</w:t>
            </w:r>
            <w:r>
              <w:rPr>
                <w:rFonts w:hint="eastAsia" w:asciiTheme="minorEastAsia" w:hAnsiTheme="minorEastAsia" w:eastAsiaTheme="minorEastAsia" w:cstheme="minorEastAsia"/>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hint="eastAsia" w:ascii="宋体" w:hAnsi="宋体" w:eastAsia="宋体"/>
                <w:szCs w:val="21"/>
                <w:lang w:eastAsia="zh-CN"/>
              </w:rPr>
            </w:pPr>
            <w:r>
              <w:rPr>
                <w:rFonts w:hint="eastAsia" w:ascii="宋体" w:hAnsi="宋体"/>
                <w:szCs w:val="21"/>
              </w:rPr>
              <w:t>其他要求</w:t>
            </w: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p>
        </w:tc>
        <w:tc>
          <w:tcPr>
            <w:tcW w:w="4730" w:type="dxa"/>
            <w:vAlign w:val="center"/>
          </w:tcPr>
          <w:p>
            <w:pPr>
              <w:autoSpaceDE w:val="0"/>
              <w:autoSpaceDN w:val="0"/>
              <w:adjustRightInd w:val="0"/>
              <w:snapToGrid w:val="0"/>
              <w:rPr>
                <w:rFonts w:hint="eastAsia" w:ascii="宋体" w:hAnsi="宋体"/>
                <w:szCs w:val="21"/>
              </w:rPr>
            </w:pPr>
            <w:r>
              <w:rPr>
                <w:rFonts w:hint="eastAsia" w:ascii="宋体" w:hAnsi="宋体"/>
                <w:szCs w:val="21"/>
              </w:rPr>
              <w:t>供应商未有下列任一情形：</w:t>
            </w:r>
          </w:p>
          <w:p>
            <w:pPr>
              <w:autoSpaceDE w:val="0"/>
              <w:autoSpaceDN w:val="0"/>
              <w:adjustRightInd w:val="0"/>
              <w:snapToGrid w:val="0"/>
              <w:rPr>
                <w:rFonts w:hint="eastAsia" w:ascii="宋体" w:hAnsi="宋体"/>
                <w:szCs w:val="21"/>
              </w:rPr>
            </w:pPr>
            <w:r>
              <w:rPr>
                <w:rFonts w:hint="eastAsia" w:ascii="宋体" w:hAnsi="宋体"/>
                <w:szCs w:val="21"/>
              </w:rPr>
              <w:t>（1）不同供应商的响应文件由同一单位或者个人编制；</w:t>
            </w:r>
          </w:p>
          <w:p>
            <w:pPr>
              <w:autoSpaceDE w:val="0"/>
              <w:autoSpaceDN w:val="0"/>
              <w:adjustRightInd w:val="0"/>
              <w:snapToGrid w:val="0"/>
              <w:rPr>
                <w:rFonts w:hint="eastAsia" w:ascii="宋体" w:hAnsi="宋体"/>
                <w:szCs w:val="21"/>
              </w:rPr>
            </w:pPr>
            <w:r>
              <w:rPr>
                <w:rFonts w:hint="eastAsia" w:ascii="宋体" w:hAnsi="宋体"/>
                <w:szCs w:val="21"/>
              </w:rPr>
              <w:t>（2）不同供应商委托同一单位或者个人办理投标事宜；</w:t>
            </w:r>
          </w:p>
          <w:p>
            <w:pPr>
              <w:autoSpaceDE w:val="0"/>
              <w:autoSpaceDN w:val="0"/>
              <w:adjustRightInd w:val="0"/>
              <w:snapToGrid w:val="0"/>
              <w:rPr>
                <w:rFonts w:hint="eastAsia" w:ascii="宋体" w:hAnsi="宋体"/>
                <w:szCs w:val="21"/>
              </w:rPr>
            </w:pPr>
            <w:r>
              <w:rPr>
                <w:rFonts w:hint="eastAsia" w:ascii="宋体" w:hAnsi="宋体"/>
                <w:szCs w:val="21"/>
              </w:rPr>
              <w:t>（3）不同供应商的响应文件载明的项目管理成员或者联系人员为同一人；</w:t>
            </w:r>
          </w:p>
          <w:p>
            <w:pPr>
              <w:autoSpaceDE w:val="0"/>
              <w:autoSpaceDN w:val="0"/>
              <w:adjustRightInd w:val="0"/>
              <w:snapToGrid w:val="0"/>
              <w:rPr>
                <w:rFonts w:hint="eastAsia" w:ascii="宋体" w:hAnsi="宋体"/>
                <w:szCs w:val="21"/>
              </w:rPr>
            </w:pPr>
            <w:r>
              <w:rPr>
                <w:rFonts w:hint="eastAsia" w:ascii="宋体" w:hAnsi="宋体"/>
                <w:szCs w:val="21"/>
              </w:rPr>
              <w:t>（4）不同供应商的响应文件异常一致或者投标报价呈规律性差异；</w:t>
            </w:r>
          </w:p>
          <w:p>
            <w:pPr>
              <w:autoSpaceDE w:val="0"/>
              <w:autoSpaceDN w:val="0"/>
              <w:adjustRightInd w:val="0"/>
              <w:snapToGrid w:val="0"/>
              <w:rPr>
                <w:rFonts w:hint="eastAsia" w:ascii="宋体" w:hAnsi="宋体"/>
                <w:szCs w:val="21"/>
              </w:rPr>
            </w:pPr>
            <w:r>
              <w:rPr>
                <w:rFonts w:hint="eastAsia" w:ascii="宋体" w:hAnsi="宋体"/>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其他要求</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二</w:t>
            </w:r>
            <w:r>
              <w:rPr>
                <w:rFonts w:hint="eastAsia" w:asciiTheme="minorEastAsia" w:hAnsiTheme="minorEastAsia" w:eastAsiaTheme="minorEastAsia" w:cstheme="minorEastAsia"/>
                <w:kern w:val="0"/>
                <w:szCs w:val="21"/>
                <w:lang w:eastAsia="zh-CN"/>
              </w:rPr>
              <w:t>）</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宋体" w:hAnsi="宋体" w:cs="宋体"/>
                <w:kern w:val="0"/>
                <w:sz w:val="21"/>
                <w:szCs w:val="21"/>
                <w:lang w:val="en-US" w:eastAsia="zh-CN"/>
              </w:rPr>
              <w:t>磋商</w:t>
            </w:r>
            <w:r>
              <w:rPr>
                <w:rFonts w:hint="eastAsia" w:ascii="宋体" w:hAnsi="宋体" w:cs="宋体"/>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在磋商结束后，磋商小组向所有通过</w:t>
            </w:r>
            <w:r>
              <w:rPr>
                <w:rFonts w:hint="eastAsia" w:asciiTheme="minorEastAsia" w:hAnsiTheme="minorEastAsia" w:eastAsiaTheme="minorEastAsia" w:cstheme="minorEastAsia"/>
                <w:kern w:val="0"/>
                <w:szCs w:val="21"/>
                <w:lang w:val="en-US" w:eastAsia="zh-CN"/>
              </w:rPr>
              <w:t>资格性和符合性审查</w:t>
            </w:r>
            <w:r>
              <w:rPr>
                <w:rFonts w:hint="eastAsia" w:asciiTheme="minorEastAsia" w:hAnsiTheme="minorEastAsia" w:eastAsiaTheme="minorEastAsia" w:cstheme="minorEastAsia"/>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3101"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851" w:type="dxa"/>
            <w:vAlign w:val="center"/>
          </w:tcPr>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评定</w:t>
            </w:r>
          </w:p>
          <w:p>
            <w:pPr>
              <w:widowControl/>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办法</w:t>
            </w:r>
          </w:p>
        </w:tc>
        <w:tc>
          <w:tcPr>
            <w:tcW w:w="3101"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综合评分法</w:t>
            </w:r>
          </w:p>
        </w:tc>
        <w:tc>
          <w:tcPr>
            <w:tcW w:w="473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lang w:val="en-US" w:eastAsia="zh-CN"/>
              </w:rPr>
            </w:pPr>
            <w:r>
              <w:rPr>
                <w:rFonts w:hint="eastAsia" w:asciiTheme="minorEastAsia" w:hAnsiTheme="minorEastAsia" w:eastAsiaTheme="minorEastAsia" w:cstheme="minorEastAsia"/>
                <w:bCs/>
                <w:color w:val="auto"/>
                <w:kern w:val="0"/>
                <w:szCs w:val="21"/>
                <w:lang w:val="en-US" w:eastAsia="zh-CN"/>
              </w:rPr>
              <w:t>3.</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相同品牌</w:t>
            </w:r>
          </w:p>
        </w:tc>
        <w:tc>
          <w:tcPr>
            <w:tcW w:w="3101" w:type="dxa"/>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相同品牌处理原则</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提供相同品牌产品且通过资格审查、符合性审查的不同供应商参加同一合同项下竞标的，按一家供应商计算，评审后得分最高的同品牌供应商获得成交候选供应商推荐资格；评审得分相同的，由采购人确定或者采购人委托磋商小组以投票方式确定一个供应商获得成交候选供应商推荐资格，其他同品牌供应商不作为成交候选供应商。 </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非单一产品采购项目，采购人应当根据采购项目技术构成、产品价格比重等合理确定一个核心产品，并以“核心产品”在磋商文件中标注。若核心产品不止</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个，各供应商所投任一核心产品的品牌相同，则按一家供应商计算。</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多家供应商提供的核心产品品牌相同的，按</w:t>
            </w:r>
            <w:r>
              <w:rPr>
                <w:rFonts w:hint="eastAsia" w:asciiTheme="minorEastAsia" w:hAnsiTheme="minorEastAsia" w:eastAsiaTheme="minorEastAsia" w:cstheme="minorEastAsia"/>
                <w:color w:val="auto"/>
                <w:szCs w:val="21"/>
                <w:lang w:val="en-US" w:eastAsia="zh-CN"/>
              </w:rPr>
              <w:t>上述</w:t>
            </w:r>
            <w:r>
              <w:rPr>
                <w:rFonts w:hint="eastAsia" w:asciiTheme="minorEastAsia" w:hAnsiTheme="minorEastAsia" w:eastAsiaTheme="minorEastAsia" w:cstheme="minorEastAsia"/>
                <w:color w:val="auto"/>
                <w:szCs w:val="21"/>
              </w:rPr>
              <w:t>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类型：工业 制造业……（查询划型标准）</w:t>
            </w:r>
          </w:p>
          <w:p>
            <w:pPr>
              <w:widowControl/>
              <w:rPr>
                <w:rFonts w:hint="eastAsia"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小型：营业收入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微型：营业收入</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从业人员</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资产总额</w:t>
            </w:r>
            <w:r>
              <w:rPr>
                <w:rFonts w:hint="eastAsia" w:asciiTheme="minorEastAsia" w:hAnsiTheme="minorEastAsia" w:eastAsiaTheme="minorEastAsia" w:cs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如符合工信部联企业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标需同时提供制造商及代理商双方的数据资料（制造商直接</w:t>
            </w:r>
            <w:r>
              <w:rPr>
                <w:rFonts w:hint="eastAsia" w:asciiTheme="minorEastAsia" w:hAnsiTheme="minorEastAsia" w:eastAsiaTheme="minorEastAsia" w:cstheme="minorEastAsia"/>
                <w:kern w:val="0"/>
                <w:szCs w:val="21"/>
                <w:lang w:val="en-US" w:eastAsia="zh-CN"/>
              </w:rPr>
              <w:t>竞</w:t>
            </w:r>
            <w:r>
              <w:rPr>
                <w:rFonts w:hint="eastAsia" w:asciiTheme="minorEastAsia" w:hAnsiTheme="minorEastAsia" w:eastAsiaTheme="minorEastAsia" w:cstheme="minorEastAsia"/>
                <w:kern w:val="0"/>
                <w:szCs w:val="21"/>
              </w:rPr>
              <w:t>标的仅需提供制造商数据资料），如果数据资料与声明函不一致的，由</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判定。经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符合工信部联企业</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300 号文中对中小企业划型标准的，将根据财库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2011</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181</w:t>
            </w:r>
            <w:r>
              <w:rPr>
                <w:rFonts w:hint="eastAsia" w:asciiTheme="minorEastAsia" w:hAnsiTheme="minorEastAsia" w:eastAsiaTheme="minorEastAsia" w:cstheme="minorEastAsia"/>
                <w:kern w:val="0"/>
                <w:szCs w:val="21"/>
                <w:lang w:val="en-US" w:eastAsia="zh-CN"/>
              </w:rPr>
              <w:t>号</w:t>
            </w:r>
            <w:r>
              <w:rPr>
                <w:rFonts w:hint="eastAsia" w:asciiTheme="minorEastAsia" w:hAnsiTheme="minorEastAsia" w:eastAsiaTheme="minorEastAsia" w:cstheme="minorEastAsia"/>
                <w:kern w:val="0"/>
                <w:szCs w:val="21"/>
              </w:rPr>
              <w:t>文的相关规定在评定时对小型和微型企业产品的价格给予</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按照财政部《关于政府采购支持监狱企业发展有关问题的通知》（财库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2014</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属于监狱企业的，在评定时视同中小企业</w:t>
            </w:r>
            <w:r>
              <w:rPr>
                <w:rFonts w:hint="eastAsia" w:asciiTheme="minorEastAsia" w:hAnsiTheme="minorEastAsia" w:eastAsiaTheme="minorEastAsia" w:cstheme="minorEastAsia"/>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按照《三部门联合发布关于促进残疾人就业政府采购政策的通知》（财库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2017</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kern w:val="0"/>
                <w:szCs w:val="21"/>
                <w:lang w:val="en-US" w:eastAsia="zh-CN"/>
              </w:rPr>
              <w:t>磋商小组</w:t>
            </w:r>
            <w:r>
              <w:rPr>
                <w:rFonts w:hint="eastAsia" w:asciiTheme="minorEastAsia" w:hAnsiTheme="minorEastAsia" w:eastAsiaTheme="minorEastAsia" w:cstheme="minorEastAsia"/>
                <w:kern w:val="0"/>
                <w:szCs w:val="21"/>
              </w:rPr>
              <w:t>审核确认</w:t>
            </w:r>
            <w:r>
              <w:rPr>
                <w:rFonts w:hint="eastAsia" w:asciiTheme="minorEastAsia" w:hAnsiTheme="minorEastAsia" w:eastAsiaTheme="minorEastAsia" w:cstheme="minorEastAsia"/>
                <w:kern w:val="0"/>
                <w:szCs w:val="21"/>
                <w:lang w:val="en-US" w:eastAsia="zh-CN"/>
              </w:rPr>
              <w:t>供应商</w:t>
            </w:r>
            <w:r>
              <w:rPr>
                <w:rFonts w:hint="eastAsia" w:asciiTheme="minorEastAsia" w:hAnsiTheme="minorEastAsia" w:eastAsiaTheme="minorEastAsia" w:cstheme="minorEastAsia"/>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szCs w:val="21"/>
        </w:rPr>
      </w:pPr>
      <w:bookmarkStart w:id="108" w:name="_Toc25729"/>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08"/>
    </w:p>
    <w:tbl>
      <w:tblPr>
        <w:tblStyle w:val="27"/>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szCs w:val="21"/>
        </w:rPr>
      </w:pPr>
    </w:p>
    <w:p>
      <w:pPr>
        <w:pStyle w:val="21"/>
        <w:rPr>
          <w:rFonts w:hint="eastAsia" w:asciiTheme="minorEastAsia" w:hAnsiTheme="minorEastAsia" w:eastAsiaTheme="minorEastAsia" w:cstheme="minorEastAsia"/>
        </w:rPr>
      </w:pPr>
    </w:p>
    <w:p>
      <w:pPr>
        <w:spacing w:line="360" w:lineRule="auto"/>
        <w:outlineLvl w:val="1"/>
        <w:rPr>
          <w:rFonts w:hint="eastAsia" w:asciiTheme="minorEastAsia" w:hAnsiTheme="minorEastAsia" w:eastAsiaTheme="minorEastAsia" w:cstheme="minorEastAsia"/>
          <w:b/>
          <w:szCs w:val="21"/>
        </w:rPr>
      </w:pPr>
      <w:bookmarkStart w:id="109" w:name="_Toc16455"/>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评分细则</w:t>
      </w:r>
      <w:bookmarkEnd w:id="109"/>
    </w:p>
    <w:tbl>
      <w:tblPr>
        <w:tblStyle w:val="27"/>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736" w:type="dxa"/>
            <w:tcBorders>
              <w:top w:val="single" w:color="auto" w:sz="12" w:space="0"/>
              <w:left w:val="single" w:color="auto" w:sz="12" w:space="0"/>
              <w:bottom w:val="single" w:color="auto" w:sz="6" w:space="0"/>
              <w:right w:val="single" w:color="auto" w:sz="6" w:space="0"/>
            </w:tcBorders>
            <w:vAlign w:val="center"/>
          </w:tcPr>
          <w:p>
            <w:pPr>
              <w:spacing w:line="240" w:lineRule="auto"/>
              <w:jc w:val="center"/>
              <w:rPr>
                <w:rFonts w:hint="eastAsia" w:ascii="宋体" w:hAnsi="宋体" w:eastAsia="宋体" w:cs="宋体"/>
                <w:b/>
                <w:bCs/>
                <w:color w:val="auto"/>
                <w:spacing w:val="-6"/>
                <w:sz w:val="21"/>
                <w:szCs w:val="21"/>
              </w:rPr>
            </w:pPr>
            <w:bookmarkStart w:id="110" w:name="_Toc30868"/>
            <w:r>
              <w:rPr>
                <w:rFonts w:hint="eastAsia" w:ascii="宋体" w:hAnsi="宋体" w:eastAsia="宋体" w:cs="宋体"/>
                <w:b/>
                <w:bCs/>
                <w:color w:val="auto"/>
                <w:sz w:val="21"/>
                <w:szCs w:val="21"/>
              </w:rPr>
              <w:t>类别</w:t>
            </w:r>
          </w:p>
        </w:tc>
        <w:tc>
          <w:tcPr>
            <w:tcW w:w="1376" w:type="dxa"/>
            <w:tcBorders>
              <w:top w:val="single" w:color="auto" w:sz="12"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b/>
                <w:bCs/>
                <w:color w:val="auto"/>
                <w:spacing w:val="-6"/>
                <w:sz w:val="21"/>
                <w:szCs w:val="21"/>
              </w:rPr>
            </w:pPr>
            <w:r>
              <w:rPr>
                <w:rFonts w:hint="eastAsia" w:ascii="宋体" w:hAnsi="宋体" w:eastAsia="宋体" w:cs="宋体"/>
                <w:b/>
                <w:bCs/>
                <w:color w:val="auto"/>
                <w:sz w:val="21"/>
                <w:szCs w:val="21"/>
              </w:rPr>
              <w:t>评审因素</w:t>
            </w:r>
          </w:p>
        </w:tc>
        <w:tc>
          <w:tcPr>
            <w:tcW w:w="6512" w:type="dxa"/>
            <w:tcBorders>
              <w:top w:val="single" w:color="auto" w:sz="12"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b/>
                <w:bCs/>
                <w:color w:val="auto"/>
                <w:spacing w:val="-6"/>
                <w:sz w:val="21"/>
                <w:szCs w:val="21"/>
              </w:rPr>
            </w:pPr>
            <w:r>
              <w:rPr>
                <w:rFonts w:hint="eastAsia" w:ascii="宋体" w:hAnsi="宋体" w:eastAsia="宋体" w:cs="宋体"/>
                <w:b/>
                <w:bCs/>
                <w:color w:val="auto"/>
                <w:sz w:val="21"/>
                <w:szCs w:val="21"/>
              </w:rPr>
              <w:t>评审标准</w:t>
            </w:r>
          </w:p>
        </w:tc>
        <w:tc>
          <w:tcPr>
            <w:tcW w:w="664" w:type="dxa"/>
            <w:tcBorders>
              <w:top w:val="single" w:color="auto" w:sz="12" w:space="0"/>
              <w:left w:val="single" w:color="auto" w:sz="6" w:space="0"/>
              <w:bottom w:val="single" w:color="auto" w:sz="6" w:space="0"/>
              <w:right w:val="single" w:color="auto" w:sz="12" w:space="0"/>
            </w:tcBorders>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736" w:type="dxa"/>
            <w:tcBorders>
              <w:top w:val="single" w:color="auto" w:sz="6" w:space="0"/>
              <w:left w:val="single" w:color="auto" w:sz="12" w:space="0"/>
              <w:bottom w:val="single" w:color="auto" w:sz="6" w:space="0"/>
              <w:right w:val="single" w:color="auto" w:sz="6" w:space="0"/>
            </w:tcBorders>
            <w:vAlign w:val="center"/>
          </w:tcPr>
          <w:p>
            <w:pPr>
              <w:widowControl/>
              <w:spacing w:line="240" w:lineRule="auto"/>
              <w:jc w:val="center"/>
              <w:textAlignment w:val="center"/>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lang w:bidi="ar"/>
              </w:rPr>
              <w:t>竞标报价</w:t>
            </w:r>
            <w:r>
              <w:rPr>
                <w:rFonts w:hint="eastAsia" w:ascii="宋体" w:hAnsi="宋体" w:eastAsia="宋体" w:cs="宋体"/>
                <w:color w:val="auto"/>
                <w:kern w:val="0"/>
                <w:sz w:val="21"/>
                <w:szCs w:val="21"/>
                <w:lang w:bidi="ar"/>
              </w:rPr>
              <w:br w:type="textWrapping"/>
            </w:r>
            <w:r>
              <w:rPr>
                <w:rFonts w:hint="eastAsia" w:ascii="宋体" w:hAnsi="宋体" w:eastAsia="宋体" w:cs="宋体"/>
                <w:color w:val="auto"/>
                <w:kern w:val="0"/>
                <w:sz w:val="21"/>
                <w:szCs w:val="21"/>
                <w:lang w:bidi="ar"/>
              </w:rPr>
              <w:t>30分</w:t>
            </w:r>
          </w:p>
        </w:tc>
        <w:tc>
          <w:tcPr>
            <w:tcW w:w="1376"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textAlignment w:val="center"/>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lang w:bidi="ar"/>
              </w:rPr>
              <w:t>最后报价</w:t>
            </w:r>
          </w:p>
        </w:tc>
        <w:tc>
          <w:tcPr>
            <w:tcW w:w="6512"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1、报价采用低价优先法计算，即满足磋商采购文件要求且报价最低的报价为磋商基准价，其报价分为满分30分；</w:t>
            </w:r>
          </w:p>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2、其他供应商的报价分按照下列公式计算：</w:t>
            </w:r>
          </w:p>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报价分=（磋商基准价/磋商报价）×30</w:t>
            </w:r>
          </w:p>
          <w:p>
            <w:pPr>
              <w:widowControl/>
              <w:spacing w:line="240" w:lineRule="auto"/>
              <w:jc w:val="left"/>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1、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40" w:lineRule="auto"/>
              <w:jc w:val="left"/>
              <w:textAlignment w:val="center"/>
              <w:rPr>
                <w:rFonts w:hint="eastAsia" w:ascii="宋体" w:hAnsi="宋体" w:eastAsia="宋体" w:cs="宋体"/>
                <w:color w:val="auto"/>
                <w:sz w:val="21"/>
                <w:szCs w:val="21"/>
              </w:rPr>
            </w:pPr>
            <w:r>
              <w:rPr>
                <w:rFonts w:hint="eastAsia" w:ascii="宋体" w:hAnsi="宋体" w:eastAsia="宋体" w:cs="宋体"/>
                <w:b/>
                <w:bCs/>
                <w:color w:val="auto"/>
                <w:sz w:val="21"/>
                <w:szCs w:val="21"/>
              </w:rPr>
              <w:t>2、符合本磋商文件第四章“政策支持”条件的，在评审时予以价格扣除，用扣除后的价格参与评审。</w:t>
            </w:r>
          </w:p>
        </w:tc>
        <w:tc>
          <w:tcPr>
            <w:tcW w:w="664" w:type="dxa"/>
            <w:tcBorders>
              <w:top w:val="single" w:color="auto" w:sz="6" w:space="0"/>
              <w:left w:val="single" w:color="auto" w:sz="6" w:space="0"/>
              <w:bottom w:val="single" w:color="auto" w:sz="6" w:space="0"/>
              <w:right w:val="single" w:color="auto" w:sz="12" w:space="0"/>
            </w:tcBorders>
            <w:vAlign w:val="center"/>
          </w:tcPr>
          <w:p>
            <w:pPr>
              <w:widowControl/>
              <w:spacing w:line="24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tcBorders>
              <w:top w:val="single" w:color="auto" w:sz="6" w:space="0"/>
              <w:left w:val="single" w:color="auto" w:sz="12" w:space="0"/>
              <w:bottom w:val="single" w:color="auto" w:sz="6" w:space="0"/>
              <w:right w:val="single" w:color="auto" w:sz="6" w:space="0"/>
            </w:tcBorders>
            <w:vAlign w:val="center"/>
          </w:tcPr>
          <w:p>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商务1</w:t>
            </w:r>
            <w:r>
              <w:rPr>
                <w:rFonts w:hint="eastAsia" w:ascii="宋体" w:hAnsi="宋体" w:eastAsia="宋体" w:cs="宋体"/>
                <w:color w:val="auto"/>
                <w:spacing w:val="-6"/>
                <w:sz w:val="21"/>
                <w:szCs w:val="21"/>
                <w:lang w:val="en-US" w:eastAsia="zh-CN"/>
              </w:rPr>
              <w:t>0</w:t>
            </w:r>
            <w:r>
              <w:rPr>
                <w:rFonts w:hint="eastAsia" w:ascii="宋体" w:hAnsi="宋体" w:eastAsia="宋体" w:cs="宋体"/>
                <w:color w:val="auto"/>
                <w:spacing w:val="-6"/>
                <w:sz w:val="21"/>
                <w:szCs w:val="21"/>
              </w:rPr>
              <w:t>分</w:t>
            </w:r>
          </w:p>
        </w:tc>
        <w:tc>
          <w:tcPr>
            <w:tcW w:w="1376"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财务状况</w:t>
            </w:r>
          </w:p>
        </w:tc>
        <w:tc>
          <w:tcPr>
            <w:tcW w:w="6512"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根据供应商提供的近三年（2017、2018、2019年）财务报告，对其经营状况、财务状况相互比较：</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连续盈利，偿债能力、盈利能力和抗风险能力强的，得3分；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盈利情况一般，偿债能力和抗风险能力较弱的，得2分；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无盈利，偿债能力和抗风险能力差的，得0分；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（成立不足三年的按公司成立时间起算）</w:t>
            </w:r>
          </w:p>
        </w:tc>
        <w:tc>
          <w:tcPr>
            <w:tcW w:w="664"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类似业绩</w:t>
            </w:r>
          </w:p>
        </w:tc>
        <w:tc>
          <w:tcPr>
            <w:tcW w:w="6512"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近三年（</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截止时间往前推算36个月）具有类似采购业绩的，每个得1分，最多得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分；（需提供合同真彩扫描件并加盖公章，未提供不得分）</w:t>
            </w:r>
          </w:p>
        </w:tc>
        <w:tc>
          <w:tcPr>
            <w:tcW w:w="664"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用户反馈</w:t>
            </w:r>
          </w:p>
        </w:tc>
        <w:tc>
          <w:tcPr>
            <w:tcW w:w="6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auto"/>
              <w:ind w:right="71" w:rightChars="34"/>
              <w:rPr>
                <w:rFonts w:hint="eastAsia" w:ascii="宋体" w:hAnsi="宋体" w:eastAsia="宋体" w:cs="宋体"/>
                <w:color w:val="auto"/>
                <w:sz w:val="21"/>
                <w:szCs w:val="21"/>
              </w:rPr>
            </w:pPr>
            <w:r>
              <w:rPr>
                <w:rFonts w:hint="eastAsia" w:ascii="宋体" w:hAnsi="宋体" w:eastAsia="宋体" w:cs="宋体"/>
                <w:color w:val="auto"/>
                <w:sz w:val="21"/>
                <w:szCs w:val="21"/>
                <w:lang w:val="zh-CN"/>
              </w:rPr>
              <w:t>根据供应商提供的业主出具的满意评价证明（盖用户单位公章），每提供1个得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分，最高得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分</w:t>
            </w:r>
          </w:p>
        </w:tc>
        <w:tc>
          <w:tcPr>
            <w:tcW w:w="664"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240" w:lineRule="auto"/>
              <w:ind w:right="71" w:rightChars="34"/>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top w:val="single" w:color="auto" w:sz="6" w:space="0"/>
              <w:left w:val="single" w:color="auto" w:sz="12" w:space="0"/>
              <w:bottom w:val="single" w:color="auto" w:sz="6"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tcBorders>
              <w:top w:val="single" w:color="auto" w:sz="4"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color w:val="auto"/>
                <w:spacing w:val="-6"/>
                <w:kern w:val="0"/>
                <w:sz w:val="21"/>
                <w:szCs w:val="21"/>
              </w:rPr>
            </w:pPr>
            <w:r>
              <w:rPr>
                <w:rFonts w:hint="eastAsia" w:ascii="宋体" w:hAnsi="宋体" w:eastAsia="宋体" w:cs="宋体"/>
                <w:color w:val="auto"/>
                <w:sz w:val="21"/>
                <w:szCs w:val="21"/>
              </w:rPr>
              <w:t>标书制作</w:t>
            </w:r>
          </w:p>
        </w:tc>
        <w:tc>
          <w:tcPr>
            <w:tcW w:w="6512" w:type="dxa"/>
            <w:tcBorders>
              <w:top w:val="single" w:color="auto" w:sz="4" w:space="0"/>
              <w:left w:val="single" w:color="auto" w:sz="6" w:space="0"/>
              <w:bottom w:val="single" w:color="auto" w:sz="6" w:space="0"/>
              <w:right w:val="single" w:color="auto" w:sz="6" w:space="0"/>
            </w:tcBorders>
            <w:vAlign w:val="center"/>
          </w:tcPr>
          <w:p>
            <w:pPr>
              <w:spacing w:line="240" w:lineRule="auto"/>
              <w:jc w:val="left"/>
              <w:rPr>
                <w:rFonts w:hint="eastAsia" w:ascii="宋体" w:hAnsi="宋体" w:eastAsia="宋体" w:cs="宋体"/>
                <w:color w:val="auto"/>
                <w:spacing w:val="-6"/>
                <w:kern w:val="0"/>
                <w:sz w:val="21"/>
                <w:szCs w:val="21"/>
              </w:rPr>
            </w:pPr>
            <w:r>
              <w:rPr>
                <w:rFonts w:hint="eastAsia" w:ascii="宋体" w:hAnsi="宋体" w:eastAsia="宋体" w:cs="宋体"/>
                <w:color w:val="auto"/>
                <w:sz w:val="21"/>
                <w:szCs w:val="21"/>
              </w:rPr>
              <w:t>响应文件逐页有连续页码，并有详细目录，目录与有关材料装订顺序对应清晰，查阅方便的得1分；有评分导引表的得1分</w:t>
            </w:r>
          </w:p>
        </w:tc>
        <w:tc>
          <w:tcPr>
            <w:tcW w:w="664" w:type="dxa"/>
            <w:tcBorders>
              <w:top w:val="single" w:color="auto" w:sz="4" w:space="0"/>
              <w:left w:val="single" w:color="auto" w:sz="6" w:space="0"/>
              <w:bottom w:val="single" w:color="auto" w:sz="6" w:space="0"/>
              <w:right w:val="single" w:color="auto" w:sz="12" w:space="0"/>
            </w:tcBorders>
            <w:vAlign w:val="center"/>
          </w:tcPr>
          <w:p>
            <w:pPr>
              <w:autoSpaceDE w:val="0"/>
              <w:autoSpaceDN w:val="0"/>
              <w:adjustRightInd w:val="0"/>
              <w:spacing w:line="240" w:lineRule="auto"/>
              <w:ind w:right="71" w:rightChars="34"/>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restart"/>
            <w:tcBorders>
              <w:top w:val="single" w:color="auto" w:sz="6" w:space="0"/>
              <w:left w:val="single" w:color="auto" w:sz="12" w:space="0"/>
              <w:right w:val="single" w:color="auto" w:sz="6" w:space="0"/>
            </w:tcBorders>
            <w:vAlign w:val="center"/>
          </w:tcPr>
          <w:p>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技术服务</w:t>
            </w:r>
            <w:r>
              <w:rPr>
                <w:rFonts w:hint="eastAsia" w:ascii="宋体" w:hAnsi="宋体" w:eastAsia="宋体" w:cs="宋体"/>
                <w:color w:val="auto"/>
                <w:spacing w:val="-6"/>
                <w:sz w:val="21"/>
                <w:szCs w:val="21"/>
                <w:lang w:val="en-US" w:eastAsia="zh-CN"/>
              </w:rPr>
              <w:t>60</w:t>
            </w:r>
            <w:r>
              <w:rPr>
                <w:rFonts w:hint="eastAsia" w:ascii="宋体" w:hAnsi="宋体" w:eastAsia="宋体" w:cs="宋体"/>
                <w:color w:val="auto"/>
                <w:spacing w:val="-6"/>
                <w:sz w:val="21"/>
                <w:szCs w:val="21"/>
              </w:rPr>
              <w:t>分</w:t>
            </w:r>
          </w:p>
        </w:tc>
        <w:tc>
          <w:tcPr>
            <w:tcW w:w="1376"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技术响应</w:t>
            </w:r>
          </w:p>
        </w:tc>
        <w:tc>
          <w:tcPr>
            <w:tcW w:w="6512" w:type="dxa"/>
            <w:tcBorders>
              <w:top w:val="single" w:color="auto" w:sz="6" w:space="0"/>
              <w:left w:val="single" w:color="auto" w:sz="6" w:space="0"/>
              <w:bottom w:val="single" w:color="auto" w:sz="6" w:space="0"/>
              <w:right w:val="single" w:color="auto" w:sz="6" w:space="0"/>
            </w:tcBorders>
            <w:vAlign w:val="center"/>
          </w:tcPr>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供应商所投产品技术参数响应情况占</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分，具体由评标委员会根据供应商的响应文件中产品情况、《技术响应、偏离说明表》等有关资料打分。</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其中：完全满足磋商文件技术参数要求的得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分；在此基础上磋商文件中标注 “★”的内容为重要条款，一项不满足扣5分；无标注“★”的内容有一项不符合的则每项扣3分；扣完为止。</w:t>
            </w:r>
          </w:p>
          <w:p>
            <w:p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注：复制磋商文件技术要求作为实际响应数据或投标响应数据无对应支持文件的，其技术响应将可能按负偏离处理。参数需列出证明文件予以佐证,未予以佐证视为不响应。（主要技术参数以提供原厂确认并盖章的技术参数或原厂出具的产品宣传彩页或打印的官网资料截图资料为准）</w:t>
            </w:r>
          </w:p>
        </w:tc>
        <w:tc>
          <w:tcPr>
            <w:tcW w:w="664" w:type="dxa"/>
            <w:tcBorders>
              <w:top w:val="single" w:color="auto" w:sz="6" w:space="0"/>
              <w:left w:val="single" w:color="auto" w:sz="6" w:space="0"/>
              <w:bottom w:val="single" w:color="auto" w:sz="6" w:space="0"/>
              <w:right w:val="single" w:color="auto" w:sz="12" w:space="0"/>
            </w:tcBorders>
            <w:vAlign w:val="center"/>
          </w:tcPr>
          <w:p>
            <w:pPr>
              <w:spacing w:line="240" w:lineRule="auto"/>
              <w:jc w:val="center"/>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lang w:val="en-US" w:eastAsia="zh-CN"/>
              </w:rPr>
              <w:t>30</w:t>
            </w:r>
            <w:r>
              <w:rPr>
                <w:rFonts w:hint="eastAsia" w:ascii="宋体" w:hAnsi="宋体" w:eastAsia="宋体" w:cs="宋体"/>
                <w:color w:val="auto"/>
                <w:spacing w:val="-6"/>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left w:val="single" w:color="auto" w:sz="12"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vMerge w:val="restart"/>
            <w:tcBorders>
              <w:top w:val="single" w:color="auto" w:sz="6" w:space="0"/>
              <w:left w:val="single" w:color="auto" w:sz="6" w:space="0"/>
              <w:bottom w:val="single" w:color="auto" w:sz="6" w:space="0"/>
              <w:right w:val="single" w:color="auto" w:sz="6" w:space="0"/>
            </w:tcBorders>
            <w:vAlign w:val="center"/>
          </w:tcPr>
          <w:p>
            <w:pPr>
              <w:spacing w:line="240" w:lineRule="auto"/>
              <w:ind w:left="-4" w:leftChars="-2" w:firstLine="2" w:firstLineChars="1"/>
              <w:jc w:val="center"/>
              <w:rPr>
                <w:rFonts w:hint="eastAsia" w:ascii="宋体" w:hAnsi="宋体" w:eastAsia="宋体" w:cs="宋体"/>
                <w:color w:val="auto"/>
                <w:sz w:val="21"/>
                <w:szCs w:val="21"/>
              </w:rPr>
            </w:pPr>
            <w:r>
              <w:rPr>
                <w:rFonts w:hint="eastAsia" w:ascii="宋体" w:hAnsi="宋体" w:eastAsia="宋体" w:cs="宋体"/>
                <w:color w:val="auto"/>
                <w:sz w:val="21"/>
                <w:szCs w:val="21"/>
              </w:rPr>
              <w:t>现场演示</w:t>
            </w:r>
          </w:p>
        </w:tc>
        <w:tc>
          <w:tcPr>
            <w:tcW w:w="65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智能视觉检测分拣单元</w:t>
            </w:r>
          </w:p>
          <w:p>
            <w:pPr>
              <w:autoSpaceDE w:val="0"/>
              <w:autoSpaceDN w:val="0"/>
              <w:adjustRightInd w:val="0"/>
              <w:snapToGrid w:val="0"/>
              <w:spacing w:line="24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1）要求投标现场提供检测系统PPT文档（不少于15种（含15种）工业现场检测案例及不少于6个（含6个）PPT教学课件）；</w:t>
            </w:r>
          </w:p>
          <w:p>
            <w:pPr>
              <w:autoSpaceDE w:val="0"/>
              <w:autoSpaceDN w:val="0"/>
              <w:adjustRightInd w:val="0"/>
              <w:snapToGrid w:val="0"/>
              <w:spacing w:line="24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2）要求投标现场提供不少于15种检测案例，其中至少包含2种与本设备产品相符的检测案例；</w:t>
            </w:r>
          </w:p>
          <w:p>
            <w:pPr>
              <w:autoSpaceDE w:val="0"/>
              <w:autoSpaceDN w:val="0"/>
              <w:adjustRightInd w:val="0"/>
              <w:snapToGrid w:val="0"/>
              <w:spacing w:line="24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3）要求投标现场展示的不少于15种工业检测效果上要有OK与NG，并且标明NG处，通过PPT展示检测效果对比，检测所用软件与课件讲解软件为同一软件；</w:t>
            </w:r>
          </w:p>
          <w:p>
            <w:pPr>
              <w:autoSpaceDE w:val="0"/>
              <w:autoSpaceDN w:val="0"/>
              <w:adjustRightInd w:val="0"/>
              <w:snapToGrid w:val="0"/>
              <w:spacing w:line="24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4）要求投标现场提供教学课件，课件内容要包含指令介绍、应用开发工具的讲解、与第三方通信设置的讲解、输入输出的应用、操作员界面设计、整体优化部署，课件数量不得少于6个PPT，教学课件所讲软件与检测案例所用软件为同一软件；</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不能提供文档的视为不满足技术要求，本项技术分为0分。</w:t>
            </w:r>
            <w:r>
              <w:rPr>
                <w:rFonts w:hint="eastAsia" w:ascii="宋体" w:hAnsi="宋体" w:eastAsia="宋体" w:cs="宋体"/>
                <w:color w:val="auto"/>
                <w:spacing w:val="-2"/>
                <w:sz w:val="21"/>
                <w:szCs w:val="21"/>
              </w:rPr>
              <w:t>满足所有条件得5分，</w:t>
            </w:r>
            <w:r>
              <w:rPr>
                <w:rFonts w:hint="eastAsia" w:ascii="宋体" w:hAnsi="宋体" w:eastAsia="宋体" w:cs="宋体"/>
                <w:color w:val="auto"/>
                <w:sz w:val="21"/>
                <w:szCs w:val="21"/>
              </w:rPr>
              <w:t>一条不满足扣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分，扣完为止。（PPT文档以U盘的形式密封递交，演示时间限5分钟，投标现场供评标专家审阅。）</w:t>
            </w:r>
          </w:p>
        </w:tc>
        <w:tc>
          <w:tcPr>
            <w:tcW w:w="664" w:type="dxa"/>
            <w:tcBorders>
              <w:top w:val="single" w:color="auto" w:sz="6" w:space="0"/>
              <w:left w:val="single" w:color="auto" w:sz="6" w:space="0"/>
              <w:bottom w:val="single" w:color="auto" w:sz="6" w:space="0"/>
              <w:right w:val="single" w:color="auto" w:sz="12" w:space="0"/>
            </w:tcBorders>
            <w:vAlign w:val="center"/>
          </w:tcPr>
          <w:p>
            <w:pPr>
              <w:spacing w:line="240" w:lineRule="auto"/>
              <w:ind w:left="-65" w:leftChars="-31" w:right="-36" w:rightChars="-17"/>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left w:val="single" w:color="auto" w:sz="12"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hint="eastAsia" w:ascii="宋体" w:hAnsi="宋体" w:eastAsia="宋体" w:cs="宋体"/>
                <w:color w:val="auto"/>
                <w:sz w:val="21"/>
                <w:szCs w:val="21"/>
              </w:rPr>
            </w:pPr>
          </w:p>
        </w:tc>
        <w:tc>
          <w:tcPr>
            <w:tcW w:w="651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智能交互单元</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投标现场提供智能交互单元现场演示，演示内容且满足以下技术要求：</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1）进行语音交互（语音识别、语义解析、语音合成能力）的展示，图像识别（人脸识别、活体检测、人体检测、物体识别等能力）的展示；</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2）能进行脸部表情、二代身份证识别、热敏打印、二维码扫码、舵机控制等能力的展示，以证明平台对行业应用实际应用场景需求的支撑能力；</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3）能进行各模块运转工作时的动态线路展示，以方便学生更直观得理解智能交互技术的工作原理；</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4）设备主体采用铝合金、玻璃及有机玻璃组成；</w:t>
            </w:r>
          </w:p>
          <w:p>
            <w:pPr>
              <w:autoSpaceDE w:val="0"/>
              <w:autoSpaceDN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满足所有条件得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分，一条不满足扣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分，扣完为止。不能提供演示或者演示不满足技术要求的不得分。</w:t>
            </w:r>
          </w:p>
        </w:tc>
        <w:tc>
          <w:tcPr>
            <w:tcW w:w="664" w:type="dxa"/>
            <w:tcBorders>
              <w:top w:val="single" w:color="auto" w:sz="6" w:space="0"/>
              <w:left w:val="single" w:color="auto" w:sz="6" w:space="0"/>
              <w:bottom w:val="single" w:color="auto" w:sz="6" w:space="0"/>
              <w:right w:val="single" w:color="auto" w:sz="12" w:space="0"/>
            </w:tcBorders>
            <w:vAlign w:val="center"/>
          </w:tcPr>
          <w:p>
            <w:pPr>
              <w:spacing w:line="240" w:lineRule="auto"/>
              <w:ind w:left="-65" w:leftChars="-31" w:right="-36" w:rightChars="-17"/>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left w:val="single" w:color="auto" w:sz="12"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hint="eastAsia" w:ascii="宋体" w:hAnsi="宋体" w:eastAsia="宋体" w:cs="宋体"/>
                <w:color w:val="auto"/>
                <w:sz w:val="21"/>
                <w:szCs w:val="21"/>
              </w:rPr>
            </w:pPr>
          </w:p>
        </w:tc>
        <w:tc>
          <w:tcPr>
            <w:tcW w:w="6512" w:type="dxa"/>
            <w:tcBorders>
              <w:top w:val="single" w:color="auto" w:sz="6" w:space="0"/>
              <w:left w:val="single" w:color="auto" w:sz="6" w:space="0"/>
              <w:bottom w:val="single" w:color="auto" w:sz="6" w:space="0"/>
              <w:right w:val="single" w:color="auto" w:sz="6" w:space="0"/>
            </w:tcBorders>
          </w:tcPr>
          <w:p>
            <w:pPr>
              <w:keepNext/>
              <w:keepLines/>
              <w:spacing w:line="240" w:lineRule="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末端配套执行工具</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投标现场提供实物演示且满足以下技术要求；</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1）要求该机械手同一手指、同一位置可横向抓取不同直径的物料，直径分为：18mm、32mm，同时具有信号反馈功能；</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2）要求该机械手再不更换的情况下，同一手指、同一位置可横向抓取不同尺寸的物料，方体物料为：15mm * 19mm、25mm * 28mm，同时具有信号反馈功能；</w:t>
            </w:r>
          </w:p>
          <w:p>
            <w:pPr>
              <w:autoSpaceDE w:val="0"/>
              <w:autoSpaceDN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3）要求该机械手再不更换的情况下，同一手指、同一位置可抓取尺寸在15mm～32mm之间的不规则物料，抓取过程中要保证物料的完整性，同时具有信号反馈功能，不规则物料不少于两种；</w:t>
            </w:r>
          </w:p>
          <w:p>
            <w:pPr>
              <w:autoSpaceDE w:val="0"/>
              <w:autoSpaceDN w:val="0"/>
              <w:adjustRightInd w:val="0"/>
              <w:snapToGrid w:val="0"/>
              <w:spacing w:line="240" w:lineRule="auto"/>
              <w:ind w:firstLine="412" w:firstLineChars="200"/>
              <w:rPr>
                <w:rFonts w:hint="eastAsia" w:ascii="宋体" w:hAnsi="宋体" w:eastAsia="宋体" w:cs="宋体"/>
                <w:color w:val="auto"/>
                <w:sz w:val="21"/>
                <w:szCs w:val="21"/>
              </w:rPr>
            </w:pPr>
            <w:r>
              <w:rPr>
                <w:rFonts w:hint="eastAsia" w:ascii="宋体" w:hAnsi="宋体" w:eastAsia="宋体" w:cs="宋体"/>
                <w:color w:val="auto"/>
                <w:spacing w:val="-2"/>
                <w:sz w:val="21"/>
                <w:szCs w:val="21"/>
              </w:rPr>
              <w:t>满足所有条件得</w:t>
            </w:r>
            <w:r>
              <w:rPr>
                <w:rFonts w:hint="eastAsia" w:ascii="宋体" w:hAnsi="宋体" w:eastAsia="宋体" w:cs="宋体"/>
                <w:color w:val="auto"/>
                <w:spacing w:val="-2"/>
                <w:sz w:val="21"/>
                <w:szCs w:val="21"/>
                <w:lang w:val="en-US" w:eastAsia="zh-CN"/>
              </w:rPr>
              <w:t>5</w:t>
            </w:r>
            <w:r>
              <w:rPr>
                <w:rFonts w:hint="eastAsia" w:ascii="宋体" w:hAnsi="宋体" w:eastAsia="宋体" w:cs="宋体"/>
                <w:color w:val="auto"/>
                <w:spacing w:val="-2"/>
                <w:sz w:val="21"/>
                <w:szCs w:val="21"/>
              </w:rPr>
              <w:t>分，</w:t>
            </w:r>
            <w:r>
              <w:rPr>
                <w:rFonts w:hint="eastAsia" w:ascii="宋体" w:hAnsi="宋体" w:eastAsia="宋体" w:cs="宋体"/>
                <w:color w:val="auto"/>
                <w:sz w:val="21"/>
                <w:szCs w:val="21"/>
              </w:rPr>
              <w:t>一条不满足扣</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分，扣完为止。不能提供现场演示的为不满足技术要求，本项技术分为0分。</w:t>
            </w:r>
          </w:p>
        </w:tc>
        <w:tc>
          <w:tcPr>
            <w:tcW w:w="664" w:type="dxa"/>
            <w:tcBorders>
              <w:top w:val="single" w:color="auto" w:sz="6" w:space="0"/>
              <w:left w:val="single" w:color="auto" w:sz="6" w:space="0"/>
              <w:bottom w:val="single" w:color="auto" w:sz="6" w:space="0"/>
              <w:right w:val="single" w:color="auto" w:sz="12" w:space="0"/>
            </w:tcBorders>
            <w:vAlign w:val="center"/>
          </w:tcPr>
          <w:p>
            <w:pPr>
              <w:spacing w:line="240" w:lineRule="auto"/>
              <w:ind w:left="-65" w:leftChars="-31" w:right="-36" w:rightChars="-17"/>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left w:val="single" w:color="auto" w:sz="12"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tc>
        <w:tc>
          <w:tcPr>
            <w:tcW w:w="6512" w:type="dxa"/>
            <w:tcBorders>
              <w:top w:val="single" w:color="auto" w:sz="6" w:space="0"/>
              <w:left w:val="single" w:color="auto" w:sz="6" w:space="0"/>
              <w:bottom w:val="single" w:color="auto" w:sz="6" w:space="0"/>
              <w:right w:val="single" w:color="auto" w:sz="6" w:space="0"/>
            </w:tcBorders>
            <w:vAlign w:val="center"/>
          </w:tcPr>
          <w:p>
            <w:pPr>
              <w:widowControl/>
              <w:spacing w:line="24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供应商设置的售后服务机构，根据其售后服务机构的人员、服务能力、响应时间、距离采购人的交通便捷性等</w:t>
            </w:r>
            <w:r>
              <w:rPr>
                <w:rFonts w:hint="eastAsia" w:ascii="宋体" w:hAnsi="宋体" w:eastAsia="宋体" w:cs="宋体"/>
                <w:color w:val="auto"/>
                <w:sz w:val="21"/>
                <w:szCs w:val="21"/>
              </w:rPr>
              <w:t>进行综合评分：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科学、合理，针对性强，3分；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合理，可行，2分；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欠合理，基本可行，1分；</w:t>
            </w:r>
          </w:p>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不可行，0 分。</w:t>
            </w:r>
          </w:p>
        </w:tc>
        <w:tc>
          <w:tcPr>
            <w:tcW w:w="664" w:type="dxa"/>
            <w:tcBorders>
              <w:top w:val="single" w:color="auto" w:sz="6" w:space="0"/>
              <w:left w:val="single" w:color="auto" w:sz="6" w:space="0"/>
              <w:bottom w:val="single" w:color="auto" w:sz="6" w:space="0"/>
              <w:right w:val="single" w:color="auto" w:sz="12" w:space="0"/>
            </w:tcBorders>
            <w:vAlign w:val="center"/>
          </w:tcPr>
          <w:p>
            <w:pPr>
              <w:widowControl/>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left w:val="single" w:color="auto" w:sz="12"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产品质量要求及保证</w:t>
            </w:r>
          </w:p>
        </w:tc>
        <w:tc>
          <w:tcPr>
            <w:tcW w:w="6512" w:type="dxa"/>
            <w:tcBorders>
              <w:top w:val="single" w:color="auto" w:sz="6" w:space="0"/>
              <w:left w:val="single" w:color="auto" w:sz="6" w:space="0"/>
              <w:bottom w:val="single" w:color="auto" w:sz="6" w:space="0"/>
              <w:right w:val="single" w:color="auto" w:sz="6" w:space="0"/>
            </w:tcBorders>
          </w:tcPr>
          <w:p>
            <w:pPr>
              <w:widowControl/>
              <w:spacing w:line="24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rPr>
              <w:t>根据供应商提供的质量保证及承诺，措施完善</w:t>
            </w:r>
            <w:r>
              <w:rPr>
                <w:rFonts w:hint="eastAsia" w:ascii="宋体" w:hAnsi="宋体" w:eastAsia="宋体" w:cs="宋体"/>
                <w:color w:val="auto"/>
                <w:sz w:val="21"/>
                <w:szCs w:val="21"/>
                <w:lang w:val="zh-CN"/>
              </w:rPr>
              <w:t>等</w:t>
            </w:r>
            <w:r>
              <w:rPr>
                <w:rFonts w:hint="eastAsia" w:ascii="宋体" w:hAnsi="宋体" w:eastAsia="宋体" w:cs="宋体"/>
                <w:color w:val="auto"/>
                <w:sz w:val="21"/>
                <w:szCs w:val="21"/>
              </w:rPr>
              <w:t>进行综合评分：</w:t>
            </w:r>
          </w:p>
          <w:p>
            <w:pPr>
              <w:widowControl/>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科学、合理，针对性强，2分；</w:t>
            </w:r>
          </w:p>
          <w:p>
            <w:pPr>
              <w:widowControl/>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合理，可行，1分；</w:t>
            </w:r>
          </w:p>
          <w:p>
            <w:pPr>
              <w:widowControl/>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欠合理，基本可行，0.5分；</w:t>
            </w:r>
          </w:p>
          <w:p>
            <w:pPr>
              <w:widowControl/>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不可行，0 分。</w:t>
            </w:r>
          </w:p>
        </w:tc>
        <w:tc>
          <w:tcPr>
            <w:tcW w:w="664" w:type="dxa"/>
            <w:tcBorders>
              <w:top w:val="single" w:color="auto" w:sz="6" w:space="0"/>
              <w:left w:val="single" w:color="auto" w:sz="6" w:space="0"/>
              <w:bottom w:val="single" w:color="auto" w:sz="6" w:space="0"/>
              <w:right w:val="single" w:color="auto" w:sz="12" w:space="0"/>
            </w:tcBorders>
            <w:vAlign w:val="center"/>
          </w:tcPr>
          <w:p>
            <w:pPr>
              <w:spacing w:line="240" w:lineRule="auto"/>
              <w:ind w:left="-21" w:leftChars="-10" w:right="-21" w:rightChars="-10"/>
              <w:jc w:val="center"/>
              <w:rPr>
                <w:rFonts w:hint="eastAsia" w:ascii="宋体" w:hAnsi="宋体" w:eastAsia="宋体" w:cs="宋体"/>
                <w:color w:val="auto"/>
                <w:sz w:val="21"/>
                <w:szCs w:val="21"/>
              </w:rPr>
            </w:pPr>
            <w:r>
              <w:rPr>
                <w:rFonts w:hint="eastAsia" w:ascii="宋体" w:hAnsi="宋体" w:eastAsia="宋体" w:cs="宋体"/>
                <w:color w:val="auto"/>
                <w:sz w:val="21"/>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left w:val="single" w:color="auto" w:sz="12"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z w:val="21"/>
                <w:szCs w:val="21"/>
              </w:rPr>
              <w:t>应急方案</w:t>
            </w:r>
          </w:p>
        </w:tc>
        <w:tc>
          <w:tcPr>
            <w:tcW w:w="6512" w:type="dxa"/>
            <w:tcBorders>
              <w:top w:val="single" w:color="auto" w:sz="6" w:space="0"/>
              <w:left w:val="single" w:color="auto" w:sz="6" w:space="0"/>
              <w:bottom w:val="single" w:color="auto" w:sz="6" w:space="0"/>
              <w:right w:val="single" w:color="auto" w:sz="6" w:space="0"/>
            </w:tcBorders>
            <w:vAlign w:val="center"/>
          </w:tcPr>
          <w:p>
            <w:pPr>
              <w:widowControl/>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提供系统应急方案，根据对设备故障时处理方案等的描述及可行性等进行综合评分：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科学、合理，针对性强，2分；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合理，可行，1分；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欠合理，基本可行，0.5分；</w:t>
            </w:r>
          </w:p>
          <w:p>
            <w:pPr>
              <w:widowControl/>
              <w:spacing w:line="240" w:lineRule="auto"/>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不可行，0 分。</w:t>
            </w:r>
          </w:p>
        </w:tc>
        <w:tc>
          <w:tcPr>
            <w:tcW w:w="664" w:type="dxa"/>
            <w:tcBorders>
              <w:top w:val="single" w:color="auto" w:sz="6" w:space="0"/>
              <w:left w:val="single" w:color="auto" w:sz="6" w:space="0"/>
              <w:bottom w:val="single" w:color="auto" w:sz="6" w:space="0"/>
              <w:right w:val="single" w:color="auto" w:sz="12" w:space="0"/>
            </w:tcBorders>
            <w:vAlign w:val="center"/>
          </w:tcPr>
          <w:p>
            <w:pPr>
              <w:widowControl/>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z w:val="21"/>
                <w:szCs w:val="21"/>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left w:val="single" w:color="auto" w:sz="12"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实施方案</w:t>
            </w:r>
          </w:p>
        </w:tc>
        <w:tc>
          <w:tcPr>
            <w:tcW w:w="6512"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根据供应商提供的安装方案、项目实施进度安排、及承诺的质量保证措施、交货期等进行综合评分：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科学、合理，针对性强，</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合理，可行，</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欠合理，基本可行，1分；</w:t>
            </w:r>
          </w:p>
          <w:p>
            <w:pPr>
              <w:widowControl/>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不可行，0 分。</w:t>
            </w:r>
          </w:p>
        </w:tc>
        <w:tc>
          <w:tcPr>
            <w:tcW w:w="664" w:type="dxa"/>
            <w:tcBorders>
              <w:top w:val="single" w:color="auto" w:sz="6" w:space="0"/>
              <w:left w:val="single" w:color="auto" w:sz="6" w:space="0"/>
              <w:bottom w:val="single" w:color="auto" w:sz="6" w:space="0"/>
              <w:right w:val="single" w:color="auto" w:sz="12" w:space="0"/>
            </w:tcBorders>
            <w:vAlign w:val="center"/>
          </w:tcPr>
          <w:p>
            <w:pPr>
              <w:widowControl/>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vMerge w:val="continue"/>
            <w:tcBorders>
              <w:left w:val="single" w:color="auto" w:sz="12" w:space="0"/>
              <w:bottom w:val="single" w:color="auto" w:sz="6" w:space="0"/>
              <w:right w:val="single" w:color="auto" w:sz="6" w:space="0"/>
            </w:tcBorders>
            <w:vAlign w:val="center"/>
          </w:tcPr>
          <w:p>
            <w:pPr>
              <w:widowControl/>
              <w:spacing w:line="240" w:lineRule="auto"/>
              <w:jc w:val="left"/>
              <w:rPr>
                <w:rFonts w:hint="eastAsia" w:ascii="宋体" w:hAnsi="宋体" w:eastAsia="宋体" w:cs="宋体"/>
                <w:color w:val="auto"/>
                <w:spacing w:val="-6"/>
                <w:sz w:val="21"/>
                <w:szCs w:val="21"/>
              </w:rPr>
            </w:pPr>
          </w:p>
        </w:tc>
        <w:tc>
          <w:tcPr>
            <w:tcW w:w="1376"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培训措施</w:t>
            </w:r>
          </w:p>
        </w:tc>
        <w:tc>
          <w:tcPr>
            <w:tcW w:w="6512"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供应商提供的培训内容包括课程设置，课程内容，培训时间安排等，根据培训措施等进行综合评分：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科学、合理，针对性强，</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合理，可行，</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pPr>
              <w:widowControl/>
              <w:spacing w:line="240" w:lineRule="auto"/>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欠合理，基本可行，</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p>
            <w:pPr>
              <w:widowControl/>
              <w:spacing w:line="24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不可行，0 分。</w:t>
            </w:r>
          </w:p>
        </w:tc>
        <w:tc>
          <w:tcPr>
            <w:tcW w:w="664" w:type="dxa"/>
            <w:tcBorders>
              <w:top w:val="single" w:color="auto" w:sz="6" w:space="0"/>
              <w:left w:val="single" w:color="auto" w:sz="6" w:space="0"/>
              <w:bottom w:val="single" w:color="auto" w:sz="6" w:space="0"/>
              <w:right w:val="single" w:color="auto" w:sz="12" w:space="0"/>
            </w:tcBorders>
            <w:vAlign w:val="center"/>
          </w:tcPr>
          <w:p>
            <w:pPr>
              <w:widowControl/>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736" w:type="dxa"/>
            <w:tcBorders>
              <w:top w:val="single" w:color="auto" w:sz="6" w:space="0"/>
              <w:left w:val="single" w:color="auto" w:sz="12" w:space="0"/>
              <w:bottom w:val="single" w:color="auto" w:sz="12" w:space="0"/>
              <w:right w:val="single" w:color="auto" w:sz="6" w:space="0"/>
            </w:tcBorders>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8552" w:type="dxa"/>
            <w:gridSpan w:val="3"/>
            <w:tcBorders>
              <w:top w:val="single" w:color="auto" w:sz="6" w:space="0"/>
              <w:left w:val="single" w:color="auto" w:sz="6" w:space="0"/>
              <w:bottom w:val="single" w:color="auto" w:sz="12" w:space="0"/>
              <w:right w:val="single" w:color="auto" w:sz="12" w:space="0"/>
            </w:tcBorders>
            <w:vAlign w:val="center"/>
          </w:tcPr>
          <w:p>
            <w:pPr>
              <w:spacing w:line="240" w:lineRule="auto"/>
              <w:jc w:val="center"/>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100</w:t>
            </w:r>
          </w:p>
        </w:tc>
      </w:tr>
    </w:tbl>
    <w:p>
      <w:pP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br w:type="textWrapping"/>
      </w: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10"/>
    </w:p>
    <w:p>
      <w:pPr>
        <w:numPr>
          <w:ilvl w:val="3"/>
          <w:numId w:val="41"/>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42"/>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42"/>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42"/>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41"/>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41"/>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41"/>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11" w:name="_Toc18437"/>
      <w:r>
        <w:rPr>
          <w:rFonts w:hint="eastAsia" w:asciiTheme="minorEastAsia" w:hAnsiTheme="minorEastAsia" w:eastAsiaTheme="minorEastAsia" w:cstheme="minorEastAsia"/>
          <w:b/>
          <w:szCs w:val="21"/>
          <w:lang w:val="en-US" w:eastAsia="zh-CN"/>
        </w:rPr>
        <w:t>五、磋商及评审步骤</w:t>
      </w:r>
      <w:bookmarkEnd w:id="111"/>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宣布会场纪律。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w:t>
      </w:r>
      <w:r>
        <w:rPr>
          <w:rFonts w:hint="eastAsia" w:asciiTheme="minorEastAsia" w:hAnsiTheme="minorEastAsia" w:eastAsiaTheme="minorEastAsia" w:cstheme="minorEastAsia"/>
          <w:szCs w:val="28"/>
          <w:lang w:val="en-US" w:eastAsia="zh-CN"/>
        </w:rPr>
        <w:t xml:space="preserve"> </w:t>
      </w:r>
      <w:r>
        <w:rPr>
          <w:rFonts w:hint="eastAsia" w:asciiTheme="minorEastAsia" w:hAnsiTheme="minorEastAsia" w:eastAsiaTheme="minorEastAsia" w:cstheme="minorEastAsia"/>
          <w:szCs w:val="28"/>
        </w:rPr>
        <w:t>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w:t>
      </w:r>
      <w:r>
        <w:rPr>
          <w:rFonts w:hint="eastAsia" w:asciiTheme="minorEastAsia" w:hAnsiTheme="minorEastAsia" w:eastAsiaTheme="minorEastAsia" w:cstheme="minorEastAsia"/>
          <w:szCs w:val="28"/>
          <w:lang w:val="en-US" w:eastAsia="zh-CN"/>
        </w:rPr>
        <w:t>磋商会随机抽签</w:t>
      </w:r>
      <w:r>
        <w:rPr>
          <w:rFonts w:hint="eastAsia" w:asciiTheme="minorEastAsia" w:hAnsiTheme="minorEastAsia" w:eastAsiaTheme="minorEastAsia" w:cstheme="minorEastAsia"/>
          <w:szCs w:val="28"/>
        </w:rPr>
        <w:t>的顺序给予所有参加磋商的供应商平等的磋商机会。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分钟内不能抵达磋商会现场的，视为该供应商自动退出磋商。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szCs w:val="28"/>
          <w:lang w:val="en-US" w:eastAsia="zh-CN"/>
        </w:rPr>
        <w:t>评分细则</w:t>
      </w:r>
      <w:r>
        <w:rPr>
          <w:rFonts w:hint="eastAsia" w:asciiTheme="minorEastAsia" w:hAnsiTheme="minorEastAsia" w:eastAsiaTheme="minorEastAsia" w:cstheme="minorEastAsia"/>
          <w:szCs w:val="28"/>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5.5</w:t>
      </w:r>
      <w:r>
        <w:rPr>
          <w:rFonts w:hint="eastAsia" w:asciiTheme="minorEastAsia" w:hAnsiTheme="minorEastAsia" w:eastAsiaTheme="minorEastAsia" w:cstheme="minorEastAsia"/>
          <w:szCs w:val="28"/>
        </w:rPr>
        <w:t>在评审期间，供应商不得干扰和阻碍评审工作，供应商不得向磋商小组询问评审情况，任何影响和干扰评审工作的行为都可能导致被取消本次评审的资格，并承担相应的法律责任。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8"/>
        </w:rPr>
        <w:br w:type="textWrapping"/>
      </w:r>
      <w:r>
        <w:rPr>
          <w:rFonts w:hint="eastAsia" w:asciiTheme="minorEastAsia" w:hAnsiTheme="minorEastAsia" w:eastAsiaTheme="minorEastAsia" w:cstheme="minorEastAsia"/>
          <w:szCs w:val="28"/>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rPr>
          <w:rFonts w:hint="eastAsia" w:asciiTheme="minorEastAsia" w:hAnsiTheme="minorEastAsia" w:eastAsiaTheme="minorEastAsia" w:cstheme="minorEastAsia"/>
          <w:b w:val="0"/>
          <w:kern w:val="0"/>
          <w:szCs w:val="21"/>
        </w:rPr>
      </w:pPr>
      <w:bookmarkStart w:id="112" w:name="_Toc318643471"/>
      <w:bookmarkStart w:id="113" w:name="_Toc211783328"/>
      <w:bookmarkStart w:id="114" w:name="_Toc7958"/>
      <w:r>
        <w:rPr>
          <w:rFonts w:hint="eastAsia" w:asciiTheme="minorEastAsia" w:hAnsiTheme="minorEastAsia" w:eastAsiaTheme="minorEastAsia" w:cstheme="minorEastAsia"/>
          <w:sz w:val="36"/>
          <w:szCs w:val="36"/>
        </w:rPr>
        <w:br w:type="page"/>
      </w: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sz w:val="36"/>
          <w:szCs w:val="36"/>
        </w:rPr>
        <w:t>合同书</w:t>
      </w:r>
      <w:bookmarkEnd w:id="112"/>
      <w:bookmarkEnd w:id="113"/>
      <w:r>
        <w:rPr>
          <w:rFonts w:hint="eastAsia" w:asciiTheme="minorEastAsia" w:hAnsiTheme="minorEastAsia" w:eastAsiaTheme="minorEastAsia" w:cstheme="minorEastAsia"/>
          <w:sz w:val="36"/>
          <w:szCs w:val="36"/>
          <w:lang w:val="en-US" w:eastAsia="zh-CN"/>
        </w:rPr>
        <w:t>格式</w:t>
      </w:r>
      <w:bookmarkEnd w:id="114"/>
    </w:p>
    <w:p>
      <w:pPr>
        <w:spacing w:line="240" w:lineRule="auto"/>
        <w:ind w:firstLine="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w:t>
      </w:r>
      <w:r>
        <w:rPr>
          <w:rFonts w:hint="eastAsia" w:asciiTheme="minorEastAsia" w:hAnsiTheme="minorEastAsia" w:eastAsiaTheme="minorEastAsia" w:cstheme="minorEastAsia"/>
          <w:b/>
          <w:kern w:val="0"/>
          <w:sz w:val="22"/>
          <w:szCs w:val="22"/>
          <w:lang w:val="en-US" w:eastAsia="zh-CN"/>
        </w:rPr>
        <w:t>协    议   书</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2"/>
        <w:spacing w:line="240" w:lineRule="auto"/>
        <w:ind w:firstLine="41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autoSpaceDE w:val="0"/>
        <w:autoSpaceDN w:val="0"/>
        <w:adjustRightInd w:val="0"/>
        <w:spacing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4.</w:t>
      </w:r>
      <w:r>
        <w:rPr>
          <w:rFonts w:hint="eastAsia" w:asciiTheme="minorEastAsia" w:hAnsiTheme="minorEastAsia" w:eastAsiaTheme="minorEastAsia" w:cstheme="minorEastAsia"/>
          <w:b/>
          <w:bCs w:val="0"/>
          <w:kern w:val="0"/>
          <w:szCs w:val="21"/>
        </w:rPr>
        <w:tab/>
      </w:r>
      <w:r>
        <w:rPr>
          <w:rFonts w:hint="eastAsia" w:asciiTheme="minorEastAsia" w:hAnsiTheme="minorEastAsia" w:eastAsiaTheme="minorEastAsia" w:cstheme="minorEastAsia"/>
          <w:b/>
          <w:bCs w:val="0"/>
          <w:kern w:val="0"/>
          <w:szCs w:val="21"/>
        </w:rPr>
        <w:t>合同文件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本竞争性磋商采购文件；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供方成交的竞争性磋商响应文件；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w:t>
      </w:r>
      <w:r>
        <w:rPr>
          <w:rFonts w:hint="eastAsia" w:asciiTheme="minorEastAsia" w:hAnsiTheme="minorEastAsia" w:eastAsiaTheme="minorEastAsia" w:cstheme="minorEastAsia"/>
          <w:kern w:val="0"/>
          <w:szCs w:val="21"/>
          <w:lang w:val="en-US" w:eastAsia="zh-CN"/>
        </w:rPr>
        <w:t>协议</w:t>
      </w:r>
      <w:r>
        <w:rPr>
          <w:rFonts w:hint="eastAsia" w:asciiTheme="minorEastAsia" w:hAnsiTheme="minorEastAsia" w:eastAsiaTheme="minorEastAsia" w:cstheme="minorEastAsia"/>
          <w:kern w:val="0"/>
          <w:szCs w:val="21"/>
        </w:rPr>
        <w:t>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供方在磋商期内补充的所有书面文件；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供方在磋商时随同竞争性磋商响应文件一起递送的资料及附图；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2"/>
        <w:spacing w:line="36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及数量详见竞争性磋商采购文件的要求及供方竞争性磋商响应文件中的承诺。</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合同总金额见合同书，分项价格在供方的竞争性磋商响应文件中有明确规定。</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份；副本一式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份，主管部门执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rPr>
          <w:rFonts w:hint="eastAsia"/>
        </w:rPr>
      </w:pPr>
      <w:r>
        <w:rPr>
          <w:rFonts w:hint="eastAsia" w:asciiTheme="minorEastAsia" w:hAnsiTheme="minorEastAsia" w:eastAsiaTheme="minorEastAsia" w:cstheme="minorEastAsia"/>
          <w:szCs w:val="21"/>
        </w:rPr>
        <w:t>合同签订地址：</w:t>
      </w:r>
    </w:p>
    <w:p>
      <w:pPr>
        <w:pStyle w:val="3"/>
        <w:numPr>
          <w:ilvl w:val="0"/>
          <w:numId w:val="4"/>
        </w:numPr>
        <w:jc w:val="center"/>
        <w:rPr>
          <w:rFonts w:hint="eastAsia" w:asciiTheme="minorEastAsia" w:hAnsiTheme="minorEastAsia" w:eastAsiaTheme="minorEastAsia" w:cstheme="minorEastAsia"/>
          <w:sz w:val="36"/>
          <w:szCs w:val="36"/>
        </w:rPr>
      </w:pPr>
      <w:bookmarkStart w:id="115" w:name="_Toc32354"/>
      <w:r>
        <w:rPr>
          <w:rFonts w:hint="eastAsia" w:asciiTheme="minorEastAsia" w:hAnsiTheme="minorEastAsia" w:eastAsiaTheme="minorEastAsia" w:cstheme="minorEastAsia"/>
          <w:sz w:val="36"/>
          <w:szCs w:val="36"/>
        </w:rPr>
        <w:t>竞争性磋商响应文件格式</w:t>
      </w:r>
      <w:bookmarkEnd w:id="115"/>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政府采购</w:t>
      </w: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none"/>
        </w:rPr>
        <w:t xml:space="preserve">预算执行计划： </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16" w:name="_Toc5751"/>
      <w:bookmarkStart w:id="117"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16"/>
    <w:bookmarkEnd w:id="117"/>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18" w:name="_Toc264644272"/>
      <w:bookmarkStart w:id="119" w:name="_Toc360174584"/>
      <w:bookmarkStart w:id="120" w:name="_Toc211783342"/>
      <w:bookmarkStart w:id="121" w:name="_Toc533330957"/>
      <w:bookmarkStart w:id="122" w:name="_Toc11320441"/>
      <w:bookmarkStart w:id="123" w:name="_Toc533331084"/>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18"/>
      <w:bookmarkEnd w:id="119"/>
    </w:p>
    <w:p>
      <w:pPr>
        <w:autoSpaceDE w:val="0"/>
        <w:autoSpaceDN w:val="0"/>
        <w:adjustRightInd w:val="0"/>
        <w:rPr>
          <w:rFonts w:hint="eastAsia" w:asciiTheme="minorEastAsia" w:hAnsiTheme="minorEastAsia" w:eastAsiaTheme="minorEastAsia" w:cstheme="minorEastAsia"/>
          <w:b/>
          <w:bCs/>
          <w:szCs w:val="21"/>
        </w:rPr>
      </w:pPr>
    </w:p>
    <w:p>
      <w:pPr>
        <w:autoSpaceDE w:val="0"/>
        <w:autoSpaceDN w:val="0"/>
        <w:adjustRightIn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注：</w:t>
      </w:r>
      <w:r>
        <w:rPr>
          <w:rFonts w:hint="eastAsia" w:ascii="宋体" w:hAnsi="宋体" w:cs="宋体"/>
          <w:b/>
          <w:sz w:val="21"/>
          <w:szCs w:val="21"/>
          <w:lang w:val="en-US" w:eastAsia="zh-CN"/>
        </w:rPr>
        <w:t>响应文件</w:t>
      </w:r>
      <w:r>
        <w:rPr>
          <w:rFonts w:hint="eastAsia" w:ascii="宋体" w:hAnsi="宋体" w:eastAsia="宋体" w:cs="宋体"/>
          <w:b/>
          <w:sz w:val="21"/>
          <w:szCs w:val="21"/>
        </w:rPr>
        <w:t>目录及内容每页须顺序编写页码。</w:t>
      </w:r>
    </w:p>
    <w:p>
      <w:pPr>
        <w:autoSpaceDE w:val="0"/>
        <w:autoSpaceDN w:val="0"/>
        <w:adjustRightInd w:val="0"/>
        <w:spacing w:line="360" w:lineRule="auto"/>
        <w:jc w:val="center"/>
        <w:outlineLvl w:val="1"/>
        <w:rPr>
          <w:rFonts w:hint="eastAsia" w:ascii="宋体" w:hAnsi="宋体" w:eastAsia="宋体" w:cs="宋体"/>
          <w:b/>
          <w:sz w:val="21"/>
          <w:szCs w:val="21"/>
        </w:rPr>
      </w:pPr>
      <w:bookmarkStart w:id="124" w:name="_Toc21743"/>
      <w:r>
        <w:rPr>
          <w:rFonts w:hint="eastAsia" w:ascii="宋体" w:hAnsi="宋体" w:eastAsia="宋体" w:cs="宋体"/>
          <w:b/>
          <w:sz w:val="21"/>
          <w:szCs w:val="21"/>
        </w:rPr>
        <w:br w:type="textWrapping"/>
      </w:r>
      <w:r>
        <w:rPr>
          <w:rFonts w:hint="eastAsia" w:ascii="宋体" w:hAnsi="宋体" w:eastAsia="宋体" w:cs="宋体"/>
          <w:b/>
          <w:sz w:val="21"/>
          <w:szCs w:val="21"/>
        </w:rPr>
        <w:t>一</w:t>
      </w:r>
      <w:r>
        <w:rPr>
          <w:rFonts w:hint="eastAsia" w:ascii="宋体" w:hAnsi="宋体" w:eastAsia="宋体" w:cs="宋体"/>
          <w:b/>
          <w:sz w:val="21"/>
          <w:szCs w:val="21"/>
          <w:lang w:eastAsia="zh-CN"/>
        </w:rPr>
        <w:t>、</w:t>
      </w:r>
      <w:r>
        <w:rPr>
          <w:rFonts w:hint="eastAsia" w:ascii="宋体" w:hAnsi="宋体" w:eastAsia="宋体" w:cs="宋体"/>
          <w:b/>
          <w:sz w:val="21"/>
          <w:szCs w:val="21"/>
        </w:rPr>
        <w:t>评分标准索引表</w:t>
      </w:r>
      <w:bookmarkEnd w:id="124"/>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285"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5358" w:type="dxa"/>
            <w:tcBorders>
              <w:top w:val="single" w:color="auto" w:sz="12" w:space="0"/>
            </w:tcBorders>
            <w:noWrap w:val="0"/>
            <w:vAlign w:val="center"/>
          </w:tcPr>
          <w:p>
            <w:pPr>
              <w:spacing w:line="360" w:lineRule="auto"/>
              <w:jc w:val="center"/>
              <w:rPr>
                <w:rFonts w:hint="eastAsia" w:ascii="宋体" w:hAnsi="宋体" w:eastAsia="宋体" w:cs="宋体"/>
                <w:b/>
                <w:bCs/>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825"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c>
          <w:tcPr>
            <w:tcW w:w="1133"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1285" w:type="dxa"/>
            <w:noWrap w:val="0"/>
            <w:vAlign w:val="center"/>
          </w:tcPr>
          <w:p>
            <w:pPr>
              <w:widowControl/>
              <w:spacing w:line="360" w:lineRule="auto"/>
              <w:jc w:val="center"/>
              <w:textAlignment w:val="center"/>
              <w:rPr>
                <w:rFonts w:hint="eastAsia" w:ascii="宋体" w:hAnsi="宋体" w:eastAsia="宋体" w:cs="宋体"/>
                <w:spacing w:val="-6"/>
                <w:sz w:val="21"/>
                <w:szCs w:val="21"/>
              </w:rPr>
            </w:pPr>
          </w:p>
        </w:tc>
        <w:tc>
          <w:tcPr>
            <w:tcW w:w="5358" w:type="dxa"/>
            <w:noWrap w:val="0"/>
            <w:vAlign w:val="center"/>
          </w:tcPr>
          <w:p>
            <w:pPr>
              <w:widowControl/>
              <w:spacing w:line="360" w:lineRule="auto"/>
              <w:jc w:val="left"/>
              <w:textAlignment w:val="center"/>
              <w:rPr>
                <w:rFonts w:hint="eastAsia" w:ascii="宋体" w:hAnsi="宋体" w:eastAsia="宋体" w:cs="宋体"/>
                <w:sz w:val="21"/>
                <w:szCs w:val="21"/>
              </w:rPr>
            </w:pPr>
          </w:p>
        </w:tc>
        <w:tc>
          <w:tcPr>
            <w:tcW w:w="825" w:type="dxa"/>
            <w:noWrap w:val="0"/>
            <w:vAlign w:val="center"/>
          </w:tcPr>
          <w:p>
            <w:pPr>
              <w:widowControl/>
              <w:spacing w:line="360" w:lineRule="auto"/>
              <w:jc w:val="center"/>
              <w:textAlignment w:val="center"/>
              <w:rPr>
                <w:rFonts w:hint="eastAsia" w:ascii="宋体" w:hAnsi="宋体" w:eastAsia="宋体" w:cs="宋体"/>
                <w:sz w:val="21"/>
                <w:szCs w:val="21"/>
              </w:rPr>
            </w:pPr>
          </w:p>
        </w:tc>
        <w:tc>
          <w:tcPr>
            <w:tcW w:w="1133" w:type="dxa"/>
            <w:noWrap w:val="0"/>
            <w:vAlign w:val="center"/>
          </w:tcPr>
          <w:p>
            <w:pPr>
              <w:widowControl/>
              <w:spacing w:line="360" w:lineRule="auto"/>
              <w:jc w:val="center"/>
              <w:textAlignment w:val="center"/>
              <w:rPr>
                <w:rFonts w:hint="eastAsia" w:ascii="宋体" w:hAnsi="宋体" w:eastAsia="宋体" w:cs="宋体"/>
                <w:color w:val="FF0000"/>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color w:val="000000"/>
                <w:spacing w:val="-6"/>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bottom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tcBorders>
              <w:top w:val="single" w:color="auto" w:sz="4" w:space="0"/>
            </w:tcBorders>
            <w:noWrap w:val="0"/>
            <w:vAlign w:val="center"/>
          </w:tcPr>
          <w:p>
            <w:pPr>
              <w:spacing w:line="360" w:lineRule="auto"/>
              <w:rPr>
                <w:rFonts w:hint="eastAsia" w:ascii="宋体" w:hAnsi="宋体" w:eastAsia="宋体" w:cs="宋体"/>
                <w:spacing w:val="-6"/>
                <w:kern w:val="0"/>
                <w:sz w:val="21"/>
                <w:szCs w:val="21"/>
              </w:rPr>
            </w:pPr>
          </w:p>
        </w:tc>
        <w:tc>
          <w:tcPr>
            <w:tcW w:w="5358"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825"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c>
          <w:tcPr>
            <w:tcW w:w="1133"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spacing w:val="-6"/>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ind w:left="-4" w:leftChars="-2" w:firstLine="2" w:firstLineChars="1"/>
              <w:rPr>
                <w:rFonts w:hint="eastAsia" w:ascii="宋体" w:hAnsi="宋体" w:eastAsia="宋体" w:cs="宋体"/>
                <w:sz w:val="21"/>
                <w:szCs w:val="21"/>
              </w:rPr>
            </w:pPr>
          </w:p>
        </w:tc>
        <w:tc>
          <w:tcPr>
            <w:tcW w:w="128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5358" w:type="dxa"/>
            <w:noWrap w:val="0"/>
            <w:vAlign w:val="center"/>
          </w:tcPr>
          <w:p>
            <w:pPr>
              <w:spacing w:line="360" w:lineRule="auto"/>
              <w:ind w:left="-4" w:leftChars="-2" w:firstLine="2" w:firstLineChars="1"/>
              <w:rPr>
                <w:rFonts w:hint="eastAsia" w:ascii="宋体" w:hAnsi="宋体" w:eastAsia="宋体" w:cs="宋体"/>
                <w:sz w:val="21"/>
                <w:szCs w:val="21"/>
              </w:rPr>
            </w:pPr>
          </w:p>
        </w:tc>
        <w:tc>
          <w:tcPr>
            <w:tcW w:w="825" w:type="dxa"/>
            <w:noWrap w:val="0"/>
            <w:vAlign w:val="center"/>
          </w:tcPr>
          <w:p>
            <w:pPr>
              <w:spacing w:line="360" w:lineRule="auto"/>
              <w:ind w:left="-4" w:leftChars="-2" w:firstLine="2" w:firstLineChars="1"/>
              <w:rPr>
                <w:rFonts w:hint="eastAsia" w:ascii="宋体" w:hAnsi="宋体" w:eastAsia="宋体" w:cs="宋体"/>
                <w:sz w:val="21"/>
                <w:szCs w:val="21"/>
              </w:rPr>
            </w:pPr>
          </w:p>
        </w:tc>
        <w:tc>
          <w:tcPr>
            <w:tcW w:w="1133" w:type="dxa"/>
            <w:noWrap w:val="0"/>
            <w:vAlign w:val="center"/>
          </w:tcPr>
          <w:p>
            <w:pPr>
              <w:spacing w:line="360" w:lineRule="auto"/>
              <w:ind w:left="-4" w:leftChars="-2" w:firstLine="2" w:firstLineChars="1"/>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kern w:val="0"/>
                <w:sz w:val="21"/>
                <w:szCs w:val="21"/>
              </w:rPr>
            </w:pPr>
          </w:p>
        </w:tc>
        <w:tc>
          <w:tcPr>
            <w:tcW w:w="5358"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825"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c>
          <w:tcPr>
            <w:tcW w:w="1133" w:type="dxa"/>
            <w:noWrap w:val="0"/>
            <w:vAlign w:val="center"/>
          </w:tcPr>
          <w:p>
            <w:pPr>
              <w:autoSpaceDE w:val="0"/>
              <w:autoSpaceDN w:val="0"/>
              <w:adjustRightInd w:val="0"/>
              <w:spacing w:line="360" w:lineRule="auto"/>
              <w:rPr>
                <w:rFonts w:hint="eastAsia" w:ascii="宋体" w:hAnsi="宋体" w:eastAsia="宋体" w:cs="宋体"/>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sz w:val="21"/>
                <w:szCs w:val="21"/>
              </w:rPr>
            </w:pPr>
          </w:p>
        </w:tc>
        <w:tc>
          <w:tcPr>
            <w:tcW w:w="1285" w:type="dxa"/>
            <w:noWrap w:val="0"/>
            <w:vAlign w:val="center"/>
          </w:tcPr>
          <w:p>
            <w:pPr>
              <w:spacing w:line="360" w:lineRule="auto"/>
              <w:rPr>
                <w:rFonts w:hint="eastAsia" w:ascii="宋体" w:hAnsi="宋体" w:eastAsia="宋体" w:cs="宋体"/>
                <w:spacing w:val="-6"/>
                <w:sz w:val="21"/>
                <w:szCs w:val="21"/>
              </w:rPr>
            </w:pPr>
          </w:p>
        </w:tc>
        <w:tc>
          <w:tcPr>
            <w:tcW w:w="5358" w:type="dxa"/>
            <w:noWrap w:val="0"/>
            <w:vAlign w:val="center"/>
          </w:tcPr>
          <w:p>
            <w:pPr>
              <w:spacing w:line="360" w:lineRule="auto"/>
              <w:rPr>
                <w:rFonts w:hint="eastAsia" w:ascii="宋体" w:hAnsi="宋体" w:eastAsia="宋体" w:cs="宋体"/>
                <w:spacing w:val="-6"/>
                <w:sz w:val="21"/>
                <w:szCs w:val="21"/>
              </w:rPr>
            </w:pPr>
          </w:p>
        </w:tc>
        <w:tc>
          <w:tcPr>
            <w:tcW w:w="825" w:type="dxa"/>
            <w:noWrap w:val="0"/>
            <w:vAlign w:val="center"/>
          </w:tcPr>
          <w:p>
            <w:pPr>
              <w:spacing w:line="360" w:lineRule="auto"/>
              <w:rPr>
                <w:rFonts w:hint="eastAsia" w:ascii="宋体" w:hAnsi="宋体" w:eastAsia="宋体" w:cs="宋体"/>
                <w:spacing w:val="-6"/>
                <w:sz w:val="21"/>
                <w:szCs w:val="21"/>
              </w:rPr>
            </w:pPr>
          </w:p>
        </w:tc>
        <w:tc>
          <w:tcPr>
            <w:tcW w:w="1133" w:type="dxa"/>
            <w:noWrap w:val="0"/>
            <w:vAlign w:val="center"/>
          </w:tcPr>
          <w:p>
            <w:pPr>
              <w:spacing w:line="360" w:lineRule="auto"/>
              <w:rPr>
                <w:rFonts w:hint="eastAsia" w:ascii="宋体" w:hAnsi="宋体" w:eastAsia="宋体" w:cs="宋体"/>
                <w:spacing w:val="-6"/>
                <w:sz w:val="21"/>
                <w:szCs w:val="21"/>
              </w:rPr>
            </w:pPr>
          </w:p>
        </w:tc>
      </w:tr>
    </w:tbl>
    <w:p>
      <w:pPr>
        <w:autoSpaceDE w:val="0"/>
        <w:autoSpaceDN w:val="0"/>
        <w:adjustRightInd w:val="0"/>
        <w:spacing w:line="480" w:lineRule="auto"/>
        <w:rPr>
          <w:rFonts w:hint="eastAsia" w:asciiTheme="minorEastAsia" w:hAnsiTheme="minorEastAsia" w:eastAsiaTheme="minorEastAsia" w:cstheme="minorEastAsia"/>
          <w:b/>
        </w:rPr>
      </w:pPr>
    </w:p>
    <w:p>
      <w:pPr>
        <w:adjustRightInd w:val="0"/>
        <w:snapToGrid w:val="0"/>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25" w:name="_Toc30144"/>
      <w:bookmarkStart w:id="126" w:name="_Toc479184125"/>
      <w:bookmarkStart w:id="127" w:name="_Toc20006"/>
      <w:bookmarkStart w:id="128" w:name="_Toc15789"/>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25"/>
      <w:bookmarkEnd w:id="126"/>
      <w:bookmarkEnd w:id="127"/>
      <w:bookmarkEnd w:id="128"/>
    </w:p>
    <w:p>
      <w:pPr>
        <w:pStyle w:val="21"/>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货物</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43"/>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43"/>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43"/>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44"/>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44"/>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44"/>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44"/>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5"/>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5"/>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5"/>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5"/>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45"/>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5"/>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5"/>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bookmarkStart w:id="129" w:name="_Toc13969"/>
      <w:bookmarkStart w:id="130" w:name="_Toc24205"/>
      <w:bookmarkStart w:id="131" w:name="_Toc479184126"/>
      <w:bookmarkStart w:id="132" w:name="_Toc7513"/>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29"/>
      <w:bookmarkEnd w:id="130"/>
      <w:bookmarkEnd w:id="131"/>
      <w:bookmarkEnd w:id="132"/>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33" w:name="_Toc30476"/>
      <w:bookmarkStart w:id="134" w:name="_Toc10986"/>
      <w:bookmarkStart w:id="135" w:name="_Toc479184127"/>
      <w:bookmarkStart w:id="136" w:name="_Toc424832832"/>
      <w:bookmarkStart w:id="137" w:name="_Toc30245"/>
      <w:bookmarkStart w:id="138" w:name="_Toc432149008"/>
      <w:bookmarkStart w:id="139" w:name="_Toc29904"/>
      <w:bookmarkStart w:id="140" w:name="_Toc360120184"/>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33"/>
      <w:bookmarkEnd w:id="134"/>
      <w:bookmarkEnd w:id="135"/>
      <w:bookmarkEnd w:id="136"/>
      <w:bookmarkEnd w:id="137"/>
      <w:bookmarkEnd w:id="138"/>
      <w:bookmarkEnd w:id="139"/>
      <w:bookmarkEnd w:id="140"/>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rPr>
              <w:t>粘贴</w:t>
            </w: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41" w:name="_Toc422466732"/>
      <w:bookmarkStart w:id="142" w:name="_Toc432149006"/>
      <w:r>
        <w:rPr>
          <w:rFonts w:hint="eastAsia" w:asciiTheme="minorEastAsia" w:hAnsiTheme="minorEastAsia" w:eastAsiaTheme="minorEastAsia" w:cstheme="minorEastAsia"/>
          <w:b/>
          <w:bCs/>
          <w:sz w:val="24"/>
        </w:rPr>
        <w:br w:type="page"/>
      </w:r>
      <w:bookmarkStart w:id="143" w:name="_Toc4301"/>
      <w:bookmarkStart w:id="144" w:name="_Toc19882"/>
      <w:bookmarkStart w:id="145" w:name="_Toc4741"/>
      <w:bookmarkStart w:id="146" w:name="_Toc479184128"/>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、报价一览表</w:t>
      </w:r>
      <w:bookmarkEnd w:id="141"/>
      <w:bookmarkEnd w:id="142"/>
      <w:bookmarkEnd w:id="143"/>
      <w:bookmarkEnd w:id="144"/>
      <w:bookmarkEnd w:id="145"/>
      <w:bookmarkEnd w:id="146"/>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7"/>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竞标</w:t>
            </w:r>
            <w:r>
              <w:rPr>
                <w:rFonts w:hint="eastAsia" w:asciiTheme="minorEastAsia" w:hAnsiTheme="minorEastAsia" w:eastAsiaTheme="minorEastAsia" w:cstheme="minorEastAsia"/>
                <w:bCs/>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FF0000"/>
                <w:szCs w:val="21"/>
                <w:lang w:val="en-US" w:eastAsia="zh-CN"/>
              </w:rPr>
            </w:pPr>
            <w:r>
              <w:rPr>
                <w:rFonts w:hint="eastAsia" w:asciiTheme="minorEastAsia" w:hAnsiTheme="minorEastAsia" w:eastAsiaTheme="minorEastAsia" w:cstheme="minorEastAsia"/>
                <w:color w:val="FF0000"/>
                <w:sz w:val="21"/>
                <w:szCs w:val="21"/>
                <w:u w:val="single"/>
                <w:lang w:val="en-US" w:eastAsia="zh-CN"/>
              </w:rPr>
              <w:t>大写：</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val="en-US"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lang w:val="en-US" w:eastAsia="zh-CN"/>
              </w:rPr>
              <w:br w:type="textWrapping"/>
            </w:r>
            <w:r>
              <w:rPr>
                <w:rFonts w:hint="eastAsia" w:asciiTheme="minorEastAsia" w:hAnsiTheme="minorEastAsia" w:eastAsiaTheme="minorEastAsia" w:cstheme="minorEastAsia"/>
                <w:color w:val="FF0000"/>
                <w:sz w:val="21"/>
                <w:szCs w:val="21"/>
                <w:u w:val="single"/>
                <w:lang w:val="en-US" w:eastAsia="zh-CN"/>
              </w:rPr>
              <w:t>小写：</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u w:val="single"/>
                <w:lang w:val="en-US" w:eastAsia="zh-CN"/>
              </w:rPr>
              <w:t xml:space="preserve">  </w:t>
            </w:r>
            <w:r>
              <w:rPr>
                <w:rFonts w:hint="eastAsia" w:asciiTheme="minorEastAsia" w:hAnsiTheme="minorEastAsia" w:eastAsiaTheme="minorEastAsia" w:cstheme="minorEastAsia"/>
                <w:color w:val="FF0000"/>
                <w:sz w:val="21"/>
                <w:szCs w:val="21"/>
                <w:u w:val="single"/>
              </w:rPr>
              <w:t xml:space="preserve">  </w:t>
            </w:r>
            <w:r>
              <w:rPr>
                <w:rFonts w:hint="eastAsia" w:asciiTheme="minorEastAsia" w:hAnsiTheme="minorEastAsia" w:eastAsiaTheme="minorEastAsia" w:cstheme="minorEastAsia"/>
                <w:color w:val="FF0000"/>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主要产品概况</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FF0000"/>
                <w:szCs w:val="21"/>
                <w:lang w:val="en-US" w:eastAsia="zh-CN"/>
              </w:rPr>
            </w:pPr>
            <w:r>
              <w:rPr>
                <w:rFonts w:hint="eastAsia" w:asciiTheme="minorEastAsia" w:hAnsiTheme="minorEastAsia" w:eastAsiaTheme="minorEastAsia" w:cstheme="minorEastAsia"/>
                <w:bCs/>
                <w:color w:val="FF0000"/>
                <w:szCs w:val="21"/>
                <w:lang w:val="en-US" w:eastAsia="zh-CN"/>
              </w:rPr>
              <w:t>请填写本项目主要产品的品牌、规格型号和制造商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lang w:val="en-US" w:eastAsia="zh-CN"/>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（复印件）及报价优惠声明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一起另外密封装在一个小信封中，作为</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记录之用。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szCs w:val="21"/>
          <w:u w:val="single"/>
        </w:rPr>
      </w:pPr>
      <w:bookmarkStart w:id="147" w:name="_Toc460258117"/>
      <w:bookmarkStart w:id="148" w:name="_Toc259028723"/>
      <w:bookmarkStart w:id="149" w:name="_Toc432149007"/>
      <w:bookmarkStart w:id="150" w:name="_Toc424832831"/>
      <w:r>
        <w:rPr>
          <w:rFonts w:hint="eastAsia" w:asciiTheme="minorEastAsia" w:hAnsiTheme="minorEastAsia" w:eastAsiaTheme="minorEastAsia" w:cstheme="minorEastAsia"/>
          <w:b/>
          <w:bCs/>
          <w:sz w:val="24"/>
        </w:rPr>
        <w:br w:type="page"/>
      </w:r>
      <w:bookmarkStart w:id="151" w:name="_Toc479184129"/>
      <w:bookmarkStart w:id="152" w:name="_Toc1079"/>
      <w:bookmarkStart w:id="153" w:name="_Toc18559"/>
      <w:bookmarkStart w:id="154" w:name="_Toc3144"/>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w:t>
      </w:r>
      <w:bookmarkEnd w:id="147"/>
      <w:bookmarkEnd w:id="148"/>
      <w:bookmarkEnd w:id="151"/>
      <w:bookmarkEnd w:id="152"/>
      <w:bookmarkEnd w:id="153"/>
      <w:r>
        <w:rPr>
          <w:rFonts w:hint="eastAsia" w:asciiTheme="minorEastAsia" w:hAnsiTheme="minorEastAsia" w:eastAsiaTheme="minorEastAsia" w:cstheme="minorEastAsia"/>
          <w:b/>
          <w:bCs/>
          <w:szCs w:val="21"/>
          <w:lang w:eastAsia="zh-CN"/>
        </w:rPr>
        <w:t>报价费用构成表</w:t>
      </w:r>
      <w:bookmarkEnd w:id="154"/>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875" w:type="dxa"/>
            <w:vAlign w:val="center"/>
          </w:tcPr>
          <w:p>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规格型号（如有）</w:t>
            </w:r>
          </w:p>
        </w:tc>
        <w:tc>
          <w:tcPr>
            <w:tcW w:w="14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制造商名称（如有）</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产地</w:t>
            </w:r>
          </w:p>
        </w:tc>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36"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72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w:t>
            </w:r>
          </w:p>
        </w:tc>
        <w:tc>
          <w:tcPr>
            <w:tcW w:w="719"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78"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875" w:type="dxa"/>
            <w:vAlign w:val="center"/>
          </w:tcPr>
          <w:p>
            <w:pPr>
              <w:adjustRightInd w:val="0"/>
              <w:snapToGrid w:val="0"/>
              <w:jc w:val="center"/>
              <w:rPr>
                <w:rFonts w:hint="eastAsia" w:asciiTheme="minorEastAsia" w:hAnsiTheme="minorEastAsia" w:eastAsiaTheme="minorEastAsia" w:cstheme="minorEastAsia"/>
                <w:szCs w:val="21"/>
              </w:rPr>
            </w:pPr>
          </w:p>
        </w:tc>
        <w:tc>
          <w:tcPr>
            <w:tcW w:w="1428" w:type="dxa"/>
            <w:vAlign w:val="center"/>
          </w:tcPr>
          <w:p>
            <w:pPr>
              <w:adjustRightInd w:val="0"/>
              <w:snapToGrid w:val="0"/>
              <w:jc w:val="center"/>
              <w:rPr>
                <w:rFonts w:hint="eastAsia" w:asciiTheme="minorEastAsia" w:hAnsiTheme="minorEastAsia" w:eastAsiaTheme="minorEastAsia" w:cstheme="minorEastAsia"/>
                <w:szCs w:val="21"/>
              </w:rPr>
            </w:pP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741" w:type="dxa"/>
            <w:vAlign w:val="center"/>
          </w:tcPr>
          <w:p>
            <w:pPr>
              <w:adjustRightInd w:val="0"/>
              <w:snapToGrid w:val="0"/>
              <w:jc w:val="center"/>
              <w:rPr>
                <w:rFonts w:hint="eastAsia" w:asciiTheme="minorEastAsia" w:hAnsiTheme="minorEastAsia" w:eastAsiaTheme="minorEastAsia" w:cstheme="minorEastAsia"/>
                <w:szCs w:val="21"/>
              </w:rPr>
            </w:pPr>
          </w:p>
        </w:tc>
        <w:tc>
          <w:tcPr>
            <w:tcW w:w="828" w:type="dxa"/>
            <w:vAlign w:val="center"/>
          </w:tcPr>
          <w:p>
            <w:pPr>
              <w:adjustRightInd w:val="0"/>
              <w:snapToGrid w:val="0"/>
              <w:jc w:val="center"/>
              <w:rPr>
                <w:rFonts w:hint="eastAsia" w:asciiTheme="minorEastAsia" w:hAnsiTheme="minorEastAsia" w:eastAsiaTheme="minorEastAsia" w:cstheme="minorEastAsia"/>
                <w:szCs w:val="21"/>
              </w:rPr>
            </w:pPr>
          </w:p>
        </w:tc>
        <w:tc>
          <w:tcPr>
            <w:tcW w:w="736" w:type="dxa"/>
            <w:vAlign w:val="center"/>
          </w:tcPr>
          <w:p>
            <w:pPr>
              <w:adjustRightInd w:val="0"/>
              <w:snapToGrid w:val="0"/>
              <w:jc w:val="center"/>
              <w:rPr>
                <w:rFonts w:hint="eastAsia" w:asciiTheme="minorEastAsia" w:hAnsiTheme="minorEastAsia" w:eastAsiaTheme="minorEastAsia" w:cstheme="minorEastAsia"/>
                <w:szCs w:val="21"/>
              </w:rPr>
            </w:pPr>
          </w:p>
        </w:tc>
        <w:tc>
          <w:tcPr>
            <w:tcW w:w="727" w:type="dxa"/>
            <w:vAlign w:val="center"/>
          </w:tcPr>
          <w:p>
            <w:pPr>
              <w:adjustRightInd w:val="0"/>
              <w:snapToGrid w:val="0"/>
              <w:jc w:val="center"/>
              <w:rPr>
                <w:rFonts w:hint="eastAsia" w:asciiTheme="minorEastAsia" w:hAnsiTheme="minorEastAsia" w:eastAsiaTheme="minorEastAsia" w:cstheme="minorEastAsia"/>
                <w:szCs w:val="21"/>
              </w:rPr>
            </w:pPr>
          </w:p>
        </w:tc>
        <w:tc>
          <w:tcPr>
            <w:tcW w:w="719" w:type="dxa"/>
            <w:vAlign w:val="center"/>
          </w:tcPr>
          <w:p>
            <w:pPr>
              <w:adjustRightInd w:val="0"/>
              <w:snapToGrid w:val="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6"/>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6"/>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6"/>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文件。</w:t>
      </w:r>
    </w:p>
    <w:p>
      <w:pPr>
        <w:adjustRightInd w:val="0"/>
        <w:snapToGrid w:val="0"/>
        <w:spacing w:line="360" w:lineRule="auto"/>
        <w:ind w:left="-88" w:leftChars="-42"/>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5" w:name="_Toc26825"/>
      <w:bookmarkStart w:id="156" w:name="_Toc28656"/>
      <w:bookmarkStart w:id="157" w:name="_Toc66"/>
      <w:bookmarkStart w:id="158" w:name="_Toc479184130"/>
      <w:r>
        <w:rPr>
          <w:rFonts w:hint="eastAsia" w:asciiTheme="minorEastAsia" w:hAnsiTheme="minorEastAsia" w:eastAsiaTheme="minorEastAsia" w:cstheme="minorEastAsia"/>
          <w:b/>
          <w:bCs/>
          <w:szCs w:val="21"/>
          <w:lang w:val="en-US" w:eastAsia="zh-CN"/>
        </w:rPr>
        <w:t>七</w:t>
      </w:r>
      <w:r>
        <w:rPr>
          <w:rFonts w:hint="eastAsia" w:asciiTheme="minorEastAsia" w:hAnsiTheme="minorEastAsia" w:eastAsiaTheme="minorEastAsia" w:cstheme="minorEastAsia"/>
          <w:b/>
          <w:bCs/>
          <w:szCs w:val="21"/>
        </w:rPr>
        <w:t>、耗材清单</w:t>
      </w:r>
      <w:bookmarkEnd w:id="155"/>
      <w:bookmarkEnd w:id="156"/>
      <w:bookmarkEnd w:id="157"/>
      <w:bookmarkEnd w:id="158"/>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59" w:name="_Toc32726"/>
      <w:bookmarkStart w:id="160" w:name="_Toc479184131"/>
      <w:bookmarkStart w:id="161" w:name="_Toc7535"/>
      <w:bookmarkStart w:id="162" w:name="_Toc26501"/>
      <w:r>
        <w:rPr>
          <w:rFonts w:hint="eastAsia" w:asciiTheme="minorEastAsia" w:hAnsiTheme="minorEastAsia" w:eastAsiaTheme="minorEastAsia" w:cstheme="minorEastAsia"/>
          <w:b/>
          <w:bCs/>
          <w:szCs w:val="21"/>
          <w:lang w:val="en-US" w:eastAsia="zh-CN"/>
        </w:rPr>
        <w:t>八、拟投入设备/备件、工具情况</w:t>
      </w:r>
      <w:bookmarkEnd w:id="159"/>
      <w:bookmarkEnd w:id="160"/>
      <w:bookmarkEnd w:id="161"/>
      <w:bookmarkEnd w:id="162"/>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63" w:name="_Toc10449"/>
      <w:bookmarkStart w:id="164" w:name="_Toc450827818"/>
      <w:bookmarkStart w:id="165" w:name="_Toc27053"/>
      <w:bookmarkStart w:id="166" w:name="_Toc479184132"/>
      <w:bookmarkStart w:id="167" w:name="_Toc12313"/>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63"/>
      <w:bookmarkEnd w:id="164"/>
      <w:bookmarkEnd w:id="165"/>
      <w:bookmarkEnd w:id="166"/>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67"/>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49"/>
    <w:bookmarkEnd w:id="150"/>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68" w:name="_Toc422466736"/>
      <w:bookmarkStart w:id="169" w:name="_Toc17270"/>
      <w:bookmarkStart w:id="170" w:name="_Toc432149012"/>
      <w:bookmarkStart w:id="171" w:name="_Toc28200"/>
      <w:bookmarkStart w:id="172" w:name="_Toc479184133"/>
      <w:bookmarkStart w:id="173" w:name="_Toc1591"/>
      <w:r>
        <w:rPr>
          <w:rFonts w:hint="eastAsia" w:asciiTheme="minorEastAsia" w:hAnsiTheme="minorEastAsia" w:eastAsiaTheme="minorEastAsia" w:cstheme="minorEastAsia"/>
          <w:b/>
          <w:bCs/>
          <w:szCs w:val="21"/>
          <w:lang w:val="en-US" w:eastAsia="zh-CN"/>
        </w:rPr>
        <w:t>十</w:t>
      </w:r>
      <w:r>
        <w:rPr>
          <w:rFonts w:hint="eastAsia" w:asciiTheme="minorEastAsia" w:hAnsiTheme="minorEastAsia" w:eastAsiaTheme="minorEastAsia" w:cstheme="minorEastAsia"/>
          <w:b/>
          <w:bCs/>
          <w:szCs w:val="21"/>
        </w:rPr>
        <w:t>、偏离说明表</w:t>
      </w:r>
      <w:bookmarkEnd w:id="168"/>
      <w:bookmarkEnd w:id="169"/>
      <w:bookmarkEnd w:id="170"/>
      <w:bookmarkEnd w:id="171"/>
      <w:bookmarkEnd w:id="172"/>
      <w:bookmarkEnd w:id="173"/>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技术</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商务</w:t>
            </w:r>
            <w:r>
              <w:rPr>
                <w:rFonts w:hint="eastAsia" w:asciiTheme="minorEastAsia" w:hAnsiTheme="minorEastAsia" w:eastAsiaTheme="minorEastAsia" w:cstheme="minorEastAsia"/>
                <w:b/>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7"/>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7"/>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74" w:name="_Toc362935521"/>
      <w:bookmarkStart w:id="175" w:name="_Toc432149013"/>
      <w:bookmarkStart w:id="176" w:name="_Toc32060"/>
      <w:bookmarkStart w:id="177" w:name="_Toc479184134"/>
      <w:bookmarkStart w:id="178" w:name="_Toc28283"/>
      <w:bookmarkStart w:id="179" w:name="_Toc18816"/>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kern w:val="0"/>
          <w:szCs w:val="21"/>
          <w:lang w:eastAsia="zh-CN"/>
        </w:rPr>
        <w:t>一</w:t>
      </w:r>
      <w:r>
        <w:rPr>
          <w:rFonts w:hint="eastAsia" w:asciiTheme="minorEastAsia" w:hAnsiTheme="minorEastAsia" w:eastAsiaTheme="minorEastAsia" w:cstheme="minorEastAsia"/>
          <w:b/>
          <w:kern w:val="0"/>
          <w:szCs w:val="21"/>
        </w:rPr>
        <w:t>、</w:t>
      </w:r>
      <w:r>
        <w:rPr>
          <w:rFonts w:hint="eastAsia" w:asciiTheme="minorEastAsia" w:hAnsiTheme="minorEastAsia" w:eastAsiaTheme="minorEastAsia" w:cstheme="minorEastAsia"/>
          <w:b/>
          <w:bCs/>
          <w:szCs w:val="21"/>
        </w:rPr>
        <w:t>类似业绩一览表</w:t>
      </w:r>
      <w:bookmarkEnd w:id="174"/>
      <w:bookmarkEnd w:id="175"/>
      <w:bookmarkEnd w:id="176"/>
      <w:bookmarkEnd w:id="177"/>
      <w:bookmarkEnd w:id="178"/>
      <w:r>
        <w:rPr>
          <w:rFonts w:hint="eastAsia" w:asciiTheme="minorEastAsia" w:hAnsiTheme="minorEastAsia" w:eastAsiaTheme="minorEastAsia" w:cstheme="minorEastAsia"/>
          <w:b/>
          <w:bCs/>
          <w:szCs w:val="21"/>
        </w:rPr>
        <w:br w:type="textWrapping"/>
      </w:r>
      <w:bookmarkEnd w:id="179"/>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7"/>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330"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7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96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768"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75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17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2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101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是否投</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入使用</w:t>
            </w:r>
          </w:p>
        </w:tc>
        <w:tc>
          <w:tcPr>
            <w:tcW w:w="59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bookmarkStart w:id="180" w:name="_Toc454806053"/>
      <w:bookmarkStart w:id="181" w:name="_Toc460258118"/>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2" w:name="_Toc8374"/>
      <w:bookmarkStart w:id="183" w:name="_Toc30455"/>
      <w:bookmarkStart w:id="184" w:name="_Toc4834"/>
      <w:bookmarkStart w:id="185" w:name="_Toc479184135"/>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二</w:t>
      </w:r>
      <w:r>
        <w:rPr>
          <w:rFonts w:hint="eastAsia" w:asciiTheme="minorEastAsia" w:hAnsiTheme="minorEastAsia" w:eastAsiaTheme="minorEastAsia" w:cstheme="minorEastAsia"/>
          <w:b/>
          <w:bCs/>
          <w:szCs w:val="21"/>
        </w:rPr>
        <w:t>、拟投入项目组人员一览表</w:t>
      </w:r>
      <w:bookmarkEnd w:id="180"/>
      <w:bookmarkEnd w:id="181"/>
      <w:bookmarkEnd w:id="182"/>
      <w:bookmarkEnd w:id="183"/>
      <w:bookmarkEnd w:id="184"/>
      <w:bookmarkEnd w:id="185"/>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7"/>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86" w:name="_Toc479184136"/>
      <w:bookmarkStart w:id="187" w:name="_Toc8711"/>
      <w:bookmarkStart w:id="188" w:name="_Toc26838"/>
      <w:bookmarkStart w:id="189" w:name="_Toc422466737"/>
      <w:bookmarkStart w:id="190" w:name="_Toc10429"/>
      <w:bookmarkStart w:id="191" w:name="_Toc432149014"/>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86"/>
      <w:bookmarkEnd w:id="187"/>
      <w:bookmarkEnd w:id="188"/>
      <w:bookmarkEnd w:id="189"/>
      <w:bookmarkEnd w:id="190"/>
      <w:bookmarkEnd w:id="191"/>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2" w:name="_Toc479184137"/>
      <w:bookmarkStart w:id="193" w:name="_Toc17527"/>
      <w:bookmarkStart w:id="194" w:name="_Toc450827823"/>
      <w:bookmarkStart w:id="195" w:name="_Toc103"/>
      <w:bookmarkStart w:id="196" w:name="_Toc17331"/>
      <w:bookmarkStart w:id="197" w:name="_Toc259028731"/>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192"/>
      <w:bookmarkEnd w:id="193"/>
      <w:bookmarkEnd w:id="194"/>
      <w:bookmarkEnd w:id="195"/>
      <w:bookmarkEnd w:id="196"/>
      <w:bookmarkEnd w:id="197"/>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w:t>
      </w:r>
      <w:r>
        <w:rPr>
          <w:rFonts w:hint="eastAsia" w:asciiTheme="minorEastAsia" w:hAnsiTheme="minorEastAsia" w:eastAsiaTheme="minorEastAsia" w:cstheme="minorEastAsia"/>
          <w:szCs w:val="21"/>
          <w:lang w:eastAsia="zh-CN"/>
        </w:rPr>
        <w:t>。</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198" w:name="_Toc5793"/>
      <w:bookmarkStart w:id="199" w:name="_Toc18555"/>
      <w:bookmarkStart w:id="200" w:name="_Toc364868916"/>
      <w:bookmarkStart w:id="201" w:name="_Toc358447587"/>
      <w:bookmarkStart w:id="202" w:name="_Toc290207179"/>
      <w:bookmarkStart w:id="203" w:name="_Toc32187"/>
      <w:bookmarkStart w:id="204" w:name="_Toc427239751"/>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kern w:val="0"/>
          <w:szCs w:val="21"/>
        </w:rPr>
      </w:pPr>
      <w:bookmarkStart w:id="205" w:name="_Toc6332"/>
      <w:r>
        <w:rPr>
          <w:rFonts w:hint="eastAsia" w:asciiTheme="minorEastAsia" w:hAnsiTheme="minorEastAsia" w:eastAsiaTheme="minorEastAsia" w:cstheme="minorEastAsia"/>
          <w:b/>
          <w:bCs/>
          <w:kern w:val="0"/>
          <w:szCs w:val="21"/>
          <w:lang w:val="en-US" w:eastAsia="zh-CN"/>
        </w:rPr>
        <w:t>十五、</w:t>
      </w:r>
      <w:bookmarkEnd w:id="198"/>
      <w:bookmarkEnd w:id="199"/>
      <w:bookmarkEnd w:id="200"/>
      <w:bookmarkEnd w:id="201"/>
      <w:bookmarkEnd w:id="202"/>
      <w:bookmarkEnd w:id="203"/>
      <w:bookmarkEnd w:id="204"/>
      <w:bookmarkStart w:id="206" w:name="_Toc479184138"/>
      <w:bookmarkStart w:id="207" w:name="_Toc460258123"/>
      <w:bookmarkStart w:id="208" w:name="_Toc29785"/>
      <w:bookmarkStart w:id="209" w:name="_Toc27229"/>
      <w:r>
        <w:rPr>
          <w:rFonts w:hint="eastAsia" w:asciiTheme="minorEastAsia" w:hAnsiTheme="minorEastAsia" w:eastAsiaTheme="minorEastAsia" w:cstheme="minorEastAsia"/>
          <w:b/>
          <w:bCs/>
          <w:kern w:val="0"/>
          <w:szCs w:val="21"/>
        </w:rPr>
        <w:t>报价技术文件</w:t>
      </w:r>
      <w:bookmarkEnd w:id="205"/>
      <w:bookmarkEnd w:id="206"/>
      <w:bookmarkEnd w:id="207"/>
      <w:bookmarkEnd w:id="208"/>
      <w:bookmarkEnd w:id="209"/>
    </w:p>
    <w:p>
      <w:pPr>
        <w:rPr>
          <w:rFonts w:hint="eastAsia" w:asciiTheme="minorEastAsia" w:hAnsiTheme="minorEastAsia" w:eastAsiaTheme="minorEastAsia" w:cstheme="minorEastAsia"/>
          <w:szCs w:val="21"/>
        </w:rPr>
      </w:pPr>
    </w:p>
    <w:p>
      <w:pPr>
        <w:pStyle w:val="98"/>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8"/>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8"/>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8"/>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8"/>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8"/>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8"/>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10" w:name="_Toc355802499"/>
      <w:bookmarkStart w:id="211" w:name="_Toc2101"/>
      <w:bookmarkStart w:id="212" w:name="_Toc422466739"/>
      <w:bookmarkStart w:id="213" w:name="_Toc479184140"/>
      <w:bookmarkStart w:id="214" w:name="_Toc432149016"/>
      <w:bookmarkStart w:id="215" w:name="_Toc8098"/>
      <w:bookmarkStart w:id="216" w:name="_Toc12119"/>
      <w:bookmarkStart w:id="217" w:name="_Toc22465"/>
      <w:bookmarkStart w:id="218" w:name="_Toc356836516"/>
      <w:bookmarkStart w:id="219" w:name="_Toc26126"/>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六</w:t>
      </w:r>
      <w:r>
        <w:rPr>
          <w:rFonts w:hint="eastAsia" w:asciiTheme="minorEastAsia" w:hAnsiTheme="minorEastAsia" w:eastAsiaTheme="minorEastAsia" w:cstheme="minorEastAsia"/>
          <w:b/>
        </w:rPr>
        <w:t>、中小企业声明函</w:t>
      </w:r>
      <w:bookmarkEnd w:id="210"/>
      <w:bookmarkEnd w:id="211"/>
      <w:bookmarkEnd w:id="212"/>
      <w:bookmarkEnd w:id="213"/>
      <w:bookmarkEnd w:id="214"/>
      <w:bookmarkEnd w:id="215"/>
      <w:bookmarkEnd w:id="216"/>
      <w:bookmarkEnd w:id="217"/>
      <w:bookmarkEnd w:id="218"/>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19"/>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20" w:name="OLE_LINK5"/>
      <w:r>
        <w:rPr>
          <w:rFonts w:hint="eastAsia" w:asciiTheme="minorEastAsia" w:hAnsiTheme="minorEastAsia" w:eastAsiaTheme="minorEastAsia" w:cstheme="minorEastAsia"/>
          <w:spacing w:val="6"/>
          <w:szCs w:val="21"/>
        </w:rPr>
        <w:t>______（请填写：中型、小型、微型）企业</w:t>
      </w:r>
      <w:bookmarkEnd w:id="220"/>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9"/>
        </w:numPr>
        <w:spacing w:line="360" w:lineRule="auto"/>
        <w:ind w:firstLine="446" w:firstLineChars="200"/>
        <w:rPr>
          <w:rFonts w:hint="eastAsia" w:asciiTheme="minorEastAsia" w:hAnsiTheme="minorEastAsia" w:eastAsiaTheme="minorEastAsia" w:cstheme="minorEastAsia"/>
          <w:b/>
          <w:bCs/>
          <w:spacing w:val="6"/>
          <w:szCs w:val="21"/>
          <w:lang w:val="en-US" w:eastAsia="zh-CN"/>
        </w:rPr>
      </w:pPr>
      <w:r>
        <w:rPr>
          <w:rFonts w:hint="eastAsia" w:asciiTheme="minorEastAsia" w:hAnsiTheme="minorEastAsia" w:eastAsiaTheme="minorEastAsia" w:cstheme="minorEastAsia"/>
          <w:b/>
          <w:bCs/>
          <w:spacing w:val="6"/>
          <w:szCs w:val="21"/>
          <w:lang w:val="en-US" w:eastAsia="zh-CN"/>
        </w:rPr>
        <w:t>提供</w:t>
      </w:r>
      <w:r>
        <w:rPr>
          <w:rFonts w:hint="eastAsia" w:asciiTheme="minorEastAsia" w:hAnsiTheme="minorEastAsia" w:eastAsiaTheme="minorEastAsia" w:cstheme="minorEastAsia"/>
          <w:b/>
          <w:bCs/>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spacing w:val="6"/>
          <w:szCs w:val="21"/>
          <w:lang w:val="en-US" w:eastAsia="zh-CN"/>
        </w:rPr>
        <w:t>料。</w:t>
      </w:r>
    </w:p>
    <w:p>
      <w:pPr>
        <w:numPr>
          <w:ilvl w:val="0"/>
          <w:numId w:val="49"/>
        </w:numPr>
        <w:spacing w:line="360" w:lineRule="auto"/>
        <w:ind w:firstLine="446" w:firstLineChars="200"/>
        <w:rPr>
          <w:rFonts w:hint="eastAsia"/>
          <w:lang w:val="en-US" w:eastAsia="zh-CN"/>
        </w:rPr>
      </w:pPr>
      <w:r>
        <w:rPr>
          <w:rFonts w:hint="eastAsia" w:asciiTheme="minorEastAsia" w:hAnsiTheme="minorEastAsia" w:eastAsiaTheme="minorEastAsia" w:cstheme="minorEastAsia"/>
          <w:b/>
          <w:bCs/>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lang w:val="en-US" w:eastAsia="zh-CN"/>
        </w:rPr>
        <w:t>备注：未提供证明材料或材料不全的不予折扣。</w:t>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hint="eastAsia" w:asciiTheme="minorEastAsia" w:hAnsiTheme="minorEastAsia" w:eastAsiaTheme="minorEastAsia" w:cstheme="minorEastAsia"/>
          <w:spacing w:val="6"/>
          <w:szCs w:val="21"/>
        </w:rPr>
      </w:pPr>
    </w:p>
    <w:p>
      <w:pPr>
        <w:autoSpaceDE w:val="0"/>
        <w:autoSpaceDN w:val="0"/>
        <w:adjustRightInd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20"/>
    <w:bookmarkEnd w:id="121"/>
    <w:bookmarkEnd w:id="122"/>
    <w:bookmarkEnd w:id="123"/>
    <w:p>
      <w:pPr>
        <w:numPr>
          <w:ilvl w:val="0"/>
          <w:numId w:val="0"/>
        </w:numPr>
        <w:adjustRightInd w:val="0"/>
        <w:snapToGri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21" w:name="_Toc26897"/>
      <w:bookmarkStart w:id="222" w:name="_Toc476839034"/>
      <w:bookmarkStart w:id="223" w:name="_Toc4320"/>
      <w:bookmarkStart w:id="224" w:name="_Toc30406"/>
      <w:bookmarkStart w:id="225" w:name="_Toc7229"/>
      <w:bookmarkStart w:id="226" w:name="_Toc479184141"/>
      <w:r>
        <w:rPr>
          <w:rFonts w:hint="eastAsia" w:asciiTheme="minorEastAsia" w:hAnsiTheme="minorEastAsia" w:eastAsiaTheme="minorEastAsia" w:cstheme="minorEastAsia"/>
          <w:b/>
          <w:bCs/>
          <w:spacing w:val="6"/>
          <w:szCs w:val="21"/>
          <w:lang w:val="en-US" w:eastAsia="zh-CN"/>
        </w:rPr>
        <w:t>十七、</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1"/>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p>
    <w:p>
      <w:pPr>
        <w:numPr>
          <w:ilvl w:val="0"/>
          <w:numId w:val="0"/>
        </w:numPr>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outlineLvl w:val="9"/>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lang w:val="zh-CN"/>
        </w:rPr>
      </w:pPr>
      <w:bookmarkStart w:id="227" w:name="_Toc21843"/>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lang w:val="en-US" w:eastAsia="zh-CN"/>
        </w:rPr>
        <w:t>十八</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7"/>
    </w:p>
    <w:p>
      <w:pPr>
        <w:pStyle w:val="15"/>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5"/>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5"/>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5"/>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5"/>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br w:type="textWrapping"/>
      </w: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为安置的每位残疾人按月足额缴纳了基本养老保险、基本医疗保险、失业保险、工伤保险和生育保险等社会保险费；</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通过银行等金融机构向安置的每位残疾人，按月支付了不低于单位所在区县适用的经省级人民政府批准的月最低工资标准的工资；</w:t>
      </w:r>
    </w:p>
    <w:p>
      <w:pPr>
        <w:numPr>
          <w:ilvl w:val="0"/>
          <w:numId w:val="50"/>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szCs w:val="21"/>
          <w:u w:val="single"/>
        </w:rPr>
      </w:pPr>
      <w:bookmarkStart w:id="228" w:name="_Toc20002"/>
      <w:r>
        <w:rPr>
          <w:rFonts w:hint="eastAsia" w:asciiTheme="minorEastAsia" w:hAnsiTheme="minorEastAsia" w:eastAsiaTheme="minorEastAsia" w:cstheme="minorEastAsia"/>
          <w:b/>
          <w:lang w:val="en-US" w:eastAsia="zh-CN"/>
        </w:rPr>
        <w:t>十九、节能环保产品证明材料（若符合）</w:t>
      </w:r>
      <w:bookmarkEnd w:id="228"/>
    </w:p>
    <w:p>
      <w:pPr>
        <w:adjustRightInd w:val="0"/>
        <w:snapToGrid w:val="0"/>
        <w:spacing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节能产品：</w:t>
      </w:r>
    </w:p>
    <w:tbl>
      <w:tblPr>
        <w:tblStyle w:val="27"/>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环保产品：</w:t>
      </w: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en-US" w:eastAsia="zh-CN"/>
        </w:rPr>
        <w:t>注</w:t>
      </w:r>
      <w:r>
        <w:rPr>
          <w:rFonts w:hint="eastAsia" w:asciiTheme="minorEastAsia" w:hAnsiTheme="minorEastAsia" w:eastAsiaTheme="minorEastAsia" w:cstheme="minorEastAsia"/>
          <w:szCs w:val="21"/>
        </w:rPr>
        <w:t>：供应商所提供产品如为节能环保产品，则应按本磋商文件第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政策支持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rPr>
      </w:pPr>
      <w:bookmarkStart w:id="229" w:name="_Toc4769"/>
      <w:r>
        <w:rPr>
          <w:rFonts w:hint="eastAsia" w:asciiTheme="minorEastAsia" w:hAnsiTheme="minorEastAsia" w:eastAsiaTheme="minorEastAsia" w:cstheme="minorEastAsia"/>
          <w:b/>
          <w:bCs/>
          <w:spacing w:val="6"/>
          <w:szCs w:val="21"/>
          <w:lang w:val="en-US" w:eastAsia="zh-CN"/>
        </w:rPr>
        <w:t>二十</w:t>
      </w:r>
      <w:r>
        <w:rPr>
          <w:rFonts w:hint="eastAsia" w:asciiTheme="minorEastAsia" w:hAnsiTheme="minorEastAsia" w:eastAsiaTheme="minorEastAsia" w:cstheme="minorEastAsia"/>
          <w:b/>
          <w:bCs/>
          <w:spacing w:val="6"/>
          <w:szCs w:val="21"/>
        </w:rPr>
        <w:t>、</w:t>
      </w:r>
      <w:r>
        <w:rPr>
          <w:rFonts w:hint="eastAsia" w:asciiTheme="minorEastAsia" w:hAnsiTheme="minorEastAsia" w:eastAsiaTheme="minorEastAsia" w:cstheme="minorEastAsia"/>
          <w:b/>
        </w:rPr>
        <w:t>无重大违法记录声明</w:t>
      </w:r>
      <w:bookmarkEnd w:id="222"/>
      <w:bookmarkEnd w:id="223"/>
      <w:bookmarkEnd w:id="224"/>
      <w:bookmarkEnd w:id="225"/>
      <w:bookmarkEnd w:id="226"/>
      <w:bookmarkEnd w:id="229"/>
    </w:p>
    <w:p>
      <w:pPr>
        <w:spacing w:line="48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磋商供应商应</w:t>
      </w:r>
      <w:r>
        <w:rPr>
          <w:rFonts w:hint="eastAsia" w:asciiTheme="minorEastAsia" w:hAnsiTheme="minorEastAsia" w:eastAsiaTheme="minorEastAsia" w:cstheme="minorEastAsia"/>
          <w:b/>
          <w:bCs/>
          <w:kern w:val="0"/>
          <w:sz w:val="24"/>
          <w:lang w:val="en-US" w:eastAsia="zh-CN"/>
        </w:rPr>
        <w:t>在此基础上，</w:t>
      </w:r>
      <w:r>
        <w:rPr>
          <w:rFonts w:hint="eastAsia" w:asciiTheme="minorEastAsia" w:hAnsiTheme="minorEastAsia" w:eastAsiaTheme="minorEastAsia" w:cstheme="minorEastAsia"/>
          <w:b/>
          <w:bCs/>
          <w:kern w:val="0"/>
          <w:sz w:val="24"/>
        </w:rPr>
        <w:t>根据本单位实际情况进行声明</w:t>
      </w:r>
      <w:r>
        <w:rPr>
          <w:rFonts w:hint="eastAsia" w:asciiTheme="minorEastAsia" w:hAnsiTheme="minorEastAsia" w:eastAsiaTheme="minorEastAsia" w:cstheme="minorEastAsia"/>
          <w:b/>
          <w:bCs/>
          <w:kern w:val="0"/>
          <w:sz w:val="24"/>
          <w:lang w:eastAsia="zh-CN"/>
        </w:rPr>
        <w:t>）</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line="360" w:lineRule="auto"/>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spacing w:line="360" w:lineRule="auto"/>
        <w:ind w:firstLine="420" w:firstLineChars="200"/>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kern w:val="0"/>
          <w:szCs w:val="21"/>
          <w:shd w:val="clear" w:color="auto" w:fill="FFFFFF"/>
        </w:rPr>
        <w:br w:type="textWrapping"/>
      </w:r>
    </w:p>
    <w:p>
      <w:pPr>
        <w:jc w:val="center"/>
        <w:outlineLvl w:val="1"/>
        <w:rPr>
          <w:rFonts w:hint="eastAsia" w:asciiTheme="minorEastAsia" w:hAnsiTheme="minorEastAsia" w:eastAsiaTheme="minorEastAsia" w:cstheme="minorEastAsia"/>
          <w:spacing w:val="6"/>
          <w:szCs w:val="21"/>
        </w:rPr>
      </w:pPr>
      <w:bookmarkStart w:id="230" w:name="_Toc10829"/>
      <w:bookmarkStart w:id="231" w:name="_Toc16716"/>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lang w:val="en-US" w:eastAsia="zh-CN"/>
        </w:rPr>
        <w:t>二十一</w:t>
      </w:r>
      <w:r>
        <w:rPr>
          <w:rFonts w:hint="eastAsia" w:asciiTheme="minorEastAsia" w:hAnsiTheme="minorEastAsia" w:eastAsiaTheme="minorEastAsia" w:cstheme="minorEastAsia"/>
          <w:b/>
          <w:bCs/>
          <w:kern w:val="0"/>
          <w:szCs w:val="21"/>
          <w:shd w:val="clear" w:color="auto" w:fill="FFFFFF"/>
        </w:rPr>
        <w:t>、磋商供应商认为应该提交的其它文件（格式自拟）</w:t>
      </w:r>
      <w:bookmarkEnd w:id="230"/>
      <w:bookmarkEnd w:id="231"/>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1"/>
      </w:rPr>
    </w:pPr>
    <w:r>
      <w:fldChar w:fldCharType="begin"/>
    </w:r>
    <w:r>
      <w:rPr>
        <w:rStyle w:val="31"/>
      </w:rPr>
      <w:instrText xml:space="preserve">PAGE  </w:instrText>
    </w:r>
    <w: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46</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D757A492"/>
    <w:multiLevelType w:val="singleLevel"/>
    <w:tmpl w:val="D757A492"/>
    <w:lvl w:ilvl="0" w:tentative="0">
      <w:start w:val="1"/>
      <w:numFmt w:val="decimal"/>
      <w:suff w:val="space"/>
      <w:lvlText w:val="%1）"/>
      <w:lvlJc w:val="left"/>
    </w:lvl>
  </w:abstractNum>
  <w:abstractNum w:abstractNumId="2">
    <w:nsid w:val="FF4B8943"/>
    <w:multiLevelType w:val="singleLevel"/>
    <w:tmpl w:val="FF4B8943"/>
    <w:lvl w:ilvl="0" w:tentative="0">
      <w:start w:val="1"/>
      <w:numFmt w:val="decimal"/>
      <w:suff w:val="nothing"/>
      <w:lvlText w:val="（%1）"/>
      <w:lvlJc w:val="left"/>
    </w:lvl>
  </w:abstractNum>
  <w:abstractNum w:abstractNumId="3">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44F5BAD"/>
    <w:multiLevelType w:val="singleLevel"/>
    <w:tmpl w:val="044F5BAD"/>
    <w:lvl w:ilvl="0" w:tentative="0">
      <w:start w:val="1"/>
      <w:numFmt w:val="decimal"/>
      <w:suff w:val="nothing"/>
      <w:lvlText w:val="（%1）"/>
      <w:lvlJc w:val="left"/>
    </w:lvl>
  </w:abstractNum>
  <w:abstractNum w:abstractNumId="6">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D2C0F3F"/>
    <w:multiLevelType w:val="multilevel"/>
    <w:tmpl w:val="0D2C0F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15907297"/>
    <w:multiLevelType w:val="multilevel"/>
    <w:tmpl w:val="15907297"/>
    <w:lvl w:ilvl="0" w:tentative="0">
      <w:start w:val="1"/>
      <w:numFmt w:val="decimal"/>
      <w:pStyle w:val="80"/>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2"/>
      <w:lvlText w:val="%1.%2.%3"/>
      <w:lvlJc w:val="left"/>
      <w:pPr>
        <w:tabs>
          <w:tab w:val="left" w:pos="720"/>
        </w:tabs>
        <w:ind w:left="720" w:hanging="153"/>
      </w:pPr>
      <w:rPr>
        <w:rFonts w:hint="eastAsia"/>
      </w:rPr>
    </w:lvl>
    <w:lvl w:ilvl="3" w:tentative="0">
      <w:start w:val="1"/>
      <w:numFmt w:val="decimal"/>
      <w:pStyle w:val="79"/>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4">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1E84619A"/>
    <w:multiLevelType w:val="singleLevel"/>
    <w:tmpl w:val="1E84619A"/>
    <w:lvl w:ilvl="0" w:tentative="0">
      <w:start w:val="1"/>
      <w:numFmt w:val="decimal"/>
      <w:suff w:val="nothing"/>
      <w:lvlText w:val="%1、"/>
      <w:lvlJc w:val="left"/>
    </w:lvl>
  </w:abstractNum>
  <w:abstractNum w:abstractNumId="18">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9">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0">
    <w:nsid w:val="2A583388"/>
    <w:multiLevelType w:val="multilevel"/>
    <w:tmpl w:val="2A5833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6"/>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2">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5">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3D54BD59"/>
    <w:multiLevelType w:val="singleLevel"/>
    <w:tmpl w:val="3D54BD59"/>
    <w:lvl w:ilvl="0" w:tentative="0">
      <w:start w:val="1"/>
      <w:numFmt w:val="decimal"/>
      <w:lvlText w:val="%1."/>
      <w:lvlJc w:val="left"/>
      <w:pPr>
        <w:ind w:left="425" w:hanging="425"/>
      </w:pPr>
      <w:rPr>
        <w:rFonts w:hint="default"/>
      </w:rPr>
    </w:lvl>
  </w:abstractNum>
  <w:abstractNum w:abstractNumId="27">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8">
    <w:nsid w:val="45C01709"/>
    <w:multiLevelType w:val="multilevel"/>
    <w:tmpl w:val="45C017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1">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2">
    <w:nsid w:val="4B331C36"/>
    <w:multiLevelType w:val="multilevel"/>
    <w:tmpl w:val="4B331C36"/>
    <w:lvl w:ilvl="0" w:tentative="0">
      <w:start w:val="1"/>
      <w:numFmt w:val="japaneseCounting"/>
      <w:pStyle w:val="91"/>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4">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6">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7">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8">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9">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0">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1">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2">
    <w:nsid w:val="6CEA2025"/>
    <w:multiLevelType w:val="multilevel"/>
    <w:tmpl w:val="6CEA2025"/>
    <w:lvl w:ilvl="0" w:tentative="0">
      <w:start w:val="1"/>
      <w:numFmt w:val="none"/>
      <w:pStyle w:val="68"/>
      <w:suff w:val="nothing"/>
      <w:lvlText w:val="%1"/>
      <w:lvlJc w:val="left"/>
      <w:pPr>
        <w:ind w:left="0" w:firstLine="0"/>
      </w:pPr>
      <w:rPr>
        <w:rFonts w:hint="default" w:ascii="Times New Roman" w:hAnsi="Times New Roman"/>
        <w:b/>
        <w:i w:val="0"/>
        <w:sz w:val="21"/>
      </w:rPr>
    </w:lvl>
    <w:lvl w:ilvl="1" w:tentative="0">
      <w:start w:val="1"/>
      <w:numFmt w:val="decimal"/>
      <w:pStyle w:val="71"/>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7"/>
      <w:suff w:val="nothing"/>
      <w:lvlText w:val="%1%2.%3　"/>
      <w:lvlJc w:val="left"/>
      <w:pPr>
        <w:ind w:left="720" w:firstLine="0"/>
      </w:pPr>
      <w:rPr>
        <w:rFonts w:hint="eastAsia" w:ascii="黑体" w:hAnsi="Times New Roman" w:eastAsia="黑体"/>
        <w:b w:val="0"/>
        <w:i w:val="0"/>
        <w:sz w:val="21"/>
      </w:rPr>
    </w:lvl>
    <w:lvl w:ilvl="3" w:tentative="0">
      <w:start w:val="1"/>
      <w:numFmt w:val="decimal"/>
      <w:pStyle w:val="76"/>
      <w:suff w:val="nothing"/>
      <w:lvlText w:val="%1%2.4.%4　"/>
      <w:lvlJc w:val="left"/>
      <w:pPr>
        <w:ind w:left="420" w:firstLine="0"/>
      </w:pPr>
      <w:rPr>
        <w:rFonts w:hint="eastAsia" w:ascii="黑体" w:hAnsi="Times New Roman" w:eastAsia="黑体"/>
        <w:b w:val="0"/>
        <w:i w:val="0"/>
        <w:sz w:val="21"/>
      </w:rPr>
    </w:lvl>
    <w:lvl w:ilvl="4" w:tentative="0">
      <w:start w:val="1"/>
      <w:numFmt w:val="decimal"/>
      <w:pStyle w:val="83"/>
      <w:suff w:val="nothing"/>
      <w:lvlText w:val="5.%12.5.%5　"/>
      <w:lvlJc w:val="left"/>
      <w:pPr>
        <w:ind w:left="42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3">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4">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5">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7">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9">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42"/>
  </w:num>
  <w:num w:numId="2">
    <w:abstractNumId w:val="12"/>
  </w:num>
  <w:num w:numId="3">
    <w:abstractNumId w:val="21"/>
  </w:num>
  <w:num w:numId="4">
    <w:abstractNumId w:val="32"/>
  </w:num>
  <w:num w:numId="5">
    <w:abstractNumId w:val="15"/>
  </w:num>
  <w:num w:numId="6">
    <w:abstractNumId w:val="14"/>
  </w:num>
  <w:num w:numId="7">
    <w:abstractNumId w:val="2"/>
  </w:num>
  <w:num w:numId="8">
    <w:abstractNumId w:val="36"/>
  </w:num>
  <w:num w:numId="9">
    <w:abstractNumId w:val="17"/>
  </w:num>
  <w:num w:numId="10">
    <w:abstractNumId w:val="10"/>
  </w:num>
  <w:num w:numId="11">
    <w:abstractNumId w:val="16"/>
  </w:num>
  <w:num w:numId="12">
    <w:abstractNumId w:val="38"/>
  </w:num>
  <w:num w:numId="13">
    <w:abstractNumId w:val="48"/>
  </w:num>
  <w:num w:numId="14">
    <w:abstractNumId w:val="49"/>
  </w:num>
  <w:num w:numId="15">
    <w:abstractNumId w:val="31"/>
  </w:num>
  <w:num w:numId="16">
    <w:abstractNumId w:val="34"/>
  </w:num>
  <w:num w:numId="17">
    <w:abstractNumId w:val="37"/>
  </w:num>
  <w:num w:numId="18">
    <w:abstractNumId w:val="39"/>
  </w:num>
  <w:num w:numId="19">
    <w:abstractNumId w:val="4"/>
  </w:num>
  <w:num w:numId="20">
    <w:abstractNumId w:val="41"/>
  </w:num>
  <w:num w:numId="21">
    <w:abstractNumId w:val="6"/>
  </w:num>
  <w:num w:numId="22">
    <w:abstractNumId w:val="29"/>
  </w:num>
  <w:num w:numId="23">
    <w:abstractNumId w:val="23"/>
  </w:num>
  <w:num w:numId="24">
    <w:abstractNumId w:val="44"/>
  </w:num>
  <w:num w:numId="25">
    <w:abstractNumId w:val="13"/>
  </w:num>
  <w:num w:numId="26">
    <w:abstractNumId w:val="30"/>
  </w:num>
  <w:num w:numId="27">
    <w:abstractNumId w:val="9"/>
  </w:num>
  <w:num w:numId="28">
    <w:abstractNumId w:val="43"/>
  </w:num>
  <w:num w:numId="29">
    <w:abstractNumId w:val="47"/>
  </w:num>
  <w:num w:numId="30">
    <w:abstractNumId w:val="33"/>
  </w:num>
  <w:num w:numId="31">
    <w:abstractNumId w:val="25"/>
  </w:num>
  <w:num w:numId="32">
    <w:abstractNumId w:val="11"/>
  </w:num>
  <w:num w:numId="33">
    <w:abstractNumId w:val="22"/>
  </w:num>
  <w:num w:numId="34">
    <w:abstractNumId w:val="46"/>
  </w:num>
  <w:num w:numId="35">
    <w:abstractNumId w:val="27"/>
  </w:num>
  <w:num w:numId="36">
    <w:abstractNumId w:val="1"/>
  </w:num>
  <w:num w:numId="37">
    <w:abstractNumId w:val="20"/>
  </w:num>
  <w:num w:numId="38">
    <w:abstractNumId w:val="7"/>
  </w:num>
  <w:num w:numId="39">
    <w:abstractNumId w:val="28"/>
  </w:num>
  <w:num w:numId="40">
    <w:abstractNumId w:val="26"/>
  </w:num>
  <w:num w:numId="41">
    <w:abstractNumId w:val="45"/>
  </w:num>
  <w:num w:numId="42">
    <w:abstractNumId w:val="40"/>
  </w:num>
  <w:num w:numId="43">
    <w:abstractNumId w:val="18"/>
  </w:num>
  <w:num w:numId="44">
    <w:abstractNumId w:val="35"/>
  </w:num>
  <w:num w:numId="45">
    <w:abstractNumId w:val="3"/>
  </w:num>
  <w:num w:numId="46">
    <w:abstractNumId w:val="19"/>
  </w:num>
  <w:num w:numId="47">
    <w:abstractNumId w:val="24"/>
  </w:num>
  <w:num w:numId="48">
    <w:abstractNumId w:val="8"/>
  </w:num>
  <w:num w:numId="49">
    <w:abstractNumId w:val="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01C1"/>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757860"/>
    <w:rsid w:val="018D0205"/>
    <w:rsid w:val="01C12A88"/>
    <w:rsid w:val="01D07706"/>
    <w:rsid w:val="0221271C"/>
    <w:rsid w:val="022D649C"/>
    <w:rsid w:val="02351774"/>
    <w:rsid w:val="023A6ECB"/>
    <w:rsid w:val="02420646"/>
    <w:rsid w:val="028223A8"/>
    <w:rsid w:val="02A9706C"/>
    <w:rsid w:val="02AF6599"/>
    <w:rsid w:val="02DE374B"/>
    <w:rsid w:val="03044359"/>
    <w:rsid w:val="031C67BA"/>
    <w:rsid w:val="03511571"/>
    <w:rsid w:val="035E37BC"/>
    <w:rsid w:val="03715197"/>
    <w:rsid w:val="03A25185"/>
    <w:rsid w:val="03A92E0C"/>
    <w:rsid w:val="03A93F07"/>
    <w:rsid w:val="03DD17F0"/>
    <w:rsid w:val="03F730D5"/>
    <w:rsid w:val="040E4213"/>
    <w:rsid w:val="04137380"/>
    <w:rsid w:val="04160294"/>
    <w:rsid w:val="0421064D"/>
    <w:rsid w:val="0424709F"/>
    <w:rsid w:val="04273734"/>
    <w:rsid w:val="042C6AE4"/>
    <w:rsid w:val="0439748C"/>
    <w:rsid w:val="045F4428"/>
    <w:rsid w:val="04663DEE"/>
    <w:rsid w:val="048B6224"/>
    <w:rsid w:val="049C3EF3"/>
    <w:rsid w:val="04BC1BA0"/>
    <w:rsid w:val="04CC4566"/>
    <w:rsid w:val="04FD23FC"/>
    <w:rsid w:val="05005426"/>
    <w:rsid w:val="055A128A"/>
    <w:rsid w:val="055A38B5"/>
    <w:rsid w:val="059C5F8E"/>
    <w:rsid w:val="05AD5736"/>
    <w:rsid w:val="05CA2818"/>
    <w:rsid w:val="05CF4780"/>
    <w:rsid w:val="05FA06DD"/>
    <w:rsid w:val="06023A8F"/>
    <w:rsid w:val="0611621E"/>
    <w:rsid w:val="063F258E"/>
    <w:rsid w:val="065044F8"/>
    <w:rsid w:val="0653482B"/>
    <w:rsid w:val="06B7286F"/>
    <w:rsid w:val="06C116BD"/>
    <w:rsid w:val="06C767F8"/>
    <w:rsid w:val="06EA2FBD"/>
    <w:rsid w:val="06ED1770"/>
    <w:rsid w:val="06FE4AAE"/>
    <w:rsid w:val="070157D1"/>
    <w:rsid w:val="07117CDC"/>
    <w:rsid w:val="07354BE2"/>
    <w:rsid w:val="073F384D"/>
    <w:rsid w:val="07506DDE"/>
    <w:rsid w:val="078360F1"/>
    <w:rsid w:val="079555F7"/>
    <w:rsid w:val="07AA21A6"/>
    <w:rsid w:val="07B323DD"/>
    <w:rsid w:val="07CB1191"/>
    <w:rsid w:val="07D33E7D"/>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6A4BCE"/>
    <w:rsid w:val="098226D8"/>
    <w:rsid w:val="09894939"/>
    <w:rsid w:val="09A02CD8"/>
    <w:rsid w:val="0A165448"/>
    <w:rsid w:val="0A502EA2"/>
    <w:rsid w:val="0A5758F7"/>
    <w:rsid w:val="0A67144A"/>
    <w:rsid w:val="0A71618F"/>
    <w:rsid w:val="0A7E1671"/>
    <w:rsid w:val="0AC16F66"/>
    <w:rsid w:val="0B435CD5"/>
    <w:rsid w:val="0B456825"/>
    <w:rsid w:val="0B4B17AC"/>
    <w:rsid w:val="0B4C1B40"/>
    <w:rsid w:val="0B4F5787"/>
    <w:rsid w:val="0B625354"/>
    <w:rsid w:val="0B6438A9"/>
    <w:rsid w:val="0BC22757"/>
    <w:rsid w:val="0BD0342B"/>
    <w:rsid w:val="0BE3070D"/>
    <w:rsid w:val="0BE94FBA"/>
    <w:rsid w:val="0C367BBD"/>
    <w:rsid w:val="0C3C4113"/>
    <w:rsid w:val="0C4225D4"/>
    <w:rsid w:val="0C49239C"/>
    <w:rsid w:val="0C4E57C8"/>
    <w:rsid w:val="0C7336D0"/>
    <w:rsid w:val="0CC36F40"/>
    <w:rsid w:val="0CE75800"/>
    <w:rsid w:val="0CF02600"/>
    <w:rsid w:val="0D162766"/>
    <w:rsid w:val="0D30615A"/>
    <w:rsid w:val="0D4A590E"/>
    <w:rsid w:val="0D50445B"/>
    <w:rsid w:val="0D7807F1"/>
    <w:rsid w:val="0D895A46"/>
    <w:rsid w:val="0D9B67EB"/>
    <w:rsid w:val="0DA45AD2"/>
    <w:rsid w:val="0DE86CEC"/>
    <w:rsid w:val="0E0A51BD"/>
    <w:rsid w:val="0E141CA7"/>
    <w:rsid w:val="0E386D2E"/>
    <w:rsid w:val="0E442D5B"/>
    <w:rsid w:val="0E4E7B59"/>
    <w:rsid w:val="0E6E5960"/>
    <w:rsid w:val="0EAE4301"/>
    <w:rsid w:val="0ED27024"/>
    <w:rsid w:val="0ED94F19"/>
    <w:rsid w:val="0EDC5EDB"/>
    <w:rsid w:val="0F1B0DB7"/>
    <w:rsid w:val="0F3425BB"/>
    <w:rsid w:val="0F5A5FCA"/>
    <w:rsid w:val="0F6C7EA7"/>
    <w:rsid w:val="0FA03F81"/>
    <w:rsid w:val="0FC5121F"/>
    <w:rsid w:val="0FC52200"/>
    <w:rsid w:val="0FC57219"/>
    <w:rsid w:val="0FF11896"/>
    <w:rsid w:val="0FF743B8"/>
    <w:rsid w:val="104114BC"/>
    <w:rsid w:val="104F21E7"/>
    <w:rsid w:val="10522A43"/>
    <w:rsid w:val="105950B7"/>
    <w:rsid w:val="10681B45"/>
    <w:rsid w:val="107B22FE"/>
    <w:rsid w:val="10C3459E"/>
    <w:rsid w:val="10D545EB"/>
    <w:rsid w:val="10E51E7E"/>
    <w:rsid w:val="110045E6"/>
    <w:rsid w:val="1109548A"/>
    <w:rsid w:val="11156035"/>
    <w:rsid w:val="111F2499"/>
    <w:rsid w:val="11296D36"/>
    <w:rsid w:val="1146103D"/>
    <w:rsid w:val="116C7384"/>
    <w:rsid w:val="12305D0B"/>
    <w:rsid w:val="124B307E"/>
    <w:rsid w:val="12595354"/>
    <w:rsid w:val="12676ACE"/>
    <w:rsid w:val="128C79F5"/>
    <w:rsid w:val="12987FD1"/>
    <w:rsid w:val="12D57C7C"/>
    <w:rsid w:val="12DE2F04"/>
    <w:rsid w:val="12F453F7"/>
    <w:rsid w:val="135A65CD"/>
    <w:rsid w:val="13681291"/>
    <w:rsid w:val="139A72A6"/>
    <w:rsid w:val="13D75C16"/>
    <w:rsid w:val="141A71FC"/>
    <w:rsid w:val="14393E39"/>
    <w:rsid w:val="1439492C"/>
    <w:rsid w:val="144E282E"/>
    <w:rsid w:val="14905D77"/>
    <w:rsid w:val="149763DF"/>
    <w:rsid w:val="14C13D98"/>
    <w:rsid w:val="14C818C6"/>
    <w:rsid w:val="14D17473"/>
    <w:rsid w:val="14D2285A"/>
    <w:rsid w:val="14F848F0"/>
    <w:rsid w:val="1533008F"/>
    <w:rsid w:val="153D3401"/>
    <w:rsid w:val="154F1ECC"/>
    <w:rsid w:val="155142E7"/>
    <w:rsid w:val="15855A36"/>
    <w:rsid w:val="158E06A1"/>
    <w:rsid w:val="15932B1E"/>
    <w:rsid w:val="15AF36C0"/>
    <w:rsid w:val="15CD64D5"/>
    <w:rsid w:val="15D73E4B"/>
    <w:rsid w:val="15EE7CEF"/>
    <w:rsid w:val="160D691C"/>
    <w:rsid w:val="16333435"/>
    <w:rsid w:val="16391530"/>
    <w:rsid w:val="16550678"/>
    <w:rsid w:val="166C136C"/>
    <w:rsid w:val="168C0198"/>
    <w:rsid w:val="16C6539F"/>
    <w:rsid w:val="16C83962"/>
    <w:rsid w:val="16ED23AA"/>
    <w:rsid w:val="173E2364"/>
    <w:rsid w:val="173E4E07"/>
    <w:rsid w:val="1761710C"/>
    <w:rsid w:val="17812612"/>
    <w:rsid w:val="1789592C"/>
    <w:rsid w:val="17933C9F"/>
    <w:rsid w:val="17B13E29"/>
    <w:rsid w:val="17D67A38"/>
    <w:rsid w:val="17DB1463"/>
    <w:rsid w:val="17ED5B45"/>
    <w:rsid w:val="18260DD1"/>
    <w:rsid w:val="182656C2"/>
    <w:rsid w:val="18303541"/>
    <w:rsid w:val="183735E3"/>
    <w:rsid w:val="18744310"/>
    <w:rsid w:val="189F530B"/>
    <w:rsid w:val="18A12DFD"/>
    <w:rsid w:val="18A922F3"/>
    <w:rsid w:val="18B137E8"/>
    <w:rsid w:val="18D46399"/>
    <w:rsid w:val="18F56002"/>
    <w:rsid w:val="192F50C9"/>
    <w:rsid w:val="19633F03"/>
    <w:rsid w:val="196F047E"/>
    <w:rsid w:val="197D66B1"/>
    <w:rsid w:val="199E02FC"/>
    <w:rsid w:val="19AF4570"/>
    <w:rsid w:val="19BA1CE3"/>
    <w:rsid w:val="19DF55C2"/>
    <w:rsid w:val="1A0C61A8"/>
    <w:rsid w:val="1A132F57"/>
    <w:rsid w:val="1A300E03"/>
    <w:rsid w:val="1A5F760F"/>
    <w:rsid w:val="1A6F3E95"/>
    <w:rsid w:val="1A6F6E85"/>
    <w:rsid w:val="1AD22ED2"/>
    <w:rsid w:val="1AD51B88"/>
    <w:rsid w:val="1B2058A0"/>
    <w:rsid w:val="1B566A66"/>
    <w:rsid w:val="1B8565CF"/>
    <w:rsid w:val="1B9104B0"/>
    <w:rsid w:val="1BAC363D"/>
    <w:rsid w:val="1BD60F79"/>
    <w:rsid w:val="1C0C60A0"/>
    <w:rsid w:val="1C333D2B"/>
    <w:rsid w:val="1C41527E"/>
    <w:rsid w:val="1C49412F"/>
    <w:rsid w:val="1C4D3DCD"/>
    <w:rsid w:val="1C4F5FC4"/>
    <w:rsid w:val="1C64078D"/>
    <w:rsid w:val="1C81524F"/>
    <w:rsid w:val="1CA121A3"/>
    <w:rsid w:val="1CDF257F"/>
    <w:rsid w:val="1CE40841"/>
    <w:rsid w:val="1CF405AE"/>
    <w:rsid w:val="1CFB22F4"/>
    <w:rsid w:val="1D014450"/>
    <w:rsid w:val="1D1545D4"/>
    <w:rsid w:val="1D2A2C86"/>
    <w:rsid w:val="1D2A6659"/>
    <w:rsid w:val="1D41310E"/>
    <w:rsid w:val="1D426DC5"/>
    <w:rsid w:val="1D4377C2"/>
    <w:rsid w:val="1D54682E"/>
    <w:rsid w:val="1D575B51"/>
    <w:rsid w:val="1D83301E"/>
    <w:rsid w:val="1D836FC7"/>
    <w:rsid w:val="1D9F4A19"/>
    <w:rsid w:val="1DA05599"/>
    <w:rsid w:val="1DAB519B"/>
    <w:rsid w:val="1DC65420"/>
    <w:rsid w:val="1DC94DC3"/>
    <w:rsid w:val="1DD04ECF"/>
    <w:rsid w:val="1E054328"/>
    <w:rsid w:val="1E0649A4"/>
    <w:rsid w:val="1E474E6F"/>
    <w:rsid w:val="1E6843C7"/>
    <w:rsid w:val="1EA60FCA"/>
    <w:rsid w:val="1EA87417"/>
    <w:rsid w:val="1ED70A99"/>
    <w:rsid w:val="1F35766F"/>
    <w:rsid w:val="1F65672E"/>
    <w:rsid w:val="1F6B4880"/>
    <w:rsid w:val="1F6D18D3"/>
    <w:rsid w:val="1F7222CF"/>
    <w:rsid w:val="1F855EC8"/>
    <w:rsid w:val="1F865B87"/>
    <w:rsid w:val="1F8D0E35"/>
    <w:rsid w:val="1FB611E4"/>
    <w:rsid w:val="1FBA2E91"/>
    <w:rsid w:val="1FC02D54"/>
    <w:rsid w:val="1FD92D82"/>
    <w:rsid w:val="1FE67981"/>
    <w:rsid w:val="1FEE1F52"/>
    <w:rsid w:val="207471CF"/>
    <w:rsid w:val="20950348"/>
    <w:rsid w:val="20981E88"/>
    <w:rsid w:val="20A06A24"/>
    <w:rsid w:val="20A10137"/>
    <w:rsid w:val="20B97750"/>
    <w:rsid w:val="20BD2343"/>
    <w:rsid w:val="20C125E5"/>
    <w:rsid w:val="20F77EBA"/>
    <w:rsid w:val="20FE0571"/>
    <w:rsid w:val="212F48FD"/>
    <w:rsid w:val="216135E4"/>
    <w:rsid w:val="21B23C30"/>
    <w:rsid w:val="21D5663A"/>
    <w:rsid w:val="21EA6171"/>
    <w:rsid w:val="220D5F91"/>
    <w:rsid w:val="220F017A"/>
    <w:rsid w:val="223D6488"/>
    <w:rsid w:val="224F423C"/>
    <w:rsid w:val="227710AB"/>
    <w:rsid w:val="229B4E78"/>
    <w:rsid w:val="22C77F82"/>
    <w:rsid w:val="22E50F21"/>
    <w:rsid w:val="22EC6079"/>
    <w:rsid w:val="22F562BD"/>
    <w:rsid w:val="231C3AC6"/>
    <w:rsid w:val="23261385"/>
    <w:rsid w:val="233970A1"/>
    <w:rsid w:val="2390118C"/>
    <w:rsid w:val="23A33225"/>
    <w:rsid w:val="23A3458B"/>
    <w:rsid w:val="23A83880"/>
    <w:rsid w:val="23AC3B0D"/>
    <w:rsid w:val="23AC7B00"/>
    <w:rsid w:val="23AE3EA4"/>
    <w:rsid w:val="23BD797B"/>
    <w:rsid w:val="23CC13DF"/>
    <w:rsid w:val="241374BB"/>
    <w:rsid w:val="24210897"/>
    <w:rsid w:val="242E0AC8"/>
    <w:rsid w:val="24474E0A"/>
    <w:rsid w:val="244E4AD0"/>
    <w:rsid w:val="246B4679"/>
    <w:rsid w:val="249900C5"/>
    <w:rsid w:val="24BF7D42"/>
    <w:rsid w:val="255D2F2A"/>
    <w:rsid w:val="256C5A3D"/>
    <w:rsid w:val="257963F1"/>
    <w:rsid w:val="25A7402B"/>
    <w:rsid w:val="25D966A6"/>
    <w:rsid w:val="25DA3A5E"/>
    <w:rsid w:val="25FE15DC"/>
    <w:rsid w:val="26806C09"/>
    <w:rsid w:val="26863962"/>
    <w:rsid w:val="268F15B2"/>
    <w:rsid w:val="26983FA4"/>
    <w:rsid w:val="26FA6E39"/>
    <w:rsid w:val="271E4603"/>
    <w:rsid w:val="272A0710"/>
    <w:rsid w:val="27454688"/>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C30A0"/>
    <w:rsid w:val="295F6F3A"/>
    <w:rsid w:val="2978542E"/>
    <w:rsid w:val="298168E8"/>
    <w:rsid w:val="29880DC9"/>
    <w:rsid w:val="299658C8"/>
    <w:rsid w:val="29C74336"/>
    <w:rsid w:val="2A0C4705"/>
    <w:rsid w:val="2A104C01"/>
    <w:rsid w:val="2A142F3C"/>
    <w:rsid w:val="2A2219FF"/>
    <w:rsid w:val="2A2649D3"/>
    <w:rsid w:val="2A2F0453"/>
    <w:rsid w:val="2A375CB0"/>
    <w:rsid w:val="2A4F7A8E"/>
    <w:rsid w:val="2A5C693A"/>
    <w:rsid w:val="2A9D1044"/>
    <w:rsid w:val="2AA14EFF"/>
    <w:rsid w:val="2AC52B69"/>
    <w:rsid w:val="2AE42B9F"/>
    <w:rsid w:val="2AFA4FF0"/>
    <w:rsid w:val="2AFF35D3"/>
    <w:rsid w:val="2B0A651F"/>
    <w:rsid w:val="2B132D50"/>
    <w:rsid w:val="2B6076B4"/>
    <w:rsid w:val="2B617D56"/>
    <w:rsid w:val="2B6E542D"/>
    <w:rsid w:val="2BEB27E3"/>
    <w:rsid w:val="2BEB2E9D"/>
    <w:rsid w:val="2BF61207"/>
    <w:rsid w:val="2C1713D1"/>
    <w:rsid w:val="2C2E6F83"/>
    <w:rsid w:val="2C620007"/>
    <w:rsid w:val="2CD367CC"/>
    <w:rsid w:val="2CDD2B9E"/>
    <w:rsid w:val="2D09394F"/>
    <w:rsid w:val="2D6345E9"/>
    <w:rsid w:val="2D7E4209"/>
    <w:rsid w:val="2D9B288E"/>
    <w:rsid w:val="2DAE0D17"/>
    <w:rsid w:val="2DBD42B5"/>
    <w:rsid w:val="2DCA5D0F"/>
    <w:rsid w:val="2DCB5DC1"/>
    <w:rsid w:val="2DCE5309"/>
    <w:rsid w:val="2DE2242A"/>
    <w:rsid w:val="2E4225F7"/>
    <w:rsid w:val="2E463849"/>
    <w:rsid w:val="2E5A5340"/>
    <w:rsid w:val="2E6E73D5"/>
    <w:rsid w:val="2E81141D"/>
    <w:rsid w:val="2E9A7ADA"/>
    <w:rsid w:val="2EC2396D"/>
    <w:rsid w:val="2F1B0798"/>
    <w:rsid w:val="2F1B1FF5"/>
    <w:rsid w:val="2F4F0438"/>
    <w:rsid w:val="2F506BFB"/>
    <w:rsid w:val="2F7E2CC0"/>
    <w:rsid w:val="2F921764"/>
    <w:rsid w:val="2F98405A"/>
    <w:rsid w:val="2FD11EB8"/>
    <w:rsid w:val="2FE1749B"/>
    <w:rsid w:val="303D5772"/>
    <w:rsid w:val="306E40F7"/>
    <w:rsid w:val="306F4499"/>
    <w:rsid w:val="30B15581"/>
    <w:rsid w:val="30B93848"/>
    <w:rsid w:val="30BE1DE8"/>
    <w:rsid w:val="31253510"/>
    <w:rsid w:val="312673B5"/>
    <w:rsid w:val="313177AD"/>
    <w:rsid w:val="31341EAD"/>
    <w:rsid w:val="31423CC5"/>
    <w:rsid w:val="3157256E"/>
    <w:rsid w:val="3160159B"/>
    <w:rsid w:val="316102EA"/>
    <w:rsid w:val="31665B97"/>
    <w:rsid w:val="31711EF3"/>
    <w:rsid w:val="31854B7E"/>
    <w:rsid w:val="31E86EE4"/>
    <w:rsid w:val="31FD6157"/>
    <w:rsid w:val="32171B71"/>
    <w:rsid w:val="322B53E9"/>
    <w:rsid w:val="32915ABA"/>
    <w:rsid w:val="329C1497"/>
    <w:rsid w:val="32D72576"/>
    <w:rsid w:val="32D93319"/>
    <w:rsid w:val="32E04086"/>
    <w:rsid w:val="32F96A45"/>
    <w:rsid w:val="330D0307"/>
    <w:rsid w:val="332C3D97"/>
    <w:rsid w:val="334D7704"/>
    <w:rsid w:val="3360351F"/>
    <w:rsid w:val="33620CB2"/>
    <w:rsid w:val="33B17CDB"/>
    <w:rsid w:val="33E04B57"/>
    <w:rsid w:val="33FA7456"/>
    <w:rsid w:val="34024883"/>
    <w:rsid w:val="342C6E98"/>
    <w:rsid w:val="344F7140"/>
    <w:rsid w:val="34755DB1"/>
    <w:rsid w:val="349E0FB2"/>
    <w:rsid w:val="34A96A1A"/>
    <w:rsid w:val="34B370D1"/>
    <w:rsid w:val="34CA52FD"/>
    <w:rsid w:val="34E622D6"/>
    <w:rsid w:val="3518700F"/>
    <w:rsid w:val="352F2FF3"/>
    <w:rsid w:val="35375748"/>
    <w:rsid w:val="35486C73"/>
    <w:rsid w:val="35781965"/>
    <w:rsid w:val="359E09BB"/>
    <w:rsid w:val="361A4DE1"/>
    <w:rsid w:val="361F592F"/>
    <w:rsid w:val="362F79EA"/>
    <w:rsid w:val="36516B14"/>
    <w:rsid w:val="36556C85"/>
    <w:rsid w:val="365B1C96"/>
    <w:rsid w:val="36603459"/>
    <w:rsid w:val="366D2C19"/>
    <w:rsid w:val="3675230B"/>
    <w:rsid w:val="36766F5C"/>
    <w:rsid w:val="36777C43"/>
    <w:rsid w:val="367E7A3F"/>
    <w:rsid w:val="36C1347A"/>
    <w:rsid w:val="36C31B41"/>
    <w:rsid w:val="36C532A1"/>
    <w:rsid w:val="36CE234D"/>
    <w:rsid w:val="36D347D3"/>
    <w:rsid w:val="36DA50A9"/>
    <w:rsid w:val="372F4949"/>
    <w:rsid w:val="3736228A"/>
    <w:rsid w:val="37671725"/>
    <w:rsid w:val="376F122C"/>
    <w:rsid w:val="3798526A"/>
    <w:rsid w:val="37B72EB1"/>
    <w:rsid w:val="37C806F3"/>
    <w:rsid w:val="37C85C3C"/>
    <w:rsid w:val="37CF1603"/>
    <w:rsid w:val="384C28AB"/>
    <w:rsid w:val="38585500"/>
    <w:rsid w:val="385D1C71"/>
    <w:rsid w:val="386038B3"/>
    <w:rsid w:val="388E1434"/>
    <w:rsid w:val="38BA5460"/>
    <w:rsid w:val="38C62FF5"/>
    <w:rsid w:val="38D62476"/>
    <w:rsid w:val="38E27127"/>
    <w:rsid w:val="39027E88"/>
    <w:rsid w:val="39075875"/>
    <w:rsid w:val="391904A1"/>
    <w:rsid w:val="391C718D"/>
    <w:rsid w:val="394D30B0"/>
    <w:rsid w:val="39624091"/>
    <w:rsid w:val="39633335"/>
    <w:rsid w:val="397C6037"/>
    <w:rsid w:val="39D43B66"/>
    <w:rsid w:val="39EC03FA"/>
    <w:rsid w:val="3A1D058F"/>
    <w:rsid w:val="3A1E303B"/>
    <w:rsid w:val="3A1F74C9"/>
    <w:rsid w:val="3A2A1F54"/>
    <w:rsid w:val="3A2D40D1"/>
    <w:rsid w:val="3A314B02"/>
    <w:rsid w:val="3A497230"/>
    <w:rsid w:val="3A5C2602"/>
    <w:rsid w:val="3A79657B"/>
    <w:rsid w:val="3A8B77C7"/>
    <w:rsid w:val="3A9A32EA"/>
    <w:rsid w:val="3ACD391F"/>
    <w:rsid w:val="3AF76838"/>
    <w:rsid w:val="3B026D00"/>
    <w:rsid w:val="3B1471CB"/>
    <w:rsid w:val="3B655681"/>
    <w:rsid w:val="3B6C4553"/>
    <w:rsid w:val="3B6F3ABC"/>
    <w:rsid w:val="3B7527F4"/>
    <w:rsid w:val="3BAA143A"/>
    <w:rsid w:val="3BC378A6"/>
    <w:rsid w:val="3BDC08FD"/>
    <w:rsid w:val="3BE42ECD"/>
    <w:rsid w:val="3BFE1CAB"/>
    <w:rsid w:val="3C10260E"/>
    <w:rsid w:val="3C274A05"/>
    <w:rsid w:val="3C7511AE"/>
    <w:rsid w:val="3CA977D2"/>
    <w:rsid w:val="3CC733AF"/>
    <w:rsid w:val="3CD72551"/>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FD0DF6"/>
    <w:rsid w:val="3EFE49C6"/>
    <w:rsid w:val="3F0A5B5C"/>
    <w:rsid w:val="3F1A0890"/>
    <w:rsid w:val="3F3F5846"/>
    <w:rsid w:val="3F71500B"/>
    <w:rsid w:val="3F801023"/>
    <w:rsid w:val="3F8064EB"/>
    <w:rsid w:val="3F950FB5"/>
    <w:rsid w:val="3F982DCA"/>
    <w:rsid w:val="3FCB5632"/>
    <w:rsid w:val="3FD12D26"/>
    <w:rsid w:val="3FDE4917"/>
    <w:rsid w:val="3FE2412F"/>
    <w:rsid w:val="402F3ADF"/>
    <w:rsid w:val="40306F5A"/>
    <w:rsid w:val="40476BB3"/>
    <w:rsid w:val="40546FB6"/>
    <w:rsid w:val="40554803"/>
    <w:rsid w:val="407A60D5"/>
    <w:rsid w:val="407D4F24"/>
    <w:rsid w:val="40961808"/>
    <w:rsid w:val="40AB4DEE"/>
    <w:rsid w:val="40D24BBE"/>
    <w:rsid w:val="40EC4043"/>
    <w:rsid w:val="41166469"/>
    <w:rsid w:val="412008E0"/>
    <w:rsid w:val="413A6D3B"/>
    <w:rsid w:val="41515AC7"/>
    <w:rsid w:val="41902B9F"/>
    <w:rsid w:val="41C02331"/>
    <w:rsid w:val="41C13A63"/>
    <w:rsid w:val="41C67037"/>
    <w:rsid w:val="41D229E1"/>
    <w:rsid w:val="41EC6E94"/>
    <w:rsid w:val="41F72149"/>
    <w:rsid w:val="42415ACC"/>
    <w:rsid w:val="427D539F"/>
    <w:rsid w:val="42991E30"/>
    <w:rsid w:val="42CC19F4"/>
    <w:rsid w:val="42CE0B28"/>
    <w:rsid w:val="42CF6367"/>
    <w:rsid w:val="42DE1CCC"/>
    <w:rsid w:val="4308546B"/>
    <w:rsid w:val="43263445"/>
    <w:rsid w:val="434157E3"/>
    <w:rsid w:val="43494860"/>
    <w:rsid w:val="434D380E"/>
    <w:rsid w:val="43934189"/>
    <w:rsid w:val="439D4850"/>
    <w:rsid w:val="43C27232"/>
    <w:rsid w:val="43ED069F"/>
    <w:rsid w:val="442A6E5A"/>
    <w:rsid w:val="445C4B8F"/>
    <w:rsid w:val="44833851"/>
    <w:rsid w:val="44982752"/>
    <w:rsid w:val="44BF6F86"/>
    <w:rsid w:val="44C43CCB"/>
    <w:rsid w:val="44C45031"/>
    <w:rsid w:val="44D53AB2"/>
    <w:rsid w:val="44F27B0D"/>
    <w:rsid w:val="45485BDE"/>
    <w:rsid w:val="45667136"/>
    <w:rsid w:val="458571EC"/>
    <w:rsid w:val="45945C30"/>
    <w:rsid w:val="459F2306"/>
    <w:rsid w:val="45A832FE"/>
    <w:rsid w:val="45AB6174"/>
    <w:rsid w:val="45BA63E5"/>
    <w:rsid w:val="45CC5EDC"/>
    <w:rsid w:val="45EF3F82"/>
    <w:rsid w:val="45F73D47"/>
    <w:rsid w:val="45FE5CEE"/>
    <w:rsid w:val="461557EC"/>
    <w:rsid w:val="462D2575"/>
    <w:rsid w:val="46467FD8"/>
    <w:rsid w:val="464959FE"/>
    <w:rsid w:val="46601D33"/>
    <w:rsid w:val="4666746C"/>
    <w:rsid w:val="467505FA"/>
    <w:rsid w:val="467B6008"/>
    <w:rsid w:val="468720BA"/>
    <w:rsid w:val="46895AFC"/>
    <w:rsid w:val="468E6A9E"/>
    <w:rsid w:val="46BC623F"/>
    <w:rsid w:val="46D855B9"/>
    <w:rsid w:val="470D2C74"/>
    <w:rsid w:val="4773318F"/>
    <w:rsid w:val="477570F1"/>
    <w:rsid w:val="47AD33FA"/>
    <w:rsid w:val="47B41AAA"/>
    <w:rsid w:val="47CD38AD"/>
    <w:rsid w:val="47DB16D8"/>
    <w:rsid w:val="481726F3"/>
    <w:rsid w:val="48416760"/>
    <w:rsid w:val="48466F81"/>
    <w:rsid w:val="484D02A2"/>
    <w:rsid w:val="486B647A"/>
    <w:rsid w:val="48896934"/>
    <w:rsid w:val="48C12AEC"/>
    <w:rsid w:val="48C52555"/>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A2945F2"/>
    <w:rsid w:val="4A615154"/>
    <w:rsid w:val="4A96607C"/>
    <w:rsid w:val="4AB92E92"/>
    <w:rsid w:val="4B2134B8"/>
    <w:rsid w:val="4B24233C"/>
    <w:rsid w:val="4B330A0B"/>
    <w:rsid w:val="4B5E55F9"/>
    <w:rsid w:val="4B685D82"/>
    <w:rsid w:val="4B7B4674"/>
    <w:rsid w:val="4B7C663B"/>
    <w:rsid w:val="4B812078"/>
    <w:rsid w:val="4BC05F91"/>
    <w:rsid w:val="4BF71347"/>
    <w:rsid w:val="4BF97932"/>
    <w:rsid w:val="4C141E75"/>
    <w:rsid w:val="4C2A4039"/>
    <w:rsid w:val="4C736F36"/>
    <w:rsid w:val="4C7B34CD"/>
    <w:rsid w:val="4C9F1220"/>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20B4C"/>
    <w:rsid w:val="4E85341C"/>
    <w:rsid w:val="4E9B7B12"/>
    <w:rsid w:val="4EB142CF"/>
    <w:rsid w:val="4EC47712"/>
    <w:rsid w:val="4EDD3C61"/>
    <w:rsid w:val="4EF1457F"/>
    <w:rsid w:val="4F2C40A0"/>
    <w:rsid w:val="4F2F3B98"/>
    <w:rsid w:val="4F380B7A"/>
    <w:rsid w:val="4F424B82"/>
    <w:rsid w:val="4F4B0CB3"/>
    <w:rsid w:val="4F4F0EBF"/>
    <w:rsid w:val="4F8C4B40"/>
    <w:rsid w:val="4FAA5CD5"/>
    <w:rsid w:val="4FBD187E"/>
    <w:rsid w:val="4FC56067"/>
    <w:rsid w:val="4FD11AC0"/>
    <w:rsid w:val="502F75EB"/>
    <w:rsid w:val="50400243"/>
    <w:rsid w:val="50494336"/>
    <w:rsid w:val="50784012"/>
    <w:rsid w:val="50813C12"/>
    <w:rsid w:val="5087463E"/>
    <w:rsid w:val="50A11680"/>
    <w:rsid w:val="50B77550"/>
    <w:rsid w:val="50C773AE"/>
    <w:rsid w:val="50CD6602"/>
    <w:rsid w:val="510D0F23"/>
    <w:rsid w:val="51197B59"/>
    <w:rsid w:val="51615030"/>
    <w:rsid w:val="51627812"/>
    <w:rsid w:val="51C136D4"/>
    <w:rsid w:val="51D33F6D"/>
    <w:rsid w:val="51DB1448"/>
    <w:rsid w:val="52045DB4"/>
    <w:rsid w:val="522C275E"/>
    <w:rsid w:val="524C13A2"/>
    <w:rsid w:val="529000F6"/>
    <w:rsid w:val="5296149A"/>
    <w:rsid w:val="52A65672"/>
    <w:rsid w:val="52AE4A42"/>
    <w:rsid w:val="52BA4073"/>
    <w:rsid w:val="52CD7B31"/>
    <w:rsid w:val="52D576F4"/>
    <w:rsid w:val="52DF170A"/>
    <w:rsid w:val="52E25B6D"/>
    <w:rsid w:val="52F362FB"/>
    <w:rsid w:val="52F4161A"/>
    <w:rsid w:val="52F965A5"/>
    <w:rsid w:val="53081AD8"/>
    <w:rsid w:val="53235275"/>
    <w:rsid w:val="53240623"/>
    <w:rsid w:val="53321C03"/>
    <w:rsid w:val="533415F9"/>
    <w:rsid w:val="534823B8"/>
    <w:rsid w:val="535657D0"/>
    <w:rsid w:val="535868CC"/>
    <w:rsid w:val="53597EDB"/>
    <w:rsid w:val="538D066D"/>
    <w:rsid w:val="53934B1D"/>
    <w:rsid w:val="539830D8"/>
    <w:rsid w:val="539B581B"/>
    <w:rsid w:val="53A2278E"/>
    <w:rsid w:val="53CB788B"/>
    <w:rsid w:val="53E32E36"/>
    <w:rsid w:val="54203B94"/>
    <w:rsid w:val="5424233E"/>
    <w:rsid w:val="542A3DC2"/>
    <w:rsid w:val="542C299E"/>
    <w:rsid w:val="543642C1"/>
    <w:rsid w:val="5461235D"/>
    <w:rsid w:val="54667BA2"/>
    <w:rsid w:val="547E7555"/>
    <w:rsid w:val="54806F19"/>
    <w:rsid w:val="54A01FAE"/>
    <w:rsid w:val="54AC3148"/>
    <w:rsid w:val="54C0256E"/>
    <w:rsid w:val="54C334B7"/>
    <w:rsid w:val="54D4667D"/>
    <w:rsid w:val="54D55C56"/>
    <w:rsid w:val="54EC389B"/>
    <w:rsid w:val="54F847D9"/>
    <w:rsid w:val="55126190"/>
    <w:rsid w:val="555F3833"/>
    <w:rsid w:val="55667780"/>
    <w:rsid w:val="556E493A"/>
    <w:rsid w:val="55725F14"/>
    <w:rsid w:val="55941D63"/>
    <w:rsid w:val="559C0CE1"/>
    <w:rsid w:val="55B42D88"/>
    <w:rsid w:val="55D11119"/>
    <w:rsid w:val="55DB1F79"/>
    <w:rsid w:val="560A42BD"/>
    <w:rsid w:val="560C1D89"/>
    <w:rsid w:val="56353B20"/>
    <w:rsid w:val="56443B98"/>
    <w:rsid w:val="56453A77"/>
    <w:rsid w:val="56757259"/>
    <w:rsid w:val="568B7EB7"/>
    <w:rsid w:val="56BC078F"/>
    <w:rsid w:val="56CB4BCB"/>
    <w:rsid w:val="56DE2C10"/>
    <w:rsid w:val="56FB75FE"/>
    <w:rsid w:val="57391A95"/>
    <w:rsid w:val="573F3C9E"/>
    <w:rsid w:val="574C52C4"/>
    <w:rsid w:val="57526FDB"/>
    <w:rsid w:val="57572F35"/>
    <w:rsid w:val="575B33A4"/>
    <w:rsid w:val="57674A5D"/>
    <w:rsid w:val="579775E1"/>
    <w:rsid w:val="57C90530"/>
    <w:rsid w:val="57CE0836"/>
    <w:rsid w:val="582217BE"/>
    <w:rsid w:val="582F44F7"/>
    <w:rsid w:val="583F27F2"/>
    <w:rsid w:val="58455B6D"/>
    <w:rsid w:val="584D29B0"/>
    <w:rsid w:val="584F7C49"/>
    <w:rsid w:val="5888302C"/>
    <w:rsid w:val="5889129A"/>
    <w:rsid w:val="58AC1EBB"/>
    <w:rsid w:val="58AD528C"/>
    <w:rsid w:val="58B31955"/>
    <w:rsid w:val="58BA45A1"/>
    <w:rsid w:val="594F6915"/>
    <w:rsid w:val="59737A65"/>
    <w:rsid w:val="59842DF4"/>
    <w:rsid w:val="59A0359A"/>
    <w:rsid w:val="59E52D9A"/>
    <w:rsid w:val="59E53A26"/>
    <w:rsid w:val="5A300449"/>
    <w:rsid w:val="5A482DEE"/>
    <w:rsid w:val="5A55295D"/>
    <w:rsid w:val="5A7E104A"/>
    <w:rsid w:val="5A8208A0"/>
    <w:rsid w:val="5A861FD5"/>
    <w:rsid w:val="5AE3253A"/>
    <w:rsid w:val="5AEA30C9"/>
    <w:rsid w:val="5AEA3475"/>
    <w:rsid w:val="5AF54C6B"/>
    <w:rsid w:val="5B087B94"/>
    <w:rsid w:val="5B0C2FBE"/>
    <w:rsid w:val="5B0E3E89"/>
    <w:rsid w:val="5B124740"/>
    <w:rsid w:val="5B31434D"/>
    <w:rsid w:val="5B3F60FF"/>
    <w:rsid w:val="5B3F66E7"/>
    <w:rsid w:val="5B872AE6"/>
    <w:rsid w:val="5BA77753"/>
    <w:rsid w:val="5BB60E53"/>
    <w:rsid w:val="5BC025EF"/>
    <w:rsid w:val="5C1203C7"/>
    <w:rsid w:val="5C1F35AE"/>
    <w:rsid w:val="5C3905BF"/>
    <w:rsid w:val="5C66397A"/>
    <w:rsid w:val="5C7349B6"/>
    <w:rsid w:val="5C824C05"/>
    <w:rsid w:val="5C8725EE"/>
    <w:rsid w:val="5CB0251A"/>
    <w:rsid w:val="5CB97030"/>
    <w:rsid w:val="5CC97332"/>
    <w:rsid w:val="5D187049"/>
    <w:rsid w:val="5D1D2427"/>
    <w:rsid w:val="5D756277"/>
    <w:rsid w:val="5D955FBD"/>
    <w:rsid w:val="5DA62524"/>
    <w:rsid w:val="5DAC3919"/>
    <w:rsid w:val="5DB36259"/>
    <w:rsid w:val="5DBD33B2"/>
    <w:rsid w:val="5DC223CB"/>
    <w:rsid w:val="5DF66637"/>
    <w:rsid w:val="5DFF6858"/>
    <w:rsid w:val="5E0F2B0E"/>
    <w:rsid w:val="5E185132"/>
    <w:rsid w:val="5E2A0167"/>
    <w:rsid w:val="5E5C016C"/>
    <w:rsid w:val="5E5D68E8"/>
    <w:rsid w:val="5E802A96"/>
    <w:rsid w:val="5E9074FF"/>
    <w:rsid w:val="5EAE1AF2"/>
    <w:rsid w:val="5EB62A77"/>
    <w:rsid w:val="5EB80355"/>
    <w:rsid w:val="5EBB2226"/>
    <w:rsid w:val="5EBE5F24"/>
    <w:rsid w:val="5EF07004"/>
    <w:rsid w:val="5F0E1E9A"/>
    <w:rsid w:val="5F860C23"/>
    <w:rsid w:val="5FC44411"/>
    <w:rsid w:val="5FE426E2"/>
    <w:rsid w:val="605C7AA6"/>
    <w:rsid w:val="605F132B"/>
    <w:rsid w:val="608510A4"/>
    <w:rsid w:val="608762FF"/>
    <w:rsid w:val="609E1C45"/>
    <w:rsid w:val="60BD4FD1"/>
    <w:rsid w:val="60D507D0"/>
    <w:rsid w:val="60EA1511"/>
    <w:rsid w:val="60EB6C34"/>
    <w:rsid w:val="60FD5C7B"/>
    <w:rsid w:val="613D7E7B"/>
    <w:rsid w:val="617162E9"/>
    <w:rsid w:val="61A52BAA"/>
    <w:rsid w:val="61FA0AE4"/>
    <w:rsid w:val="623438BB"/>
    <w:rsid w:val="624B10F0"/>
    <w:rsid w:val="624F3E48"/>
    <w:rsid w:val="62635981"/>
    <w:rsid w:val="629B3E75"/>
    <w:rsid w:val="629B5D43"/>
    <w:rsid w:val="62A36D1F"/>
    <w:rsid w:val="62A40365"/>
    <w:rsid w:val="62A469A9"/>
    <w:rsid w:val="62A92FF1"/>
    <w:rsid w:val="62B90FFE"/>
    <w:rsid w:val="62E10186"/>
    <w:rsid w:val="62F6018D"/>
    <w:rsid w:val="63016E3A"/>
    <w:rsid w:val="63034141"/>
    <w:rsid w:val="63045E00"/>
    <w:rsid w:val="630A731B"/>
    <w:rsid w:val="63386B48"/>
    <w:rsid w:val="633A3FE7"/>
    <w:rsid w:val="63410B16"/>
    <w:rsid w:val="63562840"/>
    <w:rsid w:val="637141EC"/>
    <w:rsid w:val="63805B1F"/>
    <w:rsid w:val="63834973"/>
    <w:rsid w:val="638F3DC7"/>
    <w:rsid w:val="6397194C"/>
    <w:rsid w:val="63DA4B5E"/>
    <w:rsid w:val="64273E62"/>
    <w:rsid w:val="642E2892"/>
    <w:rsid w:val="643B736C"/>
    <w:rsid w:val="64AD7C37"/>
    <w:rsid w:val="64B05758"/>
    <w:rsid w:val="64BE4B0D"/>
    <w:rsid w:val="65075A96"/>
    <w:rsid w:val="650E600B"/>
    <w:rsid w:val="650F0C7B"/>
    <w:rsid w:val="65B221E6"/>
    <w:rsid w:val="66426031"/>
    <w:rsid w:val="66593B74"/>
    <w:rsid w:val="665D2DD8"/>
    <w:rsid w:val="66651C8A"/>
    <w:rsid w:val="66675176"/>
    <w:rsid w:val="669F2C65"/>
    <w:rsid w:val="66BE6B53"/>
    <w:rsid w:val="66C55FD8"/>
    <w:rsid w:val="66D333AF"/>
    <w:rsid w:val="67192A34"/>
    <w:rsid w:val="674A4927"/>
    <w:rsid w:val="677243C5"/>
    <w:rsid w:val="678568CD"/>
    <w:rsid w:val="67904A3A"/>
    <w:rsid w:val="67A24F14"/>
    <w:rsid w:val="67BB4EAD"/>
    <w:rsid w:val="67E453F6"/>
    <w:rsid w:val="67F130F8"/>
    <w:rsid w:val="67F84AFE"/>
    <w:rsid w:val="680878A3"/>
    <w:rsid w:val="68340476"/>
    <w:rsid w:val="68375AD4"/>
    <w:rsid w:val="683870E8"/>
    <w:rsid w:val="68457681"/>
    <w:rsid w:val="684977D5"/>
    <w:rsid w:val="68552C50"/>
    <w:rsid w:val="685D34E7"/>
    <w:rsid w:val="68A267CA"/>
    <w:rsid w:val="68A8123A"/>
    <w:rsid w:val="68B84F4C"/>
    <w:rsid w:val="69055229"/>
    <w:rsid w:val="6929374C"/>
    <w:rsid w:val="692F20BB"/>
    <w:rsid w:val="69363858"/>
    <w:rsid w:val="69784C3F"/>
    <w:rsid w:val="697F1B5D"/>
    <w:rsid w:val="69C1095D"/>
    <w:rsid w:val="69FD1636"/>
    <w:rsid w:val="6A0138F7"/>
    <w:rsid w:val="6A1E155A"/>
    <w:rsid w:val="6A7B5447"/>
    <w:rsid w:val="6AA20228"/>
    <w:rsid w:val="6ADB012D"/>
    <w:rsid w:val="6AE3748E"/>
    <w:rsid w:val="6AF53FAE"/>
    <w:rsid w:val="6B1C3EC6"/>
    <w:rsid w:val="6B3F4C28"/>
    <w:rsid w:val="6B574638"/>
    <w:rsid w:val="6B5F5B98"/>
    <w:rsid w:val="6B615C8D"/>
    <w:rsid w:val="6B67068F"/>
    <w:rsid w:val="6B6E2E8D"/>
    <w:rsid w:val="6B977A86"/>
    <w:rsid w:val="6BAB6FBB"/>
    <w:rsid w:val="6BB568D4"/>
    <w:rsid w:val="6BDF79C7"/>
    <w:rsid w:val="6BE146ED"/>
    <w:rsid w:val="6C0B074D"/>
    <w:rsid w:val="6C1458EF"/>
    <w:rsid w:val="6C231806"/>
    <w:rsid w:val="6C275F8B"/>
    <w:rsid w:val="6C3B15FF"/>
    <w:rsid w:val="6C3B431E"/>
    <w:rsid w:val="6C3E5116"/>
    <w:rsid w:val="6C681388"/>
    <w:rsid w:val="6C725FD7"/>
    <w:rsid w:val="6C766AFE"/>
    <w:rsid w:val="6C852D02"/>
    <w:rsid w:val="6CEA2C90"/>
    <w:rsid w:val="6CFA5C74"/>
    <w:rsid w:val="6D2C4A68"/>
    <w:rsid w:val="6D3B2E78"/>
    <w:rsid w:val="6D3C3AC0"/>
    <w:rsid w:val="6D410335"/>
    <w:rsid w:val="6D4305C3"/>
    <w:rsid w:val="6D450F45"/>
    <w:rsid w:val="6D48445E"/>
    <w:rsid w:val="6D500B73"/>
    <w:rsid w:val="6D666AA6"/>
    <w:rsid w:val="6D687043"/>
    <w:rsid w:val="6D7D6DC8"/>
    <w:rsid w:val="6D885EAB"/>
    <w:rsid w:val="6D953F0C"/>
    <w:rsid w:val="6DA82A63"/>
    <w:rsid w:val="6DB67EBB"/>
    <w:rsid w:val="6DEF52E3"/>
    <w:rsid w:val="6E0E6A1E"/>
    <w:rsid w:val="6E2D763E"/>
    <w:rsid w:val="6E420FB1"/>
    <w:rsid w:val="6E953983"/>
    <w:rsid w:val="6E95768E"/>
    <w:rsid w:val="6EA14900"/>
    <w:rsid w:val="6EB27AA3"/>
    <w:rsid w:val="6EBD1CFE"/>
    <w:rsid w:val="6EF9461D"/>
    <w:rsid w:val="6F1348E9"/>
    <w:rsid w:val="6F2A01FE"/>
    <w:rsid w:val="6F2A71A4"/>
    <w:rsid w:val="6F9415EA"/>
    <w:rsid w:val="6FB72F84"/>
    <w:rsid w:val="6FCA5E7C"/>
    <w:rsid w:val="6FE3419F"/>
    <w:rsid w:val="6FF778F1"/>
    <w:rsid w:val="700346D4"/>
    <w:rsid w:val="700972F0"/>
    <w:rsid w:val="70287F2C"/>
    <w:rsid w:val="70AF69EB"/>
    <w:rsid w:val="70F97D93"/>
    <w:rsid w:val="71181113"/>
    <w:rsid w:val="711D7CA6"/>
    <w:rsid w:val="71227E63"/>
    <w:rsid w:val="71614B6B"/>
    <w:rsid w:val="718D2905"/>
    <w:rsid w:val="719909D2"/>
    <w:rsid w:val="719B61D4"/>
    <w:rsid w:val="71A10922"/>
    <w:rsid w:val="71D214DD"/>
    <w:rsid w:val="71F62920"/>
    <w:rsid w:val="72091DAA"/>
    <w:rsid w:val="72267D97"/>
    <w:rsid w:val="724E29D1"/>
    <w:rsid w:val="728564F5"/>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745402"/>
    <w:rsid w:val="739E0038"/>
    <w:rsid w:val="73B34591"/>
    <w:rsid w:val="73D850A2"/>
    <w:rsid w:val="73DE7F6C"/>
    <w:rsid w:val="73E365CE"/>
    <w:rsid w:val="73E64B1D"/>
    <w:rsid w:val="740735EA"/>
    <w:rsid w:val="7408106C"/>
    <w:rsid w:val="7412351E"/>
    <w:rsid w:val="74BE4E97"/>
    <w:rsid w:val="74D504C8"/>
    <w:rsid w:val="74EC1FE3"/>
    <w:rsid w:val="74F679F1"/>
    <w:rsid w:val="74F841F7"/>
    <w:rsid w:val="75003D28"/>
    <w:rsid w:val="750445F2"/>
    <w:rsid w:val="751D637E"/>
    <w:rsid w:val="751F2555"/>
    <w:rsid w:val="753504B8"/>
    <w:rsid w:val="75466A74"/>
    <w:rsid w:val="757F267E"/>
    <w:rsid w:val="758418D8"/>
    <w:rsid w:val="75A17528"/>
    <w:rsid w:val="75AA6AC3"/>
    <w:rsid w:val="75B749A9"/>
    <w:rsid w:val="75CB1443"/>
    <w:rsid w:val="75CD3F16"/>
    <w:rsid w:val="761A34DA"/>
    <w:rsid w:val="76781DCD"/>
    <w:rsid w:val="76D84698"/>
    <w:rsid w:val="775865D7"/>
    <w:rsid w:val="775A33B3"/>
    <w:rsid w:val="775B4584"/>
    <w:rsid w:val="776234AF"/>
    <w:rsid w:val="776D12AE"/>
    <w:rsid w:val="77895532"/>
    <w:rsid w:val="77AD0FE0"/>
    <w:rsid w:val="77BE7384"/>
    <w:rsid w:val="78821B50"/>
    <w:rsid w:val="788E2A2A"/>
    <w:rsid w:val="78C52EE0"/>
    <w:rsid w:val="78D23C9C"/>
    <w:rsid w:val="7913610A"/>
    <w:rsid w:val="791A167A"/>
    <w:rsid w:val="794D119C"/>
    <w:rsid w:val="796B6F7E"/>
    <w:rsid w:val="79935707"/>
    <w:rsid w:val="799A2128"/>
    <w:rsid w:val="79C0552F"/>
    <w:rsid w:val="79C30D65"/>
    <w:rsid w:val="79CC3295"/>
    <w:rsid w:val="7A0B1561"/>
    <w:rsid w:val="7A25258A"/>
    <w:rsid w:val="7A2C646D"/>
    <w:rsid w:val="7A55546C"/>
    <w:rsid w:val="7A743686"/>
    <w:rsid w:val="7A824E2E"/>
    <w:rsid w:val="7A9E7BE0"/>
    <w:rsid w:val="7AFF6437"/>
    <w:rsid w:val="7B021BF1"/>
    <w:rsid w:val="7B9F2862"/>
    <w:rsid w:val="7BA9751C"/>
    <w:rsid w:val="7BAB44F6"/>
    <w:rsid w:val="7BB856C6"/>
    <w:rsid w:val="7BBB27D3"/>
    <w:rsid w:val="7BC24A45"/>
    <w:rsid w:val="7BD52A90"/>
    <w:rsid w:val="7C076616"/>
    <w:rsid w:val="7C0D60AB"/>
    <w:rsid w:val="7C295DFC"/>
    <w:rsid w:val="7C4B37FA"/>
    <w:rsid w:val="7C58255B"/>
    <w:rsid w:val="7C5B5FF8"/>
    <w:rsid w:val="7C910DB6"/>
    <w:rsid w:val="7C954047"/>
    <w:rsid w:val="7CF03F88"/>
    <w:rsid w:val="7CF73786"/>
    <w:rsid w:val="7D5E51C4"/>
    <w:rsid w:val="7D7525FB"/>
    <w:rsid w:val="7D957B5F"/>
    <w:rsid w:val="7DC111D1"/>
    <w:rsid w:val="7DC43A43"/>
    <w:rsid w:val="7DC74225"/>
    <w:rsid w:val="7DDA69EF"/>
    <w:rsid w:val="7DDD18D5"/>
    <w:rsid w:val="7E6C26A2"/>
    <w:rsid w:val="7E745E40"/>
    <w:rsid w:val="7EB35583"/>
    <w:rsid w:val="7EB5276C"/>
    <w:rsid w:val="7EBC57D7"/>
    <w:rsid w:val="7ED0794B"/>
    <w:rsid w:val="7ED70A6F"/>
    <w:rsid w:val="7EE20D78"/>
    <w:rsid w:val="7F3206AA"/>
    <w:rsid w:val="7F5E6382"/>
    <w:rsid w:val="7F5F2553"/>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qFormat/>
    <w:uiPriority w:val="0"/>
    <w:pPr>
      <w:ind w:left="420" w:leftChars="200"/>
    </w:pPr>
  </w:style>
  <w:style w:type="paragraph" w:styleId="7">
    <w:name w:val="Normal Indent"/>
    <w:basedOn w:val="1"/>
    <w:qFormat/>
    <w:uiPriority w:val="0"/>
    <w:pPr>
      <w:ind w:firstLine="420"/>
    </w:pPr>
    <w:rPr>
      <w:szCs w:val="20"/>
    </w:rPr>
  </w:style>
  <w:style w:type="paragraph" w:styleId="8">
    <w:name w:val="Document Map"/>
    <w:basedOn w:val="1"/>
    <w:link w:val="36"/>
    <w:qFormat/>
    <w:uiPriority w:val="0"/>
    <w:rPr>
      <w:rFonts w:ascii="宋体" w:hAnsi="Tahoma"/>
      <w:sz w:val="18"/>
      <w:szCs w:val="18"/>
    </w:rPr>
  </w:style>
  <w:style w:type="paragraph" w:styleId="9">
    <w:name w:val="annotation text"/>
    <w:basedOn w:val="1"/>
    <w:link w:val="65"/>
    <w:semiHidden/>
    <w:qFormat/>
    <w:uiPriority w:val="99"/>
    <w:pPr>
      <w:jc w:val="left"/>
    </w:pPr>
    <w:rPr>
      <w:rFonts w:ascii="Tahoma" w:hAnsi="Tahoma"/>
    </w:rPr>
  </w:style>
  <w:style w:type="paragraph" w:styleId="10">
    <w:name w:val="Body Text 3"/>
    <w:basedOn w:val="1"/>
    <w:qFormat/>
    <w:uiPriority w:val="0"/>
    <w:rPr>
      <w:kern w:val="0"/>
      <w:sz w:val="16"/>
      <w:szCs w:val="16"/>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4">
    <w:name w:val="toc 3"/>
    <w:basedOn w:val="1"/>
    <w:next w:val="1"/>
    <w:unhideWhenUsed/>
    <w:qFormat/>
    <w:uiPriority w:val="39"/>
    <w:pPr>
      <w:ind w:left="840" w:leftChars="400"/>
    </w:pPr>
    <w:rPr>
      <w:sz w:val="28"/>
    </w:rPr>
  </w:style>
  <w:style w:type="paragraph" w:styleId="15">
    <w:name w:val="Plain Text"/>
    <w:basedOn w:val="1"/>
    <w:qFormat/>
    <w:uiPriority w:val="0"/>
    <w:rPr>
      <w:rFonts w:ascii="宋体" w:hAnsi="Courier New" w:eastAsia="楷体_GB2312"/>
      <w:snapToGrid w:val="0"/>
      <w:color w:val="000000"/>
      <w:kern w:val="0"/>
      <w:sz w:val="32"/>
      <w:szCs w:val="21"/>
    </w:rPr>
  </w:style>
  <w:style w:type="paragraph" w:styleId="16">
    <w:name w:val="Date"/>
    <w:basedOn w:val="1"/>
    <w:next w:val="1"/>
    <w:qFormat/>
    <w:uiPriority w:val="0"/>
    <w:rPr>
      <w:rFonts w:ascii="楷体_GB2312" w:eastAsia="楷体_GB2312"/>
      <w:color w:val="000000"/>
      <w:kern w:val="0"/>
      <w:sz w:val="32"/>
      <w:szCs w:val="32"/>
    </w:rPr>
  </w:style>
  <w:style w:type="paragraph" w:styleId="17">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8">
    <w:name w:val="Balloon Text"/>
    <w:basedOn w:val="1"/>
    <w:unhideWhenUsed/>
    <w:qFormat/>
    <w:uiPriority w:val="0"/>
    <w:rPr>
      <w:sz w:val="18"/>
      <w:szCs w:val="18"/>
    </w:rPr>
  </w:style>
  <w:style w:type="paragraph" w:styleId="19">
    <w:name w:val="footer"/>
    <w:basedOn w:val="1"/>
    <w:link w:val="59"/>
    <w:qFormat/>
    <w:uiPriority w:val="99"/>
    <w:pPr>
      <w:tabs>
        <w:tab w:val="center" w:pos="4153"/>
        <w:tab w:val="right" w:pos="8306"/>
      </w:tabs>
      <w:snapToGrid w:val="0"/>
      <w:jc w:val="left"/>
    </w:pPr>
    <w:rPr>
      <w:rFonts w:ascii="Tahoma" w:hAnsi="Tahoma"/>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qFormat/>
    <w:uiPriority w:val="0"/>
    <w:pPr>
      <w:ind w:left="359" w:leftChars="171" w:firstLine="554" w:firstLineChars="198"/>
    </w:pPr>
    <w:rPr>
      <w:sz w:val="28"/>
      <w:szCs w:val="20"/>
    </w:rPr>
  </w:style>
  <w:style w:type="paragraph" w:styleId="23">
    <w:name w:val="toc 2"/>
    <w:basedOn w:val="1"/>
    <w:next w:val="1"/>
    <w:qFormat/>
    <w:uiPriority w:val="39"/>
    <w:pPr>
      <w:ind w:left="420" w:leftChars="200"/>
    </w:pPr>
  </w:style>
  <w:style w:type="paragraph" w:styleId="24">
    <w:name w:val="Body Text 2"/>
    <w:basedOn w:val="1"/>
    <w:qFormat/>
    <w:uiPriority w:val="0"/>
    <w:pPr>
      <w:spacing w:after="120" w:line="480" w:lineRule="auto"/>
    </w:pPr>
  </w:style>
  <w:style w:type="paragraph" w:styleId="25">
    <w:name w:val="Normal (Web)"/>
    <w:basedOn w:val="6"/>
    <w:qFormat/>
    <w:uiPriority w:val="99"/>
    <w:pPr>
      <w:widowControl/>
      <w:spacing w:before="100" w:beforeAutospacing="1" w:after="100" w:afterAutospacing="1"/>
      <w:jc w:val="left"/>
    </w:pPr>
    <w:rPr>
      <w:rFonts w:hint="eastAsia" w:ascii="宋体" w:hAnsi="宋体"/>
      <w:kern w:val="0"/>
      <w:sz w:val="24"/>
    </w:rPr>
  </w:style>
  <w:style w:type="paragraph" w:styleId="26">
    <w:name w:val="annotation subject"/>
    <w:basedOn w:val="9"/>
    <w:next w:val="9"/>
    <w:link w:val="63"/>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rFonts w:ascii="Tahoma" w:hAnsi="Tahoma"/>
      <w:b/>
      <w:bCs/>
      <w:sz w:val="24"/>
    </w:rPr>
  </w:style>
  <w:style w:type="character" w:styleId="31">
    <w:name w:val="page number"/>
    <w:basedOn w:val="29"/>
    <w:qFormat/>
    <w:uiPriority w:val="0"/>
  </w:style>
  <w:style w:type="character" w:styleId="32">
    <w:name w:val="FollowedHyperlink"/>
    <w:qFormat/>
    <w:uiPriority w:val="0"/>
    <w:rPr>
      <w:rFonts w:ascii="Tahoma" w:hAnsi="Tahoma"/>
      <w:color w:val="000000"/>
      <w:sz w:val="18"/>
      <w:szCs w:val="18"/>
      <w:u w:val="none"/>
    </w:rPr>
  </w:style>
  <w:style w:type="character" w:styleId="33">
    <w:name w:val="Hyperlink"/>
    <w:qFormat/>
    <w:uiPriority w:val="99"/>
    <w:rPr>
      <w:rFonts w:ascii="Tahoma" w:hAnsi="Tahoma"/>
      <w:color w:val="0000FF"/>
      <w:sz w:val="24"/>
      <w:u w:val="single"/>
    </w:rPr>
  </w:style>
  <w:style w:type="character" w:styleId="34">
    <w:name w:val="annotation reference"/>
    <w:unhideWhenUsed/>
    <w:qFormat/>
    <w:uiPriority w:val="99"/>
    <w:rPr>
      <w:rFonts w:ascii="Tahoma" w:hAnsi="Tahoma"/>
      <w:sz w:val="21"/>
      <w:szCs w:val="21"/>
    </w:rPr>
  </w:style>
  <w:style w:type="character" w:customStyle="1" w:styleId="35">
    <w:name w:val="cfdate"/>
    <w:basedOn w:val="29"/>
    <w:qFormat/>
    <w:uiPriority w:val="0"/>
    <w:rPr>
      <w:color w:val="333333"/>
      <w:sz w:val="18"/>
      <w:szCs w:val="18"/>
    </w:rPr>
  </w:style>
  <w:style w:type="character" w:customStyle="1" w:styleId="36">
    <w:name w:val="文档结构图 字符"/>
    <w:link w:val="8"/>
    <w:qFormat/>
    <w:uiPriority w:val="0"/>
    <w:rPr>
      <w:rFonts w:ascii="宋体" w:hAnsi="Tahoma"/>
      <w:kern w:val="2"/>
      <w:sz w:val="18"/>
      <w:szCs w:val="18"/>
    </w:rPr>
  </w:style>
  <w:style w:type="character" w:customStyle="1" w:styleId="37">
    <w:name w:val="copyright"/>
    <w:basedOn w:val="29"/>
    <w:qFormat/>
    <w:uiPriority w:val="0"/>
  </w:style>
  <w:style w:type="character" w:customStyle="1" w:styleId="38">
    <w:name w:val="Char Char6"/>
    <w:qFormat/>
    <w:uiPriority w:val="0"/>
    <w:rPr>
      <w:rFonts w:ascii="Tahoma" w:hAnsi="Tahoma" w:eastAsia="宋体"/>
      <w:b/>
      <w:bCs/>
      <w:kern w:val="2"/>
      <w:sz w:val="32"/>
      <w:szCs w:val="32"/>
      <w:lang w:val="en-US" w:eastAsia="zh-CN" w:bidi="ar-SA"/>
    </w:rPr>
  </w:style>
  <w:style w:type="character" w:customStyle="1" w:styleId="39">
    <w:name w:val="qxdate"/>
    <w:basedOn w:val="29"/>
    <w:qFormat/>
    <w:uiPriority w:val="0"/>
    <w:rPr>
      <w:color w:val="333333"/>
      <w:sz w:val="18"/>
      <w:szCs w:val="18"/>
    </w:rPr>
  </w:style>
  <w:style w:type="character" w:customStyle="1" w:styleId="40">
    <w:name w:val="gjfg"/>
    <w:basedOn w:val="29"/>
    <w:qFormat/>
    <w:uiPriority w:val="0"/>
  </w:style>
  <w:style w:type="character" w:customStyle="1" w:styleId="41">
    <w:name w:val="Char Char3"/>
    <w:semiHidden/>
    <w:qFormat/>
    <w:uiPriority w:val="0"/>
    <w:rPr>
      <w:rFonts w:ascii="Tahoma" w:hAnsi="Tahoma" w:eastAsia="宋体"/>
      <w:kern w:val="2"/>
      <w:sz w:val="18"/>
      <w:szCs w:val="18"/>
      <w:lang w:val="en-US" w:eastAsia="zh-CN" w:bidi="ar-SA"/>
    </w:rPr>
  </w:style>
  <w:style w:type="character" w:customStyle="1" w:styleId="42">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3">
    <w:name w:val="Char Char4"/>
    <w:qFormat/>
    <w:uiPriority w:val="0"/>
    <w:rPr>
      <w:rFonts w:ascii="Tahoma" w:hAnsi="Tahoma" w:eastAsia="宋体"/>
      <w:kern w:val="2"/>
      <w:sz w:val="18"/>
      <w:szCs w:val="18"/>
      <w:lang w:val="en-US" w:eastAsia="zh-CN" w:bidi="ar-SA"/>
    </w:rPr>
  </w:style>
  <w:style w:type="character" w:customStyle="1" w:styleId="44">
    <w:name w:val="font51"/>
    <w:qFormat/>
    <w:uiPriority w:val="0"/>
    <w:rPr>
      <w:rFonts w:hint="eastAsia" w:ascii="宋体" w:hAnsi="宋体" w:eastAsia="宋体" w:cs="宋体"/>
      <w:color w:val="000000"/>
      <w:sz w:val="21"/>
      <w:szCs w:val="21"/>
      <w:u w:val="none"/>
    </w:rPr>
  </w:style>
  <w:style w:type="character" w:customStyle="1" w:styleId="45">
    <w:name w:val="Char Char1"/>
    <w:semiHidden/>
    <w:qFormat/>
    <w:uiPriority w:val="0"/>
    <w:rPr>
      <w:rFonts w:ascii="Tahoma" w:hAnsi="Tahoma" w:eastAsia="宋体"/>
      <w:kern w:val="2"/>
      <w:sz w:val="28"/>
      <w:lang w:val="en-US" w:eastAsia="zh-CN" w:bidi="ar-SA"/>
    </w:rPr>
  </w:style>
  <w:style w:type="character" w:customStyle="1" w:styleId="46">
    <w:name w:val="profont1"/>
    <w:qFormat/>
    <w:uiPriority w:val="0"/>
    <w:rPr>
      <w:rFonts w:hint="default" w:ascii="Verdana" w:hAnsi="Verdana"/>
      <w:b/>
      <w:bCs/>
      <w:color w:val="333333"/>
      <w:sz w:val="24"/>
      <w:szCs w:val="24"/>
      <w:u w:val="none"/>
    </w:rPr>
  </w:style>
  <w:style w:type="character" w:customStyle="1" w:styleId="47">
    <w:name w:val="标题 2 Char"/>
    <w:qFormat/>
    <w:uiPriority w:val="0"/>
    <w:rPr>
      <w:rFonts w:ascii="Arial" w:hAnsi="Arial" w:eastAsia="黑体"/>
      <w:b/>
      <w:bCs/>
      <w:kern w:val="2"/>
      <w:sz w:val="32"/>
      <w:szCs w:val="32"/>
      <w:lang w:val="en-US" w:eastAsia="zh-CN" w:bidi="ar-SA"/>
    </w:rPr>
  </w:style>
  <w:style w:type="character" w:customStyle="1" w:styleId="48">
    <w:name w:val="Char Char5"/>
    <w:qFormat/>
    <w:uiPriority w:val="0"/>
    <w:rPr>
      <w:rFonts w:ascii="Tahoma" w:hAnsi="Tahoma" w:eastAsia="宋体"/>
      <w:kern w:val="2"/>
      <w:sz w:val="18"/>
      <w:szCs w:val="18"/>
      <w:lang w:val="en-US" w:eastAsia="zh-CN" w:bidi="ar-SA"/>
    </w:rPr>
  </w:style>
  <w:style w:type="character" w:customStyle="1" w:styleId="49">
    <w:name w:val="标题 1.1 Char1"/>
    <w:qFormat/>
    <w:uiPriority w:val="0"/>
    <w:rPr>
      <w:rFonts w:ascii="Arial" w:hAnsi="Arial" w:eastAsia="黑体"/>
      <w:b/>
      <w:bCs/>
      <w:kern w:val="2"/>
      <w:sz w:val="32"/>
      <w:szCs w:val="32"/>
      <w:lang w:val="en-US" w:eastAsia="zh-CN" w:bidi="ar-SA"/>
    </w:rPr>
  </w:style>
  <w:style w:type="character" w:customStyle="1" w:styleId="50">
    <w:name w:val="font01"/>
    <w:qFormat/>
    <w:uiPriority w:val="0"/>
    <w:rPr>
      <w:rFonts w:hint="eastAsia" w:ascii="宋体" w:hAnsi="宋体" w:eastAsia="宋体" w:cs="宋体"/>
      <w:color w:val="000000"/>
      <w:sz w:val="24"/>
      <w:szCs w:val="24"/>
      <w:u w:val="none"/>
    </w:rPr>
  </w:style>
  <w:style w:type="character" w:customStyle="1" w:styleId="51">
    <w:name w:val="font11"/>
    <w:qFormat/>
    <w:uiPriority w:val="0"/>
    <w:rPr>
      <w:rFonts w:hint="eastAsia" w:ascii="宋体" w:hAnsi="宋体" w:eastAsia="宋体" w:cs="宋体"/>
      <w:b/>
      <w:color w:val="000000"/>
      <w:sz w:val="24"/>
      <w:szCs w:val="24"/>
      <w:u w:val="none"/>
    </w:rPr>
  </w:style>
  <w:style w:type="character" w:customStyle="1" w:styleId="52">
    <w:name w:val="Char Char"/>
    <w:qFormat/>
    <w:uiPriority w:val="0"/>
    <w:rPr>
      <w:rFonts w:ascii="Tahoma" w:hAnsi="Tahoma"/>
      <w:kern w:val="2"/>
      <w:sz w:val="21"/>
      <w:szCs w:val="24"/>
    </w:rPr>
  </w:style>
  <w:style w:type="character" w:customStyle="1" w:styleId="53">
    <w:name w:val="style111"/>
    <w:qFormat/>
    <w:uiPriority w:val="0"/>
    <w:rPr>
      <w:rFonts w:ascii="Tahoma" w:hAnsi="Tahoma"/>
      <w:sz w:val="22"/>
      <w:szCs w:val="22"/>
    </w:rPr>
  </w:style>
  <w:style w:type="character" w:customStyle="1" w:styleId="54">
    <w:name w:val="displayarti"/>
    <w:basedOn w:val="29"/>
    <w:qFormat/>
    <w:uiPriority w:val="0"/>
    <w:rPr>
      <w:color w:val="FFFFFF"/>
      <w:shd w:val="clear" w:color="auto" w:fill="A00000"/>
    </w:rPr>
  </w:style>
  <w:style w:type="character" w:customStyle="1" w:styleId="55">
    <w:name w:val="Char Char7"/>
    <w:qFormat/>
    <w:uiPriority w:val="0"/>
    <w:rPr>
      <w:rFonts w:ascii="Tahoma" w:hAnsi="Tahoma" w:eastAsia="宋体"/>
      <w:b/>
      <w:bCs/>
      <w:kern w:val="44"/>
      <w:sz w:val="44"/>
      <w:szCs w:val="44"/>
      <w:lang w:val="en-US" w:eastAsia="zh-CN" w:bidi="ar-SA"/>
    </w:rPr>
  </w:style>
  <w:style w:type="character" w:customStyle="1" w:styleId="56">
    <w:name w:val="font31"/>
    <w:qFormat/>
    <w:uiPriority w:val="0"/>
    <w:rPr>
      <w:rFonts w:hint="eastAsia" w:ascii="宋体" w:hAnsi="宋体" w:eastAsia="宋体" w:cs="宋体"/>
      <w:color w:val="000000"/>
      <w:sz w:val="21"/>
      <w:szCs w:val="21"/>
      <w:u w:val="none"/>
    </w:rPr>
  </w:style>
  <w:style w:type="character" w:customStyle="1" w:styleId="57">
    <w:name w:val="Char Char2"/>
    <w:qFormat/>
    <w:uiPriority w:val="0"/>
    <w:rPr>
      <w:rFonts w:ascii="华文仿宋" w:hAnsi="华文仿宋" w:eastAsia="华文仿宋"/>
      <w:color w:val="000000"/>
      <w:sz w:val="32"/>
      <w:szCs w:val="32"/>
      <w:lang w:val="en-US" w:eastAsia="zh-CN" w:bidi="ar-SA"/>
    </w:rPr>
  </w:style>
  <w:style w:type="character" w:customStyle="1" w:styleId="58">
    <w:name w:val="style51"/>
    <w:qFormat/>
    <w:uiPriority w:val="0"/>
    <w:rPr>
      <w:rFonts w:ascii="Tahoma" w:hAnsi="Tahoma"/>
      <w:b/>
      <w:bCs/>
      <w:color w:val="814107"/>
      <w:sz w:val="21"/>
      <w:szCs w:val="21"/>
    </w:rPr>
  </w:style>
  <w:style w:type="character" w:customStyle="1" w:styleId="59">
    <w:name w:val="页脚 字符"/>
    <w:link w:val="19"/>
    <w:qFormat/>
    <w:uiPriority w:val="99"/>
    <w:rPr>
      <w:rFonts w:ascii="Tahoma" w:hAnsi="Tahoma"/>
      <w:kern w:val="2"/>
      <w:sz w:val="18"/>
      <w:szCs w:val="18"/>
    </w:rPr>
  </w:style>
  <w:style w:type="character" w:customStyle="1" w:styleId="60">
    <w:name w:val="标题 1.1 Char"/>
    <w:qFormat/>
    <w:uiPriority w:val="0"/>
    <w:rPr>
      <w:rFonts w:ascii="仿宋_GB2312" w:hAnsi="Arial" w:eastAsia="仿宋_GB2312" w:cs="Arial"/>
      <w:b/>
      <w:bCs/>
      <w:kern w:val="2"/>
      <w:sz w:val="24"/>
      <w:szCs w:val="24"/>
      <w:lang w:val="en-US" w:eastAsia="zh-CN" w:bidi="ar-SA"/>
    </w:rPr>
  </w:style>
  <w:style w:type="character" w:customStyle="1" w:styleId="61">
    <w:name w:val="普通文字 Char1"/>
    <w:qFormat/>
    <w:uiPriority w:val="0"/>
    <w:rPr>
      <w:rFonts w:ascii="宋体" w:hAnsi="Courier New" w:eastAsia="宋体"/>
      <w:kern w:val="2"/>
      <w:sz w:val="21"/>
      <w:szCs w:val="21"/>
      <w:lang w:val="en-US" w:eastAsia="zh-CN" w:bidi="ar-SA"/>
    </w:rPr>
  </w:style>
  <w:style w:type="character" w:customStyle="1" w:styleId="62">
    <w:name w:val="font41"/>
    <w:qFormat/>
    <w:uiPriority w:val="0"/>
    <w:rPr>
      <w:rFonts w:ascii="font-weight : 400" w:hAnsi="font-weight : 400" w:eastAsia="font-weight : 400" w:cs="font-weight : 400"/>
      <w:color w:val="000000"/>
      <w:sz w:val="21"/>
      <w:szCs w:val="21"/>
      <w:u w:val="none"/>
    </w:rPr>
  </w:style>
  <w:style w:type="character" w:customStyle="1" w:styleId="63">
    <w:name w:val="批注主题 字符"/>
    <w:link w:val="26"/>
    <w:qFormat/>
    <w:uiPriority w:val="0"/>
    <w:rPr>
      <w:rFonts w:ascii="Tahoma" w:hAnsi="Tahoma"/>
      <w:b/>
      <w:bCs/>
      <w:kern w:val="2"/>
      <w:sz w:val="21"/>
      <w:szCs w:val="24"/>
    </w:rPr>
  </w:style>
  <w:style w:type="character" w:customStyle="1" w:styleId="64">
    <w:name w:val="redfilefwwh"/>
    <w:basedOn w:val="29"/>
    <w:qFormat/>
    <w:uiPriority w:val="0"/>
    <w:rPr>
      <w:color w:val="BA2636"/>
      <w:sz w:val="18"/>
      <w:szCs w:val="18"/>
    </w:rPr>
  </w:style>
  <w:style w:type="character" w:customStyle="1" w:styleId="65">
    <w:name w:val="批注文字 字符"/>
    <w:link w:val="9"/>
    <w:semiHidden/>
    <w:qFormat/>
    <w:uiPriority w:val="99"/>
    <w:rPr>
      <w:rFonts w:ascii="Tahoma" w:hAnsi="Tahoma"/>
      <w:kern w:val="2"/>
      <w:sz w:val="21"/>
      <w:szCs w:val="24"/>
    </w:rPr>
  </w:style>
  <w:style w:type="character" w:customStyle="1" w:styleId="66">
    <w:name w:val="redfilenumber"/>
    <w:basedOn w:val="29"/>
    <w:qFormat/>
    <w:uiPriority w:val="0"/>
    <w:rPr>
      <w:color w:val="BA2636"/>
      <w:sz w:val="18"/>
      <w:szCs w:val="18"/>
    </w:rPr>
  </w:style>
  <w:style w:type="paragraph" w:customStyle="1" w:styleId="67">
    <w:name w:val="Char1 Char Char Char"/>
    <w:basedOn w:val="1"/>
    <w:qFormat/>
    <w:uiPriority w:val="0"/>
    <w:pPr>
      <w:adjustRightInd w:val="0"/>
      <w:spacing w:line="360" w:lineRule="auto"/>
    </w:pPr>
    <w:rPr>
      <w:kern w:val="0"/>
      <w:sz w:val="24"/>
      <w:szCs w:val="20"/>
    </w:rPr>
  </w:style>
  <w:style w:type="paragraph" w:customStyle="1" w:styleId="6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9">
    <w:name w:val="_Style 2"/>
    <w:basedOn w:val="1"/>
    <w:qFormat/>
    <w:uiPriority w:val="34"/>
    <w:pPr>
      <w:ind w:firstLine="420" w:firstLineChars="200"/>
    </w:pPr>
  </w:style>
  <w:style w:type="paragraph" w:customStyle="1" w:styleId="70">
    <w:name w:val="Char Char Char Char Char Char"/>
    <w:basedOn w:val="1"/>
    <w:qFormat/>
    <w:uiPriority w:val="0"/>
    <w:rPr>
      <w:rFonts w:ascii="Tahoma" w:hAnsi="Tahoma"/>
      <w:sz w:val="24"/>
    </w:rPr>
  </w:style>
  <w:style w:type="paragraph" w:customStyle="1" w:styleId="71">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2">
    <w:name w:val="Char Char Char"/>
    <w:basedOn w:val="1"/>
    <w:qFormat/>
    <w:uiPriority w:val="0"/>
    <w:rPr>
      <w:rFonts w:ascii="Tahoma" w:hAnsi="Tahoma"/>
      <w:sz w:val="24"/>
      <w:szCs w:val="20"/>
    </w:rPr>
  </w:style>
  <w:style w:type="paragraph" w:customStyle="1" w:styleId="7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4">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二级条标题"/>
    <w:basedOn w:val="77"/>
    <w:next w:val="1"/>
    <w:qFormat/>
    <w:uiPriority w:val="0"/>
    <w:pPr>
      <w:numPr>
        <w:ilvl w:val="3"/>
      </w:numPr>
      <w:outlineLvl w:val="3"/>
    </w:pPr>
  </w:style>
  <w:style w:type="paragraph" w:customStyle="1" w:styleId="77">
    <w:name w:val="一级条标题"/>
    <w:basedOn w:val="71"/>
    <w:next w:val="1"/>
    <w:qFormat/>
    <w:uiPriority w:val="0"/>
    <w:pPr>
      <w:numPr>
        <w:ilvl w:val="2"/>
      </w:numPr>
      <w:spacing w:beforeLines="0" w:afterLines="0"/>
      <w:outlineLvl w:val="2"/>
    </w:pPr>
  </w:style>
  <w:style w:type="paragraph" w:customStyle="1" w:styleId="78">
    <w:name w:val="Char Char Char1"/>
    <w:basedOn w:val="1"/>
    <w:qFormat/>
    <w:uiPriority w:val="0"/>
    <w:rPr>
      <w:rFonts w:ascii="Tahoma" w:hAnsi="Tahoma"/>
      <w:sz w:val="24"/>
      <w:szCs w:val="20"/>
    </w:rPr>
  </w:style>
  <w:style w:type="paragraph" w:customStyle="1" w:styleId="79">
    <w:name w:val="样式5"/>
    <w:basedOn w:val="80"/>
    <w:qFormat/>
    <w:uiPriority w:val="0"/>
    <w:pPr>
      <w:numPr>
        <w:ilvl w:val="3"/>
      </w:numPr>
      <w:tabs>
        <w:tab w:val="left" w:pos="432"/>
      </w:tabs>
      <w:spacing w:before="156"/>
    </w:pPr>
  </w:style>
  <w:style w:type="paragraph" w:customStyle="1" w:styleId="80">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1">
    <w:name w:val="Char"/>
    <w:basedOn w:val="1"/>
    <w:qFormat/>
    <w:uiPriority w:val="0"/>
    <w:pPr>
      <w:adjustRightInd w:val="0"/>
      <w:spacing w:line="360" w:lineRule="auto"/>
    </w:pPr>
    <w:rPr>
      <w:kern w:val="0"/>
      <w:sz w:val="24"/>
      <w:szCs w:val="20"/>
    </w:rPr>
  </w:style>
  <w:style w:type="paragraph" w:customStyle="1" w:styleId="82">
    <w:name w:val="Char1"/>
    <w:basedOn w:val="1"/>
    <w:qFormat/>
    <w:uiPriority w:val="0"/>
    <w:pPr>
      <w:adjustRightInd w:val="0"/>
      <w:spacing w:line="360" w:lineRule="auto"/>
    </w:pPr>
    <w:rPr>
      <w:kern w:val="0"/>
      <w:sz w:val="24"/>
      <w:szCs w:val="20"/>
    </w:rPr>
  </w:style>
  <w:style w:type="paragraph" w:customStyle="1" w:styleId="83">
    <w:name w:val="三级条标题"/>
    <w:basedOn w:val="76"/>
    <w:next w:val="1"/>
    <w:qFormat/>
    <w:uiPriority w:val="0"/>
    <w:pPr>
      <w:numPr>
        <w:ilvl w:val="4"/>
      </w:numPr>
      <w:outlineLvl w:val="4"/>
    </w:pPr>
  </w:style>
  <w:style w:type="paragraph" w:customStyle="1" w:styleId="84">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Char Char Char Char Char Char Char"/>
    <w:basedOn w:val="1"/>
    <w:qFormat/>
    <w:uiPriority w:val="0"/>
    <w:rPr>
      <w:rFonts w:ascii="Tahoma" w:hAnsi="Tahoma" w:cs="Arial"/>
      <w:szCs w:val="21"/>
    </w:rPr>
  </w:style>
  <w:style w:type="paragraph" w:customStyle="1" w:styleId="86">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7">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8">
    <w:name w:val="五级条标题"/>
    <w:basedOn w:val="89"/>
    <w:next w:val="1"/>
    <w:qFormat/>
    <w:uiPriority w:val="0"/>
    <w:pPr>
      <w:numPr>
        <w:ilvl w:val="6"/>
      </w:numPr>
      <w:outlineLvl w:val="6"/>
    </w:pPr>
  </w:style>
  <w:style w:type="paragraph" w:customStyle="1" w:styleId="89">
    <w:name w:val="四级条标题"/>
    <w:basedOn w:val="83"/>
    <w:next w:val="1"/>
    <w:qFormat/>
    <w:uiPriority w:val="0"/>
    <w:pPr>
      <w:numPr>
        <w:ilvl w:val="5"/>
      </w:numPr>
      <w:outlineLvl w:val="5"/>
    </w:pPr>
  </w:style>
  <w:style w:type="paragraph" w:customStyle="1" w:styleId="90">
    <w:name w:val="Normal Indent1"/>
    <w:basedOn w:val="1"/>
    <w:qFormat/>
    <w:uiPriority w:val="99"/>
    <w:pPr>
      <w:autoSpaceDE w:val="0"/>
      <w:autoSpaceDN w:val="0"/>
      <w:adjustRightInd w:val="0"/>
      <w:ind w:firstLine="420"/>
    </w:pPr>
    <w:rPr>
      <w:kern w:val="0"/>
      <w:szCs w:val="21"/>
    </w:rPr>
  </w:style>
  <w:style w:type="paragraph" w:customStyle="1" w:styleId="91">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2">
    <w:name w:val="样式6"/>
    <w:basedOn w:val="80"/>
    <w:qFormat/>
    <w:uiPriority w:val="0"/>
    <w:pPr>
      <w:numPr>
        <w:ilvl w:val="2"/>
      </w:numPr>
      <w:tabs>
        <w:tab w:val="clear" w:pos="432"/>
      </w:tabs>
      <w:spacing w:before="156"/>
      <w:outlineLvl w:val="4"/>
    </w:pPr>
    <w:rPr>
      <w:rFonts w:ascii="MS Shell Dlg" w:hAnsi="MS Shell Dlg"/>
    </w:rPr>
  </w:style>
  <w:style w:type="paragraph" w:styleId="93">
    <w:name w:val="List Paragraph"/>
    <w:basedOn w:val="1"/>
    <w:qFormat/>
    <w:uiPriority w:val="34"/>
    <w:pPr>
      <w:ind w:firstLine="420" w:firstLineChars="200"/>
    </w:pPr>
    <w:rPr>
      <w:sz w:val="28"/>
    </w:rPr>
  </w:style>
  <w:style w:type="paragraph" w:customStyle="1" w:styleId="94">
    <w:name w:val="列出段落1"/>
    <w:basedOn w:val="1"/>
    <w:qFormat/>
    <w:uiPriority w:val="0"/>
    <w:pPr>
      <w:ind w:firstLine="420" w:firstLineChars="200"/>
    </w:pPr>
    <w:rPr>
      <w:rFonts w:ascii="Calibri" w:hAnsi="Calibri"/>
      <w:kern w:val="0"/>
      <w:sz w:val="20"/>
      <w:szCs w:val="20"/>
    </w:rPr>
  </w:style>
  <w:style w:type="paragraph" w:customStyle="1" w:styleId="9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6">
    <w:name w:val="Table Paragraph"/>
    <w:basedOn w:val="1"/>
    <w:unhideWhenUsed/>
    <w:qFormat/>
    <w:uiPriority w:val="1"/>
    <w:rPr>
      <w:rFonts w:hint="eastAsia"/>
      <w:sz w:val="24"/>
    </w:rPr>
  </w:style>
  <w:style w:type="paragraph" w:customStyle="1" w:styleId="9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9">
    <w:name w:val="页码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0</TotalTime>
  <ScaleCrop>false</ScaleCrop>
  <LinksUpToDate>false</LinksUpToDate>
  <CharactersWithSpaces>29889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盼盼</cp:lastModifiedBy>
  <cp:lastPrinted>2019-09-01T07:55:00Z</cp:lastPrinted>
  <dcterms:modified xsi:type="dcterms:W3CDTF">2020-09-25T01:46:21Z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