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b/>
          <w:bCs/>
          <w:color w:val="auto"/>
          <w:sz w:val="28"/>
        </w:rPr>
        <w:t>湖 北 省 省 级 政 府 采 购 项 目</w:t>
      </w:r>
    </w:p>
    <w:p>
      <w:pPr>
        <w:pStyle w:val="11"/>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jc w:val="center"/>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2" w:after="1"/>
        <w:rPr>
          <w:rFonts w:hint="eastAsia" w:asciiTheme="minorEastAsia" w:hAnsiTheme="minorEastAsia" w:eastAsiaTheme="minorEastAsia" w:cstheme="minorEastAsia"/>
          <w:color w:val="auto"/>
          <w:sz w:val="11"/>
        </w:rPr>
      </w:pPr>
    </w:p>
    <w:tbl>
      <w:tblPr>
        <w:tblStyle w:val="27"/>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6"/>
              <w:kinsoku w:val="0"/>
              <w:overflowPunct w:val="0"/>
              <w:spacing w:line="320"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鄂采计[2020]-15345号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项 目  编 号：</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ZJZB-ZC-202009-257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项 目  名 称：</w:t>
            </w:r>
          </w:p>
        </w:tc>
        <w:tc>
          <w:tcPr>
            <w:tcW w:w="6053" w:type="dxa"/>
            <w:tcBorders>
              <w:top w:val="nil"/>
              <w:left w:val="nil"/>
              <w:bottom w:val="nil"/>
              <w:right w:val="nil"/>
              <w:tl2br w:val="nil"/>
              <w:tr2bl w:val="nil"/>
            </w:tcBorders>
            <w:vAlign w:val="center"/>
          </w:tcPr>
          <w:p>
            <w:pPr>
              <w:pStyle w:val="96"/>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长江工程职业技术学院自动化综合实训室设备采购项目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6"/>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4"/>
        <w:rPr>
          <w:rFonts w:hint="eastAsia" w:asciiTheme="minorEastAsia" w:hAnsiTheme="minorEastAsia" w:eastAsiaTheme="minorEastAsia" w:cstheme="minorEastAsia"/>
          <w:color w:val="auto"/>
          <w:sz w:val="20"/>
        </w:rPr>
      </w:pPr>
    </w:p>
    <w:tbl>
      <w:tblPr>
        <w:tblStyle w:val="27"/>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长江工程职业技术学院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6"/>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2020年9月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ab/>
      </w:r>
      <w:r>
        <w:rPr>
          <w:rFonts w:hint="eastAsia" w:asciiTheme="minorEastAsia" w:hAnsiTheme="minorEastAsia" w:eastAsiaTheme="minorEastAsia" w:cstheme="minorEastAsia"/>
          <w:b/>
          <w:bCs/>
          <w:sz w:val="44"/>
          <w:szCs w:val="44"/>
          <w:lang w:val="zh-CN"/>
        </w:rPr>
        <w:t>目  录</w:t>
      </w:r>
      <w:r>
        <w:rPr>
          <w:rFonts w:hint="eastAsia" w:asciiTheme="minorEastAsia" w:hAnsiTheme="minorEastAsia" w:eastAsiaTheme="minorEastAsia" w:cstheme="minorEastAsia"/>
          <w:b/>
          <w:bCs/>
          <w:sz w:val="44"/>
          <w:szCs w:val="44"/>
          <w:lang w:val="zh-CN"/>
        </w:rPr>
        <w:tab/>
      </w:r>
    </w:p>
    <w:p>
      <w:pPr>
        <w:jc w:val="center"/>
        <w:rPr>
          <w:rFonts w:hint="eastAsia" w:asciiTheme="minorEastAsia" w:hAnsiTheme="minorEastAsia" w:eastAsiaTheme="minorEastAsia" w:cstheme="minorEastAsia"/>
          <w:b/>
          <w:bCs/>
          <w:szCs w:val="21"/>
          <w:lang w:val="zh-CN"/>
        </w:rPr>
      </w:pPr>
    </w:p>
    <w:p>
      <w:pPr>
        <w:pStyle w:val="21"/>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_Toc1628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_Toc1628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_Toc24710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_Toc24710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_Toc20667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_Toc20667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_Toc30193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_Toc30193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_Toc3841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_Toc3841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_Toc11052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_Toc11052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_Toc23624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_Toc23624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_Toc17673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_Toc17673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_Toc12218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_Toc12218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_Toc30016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_Toc30016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_Toc30354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_Toc5340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_Toc19309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_Toc19164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_Toc7383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_Toc18687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_Toc25967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_Toc22488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_Toc27172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_Toc29851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_Toc22354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_Toc5704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_Toc7112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_Toc7443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_Toc6398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_Toc17989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_Toc17989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_Toc14856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_Toc4071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_Toc20227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_Toc20227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_Toc4849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_Toc14612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_Toc20441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_Toc20441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_Toc4910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_Toc2229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_Toc9786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_Toc23886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_Toc11099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_Toc16589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_Toc13658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_Toc24054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_Toc8841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_Toc26119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_Toc17050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_Toc17050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_Toc26543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_Toc30772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_Toc30407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_Toc7258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_Toc7258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_Toc29351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_Toc23007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_Toc26703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_Toc10603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_Toc14017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_Toc6896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_Toc3901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_Toc16251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_Toc30779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_Toc24256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_Toc24256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_Toc29013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_Toc15828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_Toc15828 </w:instrText>
      </w:r>
      <w:r>
        <w:fldChar w:fldCharType="separate"/>
      </w:r>
      <w:r>
        <w:t>28</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_Toc1933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_Toc10483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_Toc25729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_Toc25729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_Toc16455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_Toc30868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_Toc18437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_Toc7958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_Toc7958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1"/>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_Toc32354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_Toc21743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_Toc21743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_Toc20006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_Toc7513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_Toc10986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_Toc19882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_Toc3144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w:t>
      </w:r>
      <w:r>
        <w:tab/>
      </w:r>
      <w:r>
        <w:fldChar w:fldCharType="begin"/>
      </w:r>
      <w:r>
        <w:instrText xml:space="preserve"> PAGEREF _Toc66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w:t>
      </w:r>
      <w:r>
        <w:tab/>
      </w:r>
      <w:r>
        <w:fldChar w:fldCharType="begin"/>
      </w:r>
      <w:r>
        <w:instrText xml:space="preserve"> PAGEREF _Toc26501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_Toc12313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_Toc17270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_Toc17270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_Toc18816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_Toc18816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_Toc8374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_Toc8711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_Toc103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十五、</w:t>
      </w:r>
      <w:r>
        <w:rPr>
          <w:rFonts w:hint="eastAsia" w:asciiTheme="minorEastAsia" w:hAnsiTheme="minorEastAsia" w:eastAsiaTheme="minorEastAsia" w:cstheme="minorEastAsia"/>
          <w:bCs/>
          <w:kern w:val="0"/>
          <w:szCs w:val="21"/>
        </w:rPr>
        <w:t>报价技术文件</w:t>
      </w:r>
      <w:r>
        <w:tab/>
      </w:r>
      <w:r>
        <w:fldChar w:fldCharType="begin"/>
      </w:r>
      <w:r>
        <w:instrText xml:space="preserve"> PAGEREF _Toc6332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_Toc26126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_Toc26897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_Toc21843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_Toc20002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_Toc4769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3"/>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_Toc16716 </w:instrText>
      </w:r>
      <w:r>
        <w:fldChar w:fldCharType="separate"/>
      </w:r>
      <w:r>
        <w:t>58</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1628"/>
      <w:bookmarkStart w:id="1" w:name="_Toc6866"/>
      <w:r>
        <w:rPr>
          <w:rFonts w:hint="eastAsia" w:ascii="宋体" w:hAnsi="宋体" w:cs="宋体"/>
          <w:b/>
          <w:sz w:val="36"/>
          <w:szCs w:val="36"/>
        </w:rPr>
        <w:t>竞争性磋商公告</w:t>
      </w:r>
      <w:bookmarkEnd w:id="0"/>
      <w:bookmarkEnd w:id="1"/>
      <w:bookmarkStart w:id="2" w:name="_Toc152042288"/>
      <w:bookmarkStart w:id="3" w:name="_Toc524908844"/>
      <w:bookmarkStart w:id="4" w:name="_Toc144974480"/>
      <w:bookmarkStart w:id="5" w:name="_Toc9976"/>
      <w:bookmarkStart w:id="6" w:name="_Toc152045512"/>
      <w:bookmarkStart w:id="7" w:name="_Toc17963252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长江工程职业技术学院自动化综合实训室设备采购项目</w:t>
      </w:r>
      <w:r>
        <w:rPr>
          <w:rFonts w:hint="eastAsia" w:ascii="宋体" w:hAnsi="宋体" w:eastAsia="宋体" w:cs="宋体"/>
          <w:color w:val="auto"/>
          <w:sz w:val="21"/>
          <w:szCs w:val="21"/>
          <w:u w:val="none"/>
          <w:lang w:val="en-US" w:eastAsia="zh-CN"/>
        </w:rPr>
        <w:t>采购项目的潜在供应商应在</w:t>
      </w:r>
      <w:r>
        <w:rPr>
          <w:rFonts w:hint="eastAsia" w:ascii="宋体" w:hAnsi="宋体" w:eastAsia="宋体" w:cs="宋体"/>
          <w:color w:val="000000"/>
          <w:sz w:val="21"/>
          <w:szCs w:val="21"/>
          <w:u w:val="single"/>
        </w:rPr>
        <w:t>中经国际招标</w:t>
      </w:r>
      <w:r>
        <w:rPr>
          <w:rFonts w:hint="eastAsia" w:ascii="宋体" w:hAnsi="宋体" w:eastAsia="宋体" w:cs="宋体"/>
          <w:color w:val="auto"/>
          <w:sz w:val="21"/>
          <w:szCs w:val="21"/>
          <w:u w:val="single"/>
        </w:rPr>
        <w:t>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15</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8" w:name="_Toc24710"/>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w:t>
      </w:r>
      <w:r>
        <w:rPr>
          <w:rFonts w:hint="eastAsia" w:asciiTheme="minorEastAsia" w:hAnsiTheme="minorEastAsia" w:eastAsiaTheme="minorEastAsia" w:cstheme="minorEastAsia"/>
          <w:color w:val="auto"/>
          <w:sz w:val="21"/>
          <w:szCs w:val="21"/>
          <w:lang w:val="en-US" w:eastAsia="zh-CN"/>
        </w:rPr>
        <w:t>ZJZB-ZC-202009-257；</w:t>
      </w:r>
    </w:p>
    <w:p>
      <w:p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2、采购计划备案号：鄂采计[2020]-15345号；</w:t>
      </w:r>
      <w:r>
        <w:rPr>
          <w:rFonts w:hint="eastAsia" w:asciiTheme="minorEastAsia" w:hAnsiTheme="minorEastAsia" w:eastAsiaTheme="minorEastAsia" w:cstheme="minorEastAsia"/>
          <w:color w:val="FF0000"/>
          <w:sz w:val="21"/>
          <w:szCs w:val="21"/>
        </w:rPr>
        <w:br w:type="textWrapping"/>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val="en-US" w:eastAsia="zh-CN"/>
        </w:rPr>
        <w:t>长江工程职业技术学院自动化综合实训室设备采购项目</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lang w:val="en-US" w:eastAsia="zh-CN"/>
        </w:rPr>
        <w:t>4、采购方式：竞争性磋商</w:t>
      </w:r>
    </w:p>
    <w:p>
      <w:p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、预算</w:t>
      </w:r>
      <w:r>
        <w:rPr>
          <w:rFonts w:hint="eastAsia" w:asciiTheme="minorEastAsia" w:hAnsiTheme="minorEastAsia" w:eastAsiaTheme="minorEastAsia" w:cstheme="minorEastAsia"/>
          <w:color w:val="auto"/>
          <w:sz w:val="21"/>
          <w:szCs w:val="21"/>
          <w:highlight w:val="none"/>
          <w:lang w:eastAsia="zh-CN"/>
        </w:rPr>
        <w:t>金额</w:t>
      </w:r>
      <w:r>
        <w:rPr>
          <w:rFonts w:hint="eastAsia" w:asciiTheme="minorEastAsia" w:hAnsiTheme="minorEastAsia" w:eastAsiaTheme="minorEastAsia" w:cstheme="minorEastAsia"/>
          <w:color w:val="auto"/>
          <w:sz w:val="21"/>
          <w:szCs w:val="21"/>
          <w:highlight w:val="none"/>
        </w:rPr>
        <w:t>：人民币</w:t>
      </w:r>
      <w:r>
        <w:rPr>
          <w:rFonts w:hint="eastAsia" w:asciiTheme="minorEastAsia" w:hAnsiTheme="minorEastAsia" w:eastAsiaTheme="minorEastAsia" w:cstheme="minorEastAsia"/>
          <w:color w:val="auto"/>
          <w:sz w:val="21"/>
          <w:szCs w:val="21"/>
          <w:highlight w:val="none"/>
          <w:u w:val="single"/>
          <w:lang w:val="en-US" w:eastAsia="zh-CN"/>
        </w:rPr>
        <w:t>91.22</w:t>
      </w:r>
      <w:r>
        <w:rPr>
          <w:rFonts w:hint="eastAsia" w:asciiTheme="minorEastAsia" w:hAnsiTheme="minorEastAsia" w:eastAsiaTheme="minorEastAsia" w:cstheme="minorEastAsia"/>
          <w:color w:val="auto"/>
          <w:sz w:val="21"/>
          <w:szCs w:val="21"/>
          <w:highlight w:val="none"/>
        </w:rPr>
        <w:t>万元（含财政资金</w:t>
      </w:r>
      <w:r>
        <w:rPr>
          <w:rFonts w:hint="eastAsia" w:asciiTheme="minorEastAsia" w:hAnsiTheme="minorEastAsia" w:eastAsiaTheme="minorEastAsia" w:cstheme="minorEastAsia"/>
          <w:color w:val="auto"/>
          <w:sz w:val="21"/>
          <w:szCs w:val="21"/>
          <w:highlight w:val="none"/>
          <w:u w:val="single"/>
          <w:lang w:val="en-US" w:eastAsia="zh-CN"/>
        </w:rPr>
        <w:t>91.22</w:t>
      </w:r>
      <w:r>
        <w:rPr>
          <w:rFonts w:hint="eastAsia" w:asciiTheme="minorEastAsia" w:hAnsiTheme="minorEastAsia" w:eastAsiaTheme="minorEastAsia" w:cstheme="minorEastAsia"/>
          <w:color w:val="auto"/>
          <w:sz w:val="21"/>
          <w:szCs w:val="21"/>
          <w:highlight w:val="none"/>
        </w:rPr>
        <w:t>万元，其他资金</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 </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lang w:val="en-US" w:eastAsia="zh-CN"/>
        </w:rPr>
        <w:t>6、最高限价：</w:t>
      </w:r>
      <w:r>
        <w:rPr>
          <w:rFonts w:hint="eastAsia" w:asciiTheme="minorEastAsia" w:hAnsiTheme="minorEastAsia" w:eastAsiaTheme="minorEastAsia" w:cstheme="minorEastAsia"/>
          <w:color w:val="auto"/>
          <w:sz w:val="21"/>
          <w:szCs w:val="21"/>
          <w:highlight w:val="none"/>
        </w:rPr>
        <w:t>人民币</w:t>
      </w:r>
      <w:r>
        <w:rPr>
          <w:rFonts w:hint="eastAsia" w:asciiTheme="minorEastAsia" w:hAnsiTheme="minorEastAsia" w:eastAsiaTheme="minorEastAsia" w:cstheme="minorEastAsia"/>
          <w:color w:val="auto"/>
          <w:sz w:val="21"/>
          <w:szCs w:val="21"/>
          <w:highlight w:val="none"/>
          <w:u w:val="single"/>
          <w:lang w:val="en-US" w:eastAsia="zh-CN"/>
        </w:rPr>
        <w:t>91.22</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lang w:val="en-US" w:eastAsia="zh-CN"/>
        </w:rPr>
        <w:t>；</w:t>
      </w:r>
    </w:p>
    <w:p>
      <w:pPr>
        <w:spacing w:line="360" w:lineRule="auto"/>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采购需求：用于长江工程职业技术学院自动化综合实训室设备采购项目，采购</w:t>
      </w:r>
      <w:r>
        <w:rPr>
          <w:rFonts w:hint="eastAsia" w:ascii="宋体" w:hAnsi="宋体" w:eastAsia="宋体" w:cs="宋体"/>
          <w:i w:val="0"/>
          <w:color w:val="auto"/>
          <w:kern w:val="0"/>
          <w:sz w:val="22"/>
          <w:szCs w:val="22"/>
          <w:highlight w:val="none"/>
          <w:u w:val="none"/>
          <w:lang w:val="en-US" w:eastAsia="zh-CN" w:bidi="ar"/>
        </w:rPr>
        <w:t>自动化综合实训系统2套、</w:t>
      </w:r>
      <w:r>
        <w:rPr>
          <w:rFonts w:hint="eastAsia" w:ascii="宋体" w:hAnsi="宋体" w:eastAsia="宋体" w:cs="宋体"/>
          <w:i w:val="0"/>
          <w:color w:val="auto"/>
          <w:kern w:val="0"/>
          <w:sz w:val="21"/>
          <w:szCs w:val="21"/>
          <w:highlight w:val="none"/>
          <w:u w:val="none"/>
          <w:lang w:val="en-US" w:eastAsia="zh-CN" w:bidi="ar"/>
        </w:rPr>
        <w:t>台式电脑20台、钢木方凳82张、</w:t>
      </w:r>
      <w:r>
        <w:rPr>
          <w:rFonts w:hint="eastAsia" w:ascii="宋体" w:hAnsi="宋体" w:eastAsia="宋体" w:cs="宋体"/>
          <w:i w:val="0"/>
          <w:color w:val="auto"/>
          <w:kern w:val="0"/>
          <w:sz w:val="22"/>
          <w:szCs w:val="22"/>
          <w:highlight w:val="none"/>
          <w:u w:val="none"/>
          <w:lang w:val="en-US" w:eastAsia="zh-CN" w:bidi="ar"/>
        </w:rPr>
        <w:t>电脑桌椅60套</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(详见采购文件第三章“项目采购需求”）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r>
        <w:rPr>
          <w:rFonts w:hint="eastAsia" w:ascii="宋体" w:hAnsi="宋体" w:eastAsia="宋体" w:cs="宋体"/>
          <w:b w:val="0"/>
          <w:bCs w:val="0"/>
          <w:color w:val="auto"/>
          <w:kern w:val="2"/>
          <w:sz w:val="21"/>
          <w:szCs w:val="21"/>
          <w:highlight w:val="none"/>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交货期：合同签订后</w:t>
      </w:r>
      <w:r>
        <w:rPr>
          <w:rFonts w:hint="eastAsia" w:ascii="宋体" w:hAnsi="宋体" w:cs="宋体"/>
          <w:color w:val="auto"/>
          <w:sz w:val="21"/>
          <w:szCs w:val="21"/>
          <w:highlight w:val="none"/>
          <w:u w:val="single"/>
          <w:lang w:val="en-US" w:eastAsia="zh-CN"/>
        </w:rPr>
        <w:t>30</w:t>
      </w:r>
      <w:r>
        <w:rPr>
          <w:rFonts w:hint="eastAsia" w:ascii="宋体" w:hAnsi="宋体" w:eastAsia="宋体" w:cs="宋体"/>
          <w:b w:val="0"/>
          <w:bCs w:val="0"/>
          <w:color w:val="auto"/>
          <w:kern w:val="2"/>
          <w:sz w:val="21"/>
          <w:szCs w:val="21"/>
          <w:highlight w:val="none"/>
          <w:lang w:val="en-US" w:eastAsia="zh-CN" w:bidi="ar-SA"/>
        </w:rPr>
        <w:t>日历天内供货，</w:t>
      </w:r>
      <w:r>
        <w:rPr>
          <w:rFonts w:hint="eastAsia" w:ascii="宋体" w:hAnsi="宋体" w:cs="宋体"/>
          <w:color w:val="auto"/>
          <w:sz w:val="21"/>
          <w:szCs w:val="21"/>
          <w:highlight w:val="none"/>
          <w:u w:val="single"/>
          <w:lang w:val="en-US" w:eastAsia="zh-CN"/>
        </w:rPr>
        <w:t>并</w:t>
      </w:r>
      <w:r>
        <w:rPr>
          <w:rFonts w:hint="eastAsia" w:ascii="宋体" w:hAnsi="宋体" w:eastAsia="宋体" w:cs="宋体"/>
          <w:b w:val="0"/>
          <w:bCs w:val="0"/>
          <w:color w:val="auto"/>
          <w:kern w:val="2"/>
          <w:sz w:val="21"/>
          <w:szCs w:val="21"/>
          <w:highlight w:val="none"/>
          <w:lang w:val="en-US" w:eastAsia="zh-CN" w:bidi="ar-SA"/>
        </w:rPr>
        <w:t>安装调试</w:t>
      </w:r>
      <w:r>
        <w:rPr>
          <w:rFonts w:hint="eastAsia" w:ascii="宋体" w:hAnsi="宋体" w:cs="宋体"/>
          <w:b w:val="0"/>
          <w:bCs w:val="0"/>
          <w:color w:val="auto"/>
          <w:kern w:val="2"/>
          <w:sz w:val="21"/>
          <w:szCs w:val="21"/>
          <w:highlight w:val="none"/>
          <w:lang w:val="en-US" w:eastAsia="zh-CN" w:bidi="ar-SA"/>
        </w:rPr>
        <w:t>到位。</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w:t>
      </w:r>
      <w:r>
        <w:rPr>
          <w:rFonts w:hint="eastAsia" w:ascii="宋体" w:hAnsi="宋体" w:cs="宋体"/>
          <w:b w:val="0"/>
          <w:bCs w:val="0"/>
          <w:color w:val="auto"/>
          <w:kern w:val="2"/>
          <w:sz w:val="21"/>
          <w:szCs w:val="21"/>
          <w:lang w:val="en-US" w:eastAsia="zh-CN" w:bidi="ar-SA"/>
        </w:rPr>
        <w:t>台式</w:t>
      </w:r>
      <w:r>
        <w:rPr>
          <w:rFonts w:hint="eastAsia" w:ascii="宋体" w:hAnsi="宋体" w:eastAsia="宋体" w:cs="宋体"/>
          <w:b w:val="0"/>
          <w:bCs w:val="0"/>
          <w:color w:val="auto"/>
          <w:kern w:val="2"/>
          <w:sz w:val="21"/>
          <w:szCs w:val="21"/>
          <w:lang w:val="en-US" w:eastAsia="zh-CN" w:bidi="ar-SA"/>
        </w:rPr>
        <w:t>电脑提供三年免费上门质保，其它设备免费上门质保不低于12个月。</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w:t>
      </w:r>
      <w:r>
        <w:rPr>
          <w:rFonts w:hint="eastAsia" w:ascii="宋体" w:hAnsi="宋体" w:eastAsia="宋体" w:cs="宋体"/>
          <w:sz w:val="21"/>
          <w:szCs w:val="21"/>
          <w:lang w:eastAsia="zh-CN"/>
        </w:rPr>
        <w:t>商</w:t>
      </w:r>
      <w:r>
        <w:rPr>
          <w:rFonts w:hint="eastAsia" w:ascii="宋体" w:hAnsi="宋体" w:eastAsia="宋体" w:cs="宋体"/>
          <w:sz w:val="21"/>
          <w:szCs w:val="21"/>
        </w:rPr>
        <w:t>报价须包含该采购</w:t>
      </w:r>
      <w:r>
        <w:rPr>
          <w:rFonts w:hint="eastAsia" w:ascii="宋体" w:hAnsi="宋体" w:eastAsia="宋体" w:cs="宋体"/>
          <w:sz w:val="21"/>
          <w:szCs w:val="21"/>
          <w:lang w:eastAsia="zh-CN"/>
        </w:rPr>
        <w:t>需求</w:t>
      </w:r>
      <w:r>
        <w:rPr>
          <w:rFonts w:hint="eastAsia" w:ascii="宋体" w:hAnsi="宋体" w:eastAsia="宋体" w:cs="宋体"/>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000000"/>
          <w:sz w:val="21"/>
          <w:szCs w:val="21"/>
          <w:lang w:val="en-US" w:eastAsia="zh-CN"/>
        </w:rPr>
        <w:t>8</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合同签订后30日历天内供货，并安装调试到</w:t>
      </w:r>
      <w:r>
        <w:rPr>
          <w:rFonts w:hint="eastAsia" w:ascii="宋体" w:hAnsi="宋体" w:eastAsia="宋体" w:cs="宋体"/>
          <w:color w:val="auto"/>
          <w:sz w:val="21"/>
          <w:szCs w:val="21"/>
          <w:u w:val="none"/>
          <w:lang w:val="en-US" w:eastAsia="zh-CN"/>
        </w:rPr>
        <w:t>位</w:t>
      </w:r>
      <w:r>
        <w:rPr>
          <w:rFonts w:hint="eastAsia" w:ascii="宋体" w:hAnsi="宋体" w:eastAsia="宋体" w:cs="宋体"/>
          <w:color w:val="auto"/>
          <w:sz w:val="21"/>
          <w:szCs w:val="21"/>
          <w:u w:val="none"/>
          <w:lang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sz w:val="21"/>
          <w:szCs w:val="21"/>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4"/>
        <w:numPr>
          <w:ilvl w:val="0"/>
          <w:numId w:val="6"/>
        </w:numPr>
        <w:spacing w:line="360" w:lineRule="auto"/>
        <w:jc w:val="left"/>
        <w:rPr>
          <w:rFonts w:hint="eastAsia" w:ascii="宋体" w:hAnsi="宋体" w:eastAsia="宋体" w:cs="宋体"/>
          <w:sz w:val="21"/>
          <w:szCs w:val="21"/>
        </w:rPr>
      </w:pPr>
      <w:bookmarkStart w:id="9" w:name="_Toc20667"/>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w:t>
      </w:r>
      <w:r>
        <w:rPr>
          <w:rFonts w:hint="eastAsia" w:asciiTheme="minorEastAsia" w:hAnsiTheme="minorEastAsia" w:eastAsiaTheme="minorEastAsia" w:cstheme="minorEastAsia"/>
          <w:color w:val="000000"/>
          <w:sz w:val="21"/>
          <w:szCs w:val="21"/>
          <w:lang w:eastAsia="zh-CN"/>
        </w:rPr>
        <w:t>供应商</w:t>
      </w:r>
      <w:r>
        <w:rPr>
          <w:rFonts w:hint="eastAsia" w:asciiTheme="minorEastAsia" w:hAnsiTheme="minorEastAsia" w:eastAsiaTheme="minorEastAsia" w:cstheme="minorEastAsia"/>
          <w:color w:val="000000"/>
          <w:sz w:val="21"/>
          <w:szCs w:val="21"/>
        </w:rPr>
        <w:t>，不得参加本项目同一合同项下的政府采购活动。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6.2供应商营业执照的经营范围需满足采购需求；</w:t>
      </w:r>
    </w:p>
    <w:p>
      <w:pPr>
        <w:pStyle w:val="4"/>
        <w:numPr>
          <w:ilvl w:val="0"/>
          <w:numId w:val="6"/>
        </w:numPr>
        <w:spacing w:line="360" w:lineRule="auto"/>
        <w:jc w:val="left"/>
        <w:rPr>
          <w:rFonts w:hint="eastAsia" w:ascii="宋体" w:hAnsi="宋体" w:eastAsia="宋体" w:cs="宋体"/>
          <w:sz w:val="21"/>
          <w:szCs w:val="21"/>
        </w:rPr>
      </w:pPr>
      <w:bookmarkStart w:id="10" w:name="_Toc30193"/>
      <w:bookmarkStart w:id="11"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10"/>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27</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eastAsia="宋体" w:cs="宋体"/>
          <w:sz w:val="21"/>
          <w:szCs w:val="21"/>
        </w:rPr>
        <w:t>5个工作日），每天上午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4"/>
        <w:numPr>
          <w:ilvl w:val="0"/>
          <w:numId w:val="6"/>
        </w:numPr>
        <w:spacing w:line="360" w:lineRule="auto"/>
        <w:jc w:val="left"/>
        <w:rPr>
          <w:rFonts w:hint="eastAsia" w:ascii="宋体" w:hAnsi="宋体" w:eastAsia="宋体" w:cs="宋体"/>
          <w:sz w:val="21"/>
          <w:szCs w:val="21"/>
        </w:rPr>
      </w:pPr>
      <w:bookmarkStart w:id="12" w:name="_Toc3841"/>
      <w:r>
        <w:rPr>
          <w:rFonts w:hint="eastAsia" w:ascii="宋体" w:hAnsi="宋体" w:eastAsia="宋体" w:cs="宋体"/>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开始时间：2020年10月15日08点30分（北京时间）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截止时间：2020年10月15日14点00分（北京时间）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w:t>
      </w:r>
    </w:p>
    <w:p>
      <w:pPr>
        <w:pStyle w:val="4"/>
        <w:numPr>
          <w:ilvl w:val="0"/>
          <w:numId w:val="6"/>
        </w:numPr>
        <w:spacing w:line="360" w:lineRule="auto"/>
        <w:jc w:val="left"/>
        <w:rPr>
          <w:rFonts w:hint="eastAsia" w:eastAsia="宋体"/>
          <w:sz w:val="21"/>
          <w:szCs w:val="21"/>
          <w:lang w:eastAsia="zh-CN"/>
        </w:rPr>
      </w:pPr>
      <w:bookmarkStart w:id="13" w:name="_Toc11052"/>
      <w:r>
        <w:rPr>
          <w:rFonts w:hint="eastAsia" w:ascii="宋体" w:hAnsi="宋体" w:eastAsia="宋体" w:cs="宋体"/>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时间：2020年10月15日14点00分</w:t>
      </w:r>
      <w:r>
        <w:rPr>
          <w:rFonts w:hint="eastAsia" w:ascii="宋体" w:hAnsi="宋体" w:eastAsia="宋体" w:cs="宋体"/>
          <w:sz w:val="21"/>
          <w:szCs w:val="21"/>
          <w:lang w:eastAsia="zh-CN"/>
        </w:rPr>
        <w:t>（北京时间）</w:t>
      </w:r>
    </w:p>
    <w:p>
      <w:pPr>
        <w:pStyle w:val="4"/>
        <w:numPr>
          <w:ilvl w:val="0"/>
          <w:numId w:val="6"/>
        </w:numPr>
        <w:spacing w:line="360" w:lineRule="auto"/>
        <w:jc w:val="left"/>
        <w:rPr>
          <w:rFonts w:hint="eastAsia" w:ascii="宋体" w:hAnsi="宋体" w:eastAsia="宋体" w:cs="宋体"/>
          <w:sz w:val="21"/>
          <w:szCs w:val="21"/>
        </w:rPr>
      </w:pPr>
      <w:bookmarkStart w:id="14" w:name="_Toc23624"/>
      <w:r>
        <w:rPr>
          <w:rFonts w:hint="eastAsia" w:ascii="宋体" w:hAnsi="宋体" w:eastAsia="宋体" w:cs="宋体"/>
          <w:sz w:val="21"/>
          <w:szCs w:val="21"/>
        </w:rPr>
        <w:t>公告期限</w:t>
      </w:r>
      <w:bookmarkEnd w:id="14"/>
    </w:p>
    <w:p>
      <w:pPr>
        <w:spacing w:line="360" w:lineRule="auto"/>
        <w:ind w:firstLine="420" w:firstLineChars="200"/>
        <w:jc w:val="left"/>
        <w:rPr>
          <w:rFonts w:hint="eastAsia" w:ascii="宋体" w:hAnsi="宋体" w:eastAsia="宋体" w:cs="宋体"/>
          <w:sz w:val="21"/>
          <w:szCs w:val="21"/>
          <w:lang w:eastAsia="zh-CN"/>
        </w:rPr>
      </w:pPr>
      <w:bookmarkStart w:id="15" w:name="_Toc320898024"/>
      <w:bookmarkStart w:id="16" w:name="_Toc259607751"/>
      <w:bookmarkStart w:id="17" w:name="_Toc317262251"/>
      <w:bookmarkStart w:id="18" w:name="_Toc334539188"/>
      <w:bookmarkStart w:id="19" w:name="_Toc6021"/>
      <w:bookmarkStart w:id="20" w:name="_Toc276368888"/>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宋体" w:hAnsi="宋体" w:eastAsia="宋体" w:cs="宋体"/>
          <w:sz w:val="21"/>
          <w:szCs w:val="21"/>
        </w:rPr>
      </w:pPr>
      <w:bookmarkStart w:id="21" w:name="_Toc17673"/>
      <w:r>
        <w:rPr>
          <w:rFonts w:hint="eastAsia" w:ascii="宋体" w:hAnsi="宋体" w:eastAsia="宋体" w:cs="宋体"/>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sz w:val="21"/>
          <w:szCs w:val="21"/>
          <w:lang w:val="en-US" w:eastAsia="zh-CN"/>
        </w:rPr>
        <w:t>1.本项目是否专门面向中小企业、监狱企业、</w:t>
      </w:r>
      <w:r>
        <w:rPr>
          <w:rFonts w:hint="eastAsia" w:ascii="宋体" w:hAnsi="宋体" w:eastAsia="宋体" w:cs="宋体"/>
          <w:color w:val="auto"/>
          <w:sz w:val="21"/>
          <w:szCs w:val="21"/>
          <w:lang w:val="en-US" w:eastAsia="zh-CN"/>
        </w:rPr>
        <w:t>残疾人福利性单位：否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2.与采购人存在利害关系可能影响采购公正性的法人、其他组织或者个人，不</w:t>
      </w:r>
      <w:r>
        <w:rPr>
          <w:rFonts w:hint="eastAsia" w:ascii="宋体" w:hAnsi="宋体" w:eastAsia="宋体" w:cs="宋体"/>
          <w:sz w:val="21"/>
          <w:szCs w:val="21"/>
          <w:lang w:val="en-US" w:eastAsia="zh-CN"/>
        </w:rPr>
        <w:t>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（一）《湖北省政府采购网》（网址：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"http://www.ccgp-hubei.gov.cn/）"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http://www.ccgp-hubei.gov.cn/）</w:t>
      </w:r>
      <w:r>
        <w:rPr>
          <w:rFonts w:hint="eastAsia" w:ascii="宋体" w:hAnsi="宋体" w:eastAsia="宋体" w:cs="宋体"/>
          <w:sz w:val="21"/>
          <w:szCs w:val="21"/>
          <w:lang w:val="en-US" w:eastAsia="zh-CN"/>
        </w:rPr>
        <w:fldChar w:fldCharType="end"/>
      </w:r>
    </w:p>
    <w:p>
      <w:pPr>
        <w:spacing w:line="360" w:lineRule="auto"/>
        <w:ind w:firstLine="420" w:firstLineChars="200"/>
        <w:jc w:val="left"/>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lang w:val="en-US" w:eastAsia="zh-CN"/>
        </w:rPr>
        <w:t>（二）《中经国际招标集团有限公司官网》（网址：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"http://www.ceitcl.com/）"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http://www.ceitcl.com/）</w:t>
      </w:r>
      <w:r>
        <w:rPr>
          <w:rFonts w:hint="eastAsia" w:ascii="宋体" w:hAnsi="宋体" w:eastAsia="宋体" w:cs="宋体"/>
          <w:sz w:val="21"/>
          <w:szCs w:val="21"/>
          <w:lang w:val="en-US" w:eastAsia="zh-CN"/>
        </w:rPr>
        <w:fldChar w:fldCharType="end"/>
      </w:r>
    </w:p>
    <w:bookmarkEnd w:id="22"/>
    <w:p>
      <w:pPr>
        <w:pStyle w:val="4"/>
        <w:numPr>
          <w:ilvl w:val="0"/>
          <w:numId w:val="6"/>
        </w:numPr>
        <w:spacing w:line="360" w:lineRule="auto"/>
        <w:jc w:val="left"/>
        <w:rPr>
          <w:rFonts w:hint="eastAsia" w:ascii="宋体" w:hAnsi="宋体" w:eastAsia="宋体" w:cs="宋体"/>
          <w:sz w:val="21"/>
          <w:szCs w:val="21"/>
        </w:rPr>
      </w:pPr>
      <w:bookmarkStart w:id="23" w:name="_Toc12218"/>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称：长江工程职业技术学院</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址：武汉市江夏区经济开发区大桥新区办事处文化大道9号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联系方式：刘老师  027-87933277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称：中经国际招标集团有限公司</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址：武昌区中北路岳家嘴立交山河企业大厦48楼4805、4806室</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联系方式：027-87820788</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3.项目联系方式</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项目联系人：张梦、彭盼明</w:t>
      </w:r>
    </w:p>
    <w:p>
      <w:pPr>
        <w:spacing w:line="360" w:lineRule="auto"/>
        <w:ind w:firstLine="420" w:firstLineChars="200"/>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电    　话：027-87820788</w:t>
      </w:r>
      <w:r>
        <w:rPr>
          <w:rFonts w:hint="eastAsia" w:ascii="宋体" w:hAnsi="宋体" w:eastAsia="宋体" w:cs="宋体"/>
          <w:color w:val="FF0000"/>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30016"/>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25</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1"/>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5" w:name="_Toc30354"/>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6" w:name="_Toc5340"/>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highlight w:val="none"/>
                <w:lang w:val="en-US" w:eastAsia="zh-CN"/>
              </w:rPr>
              <w:t>长江工程职业技术学院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5"/>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湖北省财政厅政府采购管理处</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地  址：武汉市武昌区东湖路181号楚天传媒大厦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电</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zh-CN"/>
              </w:rPr>
              <w:t>话：</w:t>
            </w:r>
            <w:r>
              <w:rPr>
                <w:rFonts w:hint="eastAsia" w:asciiTheme="minorEastAsia" w:hAnsiTheme="minorEastAsia" w:eastAsiaTheme="minorEastAsia" w:cstheme="minorEastAsia"/>
                <w:color w:val="auto"/>
                <w:sz w:val="21"/>
                <w:szCs w:val="21"/>
                <w:lang w:val="en-US" w:eastAsia="zh-CN"/>
              </w:rPr>
              <w:t>027-</w:t>
            </w:r>
            <w:r>
              <w:rPr>
                <w:rFonts w:hint="eastAsia" w:asciiTheme="minorEastAsia" w:hAnsiTheme="minorEastAsia" w:eastAsiaTheme="minorEastAsia" w:cstheme="minorEastAsia"/>
                <w:color w:val="auto"/>
                <w:sz w:val="21"/>
                <w:szCs w:val="21"/>
                <w:lang w:val="zh-CN"/>
              </w:rPr>
              <w:t>67818721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0" w:leftChars="0" w:right="21" w:rightChars="10" w:firstLine="0" w:firstLineChars="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取费标准80%</w:t>
            </w:r>
            <w:bookmarkStart w:id="232" w:name="_GoBack"/>
            <w:bookmarkEnd w:id="232"/>
            <w:r>
              <w:rPr>
                <w:rFonts w:hint="eastAsia" w:asciiTheme="minorEastAsia" w:hAnsiTheme="minorEastAsia" w:eastAsiaTheme="minorEastAsia" w:cstheme="minorEastAsia"/>
                <w:sz w:val="21"/>
                <w:szCs w:val="21"/>
              </w:rPr>
              <w:t>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0" w:leftChars="0" w:right="21" w:rightChars="10" w:firstLine="0" w:firstLineChars="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5"/>
              <w:widowControl w:val="0"/>
              <w:autoSpaceDE w:val="0"/>
              <w:autoSpaceDN w:val="0"/>
              <w:adjustRightInd w:val="0"/>
              <w:spacing w:before="31" w:beforeLines="10" w:beforeAutospacing="0" w:after="31" w:afterLines="10" w:afterAutospacing="0" w:line="240" w:lineRule="auto"/>
              <w:ind w:left="0" w:leftChars="0" w:right="21" w:rightChars="10" w:firstLine="0" w:firstLineChars="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5"/>
              <w:widowControl w:val="0"/>
              <w:autoSpaceDE w:val="0"/>
              <w:autoSpaceDN w:val="0"/>
              <w:adjustRightInd w:val="0"/>
              <w:spacing w:before="31" w:beforeLines="10" w:beforeAutospacing="0" w:after="31" w:afterLines="10" w:afterAutospacing="0" w:line="240" w:lineRule="auto"/>
              <w:ind w:left="0" w:leftChars="0" w:right="21" w:rightChars="10" w:firstLine="0" w:firstLineChars="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val="0"/>
                <w:bCs w:val="0"/>
                <w:snapToGrid w:val="0"/>
                <w:color w:val="auto"/>
                <w:kern w:val="0"/>
                <w:sz w:val="21"/>
                <w:szCs w:val="21"/>
                <w:lang w:val="zh-CN"/>
              </w:rPr>
              <w:t>（</w:t>
            </w:r>
            <w:r>
              <w:rPr>
                <w:rFonts w:hint="eastAsia" w:asciiTheme="minorEastAsia" w:hAnsiTheme="minorEastAsia" w:eastAsiaTheme="minorEastAsia" w:cstheme="minorEastAsia"/>
                <w:b w:val="0"/>
                <w:bCs w:val="0"/>
                <w:snapToGrid w:val="0"/>
                <w:color w:val="auto"/>
                <w:kern w:val="0"/>
                <w:sz w:val="21"/>
                <w:szCs w:val="21"/>
                <w:lang w:val="en-US" w:eastAsia="zh-CN"/>
              </w:rPr>
              <w:t>本项目不适用</w:t>
            </w:r>
            <w:r>
              <w:rPr>
                <w:rFonts w:hint="eastAsia" w:asciiTheme="minorEastAsia" w:hAnsiTheme="minorEastAsia" w:eastAsiaTheme="minorEastAsia" w:cstheme="minorEastAsia"/>
                <w:b w:val="0"/>
                <w:bCs w:val="0"/>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 xml:space="preserve"> U盘1份</w:t>
            </w:r>
            <w:r>
              <w:rPr>
                <w:rFonts w:hint="eastAsia" w:ascii="宋体" w:hAnsi="宋体" w:eastAsia="宋体" w:cs="宋体"/>
                <w:color w:val="auto"/>
                <w:sz w:val="21"/>
                <w:szCs w:val="21"/>
                <w:u w:val="single"/>
                <w:lang w:eastAsia="zh-CN"/>
              </w:rPr>
              <w:t>（需贴标签并注明公司名称）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5"/>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（本项目不适用）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snapToGrid w:val="0"/>
                <w:color w:val="auto"/>
                <w:kern w:val="0"/>
                <w:sz w:val="21"/>
                <w:szCs w:val="21"/>
                <w:lang w:val="zh-CN"/>
              </w:rPr>
              <w:t>（</w:t>
            </w:r>
            <w:r>
              <w:rPr>
                <w:rFonts w:hint="eastAsia" w:asciiTheme="minorEastAsia" w:hAnsiTheme="minorEastAsia" w:eastAsiaTheme="minorEastAsia" w:cstheme="minorEastAsia"/>
                <w:b w:val="0"/>
                <w:bCs w:val="0"/>
                <w:snapToGrid w:val="0"/>
                <w:color w:val="auto"/>
                <w:kern w:val="0"/>
                <w:sz w:val="21"/>
                <w:szCs w:val="21"/>
                <w:lang w:val="en-US" w:eastAsia="zh-CN"/>
              </w:rPr>
              <w:t>本项目不适用</w:t>
            </w:r>
            <w:r>
              <w:rPr>
                <w:rFonts w:hint="eastAsia" w:asciiTheme="minorEastAsia" w:hAnsiTheme="minorEastAsia" w:eastAsiaTheme="minorEastAsia" w:cstheme="minorEastAsia"/>
                <w:b w:val="0"/>
                <w:bCs w:val="0"/>
                <w:snapToGrid w:val="0"/>
                <w:color w:val="auto"/>
                <w:kern w:val="0"/>
                <w:sz w:val="21"/>
                <w:szCs w:val="21"/>
                <w:lang w:val="zh-CN"/>
              </w:rPr>
              <w:t>）</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本项目核心产品：</w:t>
            </w:r>
            <w:r>
              <w:rPr>
                <w:rFonts w:hint="eastAsia" w:asciiTheme="minorEastAsia" w:hAnsiTheme="minorEastAsia" w:eastAsiaTheme="minorEastAsia" w:cstheme="minorEastAsia"/>
                <w:color w:val="auto"/>
                <w:sz w:val="21"/>
                <w:szCs w:val="21"/>
                <w:u w:val="single"/>
              </w:rPr>
              <w:t>/</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抽取方式确定，其他同品牌供应商不作为中标候选人。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2.若核心产品不止 1 个，各供应商所投任一核心产品的品牌相同，</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则按一家供应商计算。</w:t>
            </w:r>
          </w:p>
        </w:tc>
      </w:tr>
    </w:tbl>
    <w:p>
      <w:pPr>
        <w:spacing w:line="360" w:lineRule="auto"/>
        <w:outlineLvl w:val="1"/>
        <w:rPr>
          <w:rFonts w:hint="eastAsia" w:asciiTheme="minorEastAsia" w:hAnsiTheme="minorEastAsia" w:eastAsiaTheme="minorEastAsia" w:cstheme="minorEastAsia"/>
          <w:b/>
          <w:szCs w:val="21"/>
        </w:rPr>
      </w:pPr>
      <w:bookmarkStart w:id="27" w:name="_Toc19309"/>
      <w:r>
        <w:rPr>
          <w:rFonts w:hint="eastAsia" w:asciiTheme="minorEastAsia" w:hAnsiTheme="minorEastAsia" w:eastAsiaTheme="minorEastAsia" w:cstheme="minorEastAsia"/>
          <w:b/>
          <w:szCs w:val="21"/>
        </w:rPr>
        <w:t>供应商须知</w:t>
      </w:r>
      <w:bookmarkEnd w:id="27"/>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8" w:name="_Toc19164"/>
      <w:r>
        <w:rPr>
          <w:rFonts w:hint="eastAsia" w:asciiTheme="minorEastAsia" w:hAnsiTheme="minorEastAsia" w:eastAsiaTheme="minorEastAsia" w:cstheme="minorEastAsia"/>
          <w:b/>
          <w:szCs w:val="21"/>
        </w:rPr>
        <w:t>总则</w:t>
      </w:r>
      <w:bookmarkEnd w:id="28"/>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29" w:name="_Toc27243"/>
      <w:bookmarkStart w:id="30" w:name="_Toc7383"/>
      <w:r>
        <w:rPr>
          <w:rFonts w:hint="eastAsia" w:asciiTheme="minorEastAsia" w:hAnsiTheme="minorEastAsia" w:eastAsiaTheme="minorEastAsia" w:cstheme="minorEastAsia"/>
          <w:b/>
          <w:szCs w:val="21"/>
        </w:rPr>
        <w:t>适用法律及范围</w:t>
      </w:r>
      <w:bookmarkEnd w:id="29"/>
      <w:bookmarkEnd w:id="30"/>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1" w:name="_Toc18687"/>
      <w:bookmarkStart w:id="32" w:name="_Toc30547"/>
      <w:r>
        <w:rPr>
          <w:rFonts w:hint="eastAsia" w:asciiTheme="minorEastAsia" w:hAnsiTheme="minorEastAsia" w:eastAsiaTheme="minorEastAsia" w:cstheme="minorEastAsia"/>
          <w:b/>
          <w:szCs w:val="21"/>
        </w:rPr>
        <w:t>定义</w:t>
      </w:r>
      <w:bookmarkEnd w:id="31"/>
      <w:bookmarkEnd w:id="3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3" w:name="_Toc30503"/>
      <w:bookmarkStart w:id="34" w:name="_Toc25967"/>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5" w:name="_Toc22488"/>
      <w:bookmarkStart w:id="36" w:name="_Toc9974"/>
      <w:r>
        <w:rPr>
          <w:rFonts w:hint="eastAsia" w:asciiTheme="minorEastAsia" w:hAnsiTheme="minorEastAsia" w:eastAsiaTheme="minorEastAsia" w:cstheme="minorEastAsia"/>
          <w:b/>
          <w:szCs w:val="21"/>
        </w:rPr>
        <w:t>费用</w:t>
      </w:r>
      <w:bookmarkEnd w:id="35"/>
      <w:bookmarkEnd w:id="36"/>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7" w:name="_Toc27172"/>
      <w:r>
        <w:rPr>
          <w:rFonts w:hint="eastAsia" w:asciiTheme="minorEastAsia" w:hAnsiTheme="minorEastAsia" w:eastAsiaTheme="minorEastAsia" w:cstheme="minorEastAsia"/>
          <w:b/>
          <w:szCs w:val="21"/>
        </w:rPr>
        <w:t>竞争性磋商采购文件</w:t>
      </w:r>
      <w:bookmarkEnd w:id="37"/>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8" w:name="_Toc4547"/>
      <w:bookmarkStart w:id="39" w:name="_Toc29851"/>
      <w:r>
        <w:rPr>
          <w:rFonts w:hint="eastAsia" w:asciiTheme="minorEastAsia" w:hAnsiTheme="minorEastAsia" w:eastAsiaTheme="minorEastAsia" w:cstheme="minorEastAsia"/>
          <w:b/>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0" w:name="_Toc29700"/>
      <w:bookmarkStart w:id="41" w:name="_Toc22354"/>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2" w:name="_Toc31761"/>
      <w:bookmarkStart w:id="43" w:name="_Toc5704"/>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4" w:name="_Toc7112"/>
      <w:r>
        <w:rPr>
          <w:rFonts w:hint="eastAsia" w:asciiTheme="minorEastAsia" w:hAnsiTheme="minorEastAsia" w:eastAsiaTheme="minorEastAsia" w:cstheme="minorEastAsia"/>
          <w:b/>
          <w:szCs w:val="21"/>
        </w:rPr>
        <w:t>竞争性磋商响应文件</w:t>
      </w:r>
      <w:bookmarkEnd w:id="44"/>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5" w:name="_Toc30987"/>
      <w:bookmarkStart w:id="46" w:name="_Toc7443"/>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7" w:name="_Toc32272"/>
      <w:bookmarkStart w:id="48" w:name="_Toc6398"/>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9" w:name="_Toc25217"/>
      <w:bookmarkStart w:id="50" w:name="_Toc17989"/>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1" w:name="_Toc14856"/>
      <w:bookmarkStart w:id="52" w:name="_Toc24544"/>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6176"/>
      <w:bookmarkStart w:id="54" w:name="_Toc4071"/>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3324"/>
      <w:bookmarkStart w:id="56" w:name="_Toc20227"/>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7" w:name="_Toc2434"/>
      <w:bookmarkStart w:id="58" w:name="_Toc4849"/>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9935"/>
      <w:bookmarkStart w:id="60" w:name="_Toc14612"/>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7068"/>
      <w:bookmarkStart w:id="62" w:name="_Toc20441"/>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3" w:name="_Toc5668"/>
      <w:bookmarkStart w:id="64" w:name="_Toc4910"/>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5" w:name="_Toc8272"/>
      <w:bookmarkStart w:id="66" w:name="_Toc2229"/>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7" w:name="_Toc9786"/>
      <w:r>
        <w:rPr>
          <w:rFonts w:hint="eastAsia" w:asciiTheme="minorEastAsia" w:hAnsiTheme="minorEastAsia" w:eastAsiaTheme="minorEastAsia" w:cstheme="minorEastAsia"/>
          <w:b/>
          <w:szCs w:val="21"/>
        </w:rPr>
        <w:t>竞争性磋商响应文件的递交</w:t>
      </w:r>
      <w:bookmarkEnd w:id="6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27305"/>
      <w:bookmarkStart w:id="69" w:name="_Toc23886"/>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17857"/>
      <w:bookmarkStart w:id="71" w:name="_Toc11099"/>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31376"/>
      <w:bookmarkStart w:id="73" w:name="_Toc16589"/>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4" w:name="_Toc31760"/>
      <w:bookmarkStart w:id="75" w:name="_Toc13658"/>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6" w:name="_Toc24054"/>
      <w:r>
        <w:rPr>
          <w:rFonts w:hint="eastAsia" w:asciiTheme="minorEastAsia" w:hAnsiTheme="minorEastAsia" w:eastAsiaTheme="minorEastAsia" w:cstheme="minorEastAsia"/>
          <w:b/>
          <w:szCs w:val="21"/>
        </w:rPr>
        <w:t>磋商程序及步骤</w:t>
      </w:r>
      <w:bookmarkEnd w:id="7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7" w:name="_Toc8841"/>
      <w:bookmarkStart w:id="78" w:name="_Toc22624"/>
      <w:r>
        <w:rPr>
          <w:rFonts w:hint="eastAsia" w:asciiTheme="minorEastAsia" w:hAnsiTheme="minorEastAsia" w:eastAsiaTheme="minorEastAsia" w:cstheme="minorEastAsia"/>
          <w:b/>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9" w:name="_Toc21483"/>
      <w:bookmarkStart w:id="80" w:name="_Toc26119"/>
      <w:r>
        <w:rPr>
          <w:rFonts w:hint="eastAsia" w:asciiTheme="minorEastAsia" w:hAnsiTheme="minorEastAsia" w:eastAsiaTheme="minorEastAsia" w:cstheme="minorEastAsia"/>
          <w:b/>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bookmarkStart w:id="81" w:name="_Toc32662"/>
      <w:bookmarkStart w:id="82"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3" w:name="_Toc17050"/>
      <w:r>
        <w:rPr>
          <w:rFonts w:hint="eastAsia" w:asciiTheme="minorEastAsia" w:hAnsiTheme="minorEastAsia" w:eastAsiaTheme="minorEastAsia" w:cstheme="minorEastAsia"/>
          <w:b/>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26543"/>
      <w:r>
        <w:rPr>
          <w:rFonts w:hint="eastAsia" w:asciiTheme="minorEastAsia" w:hAnsiTheme="minorEastAsia" w:eastAsiaTheme="minorEastAsia" w:cstheme="minorEastAsia"/>
          <w:b/>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5" w:name="_Toc30772"/>
      <w:r>
        <w:rPr>
          <w:rFonts w:hint="eastAsia" w:asciiTheme="minorEastAsia" w:hAnsiTheme="minorEastAsia" w:eastAsiaTheme="minorEastAsia" w:cstheme="minorEastAsia"/>
          <w:b/>
          <w:lang w:val="zh-CN"/>
        </w:rPr>
        <w:t>保密</w:t>
      </w:r>
      <w:bookmarkEnd w:id="85"/>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6" w:name="_Toc30407"/>
      <w:r>
        <w:rPr>
          <w:rFonts w:hint="eastAsia" w:asciiTheme="minorEastAsia" w:hAnsiTheme="minorEastAsia" w:eastAsiaTheme="minorEastAsia" w:cstheme="minorEastAsia"/>
          <w:b/>
          <w:szCs w:val="21"/>
        </w:rPr>
        <w:t>成交与签订合同</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7" w:name="_Toc7258"/>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Cs w:val="21"/>
          <w:lang w:val="zh-CN"/>
        </w:rPr>
        <w:t>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4 </w:t>
      </w:r>
      <w:r>
        <w:rPr>
          <w:rFonts w:hint="eastAsia" w:asciiTheme="minorEastAsia" w:hAnsiTheme="minorEastAsia" w:eastAsiaTheme="minorEastAsia" w:cstheme="minorEastAsia"/>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9351"/>
      <w:r>
        <w:rPr>
          <w:rFonts w:hint="eastAsia" w:asciiTheme="minorEastAsia" w:hAnsiTheme="minorEastAsia" w:eastAsiaTheme="minorEastAsia" w:cstheme="minorEastAsia"/>
          <w:b/>
          <w:lang w:val="zh-CN"/>
        </w:rPr>
        <w:t>签订合同</w:t>
      </w:r>
      <w:bookmarkEnd w:id="88"/>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9" w:name="_Toc4883"/>
      <w:bookmarkStart w:id="90" w:name="_Toc23007"/>
      <w:bookmarkStart w:id="91" w:name="_Toc13988"/>
      <w:bookmarkStart w:id="92" w:name="_Toc14510"/>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26703"/>
      <w:r>
        <w:rPr>
          <w:rFonts w:hint="eastAsia" w:asciiTheme="minorEastAsia" w:hAnsiTheme="minorEastAsia" w:eastAsiaTheme="minorEastAsia" w:cstheme="minorEastAsia"/>
          <w:b/>
          <w:lang w:val="zh-CN"/>
        </w:rPr>
        <w:t>质疑</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10603"/>
      <w:r>
        <w:rPr>
          <w:rFonts w:hint="eastAsia" w:asciiTheme="minorEastAsia" w:hAnsiTheme="minorEastAsia" w:eastAsiaTheme="minorEastAsia" w:cstheme="minorEastAsia"/>
          <w:b/>
          <w:lang w:val="zh-CN"/>
        </w:rPr>
        <w:t>质疑回复</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5" w:name="_Toc14017"/>
      <w:r>
        <w:rPr>
          <w:rFonts w:hint="eastAsia" w:asciiTheme="minorEastAsia" w:hAnsiTheme="minorEastAsia" w:eastAsiaTheme="minorEastAsia" w:cstheme="minorEastAsia"/>
          <w:b/>
          <w:lang w:val="zh-CN"/>
        </w:rPr>
        <w:t>投诉</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6" w:name="_Toc6896"/>
      <w:bookmarkStart w:id="97" w:name="_Toc14767"/>
      <w:bookmarkStart w:id="98" w:name="_Toc5571"/>
      <w:bookmarkStart w:id="99" w:name="_Toc28705"/>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00" w:name="_Toc3901"/>
      <w:r>
        <w:rPr>
          <w:rFonts w:hint="eastAsia" w:asciiTheme="minorEastAsia" w:hAnsiTheme="minorEastAsia" w:eastAsiaTheme="minorEastAsia" w:cstheme="minorEastAsia"/>
          <w:b/>
          <w:lang w:val="en-US" w:eastAsia="zh-CN"/>
        </w:rPr>
        <w:t>政府采购政策</w:t>
      </w:r>
      <w:bookmarkEnd w:id="100"/>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16251"/>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30779"/>
      <w:r>
        <w:rPr>
          <w:rFonts w:hint="eastAsia" w:asciiTheme="minorEastAsia" w:hAnsiTheme="minorEastAsia" w:eastAsiaTheme="minorEastAsia" w:cstheme="minorEastAsia"/>
          <w:b/>
          <w:szCs w:val="21"/>
          <w:lang w:val="zh-CN"/>
        </w:rPr>
        <w:t>适用法律</w:t>
      </w:r>
      <w:bookmarkEnd w:id="102"/>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3" w:name="_Toc24256"/>
      <w:r>
        <w:rPr>
          <w:rFonts w:hint="eastAsia" w:asciiTheme="minorEastAsia" w:hAnsiTheme="minorEastAsia" w:eastAsiaTheme="minorEastAsia" w:cstheme="minorEastAsia"/>
          <w:b/>
          <w:bCs/>
          <w:sz w:val="36"/>
          <w:szCs w:val="36"/>
        </w:rPr>
        <w:t>采购需求</w:t>
      </w:r>
      <w:bookmarkEnd w:id="103"/>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4" w:name="_Toc29013"/>
      <w:r>
        <w:rPr>
          <w:rFonts w:hint="eastAsia" w:asciiTheme="minorEastAsia" w:hAnsiTheme="minorEastAsia" w:eastAsiaTheme="minorEastAsia" w:cstheme="minorEastAsia"/>
          <w:b/>
          <w:bCs/>
          <w:color w:val="auto"/>
          <w:sz w:val="24"/>
          <w:szCs w:val="24"/>
          <w:lang w:val="en-US" w:eastAsia="zh-CN"/>
        </w:rPr>
        <w:t>一、技术需求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1、设备/货物清单</w:t>
      </w:r>
    </w:p>
    <w:tbl>
      <w:tblPr>
        <w:tblStyle w:val="27"/>
        <w:tblW w:w="4998" w:type="pct"/>
        <w:tblInd w:w="0" w:type="dxa"/>
        <w:tblLayout w:type="autofit"/>
        <w:tblCellMar>
          <w:top w:w="0" w:type="dxa"/>
          <w:left w:w="0" w:type="dxa"/>
          <w:bottom w:w="0" w:type="dxa"/>
          <w:right w:w="0" w:type="dxa"/>
        </w:tblCellMar>
      </w:tblPr>
      <w:tblGrid>
        <w:gridCol w:w="804"/>
        <w:gridCol w:w="2704"/>
        <w:gridCol w:w="3980"/>
        <w:gridCol w:w="805"/>
        <w:gridCol w:w="805"/>
      </w:tblGrid>
      <w:tr>
        <w:tblPrEx>
          <w:tblCellMar>
            <w:top w:w="0" w:type="dxa"/>
            <w:left w:w="0" w:type="dxa"/>
            <w:bottom w:w="0" w:type="dxa"/>
            <w:right w:w="0" w:type="dxa"/>
          </w:tblCellMar>
        </w:tblPrEx>
        <w:trPr>
          <w:trHeight w:val="285" w:hRule="atLeast"/>
        </w:trPr>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1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设备名称</w:t>
            </w:r>
          </w:p>
        </w:tc>
        <w:tc>
          <w:tcPr>
            <w:tcW w:w="21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主要功能、特点或参数</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270" w:hRule="atLeast"/>
        </w:trPr>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自动化综合实训系统</w:t>
            </w:r>
          </w:p>
        </w:tc>
        <w:tc>
          <w:tcPr>
            <w:tcW w:w="21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见附件1：自动化综合实训系统技术参数</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CellMar>
            <w:top w:w="0" w:type="dxa"/>
            <w:left w:w="0" w:type="dxa"/>
            <w:bottom w:w="0" w:type="dxa"/>
            <w:right w:w="0" w:type="dxa"/>
          </w:tblCellMar>
        </w:tblPrEx>
        <w:trPr>
          <w:trHeight w:val="4590" w:hRule="atLeast"/>
        </w:trPr>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台式电脑</w:t>
            </w:r>
          </w:p>
        </w:tc>
        <w:tc>
          <w:tcPr>
            <w:tcW w:w="21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品牌整机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CPU:酷睿I5-9400处理器，6核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内存容量：8G及以上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显卡：独立显卡，显存不低于2G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硬盘：双硬盘，不低于1TB+256GB SSD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显示器：</w:t>
            </w:r>
            <w:r>
              <w:rPr>
                <w:rFonts w:hint="eastAsia" w:ascii="宋体" w:hAnsi="宋体" w:eastAsia="宋体" w:cs="宋体"/>
                <w:i w:val="0"/>
                <w:color w:val="FF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23.6英寸，</w:t>
            </w:r>
            <w:r>
              <w:rPr>
                <w:rFonts w:hint="eastAsia" w:ascii="宋体" w:hAnsi="宋体" w:eastAsia="宋体" w:cs="宋体"/>
                <w:i w:val="0"/>
                <w:color w:val="FF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1920×1080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机箱：必须为通用式机箱，不得采用便携式小机箱投标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操作系统：预装WIN10专业版操作系统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硬盘保护卡：支持差异拷贝，支持多操作系统共存，支持64位Windows操作系统，单系统多频道管理，多账户管理，软件统一注册等。  接口类型为PCI或基于BIOS。</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CellMar>
            <w:top w:w="0" w:type="dxa"/>
            <w:left w:w="0" w:type="dxa"/>
            <w:bottom w:w="0" w:type="dxa"/>
            <w:right w:w="0" w:type="dxa"/>
          </w:tblCellMar>
        </w:tblPrEx>
        <w:trPr>
          <w:trHeight w:val="810" w:hRule="atLeast"/>
        </w:trPr>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钢木方凳</w:t>
            </w:r>
          </w:p>
        </w:tc>
        <w:tc>
          <w:tcPr>
            <w:tcW w:w="21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钢木结构，主题框架为钢结构，凳面24*34cm，板材厚度不低于18mm，钢材厚度不低于1.5mm。</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CellMar>
            <w:top w:w="0" w:type="dxa"/>
            <w:left w:w="0" w:type="dxa"/>
            <w:bottom w:w="0" w:type="dxa"/>
            <w:right w:w="0" w:type="dxa"/>
          </w:tblCellMar>
        </w:tblPrEx>
        <w:trPr>
          <w:trHeight w:val="540" w:hRule="atLeast"/>
        </w:trPr>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电脑桌椅</w:t>
            </w:r>
          </w:p>
        </w:tc>
        <w:tc>
          <w:tcPr>
            <w:tcW w:w="21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钢质龙骨，PVC台面,长宽为1.1*0.6</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bl>
    <w:p>
      <w:pPr>
        <w:spacing w:line="360" w:lineRule="auto"/>
        <w:jc w:val="left"/>
        <w:rPr>
          <w:rFonts w:hint="eastAsia" w:ascii="仿宋" w:hAnsi="仿宋" w:eastAsia="仿宋" w:cs="仿宋"/>
          <w:b/>
          <w:bCs/>
          <w:sz w:val="32"/>
          <w:szCs w:val="32"/>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 xml:space="preserve">1：         </w:t>
      </w:r>
    </w:p>
    <w:p>
      <w:pPr>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自动化综合实训系统技术参数</w:t>
      </w:r>
    </w:p>
    <w:p>
      <w:pPr>
        <w:rPr>
          <w:rFonts w:hint="eastAsia"/>
          <w:lang w:eastAsia="zh-CN"/>
        </w:rPr>
      </w:pP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一、设备功能需求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自动化综合实训系统装置包括智能控制器、双供料单元、装配单元、智能视觉检测单元、RFID单元、分拣单元、工业机器人装配单元、成品入库单元、操作面板、触摸屏、I/O转接板。柔性生产线可完成多种订单柔性生产等一系列的动作。各站是安装在带槽的铝型材基板上，各站可容易的连接在一起组成一条自动生产线。站内由各种模块化形式构成，各模块之间易于搭建、拆卸和维护，各工作站之间可随意组合。</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1、分站一</w:t>
      </w:r>
      <w:r>
        <w:rPr>
          <w:rFonts w:hint="eastAsia" w:asciiTheme="minorEastAsia" w:hAnsiTheme="minorEastAsia" w:eastAsiaTheme="minorEastAsia" w:cstheme="minorEastAsia"/>
          <w:b/>
          <w:bCs/>
          <w:sz w:val="21"/>
          <w:szCs w:val="21"/>
          <w:lang w:val="en-US" w:eastAsia="zh-CN"/>
        </w:rPr>
        <w:t>颗粒上料</w:t>
      </w:r>
      <w:r>
        <w:rPr>
          <w:rFonts w:hint="eastAsia" w:asciiTheme="minorEastAsia" w:hAnsiTheme="minorEastAsia" w:eastAsiaTheme="minorEastAsia" w:cstheme="minorEastAsia"/>
          <w:b/>
          <w:bCs/>
          <w:sz w:val="21"/>
          <w:szCs w:val="21"/>
          <w:lang w:eastAsia="zh-CN"/>
        </w:rPr>
        <w:t>单元</w:t>
      </w:r>
    </w:p>
    <w:p>
      <w:pPr>
        <w:spacing w:line="360" w:lineRule="auto"/>
        <w:ind w:firstLine="420"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sz w:val="21"/>
          <w:szCs w:val="21"/>
          <w:lang w:eastAsia="zh-CN"/>
        </w:rPr>
        <w:t>由挂板控制板、瓶上料单元、主输送模块、循环选料模块、上料填装模块、实训桌组成，可进行PLC控制、变频器控制、直流电机控制、传感器设置、气动元件原理等多项实训项目；上料单元逐个将空瓶输送到主输送带；同时循环选料对颗粒物料根据颜色进行分拣；当空瓶到达填装位后，顶瓶装置将空瓶固定，主皮带停止；上料填装模块将分拣到位的颗粒物料吸取放到空瓶内；瓶子内物料到达设定的颗粒数量后，顶瓶装置松开，主皮带启动，将瓶子输送到下一个工位。此单元可以设定多样化的填装方式，可从物料颜色（2种）、颗粒数量（最多4粒）进行不同的组合，产生8种填装方式</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2、分站二---</w:t>
      </w:r>
      <w:r>
        <w:rPr>
          <w:rFonts w:hint="eastAsia" w:asciiTheme="minorEastAsia" w:hAnsiTheme="minorEastAsia" w:eastAsiaTheme="minorEastAsia" w:cstheme="minorEastAsia"/>
          <w:b/>
          <w:bCs/>
          <w:sz w:val="21"/>
          <w:szCs w:val="21"/>
          <w:lang w:val="en-US" w:eastAsia="zh-CN"/>
        </w:rPr>
        <w:t>加盖拧盖</w:t>
      </w:r>
      <w:r>
        <w:rPr>
          <w:rFonts w:hint="eastAsia" w:asciiTheme="minorEastAsia" w:hAnsiTheme="minorEastAsia" w:eastAsiaTheme="minorEastAsia" w:cstheme="minorEastAsia"/>
          <w:b/>
          <w:bCs/>
          <w:sz w:val="21"/>
          <w:szCs w:val="21"/>
          <w:lang w:eastAsia="zh-CN"/>
        </w:rPr>
        <w:t>单元</w:t>
      </w:r>
    </w:p>
    <w:p>
      <w:pPr>
        <w:pStyle w:val="9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主要由挂板控制板、输送模块、加盖模块、拧盖模块、实训桌组成，可进行PLC控制、传感器设置、气动元件原理、机械装调等多项实训项目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瓶子被输送到加盖模块下，加盖位顶瓶装置将瓶子固定，加盖机构启动加盖流程，将盖子（白色或黑色）加到瓶子上；加上盖子的瓶子继续被送往拧盖机构，到拧盖模块下方，拧盖位顶瓶装置将瓶子固定，拧盖机构启动，将瓶盖拧紧。</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3、分站三--检测分拣单元</w:t>
      </w:r>
    </w:p>
    <w:p>
      <w:pPr>
        <w:pStyle w:val="9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主要由挂板控制板、主输送模块、龙门检测模块、辅输送带组件、智能视觉检测、分拣机构、实训桌组成，可进行PLC控制、传感器设置、智能视觉检测、气动元件原理、机械装调等多项实训项目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拧盖完成的瓶子经过此单元进行检测：通过视觉检测系统检测瓶盖是否拧紧、瓶子内部颗粒数量是否符合要求；通过光纤对瓶盖颜色判别区分；拧盖或颗粒不合格的瓶子被分拣机构推送到废品皮带上（辅皮带）；拧盖与颗粒均合格的瓶子被输送到皮带末端，等待机器人搬运。</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4、分站四--六轴机器人单元</w:t>
      </w:r>
    </w:p>
    <w:p>
      <w:pPr>
        <w:spacing w:line="360" w:lineRule="auto"/>
        <w:ind w:firstLine="420" w:firstLineChars="200"/>
        <w:jc w:val="both"/>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主要由挂板控制板、升降台A模块、升降台B模块、ABB六轴机器人及控制器、实训桌组成，可进行PLC控制、六轴机器人控制、机器人扩展模块、步进驱动器系统控制、气动元件原理、机械装调等多项实训项目；</w:t>
      </w:r>
      <w:r>
        <w:rPr>
          <w:rFonts w:hint="eastAsia" w:asciiTheme="minorEastAsia" w:hAnsiTheme="minorEastAsia" w:eastAsiaTheme="minorEastAsia" w:cstheme="minorEastAsia"/>
          <w:sz w:val="21"/>
          <w:szCs w:val="21"/>
          <w:lang w:eastAsia="zh-CN"/>
        </w:rPr>
        <w:t>两个升降台模块存储包装盒和包装盒盖；A升降台将包装盒提升到位，由六轴工业机器人将包装盒搬运到物料台上；六轴机器人将瓶子抓取放入物料台上的包装盒内；包装盒4个工位放满瓶子后，六轴机器人从B升降台上吸取盒盖，盖在包装盒上；6轴机器人根据瓶盖的颜色对盒盖上标签位分别进行贴标，同时产品信息会通过RFID写入包装盒底部芯片中，贴完4个标签等待成品入仓单元入库。</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5、分站五--成品入仓单元</w:t>
      </w:r>
    </w:p>
    <w:p>
      <w:pPr>
        <w:pStyle w:val="9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主要由挂板控制板、堆垛机模块、成品仓库模块、实训桌组成，可进行PLC控制、伺服系统控制、传感器智能系统控制、气动元件原理、机械装调等多项实训项目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堆垛机模块把机器人单元物料台上的包装盒体吸取出来，然后按要求依次放入仓储相应仓位。</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×3的仓库每个仓位均安装一个检测传感器，堆垛机构水平轴为一个精密丝杆机构，垂直机构为涡轮丝杆升降机构，均由精密伺服电机进行高精度控制。</w:t>
      </w:r>
    </w:p>
    <w:p>
      <w:pPr>
        <w:ind w:firstLine="420" w:firstLineChars="200"/>
        <w:rPr>
          <w:rFonts w:hint="eastAsia" w:asciiTheme="minorEastAsia" w:hAnsiTheme="minorEastAsia" w:eastAsiaTheme="minorEastAsia" w:cstheme="minorEastAsia"/>
          <w:sz w:val="21"/>
          <w:szCs w:val="21"/>
          <w:lang w:eastAsia="zh-CN"/>
        </w:rPr>
      </w:pPr>
    </w:p>
    <w:p>
      <w:pPr>
        <w:spacing w:line="36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二、可完成实训项目要求</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PLC部分：</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（1）PLC编程软件应用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（2）PLC基本指令的应用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（3）PLC功能指令的应用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（4）PLC步进指令的应用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（5）PLC控制传输带启停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（6）PLC判断多种物料属性</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（7）PLC判断物料放置位</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（8）PLC对传输带运行的绝对定位控制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（9）PLC对传输带的混合定位控制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（10）PLC对六轴机器人的基本动作控制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（11）利用脉冲指令对步进电机控制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（12）PLC对六轴工业机器人自动控制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（13）PLC对堆垛机模块升降控制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（14）PLC对仓库出库入库自动控制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（15）PLC对仓库间仓位调配的控制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w:t>
      </w:r>
      <w:r>
        <w:rPr>
          <w:rFonts w:hint="eastAsia" w:asciiTheme="minorEastAsia" w:hAnsiTheme="minorEastAsia" w:eastAsiaTheme="minorEastAsia" w:cstheme="minorEastAsia"/>
          <w:color w:val="000000"/>
          <w:sz w:val="21"/>
          <w:szCs w:val="21"/>
          <w:lang w:eastAsia="zh-CN"/>
        </w:rPr>
        <w:t>PLC对RFID的获取数据</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（16）</w:t>
      </w:r>
      <w:r>
        <w:rPr>
          <w:rFonts w:hint="eastAsia" w:asciiTheme="minorEastAsia" w:hAnsiTheme="minorEastAsia" w:eastAsiaTheme="minorEastAsia" w:cstheme="minorEastAsia"/>
          <w:color w:val="000000"/>
          <w:sz w:val="21"/>
          <w:szCs w:val="21"/>
          <w:lang w:eastAsia="zh-CN"/>
        </w:rPr>
        <w:t>PLC对RFID的数据写入</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人机界面系统实训：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（1）软件安装</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（2）窗口组态</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（3）工程制作与下载</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（4）PLC寄存器连接</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（5）简单动画组态</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（6）报警组态</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（7）触摸屏监控各工作单元设备</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（8）触摸屏对整体实训流程监控与管理</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（9）生产订单的下发</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视觉系统实训：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（1）视觉系统的硬件连接</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（2）视觉系统的图像采集</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（3）视觉系统的焦距调节</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（4）视觉系统的定位工具使用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（5）视觉系统的测量工具使用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（6）视觉系统的逻辑处理应用</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（7）视觉系统的IO输出设定</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变频器系统实训：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（1）变频器基本接线操作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（2）变频器功能参数设置与操作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（3）PU操作及外部操作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（4）多档转速的PLC控制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（5）电机正反转运动控制</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（6）速度定位系统实训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（7）变频器的外部运行、组合运行实训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（8）多段速电机控制实训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（9）瞬时停电启动控制实训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（10）面板参数复制实训</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机器人系统实训：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（1）六轴机器人软件操作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（2）六轴机器人程序编写</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（3）六轴机器人原点与复位</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（4）六轴机器人点示教实训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（5）六轴机器人与PLC I/O通讯实训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（6）网络IO监控机器人工作状态</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（7）六轴机器人位置变量使用实训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（8）六轴机器人抓手控制实训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（9）六轴机器人位置运算实训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（10）通过软件对六轴机器人的调试与应用</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步进电机应用实训：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（1）步进电机接线操作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（2）步进驱动器参数设置修改</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（3）升降台模块升降定位实训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（4）步进系统控制实训</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交流伺服系统实训：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（1）交流伺服系统基本接线操作</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（2）放大器参数设置</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（3）反馈与脉冲数观察</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（4）脉冲输入控制正反转</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（5）故障代码的熟悉与排除</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rPr>
        <w:t>传感器部分实训：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（1）数字光纤传感器对单一颜色分拣实训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（2）光电传感器实训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（3）磁性开关实训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（4）对射型与反射型传感器的应用</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网络部分实训：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（1）PLC与RFID的RS422网络实训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（2）N：N的PROFINET网络搭建与调整实训</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（3）PLC与视觉系统的PROFINET通信</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（4）PLC与西门子变频器的PROFINET通信</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（3）PLC与触摸屏的以太网通信</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（5）现场总线网络操作与设置</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（6）现场总线网络搭建入门</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机械部分：</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（1）循环选料模块的装调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（2）颗粒上料模块的装调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（3）输送带模块的装调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（4）加盖模块的装调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（5）拧盖模块的装调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（6）检测模块的装调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（7）升降台A模块的装调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（8）升降台B模块的装调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（9）堆垛机模块的装调</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（10）成品仓库模块的装调</w:t>
      </w:r>
    </w:p>
    <w:p>
      <w:pPr>
        <w:pStyle w:val="25"/>
        <w:spacing w:before="0" w:beforeAutospacing="0" w:after="0" w:afterAutospacing="0" w:line="360" w:lineRule="auto"/>
        <w:ind w:left="0" w:leftChars="0" w:firstLine="422" w:firstLineChars="2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系统调试：</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（1）挂板控制板安装接线实训任务</w:t>
      </w:r>
    </w:p>
    <w:p>
      <w:pPr>
        <w:pStyle w:val="25"/>
        <w:spacing w:before="0" w:beforeAutospacing="0" w:after="0" w:afterAutospacing="0" w:line="360" w:lineRule="auto"/>
        <w:ind w:left="0" w:leftChars="0" w:firstLine="420" w:firstLineChars="20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（2）单元模型接线与气路连接调试工作</w:t>
      </w:r>
    </w:p>
    <w:p>
      <w:pPr>
        <w:pStyle w:val="9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（3）工艺要求实训</w:t>
      </w:r>
    </w:p>
    <w:p>
      <w:pPr>
        <w:spacing w:line="36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三、配置清单及详细参数</w:t>
      </w:r>
    </w:p>
    <w:tbl>
      <w:tblPr>
        <w:tblStyle w:val="2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447"/>
        <w:gridCol w:w="872"/>
        <w:gridCol w:w="6637"/>
        <w:gridCol w:w="447"/>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noWrap w:val="0"/>
            <w:vAlign w:val="top"/>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单元</w:t>
            </w:r>
          </w:p>
        </w:tc>
        <w:tc>
          <w:tcPr>
            <w:tcW w:w="0" w:type="auto"/>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0" w:type="auto"/>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名称</w:t>
            </w:r>
          </w:p>
        </w:tc>
        <w:tc>
          <w:tcPr>
            <w:tcW w:w="0" w:type="auto"/>
            <w:noWrap w:val="0"/>
            <w:vAlign w:val="top"/>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主要技术参数</w:t>
            </w:r>
          </w:p>
        </w:tc>
        <w:tc>
          <w:tcPr>
            <w:tcW w:w="0" w:type="auto"/>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c>
          <w:tcPr>
            <w:tcW w:w="0" w:type="auto"/>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颗粒上料单元</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型材桌</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该系统是安装在带槽的铝型材基板上，方便各站连接在一起组成一条自动生产线。桌体尺寸(长宽高)：L650mm×W720mm ×H800mm，桌面由铝型材、桌体由钣金材料结构组成。控制面板安装工业级按钮，控制按钮须采用工业级按键设计，设置有“启动、停止、复位、联机、急停”等控制功能与对应指示灯显示组成。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PLC模块</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S7-1200，CPU 1214C， 紧凑型 CPU，DC/DC/DC， 机载 I/O： 14 个 24V DC 数字输入；10 个 24V DC 数字输出； 2 AI 0-10V DC， 电源：直流 20.4-28.8V DC， 程序/数据存储器 100 KB。</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S7-1200，数字量 I/O SM 1223，16DI/16DO， 24V DC，继电器 2A。</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rPr>
              <w:t>变频器</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G120C系列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SINAMICS G120C 标称功率：0.75kW 有 150% 过载 3 秒 380-480V+10/-20% 三相交流 47-63Hz A 级集成滤波器 I/O-接口：6DI， 2DO，1AI，1AO 集成式安全转矩切断 现场总线集成：PROFINET-PN 防护等级 IP20/UL Open Typ 尺寸：FSAA 173x 73x 178 （高x宽x深）；</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步进电机</w:t>
            </w:r>
          </w:p>
        </w:tc>
        <w:tc>
          <w:tcPr>
            <w:tcW w:w="0" w:type="auto"/>
            <w:noWrap w:val="0"/>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型号：3S57Q-04079</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步距角1.2°；</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相电流(A)5.8；</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保持扭矩(Nm)1.5；</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阻尼扭矩(Nm)0.07；</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电机惯量(kg.cm²)0.48；</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绝缘等级B；</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耐压等级600VAC 1S 5mA；</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最大轴向负载(N)15；</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最大径向负载(N)75；</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工作环境温度-20℃～+50℃；</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步进驱动器</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型号：3CM880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输入电压：24～70VDC</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输入电压: 5～24VDC; 输入电流: 8mA@5VDC, 12mA@24VDC</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控制方式：脉冲控制: 脉冲+方向(PLS+DIR, 双脉冲(CW/CCW)</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工作环境湿度：&lt;85%, RH(不能结露和有水珠)</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工作环境温度：0℃～+40℃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重量(净重)：0.253Kg</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减速电机80YS</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功率：25W</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使用环境温度：-10℃～40℃</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物料传输机构</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由物料传输皮带、同步轮、同步带、支撑座、横杆、传动装置、驱动电机、SMC型定位气缸、物料检测传感器组成，支撑座采用优质铝材加工，皮带采用材料加工，皮带宽度≥50mm；</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井式供料工作台</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由料筒机构、支撑座、SMC型气缸、物料检测传感器组成，支撑座采用优质铝材加工。</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颗粒旋转上料工作台</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由旋转机构、支撑座、驱动电机、选料传感器、定位传感器等组成，支撑座采用优质铝材加工。</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气动机械手</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由旋转气缸、升降气缸、选料气缸、真空发生器、真空吸盘等组成。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bidi="ar"/>
              </w:rPr>
              <w:t>电气元器件</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包含空气开关、熔断器、按钮、指示灯、SMC型气缸、欧姆龙光电传感器、磁性开关、继电器、电磁阀等电器元件。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加盖拧盖单元</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型材桌</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该系统是安装在带槽的铝型材基板上，方便各站连接在一起组成一条自动生产线。桌体尺寸(长宽高)：L650mm×W720mm ×H800mm，桌面由铝型材、桌体由钣金材料结构组成。控制面板安装工业级按钮，控制按钮须采用工业级按键设计，设置有“启动、停止、复位、联机、急停”等控制功能与对应指示灯显示组成。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PLC模块</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S7-1200，CPU 1214C， 紧凑型 CPU，DC/DC/DC， 机载 I/O： 14 个 24V DC 数字输入；10 个 24V DC 数字输出； 2 AI 0-10V DC， 电源：直流 20.4-28.8V DC， 程序/数据存储器 100 KB。</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S7-1200，数字量 I/O SM 1223，16DI/16DO， 24V DC，继电器 2A。</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物料传输机构</w:t>
            </w:r>
          </w:p>
        </w:tc>
        <w:tc>
          <w:tcPr>
            <w:tcW w:w="0" w:type="auto"/>
            <w:noWrap w:val="0"/>
            <w:vAlign w:val="top"/>
          </w:tcPr>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由物料传输皮带、同步轮、同步带、支撑座、横杆、传动装置、驱动电机、SMC型定位气缸、物料检测传感器组成，支撑座采用优质铝材加工，皮带采用材料加工，皮带宽度≥50mm；</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供料加盖机构</w:t>
            </w:r>
          </w:p>
        </w:tc>
        <w:tc>
          <w:tcPr>
            <w:tcW w:w="0" w:type="auto"/>
            <w:noWrap w:val="0"/>
            <w:vAlign w:val="top"/>
          </w:tcPr>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由料筒机构、支撑座、SMC型气缸、物料检测传感器组成，支撑座采用优质铝材加工。主要完成料盖推出、定位压紧。</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拧盖机构</w:t>
            </w:r>
          </w:p>
        </w:tc>
        <w:tc>
          <w:tcPr>
            <w:tcW w:w="0" w:type="auto"/>
            <w:noWrap w:val="0"/>
            <w:vAlign w:val="center"/>
          </w:tcPr>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拧盖工位由拧盖主轴电机、拧盖升降机构、旋盖机构等部分组成，拧盖升降机构由气缸驱动控制，旋盖机构由电机运动控制。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bidi="ar"/>
              </w:rPr>
              <w:t>电气元器件</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包含空气开关、熔断器、按钮、指示灯、SMC型气缸、欧姆龙光电传感器、磁性开关、继电器、电磁阀、直流减速电机等电器元件。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检测分拣单元</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型材桌</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该系统是安装在带槽的铝型材基板上，方便各站连接在一起组成一条自动生产线。桌体尺寸(长宽高)：L650mm×W720mm ×H800mm，桌面由铝型材、桌体由钣金材料结构组成。控制面板安装工业级按钮，控制按钮须采用工业级按键设计，设置有“启动、停止、复位、联机、急停”等控制功能与对应指示灯显示组成。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PLC模块</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S7-1200，CPU 1214C， 紧凑型 CPU，DC/DC/继电器， 机载 I/O： 14 个 24V DC 数字输入；10 DO 继电器 2A； 2 AI 0-10V DC， 电源：直流 20.4-28.8V DC， 程序/数据存储器 100 KB ；</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 PLC与视觉系统采用PROFINET通信获取相关信息；</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S7-1200，数字量 I/O SM 1223，8DI/8DO， 24V DC，继电器 2A。</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6"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智能视觉检测系统</w:t>
            </w:r>
          </w:p>
        </w:tc>
        <w:tc>
          <w:tcPr>
            <w:tcW w:w="0" w:type="auto"/>
            <w:noWrap w:val="0"/>
            <w:vAlign w:val="center"/>
          </w:tcPr>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相机控制系统</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型号：FH1050;</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可以连接相机台数：2台；</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场景数：128；</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通信协议：</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串口：RS232C 1CH；</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Ethernet通信：无协议（TCP/UDP）1000BASE-T；</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EtherNet/IP通信：使用Ethernet端口传输速度：1Gbps （1000BASE-T）；</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EtherCAT通信：EtherCAT专用协议（100BASE-TX）；</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并行输入输出：（使用2线随机触发模式时） 输入17项 （STEP0/ENCTRIG_Z0、 STEP1/ENCTRIG_Z1、 ENCTRIG_A0～1、 ENCTRIG_B0～1、 DSA0～1、 DI0～7、 DI_LINE0） 输出37项 （RUN0～1、 READY0～1、 BUSY0～1、 OR0～1、 ERROR0～1、 GATE0～1、 STGOUT0/SHTOUT0、 STGOUT1/SHTOUT1、 STGOUT2～7、 DO0～15、 ACK）；</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Encoder I/F：RS422-A 线性驱动器水平A、 B相：单相4MHz （相位差4倍 1MHz）、 Z相：1MHz；</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显示屏IF：DVI-I （模拟RGB &amp; DVI-D单通道）输出IF × 1ch *2；</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USBI/F：4CH （基于USB1.1/2.0）；</w:t>
            </w:r>
          </w:p>
          <w:p>
            <w:pPr>
              <w:pStyle w:val="93"/>
              <w:numPr>
                <w:ilvl w:val="0"/>
                <w:numId w:val="38"/>
              </w:numPr>
              <w:ind w:left="0"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SD_card I/F：SDHC标准　推荐Class4以上；</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电源电压：DC20.4～26.4V；</w:t>
            </w:r>
          </w:p>
          <w:p>
            <w:pPr>
              <w:pStyle w:val="93"/>
              <w:numPr>
                <w:ilvl w:val="0"/>
                <w:numId w:val="37"/>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外形尺寸：190×115×182.5mm；</w:t>
            </w:r>
          </w:p>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工业</w:t>
            </w:r>
            <w:r>
              <w:rPr>
                <w:rFonts w:hint="eastAsia" w:asciiTheme="minorEastAsia" w:hAnsiTheme="minorEastAsia" w:eastAsiaTheme="minorEastAsia" w:cstheme="minorEastAsia"/>
                <w:b/>
                <w:sz w:val="21"/>
                <w:szCs w:val="21"/>
              </w:rPr>
              <w:t>相机</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型号：FH-SC（彩色）；</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分辨率：30万像素；</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有效像素数：640 （H）×480 （V）</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读取时间：3.3ms；</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像素尺寸：7.4 （µm）×7.4 （µm）；</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快门功能：电子快门方式 快门速度可在20µs～100ms的范围内 设定；</w:t>
            </w:r>
          </w:p>
          <w:p>
            <w:pPr>
              <w:pStyle w:val="93"/>
              <w:numPr>
                <w:ilvl w:val="0"/>
                <w:numId w:val="39"/>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镜头Mount：C-Mount；</w:t>
            </w:r>
          </w:p>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相机镜头</w:t>
            </w:r>
          </w:p>
          <w:p>
            <w:pPr>
              <w:pStyle w:val="93"/>
              <w:keepNext w:val="0"/>
              <w:keepLines w:val="0"/>
              <w:pageBreakBefore w:val="0"/>
              <w:widowControl w:val="0"/>
              <w:numPr>
                <w:ilvl w:val="0"/>
                <w:numId w:val="40"/>
              </w:numPr>
              <w:kinsoku/>
              <w:wordWrap/>
              <w:overflowPunct/>
              <w:topLinePunct w:val="0"/>
              <w:autoSpaceDE/>
              <w:autoSpaceDN/>
              <w:bidi w:val="0"/>
              <w:adjustRightInd/>
              <w:snapToGrid/>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焦距：16mm</w:t>
            </w:r>
          </w:p>
          <w:p>
            <w:pPr>
              <w:pStyle w:val="93"/>
              <w:keepNext w:val="0"/>
              <w:keepLines w:val="0"/>
              <w:pageBreakBefore w:val="0"/>
              <w:widowControl w:val="0"/>
              <w:numPr>
                <w:ilvl w:val="0"/>
                <w:numId w:val="40"/>
              </w:numPr>
              <w:kinsoku/>
              <w:wordWrap/>
              <w:overflowPunct/>
              <w:topLinePunct w:val="0"/>
              <w:autoSpaceDE/>
              <w:autoSpaceDN/>
              <w:bidi w:val="0"/>
              <w:adjustRightInd/>
              <w:snapToGrid/>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光圈：F1.4</w:t>
            </w:r>
          </w:p>
          <w:p>
            <w:pPr>
              <w:pStyle w:val="93"/>
              <w:keepNext w:val="0"/>
              <w:keepLines w:val="0"/>
              <w:pageBreakBefore w:val="0"/>
              <w:widowControl w:val="0"/>
              <w:numPr>
                <w:ilvl w:val="0"/>
                <w:numId w:val="40"/>
              </w:numPr>
              <w:kinsoku/>
              <w:wordWrap/>
              <w:overflowPunct/>
              <w:topLinePunct w:val="0"/>
              <w:autoSpaceDE/>
              <w:autoSpaceDN/>
              <w:bidi w:val="0"/>
              <w:adjustRightInd/>
              <w:snapToGrid/>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环形白色光</w:t>
            </w:r>
          </w:p>
          <w:p>
            <w:pPr>
              <w:pStyle w:val="93"/>
              <w:keepNext w:val="0"/>
              <w:keepLines w:val="0"/>
              <w:pageBreakBefore w:val="0"/>
              <w:widowControl w:val="0"/>
              <w:numPr>
                <w:ilvl w:val="0"/>
                <w:numId w:val="40"/>
              </w:numPr>
              <w:kinsoku/>
              <w:wordWrap/>
              <w:overflowPunct/>
              <w:topLinePunct w:val="0"/>
              <w:autoSpaceDE/>
              <w:autoSpaceDN/>
              <w:bidi w:val="0"/>
              <w:adjustRightInd/>
              <w:snapToGrid/>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具体根据最终物料尺寸确定</w:t>
            </w:r>
          </w:p>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显示屏</w:t>
            </w:r>
          </w:p>
          <w:p>
            <w:pPr>
              <w:jc w:val="left"/>
              <w:rPr>
                <w:rFonts w:hint="eastAsia" w:asciiTheme="minorEastAsia" w:hAnsiTheme="minorEastAsia" w:eastAsiaTheme="minorEastAsia" w:cstheme="minorEastAsia"/>
                <w:sz w:val="21"/>
                <w:szCs w:val="21"/>
              </w:rPr>
            </w:pPr>
            <w:r>
              <w:rPr>
                <w:rFonts w:hint="eastAsia" w:ascii="宋体" w:hAnsi="宋体" w:eastAsia="宋体" w:cs="宋体"/>
                <w:i w:val="0"/>
                <w:color w:val="FF0000"/>
                <w:kern w:val="0"/>
                <w:sz w:val="22"/>
                <w:szCs w:val="22"/>
                <w:u w:val="none"/>
                <w:lang w:val="en-US" w:eastAsia="zh-CN" w:bidi="ar"/>
              </w:rPr>
              <w:t>≥</w:t>
            </w:r>
            <w:r>
              <w:rPr>
                <w:rFonts w:hint="eastAsia" w:asciiTheme="minorEastAsia" w:hAnsiTheme="minorEastAsia" w:eastAsiaTheme="minorEastAsia" w:cstheme="minorEastAsia"/>
                <w:sz w:val="21"/>
                <w:szCs w:val="21"/>
              </w:rPr>
              <w:t>21英寸真彩显示器；</w:t>
            </w:r>
          </w:p>
          <w:p>
            <w:pPr>
              <w:pStyle w:val="2"/>
              <w:spacing w:before="0" w:after="0" w:line="240" w:lineRule="auto"/>
              <w:rPr>
                <w:rFonts w:hint="eastAsia" w:asciiTheme="minorEastAsia" w:hAnsiTheme="minorEastAsia" w:eastAsiaTheme="minorEastAsia" w:cstheme="minorEastAsia"/>
                <w:sz w:val="21"/>
                <w:szCs w:val="21"/>
              </w:rPr>
            </w:pPr>
          </w:p>
          <w:p>
            <w:pPr>
              <w:pStyle w:val="2"/>
              <w:spacing w:before="0" w:after="0" w:line="240" w:lineRule="auto"/>
              <w:rPr>
                <w:rFonts w:hint="eastAsia" w:asciiTheme="minorEastAsia" w:hAnsiTheme="minorEastAsia" w:eastAsiaTheme="minorEastAsia" w:cstheme="minorEastAsia"/>
                <w:sz w:val="21"/>
                <w:szCs w:val="21"/>
                <w:lang w:val="en-US" w:eastAsia="zh-CN"/>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lang w:val="en-US" w:eastAsia="zh-CN"/>
              </w:rPr>
              <w:t>仿真教学软件</w:t>
            </w:r>
          </w:p>
          <w:p>
            <w:pPr>
              <w:pStyle w:val="93"/>
              <w:tabs>
                <w:tab w:val="left" w:pos="2628"/>
              </w:tabs>
              <w:spacing w:line="240" w:lineRule="auto"/>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1）仿真软件可配置多种型号相机，可以导入图片进行程序修改；</w:t>
            </w:r>
          </w:p>
          <w:p>
            <w:pPr>
              <w:pStyle w:val="93"/>
              <w:tabs>
                <w:tab w:val="left" w:pos="2628"/>
              </w:tabs>
              <w:spacing w:line="240" w:lineRule="auto"/>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2）仿真软件配置几十种工业现场实例图片及程序；</w:t>
            </w:r>
          </w:p>
          <w:p>
            <w:pPr>
              <w:pStyle w:val="93"/>
              <w:tabs>
                <w:tab w:val="left" w:pos="2628"/>
              </w:tabs>
              <w:spacing w:line="240" w:lineRule="auto"/>
              <w:ind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3）仿真软件可进行离线编程，在线导入。</w:t>
            </w:r>
          </w:p>
          <w:p>
            <w:pPr>
              <w:spacing w:line="24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配套机器视觉教学实训平台教学课件PPT，零基础教学开始。</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1）要求投标现场提供检测系统PPT文档（不少于15种（含15种）工业现场检测案例及不少于6个（含6个）PPT教学课件）；</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2）要求投标现场提供不少于15种检测案例，其中至少包含2种与本设备产品相符的检测案例；</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3）要求投标现场展示的不少于15种工业检测效果上要有OK与NG，并且标明NG处，通过PPT展示检测效果对比，检测所用软件与课件讲解软件为同一软件；</w:t>
            </w:r>
          </w:p>
          <w:p>
            <w:pPr>
              <w:spacing w:line="24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eastAsia="zh-CN"/>
              </w:rPr>
              <w:t>4）要求投标现场提供教学课件，课件内容要包含指令介绍、应用开发工具的讲解、与第三方通信设置的讲解、输入输出的应用、操作员界面设计、整体优化部署，课件数量不得少于6个PPT，教学课件所讲软件与检测案例所用软件为同一软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bidi="ar"/>
              </w:rPr>
              <w:t>电气元器件</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包含空气开关、熔断器、按钮、指示灯、SMC型气缸、欧姆龙光电传感器、磁性开关、继电器、电磁阀、直流减速电机等电器元件。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机构模块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分拣机构、主输送皮带机构、相机遮光机构等。</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六轴机器人单元</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型材桌</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该系统是安装在带槽的铝型材基板上，方便各站连接在一起组成一条自动生产线。桌体尺寸(长宽高)：L650mm×W720mm ×H800mm，桌面由铝型材、桌体由钣金材料结构组成。控制面板安装工业级按钮，控制按钮须采用工业级按键设计，设置有“启动、停止、复位、联机、急停”等控制功能与对应指示灯显示组成。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rPr>
              <w:t>PLC模块</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S7-1200，CPU 1214C， 紧凑型 CPU，DC/DC/DC， 机载 I/O： 14 个 24V DC 数字输入；10 个 24V DC 数字输出； 2 AI 0-10V DC， 电源：直流 20.4-28.8V DC， 程序/数据存储器 100 KB。</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S7-1200，数字量 I/O SM 1223，16DI/16DO， 24V DC，继电器 2A。</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 通信模块 CM 1241， RS-422，9 针 Sub-D（插针）， 支持自由端口</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rPr>
              <w:t>西门子RFID</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RF200 阅读器 RF260R； RS-422 接口（3964R）； IP67， -25 至 +70°C； 75x 75x 40 mm； 带集成天线；</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工作频率额定值：13.56 MHz；</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作用范围：135mm; 作用范围取决于发射器；</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传输率无线电传输时最大值：26.5kbit/s；</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传输率在点对点连接串口最大值：115.2kbit/s；</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写访问时 每个字节 典型：0.6ms；</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读取访问时每个字节典型：0.6ms；</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接口标准用于通信：RS422；</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电气连接规格：M12，8芯；</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材料：PA6.6</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拧紧扭矩用于设备的固定螺栓最大值：1.5 N·m；</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供电电压：DC24 V；</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运行期间：-20..+70°C；</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防护等级 IP：IP67；</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六轴工业</w:t>
            </w:r>
            <w:r>
              <w:rPr>
                <w:rFonts w:hint="eastAsia" w:asciiTheme="minorEastAsia" w:hAnsiTheme="minorEastAsia" w:eastAsiaTheme="minorEastAsia" w:cstheme="minorEastAsia"/>
                <w:sz w:val="21"/>
                <w:szCs w:val="21"/>
              </w:rPr>
              <w:t>机器人</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工业机器人本体</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1）六关节自由度，串联关节型工业机器人；</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2）工作范围：580mm；</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3）额定负载：3kg（最大可达4Kg）；</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4）手臂荷重：0.3Kg；</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5）集成信号源：手腕设有10路信号；</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6）集成气源：手腕设有4路空气（5bar）；</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7）重复定位精度：0.01mm；</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8）机器人安装：任意角度；</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9）防护等级：IP30；</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10）轴运动：</w:t>
            </w:r>
            <w:r>
              <w:rPr>
                <w:rFonts w:hint="eastAsia" w:asciiTheme="minorEastAsia" w:hAnsiTheme="minorEastAsia" w:eastAsiaTheme="minorEastAsia" w:cstheme="minorEastAsia"/>
                <w:sz w:val="21"/>
                <w:szCs w:val="21"/>
              </w:rPr>
              <w:t>轴1旋转：+165°～-165°  最大速度：250°/s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轴2旋转：+110°～-110°  最大速度：250°/s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轴3旋转：+70°～-90°    最大速度：250°/s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轴4旋转：+160°～-160°  最大速度：320°/s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轴5旋转：+120°～-120°  最大速度：320°/s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轴6旋转：+400°～-400°  最大速度：420°/s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11）TCP最大速度：6.2m/s；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12）TCP最大加速度：28m/s²；</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13）电源电压：200-600V，50/60Hz；</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14）变压器额定功率：3.0KVA；</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15）功耗：0.25KW；</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16）机器人底座尺寸：180×180mm；</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17）机器人高度：700mm；</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18）重量：25Kg；</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19）噪音水平：最高70dB；</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20）安全性：安全停、紧急停、2通道安全回路监测、3位启动装置；</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21）运行中环境温度：+5℃ 至 +45℃；</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22）运输与存储时环境温度：-25℃ 至 +55℃；</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工业机器人控制器</w:t>
            </w:r>
          </w:p>
          <w:p>
            <w:pPr>
              <w:pStyle w:val="93"/>
              <w:spacing w:line="240" w:lineRule="auto"/>
              <w:ind w:left="0" w:leftChars="0" w:firstLine="0" w:firstLine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1）控制器硬件：多处理器系统、PCI总线、大容量闪存盘、防掉电备用电源、U盘接口；</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2）控制软件：为成熟的实时操作系统、高级RAPID程序语言；</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3）电源：单相220V/230V，50-60Hz；</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4）尺寸：258×450×565</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5）重量：27.5Kg；</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6）防护等级：IP20；</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7）控制面板：机柜上</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8)FlexPendant：重1 kg</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9)输入/输出：标准16/16（最多8192）；</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10)数字： 24 V DC或继电器信号；</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11)模拟： 1×0-10 V；</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12)串行通道： 1×RS 232（RS422带适配器）；</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13)网络 以太网（10/100 MB/s）；</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14)两条通道： 服务和LAN</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15)现场总线（主）：DeviceNetTM、PROFINET、PROFIBUS DP、Ethernet/IP；</w:t>
            </w:r>
          </w:p>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16)现场总线（从）：PROFINET、PROFIBUS DP、Ethernet/IP、Interbus、Allen-Bradley远程I/O、CC-link；</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17)处理编码器：最多6通道；</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工业示教器</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1）彩色触摸屏 操纵杆 紧急停 支持惯用左/右手切换 </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2）带有U盘 维护 诊断软件 恢复程序 带时间标记登录 支持 远程服务</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lang w:eastAsia="zh-CN"/>
              </w:rPr>
              <w:t>机器人配套二次开发软件</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1）使用VS软件进行开发。</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2）支持实体和虚拟仿真进行控制。</w:t>
            </w:r>
          </w:p>
          <w:p>
            <w:pPr>
              <w:autoSpaceDE w:val="0"/>
              <w:autoSpaceDN w:val="0"/>
              <w:adjustRightInd w:val="0"/>
              <w:snapToGri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3）能够同时控制多个机器人，可以显示网络内机器人的系统名称、控制器名称、版本、是否虚拟等。</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4）能够显示当前机器人的任务信息，如任务名称、运行的程序名称等。</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5）可实时显示机器人的位置坐标 ，能够显示点位名称。</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6）可以远程控制机器人电机上下电，程序复位、启动、停止。</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7）能够进行IO读取和写入。能够进行变量的读取和写入。</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8）能够进行单轴运动控制、线性运动控制。</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9）能够进行远程备份，远程恢复。</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10）能够读取日志。</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11）支持故障预警功能。</w:t>
            </w:r>
          </w:p>
          <w:p>
            <w:pPr>
              <w:spacing w:line="240" w:lineRule="auto"/>
              <w:rPr>
                <w:rFonts w:hint="eastAsia" w:asciiTheme="minorEastAsia" w:hAnsiTheme="minorEastAsia" w:eastAsiaTheme="minorEastAsia" w:cstheme="minorEastAsia"/>
                <w:sz w:val="21"/>
                <w:szCs w:val="21"/>
                <w:lang w:eastAsia="zh-CN"/>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lang w:eastAsia="zh-CN"/>
              </w:rPr>
              <w:t>机器人多品牌仿真软件：</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该仿真系统覆盖了ABB、FANUC、安川、KUKA、广数五类品牌的机器人。系统覆盖的功能：示教盒基本功能模拟，a. 示教盒按键功能b. 菜单功能c. 状态显示功能d.编辑功能e.提示功能。机器人运动控制仿真，a.零点标定b.手动操控c. 示教编程。集成功能、预置功能、操作主功能、辅助示教功能。</w:t>
            </w:r>
          </w:p>
          <w:p>
            <w:pPr>
              <w:autoSpaceDE w:val="0"/>
              <w:autoSpaceDN w:val="0"/>
              <w:adjustRightInd w:val="0"/>
              <w:snapToGrid w:val="0"/>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示教系统的集成功能为多机型、多模式等功能的实现；预置功能为机器人示教操作前的一些预备工作的设置功能；示教系统操作的主功能为三种模式下的示教操作功能的实现；辅助示教功能是为了帮助初学者便于快速的学习操作及编程而设定的一些参考和错误提示功能。通过这四种功能的开发实现，可以培训员工使用示教器操作机器人以及机器人使用的整个过程，加上系统的辅助示教功能，能够更好的训练学员的编程和操作能力。</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步进电机</w:t>
            </w:r>
          </w:p>
        </w:tc>
        <w:tc>
          <w:tcPr>
            <w:tcW w:w="0" w:type="auto"/>
            <w:noWrap w:val="0"/>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型号：3S57Q-04079-BRAKE</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带抱闸</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步距角1.2°；</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相电流(A)5.8；</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保持扭矩(Nm)1.5；</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阻尼扭矩(Nm)0.07；</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相电阻(Ω)1.05±10%；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相电感 (mH)2.4±20%；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电机惯量(kg.cm²)0.48；</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绝缘等级B；</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工作环境温度-20℃～+50℃；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重量(Kg)1；</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空载启动频率(Hz)2.1K；</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步进驱动器</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型号：3CM880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输入电压：24～70VDC</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输入电压: 5～24VDC; 输入电流: 8mA@5VDC, 12mA@24VDC</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控制方式：脉冲控制: 脉冲+方向(PLS+DIR, 双脉冲(CW/CCW)</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工作环境湿度：&lt;85%, RH(不能结露和有水珠)</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工作环境温度：0℃～+40℃</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重量(净重)：0.253Kg</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物料提升机构</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支撑采用优质铝材加工，采用步进电机控制，用于储放箱体与箱盖，存储数量≥3个，根据使用情况实现自动提升；</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0" w:type="auto"/>
            <w:noWrap w:val="0"/>
            <w:vAlign w:val="center"/>
          </w:tcPr>
          <w:p>
            <w:pPr>
              <w:autoSpaceDE w:val="0"/>
              <w:autoSpaceDN w:val="0"/>
              <w:adjustRightInd w:val="0"/>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末端配套执行工具</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1）该机器人单元末端第六轴装有多功能机械手；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2）该机械手同一手指、同一位置可横向抓取不同直径的物料，直径分为：18mm、32mm，同时具有信号反馈功能；</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3）该机械手再不更换的情况下，同一手指、同一位置可横向抓取不同尺寸的物料，方体物料为：15mm * 19mm、25mm * 28mm，同时具有信号反馈功能；</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4）该机械手再不更换的情况下，同一手指、同一位置可抓取尺寸在15mm～32mm之间的不规则物料，抓取过程中要保证物料的完整性，同时具有信号反馈功能，不规则物料不少于两种。</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投标现场演示以上内容。</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bidi="ar"/>
              </w:rPr>
              <w:t>电气元器件</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包含空气开关、熔断器、按钮、指示灯、SMC型气缸、欧姆龙光电传感器、继电器、直流减速电机等电器元件。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机构模块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提升机构、主输送皮带机构等。</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成品入仓单元</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型材桌</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该系统是安装在带槽的铝型材基板上，方便各站连接在一起组成一条自动生产线。桌体尺寸(长宽高)：L650mm×W720mm ×H800mm，桌面由铝型材、桌体由钣金材料结构组成。控制面板安装工业级按钮，控制按钮须采用工业级按键设计，设置有“启动、停止、复位、联机、急停”等控制功能与对应指示灯显示组成。</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PLC模块</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1200系列</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S7-1200，CPU 1214C， 紧凑型 CPU，DC/DC/DC， 机载 I/O： 14 个 24V DC 数字输入；10 个 24V DC 数字输出； 2 AI 0-10V DC， 电源：直流 20.4-28.8V DC， 程序/数据存储器 100 KB。</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SIMATIC S7-1200，数字量 I/O SM 1223，16DI/16DO， 24V DC，继电器 2A。</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伺服控制系统</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伺服控制器：MR-JE-10A；</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伺服电机：HG-KN13BJ-S100;</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立体仓库</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立体仓库采用≥5mm厚的优质铝板加工成型，按三层九仓位布置，仓位上有与物料盒规格大小一致的凹槽，偏于物料盒的存储和精准定位，每仓位均安装有检测传感器，可实时反应仓位的存储状态；</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码垛机</w:t>
            </w:r>
          </w:p>
        </w:tc>
        <w:tc>
          <w:tcPr>
            <w:tcW w:w="0" w:type="auto"/>
            <w:noWrap w:val="0"/>
            <w:vAlign w:val="top"/>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运动部分采用精密丝杆组件与交流伺服系统控制，物料的取送采用真空吸盘实现，运动机构采用高精密的滚珠丝杆，可将物料盒精准的放置于每个仓位。</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bidi="ar"/>
              </w:rPr>
              <w:t>电气元器件</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包含空气开关、熔断器、按钮、指示灯、SMC型气缸、欧姆龙光电传感器、继电器等电器元件。</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主控制系统</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人机界面</w:t>
            </w:r>
          </w:p>
        </w:tc>
        <w:tc>
          <w:tcPr>
            <w:tcW w:w="0" w:type="auto"/>
            <w:noWrap w:val="0"/>
            <w:vAlign w:val="center"/>
          </w:tcPr>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TPC</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0</w:t>
            </w:r>
            <w:r>
              <w:rPr>
                <w:rFonts w:hint="eastAsia" w:asciiTheme="minorEastAsia" w:hAnsiTheme="minorEastAsia" w:eastAsiaTheme="minorEastAsia" w:cstheme="minorEastAsia"/>
                <w:sz w:val="21"/>
                <w:szCs w:val="21"/>
                <w:lang w:val="en-US" w:eastAsia="zh-CN"/>
              </w:rPr>
              <w:t>71G</w:t>
            </w:r>
            <w:r>
              <w:rPr>
                <w:rFonts w:hint="eastAsia" w:asciiTheme="minorEastAsia" w:hAnsiTheme="minorEastAsia" w:eastAsiaTheme="minorEastAsia" w:cstheme="minorEastAsia"/>
                <w:sz w:val="21"/>
                <w:szCs w:val="21"/>
                <w:lang w:eastAsia="zh-CN"/>
              </w:rPr>
              <w:t>i</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液晶屏：</w:t>
            </w:r>
            <w:r>
              <w:rPr>
                <w:rFonts w:hint="eastAsia" w:ascii="宋体" w:hAnsi="宋体" w:eastAsia="宋体" w:cs="宋体"/>
                <w:i w:val="0"/>
                <w:color w:val="FF0000"/>
                <w:kern w:val="0"/>
                <w:sz w:val="22"/>
                <w:szCs w:val="22"/>
                <w:u w:val="none"/>
                <w:lang w:val="en-US" w:eastAsia="zh-CN" w:bidi="ar"/>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寸TFT</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触摸屏：电阻式</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额定电压：24+20%VDC</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额定功耗：</w:t>
            </w:r>
            <w:r>
              <w:rPr>
                <w:rFonts w:hint="eastAsia" w:asciiTheme="minorEastAsia" w:hAnsiTheme="minorEastAsia" w:eastAsiaTheme="minorEastAsia" w:cstheme="minorEastAsia"/>
                <w:sz w:val="21"/>
                <w:szCs w:val="21"/>
                <w:lang w:val="en-US" w:eastAsia="zh-CN"/>
              </w:rPr>
              <w:t>&lt;30W</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工作温度：0-45℃</w:t>
            </w:r>
          </w:p>
          <w:p>
            <w:pPr>
              <w:spacing w:line="24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防护等级：IP65</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通讯方式：</w:t>
            </w:r>
            <w:r>
              <w:rPr>
                <w:rFonts w:hint="eastAsia" w:asciiTheme="minorEastAsia" w:hAnsiTheme="minorEastAsia" w:eastAsiaTheme="minorEastAsia" w:cstheme="minorEastAsia"/>
                <w:sz w:val="21"/>
                <w:szCs w:val="21"/>
                <w:lang w:val="en-US" w:eastAsia="zh-CN"/>
              </w:rPr>
              <w:t>TCP/IP</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交换机</w:t>
            </w:r>
          </w:p>
        </w:tc>
        <w:tc>
          <w:tcPr>
            <w:tcW w:w="0" w:type="auto"/>
            <w:noWrap w:val="0"/>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TP Link</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8口</w:t>
            </w:r>
          </w:p>
          <w:p>
            <w:pPr>
              <w:spacing w:line="24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六类网线</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智能交互系统</w:t>
            </w:r>
          </w:p>
        </w:tc>
        <w:tc>
          <w:tcPr>
            <w:tcW w:w="0" w:type="auto"/>
            <w:noWrap w:val="0"/>
            <w:vAlign w:val="center"/>
          </w:tcPr>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1、具备语音交互能力：</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1）、语音识别能力：实现听用户说话的能力。</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听力所用麦克风阵列可指示唤醒声源的方位，设备舵机同时会作出相应方向的动作反应。</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设备被语音唤醒时，能够同时反馈语音唤醒的可信度，以便于消除一些干扰因素。</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麦克风阵列支持回音消除功能。</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2）、语义解析能力：</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支持用户一次说话，上报两次事件，其一为原始说话内容，其二为结构化的语义内容，以利于应用解析用户意图。</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有调试开关，能够将用户说的内容保存在语音文件中，供调试分析。</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能够分阶段上报用户说话的事件，如检测到用户开始说话、结束说话，方便应用程序制作指示界面。</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几十种常用开放语义技能测试和应用。</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自定义语义技能开发和测试。定制个性化的语义，即创建意图、添加用户提问语料、为语义槽配置实体资源。</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3）、语音合成能力：实现设备将文字转换成语音的能力。</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可设置设备说话的音色，可选可预览试听。</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能够调节说话的语速、音调、音量。</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说话过程可中断、继续、取消。</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支持说普通话、粤语、常见方言。</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支持超长内容边合成边播报，避免过长的等待时间。</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支持说话过程中事件实时反馈，以利于软件根据事件制作不同的指示界面。</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有调试开关，能够将调试状态下的说话内容保存在语音文件中。</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xml:space="preserve">2、视觉识别能力： </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1）、视觉识别包括人脸检测、人脸跟踪、人脸识别、年龄与性别识别、物体识别等功能。</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2）、人脸检测，能够检测并且定位到影像（图片或者视频）中的人脸。</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3）、人脸跟踪，精确定位并追踪面部区域位置，随着人物脸部位置的变化能够快速定位人脸位置，并且适用于不同表情、性别、年龄、姿态、光照等条件。</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4）、人脸比对（1:1）：支持分析两张脸的相似度，用于用户认证及身份验证。</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5）、人脸检索（1：N）：针对一张输入的人脸，在已建立的人脸数据库中检索相似的人脸。</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6)、性别与年龄识别，可以从图片或者视频流中精确快速获取到人物的性别与大致年龄。</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3、典型应用控制能力：</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1）、表情能力：展示类人喜怒哀乐的表情，表情切换等功能；</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lang w:val="en-US" w:eastAsia="zh-CN"/>
              </w:rPr>
              <w:t>2）、通过超声波识别物体的出现及</w:t>
            </w:r>
            <w:r>
              <w:rPr>
                <w:rFonts w:hint="eastAsia" w:asciiTheme="minorEastAsia" w:hAnsiTheme="minorEastAsia" w:eastAsiaTheme="minorEastAsia" w:cstheme="minorEastAsia"/>
                <w:sz w:val="21"/>
                <w:szCs w:val="21"/>
                <w:lang w:val="en-US" w:eastAsia="zh-CN"/>
              </w:rPr>
              <w:t>距离，同时会有语音和图像提示；</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3）、实现外设调用能力，包括热敏打印、二代身份证识别、二维码扫码、LED灯等外设控制功能。</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4、具备二次开发能力：可提供接口封装API,供用户具备自行开发相关功能。</w:t>
            </w:r>
          </w:p>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本项目共计配置1套此设备，投标现场演示以上要求内容。</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气泵</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静音无油空压机</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供电电压/频率：220V/50HZ</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功率：560～600W；</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储气罐：30L</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最高压力：0.8MPa</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出口压力：0～0.6MPa可调</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噪音：≤55dB</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Cs/>
                <w:sz w:val="21"/>
                <w:szCs w:val="21"/>
                <w:lang w:eastAsia="zh-CN"/>
              </w:rPr>
              <w:t>教学课程资源</w:t>
            </w:r>
          </w:p>
        </w:tc>
        <w:tc>
          <w:tcPr>
            <w:tcW w:w="0" w:type="auto"/>
            <w:noWrap w:val="0"/>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宋体" w:hAnsi="宋体" w:eastAsia="宋体" w:cs="宋体"/>
                <w:sz w:val="21"/>
                <w:szCs w:val="21"/>
              </w:rPr>
              <w:t>★</w:t>
            </w:r>
            <w:r>
              <w:rPr>
                <w:rFonts w:hint="eastAsia" w:asciiTheme="minorEastAsia" w:hAnsiTheme="minorEastAsia" w:eastAsiaTheme="minorEastAsia" w:cstheme="minorEastAsia"/>
                <w:sz w:val="21"/>
                <w:szCs w:val="21"/>
                <w:lang w:eastAsia="zh-CN"/>
              </w:rPr>
              <w:t>在线学习平台：</w:t>
            </w:r>
          </w:p>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学习服务平台课程有录播跟直播课程两种形式，含“教、学、做、管、考”等功能模块，其中录播课程含制造业专业课程100多门，4000 多个课时，内容涉及维修电工、电工电子、电机拖动、PLC（三菱〡西门子〡欧姆龙）、变频器〡步进〡伺服、HMI、组态软件、单片机、数控机床、工业机器人、机器视觉、液压〡气动及各PLC（三菱〡西门子〡欧姆龙）品牌在各大行业的常用案例；主要课程有完整的学习计划，课程大纲、疑难点解析、考核题库等；直播课程分为三类：技术类课程、职业规划毕业面试技巧等软性课程、行业动态分享等，且直播课程有详细的课表计划，至少可以看到一周内的课程安排。</w:t>
            </w:r>
          </w:p>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院校老师可以通过PC端或手机APP（Android、IOS均可）观看视频，辅助教学，安排学生课前预习；</w:t>
            </w:r>
          </w:p>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院校老师、学生均可以通过PC端或手机APP（Android、IOS均可）自主学习、自选学习、随时学习、反复学习；</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系统登录应分为三大登陆管理应用模块；其中院校管理员、老师为管理后台，学生为前台学习入口。</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其中管理后台模块功能如下：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（1）院系管理: 可以按院系名称和编号添加或删减。</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（2）老师管理：可以按老师姓名及详细资料添加或删减，由院系（管理员）授权老师管理相应班级；</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（3）班级管理：含添加或删减学习班级功能，可以看到所有参与学习的班级、班级总人数、所在院系及年级</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（4）课程分配：含添加或删减课程功能；可以看到学生学习的所有课程名称、课程类别及课时总数量；可以选中课程授权分配给老师。</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（5）考试管理：可以看到考试的科目与名称、题目数量、数据中心模块，可以新增、批量导入考试题库。</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（6）数据中心：可以看到所有老师人数、班级人数及学生的学习总人数；以及通过学习课程与考试科目用图形或列表方式表现出各个班级综合学习情况及考试情况，一目了然。</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（7）学生管理：含添加、删减和指导入学生功能，可以看到授权管理班级所有学生的详细情况。</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（8）微课发布：后台管理员可以发布、添加新的课程，可以授权所在班级观看。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学生学习前台模快功能如下：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（1）岗位分析：学生登陆后可以看到社会企业招聘的热门岗位、所需技能要求、工作待遇、晋升空间、工作环境，以及根据岗位所需技能要求推荐相关学习课程。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（2）课程中心：学生登陆后可以看到管理后台老师分配学习的所有课程名称、课时数、课程类别。</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（3）学习记录：学生登陆后可以看到所有授权课程的学习时长，通过柱状形式展示出来，一目了然。</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（4）考试评估：可以看到考试科目，考生可以在规定的时候内练习或参与正式考试，在线（5）在线课堂：每周一至周五晚上通过在线上课链接可以参与晚上自己感兴趣的在线课程</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论坛：论坛里分很多模块，论坛中含有各种辅助学习的资料下载（如编程软件、学习计划、故障代码查询小工具、软文及常见问题等）学生学习中碰到问题可进入自己感兴趣的论坛，与全国各地的技术人员及老师相互交流学习。提供厂家针对本项目的技术参数确认函（加盖生产厂家公章）以及配套教学资源课程。</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0" w:type="auto"/>
            <w:vMerge w:val="restart"/>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装配工作台</w:t>
            </w:r>
          </w:p>
        </w:tc>
        <w:tc>
          <w:tcPr>
            <w:tcW w:w="0" w:type="auto"/>
            <w:noWrap w:val="0"/>
            <w:vAlign w:val="center"/>
          </w:tcPr>
          <w:p>
            <w:pPr>
              <w:pStyle w:val="93"/>
              <w:autoSpaceDE w:val="0"/>
              <w:autoSpaceDN w:val="0"/>
              <w:adjustRightInd w:val="0"/>
              <w:snapToGrid w:val="0"/>
              <w:spacing w:line="240" w:lineRule="auto"/>
              <w:ind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尺寸不小于：1500mm*750mm*750mm,由台身和台面两大部分组成。台身用优质Q235冷轧钢板折弯焊接，喷塑后组装连接，台面用高密度中纤板，表面贴压防火板，耐腐蚀、防静电。</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产品配件包</w:t>
            </w:r>
          </w:p>
        </w:tc>
        <w:tc>
          <w:tcPr>
            <w:tcW w:w="0" w:type="auto"/>
            <w:noWrap w:val="0"/>
            <w:vAlign w:val="center"/>
          </w:tcPr>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包含了PLC编程线、机器人USB下载线、触摸屏USB下载线、485通讯线、空气压缩机、排插座、物料块、黑色/白色盖板、黑色/白色物料块、黑色/白色标签、发货光盘、设备使用说明书、安装螺丝螺母等。</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电脑桌</w:t>
            </w:r>
          </w:p>
        </w:tc>
        <w:tc>
          <w:tcPr>
            <w:tcW w:w="0" w:type="auto"/>
            <w:noWrap w:val="0"/>
            <w:vAlign w:val="center"/>
          </w:tcPr>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1）、尺寸不小于600*500*800mm，配套使用电脑的控制设备，也可独立使用，满足23寸及以下显示器放置；</w:t>
            </w:r>
          </w:p>
          <w:p>
            <w:pPr>
              <w:pStyle w:val="93"/>
              <w:autoSpaceDE w:val="0"/>
              <w:autoSpaceDN w:val="0"/>
              <w:adjustRightInd w:val="0"/>
              <w:snapToGrid w:val="0"/>
              <w:spacing w:line="240" w:lineRule="auto"/>
              <w:ind w:firstLine="210" w:firstLineChars="1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2）、后挡板主要用于保护显示器意外摔落；主机挡板主要用于保护主机意外摔落，同时将电源插座固定在主机后挡板上，安全整齐，起到有效保护作用；</w:t>
            </w:r>
          </w:p>
          <w:p>
            <w:pPr>
              <w:spacing w:line="240" w:lineRule="auto"/>
              <w:ind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3）、四只带刹车万向轮，灵活移动且随意固定位置；桌面采用25mm E1级环保颗粒板，具有防火、防水、防污特性，整体配色新颖，工业铝型材安全可靠；配有键盘抽屉，使用方便。</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0" w:type="auto"/>
            <w:vMerge w:val="continue"/>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w:t>
            </w:r>
          </w:p>
        </w:tc>
        <w:tc>
          <w:tcPr>
            <w:tcW w:w="0" w:type="auto"/>
            <w:noWrap w:val="0"/>
            <w:vAlign w:val="center"/>
          </w:tcPr>
          <w:p>
            <w:pPr>
              <w:spacing w:line="240" w:lineRule="auto"/>
              <w:jc w:val="center"/>
              <w:textAlignment w:val="center"/>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Cs/>
                <w:sz w:val="21"/>
                <w:szCs w:val="21"/>
                <w:lang w:val="en-US" w:eastAsia="zh-CN"/>
              </w:rPr>
              <w:t>配套</w:t>
            </w:r>
            <w:r>
              <w:rPr>
                <w:rFonts w:hint="eastAsia" w:asciiTheme="minorEastAsia" w:hAnsiTheme="minorEastAsia" w:eastAsiaTheme="minorEastAsia" w:cstheme="minorEastAsia"/>
                <w:bCs/>
                <w:sz w:val="21"/>
                <w:szCs w:val="21"/>
                <w:lang w:eastAsia="zh-CN"/>
              </w:rPr>
              <w:t>工具</w:t>
            </w:r>
          </w:p>
        </w:tc>
        <w:tc>
          <w:tcPr>
            <w:tcW w:w="0" w:type="auto"/>
            <w:noWrap w:val="0"/>
            <w:vAlign w:val="center"/>
          </w:tcPr>
          <w:tbl>
            <w:tblPr>
              <w:tblStyle w:val="27"/>
              <w:tblpPr w:leftFromText="180" w:rightFromText="180" w:vertAnchor="text" w:horzAnchor="page" w:tblpXSpec="center" w:tblpY="15"/>
              <w:tblOverlap w:val="never"/>
              <w:tblW w:w="3758" w:type="dxa"/>
              <w:tblInd w:w="0" w:type="dxa"/>
              <w:tblLayout w:type="autofit"/>
              <w:tblCellMar>
                <w:top w:w="15" w:type="dxa"/>
                <w:left w:w="15" w:type="dxa"/>
                <w:bottom w:w="15" w:type="dxa"/>
                <w:right w:w="15" w:type="dxa"/>
              </w:tblCellMar>
            </w:tblPr>
            <w:tblGrid>
              <w:gridCol w:w="2949"/>
              <w:gridCol w:w="809"/>
            </w:tblGrid>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jc w:val="center"/>
                    <w:textAlignment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物料名称</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jc w:val="center"/>
                    <w:textAlignment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安装锤（胶锤）</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钢直尺</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钢直尺</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带表游标卡尺</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9件加长球头内六角</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螺丝刀套装</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斜口钳</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老虎钳</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尖嘴钳</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欧式端子压线钳</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活动扳手</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4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不锈钢剪刀</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5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精品镜面两用扳手套装</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15" w:type="dxa"/>
                  <w:left w:w="15" w:type="dxa"/>
                  <w:bottom w:w="15" w:type="dxa"/>
                  <w:right w:w="15" w:type="dxa"/>
                </w:tblCellMar>
              </w:tblPrEx>
              <w:trPr>
                <w:trHeight w:val="455" w:hRule="atLeast"/>
              </w:trPr>
              <w:tc>
                <w:tcPr>
                  <w:tcW w:w="294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工具箱</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240" w:lineRule="auto"/>
                    <w:ind w:firstLine="42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bl>
          <w:p>
            <w:pPr>
              <w:spacing w:line="240" w:lineRule="auto"/>
              <w:ind w:firstLine="210" w:firstLineChars="100"/>
              <w:rPr>
                <w:rFonts w:hint="eastAsia" w:asciiTheme="minorEastAsia" w:hAnsiTheme="minorEastAsia" w:eastAsiaTheme="minorEastAsia" w:cstheme="minorEastAsia"/>
                <w:sz w:val="21"/>
                <w:szCs w:val="21"/>
              </w:rPr>
            </w:pP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p>
        </w:tc>
        <w:tc>
          <w:tcPr>
            <w:tcW w:w="0" w:type="auto"/>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套</w:t>
            </w:r>
          </w:p>
        </w:tc>
      </w:tr>
    </w:tbl>
    <w:p>
      <w:pPr>
        <w:rPr>
          <w:rFonts w:hint="eastAsia"/>
          <w:lang w:eastAsia="zh-CN"/>
        </w:rPr>
      </w:pPr>
    </w:p>
    <w:p>
      <w:pPr>
        <w:rPr>
          <w:rFonts w:hint="eastAsia"/>
          <w:lang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FF0000"/>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要求其唯一性，供应商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9"/>
        <w:rPr>
          <w:rFonts w:hint="eastAsia"/>
          <w:lang w:val="en-US" w:eastAsia="zh-CN"/>
        </w:rPr>
      </w:pPr>
      <w:r>
        <w:rPr>
          <w:rFonts w:ascii="宋体" w:hAnsi="宋体" w:eastAsia="宋体" w:cs="宋体"/>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05" w:name="_Toc15828"/>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 xml:space="preserve">2.1.项目的产品和安装必须完全满足中华人民共和国国家质量标准及现行规范要求， 供应商应根据企业实际能力在响应文件中对项目质量予以承诺，中标后在合同中加以确认。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 xml:space="preserve">2.2.所有设备和配件均要求是经过实际运行验证、性能稳定的全新产品。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 xml:space="preserve">2.3.供应商在成交后，发生侵犯专利权的行为时，其侵权责任与采购人无关， 应由供应商承担相应的责任，并不得影响采购人的利益。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3、产品进场安装、</w:t>
      </w:r>
      <w:r>
        <w:rPr>
          <w:rFonts w:hint="eastAsia" w:asciiTheme="minorEastAsia" w:hAnsiTheme="minorEastAsia" w:eastAsiaTheme="minorEastAsia" w:cstheme="minorEastAsia"/>
          <w:b w:val="0"/>
          <w:bCs w:val="0"/>
          <w:color w:val="auto"/>
          <w:szCs w:val="21"/>
        </w:rPr>
        <w:t>调试及验收</w:t>
      </w:r>
      <w:r>
        <w:rPr>
          <w:rFonts w:hint="eastAsia" w:asciiTheme="minorEastAsia" w:hAnsiTheme="minorEastAsia" w:eastAsiaTheme="minorEastAsia" w:cstheme="minorEastAsia"/>
          <w:b w:val="0"/>
          <w:bCs w:val="0"/>
          <w:color w:val="auto"/>
          <w:szCs w:val="21"/>
          <w:lang w:eastAsia="zh-CN"/>
        </w:rPr>
        <w:t>：</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3.1、成交供应商须提供全新的设备，所有设备均须由成交供应商送货到指定地点并安装调试，采购人不再支付任何费用。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3.2、成交供应商所提供设备到达目的地后，采购人按成交供应商提供的设备清单及检验产品合格证、使用说明书和其他的技术资料负责开箱检验、检查设备及随机附件是否完整无损，技术资料是否与采购人的要求相符，如有损坏、缺件等情况，成交供应商应在 5 日内更换新产品，相应的费用及责任由成交供应商自行负担。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3.3、成交供应商应提供设备所带专用工具清单，并标明其种类、用途和生产厂，并在货物到货时同时提供给采购人。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3.4、成交供应商须免费提供调试专用工具，直到项目质保期满。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3.5、成交供应商必须提供产品安装的详细实施建议方案和产品安装实施过程的工作内容、工作日程表、工作方法，并征得采购人认可后严格按照日程表执行。日程表内容至少应包括到货日期、现场安装、验收等。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3.6、成交供应商应允许采购人的工作人员参与项目的安装、测试、等各项工作。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3.7、安装过程中，成交供应商供给采购人的产品及自己使用的工具，进入采购人使用现场后的保管由成交供应商负责；成交供应商在采购人使用现场安装人员的安全、保险、 食宿、交通由成交供应商负责。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3.8、成交供应商在验收前必须递交书面的验收方案，并报采购人认可后以其为依据，方可开始验收工作。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3.9、采购人确认下列条款后进行验收签字：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 xml:space="preserve">（1）响应文件中提供的产品技术数据经核验证实是真实的；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 所要求的资料、备件等已按规定数量移交完毕。</w:t>
      </w:r>
      <w:r>
        <w:rPr>
          <w:rFonts w:hint="eastAsia" w:asciiTheme="minorEastAsia" w:hAnsiTheme="minorEastAsia" w:eastAsiaTheme="minorEastAsia" w:cstheme="minorEastAsia"/>
          <w:b w:val="0"/>
          <w:bCs w:val="0"/>
          <w:color w:val="auto"/>
          <w:szCs w:val="21"/>
          <w:lang w:eastAsia="zh-CN"/>
        </w:rPr>
        <w:br w:type="textWrapping"/>
      </w:r>
      <w:r>
        <w:rPr>
          <w:rFonts w:hint="eastAsia" w:asciiTheme="minorEastAsia" w:hAnsiTheme="minorEastAsia" w:eastAsiaTheme="minorEastAsia" w:cstheme="minorEastAsia"/>
          <w:b w:val="0"/>
          <w:bCs w:val="0"/>
          <w:color w:val="auto"/>
          <w:szCs w:val="21"/>
          <w:lang w:val="en-US" w:eastAsia="zh-CN"/>
        </w:rPr>
        <w:t>4、售后服务要求：设备供应商在国内有维修中心，有专职维修工程师和备品备件库。在用户提出维修要求后，制造商（或代理商）应在4工作小时内对用户的服务要求做出响应；需要在现场解决问题的，应在48小时内到达用户现场维修，一般故障应在48小时内修复，重大故障或其他无法迅速解决的问题需在一周内解决或提出明确解决方案。</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5、培训要求：</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5.1、设备安装结束后，必须安排设备厂家开展不低于7天的技术培训。后续每年至少安排5天培训，持续三年。</w:t>
      </w:r>
    </w:p>
    <w:p>
      <w:pPr>
        <w:autoSpaceDE w:val="0"/>
        <w:autoSpaceDN w:val="0"/>
        <w:adjustRightInd w:val="0"/>
        <w:spacing w:line="360" w:lineRule="auto"/>
        <w:ind w:firstLine="420" w:firstLineChars="200"/>
        <w:outlineLvl w:val="9"/>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5.2、随同设备需提供相应实训指导书纸质档不少于6套，同时提供电子文档。</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6、交货地点：长江工程职业技术学院陆水楼215（湖北省武汉市江夏区文化路9号）</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5%；签订合同前5个工作日递交，以支票、汇票、本票或者金融机构、担保机构出具的保函等非现金形式提交。合同签订后，履约保证金转为质保金，一年后无息退还，按采购人财务处相关规定办理；</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8、付款方式：合同签订验收合格后，采购人向供应商一次性支付合同价100%。</w:t>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06" w:name="_Toc1933"/>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6"/>
    </w:p>
    <w:p>
      <w:pPr>
        <w:spacing w:line="360" w:lineRule="auto"/>
        <w:outlineLvl w:val="1"/>
        <w:rPr>
          <w:rFonts w:hint="eastAsia" w:asciiTheme="minorEastAsia" w:hAnsiTheme="minorEastAsia" w:eastAsiaTheme="minorEastAsia" w:cstheme="minorEastAsia"/>
          <w:b/>
          <w:szCs w:val="21"/>
        </w:rPr>
      </w:pPr>
      <w:bookmarkStart w:id="107" w:name="_Toc10483"/>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7"/>
    </w:p>
    <w:tbl>
      <w:tblPr>
        <w:tblStyle w:val="2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08" w:name="_Toc25729"/>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8"/>
    </w:p>
    <w:tbl>
      <w:tblPr>
        <w:tblStyle w:val="27"/>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1"/>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bookmarkStart w:id="109" w:name="_Toc16455"/>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09"/>
    </w:p>
    <w:tbl>
      <w:tblPr>
        <w:tblStyle w:val="27"/>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left w:val="single" w:color="auto" w:sz="12" w:space="0"/>
              <w:bottom w:val="single" w:color="auto" w:sz="6" w:space="0"/>
              <w:right w:val="single" w:color="auto" w:sz="6" w:space="0"/>
            </w:tcBorders>
            <w:vAlign w:val="center"/>
          </w:tcPr>
          <w:p>
            <w:pPr>
              <w:spacing w:line="240" w:lineRule="auto"/>
              <w:jc w:val="center"/>
              <w:rPr>
                <w:rFonts w:hint="eastAsia" w:ascii="宋体" w:hAnsi="宋体" w:eastAsia="宋体" w:cs="宋体"/>
                <w:b/>
                <w:bCs/>
                <w:color w:val="auto"/>
                <w:spacing w:val="-6"/>
                <w:sz w:val="21"/>
                <w:szCs w:val="21"/>
              </w:rPr>
            </w:pPr>
            <w:bookmarkStart w:id="110" w:name="_Toc30868"/>
            <w:r>
              <w:rPr>
                <w:rFonts w:hint="eastAsia" w:ascii="宋体" w:hAnsi="宋体" w:eastAsia="宋体" w:cs="宋体"/>
                <w:b/>
                <w:bCs/>
                <w:color w:val="auto"/>
                <w:sz w:val="21"/>
                <w:szCs w:val="21"/>
              </w:rPr>
              <w:t>类别</w:t>
            </w:r>
          </w:p>
        </w:tc>
        <w:tc>
          <w:tcPr>
            <w:tcW w:w="1376" w:type="dxa"/>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rPr>
              <w:t>评审因素</w:t>
            </w:r>
          </w:p>
        </w:tc>
        <w:tc>
          <w:tcPr>
            <w:tcW w:w="6512" w:type="dxa"/>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rPr>
              <w:t>评审标准</w:t>
            </w:r>
          </w:p>
        </w:tc>
        <w:tc>
          <w:tcPr>
            <w:tcW w:w="664" w:type="dxa"/>
            <w:tcBorders>
              <w:top w:val="single" w:color="auto" w:sz="12" w:space="0"/>
              <w:left w:val="single" w:color="auto" w:sz="6" w:space="0"/>
              <w:bottom w:val="single" w:color="auto" w:sz="6" w:space="0"/>
              <w:right w:val="single" w:color="auto" w:sz="12" w:space="0"/>
            </w:tcBorders>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tcBorders>
              <w:top w:val="single" w:color="auto" w:sz="6" w:space="0"/>
              <w:left w:val="single" w:color="auto" w:sz="12" w:space="0"/>
              <w:bottom w:val="single" w:color="auto" w:sz="6" w:space="0"/>
              <w:right w:val="single" w:color="auto" w:sz="6" w:space="0"/>
            </w:tcBorders>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bidi="ar"/>
              </w:rPr>
              <w:t>竞标报价</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30分</w:t>
            </w: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bidi="ar"/>
              </w:rPr>
              <w:t>最后报价</w:t>
            </w:r>
          </w:p>
        </w:tc>
        <w:tc>
          <w:tcPr>
            <w:tcW w:w="65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1、报价采用低价优先法计算，即满足磋商采购文件要求且报价最低的报价为磋商基准价，其报价分为满分30分；</w:t>
            </w:r>
          </w:p>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2、其他供应商的报价分按照下列公式计算：</w:t>
            </w:r>
          </w:p>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报价分=（磋商基准价/磋商报价）×30</w:t>
            </w:r>
          </w:p>
          <w:p>
            <w:pPr>
              <w:widowControl/>
              <w:spacing w:line="240" w:lineRule="auto"/>
              <w:jc w:val="left"/>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rPr>
              <w:t>2、符合本磋商文件第四章“政策支持”条件的，在评审时予以价格扣除，用扣除后的价格参与评审。</w:t>
            </w:r>
          </w:p>
        </w:tc>
        <w:tc>
          <w:tcPr>
            <w:tcW w:w="664" w:type="dxa"/>
            <w:tcBorders>
              <w:top w:val="single" w:color="auto" w:sz="6" w:space="0"/>
              <w:left w:val="single" w:color="auto" w:sz="6" w:space="0"/>
              <w:bottom w:val="single" w:color="auto" w:sz="6" w:space="0"/>
              <w:right w:val="single" w:color="auto" w:sz="12" w:space="0"/>
            </w:tcBorders>
            <w:vAlign w:val="center"/>
          </w:tcPr>
          <w:p>
            <w:pPr>
              <w:widowControl/>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tcBorders>
              <w:top w:val="single" w:color="auto" w:sz="6" w:space="0"/>
              <w:left w:val="single" w:color="auto" w:sz="12"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商务1</w:t>
            </w:r>
            <w:r>
              <w:rPr>
                <w:rFonts w:hint="eastAsia" w:ascii="宋体" w:hAnsi="宋体" w:eastAsia="宋体" w:cs="宋体"/>
                <w:color w:val="auto"/>
                <w:spacing w:val="-6"/>
                <w:sz w:val="21"/>
                <w:szCs w:val="21"/>
                <w:lang w:val="en-US" w:eastAsia="zh-CN"/>
              </w:rPr>
              <w:t>0</w:t>
            </w:r>
            <w:r>
              <w:rPr>
                <w:rFonts w:hint="eastAsia" w:ascii="宋体" w:hAnsi="宋体" w:eastAsia="宋体" w:cs="宋体"/>
                <w:color w:val="auto"/>
                <w:spacing w:val="-6"/>
                <w:sz w:val="21"/>
                <w:szCs w:val="21"/>
              </w:rPr>
              <w:t>分</w:t>
            </w:r>
          </w:p>
        </w:tc>
        <w:tc>
          <w:tcPr>
            <w:tcW w:w="137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财务状况</w:t>
            </w:r>
          </w:p>
        </w:tc>
        <w:tc>
          <w:tcPr>
            <w:tcW w:w="6512" w:type="dxa"/>
            <w:tcBorders>
              <w:top w:val="single" w:color="auto" w:sz="6" w:space="0"/>
              <w:left w:val="single" w:color="auto" w:sz="6" w:space="0"/>
              <w:bottom w:val="single" w:color="auto" w:sz="6" w:space="0"/>
              <w:right w:val="single" w:color="auto" w:sz="6"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根据供应商提供的近三年（2017、2018、2019年）财务报告，对其经营状况、财务状况相互比较：</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连续盈利，偿债能力、盈利能力和抗风险能力强的，得3分；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盈利情况一般，偿债能力和抗风险能力较弱的，得2分；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无盈利，偿债能力和抗风险能力差的，得0分；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（成立不足三年的按公司成立时间起算）</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类似业绩</w:t>
            </w:r>
          </w:p>
        </w:tc>
        <w:tc>
          <w:tcPr>
            <w:tcW w:w="6512" w:type="dxa"/>
            <w:tcBorders>
              <w:top w:val="single" w:color="auto" w:sz="6" w:space="0"/>
              <w:left w:val="single" w:color="auto" w:sz="6" w:space="0"/>
              <w:bottom w:val="single" w:color="auto" w:sz="6" w:space="0"/>
              <w:right w:val="single" w:color="auto" w:sz="6"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近三年（</w:t>
            </w:r>
            <w:r>
              <w:rPr>
                <w:rFonts w:hint="eastAsia" w:ascii="宋体" w:hAnsi="宋体" w:eastAsia="宋体" w:cs="宋体"/>
                <w:color w:val="auto"/>
                <w:sz w:val="21"/>
                <w:szCs w:val="21"/>
                <w:lang w:eastAsia="zh-CN"/>
              </w:rPr>
              <w:t>磋商</w:t>
            </w:r>
            <w:r>
              <w:rPr>
                <w:rFonts w:hint="eastAsia" w:ascii="宋体" w:hAnsi="宋体" w:eastAsia="宋体" w:cs="宋体"/>
                <w:color w:val="auto"/>
                <w:sz w:val="21"/>
                <w:szCs w:val="21"/>
              </w:rPr>
              <w:t>截止时间往前推算36个月）具有类似采购业绩的，每个得1分，最多得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分；（需提供合同真彩扫描件并加盖公章，未提供不得分）</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用户反馈</w:t>
            </w:r>
          </w:p>
        </w:tc>
        <w:tc>
          <w:tcPr>
            <w:tcW w:w="6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ind w:right="71" w:rightChars="34"/>
              <w:rPr>
                <w:rFonts w:hint="eastAsia" w:ascii="宋体" w:hAnsi="宋体" w:eastAsia="宋体" w:cs="宋体"/>
                <w:color w:val="auto"/>
                <w:sz w:val="21"/>
                <w:szCs w:val="21"/>
              </w:rPr>
            </w:pPr>
            <w:r>
              <w:rPr>
                <w:rFonts w:hint="eastAsia" w:ascii="宋体" w:hAnsi="宋体" w:eastAsia="宋体" w:cs="宋体"/>
                <w:color w:val="auto"/>
                <w:sz w:val="21"/>
                <w:szCs w:val="21"/>
                <w:lang w:val="zh-CN"/>
              </w:rPr>
              <w:t>根据供应商提供的业主出具的满意评价证明（盖用户单位公章），每提供1个得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分，最高得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分</w:t>
            </w:r>
          </w:p>
        </w:tc>
        <w:tc>
          <w:tcPr>
            <w:tcW w:w="66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pacing w:val="-6"/>
                <w:kern w:val="0"/>
                <w:sz w:val="21"/>
                <w:szCs w:val="21"/>
              </w:rPr>
            </w:pPr>
            <w:r>
              <w:rPr>
                <w:rFonts w:hint="eastAsia" w:ascii="宋体" w:hAnsi="宋体" w:eastAsia="宋体" w:cs="宋体"/>
                <w:color w:val="auto"/>
                <w:sz w:val="21"/>
                <w:szCs w:val="21"/>
              </w:rPr>
              <w:t>标书制作</w:t>
            </w:r>
          </w:p>
        </w:tc>
        <w:tc>
          <w:tcPr>
            <w:tcW w:w="6512" w:type="dxa"/>
            <w:tcBorders>
              <w:top w:val="single" w:color="auto" w:sz="4" w:space="0"/>
              <w:left w:val="single" w:color="auto" w:sz="6" w:space="0"/>
              <w:bottom w:val="single" w:color="auto" w:sz="6" w:space="0"/>
              <w:right w:val="single" w:color="auto" w:sz="6" w:space="0"/>
            </w:tcBorders>
            <w:vAlign w:val="center"/>
          </w:tcPr>
          <w:p>
            <w:pPr>
              <w:spacing w:line="240" w:lineRule="auto"/>
              <w:jc w:val="left"/>
              <w:rPr>
                <w:rFonts w:hint="eastAsia" w:ascii="宋体" w:hAnsi="宋体" w:eastAsia="宋体" w:cs="宋体"/>
                <w:color w:val="auto"/>
                <w:spacing w:val="-6"/>
                <w:kern w:val="0"/>
                <w:sz w:val="21"/>
                <w:szCs w:val="21"/>
              </w:rPr>
            </w:pPr>
            <w:r>
              <w:rPr>
                <w:rFonts w:hint="eastAsia" w:ascii="宋体" w:hAnsi="宋体" w:eastAsia="宋体" w:cs="宋体"/>
                <w:color w:val="auto"/>
                <w:sz w:val="21"/>
                <w:szCs w:val="21"/>
              </w:rPr>
              <w:t>响应文件逐页有连续页码，并有详细目录，目录与有关材料装订顺序对应清晰，查阅方便的得1分；有评分导引表的得1分</w:t>
            </w:r>
          </w:p>
        </w:tc>
        <w:tc>
          <w:tcPr>
            <w:tcW w:w="664" w:type="dxa"/>
            <w:tcBorders>
              <w:top w:val="single" w:color="auto" w:sz="4" w:space="0"/>
              <w:left w:val="single" w:color="auto" w:sz="6" w:space="0"/>
              <w:bottom w:val="single" w:color="auto" w:sz="6" w:space="0"/>
              <w:right w:val="single" w:color="auto" w:sz="12" w:space="0"/>
            </w:tcBorders>
            <w:vAlign w:val="center"/>
          </w:tcPr>
          <w:p>
            <w:pPr>
              <w:autoSpaceDE w:val="0"/>
              <w:autoSpaceDN w:val="0"/>
              <w:adjustRightInd w:val="0"/>
              <w:spacing w:line="240" w:lineRule="auto"/>
              <w:ind w:right="71" w:rightChars="34"/>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tcBorders>
              <w:top w:val="single" w:color="auto" w:sz="6" w:space="0"/>
              <w:left w:val="single" w:color="auto" w:sz="12" w:space="0"/>
              <w:right w:val="single" w:color="auto" w:sz="6" w:space="0"/>
            </w:tcBorders>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技术服务</w:t>
            </w:r>
            <w:r>
              <w:rPr>
                <w:rFonts w:hint="eastAsia" w:ascii="宋体" w:hAnsi="宋体" w:eastAsia="宋体" w:cs="宋体"/>
                <w:color w:val="auto"/>
                <w:spacing w:val="-6"/>
                <w:sz w:val="21"/>
                <w:szCs w:val="21"/>
                <w:lang w:val="en-US" w:eastAsia="zh-CN"/>
              </w:rPr>
              <w:t>60</w:t>
            </w:r>
            <w:r>
              <w:rPr>
                <w:rFonts w:hint="eastAsia" w:ascii="宋体" w:hAnsi="宋体" w:eastAsia="宋体" w:cs="宋体"/>
                <w:color w:val="auto"/>
                <w:spacing w:val="-6"/>
                <w:sz w:val="21"/>
                <w:szCs w:val="21"/>
              </w:rPr>
              <w:t>分</w:t>
            </w:r>
          </w:p>
        </w:tc>
        <w:tc>
          <w:tcPr>
            <w:tcW w:w="137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rPr>
              <w:t>技术响应</w:t>
            </w:r>
          </w:p>
        </w:tc>
        <w:tc>
          <w:tcPr>
            <w:tcW w:w="6512" w:type="dxa"/>
            <w:tcBorders>
              <w:top w:val="single" w:color="auto" w:sz="6" w:space="0"/>
              <w:left w:val="single" w:color="auto" w:sz="6" w:space="0"/>
              <w:bottom w:val="single" w:color="auto" w:sz="6" w:space="0"/>
              <w:right w:val="single" w:color="auto" w:sz="6" w:space="0"/>
            </w:tcBorders>
            <w:vAlign w:val="center"/>
          </w:tcPr>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供应商所投产品技术参数响应情况占</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分，具体由评标委员会根据供应商的响应文件中产品情况、《技术响应、偏离说明表》等有关资料打分。</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其中：完全满足磋商文件技术参数要求的得</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分；在此基础上磋商文件中标注 “★”的内容为重要条款，一项不满足扣5分；无标注“★”的内容有一项不符合的则每项扣3分；扣完为止。</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jc w:val="center"/>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lang w:val="en-US" w:eastAsia="zh-CN"/>
              </w:rPr>
              <w:t>30</w:t>
            </w:r>
            <w:r>
              <w:rPr>
                <w:rFonts w:hint="eastAsia" w:ascii="宋体" w:hAnsi="宋体" w:eastAsia="宋体" w:cs="宋体"/>
                <w:color w:val="auto"/>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left="-4" w:leftChars="-2" w:firstLine="2" w:firstLineChars="1"/>
              <w:jc w:val="center"/>
              <w:rPr>
                <w:rFonts w:hint="eastAsia" w:ascii="宋体" w:hAnsi="宋体" w:eastAsia="宋体" w:cs="宋体"/>
                <w:color w:val="auto"/>
                <w:sz w:val="21"/>
                <w:szCs w:val="21"/>
              </w:rPr>
            </w:pPr>
            <w:r>
              <w:rPr>
                <w:rFonts w:hint="eastAsia" w:ascii="宋体" w:hAnsi="宋体" w:eastAsia="宋体" w:cs="宋体"/>
                <w:color w:val="auto"/>
                <w:sz w:val="21"/>
                <w:szCs w:val="21"/>
              </w:rPr>
              <w:t>现场演示</w:t>
            </w:r>
          </w:p>
        </w:tc>
        <w:tc>
          <w:tcPr>
            <w:tcW w:w="651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智能视觉检测分拣单元</w:t>
            </w:r>
          </w:p>
          <w:p>
            <w:pPr>
              <w:autoSpaceDE w:val="0"/>
              <w:autoSpaceDN w:val="0"/>
              <w:adjustRightInd w:val="0"/>
              <w:snapToGrid w:val="0"/>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1）要求投标现场提供检测系统PPT文档（不少于15种（含15种）工业现场检测案例及不少于6个（含6个）PPT教学课件）；</w:t>
            </w:r>
          </w:p>
          <w:p>
            <w:pPr>
              <w:autoSpaceDE w:val="0"/>
              <w:autoSpaceDN w:val="0"/>
              <w:adjustRightInd w:val="0"/>
              <w:snapToGrid w:val="0"/>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2）要求投标现场提供不少于15种检测案例，其中至少包含2种与本设备产品相符的检测案例；</w:t>
            </w:r>
          </w:p>
          <w:p>
            <w:pPr>
              <w:autoSpaceDE w:val="0"/>
              <w:autoSpaceDN w:val="0"/>
              <w:adjustRightInd w:val="0"/>
              <w:snapToGrid w:val="0"/>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3）要求投标现场展示的不少于15种工业检测效果上要有OK与NG，并且标明NG处，通过PPT展示检测效果对比，检测所用软件与课件讲解软件为同一软件；</w:t>
            </w:r>
          </w:p>
          <w:p>
            <w:pPr>
              <w:autoSpaceDE w:val="0"/>
              <w:autoSpaceDN w:val="0"/>
              <w:adjustRightInd w:val="0"/>
              <w:snapToGrid w:val="0"/>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要求投标现场提供教学课件，课件内容要包含指令介绍、应用开发工具的讲解、与第三方通信设置的讲解、输入输出的应用、操作员界面设计、整体优化部署，课件数量不得少于6个PPT，教学课件所讲软件与检测案例所用软件为同一软件；</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不能提供文档的视为不满足技术要求，本项技术分为0分。</w:t>
            </w:r>
            <w:r>
              <w:rPr>
                <w:rFonts w:hint="eastAsia" w:ascii="宋体" w:hAnsi="宋体" w:eastAsia="宋体" w:cs="宋体"/>
                <w:color w:val="auto"/>
                <w:spacing w:val="-2"/>
                <w:sz w:val="21"/>
                <w:szCs w:val="21"/>
              </w:rPr>
              <w:t>满足所有条件得5分，</w:t>
            </w:r>
            <w:r>
              <w:rPr>
                <w:rFonts w:hint="eastAsia" w:ascii="宋体" w:hAnsi="宋体" w:eastAsia="宋体" w:cs="宋体"/>
                <w:color w:val="auto"/>
                <w:sz w:val="21"/>
                <w:szCs w:val="21"/>
              </w:rPr>
              <w:t>一条不满足扣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分，扣完为止。（PPT文档以U盘的形式密封递交，演示时间限5分钟，投标现场供评标专家审阅。）</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ind w:left="-65" w:leftChars="-31" w:right="-36" w:rightChars="-17"/>
              <w:jc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z w:val="21"/>
                <w:szCs w:val="21"/>
              </w:rPr>
            </w:pPr>
          </w:p>
        </w:tc>
        <w:tc>
          <w:tcPr>
            <w:tcW w:w="651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智能交互单元</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投标现场提供智能交互单元现场演示，演示内容且满足以下技术要求：</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1）进行语音交互（语音识别、语义解析、语音合成能力）的展示，图像识别（人脸识别、活体检测、人体检测、物体识别等能力）的展示；</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2）能进行脸部表情、二代身份证识别、热敏打印、二维码扫码、舵机控制等能力的展示，以证明平台对行业应用实际应用场景需求的支撑能力；</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3）能进行各模块运转工作时的动态线路展示，以方便学生更直观得理解智能交互技术的工作原理；</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4）设备主体采用铝合金、玻璃及有机玻璃组成；</w:t>
            </w:r>
          </w:p>
          <w:p>
            <w:pPr>
              <w:autoSpaceDE w:val="0"/>
              <w:autoSpaceDN w:val="0"/>
              <w:adjustRightInd w:val="0"/>
              <w:snapToGrid w:val="0"/>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满足所有条件得</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分，一条不满足扣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分，扣完为止。不能提供演示或者演示不满足技术要求的不得分。</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ind w:left="-65" w:leftChars="-31" w:right="-36" w:rightChars="-17"/>
              <w:jc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z w:val="21"/>
                <w:szCs w:val="21"/>
              </w:rPr>
            </w:pPr>
          </w:p>
        </w:tc>
        <w:tc>
          <w:tcPr>
            <w:tcW w:w="6512" w:type="dxa"/>
            <w:tcBorders>
              <w:top w:val="single" w:color="auto" w:sz="6" w:space="0"/>
              <w:left w:val="single" w:color="auto" w:sz="6" w:space="0"/>
              <w:bottom w:val="single" w:color="auto" w:sz="6" w:space="0"/>
              <w:right w:val="single" w:color="auto" w:sz="6" w:space="0"/>
            </w:tcBorders>
          </w:tcPr>
          <w:p>
            <w:pPr>
              <w:keepNext/>
              <w:keepLines/>
              <w:spacing w:line="240" w:lineRule="auto"/>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末端配套执行工具</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投标现场提供实物演示且满足以下技术要求；</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1）要求该机械手同一手指、同一位置可横向抓取不同直径的物料，直径分为：18mm、32mm，同时具有信号反馈功能；</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2）要求该机械手再不更换的情况下，同一手指、同一位置可横向抓取不同尺寸的物料，方体物料为：15mm * 19mm、25mm * 28mm，同时具有信号反馈功能；</w:t>
            </w:r>
          </w:p>
          <w:p>
            <w:pPr>
              <w:autoSpaceDE w:val="0"/>
              <w:autoSpaceDN w:val="0"/>
              <w:adjustRightInd w:val="0"/>
              <w:snapToGrid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3）要求该机械手再不更换的情况下，同一手指、同一位置可抓取尺寸在15mm～32mm之间的不规则物料，抓取过程中要保证物料的完整性，同时具有信号反馈功能，不规则物料不少于两种；</w:t>
            </w:r>
          </w:p>
          <w:p>
            <w:pPr>
              <w:autoSpaceDE w:val="0"/>
              <w:autoSpaceDN w:val="0"/>
              <w:adjustRightInd w:val="0"/>
              <w:snapToGrid w:val="0"/>
              <w:spacing w:line="240" w:lineRule="auto"/>
              <w:ind w:firstLine="412" w:firstLineChars="200"/>
              <w:rPr>
                <w:rFonts w:hint="eastAsia" w:ascii="宋体" w:hAnsi="宋体" w:eastAsia="宋体" w:cs="宋体"/>
                <w:color w:val="auto"/>
                <w:sz w:val="21"/>
                <w:szCs w:val="21"/>
              </w:rPr>
            </w:pPr>
            <w:r>
              <w:rPr>
                <w:rFonts w:hint="eastAsia" w:ascii="宋体" w:hAnsi="宋体" w:eastAsia="宋体" w:cs="宋体"/>
                <w:color w:val="auto"/>
                <w:spacing w:val="-2"/>
                <w:sz w:val="21"/>
                <w:szCs w:val="21"/>
              </w:rPr>
              <w:t>满足所有条件得</w:t>
            </w:r>
            <w:r>
              <w:rPr>
                <w:rFonts w:hint="eastAsia" w:ascii="宋体" w:hAnsi="宋体" w:eastAsia="宋体" w:cs="宋体"/>
                <w:color w:val="auto"/>
                <w:spacing w:val="-2"/>
                <w:sz w:val="21"/>
                <w:szCs w:val="21"/>
                <w:lang w:val="en-US" w:eastAsia="zh-CN"/>
              </w:rPr>
              <w:t>5</w:t>
            </w:r>
            <w:r>
              <w:rPr>
                <w:rFonts w:hint="eastAsia" w:ascii="宋体" w:hAnsi="宋体" w:eastAsia="宋体" w:cs="宋体"/>
                <w:color w:val="auto"/>
                <w:spacing w:val="-2"/>
                <w:sz w:val="21"/>
                <w:szCs w:val="21"/>
              </w:rPr>
              <w:t>分，</w:t>
            </w:r>
            <w:r>
              <w:rPr>
                <w:rFonts w:hint="eastAsia" w:ascii="宋体" w:hAnsi="宋体" w:eastAsia="宋体" w:cs="宋体"/>
                <w:color w:val="auto"/>
                <w:sz w:val="21"/>
                <w:szCs w:val="21"/>
              </w:rPr>
              <w:t>一条不满足扣</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分，扣完为止。不能提供现场演示的为不满足技术要求，本项技术分为0分。</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ind w:left="-65" w:leftChars="-31" w:right="-36" w:rightChars="-17"/>
              <w:jc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售后服务</w:t>
            </w:r>
          </w:p>
        </w:tc>
        <w:tc>
          <w:tcPr>
            <w:tcW w:w="65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供应商设置的售后服务机构，根据其售后服务机构的人员、服务能力、响应时间、距离采购人的交通便捷性等</w:t>
            </w:r>
            <w:r>
              <w:rPr>
                <w:rFonts w:hint="eastAsia" w:ascii="宋体" w:hAnsi="宋体" w:eastAsia="宋体" w:cs="宋体"/>
                <w:color w:val="auto"/>
                <w:sz w:val="21"/>
                <w:szCs w:val="21"/>
              </w:rPr>
              <w:t>进行综合评分：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科学、合理，针对性强，3分；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合理，可行，2分；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欠合理，基本可行，1分；</w:t>
            </w:r>
          </w:p>
          <w:p>
            <w:pPr>
              <w:widowControl/>
              <w:spacing w:line="24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不可行，0 分。</w:t>
            </w:r>
          </w:p>
        </w:tc>
        <w:tc>
          <w:tcPr>
            <w:tcW w:w="664" w:type="dxa"/>
            <w:tcBorders>
              <w:top w:val="single" w:color="auto" w:sz="6" w:space="0"/>
              <w:left w:val="single" w:color="auto" w:sz="6" w:space="0"/>
              <w:bottom w:val="single" w:color="auto" w:sz="6" w:space="0"/>
              <w:right w:val="single" w:color="auto" w:sz="12" w:space="0"/>
            </w:tcBorders>
            <w:vAlign w:val="center"/>
          </w:tcPr>
          <w:p>
            <w:pPr>
              <w:widowControl/>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产品质量要求及保证</w:t>
            </w:r>
          </w:p>
        </w:tc>
        <w:tc>
          <w:tcPr>
            <w:tcW w:w="6512" w:type="dxa"/>
            <w:tcBorders>
              <w:top w:val="single" w:color="auto" w:sz="6" w:space="0"/>
              <w:left w:val="single" w:color="auto" w:sz="6" w:space="0"/>
              <w:bottom w:val="single" w:color="auto" w:sz="6" w:space="0"/>
              <w:right w:val="single" w:color="auto" w:sz="6" w:space="0"/>
            </w:tcBorders>
          </w:tcPr>
          <w:p>
            <w:pPr>
              <w:widowControl/>
              <w:spacing w:line="24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rPr>
              <w:t>根据供应商提供的质量保证及承诺，措施完善</w:t>
            </w:r>
            <w:r>
              <w:rPr>
                <w:rFonts w:hint="eastAsia" w:ascii="宋体" w:hAnsi="宋体" w:eastAsia="宋体" w:cs="宋体"/>
                <w:color w:val="auto"/>
                <w:sz w:val="21"/>
                <w:szCs w:val="21"/>
                <w:lang w:val="zh-CN"/>
              </w:rPr>
              <w:t>等</w:t>
            </w:r>
            <w:r>
              <w:rPr>
                <w:rFonts w:hint="eastAsia" w:ascii="宋体" w:hAnsi="宋体" w:eastAsia="宋体" w:cs="宋体"/>
                <w:color w:val="auto"/>
                <w:sz w:val="21"/>
                <w:szCs w:val="21"/>
              </w:rPr>
              <w:t>进行综合评分：</w:t>
            </w:r>
          </w:p>
          <w:p>
            <w:pPr>
              <w:widowControl/>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科学、合理，针对性强，2分；</w:t>
            </w:r>
          </w:p>
          <w:p>
            <w:pPr>
              <w:widowControl/>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合理，可行，1分；</w:t>
            </w:r>
          </w:p>
          <w:p>
            <w:pPr>
              <w:widowControl/>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欠合理，基本可行，0.5分；</w:t>
            </w:r>
          </w:p>
          <w:p>
            <w:pPr>
              <w:widowControl/>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不可行，0 分。</w:t>
            </w:r>
          </w:p>
        </w:tc>
        <w:tc>
          <w:tcPr>
            <w:tcW w:w="664" w:type="dxa"/>
            <w:tcBorders>
              <w:top w:val="single" w:color="auto" w:sz="6" w:space="0"/>
              <w:left w:val="single" w:color="auto" w:sz="6" w:space="0"/>
              <w:bottom w:val="single" w:color="auto" w:sz="6" w:space="0"/>
              <w:right w:val="single" w:color="auto" w:sz="12" w:space="0"/>
            </w:tcBorders>
            <w:vAlign w:val="center"/>
          </w:tcPr>
          <w:p>
            <w:pPr>
              <w:spacing w:line="240" w:lineRule="auto"/>
              <w:ind w:left="-21" w:leftChars="-10" w:right="-21" w:rightChars="-10"/>
              <w:jc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z w:val="21"/>
                <w:szCs w:val="21"/>
              </w:rPr>
              <w:t>应急方案</w:t>
            </w:r>
          </w:p>
        </w:tc>
        <w:tc>
          <w:tcPr>
            <w:tcW w:w="65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提供系统应急方案，根据对设备故障时处理方案等的描述及可行性等进行综合评分：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科学、合理，针对性强，2分；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合理，可行，1分；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欠合理，基本可行，0.5分；</w:t>
            </w:r>
          </w:p>
          <w:p>
            <w:pPr>
              <w:widowControl/>
              <w:spacing w:line="240" w:lineRule="auto"/>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不可行，0 分。</w:t>
            </w:r>
          </w:p>
        </w:tc>
        <w:tc>
          <w:tcPr>
            <w:tcW w:w="664" w:type="dxa"/>
            <w:tcBorders>
              <w:top w:val="single" w:color="auto" w:sz="6" w:space="0"/>
              <w:left w:val="single" w:color="auto" w:sz="6" w:space="0"/>
              <w:bottom w:val="single" w:color="auto" w:sz="6" w:space="0"/>
              <w:right w:val="single" w:color="auto" w:sz="12" w:space="0"/>
            </w:tcBorders>
            <w:vAlign w:val="center"/>
          </w:tcPr>
          <w:p>
            <w:pPr>
              <w:widowControl/>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实施方案</w:t>
            </w:r>
          </w:p>
        </w:tc>
        <w:tc>
          <w:tcPr>
            <w:tcW w:w="65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根据供应商提供的安装方案、项目实施进度安排、及承诺的质量保证措施、交货期等进行综合评分：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欠合理，基本可行，1分；</w:t>
            </w:r>
          </w:p>
          <w:p>
            <w:pPr>
              <w:widowControl/>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不可行，0 分。</w:t>
            </w:r>
          </w:p>
        </w:tc>
        <w:tc>
          <w:tcPr>
            <w:tcW w:w="664" w:type="dxa"/>
            <w:tcBorders>
              <w:top w:val="single" w:color="auto" w:sz="6" w:space="0"/>
              <w:left w:val="single" w:color="auto" w:sz="6" w:space="0"/>
              <w:bottom w:val="single" w:color="auto" w:sz="6" w:space="0"/>
              <w:right w:val="single" w:color="auto" w:sz="12" w:space="0"/>
            </w:tcBorders>
            <w:vAlign w:val="center"/>
          </w:tcPr>
          <w:p>
            <w:pPr>
              <w:widowControl/>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tcBorders>
              <w:left w:val="single" w:color="auto" w:sz="12" w:space="0"/>
              <w:bottom w:val="single" w:color="auto" w:sz="6" w:space="0"/>
              <w:right w:val="single" w:color="auto" w:sz="6" w:space="0"/>
            </w:tcBorders>
            <w:vAlign w:val="center"/>
          </w:tcPr>
          <w:p>
            <w:pPr>
              <w:widowControl/>
              <w:spacing w:line="240" w:lineRule="auto"/>
              <w:jc w:val="left"/>
              <w:rPr>
                <w:rFonts w:hint="eastAsia" w:ascii="宋体" w:hAnsi="宋体" w:eastAsia="宋体" w:cs="宋体"/>
                <w:color w:val="auto"/>
                <w:spacing w:val="-6"/>
                <w:sz w:val="21"/>
                <w:szCs w:val="21"/>
              </w:rPr>
            </w:pPr>
          </w:p>
        </w:tc>
        <w:tc>
          <w:tcPr>
            <w:tcW w:w="1376"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培训措施</w:t>
            </w:r>
          </w:p>
        </w:tc>
        <w:tc>
          <w:tcPr>
            <w:tcW w:w="65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供应商提供的培训内容包括课程设置，课程内容，培训时间安排等，根据培训措施等进行综合评分：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科学、合理，针对性强，</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合理，可行，</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分；</w:t>
            </w:r>
          </w:p>
          <w:p>
            <w:pPr>
              <w:widowControl/>
              <w:spacing w:line="240" w:lineRule="auto"/>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欠合理，基本可行，</w:t>
            </w:r>
            <w:r>
              <w:rPr>
                <w:rFonts w:hint="eastAsia" w:ascii="宋体" w:hAnsi="宋体" w:eastAsia="宋体" w:cs="宋体"/>
                <w:color w:val="auto"/>
                <w:kern w:val="0"/>
                <w:sz w:val="21"/>
                <w:szCs w:val="21"/>
                <w:lang w:val="en-US" w:eastAsia="zh-CN"/>
              </w:rPr>
              <w:t>0.5</w:t>
            </w:r>
            <w:r>
              <w:rPr>
                <w:rFonts w:hint="eastAsia" w:ascii="宋体" w:hAnsi="宋体" w:eastAsia="宋体" w:cs="宋体"/>
                <w:color w:val="auto"/>
                <w:kern w:val="0"/>
                <w:sz w:val="21"/>
                <w:szCs w:val="21"/>
              </w:rPr>
              <w:t>分；</w:t>
            </w:r>
          </w:p>
          <w:p>
            <w:pPr>
              <w:widowControl/>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不可行，0 分。</w:t>
            </w:r>
          </w:p>
        </w:tc>
        <w:tc>
          <w:tcPr>
            <w:tcW w:w="664" w:type="dxa"/>
            <w:tcBorders>
              <w:top w:val="single" w:color="auto" w:sz="6" w:space="0"/>
              <w:left w:val="single" w:color="auto" w:sz="6" w:space="0"/>
              <w:bottom w:val="single" w:color="auto" w:sz="6" w:space="0"/>
              <w:right w:val="single" w:color="auto" w:sz="12" w:space="0"/>
            </w:tcBorders>
            <w:vAlign w:val="center"/>
          </w:tcPr>
          <w:p>
            <w:pPr>
              <w:widowControl/>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tcBorders>
              <w:top w:val="single" w:color="auto" w:sz="6" w:space="0"/>
              <w:left w:val="single" w:color="auto" w:sz="12" w:space="0"/>
              <w:bottom w:val="single" w:color="auto" w:sz="12" w:space="0"/>
              <w:right w:val="single" w:color="auto" w:sz="6" w:space="0"/>
            </w:tcBorders>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总分</w:t>
            </w:r>
          </w:p>
        </w:tc>
        <w:tc>
          <w:tcPr>
            <w:tcW w:w="8552" w:type="dxa"/>
            <w:gridSpan w:val="3"/>
            <w:tcBorders>
              <w:top w:val="single" w:color="auto" w:sz="6" w:space="0"/>
              <w:left w:val="single" w:color="auto" w:sz="6" w:space="0"/>
              <w:bottom w:val="single" w:color="auto" w:sz="12" w:space="0"/>
              <w:right w:val="single" w:color="auto" w:sz="12" w:space="0"/>
            </w:tcBorders>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100</w:t>
            </w:r>
          </w:p>
        </w:tc>
      </w:tr>
    </w:tbl>
    <w:p>
      <w:pPr>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br w:type="textWrapping"/>
      </w: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0"/>
    </w:p>
    <w:p>
      <w:pPr>
        <w:numPr>
          <w:ilvl w:val="3"/>
          <w:numId w:val="41"/>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42"/>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42"/>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42"/>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41"/>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41"/>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41"/>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1" w:name="_Toc18437"/>
      <w:r>
        <w:rPr>
          <w:rFonts w:hint="eastAsia" w:asciiTheme="minorEastAsia" w:hAnsiTheme="minorEastAsia" w:eastAsiaTheme="minorEastAsia" w:cstheme="minorEastAsia"/>
          <w:b/>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8"/>
        </w:rPr>
        <w:br w:type="textWrapping"/>
      </w:r>
      <w:r>
        <w:rPr>
          <w:rFonts w:hint="eastAsia" w:asciiTheme="minorEastAsia" w:hAnsiTheme="minorEastAsia" w:eastAsiaTheme="minorEastAsia" w:cstheme="minorEastAsia"/>
          <w:szCs w:val="28"/>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b w:val="0"/>
          <w:kern w:val="0"/>
          <w:szCs w:val="21"/>
        </w:rPr>
      </w:pPr>
      <w:bookmarkStart w:id="112" w:name="_Toc318643471"/>
      <w:bookmarkStart w:id="113" w:name="_Toc211783328"/>
      <w:bookmarkStart w:id="114" w:name="_Toc7958"/>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12"/>
      <w:bookmarkEnd w:id="113"/>
      <w:r>
        <w:rPr>
          <w:rFonts w:hint="eastAsia" w:asciiTheme="minorEastAsia" w:hAnsiTheme="minorEastAsia" w:eastAsiaTheme="minorEastAsia" w:cstheme="minorEastAsia"/>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2"/>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2"/>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15" w:name="_Toc32354"/>
      <w:r>
        <w:rPr>
          <w:rFonts w:hint="eastAsia" w:asciiTheme="minorEastAsia" w:hAnsiTheme="minorEastAsia" w:eastAsiaTheme="minorEastAsia" w:cstheme="minorEastAsia"/>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6" w:name="_Toc5751"/>
      <w:bookmarkStart w:id="117"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18" w:name="_Toc264644272"/>
      <w:bookmarkStart w:id="119" w:name="_Toc360174584"/>
      <w:bookmarkStart w:id="120" w:name="_Toc211783342"/>
      <w:bookmarkStart w:id="121" w:name="_Toc533330957"/>
      <w:bookmarkStart w:id="122" w:name="_Toc11320441"/>
      <w:bookmarkStart w:id="123"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cs="宋体"/>
          <w:b/>
          <w:sz w:val="21"/>
          <w:szCs w:val="21"/>
          <w:lang w:val="en-US" w:eastAsia="zh-CN"/>
        </w:rPr>
        <w:t>响应文件</w:t>
      </w:r>
      <w:r>
        <w:rPr>
          <w:rFonts w:hint="eastAsia" w:ascii="宋体" w:hAnsi="宋体" w:eastAsia="宋体" w:cs="宋体"/>
          <w:b/>
          <w:sz w:val="21"/>
          <w:szCs w:val="21"/>
        </w:rPr>
        <w:t>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4" w:name="_Toc21743"/>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4"/>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5" w:name="_Toc30144"/>
      <w:bookmarkStart w:id="126" w:name="_Toc479184125"/>
      <w:bookmarkStart w:id="127" w:name="_Toc20006"/>
      <w:bookmarkStart w:id="128" w:name="_Toc1578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5"/>
      <w:bookmarkEnd w:id="126"/>
      <w:bookmarkEnd w:id="127"/>
      <w:bookmarkEnd w:id="128"/>
    </w:p>
    <w:p>
      <w:pPr>
        <w:pStyle w:val="21"/>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3"/>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3"/>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3"/>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4"/>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4"/>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4"/>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4"/>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5"/>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29" w:name="_Toc13969"/>
      <w:bookmarkStart w:id="130" w:name="_Toc24205"/>
      <w:bookmarkStart w:id="131" w:name="_Toc479184126"/>
      <w:bookmarkStart w:id="132" w:name="_Toc7513"/>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29"/>
      <w:bookmarkEnd w:id="130"/>
      <w:bookmarkEnd w:id="131"/>
      <w:bookmarkEnd w:id="132"/>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3" w:name="_Toc30476"/>
      <w:bookmarkStart w:id="134" w:name="_Toc10986"/>
      <w:bookmarkStart w:id="135" w:name="_Toc479184127"/>
      <w:bookmarkStart w:id="136" w:name="_Toc424832832"/>
      <w:bookmarkStart w:id="137" w:name="_Toc30245"/>
      <w:bookmarkStart w:id="138" w:name="_Toc432149008"/>
      <w:bookmarkStart w:id="139" w:name="_Toc29904"/>
      <w:bookmarkStart w:id="140" w:name="_Toc360120184"/>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1" w:name="_Toc422466732"/>
      <w:bookmarkStart w:id="142" w:name="_Toc432149006"/>
      <w:r>
        <w:rPr>
          <w:rFonts w:hint="eastAsia" w:asciiTheme="minorEastAsia" w:hAnsiTheme="minorEastAsia" w:eastAsiaTheme="minorEastAsia" w:cstheme="minorEastAsia"/>
          <w:b/>
          <w:bCs/>
          <w:sz w:val="24"/>
        </w:rPr>
        <w:br w:type="page"/>
      </w:r>
      <w:bookmarkStart w:id="143" w:name="_Toc4301"/>
      <w:bookmarkStart w:id="144" w:name="_Toc19882"/>
      <w:bookmarkStart w:id="145" w:name="_Toc4741"/>
      <w:bookmarkStart w:id="146" w:name="_Toc479184128"/>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7"/>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FF0000"/>
                <w:szCs w:val="21"/>
                <w:lang w:val="en-US" w:eastAsia="zh-CN"/>
              </w:rPr>
            </w:pPr>
            <w:r>
              <w:rPr>
                <w:rFonts w:hint="eastAsia" w:asciiTheme="minorEastAsia" w:hAnsiTheme="minorEastAsia" w:eastAsiaTheme="minorEastAsia" w:cstheme="minorEastAsia"/>
                <w:bCs/>
                <w:color w:val="FF0000"/>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47" w:name="_Toc460258117"/>
      <w:bookmarkStart w:id="148" w:name="_Toc259028723"/>
      <w:bookmarkStart w:id="149" w:name="_Toc432149007"/>
      <w:bookmarkStart w:id="150" w:name="_Toc424832831"/>
      <w:r>
        <w:rPr>
          <w:rFonts w:hint="eastAsia" w:asciiTheme="minorEastAsia" w:hAnsiTheme="minorEastAsia" w:eastAsiaTheme="minorEastAsia" w:cstheme="minorEastAsia"/>
          <w:b/>
          <w:bCs/>
          <w:sz w:val="24"/>
        </w:rPr>
        <w:br w:type="page"/>
      </w:r>
      <w:bookmarkStart w:id="151" w:name="_Toc479184129"/>
      <w:bookmarkStart w:id="152" w:name="_Toc1079"/>
      <w:bookmarkStart w:id="153" w:name="_Toc18559"/>
      <w:bookmarkStart w:id="154" w:name="_Toc3144"/>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47"/>
      <w:bookmarkEnd w:id="148"/>
      <w:bookmarkEnd w:id="151"/>
      <w:bookmarkEnd w:id="152"/>
      <w:bookmarkEnd w:id="153"/>
      <w:r>
        <w:rPr>
          <w:rFonts w:hint="eastAsia" w:asciiTheme="minorEastAsia" w:hAnsiTheme="minorEastAsia" w:eastAsiaTheme="minorEastAsia" w:cstheme="minorEastAsia"/>
          <w:b/>
          <w:bCs/>
          <w:szCs w:val="21"/>
          <w:lang w:eastAsia="zh-CN"/>
        </w:rPr>
        <w:t>报价费用构成表</w:t>
      </w:r>
      <w:bookmarkEnd w:id="154"/>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6"/>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6"/>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6"/>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5" w:name="_Toc26825"/>
      <w:bookmarkStart w:id="156" w:name="_Toc28656"/>
      <w:bookmarkStart w:id="157" w:name="_Toc66"/>
      <w:bookmarkStart w:id="158" w:name="_Toc479184130"/>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5"/>
      <w:bookmarkEnd w:id="156"/>
      <w:bookmarkEnd w:id="157"/>
      <w:bookmarkEnd w:id="158"/>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9" w:name="_Toc32726"/>
      <w:bookmarkStart w:id="160" w:name="_Toc479184131"/>
      <w:bookmarkStart w:id="161" w:name="_Toc7535"/>
      <w:bookmarkStart w:id="162" w:name="_Toc26501"/>
      <w:r>
        <w:rPr>
          <w:rFonts w:hint="eastAsia" w:asciiTheme="minorEastAsia" w:hAnsiTheme="minorEastAsia" w:eastAsiaTheme="minorEastAsia" w:cstheme="minorEastAsia"/>
          <w:b/>
          <w:bCs/>
          <w:szCs w:val="21"/>
          <w:lang w:val="en-US" w:eastAsia="zh-CN"/>
        </w:rPr>
        <w:t>八、拟投入设备/备件、工具情况</w:t>
      </w:r>
      <w:bookmarkEnd w:id="159"/>
      <w:bookmarkEnd w:id="160"/>
      <w:bookmarkEnd w:id="161"/>
      <w:bookmarkEnd w:id="162"/>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3" w:name="_Toc10449"/>
      <w:bookmarkStart w:id="164" w:name="_Toc450827818"/>
      <w:bookmarkStart w:id="165" w:name="_Toc27053"/>
      <w:bookmarkStart w:id="166" w:name="_Toc479184132"/>
      <w:bookmarkStart w:id="167" w:name="_Toc1231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3"/>
      <w:bookmarkEnd w:id="164"/>
      <w:bookmarkEnd w:id="165"/>
      <w:bookmarkEnd w:id="166"/>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7"/>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22466736"/>
      <w:bookmarkStart w:id="169" w:name="_Toc17270"/>
      <w:bookmarkStart w:id="170" w:name="_Toc432149012"/>
      <w:bookmarkStart w:id="171" w:name="_Toc28200"/>
      <w:bookmarkStart w:id="172" w:name="_Toc479184133"/>
      <w:bookmarkStart w:id="173" w:name="_Toc1591"/>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7"/>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7"/>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362935521"/>
      <w:bookmarkStart w:id="175" w:name="_Toc432149013"/>
      <w:bookmarkStart w:id="176" w:name="_Toc32060"/>
      <w:bookmarkStart w:id="177" w:name="_Toc479184134"/>
      <w:bookmarkStart w:id="178" w:name="_Toc28283"/>
      <w:bookmarkStart w:id="179" w:name="_Toc18816"/>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szCs w:val="21"/>
        </w:rPr>
        <w:br w:type="textWrapping"/>
      </w:r>
      <w:bookmarkEnd w:id="17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7"/>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0" w:name="_Toc454806053"/>
      <w:bookmarkStart w:id="181"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2" w:name="_Toc8374"/>
      <w:bookmarkStart w:id="183" w:name="_Toc30455"/>
      <w:bookmarkStart w:id="184" w:name="_Toc4834"/>
      <w:bookmarkStart w:id="185"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6" w:name="_Toc479184136"/>
      <w:bookmarkStart w:id="187" w:name="_Toc8711"/>
      <w:bookmarkStart w:id="188" w:name="_Toc26838"/>
      <w:bookmarkStart w:id="189" w:name="_Toc422466737"/>
      <w:bookmarkStart w:id="190" w:name="_Toc10429"/>
      <w:bookmarkStart w:id="191" w:name="_Toc43214901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2" w:name="_Toc479184137"/>
      <w:bookmarkStart w:id="193" w:name="_Toc17527"/>
      <w:bookmarkStart w:id="194" w:name="_Toc450827823"/>
      <w:bookmarkStart w:id="195" w:name="_Toc103"/>
      <w:bookmarkStart w:id="196" w:name="_Toc17331"/>
      <w:bookmarkStart w:id="197" w:name="_Toc25902873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8" w:name="_Toc5793"/>
      <w:bookmarkStart w:id="199" w:name="_Toc18555"/>
      <w:bookmarkStart w:id="200" w:name="_Toc364868916"/>
      <w:bookmarkStart w:id="201" w:name="_Toc358447587"/>
      <w:bookmarkStart w:id="202" w:name="_Toc290207179"/>
      <w:bookmarkStart w:id="203" w:name="_Toc32187"/>
      <w:bookmarkStart w:id="204" w:name="_Toc427239751"/>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rPr>
      </w:pPr>
      <w:bookmarkStart w:id="205" w:name="_Toc6332"/>
      <w:r>
        <w:rPr>
          <w:rFonts w:hint="eastAsia" w:asciiTheme="minorEastAsia" w:hAnsiTheme="minorEastAsia" w:eastAsiaTheme="minorEastAsia" w:cstheme="minorEastAsia"/>
          <w:b/>
          <w:bCs/>
          <w:kern w:val="0"/>
          <w:szCs w:val="21"/>
          <w:lang w:val="en-US" w:eastAsia="zh-CN"/>
        </w:rPr>
        <w:t>十五、</w:t>
      </w:r>
      <w:bookmarkEnd w:id="198"/>
      <w:bookmarkEnd w:id="199"/>
      <w:bookmarkEnd w:id="200"/>
      <w:bookmarkEnd w:id="201"/>
      <w:bookmarkEnd w:id="202"/>
      <w:bookmarkEnd w:id="203"/>
      <w:bookmarkEnd w:id="204"/>
      <w:bookmarkStart w:id="206" w:name="_Toc479184138"/>
      <w:bookmarkStart w:id="207" w:name="_Toc460258123"/>
      <w:bookmarkStart w:id="208" w:name="_Toc29785"/>
      <w:bookmarkStart w:id="209" w:name="_Toc27229"/>
      <w:r>
        <w:rPr>
          <w:rFonts w:hint="eastAsia" w:asciiTheme="minorEastAsia" w:hAnsiTheme="minorEastAsia" w:eastAsiaTheme="minorEastAsia" w:cstheme="minorEastAsia"/>
          <w:b/>
          <w:bCs/>
          <w:kern w:val="0"/>
          <w:szCs w:val="21"/>
        </w:rPr>
        <w:t>报价技术文件</w:t>
      </w:r>
      <w:bookmarkEnd w:id="205"/>
      <w:bookmarkEnd w:id="206"/>
      <w:bookmarkEnd w:id="207"/>
      <w:bookmarkEnd w:id="208"/>
      <w:bookmarkEnd w:id="209"/>
    </w:p>
    <w:p>
      <w:pPr>
        <w:rPr>
          <w:rFonts w:hint="eastAsia" w:asciiTheme="minorEastAsia" w:hAnsiTheme="minorEastAsia" w:eastAsiaTheme="minorEastAsia" w:cstheme="minorEastAsia"/>
          <w:szCs w:val="21"/>
        </w:rPr>
      </w:pPr>
    </w:p>
    <w:p>
      <w:pPr>
        <w:pStyle w:val="98"/>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8"/>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0" w:name="_Toc355802499"/>
      <w:bookmarkStart w:id="211" w:name="_Toc2101"/>
      <w:bookmarkStart w:id="212" w:name="_Toc422466739"/>
      <w:bookmarkStart w:id="213" w:name="_Toc479184140"/>
      <w:bookmarkStart w:id="214" w:name="_Toc432149016"/>
      <w:bookmarkStart w:id="215" w:name="_Toc8098"/>
      <w:bookmarkStart w:id="216" w:name="_Toc12119"/>
      <w:bookmarkStart w:id="217" w:name="_Toc22465"/>
      <w:bookmarkStart w:id="218" w:name="_Toc356836516"/>
      <w:bookmarkStart w:id="219" w:name="_Toc26126"/>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19"/>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spacing w:val="6"/>
          <w:szCs w:val="21"/>
        </w:rPr>
        <w:t>______（请填写：中型、小型、微型）企业</w:t>
      </w:r>
      <w:bookmarkEnd w:id="22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9"/>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9"/>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1" w:name="_Toc26897"/>
      <w:bookmarkStart w:id="222" w:name="_Toc476839034"/>
      <w:bookmarkStart w:id="223" w:name="_Toc4320"/>
      <w:bookmarkStart w:id="224" w:name="_Toc30406"/>
      <w:bookmarkStart w:id="225" w:name="_Toc7229"/>
      <w:bookmarkStart w:id="226" w:name="_Toc479184141"/>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27" w:name="_Toc21843"/>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7"/>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50"/>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50"/>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50"/>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50"/>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50"/>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28" w:name="_Toc20002"/>
      <w:r>
        <w:rPr>
          <w:rFonts w:hint="eastAsia" w:asciiTheme="minorEastAsia" w:hAnsiTheme="minorEastAsia" w:eastAsiaTheme="minorEastAsia" w:cstheme="minorEastAsia"/>
          <w:b/>
          <w:lang w:val="en-US" w:eastAsia="zh-CN"/>
        </w:rPr>
        <w:t>十九、节能环保产品证明材料（若符合）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29" w:name="_Toc4769"/>
      <w:r>
        <w:rPr>
          <w:rFonts w:hint="eastAsia" w:asciiTheme="minorEastAsia" w:hAnsiTheme="minorEastAsia" w:eastAsiaTheme="minorEastAsia" w:cstheme="minorEastAsia"/>
          <w:b/>
          <w:bCs/>
          <w:spacing w:val="6"/>
          <w:szCs w:val="21"/>
          <w:lang w:val="en-US" w:eastAsia="zh-CN"/>
        </w:rPr>
        <w:t>二十</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line="360" w:lineRule="auto"/>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spacing w:line="360" w:lineRule="auto"/>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30" w:name="_Toc10829"/>
      <w:bookmarkStart w:id="231" w:name="_Toc16716"/>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fldChar w:fldCharType="begin"/>
    </w:r>
    <w:r>
      <w:rPr>
        <w:rStyle w:val="31"/>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0D2C0F3F"/>
    <w:multiLevelType w:val="multilevel"/>
    <w:tmpl w:val="0D2C0F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5907297"/>
    <w:multiLevelType w:val="multilevel"/>
    <w:tmpl w:val="15907297"/>
    <w:lvl w:ilvl="0" w:tentative="0">
      <w:start w:val="1"/>
      <w:numFmt w:val="decimal"/>
      <w:pStyle w:val="8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2"/>
      <w:lvlText w:val="%1.%2.%3"/>
      <w:lvlJc w:val="left"/>
      <w:pPr>
        <w:tabs>
          <w:tab w:val="left" w:pos="720"/>
        </w:tabs>
        <w:ind w:left="720" w:hanging="153"/>
      </w:pPr>
      <w:rPr>
        <w:rFonts w:hint="eastAsia"/>
      </w:rPr>
    </w:lvl>
    <w:lvl w:ilvl="3" w:tentative="0">
      <w:start w:val="1"/>
      <w:numFmt w:val="decimal"/>
      <w:pStyle w:val="79"/>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3">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4">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1E84619A"/>
    <w:multiLevelType w:val="singleLevel"/>
    <w:tmpl w:val="1E84619A"/>
    <w:lvl w:ilvl="0" w:tentative="0">
      <w:start w:val="1"/>
      <w:numFmt w:val="decimal"/>
      <w:suff w:val="nothing"/>
      <w:lvlText w:val="%1、"/>
      <w:lvlJc w:val="left"/>
    </w:lvl>
  </w:abstractNum>
  <w:abstractNum w:abstractNumId="18">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9">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0">
    <w:nsid w:val="2A583388"/>
    <w:multiLevelType w:val="multilevel"/>
    <w:tmpl w:val="2A5833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6"/>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2">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5">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3D54BD59"/>
    <w:multiLevelType w:val="singleLevel"/>
    <w:tmpl w:val="3D54BD59"/>
    <w:lvl w:ilvl="0" w:tentative="0">
      <w:start w:val="1"/>
      <w:numFmt w:val="decimal"/>
      <w:lvlText w:val="%1."/>
      <w:lvlJc w:val="left"/>
      <w:pPr>
        <w:ind w:left="425" w:hanging="425"/>
      </w:pPr>
      <w:rPr>
        <w:rFonts w:hint="default"/>
      </w:rPr>
    </w:lvl>
  </w:abstractNum>
  <w:abstractNum w:abstractNumId="27">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8">
    <w:nsid w:val="45C01709"/>
    <w:multiLevelType w:val="multilevel"/>
    <w:tmpl w:val="45C017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1">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2">
    <w:nsid w:val="4B331C36"/>
    <w:multiLevelType w:val="multilevel"/>
    <w:tmpl w:val="4B331C36"/>
    <w:lvl w:ilvl="0" w:tentative="0">
      <w:start w:val="1"/>
      <w:numFmt w:val="japaneseCounting"/>
      <w:pStyle w:val="91"/>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6">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7">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1">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7"/>
      <w:suff w:val="nothing"/>
      <w:lvlText w:val="%1%2.%3　"/>
      <w:lvlJc w:val="left"/>
      <w:pPr>
        <w:ind w:left="720" w:firstLine="0"/>
      </w:pPr>
      <w:rPr>
        <w:rFonts w:hint="eastAsia" w:ascii="黑体" w:hAnsi="Times New Roman" w:eastAsia="黑体"/>
        <w:b w:val="0"/>
        <w:i w:val="0"/>
        <w:sz w:val="21"/>
      </w:rPr>
    </w:lvl>
    <w:lvl w:ilvl="3" w:tentative="0">
      <w:start w:val="1"/>
      <w:numFmt w:val="decimal"/>
      <w:pStyle w:val="76"/>
      <w:suff w:val="nothing"/>
      <w:lvlText w:val="%1%2.4.%4　"/>
      <w:lvlJc w:val="left"/>
      <w:pPr>
        <w:ind w:left="420" w:firstLine="0"/>
      </w:pPr>
      <w:rPr>
        <w:rFonts w:hint="eastAsia" w:ascii="黑体" w:hAnsi="Times New Roman" w:eastAsia="黑体"/>
        <w:b w:val="0"/>
        <w:i w:val="0"/>
        <w:sz w:val="21"/>
      </w:rPr>
    </w:lvl>
    <w:lvl w:ilvl="4" w:tentative="0">
      <w:start w:val="1"/>
      <w:numFmt w:val="decimal"/>
      <w:pStyle w:val="83"/>
      <w:suff w:val="nothing"/>
      <w:lvlText w:val="5.%12.5.%5　"/>
      <w:lvlJc w:val="left"/>
      <w:pPr>
        <w:ind w:left="42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3">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4">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5">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7">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9">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2"/>
  </w:num>
  <w:num w:numId="2">
    <w:abstractNumId w:val="12"/>
  </w:num>
  <w:num w:numId="3">
    <w:abstractNumId w:val="21"/>
  </w:num>
  <w:num w:numId="4">
    <w:abstractNumId w:val="32"/>
  </w:num>
  <w:num w:numId="5">
    <w:abstractNumId w:val="15"/>
  </w:num>
  <w:num w:numId="6">
    <w:abstractNumId w:val="14"/>
  </w:num>
  <w:num w:numId="7">
    <w:abstractNumId w:val="2"/>
  </w:num>
  <w:num w:numId="8">
    <w:abstractNumId w:val="36"/>
  </w:num>
  <w:num w:numId="9">
    <w:abstractNumId w:val="17"/>
  </w:num>
  <w:num w:numId="10">
    <w:abstractNumId w:val="10"/>
  </w:num>
  <w:num w:numId="11">
    <w:abstractNumId w:val="16"/>
  </w:num>
  <w:num w:numId="12">
    <w:abstractNumId w:val="38"/>
  </w:num>
  <w:num w:numId="13">
    <w:abstractNumId w:val="48"/>
  </w:num>
  <w:num w:numId="14">
    <w:abstractNumId w:val="49"/>
  </w:num>
  <w:num w:numId="15">
    <w:abstractNumId w:val="31"/>
  </w:num>
  <w:num w:numId="16">
    <w:abstractNumId w:val="34"/>
  </w:num>
  <w:num w:numId="17">
    <w:abstractNumId w:val="37"/>
  </w:num>
  <w:num w:numId="18">
    <w:abstractNumId w:val="39"/>
  </w:num>
  <w:num w:numId="19">
    <w:abstractNumId w:val="4"/>
  </w:num>
  <w:num w:numId="20">
    <w:abstractNumId w:val="41"/>
  </w:num>
  <w:num w:numId="21">
    <w:abstractNumId w:val="6"/>
  </w:num>
  <w:num w:numId="22">
    <w:abstractNumId w:val="29"/>
  </w:num>
  <w:num w:numId="23">
    <w:abstractNumId w:val="23"/>
  </w:num>
  <w:num w:numId="24">
    <w:abstractNumId w:val="44"/>
  </w:num>
  <w:num w:numId="25">
    <w:abstractNumId w:val="13"/>
  </w:num>
  <w:num w:numId="26">
    <w:abstractNumId w:val="30"/>
  </w:num>
  <w:num w:numId="27">
    <w:abstractNumId w:val="9"/>
  </w:num>
  <w:num w:numId="28">
    <w:abstractNumId w:val="43"/>
  </w:num>
  <w:num w:numId="29">
    <w:abstractNumId w:val="47"/>
  </w:num>
  <w:num w:numId="30">
    <w:abstractNumId w:val="33"/>
  </w:num>
  <w:num w:numId="31">
    <w:abstractNumId w:val="25"/>
  </w:num>
  <w:num w:numId="32">
    <w:abstractNumId w:val="11"/>
  </w:num>
  <w:num w:numId="33">
    <w:abstractNumId w:val="22"/>
  </w:num>
  <w:num w:numId="34">
    <w:abstractNumId w:val="46"/>
  </w:num>
  <w:num w:numId="35">
    <w:abstractNumId w:val="27"/>
  </w:num>
  <w:num w:numId="36">
    <w:abstractNumId w:val="1"/>
  </w:num>
  <w:num w:numId="37">
    <w:abstractNumId w:val="20"/>
  </w:num>
  <w:num w:numId="38">
    <w:abstractNumId w:val="7"/>
  </w:num>
  <w:num w:numId="39">
    <w:abstractNumId w:val="28"/>
  </w:num>
  <w:num w:numId="40">
    <w:abstractNumId w:val="26"/>
  </w:num>
  <w:num w:numId="41">
    <w:abstractNumId w:val="45"/>
  </w:num>
  <w:num w:numId="42">
    <w:abstractNumId w:val="40"/>
  </w:num>
  <w:num w:numId="43">
    <w:abstractNumId w:val="18"/>
  </w:num>
  <w:num w:numId="44">
    <w:abstractNumId w:val="35"/>
  </w:num>
  <w:num w:numId="45">
    <w:abstractNumId w:val="3"/>
  </w:num>
  <w:num w:numId="46">
    <w:abstractNumId w:val="19"/>
  </w:num>
  <w:num w:numId="47">
    <w:abstractNumId w:val="24"/>
  </w:num>
  <w:num w:numId="48">
    <w:abstractNumId w:val="8"/>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01C1"/>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128A"/>
    <w:rsid w:val="055A38B5"/>
    <w:rsid w:val="059C5F8E"/>
    <w:rsid w:val="05AD5736"/>
    <w:rsid w:val="05CA2818"/>
    <w:rsid w:val="05CF4780"/>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3F384D"/>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C36F40"/>
    <w:rsid w:val="0CE75800"/>
    <w:rsid w:val="0CF02600"/>
    <w:rsid w:val="0D162766"/>
    <w:rsid w:val="0D30615A"/>
    <w:rsid w:val="0D4A590E"/>
    <w:rsid w:val="0D50445B"/>
    <w:rsid w:val="0D7807F1"/>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4114BC"/>
    <w:rsid w:val="104F21E7"/>
    <w:rsid w:val="10522A43"/>
    <w:rsid w:val="105950B7"/>
    <w:rsid w:val="10681B45"/>
    <w:rsid w:val="107B22FE"/>
    <w:rsid w:val="10C3459E"/>
    <w:rsid w:val="10D545EB"/>
    <w:rsid w:val="10E51E7E"/>
    <w:rsid w:val="110045E6"/>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9763DF"/>
    <w:rsid w:val="14C13D98"/>
    <w:rsid w:val="14C818C6"/>
    <w:rsid w:val="14D17473"/>
    <w:rsid w:val="14D2285A"/>
    <w:rsid w:val="14F848F0"/>
    <w:rsid w:val="1533008F"/>
    <w:rsid w:val="153D3401"/>
    <w:rsid w:val="154F1ECC"/>
    <w:rsid w:val="155142E7"/>
    <w:rsid w:val="15855A36"/>
    <w:rsid w:val="158E06A1"/>
    <w:rsid w:val="15932B1E"/>
    <w:rsid w:val="15AF36C0"/>
    <w:rsid w:val="15CD64D5"/>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6F047E"/>
    <w:rsid w:val="197D66B1"/>
    <w:rsid w:val="199E02FC"/>
    <w:rsid w:val="19AF4570"/>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C60A0"/>
    <w:rsid w:val="1C333D2B"/>
    <w:rsid w:val="1C41527E"/>
    <w:rsid w:val="1C49412F"/>
    <w:rsid w:val="1C4D3DCD"/>
    <w:rsid w:val="1C4F5FC4"/>
    <w:rsid w:val="1C64078D"/>
    <w:rsid w:val="1C81524F"/>
    <w:rsid w:val="1CA121A3"/>
    <w:rsid w:val="1CDF257F"/>
    <w:rsid w:val="1CE40841"/>
    <w:rsid w:val="1CF405AE"/>
    <w:rsid w:val="1CFB22F4"/>
    <w:rsid w:val="1D014450"/>
    <w:rsid w:val="1D1545D4"/>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54328"/>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67981"/>
    <w:rsid w:val="1FEE1F52"/>
    <w:rsid w:val="207471CF"/>
    <w:rsid w:val="20950348"/>
    <w:rsid w:val="20981E88"/>
    <w:rsid w:val="20A06A24"/>
    <w:rsid w:val="20A10137"/>
    <w:rsid w:val="20B97750"/>
    <w:rsid w:val="20BD2343"/>
    <w:rsid w:val="20C125E5"/>
    <w:rsid w:val="20F77EBA"/>
    <w:rsid w:val="20FE0571"/>
    <w:rsid w:val="212F48FD"/>
    <w:rsid w:val="216135E4"/>
    <w:rsid w:val="21B23C30"/>
    <w:rsid w:val="21D5663A"/>
    <w:rsid w:val="21EA6171"/>
    <w:rsid w:val="220D5F91"/>
    <w:rsid w:val="220F017A"/>
    <w:rsid w:val="223D6488"/>
    <w:rsid w:val="224F423C"/>
    <w:rsid w:val="227710AB"/>
    <w:rsid w:val="229B4E78"/>
    <w:rsid w:val="22C77F82"/>
    <w:rsid w:val="22E50F21"/>
    <w:rsid w:val="22EC6079"/>
    <w:rsid w:val="22F562BD"/>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D966A6"/>
    <w:rsid w:val="25DA3A5E"/>
    <w:rsid w:val="25FE15DC"/>
    <w:rsid w:val="26806C09"/>
    <w:rsid w:val="26863962"/>
    <w:rsid w:val="268F15B2"/>
    <w:rsid w:val="26983FA4"/>
    <w:rsid w:val="26FA6E39"/>
    <w:rsid w:val="271E4603"/>
    <w:rsid w:val="272A0710"/>
    <w:rsid w:val="27454688"/>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C74336"/>
    <w:rsid w:val="2A0C4705"/>
    <w:rsid w:val="2A104C01"/>
    <w:rsid w:val="2A142F3C"/>
    <w:rsid w:val="2A2219FF"/>
    <w:rsid w:val="2A2649D3"/>
    <w:rsid w:val="2A2F0453"/>
    <w:rsid w:val="2A375CB0"/>
    <w:rsid w:val="2A4F7A8E"/>
    <w:rsid w:val="2A5C693A"/>
    <w:rsid w:val="2A9D1044"/>
    <w:rsid w:val="2AA14EFF"/>
    <w:rsid w:val="2AC52B69"/>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AE0D17"/>
    <w:rsid w:val="2DBD42B5"/>
    <w:rsid w:val="2DCA5D0F"/>
    <w:rsid w:val="2DCB5DC1"/>
    <w:rsid w:val="2DCE5309"/>
    <w:rsid w:val="2DE2242A"/>
    <w:rsid w:val="2E4225F7"/>
    <w:rsid w:val="2E463849"/>
    <w:rsid w:val="2E5A5340"/>
    <w:rsid w:val="2E6E73D5"/>
    <w:rsid w:val="2E81141D"/>
    <w:rsid w:val="2E9A7ADA"/>
    <w:rsid w:val="2EC2396D"/>
    <w:rsid w:val="2F1B0798"/>
    <w:rsid w:val="2F1B1FF5"/>
    <w:rsid w:val="2F4F0438"/>
    <w:rsid w:val="2F506BFB"/>
    <w:rsid w:val="2F7E2CC0"/>
    <w:rsid w:val="2F921764"/>
    <w:rsid w:val="2F98405A"/>
    <w:rsid w:val="2FD11EB8"/>
    <w:rsid w:val="2FE1749B"/>
    <w:rsid w:val="303D5772"/>
    <w:rsid w:val="306E40F7"/>
    <w:rsid w:val="306F4499"/>
    <w:rsid w:val="30B15581"/>
    <w:rsid w:val="30B93848"/>
    <w:rsid w:val="30BE1DE8"/>
    <w:rsid w:val="31253510"/>
    <w:rsid w:val="312673B5"/>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4D7704"/>
    <w:rsid w:val="3360351F"/>
    <w:rsid w:val="33620CB2"/>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781965"/>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4C28AB"/>
    <w:rsid w:val="38585500"/>
    <w:rsid w:val="385D1C71"/>
    <w:rsid w:val="386038B3"/>
    <w:rsid w:val="388E1434"/>
    <w:rsid w:val="38BA5460"/>
    <w:rsid w:val="38C62FF5"/>
    <w:rsid w:val="38D62476"/>
    <w:rsid w:val="38E27127"/>
    <w:rsid w:val="39027E88"/>
    <w:rsid w:val="39075875"/>
    <w:rsid w:val="391904A1"/>
    <w:rsid w:val="391C718D"/>
    <w:rsid w:val="394D30B0"/>
    <w:rsid w:val="39624091"/>
    <w:rsid w:val="39633335"/>
    <w:rsid w:val="397C6037"/>
    <w:rsid w:val="39D43B66"/>
    <w:rsid w:val="39EC03FA"/>
    <w:rsid w:val="3A1D058F"/>
    <w:rsid w:val="3A1E303B"/>
    <w:rsid w:val="3A1F74C9"/>
    <w:rsid w:val="3A2A1F54"/>
    <w:rsid w:val="3A2D40D1"/>
    <w:rsid w:val="3A314B02"/>
    <w:rsid w:val="3A497230"/>
    <w:rsid w:val="3A5C2602"/>
    <w:rsid w:val="3A79657B"/>
    <w:rsid w:val="3A8B77C7"/>
    <w:rsid w:val="3A9A32EA"/>
    <w:rsid w:val="3ACD391F"/>
    <w:rsid w:val="3AF76838"/>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F3ADF"/>
    <w:rsid w:val="40306F5A"/>
    <w:rsid w:val="40476BB3"/>
    <w:rsid w:val="40546FB6"/>
    <w:rsid w:val="40554803"/>
    <w:rsid w:val="407A60D5"/>
    <w:rsid w:val="407D4F24"/>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3CCB"/>
    <w:rsid w:val="44C45031"/>
    <w:rsid w:val="44D53AB2"/>
    <w:rsid w:val="44F27B0D"/>
    <w:rsid w:val="45485BDE"/>
    <w:rsid w:val="45667136"/>
    <w:rsid w:val="458571EC"/>
    <w:rsid w:val="45945C30"/>
    <w:rsid w:val="459F2306"/>
    <w:rsid w:val="45A832FE"/>
    <w:rsid w:val="45AB6174"/>
    <w:rsid w:val="45BA63E5"/>
    <w:rsid w:val="45CC5EDC"/>
    <w:rsid w:val="45EF3F82"/>
    <w:rsid w:val="45F73D47"/>
    <w:rsid w:val="45FE5CEE"/>
    <w:rsid w:val="461557EC"/>
    <w:rsid w:val="462D2575"/>
    <w:rsid w:val="46467FD8"/>
    <w:rsid w:val="464959FE"/>
    <w:rsid w:val="46601D33"/>
    <w:rsid w:val="4666746C"/>
    <w:rsid w:val="467505FA"/>
    <w:rsid w:val="467B6008"/>
    <w:rsid w:val="468720BA"/>
    <w:rsid w:val="46895AFC"/>
    <w:rsid w:val="468E6A9E"/>
    <w:rsid w:val="46BC623F"/>
    <w:rsid w:val="46D855B9"/>
    <w:rsid w:val="470D2C74"/>
    <w:rsid w:val="4773318F"/>
    <w:rsid w:val="477570F1"/>
    <w:rsid w:val="47AD33FA"/>
    <w:rsid w:val="47B41AAA"/>
    <w:rsid w:val="47CD38AD"/>
    <w:rsid w:val="47DB16D8"/>
    <w:rsid w:val="481726F3"/>
    <w:rsid w:val="48416760"/>
    <w:rsid w:val="48466F81"/>
    <w:rsid w:val="484D02A2"/>
    <w:rsid w:val="486B647A"/>
    <w:rsid w:val="48896934"/>
    <w:rsid w:val="48C12AEC"/>
    <w:rsid w:val="48C52555"/>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C05F91"/>
    <w:rsid w:val="4BF71347"/>
    <w:rsid w:val="4BF97932"/>
    <w:rsid w:val="4C141E75"/>
    <w:rsid w:val="4C2A4039"/>
    <w:rsid w:val="4C736F36"/>
    <w:rsid w:val="4C7B34CD"/>
    <w:rsid w:val="4C9F1220"/>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B142CF"/>
    <w:rsid w:val="4EC47712"/>
    <w:rsid w:val="4EDD3C61"/>
    <w:rsid w:val="4EF1457F"/>
    <w:rsid w:val="4F2C40A0"/>
    <w:rsid w:val="4F2F3B98"/>
    <w:rsid w:val="4F380B7A"/>
    <w:rsid w:val="4F424B82"/>
    <w:rsid w:val="4F4B0CB3"/>
    <w:rsid w:val="4F4F0EBF"/>
    <w:rsid w:val="4F8C4B40"/>
    <w:rsid w:val="4FAA5CD5"/>
    <w:rsid w:val="4FBD187E"/>
    <w:rsid w:val="4FC56067"/>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C136D4"/>
    <w:rsid w:val="51D33F6D"/>
    <w:rsid w:val="51DB1448"/>
    <w:rsid w:val="52045DB4"/>
    <w:rsid w:val="522C275E"/>
    <w:rsid w:val="524C13A2"/>
    <w:rsid w:val="529000F6"/>
    <w:rsid w:val="5296149A"/>
    <w:rsid w:val="52A65672"/>
    <w:rsid w:val="52AE4A4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9830D8"/>
    <w:rsid w:val="539B581B"/>
    <w:rsid w:val="53A2278E"/>
    <w:rsid w:val="53CB788B"/>
    <w:rsid w:val="53E32E36"/>
    <w:rsid w:val="54203B94"/>
    <w:rsid w:val="5424233E"/>
    <w:rsid w:val="542A3DC2"/>
    <w:rsid w:val="542C299E"/>
    <w:rsid w:val="543642C1"/>
    <w:rsid w:val="5461235D"/>
    <w:rsid w:val="54667BA2"/>
    <w:rsid w:val="547E7555"/>
    <w:rsid w:val="54806F19"/>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DE2C10"/>
    <w:rsid w:val="56FB75FE"/>
    <w:rsid w:val="57391A95"/>
    <w:rsid w:val="573F3C9E"/>
    <w:rsid w:val="574C52C4"/>
    <w:rsid w:val="57526FDB"/>
    <w:rsid w:val="57572F35"/>
    <w:rsid w:val="575B33A4"/>
    <w:rsid w:val="57674A5D"/>
    <w:rsid w:val="579775E1"/>
    <w:rsid w:val="57C90530"/>
    <w:rsid w:val="57CE0836"/>
    <w:rsid w:val="582217BE"/>
    <w:rsid w:val="582F44F7"/>
    <w:rsid w:val="583F27F2"/>
    <w:rsid w:val="58455B6D"/>
    <w:rsid w:val="584D29B0"/>
    <w:rsid w:val="584F7C49"/>
    <w:rsid w:val="5888302C"/>
    <w:rsid w:val="5889129A"/>
    <w:rsid w:val="58AC1EBB"/>
    <w:rsid w:val="58AD528C"/>
    <w:rsid w:val="58B31955"/>
    <w:rsid w:val="58BA45A1"/>
    <w:rsid w:val="594F6915"/>
    <w:rsid w:val="59737A65"/>
    <w:rsid w:val="59842DF4"/>
    <w:rsid w:val="59A0359A"/>
    <w:rsid w:val="59E52D9A"/>
    <w:rsid w:val="59E53A26"/>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1203C7"/>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0F2B0E"/>
    <w:rsid w:val="5E185132"/>
    <w:rsid w:val="5E2A0167"/>
    <w:rsid w:val="5E5C016C"/>
    <w:rsid w:val="5E5D68E8"/>
    <w:rsid w:val="5E802A96"/>
    <w:rsid w:val="5E9074FF"/>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267CA"/>
    <w:rsid w:val="68A8123A"/>
    <w:rsid w:val="68B84F4C"/>
    <w:rsid w:val="69055229"/>
    <w:rsid w:val="6929374C"/>
    <w:rsid w:val="692F20BB"/>
    <w:rsid w:val="69363858"/>
    <w:rsid w:val="69784C3F"/>
    <w:rsid w:val="697F1B5D"/>
    <w:rsid w:val="69C1095D"/>
    <w:rsid w:val="69FD1636"/>
    <w:rsid w:val="6A0138F7"/>
    <w:rsid w:val="6A1E155A"/>
    <w:rsid w:val="6A7B5447"/>
    <w:rsid w:val="6AA20228"/>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681388"/>
    <w:rsid w:val="6C725FD7"/>
    <w:rsid w:val="6C766AFE"/>
    <w:rsid w:val="6C852D02"/>
    <w:rsid w:val="6CEA2C90"/>
    <w:rsid w:val="6CFA5C74"/>
    <w:rsid w:val="6D2C4A68"/>
    <w:rsid w:val="6D3B2E78"/>
    <w:rsid w:val="6D3C3AC0"/>
    <w:rsid w:val="6D410335"/>
    <w:rsid w:val="6D4305C3"/>
    <w:rsid w:val="6D450F45"/>
    <w:rsid w:val="6D48445E"/>
    <w:rsid w:val="6D500B73"/>
    <w:rsid w:val="6D666AA6"/>
    <w:rsid w:val="6D687043"/>
    <w:rsid w:val="6D7D6DC8"/>
    <w:rsid w:val="6D885EAB"/>
    <w:rsid w:val="6D953F0C"/>
    <w:rsid w:val="6DA82A63"/>
    <w:rsid w:val="6DB67EBB"/>
    <w:rsid w:val="6DEF52E3"/>
    <w:rsid w:val="6E0E6A1E"/>
    <w:rsid w:val="6E2D763E"/>
    <w:rsid w:val="6E420FB1"/>
    <w:rsid w:val="6E953983"/>
    <w:rsid w:val="6E95768E"/>
    <w:rsid w:val="6EA14900"/>
    <w:rsid w:val="6EB27AA3"/>
    <w:rsid w:val="6EBD1CFE"/>
    <w:rsid w:val="6EF9461D"/>
    <w:rsid w:val="6F1348E9"/>
    <w:rsid w:val="6F2A01FE"/>
    <w:rsid w:val="6F2A71A4"/>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1F62920"/>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745402"/>
    <w:rsid w:val="739E0038"/>
    <w:rsid w:val="73B34591"/>
    <w:rsid w:val="73D850A2"/>
    <w:rsid w:val="73DE7F6C"/>
    <w:rsid w:val="73E365CE"/>
    <w:rsid w:val="73E64B1D"/>
    <w:rsid w:val="740735EA"/>
    <w:rsid w:val="7408106C"/>
    <w:rsid w:val="7412351E"/>
    <w:rsid w:val="74BE4E97"/>
    <w:rsid w:val="74D504C8"/>
    <w:rsid w:val="74EC1FE3"/>
    <w:rsid w:val="74F679F1"/>
    <w:rsid w:val="74F841F7"/>
    <w:rsid w:val="75003D28"/>
    <w:rsid w:val="750445F2"/>
    <w:rsid w:val="751D637E"/>
    <w:rsid w:val="751F2555"/>
    <w:rsid w:val="753504B8"/>
    <w:rsid w:val="75466A74"/>
    <w:rsid w:val="757F267E"/>
    <w:rsid w:val="758418D8"/>
    <w:rsid w:val="75A17528"/>
    <w:rsid w:val="75AA6AC3"/>
    <w:rsid w:val="75B749A9"/>
    <w:rsid w:val="75CB1443"/>
    <w:rsid w:val="75CD3F16"/>
    <w:rsid w:val="761A34DA"/>
    <w:rsid w:val="76781DCD"/>
    <w:rsid w:val="76D84698"/>
    <w:rsid w:val="775865D7"/>
    <w:rsid w:val="775A33B3"/>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954047"/>
    <w:rsid w:val="7CF03F88"/>
    <w:rsid w:val="7CF73786"/>
    <w:rsid w:val="7D5E51C4"/>
    <w:rsid w:val="7D7525FB"/>
    <w:rsid w:val="7D957B5F"/>
    <w:rsid w:val="7DC111D1"/>
    <w:rsid w:val="7DC43A43"/>
    <w:rsid w:val="7DC74225"/>
    <w:rsid w:val="7DDA69EF"/>
    <w:rsid w:val="7DDD18D5"/>
    <w:rsid w:val="7E6C26A2"/>
    <w:rsid w:val="7E745E40"/>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semiHidden/>
    <w:qFormat/>
    <w:uiPriority w:val="0"/>
    <w:pPr>
      <w:ind w:left="420" w:leftChars="200"/>
    </w:pPr>
  </w:style>
  <w:style w:type="paragraph" w:styleId="7">
    <w:name w:val="Normal Indent"/>
    <w:basedOn w:val="1"/>
    <w:qFormat/>
    <w:uiPriority w:val="0"/>
    <w:pPr>
      <w:ind w:firstLine="420"/>
    </w:pPr>
    <w:rPr>
      <w:szCs w:val="20"/>
    </w:rPr>
  </w:style>
  <w:style w:type="paragraph" w:styleId="8">
    <w:name w:val="Document Map"/>
    <w:basedOn w:val="1"/>
    <w:link w:val="36"/>
    <w:qFormat/>
    <w:uiPriority w:val="0"/>
    <w:rPr>
      <w:rFonts w:ascii="宋体" w:hAnsi="Tahoma"/>
      <w:sz w:val="18"/>
      <w:szCs w:val="18"/>
    </w:rPr>
  </w:style>
  <w:style w:type="paragraph" w:styleId="9">
    <w:name w:val="annotation text"/>
    <w:basedOn w:val="1"/>
    <w:link w:val="65"/>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Body Text Indent 3"/>
    <w:basedOn w:val="1"/>
    <w:qFormat/>
    <w:uiPriority w:val="0"/>
    <w:pPr>
      <w:ind w:left="359" w:leftChars="171" w:firstLine="554" w:firstLineChars="198"/>
    </w:pPr>
    <w:rPr>
      <w:sz w:val="28"/>
      <w:szCs w:val="20"/>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Normal (Web)"/>
    <w:basedOn w:val="6"/>
    <w:qFormat/>
    <w:uiPriority w:val="99"/>
    <w:pPr>
      <w:widowControl/>
      <w:spacing w:before="100" w:beforeAutospacing="1" w:after="100" w:afterAutospacing="1"/>
      <w:jc w:val="left"/>
    </w:pPr>
    <w:rPr>
      <w:rFonts w:hint="eastAsia" w:ascii="宋体" w:hAnsi="宋体"/>
      <w:kern w:val="0"/>
      <w:sz w:val="24"/>
    </w:rPr>
  </w:style>
  <w:style w:type="paragraph" w:styleId="26">
    <w:name w:val="annotation subject"/>
    <w:basedOn w:val="9"/>
    <w:next w:val="9"/>
    <w:link w:val="63"/>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ascii="Tahoma" w:hAnsi="Tahoma"/>
      <w:b/>
      <w:bCs/>
      <w:sz w:val="24"/>
    </w:rPr>
  </w:style>
  <w:style w:type="character" w:styleId="31">
    <w:name w:val="page number"/>
    <w:basedOn w:val="29"/>
    <w:qFormat/>
    <w:uiPriority w:val="0"/>
  </w:style>
  <w:style w:type="character" w:styleId="32">
    <w:name w:val="FollowedHyperlink"/>
    <w:qFormat/>
    <w:uiPriority w:val="0"/>
    <w:rPr>
      <w:rFonts w:ascii="Tahoma" w:hAnsi="Tahoma"/>
      <w:color w:val="000000"/>
      <w:sz w:val="18"/>
      <w:szCs w:val="18"/>
      <w:u w:val="none"/>
    </w:rPr>
  </w:style>
  <w:style w:type="character" w:styleId="33">
    <w:name w:val="Hyperlink"/>
    <w:qFormat/>
    <w:uiPriority w:val="99"/>
    <w:rPr>
      <w:rFonts w:ascii="Tahoma" w:hAnsi="Tahoma"/>
      <w:color w:val="0000FF"/>
      <w:sz w:val="24"/>
      <w:u w:val="single"/>
    </w:rPr>
  </w:style>
  <w:style w:type="character" w:styleId="34">
    <w:name w:val="annotation reference"/>
    <w:unhideWhenUsed/>
    <w:qFormat/>
    <w:uiPriority w:val="99"/>
    <w:rPr>
      <w:rFonts w:ascii="Tahoma" w:hAnsi="Tahoma"/>
      <w:sz w:val="21"/>
      <w:szCs w:val="21"/>
    </w:rPr>
  </w:style>
  <w:style w:type="character" w:customStyle="1" w:styleId="35">
    <w:name w:val="cfdate"/>
    <w:basedOn w:val="29"/>
    <w:qFormat/>
    <w:uiPriority w:val="0"/>
    <w:rPr>
      <w:color w:val="333333"/>
      <w:sz w:val="18"/>
      <w:szCs w:val="18"/>
    </w:rPr>
  </w:style>
  <w:style w:type="character" w:customStyle="1" w:styleId="36">
    <w:name w:val="文档结构图 字符"/>
    <w:link w:val="8"/>
    <w:qFormat/>
    <w:uiPriority w:val="0"/>
    <w:rPr>
      <w:rFonts w:ascii="宋体" w:hAnsi="Tahoma"/>
      <w:kern w:val="2"/>
      <w:sz w:val="18"/>
      <w:szCs w:val="18"/>
    </w:rPr>
  </w:style>
  <w:style w:type="character" w:customStyle="1" w:styleId="37">
    <w:name w:val="copyright"/>
    <w:basedOn w:val="29"/>
    <w:qFormat/>
    <w:uiPriority w:val="0"/>
  </w:style>
  <w:style w:type="character" w:customStyle="1" w:styleId="38">
    <w:name w:val="Char Char6"/>
    <w:qFormat/>
    <w:uiPriority w:val="0"/>
    <w:rPr>
      <w:rFonts w:ascii="Tahoma" w:hAnsi="Tahoma" w:eastAsia="宋体"/>
      <w:b/>
      <w:bCs/>
      <w:kern w:val="2"/>
      <w:sz w:val="32"/>
      <w:szCs w:val="32"/>
      <w:lang w:val="en-US" w:eastAsia="zh-CN" w:bidi="ar-SA"/>
    </w:rPr>
  </w:style>
  <w:style w:type="character" w:customStyle="1" w:styleId="39">
    <w:name w:val="qxdate"/>
    <w:basedOn w:val="29"/>
    <w:qFormat/>
    <w:uiPriority w:val="0"/>
    <w:rPr>
      <w:color w:val="333333"/>
      <w:sz w:val="18"/>
      <w:szCs w:val="18"/>
    </w:rPr>
  </w:style>
  <w:style w:type="character" w:customStyle="1" w:styleId="40">
    <w:name w:val="gjfg"/>
    <w:basedOn w:val="29"/>
    <w:qFormat/>
    <w:uiPriority w:val="0"/>
  </w:style>
  <w:style w:type="character" w:customStyle="1" w:styleId="41">
    <w:name w:val="Char Char3"/>
    <w:semiHidden/>
    <w:qFormat/>
    <w:uiPriority w:val="0"/>
    <w:rPr>
      <w:rFonts w:ascii="Tahoma" w:hAnsi="Tahoma" w:eastAsia="宋体"/>
      <w:kern w:val="2"/>
      <w:sz w:val="18"/>
      <w:szCs w:val="18"/>
      <w:lang w:val="en-US" w:eastAsia="zh-CN" w:bidi="ar-SA"/>
    </w:rPr>
  </w:style>
  <w:style w:type="character" w:customStyle="1" w:styleId="42">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3">
    <w:name w:val="Char Char4"/>
    <w:qFormat/>
    <w:uiPriority w:val="0"/>
    <w:rPr>
      <w:rFonts w:ascii="Tahoma" w:hAnsi="Tahoma" w:eastAsia="宋体"/>
      <w:kern w:val="2"/>
      <w:sz w:val="18"/>
      <w:szCs w:val="18"/>
      <w:lang w:val="en-US" w:eastAsia="zh-CN" w:bidi="ar-SA"/>
    </w:rPr>
  </w:style>
  <w:style w:type="character" w:customStyle="1" w:styleId="44">
    <w:name w:val="font51"/>
    <w:qFormat/>
    <w:uiPriority w:val="0"/>
    <w:rPr>
      <w:rFonts w:hint="eastAsia" w:ascii="宋体" w:hAnsi="宋体" w:eastAsia="宋体" w:cs="宋体"/>
      <w:color w:val="000000"/>
      <w:sz w:val="21"/>
      <w:szCs w:val="21"/>
      <w:u w:val="none"/>
    </w:rPr>
  </w:style>
  <w:style w:type="character" w:customStyle="1" w:styleId="45">
    <w:name w:val="Char Char1"/>
    <w:semiHidden/>
    <w:qFormat/>
    <w:uiPriority w:val="0"/>
    <w:rPr>
      <w:rFonts w:ascii="Tahoma" w:hAnsi="Tahoma" w:eastAsia="宋体"/>
      <w:kern w:val="2"/>
      <w:sz w:val="28"/>
      <w:lang w:val="en-US" w:eastAsia="zh-CN" w:bidi="ar-SA"/>
    </w:rPr>
  </w:style>
  <w:style w:type="character" w:customStyle="1" w:styleId="46">
    <w:name w:val="profont1"/>
    <w:qFormat/>
    <w:uiPriority w:val="0"/>
    <w:rPr>
      <w:rFonts w:hint="default" w:ascii="Verdana" w:hAnsi="Verdana"/>
      <w:b/>
      <w:bCs/>
      <w:color w:val="333333"/>
      <w:sz w:val="24"/>
      <w:szCs w:val="24"/>
      <w:u w:val="none"/>
    </w:rPr>
  </w:style>
  <w:style w:type="character" w:customStyle="1" w:styleId="47">
    <w:name w:val="标题 2 Char"/>
    <w:qFormat/>
    <w:uiPriority w:val="0"/>
    <w:rPr>
      <w:rFonts w:ascii="Arial" w:hAnsi="Arial" w:eastAsia="黑体"/>
      <w:b/>
      <w:bCs/>
      <w:kern w:val="2"/>
      <w:sz w:val="32"/>
      <w:szCs w:val="32"/>
      <w:lang w:val="en-US" w:eastAsia="zh-CN" w:bidi="ar-SA"/>
    </w:rPr>
  </w:style>
  <w:style w:type="character" w:customStyle="1" w:styleId="48">
    <w:name w:val="Char Char5"/>
    <w:qFormat/>
    <w:uiPriority w:val="0"/>
    <w:rPr>
      <w:rFonts w:ascii="Tahoma" w:hAnsi="Tahoma" w:eastAsia="宋体"/>
      <w:kern w:val="2"/>
      <w:sz w:val="18"/>
      <w:szCs w:val="18"/>
      <w:lang w:val="en-US" w:eastAsia="zh-CN" w:bidi="ar-SA"/>
    </w:rPr>
  </w:style>
  <w:style w:type="character" w:customStyle="1" w:styleId="49">
    <w:name w:val="标题 1.1 Char1"/>
    <w:qFormat/>
    <w:uiPriority w:val="0"/>
    <w:rPr>
      <w:rFonts w:ascii="Arial" w:hAnsi="Arial" w:eastAsia="黑体"/>
      <w:b/>
      <w:bCs/>
      <w:kern w:val="2"/>
      <w:sz w:val="32"/>
      <w:szCs w:val="32"/>
      <w:lang w:val="en-US" w:eastAsia="zh-CN" w:bidi="ar-SA"/>
    </w:rPr>
  </w:style>
  <w:style w:type="character" w:customStyle="1" w:styleId="50">
    <w:name w:val="font01"/>
    <w:qFormat/>
    <w:uiPriority w:val="0"/>
    <w:rPr>
      <w:rFonts w:hint="eastAsia" w:ascii="宋体" w:hAnsi="宋体" w:eastAsia="宋体" w:cs="宋体"/>
      <w:color w:val="000000"/>
      <w:sz w:val="24"/>
      <w:szCs w:val="24"/>
      <w:u w:val="none"/>
    </w:rPr>
  </w:style>
  <w:style w:type="character" w:customStyle="1" w:styleId="51">
    <w:name w:val="font11"/>
    <w:qFormat/>
    <w:uiPriority w:val="0"/>
    <w:rPr>
      <w:rFonts w:hint="eastAsia" w:ascii="宋体" w:hAnsi="宋体" w:eastAsia="宋体" w:cs="宋体"/>
      <w:b/>
      <w:color w:val="000000"/>
      <w:sz w:val="24"/>
      <w:szCs w:val="24"/>
      <w:u w:val="none"/>
    </w:rPr>
  </w:style>
  <w:style w:type="character" w:customStyle="1" w:styleId="52">
    <w:name w:val="Char Char"/>
    <w:qFormat/>
    <w:uiPriority w:val="0"/>
    <w:rPr>
      <w:rFonts w:ascii="Tahoma" w:hAnsi="Tahoma"/>
      <w:kern w:val="2"/>
      <w:sz w:val="21"/>
      <w:szCs w:val="24"/>
    </w:rPr>
  </w:style>
  <w:style w:type="character" w:customStyle="1" w:styleId="53">
    <w:name w:val="style111"/>
    <w:qFormat/>
    <w:uiPriority w:val="0"/>
    <w:rPr>
      <w:rFonts w:ascii="Tahoma" w:hAnsi="Tahoma"/>
      <w:sz w:val="22"/>
      <w:szCs w:val="22"/>
    </w:rPr>
  </w:style>
  <w:style w:type="character" w:customStyle="1" w:styleId="54">
    <w:name w:val="displayarti"/>
    <w:basedOn w:val="29"/>
    <w:qFormat/>
    <w:uiPriority w:val="0"/>
    <w:rPr>
      <w:color w:val="FFFFFF"/>
      <w:shd w:val="clear" w:color="auto" w:fill="A00000"/>
    </w:rPr>
  </w:style>
  <w:style w:type="character" w:customStyle="1" w:styleId="55">
    <w:name w:val="Char Char7"/>
    <w:qFormat/>
    <w:uiPriority w:val="0"/>
    <w:rPr>
      <w:rFonts w:ascii="Tahoma" w:hAnsi="Tahoma" w:eastAsia="宋体"/>
      <w:b/>
      <w:bCs/>
      <w:kern w:val="44"/>
      <w:sz w:val="44"/>
      <w:szCs w:val="44"/>
      <w:lang w:val="en-US" w:eastAsia="zh-CN" w:bidi="ar-SA"/>
    </w:rPr>
  </w:style>
  <w:style w:type="character" w:customStyle="1" w:styleId="56">
    <w:name w:val="font31"/>
    <w:qFormat/>
    <w:uiPriority w:val="0"/>
    <w:rPr>
      <w:rFonts w:hint="eastAsia" w:ascii="宋体" w:hAnsi="宋体" w:eastAsia="宋体" w:cs="宋体"/>
      <w:color w:val="000000"/>
      <w:sz w:val="21"/>
      <w:szCs w:val="21"/>
      <w:u w:val="none"/>
    </w:rPr>
  </w:style>
  <w:style w:type="character" w:customStyle="1" w:styleId="57">
    <w:name w:val="Char Char2"/>
    <w:qFormat/>
    <w:uiPriority w:val="0"/>
    <w:rPr>
      <w:rFonts w:ascii="华文仿宋" w:hAnsi="华文仿宋" w:eastAsia="华文仿宋"/>
      <w:color w:val="000000"/>
      <w:sz w:val="32"/>
      <w:szCs w:val="32"/>
      <w:lang w:val="en-US" w:eastAsia="zh-CN" w:bidi="ar-SA"/>
    </w:rPr>
  </w:style>
  <w:style w:type="character" w:customStyle="1" w:styleId="58">
    <w:name w:val="style51"/>
    <w:qFormat/>
    <w:uiPriority w:val="0"/>
    <w:rPr>
      <w:rFonts w:ascii="Tahoma" w:hAnsi="Tahoma"/>
      <w:b/>
      <w:bCs/>
      <w:color w:val="814107"/>
      <w:sz w:val="21"/>
      <w:szCs w:val="21"/>
    </w:rPr>
  </w:style>
  <w:style w:type="character" w:customStyle="1" w:styleId="59">
    <w:name w:val="页脚 字符"/>
    <w:link w:val="19"/>
    <w:qFormat/>
    <w:uiPriority w:val="99"/>
    <w:rPr>
      <w:rFonts w:ascii="Tahoma" w:hAnsi="Tahoma"/>
      <w:kern w:val="2"/>
      <w:sz w:val="18"/>
      <w:szCs w:val="18"/>
    </w:rPr>
  </w:style>
  <w:style w:type="character" w:customStyle="1" w:styleId="60">
    <w:name w:val="标题 1.1 Char"/>
    <w:qFormat/>
    <w:uiPriority w:val="0"/>
    <w:rPr>
      <w:rFonts w:ascii="仿宋_GB2312" w:hAnsi="Arial" w:eastAsia="仿宋_GB2312" w:cs="Arial"/>
      <w:b/>
      <w:bCs/>
      <w:kern w:val="2"/>
      <w:sz w:val="24"/>
      <w:szCs w:val="24"/>
      <w:lang w:val="en-US" w:eastAsia="zh-CN" w:bidi="ar-SA"/>
    </w:rPr>
  </w:style>
  <w:style w:type="character" w:customStyle="1" w:styleId="61">
    <w:name w:val="普通文字 Char1"/>
    <w:qFormat/>
    <w:uiPriority w:val="0"/>
    <w:rPr>
      <w:rFonts w:ascii="宋体" w:hAnsi="Courier New" w:eastAsia="宋体"/>
      <w:kern w:val="2"/>
      <w:sz w:val="21"/>
      <w:szCs w:val="21"/>
      <w:lang w:val="en-US" w:eastAsia="zh-CN" w:bidi="ar-SA"/>
    </w:rPr>
  </w:style>
  <w:style w:type="character" w:customStyle="1" w:styleId="62">
    <w:name w:val="font41"/>
    <w:qFormat/>
    <w:uiPriority w:val="0"/>
    <w:rPr>
      <w:rFonts w:ascii="font-weight : 400" w:hAnsi="font-weight : 400" w:eastAsia="font-weight : 400" w:cs="font-weight : 400"/>
      <w:color w:val="000000"/>
      <w:sz w:val="21"/>
      <w:szCs w:val="21"/>
      <w:u w:val="none"/>
    </w:rPr>
  </w:style>
  <w:style w:type="character" w:customStyle="1" w:styleId="63">
    <w:name w:val="批注主题 字符"/>
    <w:link w:val="26"/>
    <w:qFormat/>
    <w:uiPriority w:val="0"/>
    <w:rPr>
      <w:rFonts w:ascii="Tahoma" w:hAnsi="Tahoma"/>
      <w:b/>
      <w:bCs/>
      <w:kern w:val="2"/>
      <w:sz w:val="21"/>
      <w:szCs w:val="24"/>
    </w:rPr>
  </w:style>
  <w:style w:type="character" w:customStyle="1" w:styleId="64">
    <w:name w:val="redfilefwwh"/>
    <w:basedOn w:val="29"/>
    <w:qFormat/>
    <w:uiPriority w:val="0"/>
    <w:rPr>
      <w:color w:val="BA2636"/>
      <w:sz w:val="18"/>
      <w:szCs w:val="18"/>
    </w:rPr>
  </w:style>
  <w:style w:type="character" w:customStyle="1" w:styleId="65">
    <w:name w:val="批注文字 字符"/>
    <w:link w:val="9"/>
    <w:semiHidden/>
    <w:qFormat/>
    <w:uiPriority w:val="99"/>
    <w:rPr>
      <w:rFonts w:ascii="Tahoma" w:hAnsi="Tahoma"/>
      <w:kern w:val="2"/>
      <w:sz w:val="21"/>
      <w:szCs w:val="24"/>
    </w:rPr>
  </w:style>
  <w:style w:type="character" w:customStyle="1" w:styleId="66">
    <w:name w:val="redfilenumber"/>
    <w:basedOn w:val="29"/>
    <w:qFormat/>
    <w:uiPriority w:val="0"/>
    <w:rPr>
      <w:color w:val="BA2636"/>
      <w:sz w:val="18"/>
      <w:szCs w:val="18"/>
    </w:rPr>
  </w:style>
  <w:style w:type="paragraph" w:customStyle="1" w:styleId="67">
    <w:name w:val="Char1 Char Char Char"/>
    <w:basedOn w:val="1"/>
    <w:qFormat/>
    <w:uiPriority w:val="0"/>
    <w:pPr>
      <w:adjustRightInd w:val="0"/>
      <w:spacing w:line="360" w:lineRule="auto"/>
    </w:pPr>
    <w:rPr>
      <w:kern w:val="0"/>
      <w:sz w:val="24"/>
      <w:szCs w:val="20"/>
    </w:r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_Style 2"/>
    <w:basedOn w:val="1"/>
    <w:qFormat/>
    <w:uiPriority w:val="34"/>
    <w:pPr>
      <w:ind w:firstLine="420" w:firstLineChars="200"/>
    </w:pPr>
  </w:style>
  <w:style w:type="paragraph" w:customStyle="1" w:styleId="70">
    <w:name w:val="Char Char Char Char Char Char"/>
    <w:basedOn w:val="1"/>
    <w:qFormat/>
    <w:uiPriority w:val="0"/>
    <w:rPr>
      <w:rFonts w:ascii="Tahoma" w:hAnsi="Tahoma"/>
      <w:sz w:val="24"/>
    </w:rPr>
  </w:style>
  <w:style w:type="paragraph" w:customStyle="1" w:styleId="7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Char Char Char"/>
    <w:basedOn w:val="1"/>
    <w:qFormat/>
    <w:uiPriority w:val="0"/>
    <w:rPr>
      <w:rFonts w:ascii="Tahoma" w:hAnsi="Tahoma"/>
      <w:sz w:val="24"/>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二级条标题"/>
    <w:basedOn w:val="77"/>
    <w:next w:val="1"/>
    <w:qFormat/>
    <w:uiPriority w:val="0"/>
    <w:pPr>
      <w:numPr>
        <w:ilvl w:val="3"/>
      </w:numPr>
      <w:outlineLvl w:val="3"/>
    </w:pPr>
  </w:style>
  <w:style w:type="paragraph" w:customStyle="1" w:styleId="77">
    <w:name w:val="一级条标题"/>
    <w:basedOn w:val="71"/>
    <w:next w:val="1"/>
    <w:qFormat/>
    <w:uiPriority w:val="0"/>
    <w:pPr>
      <w:numPr>
        <w:ilvl w:val="2"/>
      </w:numPr>
      <w:spacing w:beforeLines="0" w:afterLines="0"/>
      <w:outlineLvl w:val="2"/>
    </w:pPr>
  </w:style>
  <w:style w:type="paragraph" w:customStyle="1" w:styleId="78">
    <w:name w:val="Char Char Char1"/>
    <w:basedOn w:val="1"/>
    <w:qFormat/>
    <w:uiPriority w:val="0"/>
    <w:rPr>
      <w:rFonts w:ascii="Tahoma" w:hAnsi="Tahoma"/>
      <w:sz w:val="24"/>
      <w:szCs w:val="20"/>
    </w:rPr>
  </w:style>
  <w:style w:type="paragraph" w:customStyle="1" w:styleId="79">
    <w:name w:val="样式5"/>
    <w:basedOn w:val="80"/>
    <w:qFormat/>
    <w:uiPriority w:val="0"/>
    <w:pPr>
      <w:numPr>
        <w:ilvl w:val="3"/>
      </w:numPr>
      <w:tabs>
        <w:tab w:val="left" w:pos="432"/>
      </w:tabs>
      <w:spacing w:before="156"/>
    </w:pPr>
  </w:style>
  <w:style w:type="paragraph" w:customStyle="1" w:styleId="80">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1">
    <w:name w:val="Char"/>
    <w:basedOn w:val="1"/>
    <w:qFormat/>
    <w:uiPriority w:val="0"/>
    <w:pPr>
      <w:adjustRightInd w:val="0"/>
      <w:spacing w:line="360" w:lineRule="auto"/>
    </w:pPr>
    <w:rPr>
      <w:kern w:val="0"/>
      <w:sz w:val="24"/>
      <w:szCs w:val="20"/>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三级条标题"/>
    <w:basedOn w:val="76"/>
    <w:next w:val="1"/>
    <w:qFormat/>
    <w:uiPriority w:val="0"/>
    <w:pPr>
      <w:numPr>
        <w:ilvl w:val="4"/>
      </w:numPr>
      <w:outlineLvl w:val="4"/>
    </w:pPr>
  </w:style>
  <w:style w:type="paragraph" w:customStyle="1" w:styleId="84">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Char Char Char Char Char Char Char"/>
    <w:basedOn w:val="1"/>
    <w:qFormat/>
    <w:uiPriority w:val="0"/>
    <w:rPr>
      <w:rFonts w:ascii="Tahoma" w:hAnsi="Tahoma" w:cs="Arial"/>
      <w:szCs w:val="21"/>
    </w:rPr>
  </w:style>
  <w:style w:type="paragraph" w:customStyle="1" w:styleId="86">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7">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8">
    <w:name w:val="五级条标题"/>
    <w:basedOn w:val="89"/>
    <w:next w:val="1"/>
    <w:qFormat/>
    <w:uiPriority w:val="0"/>
    <w:pPr>
      <w:numPr>
        <w:ilvl w:val="6"/>
      </w:numPr>
      <w:outlineLvl w:val="6"/>
    </w:pPr>
  </w:style>
  <w:style w:type="paragraph" w:customStyle="1" w:styleId="89">
    <w:name w:val="四级条标题"/>
    <w:basedOn w:val="83"/>
    <w:next w:val="1"/>
    <w:qFormat/>
    <w:uiPriority w:val="0"/>
    <w:pPr>
      <w:numPr>
        <w:ilvl w:val="5"/>
      </w:numPr>
      <w:outlineLvl w:val="5"/>
    </w:pPr>
  </w:style>
  <w:style w:type="paragraph" w:customStyle="1" w:styleId="90">
    <w:name w:val="Normal Indent1"/>
    <w:basedOn w:val="1"/>
    <w:qFormat/>
    <w:uiPriority w:val="99"/>
    <w:pPr>
      <w:autoSpaceDE w:val="0"/>
      <w:autoSpaceDN w:val="0"/>
      <w:adjustRightInd w:val="0"/>
      <w:ind w:firstLine="420"/>
    </w:pPr>
    <w:rPr>
      <w:kern w:val="0"/>
      <w:szCs w:val="21"/>
    </w:rPr>
  </w:style>
  <w:style w:type="paragraph" w:customStyle="1" w:styleId="91">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2">
    <w:name w:val="样式6"/>
    <w:basedOn w:val="80"/>
    <w:qFormat/>
    <w:uiPriority w:val="0"/>
    <w:pPr>
      <w:numPr>
        <w:ilvl w:val="2"/>
      </w:numPr>
      <w:tabs>
        <w:tab w:val="clear" w:pos="432"/>
      </w:tabs>
      <w:spacing w:before="156"/>
      <w:outlineLvl w:val="4"/>
    </w:pPr>
    <w:rPr>
      <w:rFonts w:ascii="MS Shell Dlg" w:hAnsi="MS Shell Dlg"/>
    </w:rPr>
  </w:style>
  <w:style w:type="paragraph" w:styleId="93">
    <w:name w:val="List Paragraph"/>
    <w:basedOn w:val="1"/>
    <w:qFormat/>
    <w:uiPriority w:val="34"/>
    <w:pPr>
      <w:ind w:firstLine="420" w:firstLineChars="200"/>
    </w:pPr>
    <w:rPr>
      <w:sz w:val="28"/>
    </w:rPr>
  </w:style>
  <w:style w:type="paragraph" w:customStyle="1" w:styleId="94">
    <w:name w:val="列出段落1"/>
    <w:basedOn w:val="1"/>
    <w:qFormat/>
    <w:uiPriority w:val="0"/>
    <w:pPr>
      <w:ind w:firstLine="420" w:firstLineChars="200"/>
    </w:pPr>
    <w:rPr>
      <w:rFonts w:ascii="Calibri" w:hAnsi="Calibri"/>
      <w:kern w:val="0"/>
      <w:sz w:val="20"/>
      <w:szCs w:val="20"/>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Table Paragraph"/>
    <w:basedOn w:val="1"/>
    <w:unhideWhenUsed/>
    <w:qFormat/>
    <w:uiPriority w:val="1"/>
    <w:rPr>
      <w:rFonts w:hint="eastAsia"/>
      <w:sz w:val="24"/>
    </w:rPr>
  </w:style>
  <w:style w:type="paragraph" w:customStyle="1" w:styleId="97">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9">
    <w:name w:val="页码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盼盼</cp:lastModifiedBy>
  <cp:lastPrinted>2019-09-01T07:55:00Z</cp:lastPrinted>
  <dcterms:modified xsi:type="dcterms:W3CDTF">2020-09-25T01:46:21Z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