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1"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br w:type="textWrapping"/>
      </w:r>
      <w:r>
        <w:rPr>
          <w:rFonts w:hint="eastAsia" w:asciiTheme="minorEastAsia" w:hAnsiTheme="minorEastAsia" w:eastAsiaTheme="minorEastAsia" w:cstheme="minorEastAsia"/>
          <w:sz w:val="28"/>
        </w:rPr>
        <w:br w:type="textWrapping"/>
      </w:r>
    </w:p>
    <w:p>
      <w:pPr>
        <w:pStyle w:val="10"/>
        <w:kinsoku w:val="0"/>
        <w:overflowPunct w:val="0"/>
        <w:spacing w:before="194"/>
        <w:jc w:val="center"/>
        <w:rPr>
          <w:rFonts w:asciiTheme="minorEastAsia" w:hAnsiTheme="minorEastAsia" w:eastAsiaTheme="minorEastAsia" w:cstheme="minorEastAsia"/>
          <w:sz w:val="92"/>
        </w:rPr>
      </w:pPr>
      <w:r>
        <w:rPr>
          <w:rFonts w:hint="eastAsia" w:asciiTheme="minorEastAsia" w:hAnsiTheme="minorEastAsia" w:eastAsiaTheme="minorEastAsia" w:cstheme="minorEastAsia"/>
          <w:sz w:val="92"/>
        </w:rPr>
        <w:t>竞争性磋商采购文件</w:t>
      </w:r>
    </w:p>
    <w:p>
      <w:pPr>
        <w:pStyle w:val="10"/>
        <w:kinsoku w:val="0"/>
        <w:overflowPunct w:val="0"/>
        <w:rPr>
          <w:rFonts w:asciiTheme="minorEastAsia" w:hAnsiTheme="minorEastAsia" w:eastAsiaTheme="minorEastAsia" w:cstheme="minorEastAsia"/>
          <w:sz w:val="20"/>
        </w:rPr>
      </w:pPr>
    </w:p>
    <w:p>
      <w:pPr>
        <w:pStyle w:val="10"/>
        <w:kinsoku w:val="0"/>
        <w:overflowPunct w:val="0"/>
        <w:jc w:val="center"/>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2" w:after="1"/>
        <w:rPr>
          <w:rFonts w:asciiTheme="minorEastAsia" w:hAnsiTheme="minorEastAsia" w:eastAsiaTheme="minorEastAsia" w:cstheme="minorEastAsia"/>
          <w:sz w:val="11"/>
        </w:rPr>
      </w:pPr>
    </w:p>
    <w:tbl>
      <w:tblPr>
        <w:tblStyle w:val="26"/>
        <w:tblW w:w="8146" w:type="dxa"/>
        <w:tblInd w:w="690" w:type="dxa"/>
        <w:tblLayout w:type="fixed"/>
        <w:tblCellMar>
          <w:top w:w="0" w:type="dxa"/>
          <w:left w:w="0" w:type="dxa"/>
          <w:bottom w:w="0" w:type="dxa"/>
          <w:right w:w="0" w:type="dxa"/>
        </w:tblCellMar>
      </w:tblPr>
      <w:tblGrid>
        <w:gridCol w:w="2093"/>
        <w:gridCol w:w="6053"/>
      </w:tblGrid>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tcPr>
          <w:p>
            <w:pPr>
              <w:pStyle w:val="95"/>
              <w:kinsoku w:val="0"/>
              <w:overflowPunct w:val="0"/>
              <w:spacing w:before="122"/>
              <w:ind w:right="53"/>
              <w:jc w:val="left"/>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编 号：</w:t>
            </w:r>
          </w:p>
        </w:tc>
        <w:tc>
          <w:tcPr>
            <w:tcW w:w="6053" w:type="dxa"/>
            <w:tcBorders>
              <w:top w:val="nil"/>
              <w:left w:val="nil"/>
              <w:bottom w:val="nil"/>
              <w:right w:val="nil"/>
              <w:tl2br w:val="nil"/>
              <w:tr2bl w:val="nil"/>
            </w:tcBorders>
          </w:tcPr>
          <w:p>
            <w:pPr>
              <w:pStyle w:val="95"/>
              <w:kinsoku w:val="0"/>
              <w:overflowPunct w:val="0"/>
              <w:spacing w:before="122"/>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ZJZB-ZC-202005-144</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tcPr>
          <w:p>
            <w:pPr>
              <w:pStyle w:val="95"/>
              <w:kinsoku w:val="0"/>
              <w:overflowPunct w:val="0"/>
              <w:spacing w:before="123"/>
              <w:ind w:right="53"/>
              <w:jc w:val="left"/>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名 称：</w:t>
            </w:r>
          </w:p>
        </w:tc>
        <w:tc>
          <w:tcPr>
            <w:tcW w:w="6053" w:type="dxa"/>
            <w:tcBorders>
              <w:top w:val="nil"/>
              <w:left w:val="nil"/>
              <w:bottom w:val="nil"/>
              <w:right w:val="nil"/>
              <w:tl2br w:val="nil"/>
              <w:tr2bl w:val="nil"/>
            </w:tcBorders>
          </w:tcPr>
          <w:p>
            <w:pPr>
              <w:pStyle w:val="95"/>
              <w:kinsoku w:val="0"/>
              <w:overflowPunct w:val="0"/>
              <w:spacing w:before="123" w:line="242" w:lineRule="auto"/>
              <w:ind w:left="55" w:right="136"/>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 xml:space="preserve">华中农业大学肥料生产线和虚拟仿真采购项目（包一三次） </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tcPr>
          <w:p>
            <w:pPr>
              <w:pStyle w:val="95"/>
              <w:kinsoku w:val="0"/>
              <w:overflowPunct w:val="0"/>
              <w:spacing w:before="122" w:line="299" w:lineRule="exact"/>
              <w:ind w:right="53"/>
              <w:jc w:val="left"/>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方 式：</w:t>
            </w:r>
          </w:p>
        </w:tc>
        <w:tc>
          <w:tcPr>
            <w:tcW w:w="6053" w:type="dxa"/>
            <w:tcBorders>
              <w:top w:val="nil"/>
              <w:left w:val="nil"/>
              <w:bottom w:val="nil"/>
              <w:right w:val="nil"/>
              <w:tl2br w:val="nil"/>
              <w:tr2bl w:val="nil"/>
            </w:tcBorders>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竞争性磋商</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tcPr>
          <w:p>
            <w:pPr>
              <w:pStyle w:val="95"/>
              <w:kinsoku w:val="0"/>
              <w:overflowPunct w:val="0"/>
              <w:spacing w:before="122" w:line="299" w:lineRule="exact"/>
              <w:ind w:right="53"/>
              <w:jc w:val="left"/>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类 别：</w:t>
            </w:r>
          </w:p>
        </w:tc>
        <w:tc>
          <w:tcPr>
            <w:tcW w:w="6053" w:type="dxa"/>
            <w:tcBorders>
              <w:top w:val="nil"/>
              <w:left w:val="nil"/>
              <w:bottom w:val="nil"/>
              <w:right w:val="nil"/>
              <w:tl2br w:val="nil"/>
              <w:tr2bl w:val="nil"/>
            </w:tcBorders>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货物</w:t>
            </w:r>
          </w:p>
        </w:tc>
      </w:tr>
    </w:tbl>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4"/>
        <w:rPr>
          <w:rFonts w:asciiTheme="minorEastAsia" w:hAnsiTheme="minorEastAsia" w:eastAsiaTheme="minorEastAsia" w:cstheme="minorEastAsia"/>
          <w:sz w:val="20"/>
        </w:rPr>
      </w:pPr>
    </w:p>
    <w:tbl>
      <w:tblPr>
        <w:tblStyle w:val="26"/>
        <w:tblW w:w="8123" w:type="dxa"/>
        <w:tblInd w:w="713" w:type="dxa"/>
        <w:tblLayout w:type="fixed"/>
        <w:tblCellMar>
          <w:top w:w="0" w:type="dxa"/>
          <w:left w:w="0" w:type="dxa"/>
          <w:bottom w:w="0" w:type="dxa"/>
          <w:right w:w="0" w:type="dxa"/>
        </w:tblCellMar>
      </w:tblPr>
      <w:tblGrid>
        <w:gridCol w:w="2492"/>
        <w:gridCol w:w="5631"/>
      </w:tblGrid>
      <w:tr>
        <w:tblPrEx>
          <w:tblCellMar>
            <w:top w:w="0" w:type="dxa"/>
            <w:left w:w="0" w:type="dxa"/>
            <w:bottom w:w="0" w:type="dxa"/>
            <w:right w:w="0" w:type="dxa"/>
          </w:tblCellMar>
        </w:tblPrEx>
        <w:trPr>
          <w:trHeight w:val="441" w:hRule="atLeast"/>
        </w:trPr>
        <w:tc>
          <w:tcPr>
            <w:tcW w:w="2492" w:type="dxa"/>
            <w:tcBorders>
              <w:top w:val="nil"/>
              <w:left w:val="nil"/>
              <w:bottom w:val="nil"/>
              <w:right w:val="nil"/>
              <w:tl2br w:val="nil"/>
              <w:tr2bl w:val="nil"/>
            </w:tcBorders>
            <w:vAlign w:val="center"/>
          </w:tcPr>
          <w:p>
            <w:pPr>
              <w:pStyle w:val="95"/>
              <w:kinsoku w:val="0"/>
              <w:overflowPunct w:val="0"/>
              <w:spacing w:line="320" w:lineRule="exact"/>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人：</w:t>
            </w:r>
          </w:p>
        </w:tc>
        <w:tc>
          <w:tcPr>
            <w:tcW w:w="5631" w:type="dxa"/>
            <w:tcBorders>
              <w:top w:val="nil"/>
              <w:left w:val="nil"/>
              <w:bottom w:val="nil"/>
              <w:right w:val="nil"/>
              <w:tl2br w:val="nil"/>
              <w:tr2bl w:val="nil"/>
            </w:tcBorders>
            <w:vAlign w:val="center"/>
          </w:tcPr>
          <w:p>
            <w:pPr>
              <w:pStyle w:val="95"/>
              <w:kinsoku w:val="0"/>
              <w:overflowPunct w:val="0"/>
              <w:spacing w:line="320" w:lineRule="exact"/>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华中农业大学</w:t>
            </w:r>
          </w:p>
        </w:tc>
      </w:tr>
      <w:tr>
        <w:tblPrEx>
          <w:tblCellMar>
            <w:top w:w="0" w:type="dxa"/>
            <w:left w:w="0" w:type="dxa"/>
            <w:bottom w:w="0" w:type="dxa"/>
            <w:right w:w="0" w:type="dxa"/>
          </w:tblCellMar>
        </w:tblPrEx>
        <w:trPr>
          <w:trHeight w:val="603" w:hRule="atLeast"/>
        </w:trPr>
        <w:tc>
          <w:tcPr>
            <w:tcW w:w="2492" w:type="dxa"/>
            <w:tcBorders>
              <w:top w:val="nil"/>
              <w:left w:val="nil"/>
              <w:bottom w:val="nil"/>
              <w:right w:val="nil"/>
              <w:tl2br w:val="nil"/>
              <w:tr2bl w:val="nil"/>
            </w:tcBorders>
            <w:vAlign w:val="center"/>
          </w:tcPr>
          <w:p>
            <w:pPr>
              <w:pStyle w:val="95"/>
              <w:kinsoku w:val="0"/>
              <w:overflowPunct w:val="0"/>
              <w:spacing w:before="122"/>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采购代理机构：</w:t>
            </w:r>
          </w:p>
        </w:tc>
        <w:tc>
          <w:tcPr>
            <w:tcW w:w="5631" w:type="dxa"/>
            <w:tcBorders>
              <w:top w:val="nil"/>
              <w:left w:val="nil"/>
              <w:bottom w:val="nil"/>
              <w:right w:val="nil"/>
              <w:tl2br w:val="nil"/>
              <w:tr2bl w:val="nil"/>
            </w:tcBorders>
            <w:vAlign w:val="center"/>
          </w:tcPr>
          <w:p>
            <w:pPr>
              <w:pStyle w:val="95"/>
              <w:kinsoku w:val="0"/>
              <w:overflowPunct w:val="0"/>
              <w:spacing w:before="122"/>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中经国际招标集团有限公司</w:t>
            </w:r>
          </w:p>
        </w:tc>
      </w:tr>
      <w:tr>
        <w:tblPrEx>
          <w:tblCellMar>
            <w:top w:w="0" w:type="dxa"/>
            <w:left w:w="0" w:type="dxa"/>
            <w:bottom w:w="0" w:type="dxa"/>
            <w:right w:w="0" w:type="dxa"/>
          </w:tblCellMar>
        </w:tblPrEx>
        <w:trPr>
          <w:trHeight w:val="442" w:hRule="atLeast"/>
        </w:trPr>
        <w:tc>
          <w:tcPr>
            <w:tcW w:w="2492"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编</w:t>
            </w:r>
            <w:r>
              <w:rPr>
                <w:rFonts w:asciiTheme="minorEastAsia" w:hAnsiTheme="minorEastAsia" w:eastAsiaTheme="minorEastAsia" w:cstheme="minorEastAsia"/>
                <w:b/>
                <w:spacing w:val="-18"/>
                <w:sz w:val="28"/>
              </w:rPr>
              <w:t xml:space="preserve"> </w:t>
            </w:r>
            <w:r>
              <w:rPr>
                <w:rFonts w:asciiTheme="minorEastAsia" w:hAnsiTheme="minorEastAsia" w:eastAsiaTheme="minorEastAsia" w:cstheme="minorEastAsia"/>
                <w:b/>
                <w:sz w:val="28"/>
              </w:rPr>
              <w:t>制</w:t>
            </w:r>
            <w:r>
              <w:rPr>
                <w:rFonts w:asciiTheme="minorEastAsia" w:hAnsiTheme="minorEastAsia" w:eastAsiaTheme="minorEastAsia" w:cstheme="minorEastAsia"/>
                <w:b/>
                <w:spacing w:val="-18"/>
                <w:sz w:val="28"/>
              </w:rPr>
              <w:t xml:space="preserve"> </w:t>
            </w:r>
            <w:r>
              <w:rPr>
                <w:rFonts w:asciiTheme="minorEastAsia" w:hAnsiTheme="minorEastAsia" w:eastAsiaTheme="minorEastAsia" w:cstheme="minorEastAsia"/>
                <w:b/>
                <w:sz w:val="28"/>
              </w:rPr>
              <w:t>时</w:t>
            </w:r>
            <w:r>
              <w:rPr>
                <w:rFonts w:asciiTheme="minorEastAsia" w:hAnsiTheme="minorEastAsia" w:eastAsiaTheme="minorEastAsia" w:cstheme="minorEastAsia"/>
                <w:b/>
                <w:spacing w:val="-16"/>
                <w:sz w:val="28"/>
              </w:rPr>
              <w:t xml:space="preserve"> </w:t>
            </w:r>
            <w:r>
              <w:rPr>
                <w:rFonts w:asciiTheme="minorEastAsia" w:hAnsiTheme="minorEastAsia" w:eastAsiaTheme="minorEastAsia" w:cstheme="minorEastAsia"/>
                <w:b/>
                <w:sz w:val="28"/>
              </w:rPr>
              <w:t>间</w:t>
            </w:r>
            <w:r>
              <w:rPr>
                <w:rFonts w:asciiTheme="minorEastAsia" w:hAnsiTheme="minorEastAsia" w:eastAsiaTheme="minorEastAsia" w:cstheme="minorEastAsia"/>
                <w:b/>
                <w:spacing w:val="-18"/>
                <w:sz w:val="28"/>
              </w:rPr>
              <w:t xml:space="preserve"> </w:t>
            </w:r>
            <w:r>
              <w:rPr>
                <w:rFonts w:asciiTheme="minorEastAsia" w:hAnsiTheme="minorEastAsia" w:eastAsiaTheme="minorEastAsia" w:cstheme="minorEastAsia"/>
                <w:b/>
                <w:sz w:val="28"/>
              </w:rPr>
              <w:t>：</w:t>
            </w:r>
          </w:p>
        </w:tc>
        <w:tc>
          <w:tcPr>
            <w:tcW w:w="5631"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2</w:t>
            </w:r>
            <w:r>
              <w:rPr>
                <w:rFonts w:asciiTheme="minorEastAsia" w:hAnsiTheme="minorEastAsia" w:eastAsiaTheme="minorEastAsia" w:cstheme="minorEastAsia"/>
                <w:b/>
                <w:spacing w:val="-19"/>
                <w:sz w:val="28"/>
              </w:rPr>
              <w:t xml:space="preserve"> </w:t>
            </w:r>
            <w:r>
              <w:rPr>
                <w:rFonts w:asciiTheme="minorEastAsia" w:hAnsiTheme="minorEastAsia" w:eastAsiaTheme="minorEastAsia" w:cstheme="minorEastAsia"/>
                <w:b/>
                <w:sz w:val="28"/>
              </w:rPr>
              <w:t>0</w:t>
            </w:r>
            <w:r>
              <w:rPr>
                <w:rFonts w:asciiTheme="minorEastAsia" w:hAnsiTheme="minorEastAsia" w:eastAsiaTheme="minorEastAsia" w:cstheme="minorEastAsia"/>
                <w:b/>
                <w:spacing w:val="-17"/>
                <w:sz w:val="28"/>
              </w:rPr>
              <w:t xml:space="preserve"> </w:t>
            </w:r>
            <w:r>
              <w:rPr>
                <w:rFonts w:asciiTheme="minorEastAsia" w:hAnsiTheme="minorEastAsia" w:eastAsiaTheme="minorEastAsia" w:cstheme="minorEastAsia"/>
                <w:b/>
                <w:sz w:val="28"/>
              </w:rPr>
              <w:t>2</w:t>
            </w:r>
            <w:r>
              <w:rPr>
                <w:rFonts w:asciiTheme="minorEastAsia" w:hAnsiTheme="minorEastAsia" w:eastAsiaTheme="minorEastAsia" w:cstheme="minorEastAsia"/>
                <w:b/>
                <w:spacing w:val="-16"/>
                <w:sz w:val="28"/>
              </w:rPr>
              <w:t xml:space="preserve"> 0</w:t>
            </w:r>
            <w:r>
              <w:rPr>
                <w:rFonts w:asciiTheme="minorEastAsia" w:hAnsiTheme="minorEastAsia" w:eastAsiaTheme="minorEastAsia" w:cstheme="minorEastAsia"/>
                <w:b/>
                <w:sz w:val="28"/>
              </w:rPr>
              <w:t>年9月</w:t>
            </w:r>
          </w:p>
        </w:tc>
      </w:tr>
    </w:tbl>
    <w:p>
      <w:pPr>
        <w:rPr>
          <w:rFonts w:asciiTheme="minorEastAsia" w:hAnsiTheme="minorEastAsia" w:eastAsiaTheme="minorEastAsia" w:cstheme="minorEastAsia"/>
          <w:sz w:val="20"/>
        </w:rPr>
        <w:sectPr>
          <w:type w:val="continuous"/>
          <w:pgSz w:w="11910" w:h="16840"/>
          <w:pgMar w:top="1400" w:right="1200" w:bottom="280" w:left="1200" w:header="720" w:footer="720" w:gutter="0"/>
          <w:cols w:space="720" w:num="1"/>
        </w:sectPr>
      </w:pPr>
    </w:p>
    <w:p>
      <w:pPr>
        <w:jc w:val="center"/>
        <w:rPr>
          <w:rFonts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fldChar w:fldCharType="begin"/>
      </w:r>
      <w:r>
        <w:instrText xml:space="preserve"> HYPERLINK \l "_Toc24185" </w:instrText>
      </w:r>
      <w:r>
        <w:fldChar w:fldCharType="separate"/>
      </w:r>
      <w:r>
        <w:rPr>
          <w:rFonts w:asciiTheme="minorEastAsia" w:hAnsiTheme="minorEastAsia" w:eastAsiaTheme="minorEastAsia" w:cstheme="minorEastAsia"/>
          <w:szCs w:val="36"/>
        </w:rPr>
        <w:t xml:space="preserve">第一章 </w:t>
      </w:r>
      <w:r>
        <w:rPr>
          <w:rFonts w:hint="eastAsia" w:asciiTheme="minorEastAsia" w:hAnsiTheme="minorEastAsia" w:eastAsiaTheme="minorEastAsia" w:cstheme="minorEastAsia"/>
          <w:szCs w:val="36"/>
        </w:rPr>
        <w:t>竞争性磋商采购公告</w:t>
      </w:r>
      <w:r>
        <w:tab/>
      </w:r>
      <w:r>
        <w:fldChar w:fldCharType="begin"/>
      </w:r>
      <w:r>
        <w:instrText xml:space="preserve"> PAGEREF _Toc24185 </w:instrText>
      </w:r>
      <w:r>
        <w:fldChar w:fldCharType="separate"/>
      </w:r>
      <w:r>
        <w:t>5</w:t>
      </w:r>
      <w:r>
        <w:fldChar w:fldCharType="end"/>
      </w:r>
      <w:r>
        <w:fldChar w:fldCharType="end"/>
      </w:r>
    </w:p>
    <w:p>
      <w:pPr>
        <w:pStyle w:val="22"/>
        <w:tabs>
          <w:tab w:val="right" w:leader="dot" w:pos="9072"/>
        </w:tabs>
      </w:pPr>
      <w:r>
        <w:fldChar w:fldCharType="begin"/>
      </w:r>
      <w:r>
        <w:instrText xml:space="preserve"> HYPERLINK \l "_Toc5947" </w:instrText>
      </w:r>
      <w:r>
        <w:fldChar w:fldCharType="separate"/>
      </w:r>
      <w:r>
        <w:rPr>
          <w:rFonts w:hint="eastAsia" w:asciiTheme="minorEastAsia" w:hAnsiTheme="minorEastAsia" w:eastAsiaTheme="minorEastAsia" w:cstheme="minorEastAsia"/>
          <w:szCs w:val="21"/>
        </w:rPr>
        <w:t>一、 项目概况</w:t>
      </w:r>
      <w:r>
        <w:tab/>
      </w:r>
      <w:r>
        <w:fldChar w:fldCharType="begin"/>
      </w:r>
      <w:r>
        <w:instrText xml:space="preserve"> PAGEREF _Toc5947 </w:instrText>
      </w:r>
      <w:r>
        <w:fldChar w:fldCharType="separate"/>
      </w:r>
      <w:r>
        <w:t>5</w:t>
      </w:r>
      <w:r>
        <w:fldChar w:fldCharType="end"/>
      </w:r>
      <w:r>
        <w:fldChar w:fldCharType="end"/>
      </w:r>
    </w:p>
    <w:p>
      <w:pPr>
        <w:pStyle w:val="22"/>
        <w:tabs>
          <w:tab w:val="right" w:leader="dot" w:pos="9072"/>
        </w:tabs>
      </w:pPr>
      <w:r>
        <w:fldChar w:fldCharType="begin"/>
      </w:r>
      <w:r>
        <w:instrText xml:space="preserve"> HYPERLINK \l "_Toc14744" </w:instrText>
      </w:r>
      <w:r>
        <w:fldChar w:fldCharType="separate"/>
      </w:r>
      <w:r>
        <w:rPr>
          <w:rFonts w:hint="eastAsia" w:asciiTheme="minorEastAsia" w:hAnsiTheme="minorEastAsia" w:eastAsiaTheme="minorEastAsia" w:cstheme="minorEastAsia"/>
          <w:szCs w:val="21"/>
        </w:rPr>
        <w:t>二、 资格要求</w:t>
      </w:r>
      <w:r>
        <w:tab/>
      </w:r>
      <w:r>
        <w:fldChar w:fldCharType="begin"/>
      </w:r>
      <w:r>
        <w:instrText xml:space="preserve"> PAGEREF _Toc14744 </w:instrText>
      </w:r>
      <w:r>
        <w:fldChar w:fldCharType="separate"/>
      </w:r>
      <w:r>
        <w:t>6</w:t>
      </w:r>
      <w:r>
        <w:fldChar w:fldCharType="end"/>
      </w:r>
      <w:r>
        <w:fldChar w:fldCharType="end"/>
      </w:r>
    </w:p>
    <w:p>
      <w:pPr>
        <w:pStyle w:val="22"/>
        <w:tabs>
          <w:tab w:val="right" w:leader="dot" w:pos="9072"/>
        </w:tabs>
      </w:pPr>
      <w:r>
        <w:fldChar w:fldCharType="begin"/>
      </w:r>
      <w:r>
        <w:instrText xml:space="preserve"> HYPERLINK \l "_Toc13830" </w:instrText>
      </w:r>
      <w:r>
        <w:fldChar w:fldCharType="separate"/>
      </w:r>
      <w:r>
        <w:rPr>
          <w:rFonts w:hint="eastAsia" w:asciiTheme="minorEastAsia" w:hAnsiTheme="minorEastAsia" w:eastAsiaTheme="minorEastAsia" w:cstheme="minorEastAsia"/>
          <w:szCs w:val="21"/>
        </w:rPr>
        <w:t>三、 采购文件的获取</w:t>
      </w:r>
      <w:r>
        <w:tab/>
      </w:r>
      <w:r>
        <w:fldChar w:fldCharType="begin"/>
      </w:r>
      <w:r>
        <w:instrText xml:space="preserve"> PAGEREF _Toc13830 </w:instrText>
      </w:r>
      <w:r>
        <w:fldChar w:fldCharType="separate"/>
      </w:r>
      <w:r>
        <w:t>6</w:t>
      </w:r>
      <w:r>
        <w:fldChar w:fldCharType="end"/>
      </w:r>
      <w:r>
        <w:fldChar w:fldCharType="end"/>
      </w:r>
    </w:p>
    <w:p>
      <w:pPr>
        <w:pStyle w:val="22"/>
        <w:tabs>
          <w:tab w:val="right" w:leader="dot" w:pos="9072"/>
        </w:tabs>
      </w:pPr>
      <w:r>
        <w:fldChar w:fldCharType="begin"/>
      </w:r>
      <w:r>
        <w:instrText xml:space="preserve"> HYPERLINK \l "_Toc31195" </w:instrText>
      </w:r>
      <w:r>
        <w:fldChar w:fldCharType="separate"/>
      </w:r>
      <w:r>
        <w:rPr>
          <w:rFonts w:hint="eastAsia" w:asciiTheme="minorEastAsia" w:hAnsiTheme="minorEastAsia" w:eastAsiaTheme="minorEastAsia" w:cstheme="minorEastAsia"/>
          <w:szCs w:val="21"/>
        </w:rPr>
        <w:t>四、 磋商响应文件送达地点及截止时间</w:t>
      </w:r>
      <w:r>
        <w:tab/>
      </w:r>
      <w:r>
        <w:fldChar w:fldCharType="begin"/>
      </w:r>
      <w:r>
        <w:instrText xml:space="preserve"> PAGEREF _Toc31195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"_Toc6123" </w:instrText>
      </w:r>
      <w:r>
        <w:fldChar w:fldCharType="separate"/>
      </w:r>
      <w:r>
        <w:rPr>
          <w:rFonts w:hint="eastAsia" w:asciiTheme="minorEastAsia" w:hAnsiTheme="minorEastAsia" w:eastAsiaTheme="minorEastAsia" w:cstheme="minorEastAsia"/>
          <w:szCs w:val="21"/>
        </w:rPr>
        <w:t>五、 采购人联系方式</w:t>
      </w:r>
      <w:r>
        <w:tab/>
      </w:r>
      <w:r>
        <w:fldChar w:fldCharType="begin"/>
      </w:r>
      <w:r>
        <w:instrText xml:space="preserve"> PAGEREF _Toc6123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"_Toc577" </w:instrText>
      </w:r>
      <w:r>
        <w:fldChar w:fldCharType="separate"/>
      </w:r>
      <w:r>
        <w:rPr>
          <w:rFonts w:hint="eastAsia" w:asciiTheme="minorEastAsia" w:hAnsiTheme="minorEastAsia" w:eastAsiaTheme="minorEastAsia" w:cstheme="minorEastAsia"/>
          <w:szCs w:val="21"/>
        </w:rPr>
        <w:t>六、 政府采购代理机构联系方式</w:t>
      </w:r>
      <w:r>
        <w:tab/>
      </w:r>
      <w:r>
        <w:fldChar w:fldCharType="begin"/>
      </w:r>
      <w:r>
        <w:instrText xml:space="preserve"> PAGEREF _Toc577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"_Toc12832" </w:instrText>
      </w:r>
      <w:r>
        <w:fldChar w:fldCharType="separate"/>
      </w:r>
      <w:r>
        <w:rPr>
          <w:rFonts w:hint="eastAsia" w:asciiTheme="minorEastAsia" w:hAnsiTheme="minorEastAsia" w:eastAsiaTheme="minorEastAsia" w:cstheme="minorEastAsia"/>
          <w:szCs w:val="21"/>
        </w:rPr>
        <w:t>七、 信息发布媒体及时间</w:t>
      </w:r>
      <w:r>
        <w:tab/>
      </w:r>
      <w:r>
        <w:fldChar w:fldCharType="begin"/>
      </w:r>
      <w:r>
        <w:instrText xml:space="preserve"> PAGEREF _Toc12832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"_Toc24714" </w:instrText>
      </w:r>
      <w:r>
        <w:fldChar w:fldCharType="separate"/>
      </w:r>
      <w:r>
        <w:rPr>
          <w:rFonts w:hint="eastAsia" w:asciiTheme="minorEastAsia" w:hAnsiTheme="minorEastAsia" w:eastAsiaTheme="minorEastAsia" w:cstheme="minorEastAsia"/>
          <w:szCs w:val="21"/>
        </w:rPr>
        <w:t>八、 注意事项</w:t>
      </w:r>
      <w:r>
        <w:tab/>
      </w:r>
      <w:r>
        <w:fldChar w:fldCharType="begin"/>
      </w:r>
      <w:r>
        <w:instrText xml:space="preserve"> PAGEREF _Toc24714 </w:instrText>
      </w:r>
      <w:r>
        <w:fldChar w:fldCharType="separate"/>
      </w:r>
      <w:r>
        <w:t>8</w:t>
      </w:r>
      <w:r>
        <w:fldChar w:fldCharType="end"/>
      </w:r>
      <w:r>
        <w:fldChar w:fldCharType="end"/>
      </w:r>
    </w:p>
    <w:p>
      <w:pPr>
        <w:pStyle w:val="20"/>
        <w:tabs>
          <w:tab w:val="right" w:leader="dot" w:pos="9072"/>
        </w:tabs>
      </w:pPr>
      <w:r>
        <w:fldChar w:fldCharType="begin"/>
      </w:r>
      <w:r>
        <w:instrText xml:space="preserve"> HYPERLINK \l "_Toc15142" </w:instrText>
      </w:r>
      <w:r>
        <w:fldChar w:fldCharType="separate"/>
      </w:r>
      <w:r>
        <w:rPr>
          <w:rFonts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_Toc15142 </w:instrText>
      </w:r>
      <w:r>
        <w:fldChar w:fldCharType="separate"/>
      </w:r>
      <w:r>
        <w:t>9</w:t>
      </w:r>
      <w:r>
        <w:fldChar w:fldCharType="end"/>
      </w:r>
      <w:r>
        <w:fldChar w:fldCharType="end"/>
      </w:r>
    </w:p>
    <w:p>
      <w:pPr>
        <w:pStyle w:val="22"/>
        <w:tabs>
          <w:tab w:val="right" w:leader="dot" w:pos="9072"/>
        </w:tabs>
      </w:pPr>
      <w:r>
        <w:fldChar w:fldCharType="begin"/>
      </w:r>
      <w:r>
        <w:instrText xml:space="preserve"> HYPERLINK \l "_Toc23028" </w:instrText>
      </w:r>
      <w: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_Toc23028 </w:instrText>
      </w:r>
      <w:r>
        <w:fldChar w:fldCharType="separate"/>
      </w:r>
      <w:r>
        <w:t>9</w:t>
      </w:r>
      <w:r>
        <w:fldChar w:fldCharType="end"/>
      </w:r>
      <w:r>
        <w:fldChar w:fldCharType="end"/>
      </w:r>
    </w:p>
    <w:p>
      <w:pPr>
        <w:pStyle w:val="22"/>
        <w:tabs>
          <w:tab w:val="right" w:leader="dot" w:pos="9072"/>
        </w:tabs>
      </w:pPr>
      <w:r>
        <w:fldChar w:fldCharType="begin"/>
      </w:r>
      <w:r>
        <w:instrText xml:space="preserve"> HYPERLINK \l "_Toc4374" </w:instrText>
      </w:r>
      <w: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_Toc4374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"_Toc4795" </w:instrText>
      </w:r>
      <w:r>
        <w:fldChar w:fldCharType="separate"/>
      </w:r>
      <w:r>
        <w:rPr>
          <w:rFonts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_Toc4795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"_Toc13216" </w:instrText>
      </w:r>
      <w:r>
        <w:fldChar w:fldCharType="separate"/>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_Toc13216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"_Toc20138" </w:instrText>
      </w:r>
      <w:r>
        <w:fldChar w:fldCharType="separate"/>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_Toc20138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"_Toc30413" </w:instrText>
      </w:r>
      <w:r>
        <w:fldChar w:fldCharType="separate"/>
      </w: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_Toc30413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"_Toc31566" </w:instrText>
      </w:r>
      <w:r>
        <w:fldChar w:fldCharType="separate"/>
      </w: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_Toc31566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"_Toc31999" </w:instrText>
      </w:r>
      <w:r>
        <w:fldChar w:fldCharType="separate"/>
      </w:r>
      <w:r>
        <w:rPr>
          <w:rFonts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_Toc31999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"_Toc30845" </w:instrText>
      </w:r>
      <w:r>
        <w:fldChar w:fldCharType="separate"/>
      </w: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_Toc30845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"_Toc14791" </w:instrText>
      </w:r>
      <w:r>
        <w:fldChar w:fldCharType="separate"/>
      </w:r>
      <w:r>
        <w:rPr>
          <w:rFonts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_Toc14791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"_Toc31307" </w:instrText>
      </w:r>
      <w:r>
        <w:fldChar w:fldCharType="separate"/>
      </w:r>
      <w:r>
        <w:rPr>
          <w:rFonts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_Toc31307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"_Toc3204" </w:instrText>
      </w:r>
      <w:r>
        <w:fldChar w:fldCharType="separate"/>
      </w:r>
      <w:r>
        <w:rPr>
          <w:rFonts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_Toc3204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"_Toc30649" </w:instrText>
      </w:r>
      <w:r>
        <w:fldChar w:fldCharType="separate"/>
      </w:r>
      <w:r>
        <w:rPr>
          <w:rFonts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_Toc30649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"_Toc14572" </w:instrText>
      </w:r>
      <w:r>
        <w:fldChar w:fldCharType="separate"/>
      </w:r>
      <w:r>
        <w:rPr>
          <w:rFonts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_Toc14572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"_Toc29580" </w:instrText>
      </w:r>
      <w:r>
        <w:fldChar w:fldCharType="separate"/>
      </w:r>
      <w:r>
        <w:rPr>
          <w:rFonts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_Toc29580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"_Toc29934" </w:instrText>
      </w:r>
      <w:r>
        <w:fldChar w:fldCharType="separate"/>
      </w:r>
      <w:r>
        <w:rPr>
          <w:rFonts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_Toc29934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"_Toc6453" </w:instrText>
      </w:r>
      <w:r>
        <w:fldChar w:fldCharType="separate"/>
      </w:r>
      <w:r>
        <w:rPr>
          <w:rFonts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_Toc6453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"_Toc16011" </w:instrText>
      </w:r>
      <w:r>
        <w:fldChar w:fldCharType="separate"/>
      </w:r>
      <w:r>
        <w:rPr>
          <w:rFonts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_Toc16011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"_Toc13751" </w:instrText>
      </w:r>
      <w:r>
        <w:fldChar w:fldCharType="separate"/>
      </w:r>
      <w:r>
        <w:rPr>
          <w:rFonts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_Toc13751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"_Toc411" </w:instrText>
      </w:r>
      <w:r>
        <w:fldChar w:fldCharType="separate"/>
      </w:r>
      <w:r>
        <w:rPr>
          <w:rFonts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_Toc411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"_Toc5348" </w:instrText>
      </w:r>
      <w:r>
        <w:fldChar w:fldCharType="separate"/>
      </w:r>
      <w:r>
        <w:rPr>
          <w:rFonts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_Toc5348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"_Toc5276" </w:instrText>
      </w:r>
      <w:r>
        <w:fldChar w:fldCharType="separate"/>
      </w:r>
      <w:r>
        <w:rPr>
          <w:rFonts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_Toc5276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"_Toc19824" </w:instrText>
      </w:r>
      <w:r>
        <w:fldChar w:fldCharType="separate"/>
      </w:r>
      <w:r>
        <w:rPr>
          <w:rFonts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_Toc19824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"_Toc3313" </w:instrText>
      </w:r>
      <w:r>
        <w:fldChar w:fldCharType="separate"/>
      </w:r>
      <w:r>
        <w:rPr>
          <w:rFonts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_Toc3313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"_Toc6823" </w:instrText>
      </w:r>
      <w:r>
        <w:fldChar w:fldCharType="separate"/>
      </w:r>
      <w:r>
        <w:rPr>
          <w:rFonts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_Toc6823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"_Toc11848" </w:instrText>
      </w:r>
      <w:r>
        <w:fldChar w:fldCharType="separate"/>
      </w:r>
      <w:r>
        <w:rPr>
          <w:rFonts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_Toc11848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"_Toc6348" </w:instrText>
      </w:r>
      <w:r>
        <w:fldChar w:fldCharType="separate"/>
      </w:r>
      <w:r>
        <w:rPr>
          <w:rFonts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_Toc6348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"_Toc5628" </w:instrText>
      </w:r>
      <w:r>
        <w:fldChar w:fldCharType="separate"/>
      </w:r>
      <w:r>
        <w:rPr>
          <w:rFonts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_Toc5628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"_Toc8549" </w:instrText>
      </w:r>
      <w:r>
        <w:fldChar w:fldCharType="separate"/>
      </w:r>
      <w:r>
        <w:rPr>
          <w:rFonts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_Toc8549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"_Toc2731" </w:instrText>
      </w:r>
      <w:r>
        <w:fldChar w:fldCharType="separate"/>
      </w:r>
      <w:r>
        <w:rPr>
          <w:rFonts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_Toc2731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"_Toc12040" </w:instrText>
      </w:r>
      <w:r>
        <w:fldChar w:fldCharType="separate"/>
      </w:r>
      <w:r>
        <w:rPr>
          <w:rFonts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_Toc12040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"_Toc22872" </w:instrText>
      </w:r>
      <w:r>
        <w:fldChar w:fldCharType="separate"/>
      </w:r>
      <w:r>
        <w:rPr>
          <w:rFonts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_Toc22872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"_Toc11358" </w:instrText>
      </w:r>
      <w:r>
        <w:fldChar w:fldCharType="separate"/>
      </w:r>
      <w:r>
        <w:rPr>
          <w:rFonts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_Toc11358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"_Toc13528" </w:instrText>
      </w:r>
      <w:r>
        <w:fldChar w:fldCharType="separate"/>
      </w:r>
      <w:r>
        <w:rPr>
          <w:rFonts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_Toc13528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"_Toc28795" </w:instrText>
      </w:r>
      <w:r>
        <w:fldChar w:fldCharType="separate"/>
      </w:r>
      <w:r>
        <w:rPr>
          <w:rFonts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_Toc28795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"_Toc29010" </w:instrText>
      </w:r>
      <w:r>
        <w:fldChar w:fldCharType="separate"/>
      </w:r>
      <w:r>
        <w:rPr>
          <w:rFonts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_Toc29010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"_Toc31420" </w:instrText>
      </w:r>
      <w:r>
        <w:fldChar w:fldCharType="separate"/>
      </w:r>
      <w:r>
        <w:rPr>
          <w:rFonts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_Toc31420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"_Toc1309" </w:instrText>
      </w:r>
      <w:r>
        <w:fldChar w:fldCharType="separate"/>
      </w:r>
      <w:r>
        <w:rPr>
          <w:rFonts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_Toc1309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"_Toc21193" </w:instrText>
      </w:r>
      <w:r>
        <w:fldChar w:fldCharType="separate"/>
      </w:r>
      <w:r>
        <w:rPr>
          <w:rFonts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_Toc21193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"_Toc16714" </w:instrText>
      </w:r>
      <w:r>
        <w:fldChar w:fldCharType="separate"/>
      </w:r>
      <w:r>
        <w:rPr>
          <w:rFonts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_Toc16714 </w:instrText>
      </w:r>
      <w:r>
        <w:fldChar w:fldCharType="separate"/>
      </w:r>
      <w:r>
        <w:t>24</w:t>
      </w:r>
      <w:r>
        <w:fldChar w:fldCharType="end"/>
      </w:r>
      <w:r>
        <w:fldChar w:fldCharType="end"/>
      </w:r>
    </w:p>
    <w:p>
      <w:pPr>
        <w:pStyle w:val="22"/>
        <w:tabs>
          <w:tab w:val="right" w:leader="dot" w:pos="9072"/>
        </w:tabs>
      </w:pPr>
      <w:r>
        <w:fldChar w:fldCharType="begin"/>
      </w:r>
      <w:r>
        <w:instrText xml:space="preserve"> HYPERLINK \l "_Toc21867" </w:instrText>
      </w:r>
      <w:r>
        <w:fldChar w:fldCharType="separate"/>
      </w:r>
      <w:r>
        <w:rPr>
          <w:rFonts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_Toc21867 </w:instrText>
      </w:r>
      <w:r>
        <w:fldChar w:fldCharType="separate"/>
      </w:r>
      <w:r>
        <w:t>24</w:t>
      </w:r>
      <w:r>
        <w:fldChar w:fldCharType="end"/>
      </w:r>
      <w:r>
        <w:fldChar w:fldCharType="end"/>
      </w:r>
    </w:p>
    <w:p>
      <w:pPr>
        <w:pStyle w:val="22"/>
        <w:tabs>
          <w:tab w:val="right" w:leader="dot" w:pos="9072"/>
        </w:tabs>
      </w:pPr>
      <w:r>
        <w:fldChar w:fldCharType="begin"/>
      </w:r>
      <w:r>
        <w:instrText xml:space="preserve"> HYPERLINK \l "_Toc1929" </w:instrText>
      </w:r>
      <w:r>
        <w:fldChar w:fldCharType="separate"/>
      </w:r>
      <w:r>
        <w:rPr>
          <w:rFonts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_Toc1929 </w:instrText>
      </w:r>
      <w:r>
        <w:fldChar w:fldCharType="separate"/>
      </w:r>
      <w:r>
        <w:t>24</w:t>
      </w:r>
      <w:r>
        <w:fldChar w:fldCharType="end"/>
      </w:r>
      <w:r>
        <w:fldChar w:fldCharType="end"/>
      </w:r>
    </w:p>
    <w:p>
      <w:pPr>
        <w:pStyle w:val="22"/>
        <w:tabs>
          <w:tab w:val="right" w:leader="dot" w:pos="9072"/>
        </w:tabs>
      </w:pPr>
      <w:r>
        <w:fldChar w:fldCharType="begin"/>
      </w:r>
      <w:r>
        <w:instrText xml:space="preserve"> HYPERLINK \l "_Toc15706" </w:instrText>
      </w:r>
      <w:r>
        <w:fldChar w:fldCharType="separate"/>
      </w:r>
      <w:r>
        <w:rPr>
          <w:rFonts w:asciiTheme="minorEastAsia" w:hAnsiTheme="minorEastAsia" w:eastAsiaTheme="minorEastAsia" w:cstheme="minorEastAsia"/>
        </w:rPr>
        <w:t xml:space="preserve">33、 </w:t>
      </w:r>
      <w:r>
        <w:rPr>
          <w:rFonts w:hint="eastAsia" w:asciiTheme="minorEastAsia" w:hAnsiTheme="minorEastAsia" w:eastAsiaTheme="minorEastAsia" w:cstheme="minorEastAsia"/>
        </w:rPr>
        <w:t>政府采购政策</w:t>
      </w:r>
      <w:r>
        <w:tab/>
      </w:r>
      <w:r>
        <w:fldChar w:fldCharType="begin"/>
      </w:r>
      <w:r>
        <w:instrText xml:space="preserve"> PAGEREF _Toc15706 </w:instrText>
      </w:r>
      <w:r>
        <w:fldChar w:fldCharType="separate"/>
      </w:r>
      <w:r>
        <w:t>24</w:t>
      </w:r>
      <w:r>
        <w:fldChar w:fldCharType="end"/>
      </w:r>
      <w:r>
        <w:fldChar w:fldCharType="end"/>
      </w:r>
    </w:p>
    <w:p>
      <w:pPr>
        <w:pStyle w:val="22"/>
        <w:tabs>
          <w:tab w:val="right" w:leader="dot" w:pos="9072"/>
        </w:tabs>
      </w:pPr>
      <w:r>
        <w:fldChar w:fldCharType="begin"/>
      </w:r>
      <w:r>
        <w:instrText xml:space="preserve"> HYPERLINK \l "_Toc12380" </w:instrText>
      </w:r>
      <w:r>
        <w:fldChar w:fldCharType="separate"/>
      </w:r>
      <w:r>
        <w:rPr>
          <w:rFonts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_Toc12380 </w:instrText>
      </w:r>
      <w:r>
        <w:fldChar w:fldCharType="separate"/>
      </w:r>
      <w:r>
        <w:t>25</w:t>
      </w:r>
      <w:r>
        <w:fldChar w:fldCharType="end"/>
      </w:r>
      <w:r>
        <w:fldChar w:fldCharType="end"/>
      </w:r>
    </w:p>
    <w:p>
      <w:pPr>
        <w:pStyle w:val="22"/>
        <w:tabs>
          <w:tab w:val="right" w:leader="dot" w:pos="9072"/>
        </w:tabs>
      </w:pPr>
      <w:r>
        <w:fldChar w:fldCharType="begin"/>
      </w:r>
      <w:r>
        <w:instrText xml:space="preserve"> HYPERLINK \l "_Toc28459" </w:instrText>
      </w:r>
      <w:r>
        <w:fldChar w:fldCharType="separate"/>
      </w:r>
      <w:r>
        <w:rPr>
          <w:rFonts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_Toc28459 </w:instrText>
      </w:r>
      <w:r>
        <w:fldChar w:fldCharType="separate"/>
      </w:r>
      <w:r>
        <w:t>25</w:t>
      </w:r>
      <w:r>
        <w:fldChar w:fldCharType="end"/>
      </w:r>
      <w:r>
        <w:fldChar w:fldCharType="end"/>
      </w:r>
    </w:p>
    <w:p>
      <w:pPr>
        <w:pStyle w:val="20"/>
        <w:tabs>
          <w:tab w:val="right" w:leader="dot" w:pos="9072"/>
        </w:tabs>
      </w:pPr>
      <w:r>
        <w:fldChar w:fldCharType="begin"/>
      </w:r>
      <w:r>
        <w:instrText xml:space="preserve"> HYPERLINK \l "_Toc11180"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采购需求</w:t>
      </w:r>
      <w:r>
        <w:tab/>
      </w:r>
      <w:r>
        <w:fldChar w:fldCharType="begin"/>
      </w:r>
      <w:r>
        <w:instrText xml:space="preserve"> PAGEREF _Toc11180 </w:instrText>
      </w:r>
      <w:r>
        <w:fldChar w:fldCharType="separate"/>
      </w:r>
      <w:r>
        <w:t>27</w:t>
      </w:r>
      <w:r>
        <w:fldChar w:fldCharType="end"/>
      </w:r>
      <w:r>
        <w:fldChar w:fldCharType="end"/>
      </w:r>
    </w:p>
    <w:p>
      <w:pPr>
        <w:pStyle w:val="22"/>
        <w:tabs>
          <w:tab w:val="right" w:leader="dot" w:pos="9072"/>
        </w:tabs>
      </w:pPr>
      <w:r>
        <w:fldChar w:fldCharType="begin"/>
      </w:r>
      <w:r>
        <w:instrText xml:space="preserve"> HYPERLINK \l "_Toc2570" </w:instrText>
      </w:r>
      <w:r>
        <w:fldChar w:fldCharType="separate"/>
      </w:r>
      <w:r>
        <w:rPr>
          <w:rFonts w:hint="eastAsia" w:asciiTheme="minorEastAsia" w:hAnsiTheme="minorEastAsia" w:eastAsiaTheme="minorEastAsia" w:cstheme="minorEastAsia"/>
          <w:bCs/>
        </w:rPr>
        <w:t>一、技术需求</w:t>
      </w:r>
      <w:r>
        <w:tab/>
      </w:r>
      <w:r>
        <w:fldChar w:fldCharType="begin"/>
      </w:r>
      <w:r>
        <w:instrText xml:space="preserve"> PAGEREF _Toc2570 </w:instrText>
      </w:r>
      <w:r>
        <w:fldChar w:fldCharType="separate"/>
      </w:r>
      <w:r>
        <w:t>27</w:t>
      </w:r>
      <w:r>
        <w:fldChar w:fldCharType="end"/>
      </w:r>
      <w:r>
        <w:fldChar w:fldCharType="end"/>
      </w:r>
    </w:p>
    <w:p>
      <w:pPr>
        <w:pStyle w:val="22"/>
        <w:tabs>
          <w:tab w:val="right" w:leader="dot" w:pos="9072"/>
        </w:tabs>
      </w:pPr>
      <w:r>
        <w:fldChar w:fldCharType="begin"/>
      </w:r>
      <w:r>
        <w:instrText xml:space="preserve"> HYPERLINK \l "_Toc30527" </w:instrText>
      </w:r>
      <w:r>
        <w:fldChar w:fldCharType="separate"/>
      </w:r>
      <w:r>
        <w:rPr>
          <w:rFonts w:hint="eastAsia" w:asciiTheme="minorEastAsia" w:hAnsiTheme="minorEastAsia" w:eastAsiaTheme="minorEastAsia" w:cstheme="minorEastAsia"/>
          <w:bCs/>
        </w:rPr>
        <w:t>二、商务需求</w:t>
      </w:r>
      <w:r>
        <w:tab/>
      </w:r>
      <w:r>
        <w:fldChar w:fldCharType="begin"/>
      </w:r>
      <w:r>
        <w:instrText xml:space="preserve"> PAGEREF _Toc30527 </w:instrText>
      </w:r>
      <w:r>
        <w:fldChar w:fldCharType="separate"/>
      </w:r>
      <w:r>
        <w:t>27</w:t>
      </w:r>
      <w:r>
        <w:fldChar w:fldCharType="end"/>
      </w:r>
      <w:r>
        <w:fldChar w:fldCharType="end"/>
      </w:r>
    </w:p>
    <w:p>
      <w:pPr>
        <w:pStyle w:val="20"/>
        <w:tabs>
          <w:tab w:val="right" w:leader="dot" w:pos="9072"/>
        </w:tabs>
      </w:pPr>
      <w:r>
        <w:fldChar w:fldCharType="begin"/>
      </w:r>
      <w:r>
        <w:instrText xml:space="preserve"> HYPERLINK \l "_Toc2788"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竞争性磋商采购评定办法</w:t>
      </w:r>
      <w:r>
        <w:tab/>
      </w:r>
      <w:r>
        <w:fldChar w:fldCharType="begin"/>
      </w:r>
      <w:r>
        <w:instrText xml:space="preserve"> PAGEREF _Toc2788 </w:instrText>
      </w:r>
      <w:r>
        <w:fldChar w:fldCharType="separate"/>
      </w:r>
      <w:r>
        <w:t>29</w:t>
      </w:r>
      <w:r>
        <w:fldChar w:fldCharType="end"/>
      </w:r>
      <w:r>
        <w:fldChar w:fldCharType="end"/>
      </w:r>
    </w:p>
    <w:p>
      <w:pPr>
        <w:pStyle w:val="22"/>
        <w:tabs>
          <w:tab w:val="right" w:leader="dot" w:pos="9072"/>
        </w:tabs>
      </w:pPr>
      <w:r>
        <w:fldChar w:fldCharType="begin"/>
      </w:r>
      <w:r>
        <w:instrText xml:space="preserve"> HYPERLINK \l "_Toc8606" </w:instrText>
      </w:r>
      <w:r>
        <w:fldChar w:fldCharType="separate"/>
      </w:r>
      <w:r>
        <w:rPr>
          <w:rFonts w:hint="eastAsia" w:asciiTheme="minorEastAsia" w:hAnsiTheme="minorEastAsia" w:eastAsiaTheme="minorEastAsia" w:cstheme="minorEastAsia"/>
          <w:szCs w:val="21"/>
        </w:rPr>
        <w:t>一、评定办法前附表</w:t>
      </w:r>
      <w:r>
        <w:tab/>
      </w:r>
      <w:r>
        <w:fldChar w:fldCharType="begin"/>
      </w:r>
      <w:r>
        <w:instrText xml:space="preserve"> PAGEREF _Toc8606 </w:instrText>
      </w:r>
      <w:r>
        <w:fldChar w:fldCharType="separate"/>
      </w:r>
      <w:r>
        <w:t>29</w:t>
      </w:r>
      <w:r>
        <w:fldChar w:fldCharType="end"/>
      </w:r>
      <w:r>
        <w:fldChar w:fldCharType="end"/>
      </w:r>
    </w:p>
    <w:p>
      <w:pPr>
        <w:pStyle w:val="22"/>
        <w:tabs>
          <w:tab w:val="right" w:leader="dot" w:pos="9072"/>
        </w:tabs>
      </w:pPr>
      <w:r>
        <w:fldChar w:fldCharType="begin"/>
      </w:r>
      <w:r>
        <w:instrText xml:space="preserve"> HYPERLINK \l "_Toc32290" </w:instrText>
      </w:r>
      <w:r>
        <w:fldChar w:fldCharType="separate"/>
      </w:r>
      <w:r>
        <w:rPr>
          <w:rFonts w:hint="eastAsia" w:asciiTheme="minorEastAsia" w:hAnsiTheme="minorEastAsia" w:eastAsiaTheme="minorEastAsia" w:cstheme="minorEastAsia"/>
          <w:szCs w:val="21"/>
        </w:rPr>
        <w:t>二、计算办法</w:t>
      </w:r>
      <w:r>
        <w:tab/>
      </w:r>
      <w:r>
        <w:fldChar w:fldCharType="begin"/>
      </w:r>
      <w:r>
        <w:instrText xml:space="preserve"> PAGEREF _Toc32290 </w:instrText>
      </w:r>
      <w:r>
        <w:fldChar w:fldCharType="separate"/>
      </w:r>
      <w:r>
        <w:t>32</w:t>
      </w:r>
      <w:r>
        <w:fldChar w:fldCharType="end"/>
      </w:r>
      <w:r>
        <w:fldChar w:fldCharType="end"/>
      </w:r>
    </w:p>
    <w:p>
      <w:pPr>
        <w:pStyle w:val="22"/>
        <w:tabs>
          <w:tab w:val="right" w:leader="dot" w:pos="9072"/>
        </w:tabs>
      </w:pPr>
      <w:r>
        <w:fldChar w:fldCharType="begin"/>
      </w:r>
      <w:r>
        <w:instrText xml:space="preserve"> HYPERLINK \l "_Toc1388" </w:instrText>
      </w:r>
      <w:r>
        <w:fldChar w:fldCharType="separate"/>
      </w:r>
      <w:r>
        <w:rPr>
          <w:rFonts w:hint="eastAsia" w:asciiTheme="minorEastAsia" w:hAnsiTheme="minorEastAsia" w:eastAsiaTheme="minorEastAsia" w:cstheme="minorEastAsia"/>
          <w:szCs w:val="21"/>
        </w:rPr>
        <w:t>三、评分细则</w:t>
      </w:r>
      <w:r>
        <w:tab/>
      </w:r>
      <w:r>
        <w:fldChar w:fldCharType="begin"/>
      </w:r>
      <w:r>
        <w:instrText xml:space="preserve"> PAGEREF _Toc1388 </w:instrText>
      </w:r>
      <w:r>
        <w:fldChar w:fldCharType="separate"/>
      </w:r>
      <w:r>
        <w:t>33</w:t>
      </w:r>
      <w:r>
        <w:fldChar w:fldCharType="end"/>
      </w:r>
      <w:r>
        <w:fldChar w:fldCharType="end"/>
      </w:r>
    </w:p>
    <w:p>
      <w:pPr>
        <w:pStyle w:val="22"/>
        <w:tabs>
          <w:tab w:val="right" w:leader="dot" w:pos="9072"/>
        </w:tabs>
      </w:pPr>
      <w:r>
        <w:fldChar w:fldCharType="begin"/>
      </w:r>
      <w:r>
        <w:instrText xml:space="preserve"> HYPERLINK \l "_Toc23609" </w:instrText>
      </w:r>
      <w:r>
        <w:fldChar w:fldCharType="separate"/>
      </w:r>
      <w:r>
        <w:rPr>
          <w:rFonts w:hint="eastAsia" w:asciiTheme="minorEastAsia" w:hAnsiTheme="minorEastAsia" w:eastAsiaTheme="minorEastAsia" w:cstheme="minorEastAsia"/>
          <w:szCs w:val="21"/>
        </w:rPr>
        <w:t xml:space="preserve"> 四、评定办法</w:t>
      </w:r>
      <w:r>
        <w:tab/>
      </w:r>
      <w:r>
        <w:fldChar w:fldCharType="begin"/>
      </w:r>
      <w:r>
        <w:instrText xml:space="preserve"> PAGEREF _Toc23609 </w:instrText>
      </w:r>
      <w:r>
        <w:fldChar w:fldCharType="separate"/>
      </w:r>
      <w:r>
        <w:t>34</w:t>
      </w:r>
      <w:r>
        <w:fldChar w:fldCharType="end"/>
      </w:r>
      <w:r>
        <w:fldChar w:fldCharType="end"/>
      </w:r>
    </w:p>
    <w:p>
      <w:pPr>
        <w:pStyle w:val="22"/>
        <w:tabs>
          <w:tab w:val="right" w:leader="dot" w:pos="9072"/>
        </w:tabs>
      </w:pPr>
      <w:r>
        <w:fldChar w:fldCharType="begin"/>
      </w:r>
      <w:r>
        <w:instrText xml:space="preserve"> HYPERLINK \l "_Toc2115" </w:instrText>
      </w:r>
      <w:r>
        <w:fldChar w:fldCharType="separate"/>
      </w:r>
      <w:r>
        <w:rPr>
          <w:rFonts w:hint="eastAsia" w:asciiTheme="minorEastAsia" w:hAnsiTheme="minorEastAsia" w:eastAsiaTheme="minorEastAsia" w:cstheme="minorEastAsia"/>
          <w:szCs w:val="21"/>
        </w:rPr>
        <w:t>五、磋商及评审步骤</w:t>
      </w:r>
      <w:r>
        <w:tab/>
      </w:r>
      <w:r>
        <w:fldChar w:fldCharType="begin"/>
      </w:r>
      <w:r>
        <w:instrText xml:space="preserve"> PAGEREF _Toc2115 </w:instrText>
      </w:r>
      <w:r>
        <w:fldChar w:fldCharType="separate"/>
      </w:r>
      <w:r>
        <w:t>35</w:t>
      </w:r>
      <w:r>
        <w:fldChar w:fldCharType="end"/>
      </w:r>
      <w:r>
        <w:fldChar w:fldCharType="end"/>
      </w:r>
    </w:p>
    <w:p>
      <w:pPr>
        <w:pStyle w:val="20"/>
        <w:tabs>
          <w:tab w:val="right" w:leader="dot" w:pos="9072"/>
        </w:tabs>
      </w:pPr>
      <w:r>
        <w:fldChar w:fldCharType="begin"/>
      </w:r>
      <w:r>
        <w:instrText xml:space="preserve"> HYPERLINK \l "_Toc20360" </w:instrText>
      </w:r>
      <w:r>
        <w:fldChar w:fldCharType="separate"/>
      </w:r>
      <w:r>
        <w:rPr>
          <w:rFonts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合同书格式</w:t>
      </w:r>
      <w:r>
        <w:tab/>
      </w:r>
      <w:r>
        <w:fldChar w:fldCharType="begin"/>
      </w:r>
      <w:r>
        <w:instrText xml:space="preserve"> PAGEREF _Toc20360 </w:instrText>
      </w:r>
      <w:r>
        <w:fldChar w:fldCharType="separate"/>
      </w:r>
      <w:r>
        <w:t>37</w:t>
      </w:r>
      <w:r>
        <w:fldChar w:fldCharType="end"/>
      </w:r>
      <w:r>
        <w:fldChar w:fldCharType="end"/>
      </w:r>
    </w:p>
    <w:p>
      <w:pPr>
        <w:pStyle w:val="20"/>
        <w:tabs>
          <w:tab w:val="right" w:leader="dot" w:pos="9072"/>
        </w:tabs>
      </w:pPr>
      <w:r>
        <w:fldChar w:fldCharType="begin"/>
      </w:r>
      <w:r>
        <w:instrText xml:space="preserve"> HYPERLINK \l "_Toc16771" </w:instrText>
      </w:r>
      <w:r>
        <w:fldChar w:fldCharType="separate"/>
      </w:r>
      <w:r>
        <w:rPr>
          <w:rFonts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_Toc16771 </w:instrText>
      </w:r>
      <w:r>
        <w:fldChar w:fldCharType="separate"/>
      </w:r>
      <w:r>
        <w:t>39</w:t>
      </w:r>
      <w:r>
        <w:fldChar w:fldCharType="end"/>
      </w:r>
      <w:r>
        <w:fldChar w:fldCharType="end"/>
      </w:r>
    </w:p>
    <w:p>
      <w:pPr>
        <w:pStyle w:val="22"/>
        <w:tabs>
          <w:tab w:val="right" w:leader="dot" w:pos="9072"/>
        </w:tabs>
      </w:pPr>
      <w:r>
        <w:fldChar w:fldCharType="begin"/>
      </w:r>
      <w:r>
        <w:instrText xml:space="preserve"> HYPERLINK \l "_Toc22111" </w:instrText>
      </w:r>
      <w:r>
        <w:fldChar w:fldCharType="separate"/>
      </w:r>
      <w:r>
        <w:rPr>
          <w:rFonts w:hint="eastAsia" w:asciiTheme="minorEastAsia" w:hAnsiTheme="minorEastAsia" w:eastAsiaTheme="minorEastAsia" w:cstheme="minorEastAsia"/>
        </w:rPr>
        <w:t>一、评分标准索引表</w:t>
      </w:r>
      <w:r>
        <w:tab/>
      </w:r>
      <w:r>
        <w:fldChar w:fldCharType="begin"/>
      </w:r>
      <w:r>
        <w:instrText xml:space="preserve"> PAGEREF _Toc22111 </w:instrText>
      </w:r>
      <w:r>
        <w:fldChar w:fldCharType="separate"/>
      </w:r>
      <w:r>
        <w:t>41</w:t>
      </w:r>
      <w:r>
        <w:fldChar w:fldCharType="end"/>
      </w:r>
      <w:r>
        <w:fldChar w:fldCharType="end"/>
      </w:r>
    </w:p>
    <w:p>
      <w:pPr>
        <w:pStyle w:val="22"/>
        <w:tabs>
          <w:tab w:val="right" w:leader="dot" w:pos="9072"/>
        </w:tabs>
      </w:pPr>
      <w:r>
        <w:fldChar w:fldCharType="begin"/>
      </w:r>
      <w:r>
        <w:instrText xml:space="preserve"> HYPERLINK \l "_Toc20684" </w:instrText>
      </w:r>
      <w:r>
        <w:fldChar w:fldCharType="separate"/>
      </w:r>
      <w:r>
        <w:rPr>
          <w:rFonts w:hint="eastAsia" w:asciiTheme="minorEastAsia" w:hAnsiTheme="minorEastAsia" w:eastAsiaTheme="minorEastAsia" w:cstheme="minorEastAsia"/>
        </w:rPr>
        <w:t>二、磋商书</w:t>
      </w:r>
      <w:r>
        <w:tab/>
      </w:r>
      <w:r>
        <w:fldChar w:fldCharType="begin"/>
      </w:r>
      <w:r>
        <w:instrText xml:space="preserve"> PAGEREF _Toc20684 </w:instrText>
      </w:r>
      <w:r>
        <w:fldChar w:fldCharType="separate"/>
      </w:r>
      <w:r>
        <w:t>42</w:t>
      </w:r>
      <w:r>
        <w:fldChar w:fldCharType="end"/>
      </w:r>
      <w:r>
        <w:fldChar w:fldCharType="end"/>
      </w:r>
    </w:p>
    <w:p>
      <w:pPr>
        <w:pStyle w:val="22"/>
        <w:tabs>
          <w:tab w:val="right" w:leader="dot" w:pos="9072"/>
        </w:tabs>
      </w:pPr>
      <w:r>
        <w:fldChar w:fldCharType="begin"/>
      </w:r>
      <w:r>
        <w:instrText xml:space="preserve"> HYPERLINK \l "_Toc2610" </w:instrText>
      </w:r>
      <w:r>
        <w:fldChar w:fldCharType="separate"/>
      </w:r>
      <w:r>
        <w:rPr>
          <w:rFonts w:hint="eastAsia" w:asciiTheme="minorEastAsia" w:hAnsiTheme="minorEastAsia" w:eastAsiaTheme="minorEastAsia" w:cstheme="minorEastAsia"/>
        </w:rPr>
        <w:t xml:space="preserve">   三、法定代表人授权书</w:t>
      </w:r>
      <w:r>
        <w:tab/>
      </w:r>
      <w:r>
        <w:fldChar w:fldCharType="begin"/>
      </w:r>
      <w:r>
        <w:instrText xml:space="preserve"> PAGEREF _Toc2610 </w:instrText>
      </w:r>
      <w:r>
        <w:fldChar w:fldCharType="separate"/>
      </w:r>
      <w:r>
        <w:t>43</w:t>
      </w:r>
      <w:r>
        <w:fldChar w:fldCharType="end"/>
      </w:r>
      <w:r>
        <w:fldChar w:fldCharType="end"/>
      </w:r>
    </w:p>
    <w:p>
      <w:pPr>
        <w:pStyle w:val="22"/>
        <w:tabs>
          <w:tab w:val="right" w:leader="dot" w:pos="9072"/>
        </w:tabs>
      </w:pPr>
      <w:r>
        <w:fldChar w:fldCharType="begin"/>
      </w:r>
      <w:r>
        <w:instrText xml:space="preserve"> HYPERLINK \l "_Toc10475" </w:instrText>
      </w:r>
      <w:r>
        <w:fldChar w:fldCharType="separate"/>
      </w:r>
      <w:r>
        <w:rPr>
          <w:rFonts w:hint="eastAsia" w:asciiTheme="minorEastAsia" w:hAnsiTheme="minorEastAsia" w:eastAsiaTheme="minorEastAsia" w:cstheme="minorEastAsia"/>
          <w:bCs/>
          <w:kern w:val="0"/>
          <w:szCs w:val="21"/>
        </w:rPr>
        <w:t xml:space="preserve">  三、</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_Toc10475 </w:instrText>
      </w:r>
      <w:r>
        <w:fldChar w:fldCharType="separate"/>
      </w:r>
      <w:r>
        <w:t>44</w:t>
      </w:r>
      <w:r>
        <w:fldChar w:fldCharType="end"/>
      </w:r>
      <w:r>
        <w:fldChar w:fldCharType="end"/>
      </w:r>
    </w:p>
    <w:p>
      <w:pPr>
        <w:pStyle w:val="22"/>
        <w:tabs>
          <w:tab w:val="right" w:leader="dot" w:pos="9072"/>
        </w:tabs>
      </w:pPr>
      <w:r>
        <w:fldChar w:fldCharType="begin"/>
      </w:r>
      <w:r>
        <w:instrText xml:space="preserve"> HYPERLINK \l "_Toc23856" </w:instrText>
      </w:r>
      <w:r>
        <w:fldChar w:fldCharType="separate"/>
      </w:r>
      <w:r>
        <w:rPr>
          <w:rFonts w:hint="eastAsia" w:asciiTheme="minorEastAsia" w:hAnsiTheme="minorEastAsia" w:eastAsiaTheme="minorEastAsia" w:cstheme="minorEastAsia"/>
          <w:bCs/>
          <w:szCs w:val="21"/>
        </w:rPr>
        <w:t>四、报价一览表</w:t>
      </w:r>
      <w:r>
        <w:tab/>
      </w:r>
      <w:r>
        <w:fldChar w:fldCharType="begin"/>
      </w:r>
      <w:r>
        <w:instrText xml:space="preserve"> PAGEREF _Toc23856 </w:instrText>
      </w:r>
      <w:r>
        <w:fldChar w:fldCharType="separate"/>
      </w:r>
      <w:r>
        <w:t>45</w:t>
      </w:r>
      <w:r>
        <w:fldChar w:fldCharType="end"/>
      </w:r>
      <w:r>
        <w:fldChar w:fldCharType="end"/>
      </w:r>
    </w:p>
    <w:p>
      <w:pPr>
        <w:pStyle w:val="22"/>
        <w:tabs>
          <w:tab w:val="right" w:leader="dot" w:pos="9072"/>
        </w:tabs>
      </w:pPr>
      <w:r>
        <w:fldChar w:fldCharType="begin"/>
      </w:r>
      <w:r>
        <w:instrText xml:space="preserve"> HYPERLINK \l "_Toc31617" </w:instrText>
      </w:r>
      <w:r>
        <w:fldChar w:fldCharType="separate"/>
      </w:r>
      <w:r>
        <w:rPr>
          <w:rFonts w:hint="eastAsia" w:asciiTheme="minorEastAsia" w:hAnsiTheme="minorEastAsia" w:eastAsiaTheme="minorEastAsia" w:cstheme="minorEastAsia"/>
          <w:bCs/>
          <w:szCs w:val="21"/>
        </w:rPr>
        <w:t>五、报价费用构成表</w:t>
      </w:r>
      <w:r>
        <w:tab/>
      </w:r>
      <w:r>
        <w:fldChar w:fldCharType="begin"/>
      </w:r>
      <w:r>
        <w:instrText xml:space="preserve"> PAGEREF _Toc31617 </w:instrText>
      </w:r>
      <w:r>
        <w:fldChar w:fldCharType="separate"/>
      </w:r>
      <w:r>
        <w:t>46</w:t>
      </w:r>
      <w:r>
        <w:fldChar w:fldCharType="end"/>
      </w:r>
      <w:r>
        <w:fldChar w:fldCharType="end"/>
      </w:r>
    </w:p>
    <w:p>
      <w:pPr>
        <w:pStyle w:val="22"/>
        <w:tabs>
          <w:tab w:val="right" w:leader="dot" w:pos="9072"/>
        </w:tabs>
      </w:pPr>
      <w:r>
        <w:fldChar w:fldCharType="begin"/>
      </w:r>
      <w:r>
        <w:instrText xml:space="preserve"> HYPERLINK \l "_Toc27104" </w:instrText>
      </w:r>
      <w:r>
        <w:fldChar w:fldCharType="separate"/>
      </w:r>
      <w:r>
        <w:rPr>
          <w:rFonts w:hint="eastAsia" w:asciiTheme="minorEastAsia" w:hAnsiTheme="minorEastAsia" w:eastAsiaTheme="minorEastAsia" w:cstheme="minorEastAsia"/>
          <w:bCs/>
          <w:szCs w:val="21"/>
        </w:rPr>
        <w:t>六、耗材清单</w:t>
      </w:r>
      <w:r>
        <w:tab/>
      </w:r>
      <w:r>
        <w:fldChar w:fldCharType="begin"/>
      </w:r>
      <w:r>
        <w:instrText xml:space="preserve"> PAGEREF _Toc27104 </w:instrText>
      </w:r>
      <w:r>
        <w:fldChar w:fldCharType="separate"/>
      </w:r>
      <w:r>
        <w:t>47</w:t>
      </w:r>
      <w:r>
        <w:fldChar w:fldCharType="end"/>
      </w:r>
      <w:r>
        <w:fldChar w:fldCharType="end"/>
      </w:r>
    </w:p>
    <w:p>
      <w:pPr>
        <w:pStyle w:val="22"/>
        <w:tabs>
          <w:tab w:val="right" w:leader="dot" w:pos="9072"/>
        </w:tabs>
      </w:pPr>
      <w:r>
        <w:fldChar w:fldCharType="begin"/>
      </w:r>
      <w:r>
        <w:instrText xml:space="preserve"> HYPERLINK \l "_Toc4793" </w:instrText>
      </w:r>
      <w:r>
        <w:fldChar w:fldCharType="separate"/>
      </w:r>
      <w:r>
        <w:rPr>
          <w:rFonts w:hint="eastAsia" w:asciiTheme="minorEastAsia" w:hAnsiTheme="minorEastAsia" w:eastAsiaTheme="minorEastAsia" w:cstheme="minorEastAsia"/>
          <w:bCs/>
          <w:szCs w:val="21"/>
        </w:rPr>
        <w:t>七、拟投入设备/备件、工具情况</w:t>
      </w:r>
      <w:r>
        <w:tab/>
      </w:r>
      <w:r>
        <w:fldChar w:fldCharType="begin"/>
      </w:r>
      <w:r>
        <w:instrText xml:space="preserve"> PAGEREF _Toc4793 </w:instrText>
      </w:r>
      <w:r>
        <w:fldChar w:fldCharType="separate"/>
      </w:r>
      <w:r>
        <w:t>48</w:t>
      </w:r>
      <w:r>
        <w:fldChar w:fldCharType="end"/>
      </w:r>
      <w:r>
        <w:fldChar w:fldCharType="end"/>
      </w:r>
    </w:p>
    <w:p>
      <w:pPr>
        <w:pStyle w:val="22"/>
        <w:tabs>
          <w:tab w:val="right" w:leader="dot" w:pos="9072"/>
        </w:tabs>
      </w:pPr>
      <w:r>
        <w:fldChar w:fldCharType="begin"/>
      </w:r>
      <w:r>
        <w:instrText xml:space="preserve"> HYPERLINK \l "_Toc3195" </w:instrText>
      </w:r>
      <w:r>
        <w:fldChar w:fldCharType="separate"/>
      </w:r>
      <w:r>
        <w:rPr>
          <w:rFonts w:hint="eastAsia" w:asciiTheme="minorEastAsia" w:hAnsiTheme="minorEastAsia" w:eastAsiaTheme="minorEastAsia" w:cstheme="minorEastAsia"/>
          <w:bCs/>
          <w:szCs w:val="21"/>
        </w:rPr>
        <w:t>八、缴纳保证金的银行凭证（如有）</w:t>
      </w:r>
      <w:r>
        <w:tab/>
      </w:r>
      <w:r>
        <w:fldChar w:fldCharType="begin"/>
      </w:r>
      <w:r>
        <w:instrText xml:space="preserve"> PAGEREF _Toc3195 </w:instrText>
      </w:r>
      <w:r>
        <w:fldChar w:fldCharType="separate"/>
      </w:r>
      <w:r>
        <w:t>49</w:t>
      </w:r>
      <w:r>
        <w:fldChar w:fldCharType="end"/>
      </w:r>
      <w:r>
        <w:fldChar w:fldCharType="end"/>
      </w:r>
    </w:p>
    <w:p>
      <w:pPr>
        <w:pStyle w:val="22"/>
        <w:tabs>
          <w:tab w:val="right" w:leader="dot" w:pos="9072"/>
        </w:tabs>
      </w:pPr>
      <w:r>
        <w:fldChar w:fldCharType="begin"/>
      </w:r>
      <w:r>
        <w:instrText xml:space="preserve"> HYPERLINK \l "_Toc4542" </w:instrText>
      </w:r>
      <w:r>
        <w:fldChar w:fldCharType="separate"/>
      </w:r>
      <w:r>
        <w:rPr>
          <w:rFonts w:hint="eastAsia" w:asciiTheme="minorEastAsia" w:hAnsiTheme="minorEastAsia" w:eastAsiaTheme="minorEastAsia" w:cstheme="minorEastAsia"/>
          <w:bCs/>
          <w:szCs w:val="21"/>
        </w:rPr>
        <w:t>九、偏离说明表</w:t>
      </w:r>
      <w:r>
        <w:tab/>
      </w:r>
      <w:r>
        <w:fldChar w:fldCharType="begin"/>
      </w:r>
      <w:r>
        <w:instrText xml:space="preserve"> PAGEREF _Toc4542 </w:instrText>
      </w:r>
      <w:r>
        <w:fldChar w:fldCharType="separate"/>
      </w:r>
      <w:r>
        <w:t>50</w:t>
      </w:r>
      <w:r>
        <w:fldChar w:fldCharType="end"/>
      </w:r>
      <w:r>
        <w:fldChar w:fldCharType="end"/>
      </w:r>
    </w:p>
    <w:p>
      <w:pPr>
        <w:pStyle w:val="22"/>
        <w:tabs>
          <w:tab w:val="right" w:leader="dot" w:pos="9072"/>
        </w:tabs>
      </w:pPr>
      <w:r>
        <w:fldChar w:fldCharType="begin"/>
      </w:r>
      <w:r>
        <w:instrText xml:space="preserve"> HYPERLINK \l "_Toc31755" </w:instrText>
      </w:r>
      <w: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_Toc31755 </w:instrText>
      </w:r>
      <w:r>
        <w:fldChar w:fldCharType="separate"/>
      </w:r>
      <w:r>
        <w:t>51</w:t>
      </w:r>
      <w:r>
        <w:fldChar w:fldCharType="end"/>
      </w:r>
      <w:r>
        <w:fldChar w:fldCharType="end"/>
      </w:r>
    </w:p>
    <w:p>
      <w:pPr>
        <w:pStyle w:val="22"/>
        <w:tabs>
          <w:tab w:val="right" w:leader="dot" w:pos="9072"/>
        </w:tabs>
      </w:pPr>
      <w:r>
        <w:fldChar w:fldCharType="begin"/>
      </w:r>
      <w:r>
        <w:instrText xml:space="preserve"> HYPERLINK \l "_Toc6612" </w:instrText>
      </w:r>
      <w:r>
        <w:fldChar w:fldCharType="separate"/>
      </w:r>
      <w:r>
        <w:rPr>
          <w:rFonts w:hint="eastAsia" w:asciiTheme="minorEastAsia" w:hAnsiTheme="minorEastAsia" w:eastAsiaTheme="minorEastAsia" w:cstheme="minorEastAsia"/>
          <w:bCs/>
          <w:szCs w:val="21"/>
        </w:rPr>
        <w:t>十一、拟投入项目组人员一览表</w:t>
      </w:r>
      <w:r>
        <w:tab/>
      </w:r>
      <w:r>
        <w:fldChar w:fldCharType="begin"/>
      </w:r>
      <w:r>
        <w:instrText xml:space="preserve"> PAGEREF _Toc6612 </w:instrText>
      </w:r>
      <w:r>
        <w:fldChar w:fldCharType="separate"/>
      </w:r>
      <w:r>
        <w:t>52</w:t>
      </w:r>
      <w:r>
        <w:fldChar w:fldCharType="end"/>
      </w:r>
      <w:r>
        <w:fldChar w:fldCharType="end"/>
      </w:r>
    </w:p>
    <w:p>
      <w:pPr>
        <w:pStyle w:val="22"/>
        <w:tabs>
          <w:tab w:val="right" w:leader="dot" w:pos="9072"/>
        </w:tabs>
      </w:pPr>
      <w:r>
        <w:fldChar w:fldCharType="begin"/>
      </w:r>
      <w:r>
        <w:instrText xml:space="preserve"> HYPERLINK \l "_Toc2463" </w:instrText>
      </w:r>
      <w:r>
        <w:fldChar w:fldCharType="separate"/>
      </w: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r>
        <w:tab/>
      </w:r>
      <w:r>
        <w:fldChar w:fldCharType="begin"/>
      </w:r>
      <w:r>
        <w:instrText xml:space="preserve"> PAGEREF _Toc2463 </w:instrText>
      </w:r>
      <w:r>
        <w:fldChar w:fldCharType="separate"/>
      </w:r>
      <w:r>
        <w:t>53</w:t>
      </w:r>
      <w:r>
        <w:fldChar w:fldCharType="end"/>
      </w:r>
      <w:r>
        <w:fldChar w:fldCharType="end"/>
      </w:r>
    </w:p>
    <w:p>
      <w:pPr>
        <w:pStyle w:val="22"/>
        <w:tabs>
          <w:tab w:val="right" w:leader="dot" w:pos="9072"/>
        </w:tabs>
      </w:pPr>
      <w:r>
        <w:fldChar w:fldCharType="begin"/>
      </w:r>
      <w:r>
        <w:instrText xml:space="preserve"> HYPERLINK \l "_Toc316" </w:instrText>
      </w:r>
      <w:r>
        <w:fldChar w:fldCharType="separate"/>
      </w: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tab/>
      </w:r>
      <w:r>
        <w:fldChar w:fldCharType="begin"/>
      </w:r>
      <w:r>
        <w:instrText xml:space="preserve"> PAGEREF _Toc316 </w:instrText>
      </w:r>
      <w:r>
        <w:fldChar w:fldCharType="separate"/>
      </w:r>
      <w:r>
        <w:t>54</w:t>
      </w:r>
      <w:r>
        <w:fldChar w:fldCharType="end"/>
      </w:r>
      <w:r>
        <w:fldChar w:fldCharType="end"/>
      </w:r>
    </w:p>
    <w:p>
      <w:pPr>
        <w:pStyle w:val="22"/>
        <w:tabs>
          <w:tab w:val="right" w:leader="dot" w:pos="9072"/>
        </w:tabs>
      </w:pPr>
      <w:r>
        <w:fldChar w:fldCharType="begin"/>
      </w:r>
      <w:r>
        <w:instrText xml:space="preserve"> HYPERLINK \l "_Toc7704" </w:instrText>
      </w:r>
      <w:r>
        <w:fldChar w:fldCharType="separate"/>
      </w:r>
      <w:r>
        <w:rPr>
          <w:rFonts w:hint="eastAsia" w:asciiTheme="minorEastAsia" w:hAnsiTheme="minorEastAsia" w:eastAsiaTheme="minorEastAsia" w:cstheme="minorEastAsia"/>
        </w:rPr>
        <w:t>十五、中小企业声明函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_Toc7704 </w:instrText>
      </w:r>
      <w:r>
        <w:fldChar w:fldCharType="separate"/>
      </w:r>
      <w:r>
        <w:t>56</w:t>
      </w:r>
      <w:r>
        <w:fldChar w:fldCharType="end"/>
      </w:r>
      <w:r>
        <w:fldChar w:fldCharType="end"/>
      </w:r>
    </w:p>
    <w:p>
      <w:pPr>
        <w:pStyle w:val="22"/>
        <w:tabs>
          <w:tab w:val="right" w:leader="dot" w:pos="9072"/>
        </w:tabs>
      </w:pPr>
      <w:r>
        <w:fldChar w:fldCharType="begin"/>
      </w:r>
      <w:r>
        <w:instrText xml:space="preserve"> HYPERLINK \l "_Toc29270" </w:instrText>
      </w:r>
      <w:r>
        <w:fldChar w:fldCharType="separate"/>
      </w:r>
      <w:r>
        <w:rPr>
          <w:rFonts w:hint="eastAsia" w:asciiTheme="minorEastAsia" w:hAnsiTheme="minorEastAsia" w:eastAsiaTheme="minorEastAsia" w:cstheme="minorEastAsia"/>
          <w:bCs/>
          <w:spacing w:val="6"/>
          <w:szCs w:val="21"/>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_Toc29270 </w:instrText>
      </w:r>
      <w:r>
        <w:fldChar w:fldCharType="separate"/>
      </w:r>
      <w:r>
        <w:t>57</w:t>
      </w:r>
      <w:r>
        <w:fldChar w:fldCharType="end"/>
      </w:r>
      <w:r>
        <w:fldChar w:fldCharType="end"/>
      </w:r>
    </w:p>
    <w:p>
      <w:pPr>
        <w:pStyle w:val="22"/>
        <w:tabs>
          <w:tab w:val="right" w:leader="dot" w:pos="9072"/>
        </w:tabs>
      </w:pPr>
      <w:r>
        <w:fldChar w:fldCharType="begin"/>
      </w:r>
      <w:r>
        <w:instrText xml:space="preserve"> HYPERLINK \l "_Toc4952" </w:instrText>
      </w:r>
      <w:r>
        <w:fldChar w:fldCharType="separate"/>
      </w: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rPr>
        <w:t>十七、</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_Toc4952 </w:instrText>
      </w:r>
      <w:r>
        <w:fldChar w:fldCharType="separate"/>
      </w:r>
      <w:r>
        <w:t>58</w:t>
      </w:r>
      <w:r>
        <w:fldChar w:fldCharType="end"/>
      </w:r>
      <w:r>
        <w:fldChar w:fldCharType="end"/>
      </w:r>
    </w:p>
    <w:p>
      <w:pPr>
        <w:pStyle w:val="22"/>
        <w:tabs>
          <w:tab w:val="right" w:leader="dot" w:pos="9072"/>
        </w:tabs>
      </w:pPr>
      <w:r>
        <w:fldChar w:fldCharType="begin"/>
      </w:r>
      <w:r>
        <w:instrText xml:space="preserve"> HYPERLINK \l "_Toc15506" </w:instrText>
      </w:r>
      <w:r>
        <w:fldChar w:fldCharType="separate"/>
      </w:r>
      <w:r>
        <w:rPr>
          <w:rFonts w:hint="eastAsia" w:asciiTheme="minorEastAsia" w:hAnsiTheme="minorEastAsia" w:eastAsiaTheme="minorEastAsia" w:cstheme="minorEastAsia"/>
        </w:rPr>
        <w:t>十八、节能环保产品证明材料（若符合）</w:t>
      </w:r>
      <w:r>
        <w:tab/>
      </w:r>
      <w:r>
        <w:fldChar w:fldCharType="begin"/>
      </w:r>
      <w:r>
        <w:instrText xml:space="preserve"> PAGEREF _Toc15506 </w:instrText>
      </w:r>
      <w:r>
        <w:fldChar w:fldCharType="separate"/>
      </w:r>
      <w:r>
        <w:t>59</w:t>
      </w:r>
      <w:r>
        <w:fldChar w:fldCharType="end"/>
      </w:r>
      <w:r>
        <w:fldChar w:fldCharType="end"/>
      </w:r>
    </w:p>
    <w:p>
      <w:pPr>
        <w:pStyle w:val="22"/>
        <w:tabs>
          <w:tab w:val="right" w:leader="dot" w:pos="9072"/>
        </w:tabs>
      </w:pPr>
      <w:r>
        <w:fldChar w:fldCharType="begin"/>
      </w:r>
      <w:r>
        <w:instrText xml:space="preserve"> HYPERLINK \l "_Toc11218" </w:instrText>
      </w:r>
      <w:r>
        <w:fldChar w:fldCharType="separate"/>
      </w:r>
      <w:r>
        <w:rPr>
          <w:rFonts w:hint="eastAsia" w:asciiTheme="minorEastAsia" w:hAnsiTheme="minorEastAsia" w:eastAsiaTheme="minorEastAsia" w:cstheme="minorEastAsia"/>
          <w:bCs/>
          <w:spacing w:val="6"/>
          <w:szCs w:val="21"/>
        </w:rPr>
        <w:t>十九、</w:t>
      </w:r>
      <w:r>
        <w:rPr>
          <w:rFonts w:hint="eastAsia" w:asciiTheme="minorEastAsia" w:hAnsiTheme="minorEastAsia" w:eastAsiaTheme="minorEastAsia" w:cstheme="minorEastAsia"/>
        </w:rPr>
        <w:t>无重大违法记录声明</w:t>
      </w:r>
      <w:r>
        <w:tab/>
      </w:r>
      <w:r>
        <w:fldChar w:fldCharType="begin"/>
      </w:r>
      <w:r>
        <w:instrText xml:space="preserve"> PAGEREF _Toc11218 </w:instrText>
      </w:r>
      <w:r>
        <w:fldChar w:fldCharType="separate"/>
      </w:r>
      <w:r>
        <w:t>60</w:t>
      </w:r>
      <w:r>
        <w:fldChar w:fldCharType="end"/>
      </w:r>
      <w:r>
        <w:fldChar w:fldCharType="end"/>
      </w:r>
    </w:p>
    <w:p>
      <w:pPr>
        <w:pStyle w:val="22"/>
        <w:tabs>
          <w:tab w:val="right" w:leader="dot" w:pos="9072"/>
        </w:tabs>
      </w:pPr>
      <w:r>
        <w:fldChar w:fldCharType="begin"/>
      </w:r>
      <w:r>
        <w:instrText xml:space="preserve"> HYPERLINK \l "_Toc11829" </w:instrText>
      </w:r>
      <w:r>
        <w:fldChar w:fldCharType="separate"/>
      </w:r>
      <w:r>
        <w:rPr>
          <w:rFonts w:hint="eastAsia" w:asciiTheme="minorEastAsia" w:hAnsiTheme="minorEastAsia" w:eastAsiaTheme="minorEastAsia" w:cstheme="minorEastAsia"/>
          <w:bCs/>
          <w:spacing w:val="6"/>
          <w:szCs w:val="21"/>
        </w:rPr>
        <w:t>二十、参加本次政府采购活动前3年内发生诉讼及仲裁情况表</w:t>
      </w:r>
      <w:r>
        <w:tab/>
      </w:r>
      <w:r>
        <w:fldChar w:fldCharType="begin"/>
      </w:r>
      <w:r>
        <w:instrText xml:space="preserve"> PAGEREF _Toc11829 </w:instrText>
      </w:r>
      <w:r>
        <w:fldChar w:fldCharType="separate"/>
      </w:r>
      <w:r>
        <w:t>61</w:t>
      </w:r>
      <w:r>
        <w:fldChar w:fldCharType="end"/>
      </w:r>
      <w:r>
        <w:fldChar w:fldCharType="end"/>
      </w:r>
    </w:p>
    <w:p>
      <w:pPr>
        <w:pStyle w:val="22"/>
        <w:tabs>
          <w:tab w:val="right" w:leader="dot" w:pos="9072"/>
        </w:tabs>
      </w:pPr>
      <w:r>
        <w:fldChar w:fldCharType="begin"/>
      </w:r>
      <w:r>
        <w:instrText xml:space="preserve"> HYPERLINK \l "_Toc17368" </w:instrText>
      </w:r>
      <w:r>
        <w:fldChar w:fldCharType="separate"/>
      </w:r>
      <w:r>
        <w:rPr>
          <w:rFonts w:hint="eastAsia" w:asciiTheme="minorEastAsia" w:hAnsiTheme="minorEastAsia" w:eastAsiaTheme="minorEastAsia" w:cstheme="minorEastAsia"/>
          <w:kern w:val="0"/>
          <w:szCs w:val="21"/>
          <w:shd w:val="clear" w:color="auto" w:fill="FFFFFF"/>
        </w:rPr>
        <w:t xml:space="preserve"> </w:t>
      </w:r>
      <w:r>
        <w:rPr>
          <w:rFonts w:hint="eastAsia" w:asciiTheme="minorEastAsia" w:hAnsiTheme="minorEastAsia" w:eastAsiaTheme="minorEastAsia" w:cstheme="minorEastAsia"/>
          <w:bCs/>
          <w:kern w:val="0"/>
          <w:szCs w:val="21"/>
          <w:shd w:val="clear" w:color="auto" w:fill="FFFFFF"/>
        </w:rPr>
        <w:t>二十一、磋商供应商认为应该提交的其它文件（格式自拟）</w:t>
      </w:r>
      <w:r>
        <w:tab/>
      </w:r>
      <w:r>
        <w:fldChar w:fldCharType="begin"/>
      </w:r>
      <w:r>
        <w:instrText xml:space="preserve"> PAGEREF _Toc17368 </w:instrText>
      </w:r>
      <w:r>
        <w:fldChar w:fldCharType="separate"/>
      </w:r>
      <w:r>
        <w:t>61</w:t>
      </w:r>
      <w:r>
        <w:fldChar w:fldCharType="end"/>
      </w:r>
      <w:r>
        <w:fldChar w:fldCharType="end"/>
      </w:r>
    </w:p>
    <w:p>
      <w:pPr>
        <w:jc w:val="left"/>
        <w:rPr>
          <w:rFonts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asciiTheme="minorEastAsia" w:hAnsiTheme="minorEastAsia" w:eastAsiaTheme="minorEastAsia" w:cstheme="minorEastAsia"/>
          <w:sz w:val="36"/>
          <w:szCs w:val="36"/>
        </w:rPr>
      </w:pPr>
      <w:bookmarkStart w:id="0" w:name="_Toc24185"/>
      <w:r>
        <w:rPr>
          <w:rFonts w:hint="eastAsia" w:asciiTheme="minorEastAsia" w:hAnsiTheme="minorEastAsia" w:eastAsiaTheme="minorEastAsia" w:cstheme="minorEastAsia"/>
          <w:sz w:val="36"/>
          <w:szCs w:val="36"/>
        </w:rPr>
        <w:t>竞争性磋商采购公告</w:t>
      </w:r>
      <w:bookmarkEnd w:id="0"/>
    </w:p>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color w:val="000000"/>
          <w:szCs w:val="21"/>
        </w:rPr>
      </w:pPr>
      <w:r>
        <w:rPr>
          <w:rFonts w:hint="eastAsia" w:ascii="宋体" w:hAnsi="宋体" w:cs="宋体"/>
          <w:b/>
          <w:bCs/>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 </w:t>
      </w:r>
      <w:r>
        <w:rPr>
          <w:rFonts w:hint="eastAsia" w:asciiTheme="minorEastAsia" w:hAnsiTheme="minorEastAsia" w:eastAsiaTheme="minorEastAsia" w:cstheme="minorEastAsia"/>
          <w:szCs w:val="21"/>
        </w:rPr>
        <w:t>华中农业大学肥料生产线和虚拟仿真采购项目（包一三次）</w:t>
      </w:r>
      <w:r>
        <w:rPr>
          <w:rFonts w:hint="eastAsia" w:ascii="宋体" w:hAnsi="宋体" w:cs="宋体"/>
          <w:szCs w:val="21"/>
        </w:rPr>
        <w:t>采购项目的潜在供应商应在</w:t>
      </w:r>
      <w:r>
        <w:rPr>
          <w:rFonts w:hint="eastAsia" w:ascii="宋体" w:hAnsi="宋体" w:cs="宋体"/>
          <w:color w:val="000000"/>
          <w:szCs w:val="21"/>
          <w:u w:val="single"/>
        </w:rPr>
        <w:t>中经国</w:t>
      </w:r>
      <w:r>
        <w:rPr>
          <w:rFonts w:hint="eastAsia" w:ascii="宋体" w:hAnsi="宋体" w:cs="宋体"/>
          <w:szCs w:val="21"/>
          <w:u w:val="single"/>
        </w:rPr>
        <w:t>际招标集团有限公司（武昌区中北路岳家嘴立交山河企业大厦48楼4805室）</w:t>
      </w:r>
      <w:r>
        <w:rPr>
          <w:rFonts w:hint="eastAsia" w:ascii="宋体" w:hAnsi="宋体" w:cs="宋体"/>
          <w:szCs w:val="21"/>
        </w:rPr>
        <w:t>获取采购文件，并于</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9</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szCs w:val="21"/>
        </w:rPr>
        <w:t>（北京时间</w:t>
      </w:r>
      <w:r>
        <w:rPr>
          <w:rFonts w:hint="eastAsia" w:ascii="宋体" w:hAnsi="宋体" w:cs="宋体"/>
          <w:color w:val="000000"/>
          <w:szCs w:val="21"/>
        </w:rPr>
        <w:t>）前递交响应文件。</w:t>
      </w:r>
    </w:p>
    <w:p>
      <w:pPr>
        <w:pStyle w:val="4"/>
        <w:numPr>
          <w:ilvl w:val="0"/>
          <w:numId w:val="5"/>
        </w:numPr>
        <w:spacing w:line="360" w:lineRule="auto"/>
        <w:jc w:val="left"/>
        <w:rPr>
          <w:rFonts w:ascii="宋体" w:hAnsi="宋体" w:eastAsia="宋体" w:cs="宋体"/>
          <w:color w:val="000000"/>
          <w:sz w:val="21"/>
          <w:szCs w:val="21"/>
        </w:rPr>
      </w:pPr>
      <w:bookmarkStart w:id="1" w:name="_Toc24710"/>
      <w:r>
        <w:rPr>
          <w:rFonts w:hint="eastAsia" w:ascii="宋体" w:hAnsi="宋体" w:eastAsia="宋体" w:cs="宋体"/>
          <w:color w:val="000000"/>
          <w:sz w:val="21"/>
          <w:szCs w:val="21"/>
        </w:rPr>
        <w:t>项目基本情况</w:t>
      </w:r>
      <w:bookmarkEnd w:id="1"/>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1、项目编号：ZJZB-ZC-202005-144；</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2、采购计划备案号：/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3、项目名称：华中农业大学肥料生产线和虚拟仿真采购项目（包一三次）</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4、采购方式：竞争性磋商</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5、预算金额：人民币</w:t>
      </w:r>
      <w:r>
        <w:rPr>
          <w:rFonts w:hint="eastAsia" w:asciiTheme="minorEastAsia" w:hAnsiTheme="minorEastAsia" w:eastAsiaTheme="minorEastAsia" w:cstheme="minorEastAsia"/>
          <w:szCs w:val="21"/>
          <w:u w:val="single"/>
        </w:rPr>
        <w:t>72</w:t>
      </w:r>
      <w:r>
        <w:rPr>
          <w:rFonts w:hint="eastAsia" w:asciiTheme="minorEastAsia" w:hAnsiTheme="minorEastAsia" w:eastAsiaTheme="minorEastAsia" w:cstheme="minorEastAsia"/>
          <w:szCs w:val="21"/>
        </w:rPr>
        <w:t>万元（含财政资金</w:t>
      </w:r>
      <w:r>
        <w:rPr>
          <w:rFonts w:hint="eastAsia" w:asciiTheme="minorEastAsia" w:hAnsiTheme="minorEastAsia" w:eastAsiaTheme="minorEastAsia" w:cstheme="minorEastAsia"/>
          <w:szCs w:val="21"/>
          <w:u w:val="single"/>
        </w:rPr>
        <w:t>72</w:t>
      </w:r>
      <w:r>
        <w:rPr>
          <w:rFonts w:hint="eastAsia" w:asciiTheme="minorEastAsia" w:hAnsiTheme="minorEastAsia" w:eastAsiaTheme="minorEastAsia" w:cstheme="minorEastAsia"/>
          <w:szCs w:val="21"/>
        </w:rPr>
        <w:t>万元，其他资金</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6、最高限价：人民币</w:t>
      </w:r>
      <w:r>
        <w:rPr>
          <w:rFonts w:hint="eastAsia" w:asciiTheme="minorEastAsia" w:hAnsiTheme="minorEastAsia" w:eastAsiaTheme="minorEastAsia" w:cstheme="minorEastAsia"/>
          <w:szCs w:val="21"/>
          <w:u w:val="single"/>
        </w:rPr>
        <w:t>72</w:t>
      </w:r>
      <w:r>
        <w:rPr>
          <w:rFonts w:hint="eastAsia" w:asciiTheme="minorEastAsia" w:hAnsiTheme="minorEastAsia" w:eastAsiaTheme="minorEastAsia" w:cstheme="minorEastAsia"/>
          <w:szCs w:val="21"/>
        </w:rPr>
        <w:t>万元；</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7、采购需求：</w:t>
      </w:r>
      <w:r>
        <w:rPr>
          <w:rFonts w:hint="eastAsia" w:asciiTheme="minorEastAsia" w:hAnsiTheme="minorEastAsia" w:eastAsiaTheme="minorEastAsia" w:cstheme="minorEastAsia"/>
          <w:szCs w:val="21"/>
          <w:u w:val="single"/>
        </w:rPr>
        <w:t>采购水溶肥生产线、掺混肥生产线和复混肥生产模具；</w:t>
      </w:r>
      <w:r>
        <w:rPr>
          <w:rFonts w:hint="eastAsia" w:asciiTheme="minorEastAsia" w:hAnsiTheme="minorEastAsia" w:eastAsiaTheme="minorEastAsia" w:cstheme="minorEastAsia"/>
          <w:szCs w:val="21"/>
        </w:rPr>
        <w:t>(详见采购文件第三章“项目采购需求”）</w:t>
      </w:r>
    </w:p>
    <w:p>
      <w:pPr>
        <w:numPr>
          <w:ilvl w:val="0"/>
          <w:numId w:val="6"/>
        </w:numPr>
        <w:spacing w:line="360" w:lineRule="auto"/>
        <w:ind w:left="420" w:leftChars="200"/>
        <w:jc w:val="left"/>
        <w:rPr>
          <w:rFonts w:ascii="宋体" w:hAnsi="宋体" w:cs="宋体"/>
          <w:szCs w:val="21"/>
        </w:rPr>
      </w:pPr>
      <w:r>
        <w:rPr>
          <w:rFonts w:hint="eastAsia" w:ascii="宋体" w:hAnsi="宋体" w:cs="宋体"/>
          <w:szCs w:val="21"/>
        </w:rPr>
        <w:t>类别：货物</w:t>
      </w:r>
    </w:p>
    <w:p>
      <w:pPr>
        <w:numPr>
          <w:ilvl w:val="0"/>
          <w:numId w:val="6"/>
        </w:numPr>
        <w:spacing w:line="360" w:lineRule="auto"/>
        <w:ind w:left="420" w:leftChars="200"/>
        <w:jc w:val="left"/>
        <w:rPr>
          <w:rFonts w:ascii="宋体" w:hAnsi="宋体" w:cs="宋体"/>
          <w:szCs w:val="21"/>
          <w:highlight w:val="none"/>
        </w:rPr>
      </w:pPr>
      <w:r>
        <w:rPr>
          <w:rFonts w:hint="eastAsia" w:ascii="宋体" w:hAnsi="宋体" w:cs="宋体"/>
          <w:szCs w:val="21"/>
        </w:rPr>
        <w:t>交货期：</w:t>
      </w:r>
      <w:r>
        <w:rPr>
          <w:rFonts w:hint="eastAsia" w:asciiTheme="minorEastAsia" w:hAnsiTheme="minorEastAsia" w:eastAsiaTheme="minorEastAsia" w:cstheme="minorEastAsia"/>
          <w:szCs w:val="21"/>
        </w:rPr>
        <w:t>合同签</w:t>
      </w:r>
      <w:r>
        <w:rPr>
          <w:rFonts w:hint="eastAsia" w:asciiTheme="minorEastAsia" w:hAnsiTheme="minorEastAsia" w:eastAsiaTheme="minorEastAsia" w:cstheme="minorEastAsia"/>
          <w:szCs w:val="21"/>
          <w:highlight w:val="none"/>
        </w:rPr>
        <w:t>订后</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70</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日历天内供货，</w:t>
      </w:r>
      <w:r>
        <w:rPr>
          <w:rFonts w:hint="eastAsia" w:asciiTheme="minorEastAsia" w:hAnsiTheme="minorEastAsia" w:eastAsiaTheme="minorEastAsia" w:cstheme="minorEastAsia"/>
          <w:szCs w:val="21"/>
          <w:highlight w:val="none"/>
          <w:u w:val="single"/>
        </w:rPr>
        <w:t xml:space="preserve"> 15 </w:t>
      </w:r>
      <w:r>
        <w:rPr>
          <w:rFonts w:hint="eastAsia" w:asciiTheme="minorEastAsia" w:hAnsiTheme="minorEastAsia" w:eastAsiaTheme="minorEastAsia" w:cstheme="minorEastAsia"/>
          <w:szCs w:val="21"/>
          <w:highlight w:val="none"/>
        </w:rPr>
        <w:t>天内完成安装调试</w:t>
      </w:r>
    </w:p>
    <w:p>
      <w:pPr>
        <w:numPr>
          <w:ilvl w:val="0"/>
          <w:numId w:val="6"/>
        </w:numPr>
        <w:spacing w:line="360" w:lineRule="auto"/>
        <w:ind w:left="420" w:leftChars="200"/>
        <w:jc w:val="left"/>
        <w:rPr>
          <w:rFonts w:ascii="宋体" w:hAnsi="宋体" w:cs="宋体"/>
          <w:szCs w:val="21"/>
          <w:highlight w:val="none"/>
        </w:rPr>
      </w:pPr>
      <w:r>
        <w:rPr>
          <w:rFonts w:hint="eastAsia" w:ascii="宋体" w:hAnsi="宋体" w:cs="宋体"/>
          <w:szCs w:val="21"/>
          <w:highlight w:val="none"/>
        </w:rPr>
        <w:t>质保期/保修期：不低于</w:t>
      </w:r>
      <w:r>
        <w:rPr>
          <w:highlight w:val="none"/>
        </w:rPr>
        <w:t>两年</w:t>
      </w:r>
      <w:r>
        <w:rPr>
          <w:rFonts w:hint="eastAsia"/>
          <w:highlight w:val="none"/>
        </w:rPr>
        <w:t>，提供</w:t>
      </w:r>
      <w:r>
        <w:rPr>
          <w:highlight w:val="none"/>
        </w:rPr>
        <w:t>终身维修</w:t>
      </w:r>
      <w:r>
        <w:rPr>
          <w:rFonts w:hint="eastAsia"/>
          <w:highlight w:val="none"/>
        </w:rPr>
        <w:t>服务</w:t>
      </w:r>
    </w:p>
    <w:p>
      <w:pPr>
        <w:numPr>
          <w:ilvl w:val="0"/>
          <w:numId w:val="6"/>
        </w:numPr>
        <w:spacing w:line="360" w:lineRule="auto"/>
        <w:ind w:left="420" w:leftChars="200"/>
        <w:jc w:val="left"/>
        <w:rPr>
          <w:rFonts w:ascii="宋体" w:hAnsi="宋体" w:cs="宋体"/>
          <w:szCs w:val="21"/>
          <w:highlight w:val="none"/>
        </w:rPr>
      </w:pPr>
      <w:r>
        <w:rPr>
          <w:rFonts w:hint="eastAsia" w:ascii="宋体" w:hAnsi="宋体" w:cs="宋体"/>
          <w:szCs w:val="21"/>
          <w:highlight w:val="none"/>
        </w:rPr>
        <w:t>质量标准：达到国家或行业颁布的其他现行各项技术标准和验收规范规定</w:t>
      </w:r>
    </w:p>
    <w:p>
      <w:pPr>
        <w:numPr>
          <w:ilvl w:val="0"/>
          <w:numId w:val="6"/>
        </w:numPr>
        <w:spacing w:line="360" w:lineRule="auto"/>
        <w:ind w:left="420" w:leftChars="200"/>
        <w:jc w:val="left"/>
        <w:rPr>
          <w:rFonts w:ascii="宋体" w:hAnsi="宋体" w:cs="宋体"/>
          <w:szCs w:val="21"/>
          <w:highlight w:val="none"/>
        </w:rPr>
      </w:pPr>
      <w:r>
        <w:rPr>
          <w:rFonts w:hint="eastAsia" w:ascii="宋体" w:hAnsi="宋体" w:cs="宋体"/>
          <w:szCs w:val="21"/>
          <w:highlight w:val="none"/>
        </w:rPr>
        <w:t>其他：供应商参加竞标的报价超过该包采购最高限价的，该包竞标无效；供应商报价须包含该采购需求的全部内容。</w:t>
      </w:r>
    </w:p>
    <w:p>
      <w:pPr>
        <w:spacing w:line="360" w:lineRule="auto"/>
        <w:jc w:val="left"/>
        <w:rPr>
          <w:rFonts w:ascii="宋体" w:hAnsi="宋体" w:cs="宋体"/>
          <w:strike/>
          <w:szCs w:val="21"/>
        </w:rPr>
      </w:pPr>
      <w:r>
        <w:rPr>
          <w:rFonts w:hint="eastAsia" w:ascii="宋体" w:hAnsi="宋体" w:cs="宋体"/>
          <w:szCs w:val="21"/>
          <w:highlight w:val="none"/>
        </w:rPr>
        <w:t>8、合同履行期限：</w:t>
      </w:r>
      <w:r>
        <w:rPr>
          <w:rFonts w:hint="eastAsia" w:asciiTheme="minorEastAsia" w:hAnsiTheme="minorEastAsia" w:eastAsiaTheme="minorEastAsia" w:cstheme="minorEastAsia"/>
          <w:szCs w:val="21"/>
          <w:highlight w:val="none"/>
        </w:rPr>
        <w:t>合同签订后</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70</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日历天</w:t>
      </w:r>
      <w:r>
        <w:rPr>
          <w:rFonts w:hint="eastAsia" w:asciiTheme="minorEastAsia" w:hAnsiTheme="minorEastAsia" w:eastAsiaTheme="minorEastAsia" w:cstheme="minorEastAsia"/>
          <w:szCs w:val="21"/>
        </w:rPr>
        <w:t>内供货，</w:t>
      </w:r>
      <w:r>
        <w:rPr>
          <w:rFonts w:hint="eastAsia" w:asciiTheme="minorEastAsia" w:hAnsiTheme="minorEastAsia" w:eastAsiaTheme="minorEastAsia" w:cstheme="minorEastAsia"/>
          <w:szCs w:val="21"/>
          <w:u w:val="single"/>
        </w:rPr>
        <w:t xml:space="preserve"> 15 </w:t>
      </w:r>
      <w:r>
        <w:rPr>
          <w:rFonts w:hint="eastAsia" w:asciiTheme="minorEastAsia" w:hAnsiTheme="minorEastAsia" w:eastAsiaTheme="minorEastAsia" w:cstheme="minorEastAsia"/>
          <w:szCs w:val="21"/>
        </w:rPr>
        <w:t>天内完成安装调试；</w:t>
      </w:r>
    </w:p>
    <w:p>
      <w:pPr>
        <w:spacing w:line="360" w:lineRule="auto"/>
        <w:jc w:val="left"/>
        <w:rPr>
          <w:rFonts w:ascii="宋体" w:hAnsi="宋体" w:cs="宋体"/>
          <w:szCs w:val="21"/>
        </w:rPr>
      </w:pPr>
      <w:r>
        <w:rPr>
          <w:rFonts w:hint="eastAsia" w:ascii="宋体" w:hAnsi="宋体" w:cs="宋体"/>
          <w:szCs w:val="21"/>
        </w:rPr>
        <w:t>9、本项目</w:t>
      </w:r>
      <w:r>
        <w:rPr>
          <w:rFonts w:hint="eastAsia" w:ascii="宋体" w:hAnsi="宋体" w:cs="宋体"/>
          <w:szCs w:val="21"/>
          <w:u w:val="single"/>
        </w:rPr>
        <w:t>不接受</w:t>
      </w:r>
      <w:r>
        <w:rPr>
          <w:rFonts w:hint="eastAsia" w:ascii="宋体" w:hAnsi="宋体" w:cs="宋体"/>
          <w:szCs w:val="21"/>
        </w:rPr>
        <w:t>联合体竞标；</w:t>
      </w:r>
    </w:p>
    <w:p>
      <w:pPr>
        <w:pStyle w:val="4"/>
        <w:numPr>
          <w:ilvl w:val="0"/>
          <w:numId w:val="5"/>
        </w:numPr>
        <w:spacing w:line="360" w:lineRule="auto"/>
        <w:jc w:val="left"/>
        <w:rPr>
          <w:rFonts w:ascii="宋体" w:hAnsi="宋体" w:eastAsia="宋体" w:cs="宋体"/>
          <w:sz w:val="21"/>
          <w:szCs w:val="21"/>
        </w:rPr>
      </w:pPr>
      <w:bookmarkStart w:id="2" w:name="_Toc20667"/>
      <w:r>
        <w:rPr>
          <w:rFonts w:hint="eastAsia" w:ascii="宋体" w:hAnsi="宋体" w:eastAsia="宋体" w:cs="宋体"/>
          <w:sz w:val="21"/>
          <w:szCs w:val="21"/>
        </w:rPr>
        <w:t>申请人的资格要求</w:t>
      </w:r>
      <w:bookmarkEnd w:id="2"/>
    </w:p>
    <w:p>
      <w:pPr>
        <w:numPr>
          <w:ilvl w:val="0"/>
          <w:numId w:val="7"/>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满足《中华人民共和国政府采购法》第二十二条规定；</w:t>
      </w:r>
    </w:p>
    <w:p>
      <w:pPr>
        <w:spacing w:line="360" w:lineRule="auto"/>
        <w:ind w:left="44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1.1具有独立承担民事责任的能力；</w:t>
      </w:r>
    </w:p>
    <w:p>
      <w:pPr>
        <w:spacing w:line="360" w:lineRule="auto"/>
        <w:ind w:left="420"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1.2具有良好的商业信誉和健全的财务会计制度；</w:t>
      </w:r>
    </w:p>
    <w:p>
      <w:pPr>
        <w:spacing w:line="360" w:lineRule="auto"/>
        <w:ind w:left="420"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1.3具有履行合同所必需的设备和专业技术能力；</w:t>
      </w:r>
    </w:p>
    <w:p>
      <w:pPr>
        <w:spacing w:line="360" w:lineRule="auto"/>
        <w:ind w:left="420"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1.4有依法缴纳税收和社会保障资金的良好记录；</w:t>
      </w:r>
    </w:p>
    <w:p>
      <w:pPr>
        <w:spacing w:line="360" w:lineRule="auto"/>
        <w:ind w:left="420"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1.5参加政府采购活动前三年内，在经营活动中没有重大违法记录；（重大违法记录是指供应商因违法经营受到刑事处罚或者责令停产停业、吊销许可证或者执照、较大数额罚款等行政处罚）</w:t>
      </w:r>
    </w:p>
    <w:p>
      <w:pPr>
        <w:spacing w:line="360" w:lineRule="auto"/>
        <w:ind w:left="420"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1.6法律、行政法规规定的其他条件；</w:t>
      </w:r>
    </w:p>
    <w:p>
      <w:pPr>
        <w:numPr>
          <w:ilvl w:val="0"/>
          <w:numId w:val="7"/>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单位负责人为同一人或者存在直接控股、管理关系的不同投标人，不得参加本项目同一合同项下的政府采购活动。</w:t>
      </w:r>
    </w:p>
    <w:p>
      <w:pPr>
        <w:numPr>
          <w:ilvl w:val="0"/>
          <w:numId w:val="7"/>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为本采购项目提供整体设计、规范编制或者项目管理、监理、检测等服务的，不得再参加本项目的其他招标采购活动。</w:t>
      </w:r>
    </w:p>
    <w:p>
      <w:pPr>
        <w:numPr>
          <w:ilvl w:val="0"/>
          <w:numId w:val="7"/>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未被列入失信被执行人、重大税收违法案件当事人名单，未被列入政府采购严重违法失信行为记录名单。</w:t>
      </w:r>
    </w:p>
    <w:p>
      <w:pPr>
        <w:numPr>
          <w:ilvl w:val="0"/>
          <w:numId w:val="7"/>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政府采购政策需满足的资格要求：本项目需落实政府采购强制、优先采购节能产品政策；政府采购优先采购环保产品政策；政府采购促进中小企业发展（监狱企业、残疾人福利性单位视同小微企业）等政策详见采购文件；</w:t>
      </w:r>
    </w:p>
    <w:p>
      <w:pPr>
        <w:numPr>
          <w:ilvl w:val="0"/>
          <w:numId w:val="7"/>
        </w:num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本项目的特定资格要求：</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6.2供应商营业执照的经营范围需满足采购需求；</w:t>
      </w:r>
    </w:p>
    <w:p>
      <w:pPr>
        <w:pStyle w:val="4"/>
        <w:numPr>
          <w:ilvl w:val="0"/>
          <w:numId w:val="5"/>
        </w:numPr>
        <w:spacing w:line="360" w:lineRule="auto"/>
        <w:jc w:val="left"/>
        <w:rPr>
          <w:rFonts w:ascii="宋体" w:hAnsi="宋体" w:eastAsia="宋体" w:cs="宋体"/>
          <w:sz w:val="21"/>
          <w:szCs w:val="21"/>
        </w:rPr>
      </w:pPr>
      <w:bookmarkStart w:id="3" w:name="_Toc30193"/>
      <w:bookmarkStart w:id="4" w:name="_Toc334539185"/>
      <w:r>
        <w:rPr>
          <w:rFonts w:hint="eastAsia" w:ascii="宋体" w:hAnsi="宋体" w:eastAsia="宋体" w:cs="宋体"/>
          <w:sz w:val="21"/>
          <w:szCs w:val="21"/>
        </w:rPr>
        <w:t>获取采购文件</w:t>
      </w:r>
      <w:bookmarkEnd w:id="3"/>
    </w:p>
    <w:p>
      <w:pPr>
        <w:spacing w:line="360" w:lineRule="auto"/>
        <w:ind w:firstLine="420" w:firstLineChars="20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日至2020年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rPr>
        <w:t>（提供期限自本公告发布之日起至少5个工作日），每天上午09:00至12:00，下午14:30至17:00（北京时间，法定节假日除外）</w:t>
      </w:r>
    </w:p>
    <w:p>
      <w:pPr>
        <w:spacing w:line="360" w:lineRule="auto"/>
        <w:ind w:firstLine="420" w:firstLineChars="200"/>
        <w:jc w:val="left"/>
        <w:rPr>
          <w:rFonts w:ascii="宋体" w:hAnsi="宋体" w:cs="宋体"/>
          <w:szCs w:val="21"/>
        </w:rPr>
      </w:pPr>
      <w:r>
        <w:rPr>
          <w:rFonts w:hint="eastAsia" w:ascii="宋体" w:hAnsi="宋体" w:cs="宋体"/>
          <w:szCs w:val="21"/>
        </w:rPr>
        <w:t>地点：武昌区中北路岳家嘴立交山河企业大厦48楼4805室；</w:t>
      </w:r>
    </w:p>
    <w:p>
      <w:pPr>
        <w:spacing w:line="360" w:lineRule="auto"/>
        <w:ind w:firstLine="420" w:firstLineChars="200"/>
        <w:jc w:val="left"/>
        <w:rPr>
          <w:rFonts w:ascii="宋体" w:hAnsi="宋体" w:cs="宋体"/>
          <w:szCs w:val="21"/>
        </w:rPr>
      </w:pPr>
      <w:r>
        <w:rPr>
          <w:rFonts w:hint="eastAsia" w:ascii="宋体" w:hAnsi="宋体" w:cs="宋体"/>
          <w:szCs w:val="21"/>
        </w:rPr>
        <w:t>现场获取：</w:t>
      </w:r>
      <w:bookmarkEnd w:id="4"/>
      <w:r>
        <w:rPr>
          <w:rFonts w:hint="eastAsia" w:ascii="宋体" w:hAnsi="宋体" w:cs="宋体"/>
          <w:szCs w:val="21"/>
        </w:rPr>
        <w:t>1）法定代表人领取的，凭法定代表人身份证明书（格式见附件）及法定代表人身份证原件领取；2）法定代表人委托他人领取的，凭法定代表人授权书（格式见附件）及受托人身份证原件领取；3）加盖公章的营业执照真彩扫描件、项目报名表（格式见附件）、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cs="宋体"/>
          <w:szCs w:val="21"/>
        </w:rPr>
        <w:br w:type="textWrapping"/>
      </w:r>
      <w:r>
        <w:rPr>
          <w:rFonts w:hint="eastAsia" w:ascii="宋体" w:hAnsi="宋体" w:cs="宋体"/>
          <w:b/>
          <w:bCs/>
          <w:szCs w:val="21"/>
        </w:rPr>
        <w:t xml:space="preserve">    </w:t>
      </w:r>
      <w:r>
        <w:rPr>
          <w:rFonts w:hint="eastAsia" w:ascii="宋体" w:hAnsi="宋体" w:cs="宋体"/>
          <w:szCs w:val="21"/>
        </w:rPr>
        <w:t>售价：采购文件人民币400元/本，售后不退，不办理邮寄；</w:t>
      </w:r>
    </w:p>
    <w:p>
      <w:pPr>
        <w:pStyle w:val="4"/>
        <w:numPr>
          <w:ilvl w:val="0"/>
          <w:numId w:val="5"/>
        </w:numPr>
        <w:spacing w:line="360" w:lineRule="auto"/>
        <w:jc w:val="left"/>
        <w:rPr>
          <w:rFonts w:ascii="宋体" w:hAnsi="宋体" w:eastAsia="宋体" w:cs="宋体"/>
          <w:sz w:val="21"/>
          <w:szCs w:val="21"/>
        </w:rPr>
      </w:pPr>
      <w:bookmarkStart w:id="5" w:name="_Toc3841"/>
      <w:r>
        <w:rPr>
          <w:rFonts w:hint="eastAsia" w:ascii="宋体" w:hAnsi="宋体" w:eastAsia="宋体" w:cs="宋体"/>
          <w:sz w:val="21"/>
          <w:szCs w:val="21"/>
        </w:rPr>
        <w:t>响应文件提交</w:t>
      </w:r>
      <w:bookmarkEnd w:id="5"/>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开始时间：2020年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点</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分（北京时间）</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截止时间：2020年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点</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分（北京时间）</w:t>
      </w:r>
    </w:p>
    <w:p>
      <w:pPr>
        <w:pStyle w:val="92"/>
        <w:widowControl/>
        <w:numPr>
          <w:ilvl w:val="0"/>
          <w:numId w:val="0"/>
        </w:numPr>
        <w:spacing w:line="288" w:lineRule="auto"/>
        <w:ind w:leftChars="0" w:firstLine="420" w:firstLineChars="200"/>
        <w:rPr>
          <w:rFonts w:asciiTheme="minorEastAsia" w:hAnsiTheme="minorEastAsia" w:eastAsiaTheme="minorEastAsia" w:cstheme="minorEastAsia"/>
          <w:sz w:val="21"/>
          <w:szCs w:val="21"/>
          <w:highlight w:val="none"/>
        </w:rPr>
      </w:pPr>
      <w:bookmarkStart w:id="6" w:name="_Toc11052"/>
      <w:r>
        <w:rPr>
          <w:rFonts w:hint="eastAsia" w:asciiTheme="minorEastAsia" w:hAnsiTheme="minorEastAsia" w:eastAsiaTheme="minorEastAsia" w:cstheme="minorEastAsia"/>
          <w:sz w:val="21"/>
          <w:szCs w:val="21"/>
          <w:highlight w:val="none"/>
          <w:lang w:val="en-US" w:eastAsia="zh-CN"/>
        </w:rPr>
        <w:t>地点：</w:t>
      </w:r>
      <w:r>
        <w:rPr>
          <w:rFonts w:hint="eastAsia" w:asciiTheme="minorEastAsia" w:hAnsiTheme="minorEastAsia" w:eastAsiaTheme="minorEastAsia" w:cstheme="minorEastAsia"/>
          <w:sz w:val="21"/>
          <w:szCs w:val="21"/>
          <w:highlight w:val="none"/>
        </w:rPr>
        <w:t>武汉市洪山区狮子山街1号华中农业大学大学生创业孵化器（华中农业大学西大门进门100米处）120会议室</w:t>
      </w:r>
    </w:p>
    <w:p>
      <w:pPr>
        <w:pStyle w:val="4"/>
        <w:numPr>
          <w:ilvl w:val="0"/>
          <w:numId w:val="5"/>
        </w:numPr>
        <w:spacing w:line="360" w:lineRule="auto"/>
        <w:jc w:val="left"/>
        <w:rPr>
          <w:rFonts w:eastAsia="宋体"/>
          <w:sz w:val="21"/>
          <w:szCs w:val="21"/>
        </w:rPr>
      </w:pPr>
      <w:r>
        <w:rPr>
          <w:rFonts w:hint="eastAsia" w:ascii="宋体" w:hAnsi="宋体" w:eastAsia="宋体" w:cs="宋体"/>
          <w:sz w:val="21"/>
          <w:szCs w:val="21"/>
        </w:rPr>
        <w:t>开启</w:t>
      </w:r>
      <w:bookmarkEnd w:id="6"/>
    </w:p>
    <w:p>
      <w:pPr>
        <w:spacing w:line="360" w:lineRule="auto"/>
        <w:ind w:firstLine="420" w:firstLineChars="200"/>
        <w:jc w:val="left"/>
        <w:rPr>
          <w:szCs w:val="21"/>
        </w:rPr>
      </w:pPr>
      <w:r>
        <w:rPr>
          <w:rFonts w:hint="eastAsia" w:ascii="宋体" w:hAnsi="宋体" w:cs="宋体"/>
          <w:szCs w:val="21"/>
        </w:rPr>
        <w:t>时间：2020年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点</w:t>
      </w:r>
      <w:r>
        <w:rPr>
          <w:rFonts w:hint="eastAsia" w:ascii="宋体" w:hAnsi="宋体" w:cs="宋体"/>
          <w:szCs w:val="21"/>
          <w:lang w:val="en-US" w:eastAsia="zh-CN"/>
        </w:rPr>
        <w:t>00</w:t>
      </w:r>
      <w:r>
        <w:rPr>
          <w:rFonts w:hint="eastAsia" w:ascii="宋体" w:hAnsi="宋体" w:cs="宋体"/>
          <w:szCs w:val="21"/>
        </w:rPr>
        <w:t>分（北京时间）</w:t>
      </w:r>
    </w:p>
    <w:p>
      <w:pPr>
        <w:pStyle w:val="4"/>
        <w:numPr>
          <w:ilvl w:val="0"/>
          <w:numId w:val="5"/>
        </w:numPr>
        <w:spacing w:line="360" w:lineRule="auto"/>
        <w:jc w:val="left"/>
        <w:rPr>
          <w:rFonts w:ascii="宋体" w:hAnsi="宋体" w:eastAsia="宋体" w:cs="宋体"/>
          <w:sz w:val="21"/>
          <w:szCs w:val="21"/>
        </w:rPr>
      </w:pPr>
      <w:bookmarkStart w:id="7" w:name="_Toc23624"/>
      <w:r>
        <w:rPr>
          <w:rFonts w:hint="eastAsia" w:ascii="宋体" w:hAnsi="宋体" w:eastAsia="宋体" w:cs="宋体"/>
          <w:sz w:val="21"/>
          <w:szCs w:val="21"/>
        </w:rPr>
        <w:t>公告期限</w:t>
      </w:r>
      <w:bookmarkEnd w:id="7"/>
    </w:p>
    <w:p>
      <w:pPr>
        <w:spacing w:line="360" w:lineRule="auto"/>
        <w:ind w:firstLine="420" w:firstLineChars="200"/>
        <w:jc w:val="left"/>
        <w:rPr>
          <w:rFonts w:ascii="宋体" w:hAnsi="宋体" w:cs="宋体"/>
          <w:szCs w:val="21"/>
        </w:rPr>
      </w:pPr>
      <w:bookmarkStart w:id="8" w:name="_Toc320898024"/>
      <w:bookmarkStart w:id="9" w:name="_Toc317262251"/>
      <w:bookmarkStart w:id="10" w:name="_Toc259607751"/>
      <w:bookmarkStart w:id="11" w:name="_Toc276368888"/>
      <w:bookmarkStart w:id="12" w:name="_Toc334539188"/>
      <w:bookmarkStart w:id="13" w:name="_Toc6021"/>
      <w:r>
        <w:rPr>
          <w:rFonts w:hint="eastAsia" w:ascii="宋体" w:hAnsi="宋体" w:cs="宋体"/>
          <w:szCs w:val="21"/>
        </w:rPr>
        <w:t>自本公告发布之日起至少5个工作日</w:t>
      </w:r>
    </w:p>
    <w:bookmarkEnd w:id="8"/>
    <w:bookmarkEnd w:id="9"/>
    <w:bookmarkEnd w:id="10"/>
    <w:bookmarkEnd w:id="11"/>
    <w:bookmarkEnd w:id="12"/>
    <w:bookmarkEnd w:id="13"/>
    <w:p>
      <w:pPr>
        <w:pStyle w:val="4"/>
        <w:numPr>
          <w:ilvl w:val="0"/>
          <w:numId w:val="5"/>
        </w:numPr>
        <w:spacing w:line="360" w:lineRule="auto"/>
        <w:jc w:val="left"/>
        <w:rPr>
          <w:rFonts w:ascii="宋体" w:hAnsi="宋体" w:eastAsia="宋体" w:cs="宋体"/>
          <w:sz w:val="21"/>
          <w:szCs w:val="21"/>
        </w:rPr>
      </w:pPr>
      <w:bookmarkStart w:id="14" w:name="_Toc17673"/>
      <w:r>
        <w:rPr>
          <w:rFonts w:hint="eastAsia" w:ascii="宋体" w:hAnsi="宋体" w:eastAsia="宋体" w:cs="宋体"/>
          <w:sz w:val="21"/>
          <w:szCs w:val="21"/>
        </w:rPr>
        <w:t>其他补充事宜</w:t>
      </w:r>
      <w:bookmarkEnd w:id="14"/>
    </w:p>
    <w:p>
      <w:pPr>
        <w:spacing w:line="360" w:lineRule="auto"/>
        <w:ind w:firstLine="420" w:firstLineChars="200"/>
        <w:jc w:val="left"/>
        <w:rPr>
          <w:rFonts w:ascii="宋体" w:hAnsi="宋体" w:cs="宋体"/>
          <w:szCs w:val="21"/>
        </w:rPr>
      </w:pPr>
      <w:bookmarkStart w:id="15" w:name="_Toc259028279"/>
      <w:r>
        <w:rPr>
          <w:rFonts w:hint="eastAsia" w:ascii="宋体" w:hAnsi="宋体" w:cs="宋体"/>
          <w:szCs w:val="21"/>
        </w:rPr>
        <w:t>1.本项目是否专门面向中小企业、监狱企业、残疾人福利性单位：否</w:t>
      </w:r>
    </w:p>
    <w:p>
      <w:pPr>
        <w:spacing w:line="360" w:lineRule="auto"/>
        <w:ind w:firstLine="420" w:firstLineChars="200"/>
        <w:jc w:val="left"/>
        <w:rPr>
          <w:rFonts w:ascii="宋体" w:hAnsi="宋体" w:cs="宋体"/>
          <w:szCs w:val="21"/>
        </w:rPr>
      </w:pPr>
      <w:r>
        <w:rPr>
          <w:rFonts w:hint="eastAsia" w:ascii="宋体" w:hAnsi="宋体" w:cs="宋体"/>
          <w:szCs w:val="21"/>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szCs w:val="21"/>
        </w:rPr>
        <w:t>3.供应商如需查询技术要求可直接到我处查阅采购文件第三章相关内容。</w:t>
      </w:r>
      <w:r>
        <w:rPr>
          <w:rFonts w:hint="eastAsia" w:ascii="宋体" w:hAnsi="宋体" w:cs="宋体"/>
          <w:szCs w:val="21"/>
        </w:rPr>
        <w:br w:type="textWrapping"/>
      </w:r>
      <w:r>
        <w:rPr>
          <w:rFonts w:hint="eastAsia" w:ascii="宋体" w:hAnsi="宋体" w:cs="宋体"/>
          <w:szCs w:val="21"/>
        </w:rPr>
        <w:t xml:space="preserve">    4.本项目将在以下网站发布所有信息，请参加本项目竞标的供应商密切关注。</w:t>
      </w:r>
      <w:r>
        <w:rPr>
          <w:rFonts w:hint="eastAsia" w:ascii="宋体" w:hAnsi="宋体" w:cs="宋体"/>
          <w:szCs w:val="21"/>
        </w:rPr>
        <w:br w:type="textWrapping"/>
      </w:r>
      <w:r>
        <w:rPr>
          <w:rFonts w:hint="eastAsia" w:ascii="宋体" w:hAnsi="宋体" w:cs="宋体"/>
          <w:szCs w:val="21"/>
        </w:rPr>
        <w:t xml:space="preserve">    </w:t>
      </w:r>
      <w:r>
        <w:rPr>
          <w:rFonts w:hint="eastAsia" w:asciiTheme="minorEastAsia" w:hAnsiTheme="minorEastAsia" w:eastAsiaTheme="minorEastAsia" w:cstheme="minorEastAsia"/>
          <w:szCs w:val="21"/>
        </w:rPr>
        <w:t>（一）《中国政府采购网》（网址：</w:t>
      </w:r>
      <w:r>
        <w:fldChar w:fldCharType="begin"/>
      </w:r>
      <w:r>
        <w:instrText xml:space="preserve"> HYPERLINK "http://www.ccgp-hubei.gov.cn/）" </w:instrText>
      </w:r>
      <w:r>
        <w:fldChar w:fldCharType="separate"/>
      </w:r>
      <w:r>
        <w:rPr>
          <w:rFonts w:hint="eastAsia" w:asciiTheme="minorEastAsia" w:hAnsiTheme="minorEastAsia" w:eastAsiaTheme="minorEastAsia" w:cstheme="minorEastAsia"/>
          <w:szCs w:val="21"/>
        </w:rPr>
        <w:t>http://www.ccgp.gov.cn/）</w:t>
      </w:r>
      <w:r>
        <w:rPr>
          <w:rFonts w:hint="eastAsia" w:asciiTheme="minorEastAsia" w:hAnsiTheme="minorEastAsia" w:eastAsiaTheme="minorEastAsia" w:cstheme="minorEastAsia"/>
          <w:szCs w:val="21"/>
        </w:rPr>
        <w:fldChar w:fldCharType="end"/>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（二）《中经国际招标集团有限公司官网》（网址：</w:t>
      </w:r>
      <w:r>
        <w:fldChar w:fldCharType="begin"/>
      </w:r>
      <w:r>
        <w:instrText xml:space="preserve"> HYPERLINK "http://www.ccgp-hubei.gov.cn/）" </w:instrText>
      </w:r>
      <w:r>
        <w:fldChar w:fldCharType="separate"/>
      </w:r>
      <w:r>
        <w:rPr>
          <w:rFonts w:hint="eastAsia" w:asciiTheme="minorEastAsia" w:hAnsiTheme="minorEastAsia" w:eastAsiaTheme="minorEastAsia" w:cstheme="minorEastAsia"/>
          <w:szCs w:val="21"/>
        </w:rPr>
        <w:t>http://www.ceitcl.com/）</w:t>
      </w:r>
      <w:r>
        <w:rPr>
          <w:rFonts w:hint="eastAsia" w:asciiTheme="minorEastAsia" w:hAnsiTheme="minorEastAsia" w:eastAsiaTheme="minorEastAsia" w:cstheme="minorEastAsia"/>
          <w:szCs w:val="21"/>
        </w:rPr>
        <w:fldChar w:fldCharType="end"/>
      </w:r>
    </w:p>
    <w:bookmarkEnd w:id="15"/>
    <w:p>
      <w:pPr>
        <w:pStyle w:val="4"/>
        <w:numPr>
          <w:ilvl w:val="0"/>
          <w:numId w:val="5"/>
        </w:numPr>
        <w:spacing w:line="360" w:lineRule="auto"/>
        <w:jc w:val="left"/>
        <w:rPr>
          <w:rFonts w:ascii="宋体" w:hAnsi="宋体" w:eastAsia="宋体" w:cs="宋体"/>
          <w:sz w:val="21"/>
          <w:szCs w:val="21"/>
        </w:rPr>
      </w:pPr>
      <w:bookmarkStart w:id="16" w:name="_Toc12218"/>
      <w:r>
        <w:rPr>
          <w:rFonts w:hint="eastAsia" w:ascii="宋体" w:hAnsi="宋体" w:eastAsia="宋体" w:cs="宋体"/>
          <w:sz w:val="21"/>
          <w:szCs w:val="21"/>
        </w:rPr>
        <w:t>凡对本次采购提出询问，请按以下方式联系</w:t>
      </w:r>
      <w:bookmarkEnd w:id="16"/>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称：华中农业大学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地址：湖北省武汉市洪山区狮子山街1号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联系方式：许老师、027-87282631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称：中经国际招标集团有限公司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址：武昌区中北路岳家嘴立交山河企业大厦48楼4805、4806室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联系方式：027-87820788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3.项目联系方式</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项目联系人：张梦、彭盼明</w:t>
      </w:r>
    </w:p>
    <w:p>
      <w:p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　话：027-87820788</w:t>
      </w:r>
      <w:r>
        <w:rPr>
          <w:rFonts w:hint="eastAsia" w:ascii="宋体" w:hAnsi="宋体" w:cs="宋体"/>
          <w:color w:val="FF0000"/>
          <w:szCs w:val="21"/>
        </w:rPr>
        <w:t>　　</w:t>
      </w:r>
    </w:p>
    <w:p>
      <w:pPr>
        <w:pStyle w:val="4"/>
        <w:numPr>
          <w:ilvl w:val="0"/>
          <w:numId w:val="5"/>
        </w:numPr>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17" w:name="_Toc30016"/>
      <w:r>
        <w:rPr>
          <w:rFonts w:hint="eastAsia" w:asciiTheme="minorEastAsia" w:hAnsiTheme="minorEastAsia" w:eastAsiaTheme="minorEastAsia" w:cstheme="minorEastAsia"/>
          <w:sz w:val="21"/>
          <w:szCs w:val="21"/>
        </w:rPr>
        <w:t>注意事项</w:t>
      </w:r>
      <w:bookmarkEnd w:id="17"/>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asciiTheme="minorEastAsia" w:hAnsiTheme="minorEastAsia" w:eastAsiaTheme="minorEastAsia" w:cstheme="minorEastAsia"/>
        </w:rPr>
      </w:pP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日</w:t>
      </w:r>
    </w:p>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0"/>
        <w:rPr>
          <w:rFonts w:asciiTheme="minorEastAsia" w:hAnsiTheme="minorEastAsia" w:eastAsiaTheme="minorEastAsia" w:cstheme="minorEastAsia"/>
        </w:rPr>
      </w:pPr>
    </w:p>
    <w:p>
      <w:pPr>
        <w:pStyle w:val="3"/>
        <w:numPr>
          <w:ilvl w:val="0"/>
          <w:numId w:val="4"/>
        </w:num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bookmarkStart w:id="18" w:name="_Toc15142"/>
      <w:r>
        <w:rPr>
          <w:rFonts w:hint="eastAsia" w:asciiTheme="minorEastAsia" w:hAnsiTheme="minorEastAsia" w:eastAsiaTheme="minorEastAsia" w:cstheme="minorEastAsia"/>
          <w:sz w:val="36"/>
          <w:szCs w:val="36"/>
        </w:rPr>
        <w:t>供应商须知</w:t>
      </w:r>
      <w:bookmarkEnd w:id="18"/>
    </w:p>
    <w:p>
      <w:pPr>
        <w:autoSpaceDE w:val="0"/>
        <w:autoSpaceDN w:val="0"/>
        <w:adjustRightInd w:val="0"/>
        <w:spacing w:line="360" w:lineRule="auto"/>
        <w:jc w:val="center"/>
        <w:outlineLvl w:val="1"/>
        <w:rPr>
          <w:rFonts w:asciiTheme="minorEastAsia" w:hAnsiTheme="minorEastAsia" w:eastAsiaTheme="minorEastAsia" w:cstheme="minorEastAsia"/>
          <w:b/>
          <w:szCs w:val="21"/>
          <w:lang w:val="zh-CN"/>
        </w:rPr>
      </w:pPr>
      <w:bookmarkStart w:id="19" w:name="_Toc23028"/>
      <w:r>
        <w:rPr>
          <w:rFonts w:hint="eastAsia" w:asciiTheme="minorEastAsia" w:hAnsiTheme="minorEastAsia" w:eastAsiaTheme="minorEastAsia" w:cstheme="minorEastAsia"/>
          <w:b/>
          <w:szCs w:val="21"/>
        </w:rPr>
        <w:t>《供应商须知前附表》</w:t>
      </w:r>
      <w:bookmarkEnd w:id="19"/>
    </w:p>
    <w:p>
      <w:pPr>
        <w:autoSpaceDE w:val="0"/>
        <w:autoSpaceDN w:val="0"/>
        <w:adjustRightIn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条款号</w:t>
            </w:r>
          </w:p>
        </w:tc>
        <w:tc>
          <w:tcPr>
            <w:tcW w:w="2127" w:type="dxa"/>
            <w:shd w:val="clear" w:color="auto" w:fill="F1F1F1"/>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条款名称</w:t>
            </w:r>
          </w:p>
        </w:tc>
        <w:tc>
          <w:tcPr>
            <w:tcW w:w="6130"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采购人</w:t>
            </w:r>
          </w:p>
        </w:tc>
        <w:tc>
          <w:tcPr>
            <w:tcW w:w="6130" w:type="dxa"/>
            <w:vAlign w:val="center"/>
          </w:tcPr>
          <w:p>
            <w:pPr>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监管部门</w:t>
            </w:r>
          </w:p>
        </w:tc>
        <w:tc>
          <w:tcPr>
            <w:tcW w:w="6130" w:type="dxa"/>
            <w:vAlign w:val="center"/>
          </w:tcPr>
          <w:p>
            <w:pPr>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中华人民共和国财政部政府采购管理办公室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采购代理机构</w:t>
            </w:r>
          </w:p>
        </w:tc>
        <w:tc>
          <w:tcPr>
            <w:tcW w:w="6130" w:type="dxa"/>
          </w:tcPr>
          <w:p>
            <w:pPr>
              <w:pStyle w:val="24"/>
              <w:widowControl w:val="0"/>
              <w:autoSpaceDE w:val="0"/>
              <w:autoSpaceDN w:val="0"/>
              <w:adjustRightInd w:val="0"/>
              <w:spacing w:beforeLines="10" w:beforeAutospacing="0" w:afterLines="10" w:afterAutospacing="0"/>
              <w:ind w:left="21" w:leftChars="10"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sz w:val="21"/>
                <w:szCs w:val="21"/>
                <w:lang w:val="zh-CN"/>
              </w:rPr>
              <w:t>详见</w:t>
            </w:r>
            <w:r>
              <w:rPr>
                <w:rFonts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招标代理服务费</w:t>
            </w:r>
          </w:p>
        </w:tc>
        <w:tc>
          <w:tcPr>
            <w:tcW w:w="6130" w:type="dxa"/>
            <w:vAlign w:val="center"/>
          </w:tcPr>
          <w:p>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根据国家发展与改革委员会办公厅发改办价格【2003】857号文的规定，经与采购人协商，由成交供应商按国家发展计划委员会计价格【2002】1980号文规定</w:t>
            </w:r>
            <w:r>
              <w:rPr>
                <w:rFonts w:hint="eastAsia" w:asciiTheme="minorEastAsia" w:hAnsiTheme="minorEastAsia" w:eastAsiaTheme="minorEastAsia" w:cstheme="minorEastAsia"/>
                <w:szCs w:val="21"/>
              </w:rPr>
              <w:t>货物</w:t>
            </w:r>
            <w:r>
              <w:rPr>
                <w:rFonts w:hint="eastAsia" w:asciiTheme="minorEastAsia" w:hAnsiTheme="minorEastAsia" w:eastAsiaTheme="minorEastAsia" w:cstheme="minorEastAsia"/>
                <w:szCs w:val="21"/>
                <w:lang w:val="zh-CN"/>
              </w:rPr>
              <w:t>类取费标准</w:t>
            </w:r>
            <w:r>
              <w:rPr>
                <w:rFonts w:hint="eastAsia" w:asciiTheme="minorEastAsia" w:hAnsiTheme="minorEastAsia" w:eastAsiaTheme="minorEastAsia" w:cstheme="minorEastAsia"/>
                <w:szCs w:val="21"/>
              </w:rPr>
              <w:t>70%</w:t>
            </w:r>
            <w:r>
              <w:rPr>
                <w:rFonts w:hint="eastAsia" w:asciiTheme="minorEastAsia" w:hAnsiTheme="minorEastAsia" w:eastAsiaTheme="minorEastAsia" w:cstheme="minorEastAsia"/>
                <w:szCs w:val="21"/>
                <w:lang w:val="zh-CN"/>
              </w:rPr>
              <w:t>向采购代理机构支付招标代理服务费</w:t>
            </w:r>
            <w:r>
              <w:rPr>
                <w:rFonts w:hint="eastAsia" w:asciiTheme="minorEastAsia" w:hAnsiTheme="minorEastAsia" w:eastAsiaTheme="minorEastAsia" w:cstheme="minorEastAsia"/>
                <w:szCs w:val="21"/>
              </w:rPr>
              <w:t>。招标代理服务费由成交供应商在领取成交通知书的同时，向采购代理机构支付。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提疑截止时间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rPr>
              <w:t>供应商</w:t>
            </w:r>
            <w:r>
              <w:rPr>
                <w:rFonts w:asciiTheme="minorEastAsia" w:hAnsiTheme="minorEastAsia" w:eastAsiaTheme="minorEastAsia" w:cstheme="minorEastAsia"/>
                <w:sz w:val="21"/>
                <w:szCs w:val="21"/>
                <w:lang w:val="zh-CN"/>
              </w:rPr>
              <w:t>对</w:t>
            </w:r>
            <w:r>
              <w:rPr>
                <w:rFonts w:asciiTheme="minorEastAsia" w:hAnsiTheme="minorEastAsia" w:eastAsiaTheme="minorEastAsia" w:cstheme="minorEastAsia"/>
                <w:sz w:val="21"/>
                <w:szCs w:val="21"/>
              </w:rPr>
              <w:t>磋商</w:t>
            </w:r>
            <w:r>
              <w:rPr>
                <w:rFonts w:asciiTheme="minorEastAsia" w:hAnsiTheme="minorEastAsia" w:eastAsiaTheme="minorEastAsia" w:cstheme="minorEastAsia"/>
                <w:sz w:val="21"/>
                <w:szCs w:val="21"/>
                <w:lang w:val="zh-CN"/>
              </w:rPr>
              <w:t>文件有异议</w:t>
            </w:r>
            <w:r>
              <w:rPr>
                <w:rFonts w:asciiTheme="minorEastAsia" w:hAnsiTheme="minorEastAsia" w:eastAsiaTheme="minorEastAsia" w:cstheme="minorEastAsia"/>
                <w:sz w:val="21"/>
                <w:szCs w:val="21"/>
              </w:rPr>
              <w:t>或疑问</w:t>
            </w:r>
            <w:r>
              <w:rPr>
                <w:rFonts w:asciiTheme="minorEastAsia" w:hAnsiTheme="minorEastAsia" w:eastAsiaTheme="minorEastAsia" w:cstheme="minorEastAsia"/>
                <w:sz w:val="21"/>
                <w:szCs w:val="21"/>
                <w:lang w:val="zh-CN"/>
              </w:rPr>
              <w:t>的，均应以书面形式在</w:t>
            </w:r>
          </w:p>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lang w:val="zh-CN"/>
              </w:rPr>
              <w:t>2020年</w:t>
            </w:r>
            <w:r>
              <w:rPr>
                <w:rFonts w:hint="eastAsia" w:asciiTheme="minorEastAsia" w:hAnsiTheme="minorEastAsia" w:eastAsiaTheme="minorEastAsia" w:cstheme="minorEastAsia"/>
                <w:sz w:val="21"/>
                <w:szCs w:val="21"/>
                <w:lang w:val="en-US" w:eastAsia="zh-CN"/>
              </w:rPr>
              <w:t>9</w:t>
            </w:r>
            <w:r>
              <w:rPr>
                <w:rFonts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28</w:t>
            </w:r>
            <w:r>
              <w:rPr>
                <w:rFonts w:asciiTheme="minorEastAsia" w:hAnsiTheme="minorEastAsia" w:eastAsiaTheme="minorEastAsia" w:cstheme="minorEastAsia"/>
                <w:sz w:val="21"/>
                <w:szCs w:val="21"/>
                <w:lang w:val="zh-CN"/>
              </w:rPr>
              <w:t>日</w:t>
            </w:r>
            <w:r>
              <w:rPr>
                <w:rFonts w:asciiTheme="minorEastAsia" w:hAnsiTheme="minorEastAsia" w:eastAsiaTheme="minorEastAsia" w:cstheme="minorEastAsia"/>
                <w:sz w:val="21"/>
                <w:szCs w:val="21"/>
              </w:rPr>
              <w:t>17</w:t>
            </w:r>
            <w:r>
              <w:rPr>
                <w:rFonts w:asciiTheme="minorEastAsia" w:hAnsiTheme="minorEastAsia" w:eastAsiaTheme="minorEastAsia" w:cstheme="minorEastAsia"/>
                <w:sz w:val="21"/>
                <w:szCs w:val="21"/>
                <w:lang w:val="zh-CN"/>
              </w:rPr>
              <w:t>:</w:t>
            </w:r>
            <w:r>
              <w:rPr>
                <w:rFonts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7.1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供应商确认收到磋商</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文件澄清或者修改的</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对多</w:t>
            </w:r>
            <w:r>
              <w:rPr>
                <w:rFonts w:hint="eastAsia" w:asciiTheme="minorEastAsia" w:hAnsiTheme="minorEastAsia" w:eastAsiaTheme="minorEastAsia" w:cstheme="minorEastAsia"/>
                <w:snapToGrid w:val="0"/>
                <w:kern w:val="0"/>
                <w:szCs w:val="21"/>
              </w:rPr>
              <w:t>包</w:t>
            </w:r>
            <w:r>
              <w:rPr>
                <w:rFonts w:hint="eastAsia" w:asciiTheme="minorEastAsia" w:hAnsiTheme="minorEastAsia" w:eastAsiaTheme="minorEastAsia" w:cstheme="minorEastAsia"/>
                <w:snapToGrid w:val="0"/>
                <w:kern w:val="0"/>
                <w:szCs w:val="21"/>
                <w:lang w:val="zh-CN"/>
              </w:rPr>
              <w:t>采购的规定</w:t>
            </w:r>
          </w:p>
        </w:tc>
        <w:tc>
          <w:tcPr>
            <w:tcW w:w="6130" w:type="dxa"/>
          </w:tcPr>
          <w:p>
            <w:pPr>
              <w:autoSpaceDE w:val="0"/>
              <w:autoSpaceDN w:val="0"/>
              <w:adjustRightInd w:val="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w:t>
            </w:r>
            <w:r>
              <w:rPr>
                <w:rFonts w:hint="eastAsia" w:asciiTheme="minorEastAsia" w:hAnsiTheme="minorEastAsia" w:eastAsiaTheme="minorEastAsia" w:cstheme="minorEastAsia"/>
                <w:szCs w:val="21"/>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备选方案</w:t>
            </w:r>
          </w:p>
        </w:tc>
        <w:tc>
          <w:tcPr>
            <w:tcW w:w="6130" w:type="dxa"/>
            <w:vAlign w:val="center"/>
          </w:tcPr>
          <w:p>
            <w:pPr>
              <w:autoSpaceDE w:val="0"/>
              <w:autoSpaceDN w:val="0"/>
              <w:adjustRightInd w:val="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联合体磋商</w:t>
            </w:r>
          </w:p>
        </w:tc>
        <w:tc>
          <w:tcPr>
            <w:tcW w:w="6130" w:type="dxa"/>
            <w:vAlign w:val="center"/>
          </w:tcPr>
          <w:p>
            <w:pPr>
              <w:autoSpaceDE w:val="0"/>
              <w:autoSpaceDN w:val="0"/>
              <w:adjustRightInd w:val="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2"/>
              </w:rPr>
              <w:t>应提交的资格证明文件（实质性要求）</w:t>
            </w:r>
          </w:p>
        </w:tc>
        <w:tc>
          <w:tcPr>
            <w:tcW w:w="6130" w:type="dxa"/>
            <w:vAlign w:val="center"/>
          </w:tcPr>
          <w:p>
            <w:pPr>
              <w:autoSpaceDE w:val="0"/>
              <w:autoSpaceDN w:val="0"/>
              <w:adjustRightInd w:val="0"/>
              <w:snapToGrid w:val="0"/>
              <w:spacing w:beforeLines="10" w:afterLines="10"/>
              <w:ind w:right="21" w:rightChars="10"/>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详见第一章《竞争性磋商采购公告》第二款“资格要求”，须提供的证明文件包括但不限于： </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szCs w:val="21"/>
              </w:rPr>
            </w:pPr>
            <w:r>
              <w:rPr>
                <w:rFonts w:hint="eastAsia" w:asciiTheme="minorEastAsia" w:hAnsiTheme="minorEastAsia" w:eastAsiaTheme="minorEastAsia" w:cstheme="minorEastAsia"/>
              </w:rPr>
              <w:t>营业执照等证明文件或自然人的身份证明（如供应商是企业 （包括合伙企业），应提供在工商部门注册的有效“企业法人营业执照”或“营业执照”；如供应商是事业单位，应提供有效的“事业单位法人证书”；供应商是非企业专业</w:t>
            </w:r>
            <w:r>
              <w:rPr>
                <w:rFonts w:hint="eastAsia" w:asciiTheme="minorEastAsia" w:hAnsiTheme="minorEastAsia" w:eastAsiaTheme="minorEastAsia" w:cstheme="minorEastAsia"/>
                <w:szCs w:val="21"/>
              </w:rPr>
              <w:t>服务机构的，应提供执业许可证等证明文件；如供应商是个体工商户，应提供有效的“个体工商户营业执照”；如供应商是自然人，应提供有效的自然人身份证明）。</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2、具有良好的商业信誉和健全的财务会计制度；</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rPr>
            </w:pPr>
            <w:r>
              <w:rPr>
                <w:rFonts w:hint="eastAsia" w:asciiTheme="minorEastAsia" w:hAnsiTheme="minorEastAsia" w:eastAsiaTheme="minorEastAsia" w:cstheme="minorEastAsia"/>
                <w:szCs w:val="21"/>
              </w:rPr>
              <w:t>良好的商业信誉证明材料（自拟），财务状况报告（供应商是法人的，应提供近前一年</w:t>
            </w:r>
            <w:r>
              <w:rPr>
                <w:rFonts w:hint="eastAsia" w:asciiTheme="minorEastAsia" w:hAnsiTheme="minorEastAsia" w:eastAsiaTheme="minorEastAsia" w:cstheme="minorEastAsia"/>
              </w:rPr>
              <w:t xml:space="preserve">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3、具有履行合同所必需的设备和专业技术能力的证明材料；（自拟）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4、具有依法缴纳税收和社会保障资金的良好记录：（1）供应商依法缴纳税收的证明材料：竞标截止时间前一段时间（至少提供一个月）缴纳税收的凭据（完税证明、缴款书、银行代扣（代缴）转账凭证等均可）；（2）供应商依法缴纳社会保障资金的证明材料：竞标截止时间前一段时间（至少提供一个月）缴纳社会保险的凭据（专用发票或社会保险缴纳清单或转账凭证等均可）；（3）供应商为其他组织或自然人的，也需要按此项规定提供缴纳税收的凭据和缴纳社会保险的凭据；（4）递交响应文件截止时间的当月成立但因税务机关原因导致其尚未依法缴纳税收的供应商，提供依法缴纳税收承诺书原件（格式自拟），该承诺书视同税收缴纳凭据。（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 </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rPr>
            </w:pPr>
            <w:r>
              <w:rPr>
                <w:rFonts w:hint="eastAsia" w:asciiTheme="minorEastAsia" w:hAnsiTheme="minorEastAsia" w:eastAsiaTheme="minorEastAsia" w:cstheme="minorEastAsia"/>
              </w:rPr>
              <w:t xml:space="preserve">5、参加政府采购活动前三年内（不足3年按公司成立时间起算），在经营活动中没有重大违法记录（提供书面声明，格式见磋商文件第六章）； </w:t>
            </w:r>
          </w:p>
          <w:p>
            <w:pPr>
              <w:autoSpaceDE w:val="0"/>
              <w:autoSpaceDN w:val="0"/>
              <w:adjustRightInd w:val="0"/>
              <w:snapToGrid w:val="0"/>
              <w:spacing w:beforeLines="10" w:afterLines="10"/>
              <w:ind w:left="21" w:leftChars="10" w:right="21" w:rightChars="1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6、符合本文件第一章第二款资格要求的所有证明资料。 </w:t>
            </w:r>
          </w:p>
          <w:p>
            <w:pPr>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竞标单位本身，参股或控股单位及独立法人子公司的材料不能作为证明材料，但竞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供应商不得存在的其他情形</w:t>
            </w:r>
          </w:p>
        </w:tc>
        <w:tc>
          <w:tcPr>
            <w:tcW w:w="6130" w:type="dxa"/>
            <w:vAlign w:val="center"/>
          </w:tcPr>
          <w:p>
            <w:pPr>
              <w:numPr>
                <w:ilvl w:val="0"/>
                <w:numId w:val="8"/>
              </w:numPr>
            </w:pPr>
            <w:r>
              <w:rPr>
                <w:rFonts w:hint="eastAsia"/>
              </w:rPr>
              <w:t>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numPr>
                <w:ilvl w:val="0"/>
                <w:numId w:val="8"/>
              </w:numPr>
            </w:pPr>
            <w:r>
              <w:rPr>
                <w:rFonts w:hint="eastAsia"/>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证明响应内容符合竞争性磋商采购文件要求的文件和竞争性磋商采购文件规定的其他资料</w:t>
            </w:r>
          </w:p>
        </w:tc>
        <w:tc>
          <w:tcPr>
            <w:tcW w:w="6130" w:type="dxa"/>
            <w:vAlign w:val="center"/>
          </w:tcPr>
          <w:p>
            <w:r>
              <w:rPr>
                <w:rFonts w:hint="eastAsia"/>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磋商保证金金额、递交方式、时间及接受磋商保证金的帐户信息</w:t>
            </w:r>
          </w:p>
        </w:tc>
        <w:tc>
          <w:tcPr>
            <w:tcW w:w="6130" w:type="dxa"/>
            <w:vAlign w:val="center"/>
          </w:tcPr>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金    额：人民币壹万元整(￥10000.00) </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    名：中经国际招标集团有限公司湖北分公司</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开户银行：中国农业银行股份有限公司武汉岳家嘴支行</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    号：17053001040009288</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r>
              <w:fldChar w:fldCharType="begin"/>
            </w:r>
            <w: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fldChar w:fldCharType="separate"/>
            </w:r>
            <w:r>
              <w:rPr>
                <w:rFonts w:hint="eastAsia" w:asciiTheme="minorEastAsia" w:hAnsiTheme="minorEastAsia" w:eastAsiaTheme="minorEastAsia" w:cstheme="minorEastAsia"/>
                <w:szCs w:val="21"/>
              </w:rPr>
              <w:t>供应商缴纳投标保证金必须从供应商的基本帐户以支票、汇票、本票、电汇或者金融机构、担保机构出具的保函等非现金形式一次性汇至中经国际招标集团有限公司湖北分公司专用账户,截止时间为递交响应文件截止时间，以采购代理公司银行到账信息为准。成交供应商签订合同后须将合同扫描件（PDF版）发送至2102252595@qq.com邮箱备案后方可退还保证金。</w: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w:t>
            </w:r>
          </w:p>
        </w:tc>
        <w:tc>
          <w:tcPr>
            <w:tcW w:w="6130" w:type="dxa"/>
            <w:vAlign w:val="center"/>
          </w:tcPr>
          <w:p>
            <w:pPr>
              <w:autoSpaceDE w:val="0"/>
              <w:autoSpaceDN w:val="0"/>
              <w:adjustRightInd w:val="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自磋商截止时间起共</w:t>
            </w:r>
            <w:r>
              <w:rPr>
                <w:rFonts w:hint="eastAsia" w:asciiTheme="minorEastAsia" w:hAnsiTheme="minorEastAsia" w:eastAsiaTheme="minorEastAsia" w:cstheme="minorEastAsia"/>
                <w:kern w:val="0"/>
                <w:szCs w:val="21"/>
                <w:u w:val="single"/>
              </w:rPr>
              <w:t xml:space="preserve"> 90 </w:t>
            </w:r>
            <w:r>
              <w:rPr>
                <w:rFonts w:hint="eastAsia" w:asciiTheme="minorEastAsia" w:hAnsiTheme="minorEastAsia" w:eastAsiaTheme="minorEastAsia" w:cstheme="minorEastAsia"/>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竞争性磋商响应文件正、副本数量</w:t>
            </w:r>
          </w:p>
        </w:tc>
        <w:tc>
          <w:tcPr>
            <w:tcW w:w="6130" w:type="dxa"/>
            <w:vAlign w:val="center"/>
          </w:tcPr>
          <w:p>
            <w:pPr>
              <w:autoSpaceDE w:val="0"/>
              <w:autoSpaceDN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1、投标文件纸质版：正本一份（</w:t>
            </w:r>
            <w:r>
              <w:rPr>
                <w:rFonts w:hint="eastAsia" w:asciiTheme="minorEastAsia" w:hAnsiTheme="minorEastAsia" w:eastAsiaTheme="minorEastAsia" w:cstheme="minorEastAsia"/>
                <w:b/>
                <w:bCs/>
                <w:szCs w:val="21"/>
              </w:rPr>
              <w:t>需为彩色打印件</w:t>
            </w:r>
            <w:r>
              <w:rPr>
                <w:rFonts w:hint="eastAsia" w:asciiTheme="minorEastAsia" w:hAnsiTheme="minorEastAsia" w:eastAsiaTheme="minorEastAsia" w:cstheme="minorEastAsia"/>
                <w:szCs w:val="21"/>
              </w:rPr>
              <w:t>），副本</w:t>
            </w:r>
            <w:r>
              <w:rPr>
                <w:rFonts w:hint="eastAsia" w:asciiTheme="minorEastAsia" w:hAnsiTheme="minorEastAsia" w:eastAsiaTheme="minorEastAsia" w:cstheme="minorEastAsia"/>
                <w:szCs w:val="21"/>
                <w:u w:val="single"/>
              </w:rPr>
              <w:t xml:space="preserve"> 两 </w:t>
            </w:r>
            <w:r>
              <w:rPr>
                <w:rFonts w:hint="eastAsia" w:asciiTheme="minorEastAsia" w:hAnsiTheme="minorEastAsia" w:eastAsiaTheme="minorEastAsia" w:cstheme="minorEastAsia"/>
                <w:szCs w:val="21"/>
              </w:rPr>
              <w:t>份；</w:t>
            </w:r>
          </w:p>
          <w:p>
            <w:pPr>
              <w:autoSpaceDE w:val="0"/>
              <w:autoSpaceDN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2、投标文件电子版：</w:t>
            </w:r>
          </w:p>
          <w:p>
            <w:pPr>
              <w:autoSpaceDE w:val="0"/>
              <w:autoSpaceDN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□不要求</w:t>
            </w:r>
          </w:p>
          <w:p>
            <w:pPr>
              <w:autoSpaceDE w:val="0"/>
              <w:autoSpaceDN w:val="0"/>
              <w:snapToGrid w:val="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要求，投标文件电子版内容：</w:t>
            </w:r>
            <w:r>
              <w:rPr>
                <w:rFonts w:hint="eastAsia" w:asciiTheme="minorEastAsia" w:hAnsiTheme="minorEastAsia" w:eastAsiaTheme="minorEastAsia" w:cstheme="minorEastAsia"/>
                <w:szCs w:val="21"/>
                <w:u w:val="single"/>
              </w:rPr>
              <w:t xml:space="preserve">与正本保持一致 </w:t>
            </w:r>
          </w:p>
          <w:p>
            <w:pPr>
              <w:autoSpaceDE w:val="0"/>
              <w:autoSpaceDN w:val="0"/>
              <w:snapToGrid w:val="0"/>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投标文件电子版格式：</w:t>
            </w:r>
            <w:r>
              <w:rPr>
                <w:rFonts w:hint="eastAsia" w:asciiTheme="minorEastAsia" w:hAnsiTheme="minorEastAsia" w:eastAsiaTheme="minorEastAsia" w:cstheme="minorEastAsia"/>
                <w:szCs w:val="21"/>
                <w:u w:val="single"/>
              </w:rPr>
              <w:t xml:space="preserve">WORD格式和加盖公章后的PDF扫描件格式；     </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投标文件电子版形式：</w:t>
            </w:r>
            <w:r>
              <w:rPr>
                <w:rFonts w:hint="eastAsia" w:asciiTheme="minorEastAsia" w:hAnsiTheme="minorEastAsia" w:eastAsiaTheme="minorEastAsia" w:cstheme="minorEastAsia"/>
                <w:szCs w:val="21"/>
                <w:u w:val="single"/>
              </w:rPr>
              <w:t xml:space="preserve"> U盘1份  </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b/>
                <w:bCs/>
                <w:szCs w:val="21"/>
              </w:rPr>
              <w:t>3、手持法定代表人授权委托书（或法定代表人身份证明书）、单独密封提供的报价一览表、优惠声明（如有）；</w:t>
            </w:r>
            <w:r>
              <w:rPr>
                <w:rFonts w:hint="eastAsia" w:asciiTheme="minorEastAsia" w:hAnsiTheme="minorEastAsia" w:eastAsiaTheme="minorEastAsia" w:cstheme="minorEastAsia"/>
                <w:szCs w:val="21"/>
                <w:u w:val="single"/>
              </w:rPr>
              <w:t xml:space="preserve"> </w:t>
            </w:r>
          </w:p>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所有响应文件概不退还，响应文件按包分开制作，分开密封。</w:t>
            </w:r>
          </w:p>
          <w:p>
            <w:pPr>
              <w:autoSpaceDE w:val="0"/>
              <w:autoSpaceDN w:val="0"/>
              <w:adjustRightInd w:val="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纸质投标文件应采用胶粘方</w:t>
            </w:r>
            <w:r>
              <w:rPr>
                <w:rFonts w:hint="eastAsia" w:asciiTheme="minorEastAsia" w:hAnsiTheme="minorEastAsia" w:eastAsiaTheme="minorEastAsia" w:cstheme="minorEastAsia"/>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rPr>
              <w:t>19.1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竞争性磋商响应文件的密封和标记</w:t>
            </w:r>
          </w:p>
        </w:tc>
        <w:tc>
          <w:tcPr>
            <w:tcW w:w="6130" w:type="dxa"/>
            <w:vAlign w:val="center"/>
          </w:tcPr>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本条款细化为：</w:t>
            </w:r>
          </w:p>
          <w:p>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响应文件应逐页加盖供应商单位公章（本页正文内容已加盖单位公章的可不加盖），</w:t>
            </w:r>
            <w:r>
              <w:rPr>
                <w:rFonts w:hint="eastAsia" w:asciiTheme="minorEastAsia" w:hAnsiTheme="minorEastAsia" w:eastAsiaTheme="minorEastAsia" w:cstheme="minorEastAsia"/>
                <w:b/>
                <w:bCs/>
                <w:kern w:val="0"/>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19.4</w:t>
            </w:r>
          </w:p>
        </w:tc>
        <w:tc>
          <w:tcPr>
            <w:tcW w:w="2127"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样品</w:t>
            </w:r>
          </w:p>
        </w:tc>
        <w:tc>
          <w:tcPr>
            <w:tcW w:w="6130" w:type="dxa"/>
            <w:vAlign w:val="center"/>
          </w:tcPr>
          <w:p>
            <w:pPr>
              <w:autoSpaceDE w:val="0"/>
              <w:autoSpaceDN w:val="0"/>
              <w:adjustRightInd w:val="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提交样品的相关规定：要求在磋商时提交样品的，应在样品上标明磋商供应商名称。</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退还样品的相关规定：</w:t>
            </w:r>
            <w:r>
              <w:rPr>
                <w:rFonts w:hint="eastAsia" w:asciiTheme="minorEastAsia" w:hAnsiTheme="minorEastAsia" w:eastAsiaTheme="minorEastAsia" w:cstheme="minorEastAsia"/>
                <w:kern w:val="0"/>
                <w:szCs w:val="21"/>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响应文件送达地点及递交截止时间</w:t>
            </w:r>
          </w:p>
        </w:tc>
        <w:tc>
          <w:tcPr>
            <w:tcW w:w="6130" w:type="dxa"/>
            <w:vAlign w:val="center"/>
          </w:tcPr>
          <w:p>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磋商小组人数</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bCs/>
                <w:snapToGrid w:val="0"/>
                <w:kern w:val="0"/>
                <w:szCs w:val="21"/>
              </w:rPr>
              <w:t>磋商代表</w:t>
            </w:r>
          </w:p>
        </w:tc>
        <w:tc>
          <w:tcPr>
            <w:tcW w:w="6130" w:type="dxa"/>
            <w:vAlign w:val="center"/>
          </w:tcPr>
          <w:p>
            <w:pPr>
              <w:autoSpaceDE w:val="0"/>
              <w:autoSpaceDN w:val="0"/>
              <w:adjustRightInd w:val="0"/>
              <w:jc w:val="left"/>
              <w:rPr>
                <w:b/>
                <w:bCs/>
              </w:rPr>
            </w:pPr>
            <w:r>
              <w:rPr>
                <w:rFonts w:hint="eastAsia"/>
                <w:b/>
                <w:bCs/>
                <w:lang w:val="zh-CN"/>
              </w:rPr>
              <w:t>建议供应商拟派出席磋商会议的磋商代表为熟知本项目的技术人员或商务负责人等能</w:t>
            </w:r>
            <w:r>
              <w:rPr>
                <w:rFonts w:hint="eastAsia"/>
                <w:b/>
                <w:bCs/>
              </w:rPr>
              <w:t>为磋商小组详细介绍供应商公司实际情况的</w:t>
            </w:r>
          </w:p>
          <w:p>
            <w:pPr>
              <w:autoSpaceDE w:val="0"/>
              <w:autoSpaceDN w:val="0"/>
              <w:adjustRightInd w:val="0"/>
              <w:jc w:val="left"/>
              <w:rPr>
                <w:b/>
                <w:bCs/>
                <w:lang w:val="zh-CN"/>
              </w:rPr>
            </w:pPr>
            <w:r>
              <w:rPr>
                <w:rFonts w:hint="eastAsia"/>
                <w:b/>
                <w:bCs/>
                <w:lang w:val="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提交最后报价供应商的确定方式</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Cs w:val="21"/>
              </w:rPr>
              <w:t>在指定地点以</w:t>
            </w:r>
            <w:r>
              <w:rPr>
                <w:rFonts w:hint="eastAsia" w:asciiTheme="minorEastAsia" w:hAnsiTheme="minorEastAsia" w:eastAsiaTheme="minorEastAsia" w:cstheme="minorEastAsia"/>
                <w:snapToGrid w:val="0"/>
                <w:kern w:val="0"/>
                <w:szCs w:val="21"/>
                <w:lang w:val="zh-CN"/>
              </w:rPr>
              <w:t>密封</w:t>
            </w:r>
            <w:r>
              <w:rPr>
                <w:rFonts w:hint="eastAsia" w:asciiTheme="minorEastAsia" w:hAnsiTheme="minorEastAsia" w:eastAsiaTheme="minorEastAsia" w:cstheme="minorEastAsia"/>
                <w:snapToGrid w:val="0"/>
                <w:kern w:val="0"/>
                <w:szCs w:val="21"/>
              </w:rPr>
              <w:t>等形式</w:t>
            </w:r>
            <w:r>
              <w:rPr>
                <w:rFonts w:hint="eastAsia" w:asciiTheme="minorEastAsia" w:hAnsiTheme="minorEastAsia" w:eastAsiaTheme="minorEastAsia" w:cstheme="minorEastAsia"/>
                <w:snapToGrid w:val="0"/>
                <w:kern w:val="0"/>
                <w:szCs w:val="21"/>
                <w:lang w:val="zh-CN"/>
              </w:rPr>
              <w:t>递交</w:t>
            </w:r>
            <w:r>
              <w:rPr>
                <w:rFonts w:hint="eastAsia" w:asciiTheme="minorEastAsia" w:hAnsiTheme="minorEastAsia" w:eastAsiaTheme="minorEastAsia" w:cstheme="minorEastAsia"/>
                <w:snapToGrid w:val="0"/>
                <w:kern w:val="0"/>
                <w:szCs w:val="21"/>
              </w:rPr>
              <w:t>给采购代理机构指定现场工作人员或</w:t>
            </w:r>
            <w:r>
              <w:rPr>
                <w:rFonts w:hint="eastAsia" w:asciiTheme="minorEastAsia" w:hAnsiTheme="minorEastAsia" w:eastAsiaTheme="minorEastAsia" w:cstheme="minorEastAsia"/>
                <w:snapToGrid w:val="0"/>
                <w:kern w:val="0"/>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27.3</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推荐成交候选</w:t>
            </w:r>
            <w:r>
              <w:rPr>
                <w:rFonts w:hint="eastAsia" w:asciiTheme="minorEastAsia" w:hAnsiTheme="minorEastAsia" w:eastAsiaTheme="minorEastAsia" w:cstheme="minorEastAsia"/>
                <w:snapToGrid w:val="0"/>
                <w:kern w:val="0"/>
                <w:szCs w:val="21"/>
              </w:rPr>
              <w:t>供应商</w:t>
            </w:r>
            <w:r>
              <w:rPr>
                <w:rFonts w:hint="eastAsia" w:asciiTheme="minorEastAsia" w:hAnsiTheme="minorEastAsia" w:eastAsiaTheme="minorEastAsia" w:cstheme="minorEastAsia"/>
                <w:snapToGrid w:val="0"/>
                <w:kern w:val="0"/>
                <w:szCs w:val="21"/>
                <w:lang w:val="zh-CN"/>
              </w:rPr>
              <w:t>数量</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本项目推荐</w:t>
            </w:r>
            <w:r>
              <w:rPr>
                <w:rFonts w:hint="eastAsia" w:asciiTheme="minorEastAsia" w:hAnsiTheme="minorEastAsia" w:eastAsiaTheme="minorEastAsia" w:cstheme="minorEastAsia"/>
                <w:bCs/>
                <w:kern w:val="44"/>
                <w:szCs w:val="21"/>
                <w:u w:val="single"/>
              </w:rPr>
              <w:t>3</w:t>
            </w:r>
            <w:r>
              <w:rPr>
                <w:rFonts w:hint="eastAsia" w:asciiTheme="minorEastAsia" w:hAnsiTheme="minorEastAsia" w:eastAsiaTheme="minorEastAsia" w:cstheme="minorEastAsia"/>
                <w:bCs/>
                <w:kern w:val="44"/>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28.5</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成交通知书的领</w:t>
            </w:r>
            <w:r>
              <w:rPr>
                <w:rFonts w:hint="eastAsia" w:asciiTheme="minorEastAsia" w:hAnsiTheme="minorEastAsia" w:eastAsiaTheme="minorEastAsia" w:cstheme="minorEastAsia"/>
                <w:snapToGrid w:val="0"/>
                <w:kern w:val="0"/>
                <w:szCs w:val="21"/>
              </w:rPr>
              <w:t>时</w:t>
            </w:r>
            <w:r>
              <w:rPr>
                <w:rFonts w:hint="eastAsia" w:asciiTheme="minorEastAsia" w:hAnsiTheme="minorEastAsia" w:eastAsiaTheme="minorEastAsia" w:cstheme="minorEastAsia"/>
                <w:snapToGrid w:val="0"/>
                <w:kern w:val="0"/>
                <w:szCs w:val="21"/>
                <w:lang w:val="zh-CN"/>
              </w:rPr>
              <w:t>间</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成交通知书与成交结果公告同时发出，成交供应商在成交结果公告</w:t>
            </w:r>
          </w:p>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发布以后即可联系采购代理机构领取。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Lines="10" w:afterLines="10"/>
              <w:ind w:right="21" w:rightChars="10"/>
              <w:jc w:val="center"/>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报价方式</w:t>
            </w:r>
          </w:p>
        </w:tc>
        <w:tc>
          <w:tcPr>
            <w:tcW w:w="6130" w:type="dxa"/>
            <w:vAlign w:val="center"/>
          </w:tcPr>
          <w:p>
            <w:pPr>
              <w:autoSpaceDE w:val="0"/>
              <w:autoSpaceDN w:val="0"/>
              <w:adjustRightInd w:val="0"/>
              <w:snapToGrid w:val="0"/>
              <w:spacing w:beforeLines="10" w:afterLines="10"/>
              <w:ind w:right="21" w:rightChars="10"/>
              <w:jc w:val="left"/>
              <w:rPr>
                <w:lang w:val="zh-CN"/>
              </w:rPr>
            </w:pPr>
            <w:r>
              <w:rPr>
                <w:rFonts w:hint="eastAsia"/>
                <w:lang w:val="zh-CN"/>
              </w:rPr>
              <w:t>本项目竞标报价为“交钥匙”价。竞标报价应包括完成该项目的货物</w:t>
            </w:r>
            <w:r>
              <w:rPr>
                <w:rFonts w:hint="eastAsia"/>
              </w:rPr>
              <w:t>本身</w:t>
            </w:r>
            <w:r>
              <w:rPr>
                <w:rFonts w:hint="eastAsia"/>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Lines="10" w:afterLines="10"/>
              <w:ind w:right="21" w:rightChars="10"/>
              <w:jc w:val="left"/>
              <w:rPr>
                <w:lang w:val="zh-CN"/>
              </w:rPr>
            </w:pPr>
            <w:r>
              <w:rPr>
                <w:rFonts w:hint="eastAsia"/>
                <w:lang w:val="zh-CN"/>
              </w:rPr>
              <w:t>各供应商按此要求进行报价，同时在合同实施过程中还将发生的其它费用</w:t>
            </w:r>
            <w:r>
              <w:rPr>
                <w:rFonts w:hint="eastAsia"/>
              </w:rPr>
              <w:t>也</w:t>
            </w:r>
            <w:r>
              <w:rPr>
                <w:rFonts w:hint="eastAsia"/>
                <w:lang w:val="zh-CN"/>
              </w:rPr>
              <w:t>应包含在总价中，对在合同实施过程中可能发生的其它费用（如：增加耗材、材料涨价、人工、运输成本增加等因素），</w:t>
            </w:r>
            <w:r>
              <w:rPr>
                <w:rFonts w:hint="eastAsia"/>
              </w:rPr>
              <w:t>采购人</w:t>
            </w:r>
            <w:r>
              <w:rPr>
                <w:rFonts w:hint="eastAsia"/>
                <w:lang w:val="zh-CN"/>
              </w:rPr>
              <w:t>概不负责。</w:t>
            </w:r>
          </w:p>
          <w:p>
            <w:pPr>
              <w:autoSpaceDE w:val="0"/>
              <w:autoSpaceDN w:val="0"/>
              <w:adjustRightInd w:val="0"/>
              <w:snapToGrid w:val="0"/>
              <w:spacing w:beforeLines="10" w:afterLines="10"/>
              <w:ind w:right="21" w:rightChars="10"/>
              <w:jc w:val="left"/>
            </w:pPr>
            <w:r>
              <w:rPr>
                <w:rFonts w:hint="eastAsia"/>
                <w:lang w:val="zh-CN"/>
              </w:rPr>
              <w:t>对于</w:t>
            </w:r>
            <w:r>
              <w:rPr>
                <w:rFonts w:hint="eastAsia"/>
              </w:rPr>
              <w:t>磋商</w:t>
            </w:r>
            <w:r>
              <w:rPr>
                <w:rFonts w:hint="eastAsia"/>
                <w:lang w:val="zh-CN"/>
              </w:rPr>
              <w:t>文件未列明，而</w:t>
            </w:r>
            <w:r>
              <w:rPr>
                <w:rFonts w:hint="eastAsia"/>
              </w:rPr>
              <w:t>磋商</w:t>
            </w:r>
            <w:r>
              <w:rPr>
                <w:rFonts w:hint="eastAsia"/>
                <w:lang w:val="zh-CN"/>
              </w:rPr>
              <w:t>供应商认为</w:t>
            </w:r>
            <w:r>
              <w:rPr>
                <w:rFonts w:hint="eastAsia"/>
              </w:rPr>
              <w:t>必须</w:t>
            </w:r>
            <w:r>
              <w:rPr>
                <w:rFonts w:hint="eastAsia"/>
                <w:lang w:val="zh-CN"/>
              </w:rPr>
              <w:t>的费用也需列入总报价。在合同实施时，采购人将不予支付</w:t>
            </w:r>
            <w:r>
              <w:rPr>
                <w:rFonts w:hint="eastAsia"/>
              </w:rPr>
              <w:t>成交</w:t>
            </w:r>
            <w:r>
              <w:rPr>
                <w:rFonts w:hint="eastAsia"/>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核心产品</w:t>
            </w:r>
          </w:p>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（本项目不适用）</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本项目核心产品：</w:t>
            </w:r>
            <w:r>
              <w:rPr>
                <w:rFonts w:hint="eastAsia" w:asciiTheme="minorEastAsia" w:hAnsiTheme="minorEastAsia" w:eastAsiaTheme="minorEastAsia" w:cstheme="minorEastAsia"/>
                <w:u w:val="single"/>
              </w:rPr>
              <w:t>/</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注：</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1.提供相同品牌产品且通过资格审查、符合性审查的不同供应商参</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加同一合同项下投标的，按一家供应商计算，评审后得分最高的同</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品牌供应商获得成交供应商推荐资格；评审得分相同的，采取随机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抽取方式确定，其他同品牌供应商不作为中标候选人。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2.若核心产品不止 1 个，各供应商所投任一核心产品的品牌相同，</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则按一家供应商计算。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☑采购人不组织统一踏勘，请各供应商自行踏勘现场；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□组织，踏勘时间：                            </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踏勘集中地点：</w:t>
            </w:r>
          </w:p>
          <w:p>
            <w:pPr>
              <w:autoSpaceDE w:val="0"/>
              <w:autoSpaceDN w:val="0"/>
              <w:adjustRightInd w:val="0"/>
              <w:snapToGrid w:val="0"/>
              <w:spacing w:beforeLines="10" w:afterLines="10"/>
              <w:ind w:right="21" w:rightChars="10" w:firstLine="840" w:firstLineChars="4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踏勘联系人：   </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注：1、供应商承担踏勘现场所发生的自身费用；</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2、供应商应承担踏勘现场的责任和风险。</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3、采购人在踏勘现场中介绍的项目背景及项目现场和相关的周边环境情况，供应商在编制响应文件时参考，采购人和采购代理机构不对供应商据此作出的判断和决策负责。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bookmarkStart w:id="222" w:name="_GoBack" w:colFirst="1" w:colLast="2"/>
            <w:r>
              <w:rPr>
                <w:rFonts w:hint="eastAsia" w:asciiTheme="minorEastAsia" w:hAnsiTheme="minorEastAsia" w:eastAsiaTheme="minorEastAsia" w:cstheme="minorEastAsia"/>
                <w:szCs w:val="21"/>
              </w:rPr>
              <w:t>4</w:t>
            </w:r>
          </w:p>
        </w:tc>
        <w:tc>
          <w:tcPr>
            <w:tcW w:w="2127" w:type="dxa"/>
            <w:vAlign w:val="center"/>
          </w:tcPr>
          <w:p>
            <w:pPr>
              <w:autoSpaceDE w:val="0"/>
              <w:autoSpaceDN w:val="0"/>
              <w:adjustRightInd w:val="0"/>
              <w:spacing w:beforeLines="10" w:afterLines="10" w:line="360" w:lineRule="auto"/>
              <w:ind w:left="21" w:leftChars="10" w:right="21" w:rightChars="10"/>
              <w:jc w:val="center"/>
              <w:rPr>
                <w:rFonts w:asciiTheme="minorEastAsia" w:hAnsiTheme="minorEastAsia" w:eastAsiaTheme="minorEastAsia" w:cstheme="minorEastAsia"/>
                <w:szCs w:val="21"/>
                <w:highlight w:val="none"/>
              </w:rPr>
            </w:pPr>
            <w:r>
              <w:rPr>
                <w:rFonts w:hint="eastAsia" w:ascii="宋体" w:hAnsi="宋体"/>
                <w:szCs w:val="21"/>
                <w:highlight w:val="none"/>
                <w:lang w:val="zh-CN"/>
              </w:rPr>
              <w:t>付款方式</w:t>
            </w:r>
          </w:p>
        </w:tc>
        <w:tc>
          <w:tcPr>
            <w:tcW w:w="6130" w:type="dxa"/>
            <w:vAlign w:val="center"/>
          </w:tcPr>
          <w:p>
            <w:pPr>
              <w:autoSpaceDE w:val="0"/>
              <w:autoSpaceDN w:val="0"/>
              <w:adjustRightInd w:val="0"/>
              <w:snapToGrid w:val="0"/>
              <w:spacing w:beforeLines="10" w:afterLines="10" w:line="360" w:lineRule="auto"/>
              <w:ind w:right="21" w:rightChars="1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合同签订后</w:t>
            </w:r>
            <w:r>
              <w:rPr>
                <w:rFonts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t>采购人向供应商支付合同价</w:t>
            </w:r>
            <w:r>
              <w:rPr>
                <w:rFonts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rPr>
              <w:t>0%，验收合格后，采购人向供应商支付合同价70%。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27" w:type="dxa"/>
            <w:vAlign w:val="center"/>
          </w:tcPr>
          <w:p>
            <w:pPr>
              <w:autoSpaceDE w:val="0"/>
              <w:autoSpaceDN w:val="0"/>
              <w:adjustRightInd w:val="0"/>
              <w:spacing w:beforeLines="10" w:afterLines="10" w:line="360" w:lineRule="auto"/>
              <w:ind w:left="21" w:leftChars="10" w:right="21" w:rightChars="10"/>
              <w:jc w:val="center"/>
              <w:rPr>
                <w:rFonts w:asciiTheme="minorEastAsia" w:hAnsiTheme="minorEastAsia" w:eastAsiaTheme="minorEastAsia" w:cstheme="minorEastAsia"/>
                <w:szCs w:val="21"/>
                <w:highlight w:val="none"/>
              </w:rPr>
            </w:pPr>
            <w:r>
              <w:rPr>
                <w:rFonts w:hint="eastAsia" w:ascii="宋体" w:hAnsi="宋体"/>
                <w:szCs w:val="21"/>
                <w:highlight w:val="none"/>
                <w:lang w:val="zh-CN"/>
              </w:rPr>
              <w:t>履约保证金</w:t>
            </w:r>
          </w:p>
        </w:tc>
        <w:tc>
          <w:tcPr>
            <w:tcW w:w="6130" w:type="dxa"/>
            <w:vAlign w:val="center"/>
          </w:tcPr>
          <w:p>
            <w:pPr>
              <w:pStyle w:val="10"/>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合同金额的5%；签订合同前5个工作日递交，以支票、汇票、本票等非现金形式提交。验收合格后，履约保证金转为质保金，一年后无质量问题无息退还，按采购人财务处相关规定办理；</w:t>
            </w:r>
          </w:p>
        </w:tc>
      </w:tr>
      <w:bookmarkEnd w:id="222"/>
    </w:tbl>
    <w:p>
      <w:pPr>
        <w:spacing w:line="360" w:lineRule="auto"/>
        <w:outlineLvl w:val="1"/>
        <w:rPr>
          <w:rFonts w:asciiTheme="minorEastAsia" w:hAnsiTheme="minorEastAsia" w:eastAsiaTheme="minorEastAsia" w:cstheme="minorEastAsia"/>
          <w:b/>
          <w:szCs w:val="21"/>
        </w:rPr>
      </w:pPr>
      <w:bookmarkStart w:id="20" w:name="_Toc4374"/>
      <w:r>
        <w:rPr>
          <w:rFonts w:hint="eastAsia" w:asciiTheme="minorEastAsia" w:hAnsiTheme="minorEastAsia" w:eastAsiaTheme="minorEastAsia" w:cstheme="minorEastAsia"/>
          <w:b/>
          <w:szCs w:val="21"/>
        </w:rPr>
        <w:t>供应商须知</w:t>
      </w:r>
      <w:bookmarkEnd w:id="20"/>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21" w:name="_Toc4795"/>
      <w:r>
        <w:rPr>
          <w:rFonts w:hint="eastAsia" w:asciiTheme="minorEastAsia" w:hAnsiTheme="minorEastAsia" w:eastAsiaTheme="minorEastAsia" w:cstheme="minorEastAsia"/>
          <w:b/>
          <w:szCs w:val="21"/>
        </w:rPr>
        <w:t>总则</w:t>
      </w:r>
      <w:bookmarkEnd w:id="21"/>
    </w:p>
    <w:p>
      <w:pPr>
        <w:numPr>
          <w:ilvl w:val="0"/>
          <w:numId w:val="10"/>
        </w:numPr>
        <w:spacing w:line="360" w:lineRule="auto"/>
        <w:ind w:hanging="540"/>
        <w:outlineLvl w:val="1"/>
        <w:rPr>
          <w:rFonts w:asciiTheme="minorEastAsia" w:hAnsiTheme="minorEastAsia" w:eastAsiaTheme="minorEastAsia" w:cstheme="minorEastAsia"/>
          <w:b/>
          <w:szCs w:val="21"/>
        </w:rPr>
      </w:pPr>
      <w:bookmarkStart w:id="22" w:name="_Toc27243"/>
      <w:bookmarkStart w:id="23" w:name="_Toc13216"/>
      <w:r>
        <w:rPr>
          <w:rFonts w:hint="eastAsia" w:asciiTheme="minorEastAsia" w:hAnsiTheme="minorEastAsia" w:eastAsiaTheme="minorEastAsia" w:cstheme="minorEastAsia"/>
          <w:b/>
          <w:szCs w:val="21"/>
        </w:rPr>
        <w:t>适用法律及范围</w:t>
      </w:r>
      <w:bookmarkEnd w:id="22"/>
      <w:bookmarkEnd w:id="23"/>
    </w:p>
    <w:p>
      <w:pPr>
        <w:numPr>
          <w:ilvl w:val="1"/>
          <w:numId w:val="11"/>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0"/>
        </w:numPr>
        <w:spacing w:line="360" w:lineRule="auto"/>
        <w:ind w:hanging="540"/>
        <w:outlineLvl w:val="1"/>
        <w:rPr>
          <w:rFonts w:asciiTheme="minorEastAsia" w:hAnsiTheme="minorEastAsia" w:eastAsiaTheme="minorEastAsia" w:cstheme="minorEastAsia"/>
          <w:b/>
          <w:szCs w:val="21"/>
        </w:rPr>
      </w:pPr>
      <w:bookmarkStart w:id="24" w:name="_Toc20138"/>
      <w:bookmarkStart w:id="25" w:name="_Toc30547"/>
      <w:r>
        <w:rPr>
          <w:rFonts w:hint="eastAsia" w:asciiTheme="minorEastAsia" w:hAnsiTheme="minorEastAsia" w:eastAsiaTheme="minorEastAsia" w:cstheme="minorEastAsia"/>
          <w:b/>
          <w:szCs w:val="21"/>
        </w:rPr>
        <w:t>定义</w:t>
      </w:r>
      <w:bookmarkEnd w:id="24"/>
      <w:bookmarkEnd w:id="25"/>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0"/>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0"/>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0"/>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0"/>
        </w:numPr>
        <w:spacing w:line="360" w:lineRule="auto"/>
        <w:ind w:hanging="540"/>
        <w:outlineLvl w:val="1"/>
        <w:rPr>
          <w:rFonts w:asciiTheme="minorEastAsia" w:hAnsiTheme="minorEastAsia" w:eastAsiaTheme="minorEastAsia" w:cstheme="minorEastAsia"/>
          <w:b/>
          <w:szCs w:val="21"/>
        </w:rPr>
      </w:pPr>
      <w:bookmarkStart w:id="26" w:name="_Toc30413"/>
      <w:bookmarkStart w:id="27" w:name="_Toc30503"/>
      <w:r>
        <w:rPr>
          <w:rFonts w:hint="eastAsia" w:asciiTheme="minorEastAsia" w:hAnsiTheme="minorEastAsia" w:eastAsiaTheme="minorEastAsia" w:cstheme="minorEastAsia"/>
          <w:b/>
          <w:snapToGrid w:val="0"/>
          <w:kern w:val="0"/>
          <w:szCs w:val="21"/>
          <w:lang w:val="zh-CN"/>
        </w:rPr>
        <w:t>工程、货物及服务</w:t>
      </w:r>
      <w:bookmarkEnd w:id="26"/>
      <w:bookmarkEnd w:id="27"/>
    </w:p>
    <w:p>
      <w:pPr>
        <w:numPr>
          <w:ilvl w:val="1"/>
          <w:numId w:val="13"/>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3"/>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0"/>
        </w:numPr>
        <w:spacing w:line="360" w:lineRule="auto"/>
        <w:ind w:hanging="540"/>
        <w:outlineLvl w:val="1"/>
        <w:rPr>
          <w:rFonts w:asciiTheme="minorEastAsia" w:hAnsiTheme="minorEastAsia" w:eastAsiaTheme="minorEastAsia" w:cstheme="minorEastAsia"/>
          <w:b/>
          <w:szCs w:val="21"/>
        </w:rPr>
      </w:pPr>
      <w:bookmarkStart w:id="28" w:name="_Toc9974"/>
      <w:bookmarkStart w:id="29" w:name="_Toc31566"/>
      <w:r>
        <w:rPr>
          <w:rFonts w:hint="eastAsia" w:asciiTheme="minorEastAsia" w:hAnsiTheme="minorEastAsia" w:eastAsiaTheme="minorEastAsia" w:cstheme="minorEastAsia"/>
          <w:b/>
          <w:szCs w:val="21"/>
        </w:rPr>
        <w:t>费用</w:t>
      </w:r>
      <w:bookmarkEnd w:id="28"/>
      <w:bookmarkEnd w:id="29"/>
      <w:r>
        <w:rPr>
          <w:rFonts w:hint="eastAsia" w:asciiTheme="minorEastAsia" w:hAnsiTheme="minorEastAsia" w:eastAsiaTheme="minorEastAsia" w:cstheme="minorEastAsia"/>
          <w:b/>
          <w:szCs w:val="21"/>
        </w:rPr>
        <w:t xml:space="preserve">  </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中标金额（万元）</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100以下</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5000-10000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10000-100000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100000以上</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r>
    </w:tbl>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注：招标代理服务收费按差额定率累进法计算。例如：某货物招标代理业务中标金额为6000万元，计算招标代理服务收费额如下：</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0---100：100×1.500％=15000.000元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100---500：400×1.100％=44000.000元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500---1000：500×0.800％=40000.000元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1000---5000：4000×0.500％=200000.000元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5000---6000：1000×0.250％=25000.000元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合计收费=324000.000元</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30" w:name="_Toc31999"/>
      <w:r>
        <w:rPr>
          <w:rFonts w:hint="eastAsia" w:asciiTheme="minorEastAsia" w:hAnsiTheme="minorEastAsia" w:eastAsiaTheme="minorEastAsia" w:cstheme="minorEastAsia"/>
          <w:b/>
          <w:szCs w:val="21"/>
        </w:rPr>
        <w:t>竞争性磋商采购文件</w:t>
      </w:r>
      <w:bookmarkEnd w:id="30"/>
    </w:p>
    <w:p>
      <w:pPr>
        <w:numPr>
          <w:ilvl w:val="0"/>
          <w:numId w:val="10"/>
        </w:numPr>
        <w:spacing w:line="360" w:lineRule="auto"/>
        <w:ind w:hanging="540"/>
        <w:outlineLvl w:val="1"/>
        <w:rPr>
          <w:rFonts w:asciiTheme="minorEastAsia" w:hAnsiTheme="minorEastAsia" w:eastAsiaTheme="minorEastAsia" w:cstheme="minorEastAsia"/>
          <w:b/>
          <w:szCs w:val="21"/>
        </w:rPr>
      </w:pPr>
      <w:bookmarkStart w:id="31" w:name="_Toc4547"/>
      <w:bookmarkStart w:id="32" w:name="_Toc30845"/>
      <w:r>
        <w:rPr>
          <w:rFonts w:hint="eastAsia" w:asciiTheme="minorEastAsia" w:hAnsiTheme="minorEastAsia" w:eastAsiaTheme="minorEastAsia" w:cstheme="minorEastAsia"/>
          <w:b/>
          <w:szCs w:val="21"/>
        </w:rPr>
        <w:t>竞争性磋商采购文件的构成</w:t>
      </w:r>
      <w:bookmarkEnd w:id="31"/>
      <w:bookmarkEnd w:id="32"/>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磋商公告（代磋商邀请函）</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0"/>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磋商小组在磋商过程中发出的对本磋商文件的实质性变动</w:t>
      </w:r>
    </w:p>
    <w:p>
      <w:pPr>
        <w:numPr>
          <w:ilvl w:val="0"/>
          <w:numId w:val="10"/>
        </w:numPr>
        <w:spacing w:line="360" w:lineRule="auto"/>
        <w:ind w:hanging="540"/>
        <w:outlineLvl w:val="1"/>
        <w:rPr>
          <w:rFonts w:asciiTheme="minorEastAsia" w:hAnsiTheme="minorEastAsia" w:eastAsiaTheme="minorEastAsia" w:cstheme="minorEastAsia"/>
          <w:b/>
          <w:snapToGrid w:val="0"/>
          <w:kern w:val="0"/>
          <w:szCs w:val="21"/>
          <w:lang w:val="zh-CN"/>
        </w:rPr>
      </w:pPr>
      <w:bookmarkStart w:id="33" w:name="_Toc29700"/>
      <w:bookmarkStart w:id="34" w:name="_Toc14791"/>
      <w:r>
        <w:rPr>
          <w:rFonts w:hint="eastAsia" w:asciiTheme="minorEastAsia" w:hAnsiTheme="minorEastAsia" w:eastAsiaTheme="minorEastAsia" w:cstheme="minorEastAsia"/>
          <w:b/>
          <w:snapToGrid w:val="0"/>
          <w:kern w:val="0"/>
          <w:szCs w:val="21"/>
          <w:lang w:val="zh-CN"/>
        </w:rPr>
        <w:t>竞争性磋商采购文件的澄清</w:t>
      </w:r>
      <w:bookmarkEnd w:id="33"/>
      <w:bookmarkEnd w:id="34"/>
    </w:p>
    <w:p>
      <w:pPr>
        <w:numPr>
          <w:ilvl w:val="1"/>
          <w:numId w:val="16"/>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6"/>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6"/>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6"/>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0"/>
        </w:numPr>
        <w:spacing w:line="360" w:lineRule="auto"/>
        <w:ind w:hanging="540"/>
        <w:outlineLvl w:val="1"/>
        <w:rPr>
          <w:rFonts w:asciiTheme="minorEastAsia" w:hAnsiTheme="minorEastAsia" w:eastAsiaTheme="minorEastAsia" w:cstheme="minorEastAsia"/>
          <w:b/>
          <w:snapToGrid w:val="0"/>
          <w:kern w:val="0"/>
          <w:szCs w:val="21"/>
          <w:lang w:val="zh-CN"/>
        </w:rPr>
      </w:pPr>
      <w:bookmarkStart w:id="35" w:name="_Toc31761"/>
      <w:bookmarkStart w:id="36" w:name="_Toc31307"/>
      <w:r>
        <w:rPr>
          <w:rFonts w:hint="eastAsia" w:asciiTheme="minorEastAsia" w:hAnsiTheme="minorEastAsia" w:eastAsiaTheme="minorEastAsia" w:cstheme="minorEastAsia"/>
          <w:b/>
          <w:snapToGrid w:val="0"/>
          <w:kern w:val="0"/>
          <w:szCs w:val="21"/>
          <w:lang w:val="zh-CN"/>
        </w:rPr>
        <w:t>竞争性磋商采购文件的修改</w:t>
      </w:r>
      <w:bookmarkEnd w:id="35"/>
      <w:bookmarkEnd w:id="36"/>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7"/>
        </w:numPr>
        <w:tabs>
          <w:tab w:val="left" w:pos="525"/>
          <w:tab w:val="clear" w:pos="360"/>
        </w:tabs>
        <w:autoSpaceDE w:val="0"/>
        <w:autoSpaceDN w:val="0"/>
        <w:adjustRightInd w:val="0"/>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37" w:name="_Toc3204"/>
      <w:r>
        <w:rPr>
          <w:rFonts w:hint="eastAsia" w:asciiTheme="minorEastAsia" w:hAnsiTheme="minorEastAsia" w:eastAsiaTheme="minorEastAsia" w:cstheme="minorEastAsia"/>
          <w:b/>
          <w:szCs w:val="21"/>
        </w:rPr>
        <w:t>竞争性磋商响应文件</w:t>
      </w:r>
      <w:bookmarkEnd w:id="37"/>
    </w:p>
    <w:p>
      <w:pPr>
        <w:numPr>
          <w:ilvl w:val="0"/>
          <w:numId w:val="10"/>
        </w:numPr>
        <w:spacing w:line="360" w:lineRule="auto"/>
        <w:ind w:hanging="540"/>
        <w:outlineLvl w:val="1"/>
        <w:rPr>
          <w:rFonts w:asciiTheme="minorEastAsia" w:hAnsiTheme="minorEastAsia" w:eastAsiaTheme="minorEastAsia" w:cstheme="minorEastAsia"/>
          <w:snapToGrid w:val="0"/>
          <w:kern w:val="0"/>
          <w:szCs w:val="21"/>
          <w:lang w:val="zh-CN"/>
        </w:rPr>
      </w:pPr>
      <w:bookmarkStart w:id="38" w:name="_Toc30987"/>
      <w:bookmarkStart w:id="39" w:name="_Toc30649"/>
      <w:r>
        <w:rPr>
          <w:rFonts w:hint="eastAsia" w:asciiTheme="minorEastAsia" w:hAnsiTheme="minorEastAsia" w:eastAsiaTheme="minorEastAsia" w:cstheme="minorEastAsia"/>
          <w:b/>
          <w:snapToGrid w:val="0"/>
          <w:kern w:val="0"/>
          <w:szCs w:val="21"/>
          <w:lang w:val="zh-CN"/>
        </w:rPr>
        <w:t>语言和计量单位</w:t>
      </w:r>
      <w:bookmarkEnd w:id="38"/>
      <w:bookmarkEnd w:id="39"/>
    </w:p>
    <w:p>
      <w:pPr>
        <w:numPr>
          <w:ilvl w:val="1"/>
          <w:numId w:val="18"/>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8"/>
        </w:numPr>
        <w:tabs>
          <w:tab w:val="left" w:pos="540"/>
          <w:tab w:val="clear" w:pos="360"/>
        </w:tabs>
        <w:spacing w:line="360" w:lineRule="auto"/>
        <w:ind w:left="540" w:hanging="540"/>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0"/>
        </w:numPr>
        <w:spacing w:line="360" w:lineRule="auto"/>
        <w:ind w:hanging="540"/>
        <w:outlineLvl w:val="1"/>
        <w:rPr>
          <w:rFonts w:asciiTheme="minorEastAsia" w:hAnsiTheme="minorEastAsia" w:eastAsiaTheme="minorEastAsia" w:cstheme="minorEastAsia"/>
          <w:b/>
          <w:snapToGrid w:val="0"/>
          <w:kern w:val="0"/>
          <w:szCs w:val="21"/>
          <w:lang w:val="zh-CN"/>
        </w:rPr>
      </w:pPr>
      <w:bookmarkStart w:id="40" w:name="_Toc32272"/>
      <w:bookmarkStart w:id="41" w:name="_Toc14572"/>
      <w:r>
        <w:rPr>
          <w:rFonts w:hint="eastAsia" w:asciiTheme="minorEastAsia" w:hAnsiTheme="minorEastAsia" w:eastAsiaTheme="minorEastAsia" w:cstheme="minorEastAsia"/>
          <w:b/>
          <w:snapToGrid w:val="0"/>
          <w:kern w:val="0"/>
          <w:szCs w:val="21"/>
          <w:lang w:val="zh-CN"/>
        </w:rPr>
        <w:t>竞争性磋商响应文件的构成</w:t>
      </w:r>
      <w:bookmarkEnd w:id="40"/>
      <w:bookmarkEnd w:id="41"/>
    </w:p>
    <w:p>
      <w:pPr>
        <w:numPr>
          <w:ilvl w:val="1"/>
          <w:numId w:val="19"/>
        </w:numPr>
        <w:tabs>
          <w:tab w:val="left" w:pos="525"/>
          <w:tab w:val="clear" w:pos="360"/>
        </w:tabs>
        <w:autoSpaceDE w:val="0"/>
        <w:autoSpaceDN w:val="0"/>
        <w:adjustRightInd w:val="0"/>
        <w:spacing w:line="360" w:lineRule="auto"/>
        <w:ind w:left="0" w:firstLine="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0"/>
        </w:numPr>
        <w:spacing w:line="360" w:lineRule="auto"/>
        <w:ind w:hanging="540"/>
        <w:outlineLvl w:val="1"/>
        <w:rPr>
          <w:rFonts w:asciiTheme="minorEastAsia" w:hAnsiTheme="minorEastAsia" w:eastAsiaTheme="minorEastAsia" w:cstheme="minorEastAsia"/>
          <w:b/>
          <w:snapToGrid w:val="0"/>
          <w:kern w:val="0"/>
          <w:szCs w:val="21"/>
          <w:lang w:val="zh-CN"/>
        </w:rPr>
      </w:pPr>
      <w:bookmarkStart w:id="42" w:name="_Toc25217"/>
      <w:bookmarkStart w:id="43" w:name="_Toc29580"/>
      <w:r>
        <w:rPr>
          <w:rFonts w:hint="eastAsia" w:asciiTheme="minorEastAsia" w:hAnsiTheme="minorEastAsia" w:eastAsiaTheme="minorEastAsia" w:cstheme="minorEastAsia"/>
          <w:b/>
          <w:snapToGrid w:val="0"/>
          <w:kern w:val="0"/>
          <w:szCs w:val="21"/>
          <w:lang w:val="zh-CN"/>
        </w:rPr>
        <w:t>竞争性磋商响应文件的编制</w:t>
      </w:r>
      <w:bookmarkEnd w:id="42"/>
      <w:bookmarkEnd w:id="43"/>
    </w:p>
    <w:p>
      <w:pPr>
        <w:numPr>
          <w:ilvl w:val="1"/>
          <w:numId w:val="20"/>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0"/>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0"/>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0"/>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0"/>
        </w:numPr>
        <w:spacing w:line="360" w:lineRule="auto"/>
        <w:ind w:hanging="540"/>
        <w:outlineLvl w:val="1"/>
        <w:rPr>
          <w:rFonts w:asciiTheme="minorEastAsia" w:hAnsiTheme="minorEastAsia" w:eastAsiaTheme="minorEastAsia" w:cstheme="minorEastAsia"/>
          <w:b/>
          <w:snapToGrid w:val="0"/>
          <w:kern w:val="0"/>
          <w:szCs w:val="21"/>
          <w:lang w:val="zh-CN"/>
        </w:rPr>
      </w:pPr>
      <w:bookmarkStart w:id="44" w:name="_Toc29934"/>
      <w:bookmarkStart w:id="45" w:name="_Toc24544"/>
      <w:r>
        <w:rPr>
          <w:rFonts w:hint="eastAsia" w:asciiTheme="minorEastAsia" w:hAnsiTheme="minorEastAsia" w:eastAsiaTheme="minorEastAsia" w:cstheme="minorEastAsia"/>
          <w:b/>
          <w:snapToGrid w:val="0"/>
          <w:kern w:val="0"/>
          <w:szCs w:val="21"/>
          <w:lang w:val="zh-CN"/>
        </w:rPr>
        <w:t>磋商报价</w:t>
      </w:r>
      <w:bookmarkEnd w:id="44"/>
      <w:bookmarkEnd w:id="45"/>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0"/>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46" w:name="_Toc6176"/>
      <w:bookmarkStart w:id="47" w:name="_Toc6453"/>
      <w:r>
        <w:rPr>
          <w:rFonts w:hint="eastAsia" w:asciiTheme="minorEastAsia" w:hAnsiTheme="minorEastAsia" w:eastAsiaTheme="minorEastAsia" w:cstheme="minorEastAsia"/>
          <w:b/>
          <w:snapToGrid w:val="0"/>
          <w:kern w:val="0"/>
          <w:szCs w:val="21"/>
          <w:lang w:val="zh-CN"/>
        </w:rPr>
        <w:t>备选方案</w:t>
      </w:r>
      <w:bookmarkEnd w:id="46"/>
      <w:bookmarkEnd w:id="47"/>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0"/>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48" w:name="_Toc3324"/>
      <w:bookmarkStart w:id="49" w:name="_Toc16011"/>
      <w:r>
        <w:rPr>
          <w:rFonts w:hint="eastAsia" w:asciiTheme="minorEastAsia" w:hAnsiTheme="minorEastAsia" w:eastAsiaTheme="minorEastAsia" w:cstheme="minorEastAsia"/>
          <w:b/>
          <w:snapToGrid w:val="0"/>
          <w:kern w:val="0"/>
          <w:szCs w:val="21"/>
          <w:lang w:val="zh-CN"/>
        </w:rPr>
        <w:t>联合体</w:t>
      </w:r>
      <w:bookmarkEnd w:id="48"/>
      <w:bookmarkEnd w:id="49"/>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0" w:name="_Toc2434"/>
      <w:bookmarkStart w:id="51" w:name="_Toc13751"/>
      <w:r>
        <w:rPr>
          <w:rFonts w:hint="eastAsia" w:asciiTheme="minorEastAsia" w:hAnsiTheme="minorEastAsia" w:eastAsiaTheme="minorEastAsia" w:cstheme="minorEastAsia"/>
          <w:b/>
          <w:snapToGrid w:val="0"/>
          <w:kern w:val="0"/>
          <w:szCs w:val="21"/>
          <w:lang w:val="zh-CN"/>
        </w:rPr>
        <w:t>供应商资格证明文件</w:t>
      </w:r>
      <w:bookmarkEnd w:id="50"/>
      <w:bookmarkEnd w:id="51"/>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5"/>
        </w:numPr>
        <w:tabs>
          <w:tab w:val="left" w:pos="540"/>
          <w:tab w:val="clear" w:pos="20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rPr>
        <w:t>否则做废标处理</w:t>
      </w:r>
      <w:r>
        <w:rPr>
          <w:rFonts w:hint="eastAsia" w:asciiTheme="minorEastAsia" w:hAnsiTheme="minorEastAsia" w:eastAsiaTheme="minorEastAsia" w:cstheme="minorEastAsia"/>
          <w:snapToGrid w:val="0"/>
          <w:kern w:val="0"/>
          <w:szCs w:val="21"/>
          <w:lang w:val="zh-CN"/>
        </w:rPr>
        <w:t>。</w:t>
      </w:r>
    </w:p>
    <w:p>
      <w:pPr>
        <w:numPr>
          <w:ilvl w:val="1"/>
          <w:numId w:val="24"/>
        </w:numPr>
        <w:tabs>
          <w:tab w:val="left" w:pos="540"/>
          <w:tab w:val="clear" w:pos="465"/>
        </w:tabs>
        <w:autoSpaceDE w:val="0"/>
        <w:autoSpaceDN w:val="0"/>
        <w:adjustRightInd w:val="0"/>
        <w:spacing w:line="360" w:lineRule="auto"/>
        <w:ind w:left="540" w:hanging="540"/>
        <w:jc w:val="left"/>
        <w:rPr>
          <w:rFonts w:eastAsiaTheme="minorEastAsia"/>
        </w:rPr>
      </w:pPr>
      <w:r>
        <w:rPr>
          <w:rFonts w:hint="eastAsia" w:asciiTheme="minorEastAsia" w:hAnsiTheme="minorEastAsia" w:eastAsiaTheme="minorEastAsia" w:cstheme="minorEastAsia"/>
          <w:snapToGrid w:val="0"/>
          <w:kern w:val="0"/>
          <w:szCs w:val="21"/>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2" w:name="_Toc9935"/>
      <w:bookmarkStart w:id="53" w:name="_Toc411"/>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2"/>
      <w:bookmarkEnd w:id="53"/>
    </w:p>
    <w:p>
      <w:pPr>
        <w:numPr>
          <w:ilvl w:val="1"/>
          <w:numId w:val="26"/>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4" w:name="_Toc5348"/>
      <w:bookmarkStart w:id="55" w:name="_Toc27068"/>
      <w:r>
        <w:rPr>
          <w:rFonts w:hint="eastAsia" w:asciiTheme="minorEastAsia" w:hAnsiTheme="minorEastAsia" w:eastAsiaTheme="minorEastAsia" w:cstheme="minorEastAsia"/>
          <w:b/>
          <w:snapToGrid w:val="0"/>
          <w:kern w:val="0"/>
          <w:szCs w:val="21"/>
          <w:lang w:val="zh-CN"/>
        </w:rPr>
        <w:t>磋商保证金</w:t>
      </w:r>
      <w:bookmarkEnd w:id="54"/>
      <w:bookmarkEnd w:id="55"/>
    </w:p>
    <w:p>
      <w:pPr>
        <w:numPr>
          <w:ilvl w:val="1"/>
          <w:numId w:val="27"/>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本采购文件是否要求递交磋商保证金及保证金金额、递交方式、递交时间、接受保证金的帐户信息等详见《供应商须知前附表》。</w:t>
      </w:r>
    </w:p>
    <w:p>
      <w:pPr>
        <w:numPr>
          <w:ilvl w:val="1"/>
          <w:numId w:val="27"/>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7"/>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7"/>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7"/>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7"/>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8"/>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6" w:name="_Toc5276"/>
      <w:bookmarkStart w:id="57" w:name="_Toc5668"/>
      <w:r>
        <w:rPr>
          <w:rFonts w:hint="eastAsia" w:asciiTheme="minorEastAsia" w:hAnsiTheme="minorEastAsia" w:eastAsiaTheme="minorEastAsia" w:cstheme="minorEastAsia"/>
          <w:b/>
          <w:snapToGrid w:val="0"/>
          <w:kern w:val="0"/>
          <w:szCs w:val="21"/>
          <w:lang w:val="zh-CN"/>
        </w:rPr>
        <w:t>磋商有效期</w:t>
      </w:r>
      <w:bookmarkEnd w:id="56"/>
      <w:bookmarkEnd w:id="57"/>
    </w:p>
    <w:p>
      <w:pPr>
        <w:numPr>
          <w:ilvl w:val="1"/>
          <w:numId w:val="29"/>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29"/>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29"/>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8" w:name="_Toc8272"/>
      <w:bookmarkStart w:id="59" w:name="_Toc19824"/>
      <w:r>
        <w:rPr>
          <w:rFonts w:hint="eastAsia" w:asciiTheme="minorEastAsia" w:hAnsiTheme="minorEastAsia" w:eastAsiaTheme="minorEastAsia" w:cstheme="minorEastAsia"/>
          <w:b/>
          <w:snapToGrid w:val="0"/>
          <w:kern w:val="0"/>
          <w:szCs w:val="21"/>
          <w:lang w:val="zh-CN"/>
        </w:rPr>
        <w:t>竞争性磋商响应文件的装订、签署和数量</w:t>
      </w:r>
      <w:bookmarkEnd w:id="58"/>
      <w:bookmarkEnd w:id="59"/>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60" w:name="_Toc3313"/>
      <w:r>
        <w:rPr>
          <w:rFonts w:hint="eastAsia" w:asciiTheme="minorEastAsia" w:hAnsiTheme="minorEastAsia" w:eastAsiaTheme="minorEastAsia" w:cstheme="minorEastAsia"/>
          <w:b/>
          <w:szCs w:val="21"/>
        </w:rPr>
        <w:t>竞争性磋商响应文件的递交</w:t>
      </w:r>
      <w:bookmarkEnd w:id="60"/>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1" w:name="_Toc6823"/>
      <w:bookmarkStart w:id="62"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1"/>
      <w:bookmarkEnd w:id="62"/>
    </w:p>
    <w:p>
      <w:pPr>
        <w:numPr>
          <w:ilvl w:val="1"/>
          <w:numId w:val="3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1"/>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3" w:name="_Toc17857"/>
      <w:bookmarkStart w:id="64" w:name="_Toc11848"/>
      <w:r>
        <w:rPr>
          <w:rFonts w:hint="eastAsia" w:asciiTheme="minorEastAsia" w:hAnsiTheme="minorEastAsia" w:eastAsiaTheme="minorEastAsia" w:cstheme="minorEastAsia"/>
          <w:b/>
          <w:snapToGrid w:val="0"/>
          <w:kern w:val="0"/>
          <w:szCs w:val="21"/>
          <w:lang w:val="zh-CN"/>
        </w:rPr>
        <w:t>竞争性磋商响应文件的送达地点及截止时间</w:t>
      </w:r>
      <w:bookmarkEnd w:id="63"/>
      <w:bookmarkEnd w:id="64"/>
    </w:p>
    <w:p>
      <w:pPr>
        <w:autoSpaceDE w:val="0"/>
        <w:autoSpaceDN w:val="0"/>
        <w:adjustRightInd w:val="0"/>
        <w:spacing w:line="360" w:lineRule="auto"/>
        <w:jc w:val="left"/>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5" w:name="_Toc31376"/>
      <w:bookmarkStart w:id="66" w:name="_Toc6348"/>
      <w:r>
        <w:rPr>
          <w:rFonts w:hint="eastAsia" w:asciiTheme="minorEastAsia" w:hAnsiTheme="minorEastAsia" w:eastAsiaTheme="minorEastAsia" w:cstheme="minorEastAsia"/>
          <w:b/>
          <w:snapToGrid w:val="0"/>
          <w:kern w:val="0"/>
          <w:szCs w:val="21"/>
          <w:lang w:val="zh-CN"/>
        </w:rPr>
        <w:t>迟交的竞争性磋商响应文件</w:t>
      </w:r>
      <w:bookmarkEnd w:id="65"/>
      <w:bookmarkEnd w:id="66"/>
    </w:p>
    <w:p>
      <w:pPr>
        <w:numPr>
          <w:ilvl w:val="1"/>
          <w:numId w:val="32"/>
        </w:numPr>
        <w:tabs>
          <w:tab w:val="left" w:pos="540"/>
          <w:tab w:val="clear" w:pos="48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7" w:name="_Toc5628"/>
      <w:bookmarkStart w:id="68"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67"/>
      <w:bookmarkEnd w:id="68"/>
    </w:p>
    <w:p>
      <w:pPr>
        <w:numPr>
          <w:ilvl w:val="1"/>
          <w:numId w:val="33"/>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3"/>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3"/>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69" w:name="_Toc8549"/>
      <w:r>
        <w:rPr>
          <w:rFonts w:hint="eastAsia" w:asciiTheme="minorEastAsia" w:hAnsiTheme="minorEastAsia" w:eastAsiaTheme="minorEastAsia" w:cstheme="minorEastAsia"/>
          <w:b/>
          <w:szCs w:val="21"/>
        </w:rPr>
        <w:t>磋商程序及步骤</w:t>
      </w:r>
      <w:bookmarkEnd w:id="69"/>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0" w:name="_Toc22624"/>
      <w:bookmarkStart w:id="71" w:name="_Toc2731"/>
      <w:r>
        <w:rPr>
          <w:rFonts w:hint="eastAsia" w:asciiTheme="minorEastAsia" w:hAnsiTheme="minorEastAsia" w:eastAsiaTheme="minorEastAsia" w:cstheme="minorEastAsia"/>
          <w:b/>
        </w:rPr>
        <w:t>竞争性磋商小组</w:t>
      </w:r>
      <w:bookmarkEnd w:id="70"/>
      <w:bookmarkEnd w:id="71"/>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磋商小组由采购人代表和评审专家共3人或3人以上单数组成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磋商小组所有成员按事先抽取的磋商顺序，集中与单一供应商分别进行磋商，并给予所有参加磋商的供应商平等的磋商机会。</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2" w:name="_Toc12040"/>
      <w:bookmarkStart w:id="73" w:name="_Toc21483"/>
      <w:r>
        <w:rPr>
          <w:rFonts w:hint="eastAsia" w:asciiTheme="minorEastAsia" w:hAnsiTheme="minorEastAsia" w:eastAsiaTheme="minorEastAsia" w:cstheme="minorEastAsia"/>
          <w:b/>
        </w:rPr>
        <w:t>磋商代表</w:t>
      </w:r>
      <w:bookmarkEnd w:id="72"/>
      <w:bookmarkEnd w:id="73"/>
    </w:p>
    <w:p>
      <w:pPr>
        <w:tabs>
          <w:tab w:val="left" w:pos="864"/>
          <w:tab w:val="left" w:pos="1080"/>
        </w:tabs>
        <w:spacing w:line="360" w:lineRule="auto"/>
        <w:rPr>
          <w:rFonts w:asciiTheme="minorEastAsia" w:hAnsiTheme="minorEastAsia" w:eastAsiaTheme="minorEastAsia" w:cstheme="minorEastAsia"/>
          <w:szCs w:val="21"/>
        </w:rPr>
      </w:pPr>
      <w:bookmarkStart w:id="74" w:name="_Toc32662"/>
      <w:bookmarkStart w:id="75"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74"/>
      <w:bookmarkEnd w:id="75"/>
      <w:r>
        <w:rPr>
          <w:rFonts w:hint="eastAsia" w:asciiTheme="minorEastAsia" w:hAnsiTheme="minorEastAsia" w:eastAsiaTheme="minorEastAsia" w:cstheme="minorEastAsia"/>
          <w:szCs w:val="21"/>
        </w:rPr>
        <w:t>磋商代表的其他要求见《供应商须知前附表》。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rPr>
      </w:pPr>
      <w:bookmarkStart w:id="76" w:name="_Toc22872"/>
      <w:r>
        <w:rPr>
          <w:rFonts w:hint="eastAsia" w:asciiTheme="minorEastAsia" w:hAnsiTheme="minorEastAsia" w:eastAsiaTheme="minorEastAsia" w:cstheme="minorEastAsia"/>
          <w:b/>
        </w:rPr>
        <w:t>资格审查和符合性审查</w:t>
      </w:r>
      <w:bookmarkEnd w:id="76"/>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rPr>
      </w:pPr>
      <w:bookmarkStart w:id="77" w:name="_Toc11358"/>
      <w:r>
        <w:rPr>
          <w:rFonts w:hint="eastAsia" w:asciiTheme="minorEastAsia" w:hAnsiTheme="minorEastAsia" w:eastAsiaTheme="minorEastAsia" w:cstheme="minorEastAsia"/>
          <w:b/>
        </w:rPr>
        <w:t>磋商</w:t>
      </w:r>
      <w:bookmarkEnd w:id="77"/>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26.1磋商小组将根据本磋商文件第四章规定的程序和方法与供应商进行磋商。在磋商中，磋商的任何一方不得透露与磋商有关的其他磋商供应商的技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78" w:name="_Toc13528"/>
      <w:r>
        <w:rPr>
          <w:rFonts w:hint="eastAsia" w:asciiTheme="minorEastAsia" w:hAnsiTheme="minorEastAsia" w:eastAsiaTheme="minorEastAsia" w:cstheme="minorEastAsia"/>
          <w:b/>
          <w:lang w:val="zh-CN"/>
        </w:rPr>
        <w:t>保密</w:t>
      </w:r>
      <w:bookmarkEnd w:id="78"/>
    </w:p>
    <w:p>
      <w:pPr>
        <w:numPr>
          <w:ilvl w:val="1"/>
          <w:numId w:val="34"/>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4"/>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rPr>
        <w:t>评定办法</w:t>
      </w:r>
      <w:r>
        <w:rPr>
          <w:rFonts w:hint="eastAsia" w:asciiTheme="minorEastAsia" w:hAnsiTheme="minorEastAsia" w:eastAsiaTheme="minorEastAsia" w:cstheme="minorEastAsia"/>
          <w:snapToGrid w:val="0"/>
          <w:kern w:val="0"/>
          <w:szCs w:val="21"/>
          <w:lang w:val="zh-CN"/>
        </w:rPr>
        <w:t>”。</w:t>
      </w:r>
    </w:p>
    <w:p>
      <w:pPr>
        <w:numPr>
          <w:ilvl w:val="1"/>
          <w:numId w:val="34"/>
        </w:numPr>
        <w:autoSpaceDE w:val="0"/>
        <w:autoSpaceDN w:val="0"/>
        <w:adjustRightInd w:val="0"/>
        <w:spacing w:line="360" w:lineRule="auto"/>
        <w:jc w:val="left"/>
        <w:rPr>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79" w:name="_Toc28795"/>
      <w:r>
        <w:rPr>
          <w:rFonts w:hint="eastAsia" w:asciiTheme="minorEastAsia" w:hAnsiTheme="minorEastAsia" w:eastAsiaTheme="minorEastAsia" w:cstheme="minorEastAsia"/>
          <w:b/>
          <w:szCs w:val="21"/>
        </w:rPr>
        <w:t>成交与签订合同</w:t>
      </w:r>
      <w:bookmarkEnd w:id="79"/>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0" w:name="_Toc29010"/>
      <w:r>
        <w:rPr>
          <w:rFonts w:hint="eastAsia" w:asciiTheme="minorEastAsia" w:hAnsiTheme="minorEastAsia" w:eastAsiaTheme="minorEastAsia" w:cstheme="minorEastAsia"/>
          <w:b/>
          <w:lang w:val="zh-CN"/>
        </w:rPr>
        <w:t>合同授予标准</w:t>
      </w:r>
      <w:bookmarkEnd w:id="80"/>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rPr>
          <w:rFonts w:ascii="宋体" w:hAnsi="宋体" w:cs="宋体"/>
          <w:sz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cs="宋体"/>
          <w:sz w:val="24"/>
        </w:rPr>
        <w:t xml:space="preserve">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1" w:name="_Toc31420"/>
      <w:r>
        <w:rPr>
          <w:rFonts w:hint="eastAsia" w:asciiTheme="minorEastAsia" w:hAnsiTheme="minorEastAsia" w:eastAsiaTheme="minorEastAsia" w:cstheme="minorEastAsia"/>
          <w:b/>
          <w:lang w:val="zh-CN"/>
        </w:rPr>
        <w:t>签订合同</w:t>
      </w:r>
      <w:bookmarkEnd w:id="81"/>
    </w:p>
    <w:p>
      <w:pPr>
        <w:tabs>
          <w:tab w:val="left" w:pos="426"/>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82" w:name="_Toc4883"/>
      <w:bookmarkStart w:id="83" w:name="_Toc1309"/>
      <w:bookmarkStart w:id="84" w:name="_Toc13988"/>
      <w:bookmarkStart w:id="85" w:name="_Toc14510"/>
      <w:r>
        <w:rPr>
          <w:rFonts w:hint="eastAsia" w:asciiTheme="minorEastAsia" w:hAnsiTheme="minorEastAsia" w:eastAsiaTheme="minorEastAsia" w:cstheme="minorEastAsia"/>
          <w:b/>
          <w:szCs w:val="21"/>
          <w:lang w:val="zh-CN"/>
        </w:rPr>
        <w:t>质疑和投诉</w:t>
      </w:r>
      <w:bookmarkEnd w:id="82"/>
      <w:bookmarkEnd w:id="83"/>
      <w:bookmarkEnd w:id="84"/>
      <w:bookmarkEnd w:id="85"/>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6" w:name="_Toc21193"/>
      <w:r>
        <w:rPr>
          <w:rFonts w:hint="eastAsia" w:asciiTheme="minorEastAsia" w:hAnsiTheme="minorEastAsia" w:eastAsiaTheme="minorEastAsia" w:cstheme="minorEastAsia"/>
          <w:b/>
          <w:lang w:val="zh-CN"/>
        </w:rPr>
        <w:t>质疑</w:t>
      </w:r>
      <w:bookmarkEnd w:id="86"/>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7" w:name="_Toc16714"/>
      <w:r>
        <w:rPr>
          <w:rFonts w:hint="eastAsia" w:asciiTheme="minorEastAsia" w:hAnsiTheme="minorEastAsia" w:eastAsiaTheme="minorEastAsia" w:cstheme="minorEastAsia"/>
          <w:b/>
          <w:lang w:val="zh-CN"/>
        </w:rPr>
        <w:t>质疑回复</w:t>
      </w:r>
      <w:bookmarkEnd w:id="87"/>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8" w:name="_Toc21867"/>
      <w:r>
        <w:rPr>
          <w:rFonts w:hint="eastAsia" w:asciiTheme="minorEastAsia" w:hAnsiTheme="minorEastAsia" w:eastAsiaTheme="minorEastAsia" w:cstheme="minorEastAsia"/>
          <w:b/>
          <w:lang w:val="zh-CN"/>
        </w:rPr>
        <w:t>投诉</w:t>
      </w:r>
      <w:bookmarkEnd w:id="88"/>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89" w:name="_Toc28705"/>
      <w:bookmarkStart w:id="90" w:name="_Toc1929"/>
      <w:bookmarkStart w:id="91" w:name="_Toc5571"/>
      <w:bookmarkStart w:id="92" w:name="_Toc14767"/>
      <w:r>
        <w:rPr>
          <w:rFonts w:hint="eastAsia" w:asciiTheme="minorEastAsia" w:hAnsiTheme="minorEastAsia" w:eastAsiaTheme="minorEastAsia" w:cstheme="minorEastAsia"/>
          <w:b/>
          <w:szCs w:val="21"/>
          <w:lang w:val="zh-CN"/>
        </w:rPr>
        <w:t>政策</w:t>
      </w:r>
      <w:bookmarkEnd w:id="89"/>
      <w:bookmarkEnd w:id="90"/>
      <w:bookmarkEnd w:id="91"/>
      <w:bookmarkEnd w:id="92"/>
    </w:p>
    <w:p>
      <w:pPr>
        <w:numPr>
          <w:ilvl w:val="0"/>
          <w:numId w:val="10"/>
        </w:numPr>
        <w:tabs>
          <w:tab w:val="left" w:pos="864"/>
          <w:tab w:val="left" w:pos="1080"/>
        </w:tabs>
        <w:spacing w:line="360" w:lineRule="auto"/>
        <w:ind w:hanging="540"/>
        <w:outlineLvl w:val="1"/>
        <w:rPr>
          <w:rFonts w:asciiTheme="minorEastAsia" w:hAnsiTheme="minorEastAsia" w:eastAsiaTheme="minorEastAsia" w:cstheme="minorEastAsia"/>
          <w:b/>
        </w:rPr>
      </w:pPr>
      <w:bookmarkStart w:id="93" w:name="_Toc15706"/>
      <w:r>
        <w:rPr>
          <w:rFonts w:hint="eastAsia" w:asciiTheme="minorEastAsia" w:hAnsiTheme="minorEastAsia" w:eastAsiaTheme="minorEastAsia" w:cstheme="minorEastAsia"/>
          <w:b/>
        </w:rPr>
        <w:t>政府采购政策</w:t>
      </w:r>
      <w:bookmarkEnd w:id="93"/>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w:t>
      </w:r>
      <w:r>
        <w:rPr>
          <w:rFonts w:hint="eastAsia" w:ascii="宋体" w:hAnsi="宋体" w:cs="宋体"/>
          <w:snapToGrid w:val="0"/>
          <w:kern w:val="0"/>
          <w:szCs w:val="21"/>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4" w:name="_Toc12380"/>
      <w:r>
        <w:rPr>
          <w:rFonts w:hint="eastAsia" w:asciiTheme="minorEastAsia" w:hAnsiTheme="minorEastAsia" w:eastAsiaTheme="minorEastAsia" w:cstheme="minorEastAsia"/>
          <w:b/>
          <w:szCs w:val="21"/>
          <w:lang w:val="zh-CN"/>
        </w:rPr>
        <w:t>其他要求</w:t>
      </w:r>
      <w:bookmarkEnd w:id="94"/>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9"/>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5" w:name="_Toc28459"/>
      <w:r>
        <w:rPr>
          <w:rFonts w:hint="eastAsia" w:asciiTheme="minorEastAsia" w:hAnsiTheme="minorEastAsia" w:eastAsiaTheme="minorEastAsia" w:cstheme="minorEastAsia"/>
          <w:b/>
          <w:szCs w:val="21"/>
          <w:lang w:val="zh-CN"/>
        </w:rPr>
        <w:t>适用法律</w:t>
      </w:r>
      <w:bookmarkEnd w:id="95"/>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bookmarkStart w:id="96" w:name="_Toc11180"/>
      <w:r>
        <w:rPr>
          <w:rFonts w:hint="eastAsia" w:asciiTheme="minorEastAsia" w:hAnsiTheme="minorEastAsia" w:eastAsiaTheme="minorEastAsia" w:cstheme="minorEastAsia"/>
          <w:b/>
          <w:bCs/>
          <w:sz w:val="36"/>
          <w:szCs w:val="36"/>
        </w:rPr>
        <w:t>采购需求</w:t>
      </w:r>
      <w:bookmarkEnd w:id="96"/>
    </w:p>
    <w:p>
      <w:pPr>
        <w:spacing w:line="360" w:lineRule="auto"/>
        <w:jc w:val="left"/>
        <w:outlineLvl w:val="1"/>
        <w:rPr>
          <w:b/>
          <w:bCs/>
          <w:sz w:val="28"/>
          <w:szCs w:val="28"/>
        </w:rPr>
      </w:pPr>
      <w:r>
        <w:rPr>
          <w:b/>
          <w:bCs/>
          <w:sz w:val="28"/>
          <w:szCs w:val="28"/>
        </w:rPr>
        <w:t>一、技术需求</w:t>
      </w:r>
    </w:p>
    <w:p>
      <w:pPr>
        <w:spacing w:line="360" w:lineRule="auto"/>
        <w:jc w:val="left"/>
        <w:rPr>
          <w:b/>
          <w:bCs/>
          <w:sz w:val="28"/>
          <w:szCs w:val="28"/>
        </w:rPr>
      </w:pPr>
      <w:r>
        <w:rPr>
          <w:b/>
          <w:bCs/>
          <w:sz w:val="28"/>
          <w:szCs w:val="28"/>
        </w:rPr>
        <w:t>01包：肥料生产线</w:t>
      </w:r>
    </w:p>
    <w:p>
      <w:pPr>
        <w:spacing w:line="360" w:lineRule="auto"/>
        <w:jc w:val="left"/>
        <w:rPr>
          <w:b/>
          <w:bCs/>
          <w:sz w:val="28"/>
          <w:szCs w:val="28"/>
        </w:rPr>
      </w:pPr>
      <w:r>
        <w:rPr>
          <w:b/>
          <w:bCs/>
          <w:sz w:val="28"/>
          <w:szCs w:val="28"/>
        </w:rPr>
        <w:t>水溶肥生产线技术参数</w:t>
      </w:r>
    </w:p>
    <w:p>
      <w:pPr>
        <w:spacing w:line="360" w:lineRule="auto"/>
        <w:jc w:val="left"/>
        <w:rPr>
          <w:bCs/>
          <w:szCs w:val="28"/>
        </w:rPr>
      </w:pPr>
      <w:r>
        <w:rPr>
          <w:bCs/>
          <w:szCs w:val="28"/>
        </w:rPr>
        <w:t>1. 储料罐：≥500 L左右， 3</w:t>
      </w:r>
      <w:r>
        <w:rPr>
          <w:rFonts w:hint="eastAsia"/>
          <w:bCs/>
          <w:szCs w:val="28"/>
        </w:rPr>
        <w:t>套</w:t>
      </w:r>
    </w:p>
    <w:p>
      <w:pPr>
        <w:spacing w:line="360" w:lineRule="auto"/>
        <w:jc w:val="left"/>
        <w:rPr>
          <w:bCs/>
          <w:szCs w:val="28"/>
        </w:rPr>
      </w:pPr>
      <w:r>
        <w:rPr>
          <w:bCs/>
          <w:szCs w:val="28"/>
        </w:rPr>
        <w:t>2. 反应釜：≥1000 L，SUS316材质，1</w:t>
      </w:r>
      <w:r>
        <w:rPr>
          <w:rFonts w:hint="eastAsia"/>
          <w:bCs/>
          <w:szCs w:val="28"/>
        </w:rPr>
        <w:t>套</w:t>
      </w:r>
      <w:r>
        <w:rPr>
          <w:bCs/>
          <w:szCs w:val="28"/>
        </w:rPr>
        <w:t>，可搅拌，可控温加热</w:t>
      </w:r>
    </w:p>
    <w:p>
      <w:pPr>
        <w:spacing w:line="360" w:lineRule="auto"/>
        <w:jc w:val="left"/>
        <w:rPr>
          <w:bCs/>
          <w:szCs w:val="28"/>
        </w:rPr>
      </w:pPr>
      <w:r>
        <w:rPr>
          <w:bCs/>
          <w:szCs w:val="28"/>
        </w:rPr>
        <w:t>3. 隔膜泵</w:t>
      </w:r>
      <w:r>
        <w:rPr>
          <w:rFonts w:hint="eastAsia"/>
          <w:bCs/>
          <w:szCs w:val="28"/>
        </w:rPr>
        <w:t>：高分子材料、5套</w:t>
      </w:r>
    </w:p>
    <w:p>
      <w:pPr>
        <w:spacing w:line="360" w:lineRule="auto"/>
        <w:jc w:val="left"/>
        <w:rPr>
          <w:bCs/>
          <w:szCs w:val="28"/>
        </w:rPr>
      </w:pPr>
      <w:r>
        <w:rPr>
          <w:bCs/>
          <w:szCs w:val="28"/>
        </w:rPr>
        <w:t>4. 上料机</w:t>
      </w:r>
      <w:r>
        <w:rPr>
          <w:rFonts w:hint="eastAsia"/>
          <w:bCs/>
          <w:szCs w:val="28"/>
        </w:rPr>
        <w:t>：S</w:t>
      </w:r>
      <w:r>
        <w:rPr>
          <w:bCs/>
          <w:szCs w:val="28"/>
        </w:rPr>
        <w:t>US304</w:t>
      </w:r>
      <w:r>
        <w:rPr>
          <w:rFonts w:hint="eastAsia"/>
          <w:bCs/>
          <w:szCs w:val="28"/>
        </w:rPr>
        <w:t>，</w:t>
      </w:r>
      <w:r>
        <w:rPr>
          <w:bCs/>
          <w:szCs w:val="28"/>
        </w:rPr>
        <w:t>3</w:t>
      </w:r>
      <w:r>
        <w:rPr>
          <w:rFonts w:hint="eastAsia"/>
          <w:bCs/>
          <w:szCs w:val="28"/>
        </w:rPr>
        <w:t>套，料仓</w:t>
      </w:r>
      <w:r>
        <w:rPr>
          <w:bCs/>
          <w:szCs w:val="28"/>
        </w:rPr>
        <w:t>≥300 L</w:t>
      </w:r>
    </w:p>
    <w:p>
      <w:pPr>
        <w:spacing w:line="360" w:lineRule="auto"/>
        <w:jc w:val="left"/>
        <w:rPr>
          <w:bCs/>
          <w:szCs w:val="28"/>
        </w:rPr>
      </w:pPr>
      <w:r>
        <w:rPr>
          <w:bCs/>
          <w:szCs w:val="28"/>
        </w:rPr>
        <w:t>5. 过滤器</w:t>
      </w:r>
      <w:r>
        <w:rPr>
          <w:rFonts w:hint="eastAsia"/>
          <w:bCs/>
          <w:szCs w:val="28"/>
        </w:rPr>
        <w:t>：</w:t>
      </w:r>
      <w:r>
        <w:rPr>
          <w:bCs/>
          <w:szCs w:val="28"/>
        </w:rPr>
        <w:t>PVC</w:t>
      </w:r>
      <w:r>
        <w:rPr>
          <w:rFonts w:hint="eastAsia"/>
          <w:bCs/>
          <w:szCs w:val="28"/>
        </w:rPr>
        <w:t>材质、</w:t>
      </w:r>
      <w:r>
        <w:rPr>
          <w:bCs/>
          <w:szCs w:val="28"/>
        </w:rPr>
        <w:t>1</w:t>
      </w:r>
      <w:r>
        <w:rPr>
          <w:rFonts w:hint="eastAsia"/>
          <w:bCs/>
          <w:szCs w:val="28"/>
        </w:rPr>
        <w:t>个</w:t>
      </w:r>
    </w:p>
    <w:p>
      <w:pPr>
        <w:spacing w:line="360" w:lineRule="auto"/>
        <w:jc w:val="left"/>
        <w:rPr>
          <w:bCs/>
          <w:szCs w:val="28"/>
        </w:rPr>
      </w:pPr>
      <w:r>
        <w:rPr>
          <w:bCs/>
          <w:szCs w:val="28"/>
        </w:rPr>
        <w:t xml:space="preserve">6. </w:t>
      </w:r>
      <w:r>
        <w:rPr>
          <w:rFonts w:hint="eastAsia"/>
          <w:bCs/>
          <w:szCs w:val="28"/>
        </w:rPr>
        <w:t>固液混料</w:t>
      </w:r>
      <w:r>
        <w:rPr>
          <w:bCs/>
          <w:szCs w:val="28"/>
        </w:rPr>
        <w:t>自动化电气控制系统（含控制柜，称重传感器系统）</w:t>
      </w:r>
      <w:r>
        <w:rPr>
          <w:rFonts w:hint="eastAsia"/>
          <w:bCs/>
          <w:szCs w:val="28"/>
        </w:rPr>
        <w:t>：1</w:t>
      </w:r>
      <w:r>
        <w:rPr>
          <w:bCs/>
          <w:szCs w:val="28"/>
        </w:rPr>
        <w:t>0</w:t>
      </w:r>
      <w:r>
        <w:rPr>
          <w:rFonts w:hint="eastAsia"/>
          <w:bCs/>
          <w:szCs w:val="28"/>
        </w:rPr>
        <w:t>寸触摸屏+</w:t>
      </w:r>
      <w:r>
        <w:rPr>
          <w:bCs/>
          <w:szCs w:val="28"/>
        </w:rPr>
        <w:t>PLC</w:t>
      </w:r>
      <w:r>
        <w:rPr>
          <w:rFonts w:hint="eastAsia"/>
          <w:bCs/>
          <w:szCs w:val="28"/>
        </w:rPr>
        <w:t>控制</w:t>
      </w:r>
    </w:p>
    <w:p>
      <w:pPr>
        <w:spacing w:line="360" w:lineRule="auto"/>
        <w:jc w:val="left"/>
        <w:rPr>
          <w:bCs/>
          <w:szCs w:val="28"/>
        </w:rPr>
      </w:pPr>
      <w:r>
        <w:rPr>
          <w:bCs/>
          <w:szCs w:val="28"/>
        </w:rPr>
        <w:t>7. 管道、阀门、电缆、桥架、空压机</w:t>
      </w:r>
      <w:r>
        <w:rPr>
          <w:rFonts w:hint="eastAsia"/>
          <w:bCs/>
          <w:szCs w:val="28"/>
        </w:rPr>
        <w:t>：根据现场情况</w:t>
      </w:r>
    </w:p>
    <w:p>
      <w:pPr>
        <w:spacing w:line="360" w:lineRule="auto"/>
        <w:jc w:val="left"/>
        <w:rPr>
          <w:bCs/>
          <w:szCs w:val="28"/>
        </w:rPr>
      </w:pPr>
      <w:r>
        <w:rPr>
          <w:bCs/>
          <w:szCs w:val="28"/>
        </w:rPr>
        <w:t xml:space="preserve">8. </w:t>
      </w:r>
      <w:r>
        <w:rPr>
          <w:rFonts w:hint="eastAsia"/>
          <w:bCs/>
          <w:szCs w:val="28"/>
        </w:rPr>
        <w:t>半自动</w:t>
      </w:r>
      <w:r>
        <w:rPr>
          <w:bCs/>
          <w:szCs w:val="28"/>
        </w:rPr>
        <w:t>包装一体机</w:t>
      </w:r>
      <w:r>
        <w:rPr>
          <w:rFonts w:hint="eastAsia"/>
          <w:bCs/>
          <w:szCs w:val="28"/>
        </w:rPr>
        <w:t>：材质3</w:t>
      </w:r>
      <w:r>
        <w:rPr>
          <w:bCs/>
          <w:szCs w:val="28"/>
        </w:rPr>
        <w:t>16</w:t>
      </w:r>
      <w:r>
        <w:rPr>
          <w:rFonts w:hint="eastAsia"/>
          <w:bCs/>
          <w:szCs w:val="28"/>
        </w:rPr>
        <w:t>，2-1</w:t>
      </w:r>
      <w:r>
        <w:rPr>
          <w:bCs/>
          <w:szCs w:val="28"/>
        </w:rPr>
        <w:t>0 L</w:t>
      </w:r>
      <w:r>
        <w:rPr>
          <w:rFonts w:hint="eastAsia"/>
          <w:bCs/>
          <w:szCs w:val="28"/>
        </w:rPr>
        <w:t>，瓶装，1套</w:t>
      </w:r>
    </w:p>
    <w:p>
      <w:pPr>
        <w:spacing w:line="360" w:lineRule="auto"/>
        <w:jc w:val="left"/>
        <w:rPr>
          <w:bCs/>
          <w:szCs w:val="28"/>
        </w:rPr>
      </w:pPr>
      <w:r>
        <w:rPr>
          <w:bCs/>
          <w:szCs w:val="28"/>
        </w:rPr>
        <w:t>9</w:t>
      </w:r>
      <w:r>
        <w:rPr>
          <w:rFonts w:hint="eastAsia"/>
          <w:bCs/>
          <w:szCs w:val="28"/>
        </w:rPr>
        <w:t>．操作维修平台及护栏：面积</w:t>
      </w:r>
      <w:r>
        <w:rPr>
          <w:bCs/>
          <w:szCs w:val="28"/>
        </w:rPr>
        <w:t>≥1</w:t>
      </w:r>
      <w:r>
        <w:rPr>
          <w:rFonts w:hint="eastAsia"/>
          <w:bCs/>
          <w:szCs w:val="28"/>
        </w:rPr>
        <w:t>平方米</w:t>
      </w:r>
    </w:p>
    <w:p>
      <w:pPr>
        <w:spacing w:line="360" w:lineRule="auto"/>
        <w:jc w:val="left"/>
        <w:rPr>
          <w:b/>
          <w:bCs/>
          <w:sz w:val="28"/>
          <w:szCs w:val="28"/>
        </w:rPr>
      </w:pPr>
    </w:p>
    <w:p>
      <w:pPr>
        <w:spacing w:line="360" w:lineRule="auto"/>
        <w:jc w:val="left"/>
        <w:rPr>
          <w:b/>
          <w:bCs/>
          <w:sz w:val="28"/>
          <w:szCs w:val="28"/>
        </w:rPr>
      </w:pPr>
      <w:r>
        <w:rPr>
          <w:b/>
          <w:bCs/>
          <w:sz w:val="28"/>
          <w:szCs w:val="28"/>
        </w:rPr>
        <w:t>掺混肥生产线</w:t>
      </w:r>
    </w:p>
    <w:p>
      <w:pPr>
        <w:spacing w:line="360" w:lineRule="auto"/>
        <w:jc w:val="left"/>
        <w:rPr>
          <w:bCs/>
          <w:szCs w:val="28"/>
        </w:rPr>
      </w:pPr>
      <w:r>
        <w:rPr>
          <w:bCs/>
          <w:szCs w:val="28"/>
        </w:rPr>
        <w:t>1．</w:t>
      </w:r>
      <w:r>
        <w:rPr>
          <w:rFonts w:hint="eastAsia"/>
          <w:bCs/>
          <w:szCs w:val="28"/>
        </w:rPr>
        <w:t>螺杆上料机:</w:t>
      </w:r>
      <w:r>
        <w:rPr>
          <w:bCs/>
          <w:szCs w:val="28"/>
        </w:rPr>
        <w:t xml:space="preserve"> </w:t>
      </w:r>
      <w:r>
        <w:rPr>
          <w:rFonts w:hint="eastAsia"/>
          <w:bCs/>
          <w:szCs w:val="28"/>
        </w:rPr>
        <w:t>S</w:t>
      </w:r>
      <w:r>
        <w:rPr>
          <w:bCs/>
          <w:szCs w:val="28"/>
        </w:rPr>
        <w:t>US304</w:t>
      </w:r>
      <w:r>
        <w:rPr>
          <w:rFonts w:hint="eastAsia"/>
          <w:bCs/>
          <w:szCs w:val="28"/>
        </w:rPr>
        <w:t>，</w:t>
      </w:r>
      <w:r>
        <w:rPr>
          <w:bCs/>
          <w:szCs w:val="28"/>
        </w:rPr>
        <w:t>4</w:t>
      </w:r>
      <w:r>
        <w:rPr>
          <w:rFonts w:hint="eastAsia"/>
          <w:bCs/>
          <w:szCs w:val="28"/>
        </w:rPr>
        <w:t>套，（其中料仓</w:t>
      </w:r>
      <w:r>
        <w:rPr>
          <w:bCs/>
          <w:szCs w:val="28"/>
        </w:rPr>
        <w:t>≥ 300 L</w:t>
      </w:r>
      <w:r>
        <w:rPr>
          <w:rFonts w:hint="eastAsia"/>
          <w:bCs/>
          <w:szCs w:val="28"/>
        </w:rPr>
        <w:t>：3套，无料仓：1套）</w:t>
      </w:r>
    </w:p>
    <w:p>
      <w:pPr>
        <w:spacing w:line="360" w:lineRule="auto"/>
        <w:jc w:val="left"/>
        <w:rPr>
          <w:bCs/>
          <w:szCs w:val="28"/>
        </w:rPr>
      </w:pPr>
      <w:r>
        <w:rPr>
          <w:bCs/>
          <w:szCs w:val="28"/>
        </w:rPr>
        <w:t>2．</w:t>
      </w:r>
      <w:r>
        <w:rPr>
          <w:rFonts w:hint="eastAsia"/>
          <w:bCs/>
          <w:szCs w:val="28"/>
        </w:rPr>
        <w:t>卧式</w:t>
      </w:r>
      <w:r>
        <w:rPr>
          <w:bCs/>
          <w:szCs w:val="28"/>
        </w:rPr>
        <w:t xml:space="preserve">混合机：≥400 L，SUS304材质 </w:t>
      </w:r>
    </w:p>
    <w:p>
      <w:pPr>
        <w:spacing w:line="360" w:lineRule="auto"/>
        <w:jc w:val="left"/>
        <w:rPr>
          <w:bCs/>
          <w:szCs w:val="28"/>
        </w:rPr>
      </w:pPr>
      <w:r>
        <w:rPr>
          <w:bCs/>
          <w:szCs w:val="28"/>
        </w:rPr>
        <w:t>3．</w:t>
      </w:r>
      <w:r>
        <w:rPr>
          <w:rFonts w:hint="eastAsia"/>
          <w:bCs/>
          <w:szCs w:val="28"/>
        </w:rPr>
        <w:t>固体混料</w:t>
      </w:r>
      <w:r>
        <w:rPr>
          <w:bCs/>
          <w:szCs w:val="28"/>
        </w:rPr>
        <w:t>自动化电气控制系统（含控制柜，称重传感器系统</w:t>
      </w:r>
      <w:r>
        <w:rPr>
          <w:rFonts w:hint="eastAsia"/>
          <w:bCs/>
          <w:szCs w:val="28"/>
        </w:rPr>
        <w:t>）：1</w:t>
      </w:r>
      <w:r>
        <w:rPr>
          <w:bCs/>
          <w:szCs w:val="28"/>
        </w:rPr>
        <w:t>0</w:t>
      </w:r>
      <w:r>
        <w:rPr>
          <w:rFonts w:hint="eastAsia"/>
          <w:bCs/>
          <w:szCs w:val="28"/>
        </w:rPr>
        <w:t>寸触摸屏+</w:t>
      </w:r>
      <w:r>
        <w:rPr>
          <w:bCs/>
          <w:szCs w:val="28"/>
        </w:rPr>
        <w:t>PLC</w:t>
      </w:r>
      <w:r>
        <w:rPr>
          <w:rFonts w:hint="eastAsia"/>
          <w:bCs/>
          <w:szCs w:val="28"/>
        </w:rPr>
        <w:t>控制</w:t>
      </w:r>
    </w:p>
    <w:p>
      <w:pPr>
        <w:spacing w:line="360" w:lineRule="auto"/>
        <w:jc w:val="left"/>
        <w:rPr>
          <w:bCs/>
          <w:szCs w:val="28"/>
        </w:rPr>
      </w:pPr>
      <w:r>
        <w:rPr>
          <w:rFonts w:hint="eastAsia"/>
          <w:bCs/>
          <w:szCs w:val="28"/>
        </w:rPr>
        <w:t>4</w:t>
      </w:r>
      <w:r>
        <w:rPr>
          <w:bCs/>
          <w:szCs w:val="28"/>
        </w:rPr>
        <w:t>．</w:t>
      </w:r>
      <w:r>
        <w:rPr>
          <w:rFonts w:hint="eastAsia"/>
          <w:bCs/>
          <w:szCs w:val="28"/>
        </w:rPr>
        <w:t>钢结构及护栏：根据现场情况</w:t>
      </w:r>
    </w:p>
    <w:p>
      <w:pPr>
        <w:spacing w:line="360" w:lineRule="auto"/>
        <w:jc w:val="left"/>
        <w:rPr>
          <w:bCs/>
          <w:szCs w:val="28"/>
        </w:rPr>
      </w:pPr>
      <w:r>
        <w:rPr>
          <w:bCs/>
          <w:szCs w:val="28"/>
        </w:rPr>
        <w:t>5．阀门、电缆、桥架</w:t>
      </w:r>
      <w:r>
        <w:rPr>
          <w:rFonts w:hint="eastAsia"/>
          <w:bCs/>
          <w:szCs w:val="28"/>
        </w:rPr>
        <w:t>：根据现场情况</w:t>
      </w:r>
    </w:p>
    <w:p>
      <w:pPr>
        <w:spacing w:line="360" w:lineRule="auto"/>
        <w:jc w:val="left"/>
        <w:rPr>
          <w:bCs/>
          <w:szCs w:val="28"/>
        </w:rPr>
      </w:pPr>
      <w:r>
        <w:rPr>
          <w:bCs/>
          <w:szCs w:val="28"/>
        </w:rPr>
        <w:t>6．输送机</w:t>
      </w:r>
      <w:r>
        <w:rPr>
          <w:rFonts w:hint="eastAsia"/>
          <w:bCs/>
          <w:szCs w:val="28"/>
        </w:rPr>
        <w:t>：根据现场情况</w:t>
      </w:r>
    </w:p>
    <w:p>
      <w:pPr>
        <w:spacing w:line="360" w:lineRule="auto"/>
        <w:jc w:val="left"/>
        <w:rPr>
          <w:bCs/>
          <w:szCs w:val="28"/>
        </w:rPr>
      </w:pPr>
      <w:r>
        <w:rPr>
          <w:bCs/>
          <w:szCs w:val="28"/>
        </w:rPr>
        <w:t>7．</w:t>
      </w:r>
      <w:r>
        <w:rPr>
          <w:rFonts w:hint="eastAsia"/>
          <w:bCs/>
          <w:szCs w:val="28"/>
        </w:rPr>
        <w:t>半自动</w:t>
      </w:r>
      <w:r>
        <w:rPr>
          <w:bCs/>
          <w:szCs w:val="28"/>
        </w:rPr>
        <w:t>包装一体机</w:t>
      </w:r>
      <w:r>
        <w:rPr>
          <w:rFonts w:hint="eastAsia"/>
          <w:bCs/>
          <w:szCs w:val="28"/>
        </w:rPr>
        <w:t>：袋装，</w:t>
      </w:r>
      <w:r>
        <w:rPr>
          <w:bCs/>
          <w:szCs w:val="28"/>
        </w:rPr>
        <w:t>5</w:t>
      </w:r>
      <w:r>
        <w:rPr>
          <w:rFonts w:hint="eastAsia"/>
          <w:bCs/>
          <w:szCs w:val="28"/>
        </w:rPr>
        <w:t>公斤，</w:t>
      </w:r>
      <w:r>
        <w:rPr>
          <w:bCs/>
          <w:szCs w:val="28"/>
        </w:rPr>
        <w:t>SUS304材质</w:t>
      </w:r>
      <w:r>
        <w:rPr>
          <w:rFonts w:hint="eastAsia"/>
          <w:bCs/>
          <w:szCs w:val="28"/>
        </w:rPr>
        <w:t>，1套</w:t>
      </w:r>
    </w:p>
    <w:p>
      <w:pPr>
        <w:spacing w:line="360" w:lineRule="auto"/>
        <w:jc w:val="left"/>
        <w:rPr>
          <w:bCs/>
          <w:szCs w:val="28"/>
        </w:rPr>
      </w:pPr>
    </w:p>
    <w:p>
      <w:pPr>
        <w:spacing w:line="360" w:lineRule="auto"/>
        <w:jc w:val="left"/>
        <w:rPr>
          <w:bCs/>
          <w:szCs w:val="28"/>
        </w:rPr>
      </w:pPr>
      <w:r>
        <w:rPr>
          <w:bCs/>
          <w:szCs w:val="28"/>
        </w:rPr>
        <w:t>注：水溶肥生产线和掺混肥生产线总占地面积≤160平方米，高度≤5米</w:t>
      </w:r>
    </w:p>
    <w:p>
      <w:pPr>
        <w:spacing w:line="360" w:lineRule="auto"/>
        <w:ind w:firstLine="420"/>
        <w:jc w:val="left"/>
      </w:pPr>
    </w:p>
    <w:p>
      <w:pPr>
        <w:rPr>
          <w:rFonts w:asciiTheme="minorEastAsia" w:hAnsiTheme="minorEastAsia" w:eastAsiaTheme="minorEastAsia" w:cstheme="minorEastAsia"/>
          <w:b/>
          <w:bCs/>
          <w:sz w:val="28"/>
          <w:szCs w:val="28"/>
        </w:rPr>
      </w:pPr>
    </w:p>
    <w:p>
      <w:pPr>
        <w:autoSpaceDE w:val="0"/>
        <w:autoSpaceDN w:val="0"/>
        <w:adjustRightInd w:val="0"/>
        <w:spacing w:line="360" w:lineRule="auto"/>
        <w:rPr>
          <w:b/>
          <w:bCs/>
        </w:rPr>
      </w:pPr>
      <w:r>
        <w:rPr>
          <w:rFonts w:hint="eastAsia" w:asciiTheme="minorEastAsia" w:hAnsiTheme="minorEastAsia" w:eastAsiaTheme="minorEastAsia" w:cstheme="minorEastAsia"/>
          <w:b/>
          <w:bCs/>
          <w:szCs w:val="21"/>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不具有唯一性，供应商可提供同等档次或更高档次产品，并提供相应技术参数证明其符合采购需求或优于采购需求，否则视其为不满足采购需求。</w:t>
      </w:r>
    </w:p>
    <w:p>
      <w:pPr>
        <w:rPr>
          <w:rFonts w:asciiTheme="minorEastAsia" w:hAnsiTheme="minorEastAsia" w:eastAsiaTheme="minorEastAsia" w:cstheme="minorEastAsia"/>
          <w:b/>
          <w:bCs/>
          <w:sz w:val="24"/>
        </w:rPr>
      </w:pPr>
      <w:bookmarkStart w:id="97" w:name="_Toc30527"/>
      <w:r>
        <w:rPr>
          <w:rFonts w:hint="eastAsia" w:asciiTheme="minorEastAsia" w:hAnsiTheme="minorEastAsia" w:eastAsiaTheme="minorEastAsia" w:cstheme="minorEastAsia"/>
          <w:b/>
          <w:bCs/>
          <w:sz w:val="24"/>
        </w:rPr>
        <w:br w:type="page"/>
      </w:r>
    </w:p>
    <w:p>
      <w:pPr>
        <w:autoSpaceDE w:val="0"/>
        <w:autoSpaceDN w:val="0"/>
        <w:adjustRightInd w:val="0"/>
        <w:spacing w:line="360" w:lineRule="auto"/>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二、商务需求</w:t>
      </w:r>
      <w:bookmarkEnd w:id="97"/>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1、违约责任：</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1.2若非采购人原因，成交供应商逾期交付安装的，成交供应商向采购人支付逾期交付安装违约金，逾期交付安装违约金为每天1000.00元人民币，但其最终累计金额不超过合同价款的10%。</w:t>
      </w:r>
    </w:p>
    <w:p>
      <w:pPr>
        <w:spacing w:line="360" w:lineRule="auto"/>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1.3因成交供应商原因产品质量达不到约定的质量标准，成交供应商应负责退换，使其达到合同约定的质量标准，并由成交供应商向采购人支付合同价款10%的违约金。</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2、产品质量要求：达到国家或行业颁布的其他现行各项技术标准和验收规范规定</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3、产品进场安装、调试及验收：</w:t>
      </w:r>
    </w:p>
    <w:p>
      <w:pPr>
        <w:spacing w:line="360" w:lineRule="auto"/>
        <w:ind w:left="420" w:leftChars="200"/>
        <w:jc w:val="left"/>
        <w:rPr>
          <w:rFonts w:ascii="宋体" w:hAnsi="宋体" w:cs="宋体"/>
          <w:szCs w:val="21"/>
        </w:rPr>
      </w:pPr>
      <w:r>
        <w:rPr>
          <w:rFonts w:hint="eastAsia" w:ascii="宋体" w:hAnsi="宋体" w:cs="宋体"/>
          <w:szCs w:val="21"/>
        </w:rPr>
        <w:t>3.1供应商须提供全新的设备，并负责设备的运输、安装、调试、联调等工作。</w:t>
      </w:r>
    </w:p>
    <w:p>
      <w:pPr>
        <w:spacing w:line="360" w:lineRule="auto"/>
        <w:ind w:firstLine="420" w:firstLineChars="200"/>
        <w:jc w:val="left"/>
        <w:rPr>
          <w:rFonts w:ascii="宋体" w:hAnsi="宋体" w:cs="宋体"/>
          <w:szCs w:val="21"/>
        </w:rPr>
      </w:pPr>
      <w:r>
        <w:rPr>
          <w:rFonts w:hint="eastAsia" w:ascii="宋体" w:hAnsi="宋体" w:cs="宋体"/>
          <w:szCs w:val="21"/>
        </w:rPr>
        <w:t>3.2所有设备均须由供应商送货到指定地点并安装调试，采购人不再支付任何费用。</w:t>
      </w:r>
    </w:p>
    <w:p>
      <w:pPr>
        <w:spacing w:line="360" w:lineRule="auto"/>
        <w:ind w:firstLine="420" w:firstLineChars="200"/>
        <w:jc w:val="left"/>
        <w:rPr>
          <w:rFonts w:ascii="宋体" w:hAnsi="宋体" w:cs="宋体"/>
          <w:szCs w:val="21"/>
        </w:rPr>
      </w:pPr>
      <w:r>
        <w:rPr>
          <w:rFonts w:hint="eastAsia" w:ascii="宋体" w:hAnsi="宋体" w:cs="宋体"/>
          <w:szCs w:val="21"/>
        </w:rPr>
        <w:t>3.3供应商设备到达目的地后的24小时内必须派人到现场负责安装和调试，采购人按供应商提供的设备清单及检验产品合格证、使用说明书和其他的技术资料负责开箱检验、检查设备及随机附件是否完整无损，技术资料是否与采购人的要求相符，如有损坏、缺件等情况，供应商应在3个工作日内更换新产品，相应的费用及责任由供应商自行负担。</w:t>
      </w:r>
    </w:p>
    <w:p>
      <w:pPr>
        <w:spacing w:line="360" w:lineRule="auto"/>
        <w:ind w:firstLine="420" w:firstLineChars="200"/>
        <w:jc w:val="left"/>
        <w:rPr>
          <w:rFonts w:ascii="宋体" w:hAnsi="宋体" w:cs="宋体"/>
          <w:szCs w:val="21"/>
        </w:rPr>
      </w:pPr>
      <w:r>
        <w:rPr>
          <w:rFonts w:hint="eastAsia" w:ascii="宋体" w:hAnsi="宋体" w:cs="宋体"/>
          <w:szCs w:val="21"/>
        </w:rPr>
        <w:t>3.4供应商应提供设备所带专用工具清单，并标明其种类、用途和生产厂，并在货物到货时同时提供给采购人。</w:t>
      </w:r>
    </w:p>
    <w:p>
      <w:pPr>
        <w:spacing w:line="360" w:lineRule="auto"/>
        <w:ind w:firstLine="420" w:firstLineChars="200"/>
        <w:jc w:val="left"/>
        <w:rPr>
          <w:rFonts w:ascii="宋体" w:hAnsi="宋体" w:cs="宋体"/>
          <w:szCs w:val="21"/>
        </w:rPr>
      </w:pPr>
      <w:r>
        <w:rPr>
          <w:rFonts w:hint="eastAsia" w:ascii="宋体" w:hAnsi="宋体" w:cs="宋体"/>
          <w:szCs w:val="21"/>
        </w:rPr>
        <w:t>3.5供应商须免费提供调试专用工具，直到项目质保期满。</w:t>
      </w:r>
    </w:p>
    <w:p>
      <w:pPr>
        <w:spacing w:line="360" w:lineRule="auto"/>
        <w:ind w:firstLine="420" w:firstLineChars="200"/>
        <w:jc w:val="left"/>
        <w:rPr>
          <w:rFonts w:ascii="宋体" w:hAnsi="宋体" w:cs="宋体"/>
          <w:szCs w:val="21"/>
        </w:rPr>
      </w:pPr>
      <w:r>
        <w:rPr>
          <w:rFonts w:hint="eastAsia" w:ascii="宋体" w:hAnsi="宋体" w:cs="宋体"/>
          <w:szCs w:val="21"/>
        </w:rPr>
        <w:t>3.6供应商必须提供产品安装的详细实施建议方案和产品安装实施过程的工作内容、工作日程表、工作方法，并征得采购人认可后严格按照日程表执行。日程表内容至少应包括到货日期、现场安装、测试、试运行、验收、运行、技术培训等。</w:t>
      </w:r>
    </w:p>
    <w:p>
      <w:pPr>
        <w:spacing w:line="360" w:lineRule="auto"/>
        <w:ind w:firstLine="420" w:firstLineChars="200"/>
        <w:jc w:val="left"/>
        <w:rPr>
          <w:rFonts w:ascii="宋体" w:hAnsi="宋体" w:cs="宋体"/>
          <w:szCs w:val="21"/>
        </w:rPr>
      </w:pPr>
      <w:r>
        <w:rPr>
          <w:rFonts w:hint="eastAsia" w:ascii="宋体" w:hAnsi="宋体" w:cs="宋体"/>
          <w:szCs w:val="21"/>
        </w:rPr>
        <w:t>3.7供应商应允许采购人的工作人员参与设备的安装、测试、诊断及解决问题等各项工作，并提供相关的现场培训。</w:t>
      </w:r>
    </w:p>
    <w:p>
      <w:pPr>
        <w:spacing w:line="360" w:lineRule="auto"/>
        <w:ind w:firstLine="420" w:firstLineChars="200"/>
        <w:jc w:val="left"/>
        <w:rPr>
          <w:rFonts w:ascii="宋体" w:hAnsi="宋体" w:cs="宋体"/>
          <w:szCs w:val="21"/>
        </w:rPr>
      </w:pPr>
      <w:r>
        <w:rPr>
          <w:rFonts w:hint="eastAsia" w:ascii="宋体" w:hAnsi="宋体" w:cs="宋体"/>
          <w:szCs w:val="21"/>
        </w:rPr>
        <w:t>3.8供应商在验收前必须递交书面的验收方案，并报采购人认可后以其为依据，方可开始验收工作。</w:t>
      </w:r>
    </w:p>
    <w:p>
      <w:pPr>
        <w:spacing w:line="360" w:lineRule="auto"/>
        <w:ind w:firstLine="420" w:firstLineChars="200"/>
        <w:jc w:val="left"/>
        <w:rPr>
          <w:rFonts w:ascii="宋体" w:hAnsi="宋体" w:cs="宋体"/>
          <w:szCs w:val="21"/>
        </w:rPr>
      </w:pPr>
      <w:r>
        <w:rPr>
          <w:rFonts w:hint="eastAsia" w:ascii="宋体" w:hAnsi="宋体" w:cs="宋体"/>
          <w:szCs w:val="21"/>
        </w:rPr>
        <w:t>3.9供应商应负责安装、调试，提供设备安装、调试等必备连接材料设施和技术文档，积极配合采购人进行相关工程的实施。</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szCs w:val="21"/>
        </w:rPr>
        <w:t>3.10在安装联调过程中，供应商供给采购人的产品及自己使用的工具，进入采购人使用现场后的保管由供应商负责；供应商在采购人使用现场安装人员的安全、保险、食宿、交通由供应商负责。</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4、售后服务和培训要求：</w:t>
      </w:r>
    </w:p>
    <w:p>
      <w:pPr>
        <w:pStyle w:val="1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4.1供应商需要确保质保期内对技术支持与服务的及时性。提供工作日24小时电话响应，2小时上门服务。</w:t>
      </w:r>
    </w:p>
    <w:p>
      <w:pPr>
        <w:pStyle w:val="1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调配技术过硬的技术人员提供各类技术支持服务(包括电话技术支持和现场技术支持等)，供应商向采购人提供7×24小时热线电话服务，并通过多种形式实现技术咨询和故障报修，供应商向采购人提供系统操作使用说明书，并进行人员培训。</w:t>
      </w:r>
    </w:p>
    <w:p>
      <w:pPr>
        <w:pStyle w:val="1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供应商要免费提供相关的使用指南及培训服务。提供在线知识库查询及电话、邮件技术支持。专业的售后服务，针对每次服务，应向采购人提供维护确认单，经采购人签收，保证售后服务的专业性。</w:t>
      </w:r>
    </w:p>
    <w:p>
      <w:pPr>
        <w:autoSpaceDE w:val="0"/>
        <w:autoSpaceDN w:val="0"/>
        <w:adjustRightInd w:val="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5、交货地点：采购人指定地方</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6、交货</w:t>
      </w:r>
      <w:r>
        <w:rPr>
          <w:rFonts w:hint="eastAsia" w:asciiTheme="minorEastAsia" w:hAnsiTheme="minorEastAsia" w:eastAsiaTheme="minorEastAsia" w:cstheme="minorEastAsia"/>
          <w:szCs w:val="21"/>
          <w:highlight w:val="none"/>
        </w:rPr>
        <w:t xml:space="preserve">期：合同签订后 </w:t>
      </w:r>
      <w:r>
        <w:rPr>
          <w:rFonts w:asciiTheme="minorEastAsia" w:hAnsiTheme="minorEastAsia" w:eastAsiaTheme="minorEastAsia" w:cstheme="minorEastAsia"/>
          <w:szCs w:val="21"/>
          <w:highlight w:val="none"/>
        </w:rPr>
        <w:t>70</w:t>
      </w:r>
      <w:r>
        <w:rPr>
          <w:rFonts w:hint="eastAsia" w:asciiTheme="minorEastAsia" w:hAnsiTheme="minorEastAsia" w:eastAsiaTheme="minorEastAsia" w:cstheme="minorEastAsia"/>
          <w:szCs w:val="21"/>
          <w:highlight w:val="none"/>
        </w:rPr>
        <w:t xml:space="preserve"> 日历天内供货，15天内完成安装调试。</w:t>
      </w:r>
    </w:p>
    <w:p>
      <w:pPr>
        <w:autoSpaceDE w:val="0"/>
        <w:autoSpaceDN w:val="0"/>
        <w:adjustRightInd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7、质保期/保修期：设备质保期不低于两年，并实行终身保修。质保期内设备由于供方原因发生故障，供方免费维修或更换故障部件；由需方原因造成的维修费用，供方只收配件费及实际发生的直接费用。</w:t>
      </w:r>
    </w:p>
    <w:p>
      <w:pPr>
        <w:autoSpaceDE w:val="0"/>
        <w:autoSpaceDN w:val="0"/>
        <w:adjustRightInd w:val="0"/>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8、履约保证金：合同金额的5%；签订合同前5个工作日递交，以支票、汇票、本票等非现金形式提交。验收合格后，履约保证金转为质保金，一年后无质量问题无息退还，按采购人财务处相关规定办理；</w:t>
      </w:r>
    </w:p>
    <w:p>
      <w:pPr>
        <w:autoSpaceDE w:val="0"/>
        <w:autoSpaceDN w:val="0"/>
        <w:adjustRightInd w:val="0"/>
        <w:spacing w:line="360" w:lineRule="auto"/>
        <w:rPr>
          <w:highlight w:val="none"/>
        </w:rPr>
      </w:pPr>
      <w:r>
        <w:rPr>
          <w:rFonts w:hint="eastAsia" w:asciiTheme="minorEastAsia" w:hAnsiTheme="minorEastAsia" w:eastAsiaTheme="minorEastAsia" w:cstheme="minorEastAsia"/>
          <w:szCs w:val="21"/>
          <w:highlight w:val="none"/>
        </w:rPr>
        <w:t>9、付款方式：</w:t>
      </w:r>
      <w:r>
        <w:rPr>
          <w:rFonts w:hint="eastAsia" w:asciiTheme="minorEastAsia" w:hAnsiTheme="minorEastAsia" w:eastAsiaTheme="minorEastAsia" w:cstheme="minorEastAsia"/>
          <w:color w:val="000000" w:themeColor="text1"/>
          <w:highlight w:val="none"/>
        </w:rPr>
        <w:t>合同签订后，采购人向供应商支付合同价30%，验收合格后，采购人向供应商支付合同价70%。</w:t>
      </w:r>
    </w:p>
    <w:p>
      <w:pPr>
        <w:autoSpaceDE w:val="0"/>
        <w:autoSpaceDN w:val="0"/>
        <w:adjustRightInd w:val="0"/>
        <w:spacing w:line="360" w:lineRule="auto"/>
        <w:rPr>
          <w:rFonts w:asciiTheme="minorEastAsia" w:hAnsiTheme="minorEastAsia" w:eastAsiaTheme="minorEastAsia" w:cstheme="minorEastAsia"/>
          <w:szCs w:val="21"/>
        </w:rPr>
      </w:pPr>
    </w:p>
    <w:p>
      <w:pPr>
        <w:autoSpaceDE w:val="0"/>
        <w:autoSpaceDN w:val="0"/>
        <w:adjustRightInd w:val="0"/>
        <w:spacing w:line="360" w:lineRule="auto"/>
        <w:rPr>
          <w:rFonts w:asciiTheme="minorEastAsia" w:hAnsiTheme="minorEastAsia" w:eastAsiaTheme="minorEastAsia" w:cstheme="minorEastAsia"/>
          <w:szCs w:val="21"/>
        </w:rPr>
      </w:pPr>
    </w:p>
    <w:p>
      <w:pPr>
        <w:autoSpaceDE w:val="0"/>
        <w:autoSpaceDN w:val="0"/>
        <w:adjustRightInd w:val="0"/>
        <w:spacing w:line="360" w:lineRule="auto"/>
        <w:rPr>
          <w:rFonts w:asciiTheme="minorEastAsia" w:hAnsiTheme="minorEastAsia" w:eastAsiaTheme="minorEastAsia" w:cstheme="minorEastAsia"/>
          <w:szCs w:val="21"/>
        </w:rPr>
      </w:pPr>
    </w:p>
    <w:p>
      <w:pPr>
        <w:autoSpaceDE w:val="0"/>
        <w:autoSpaceDN w:val="0"/>
        <w:adjustRightInd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w:t>
      </w:r>
    </w:p>
    <w:p>
      <w:pPr>
        <w:autoSpaceDE w:val="0"/>
        <w:autoSpaceDN w:val="0"/>
        <w:adjustRightInd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1、资格审查因素等证明材料须提供网上图片或查询方式以供磋商小组核查，响应文件内附相关证书真彩扫描件。</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bookmarkStart w:id="98" w:name="_Toc2788"/>
    </w:p>
    <w:p>
      <w:pPr>
        <w:pStyle w:val="3"/>
        <w:numPr>
          <w:ilvl w:val="0"/>
          <w:numId w:val="4"/>
        </w:num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t>竞争性磋商采购评定办法</w:t>
      </w:r>
      <w:bookmarkEnd w:id="98"/>
    </w:p>
    <w:p>
      <w:pPr>
        <w:spacing w:line="360" w:lineRule="auto"/>
        <w:outlineLvl w:val="1"/>
        <w:rPr>
          <w:rFonts w:asciiTheme="minorEastAsia" w:hAnsiTheme="minorEastAsia" w:eastAsiaTheme="minorEastAsia" w:cstheme="minorEastAsia"/>
          <w:b/>
          <w:szCs w:val="21"/>
        </w:rPr>
      </w:pPr>
      <w:bookmarkStart w:id="99" w:name="_Toc8606"/>
      <w:r>
        <w:rPr>
          <w:rFonts w:hint="eastAsia" w:asciiTheme="minorEastAsia" w:hAnsiTheme="minorEastAsia" w:eastAsiaTheme="minorEastAsia" w:cstheme="minorEastAsia"/>
          <w:b/>
          <w:szCs w:val="21"/>
        </w:rPr>
        <w:t>一、评定办法前附表</w:t>
      </w:r>
      <w:bookmarkEnd w:id="99"/>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lang w:val="zh-CN"/>
              </w:rPr>
            </w:pPr>
            <w:r>
              <w:rPr>
                <w:rFonts w:hint="eastAsia"/>
                <w:lang w:val="zh-CN"/>
              </w:rPr>
              <w:t>2、参与本项目采购活动前，已为本项目提供过整体设计、规范编制或者项目管理、监理、检测等服务的供应商。</w:t>
            </w:r>
          </w:p>
          <w:p>
            <w:pPr>
              <w:widowControl/>
              <w:spacing w:line="280" w:lineRule="exact"/>
              <w:jc w:val="left"/>
              <w:rPr>
                <w:lang w:val="zh-CN"/>
              </w:rPr>
            </w:pPr>
            <w:r>
              <w:rPr>
                <w:rFonts w:hint="eastAsia"/>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asciiTheme="minorEastAsia" w:hAnsiTheme="minorEastAsia" w:eastAsiaTheme="minorEastAsia" w:cstheme="minorEastAsia"/>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磋商保证金（如有）</w:t>
            </w:r>
          </w:p>
        </w:tc>
        <w:tc>
          <w:tcPr>
            <w:tcW w:w="4730" w:type="dxa"/>
            <w:vAlign w:val="center"/>
          </w:tcPr>
          <w:p>
            <w:pPr>
              <w:widowControl/>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是否未超出经营范围竞标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次政府采购活动前三年内，是否有不良经济纠纷记录和违法行为（供应商提供声明或承诺书，格式自拟）；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技术参数及商务需求是否实质性响应磋商文件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continue"/>
            <w:vAlign w:val="center"/>
          </w:tcPr>
          <w:p>
            <w:pPr>
              <w:widowControl/>
              <w:jc w:val="center"/>
              <w:rPr>
                <w:rFonts w:asciiTheme="minorEastAsia" w:hAnsiTheme="minorEastAsia" w:eastAsiaTheme="minorEastAsia" w:cstheme="minorEastAsia"/>
                <w:kern w:val="0"/>
                <w:szCs w:val="21"/>
              </w:rPr>
            </w:pP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ascii="宋体" w:hAnsi="宋体"/>
                <w:szCs w:val="21"/>
              </w:rPr>
            </w:pPr>
            <w:r>
              <w:rPr>
                <w:rFonts w:hint="eastAsia" w:ascii="宋体" w:hAnsi="宋体"/>
                <w:szCs w:val="21"/>
              </w:rPr>
              <w:t>其他要求（一）</w:t>
            </w:r>
          </w:p>
        </w:tc>
        <w:tc>
          <w:tcPr>
            <w:tcW w:w="4730" w:type="dxa"/>
            <w:vAlign w:val="center"/>
          </w:tcPr>
          <w:p>
            <w:pPr>
              <w:autoSpaceDE w:val="0"/>
              <w:autoSpaceDN w:val="0"/>
              <w:adjustRightInd w:val="0"/>
              <w:snapToGrid w:val="0"/>
              <w:rPr>
                <w:rFonts w:ascii="宋体" w:hAnsi="宋体"/>
                <w:szCs w:val="21"/>
              </w:rPr>
            </w:pPr>
            <w:r>
              <w:rPr>
                <w:rFonts w:hint="eastAsia" w:ascii="宋体" w:hAnsi="宋体"/>
                <w:szCs w:val="21"/>
              </w:rPr>
              <w:t>供应商未有下列任一情形：</w:t>
            </w:r>
          </w:p>
          <w:p>
            <w:pPr>
              <w:autoSpaceDE w:val="0"/>
              <w:autoSpaceDN w:val="0"/>
              <w:adjustRightInd w:val="0"/>
              <w:snapToGrid w:val="0"/>
              <w:rPr>
                <w:rFonts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其他要求（二）</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磋商文件中规定被视为无效投标其它条款的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85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在磋商结束后，磋商小组向所有通过资格性和符合性审查的磋商供应商发出报价书，并要求其在规定时间内提交最后报价。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asciiTheme="minorEastAsia" w:hAnsiTheme="minorEastAsia" w:eastAsiaTheme="minorEastAsia" w:cstheme="minorEastAsia"/>
                <w:kern w:val="0"/>
                <w:szCs w:val="21"/>
              </w:rPr>
            </w:pPr>
          </w:p>
        </w:tc>
        <w:tc>
          <w:tcPr>
            <w:tcW w:w="851" w:type="dxa"/>
            <w:vMerge w:val="continue"/>
            <w:vAlign w:val="center"/>
          </w:tcPr>
          <w:p>
            <w:pPr>
              <w:widowControl/>
              <w:jc w:val="center"/>
              <w:rPr>
                <w:rFonts w:asciiTheme="minorEastAsia" w:hAnsiTheme="minorEastAsia" w:eastAsiaTheme="minorEastAsia" w:cstheme="minorEastAsia"/>
                <w:kern w:val="0"/>
                <w:szCs w:val="21"/>
              </w:rPr>
            </w:pP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asciiTheme="minorEastAsia" w:hAnsiTheme="minorEastAsia" w:eastAsiaTheme="minorEastAsia" w:cstheme="minorEastAsia"/>
                <w:bCs/>
                <w:color w:val="FF0000"/>
                <w:kern w:val="0"/>
                <w:szCs w:val="21"/>
              </w:rPr>
            </w:pPr>
            <w:r>
              <w:rPr>
                <w:rFonts w:hint="eastAsia" w:asciiTheme="minorEastAsia" w:hAnsiTheme="minorEastAsia" w:eastAsiaTheme="minorEastAsia" w:cstheme="minorEastAsia"/>
                <w:bCs/>
                <w:kern w:val="0"/>
                <w:szCs w:val="21"/>
              </w:rPr>
              <w:t>3.</w:t>
            </w:r>
          </w:p>
        </w:tc>
        <w:tc>
          <w:tcPr>
            <w:tcW w:w="85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相同品牌</w:t>
            </w:r>
          </w:p>
        </w:tc>
        <w:tc>
          <w:tcPr>
            <w:tcW w:w="3101" w:type="dxa"/>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相同品牌处理原则</w:t>
            </w:r>
          </w:p>
        </w:tc>
        <w:tc>
          <w:tcPr>
            <w:tcW w:w="473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单一产品采购项目，采购人应当根据采购项目技术构成、产品价格比重等合理确定一个核心产品，并以“核心产品”在磋商文件中标注。若核心产品不止1个，各供应商所投任一核心产品的品牌相同，则按一家供应商计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多家供应商提供的核心产品品牌相同的，按上述规定处理。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如符合工信部联企业【2011】300号文中对中小企业划型标准的， 需提供本单位的 《中小企业声明函》（格式见第六章）及企业相关数据资料。代理商竞标需同时提供制造商及代理商双方的数据资料（制造商直接竞标的仅需提供制造商数据资料），如果数据资料与声明函不一致的，由磋商小组判定。经磋商小组审核确认供应商符合工信部联企业【2011】300 号文中对中小企业划型标准的，将根据财库【2011】181号文的相关规定在评定时对小型和微型企业产品的价格给予6%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ascii="宋体" w:hAnsi="宋体" w:cs="宋体"/>
                <w:snapToGrid w:val="0"/>
                <w:kern w:val="0"/>
                <w:szCs w:val="21"/>
                <w:lang w:val="zh-CN"/>
              </w:rPr>
            </w:pPr>
          </w:p>
          <w:p>
            <w:pPr>
              <w:autoSpaceDE w:val="0"/>
              <w:autoSpaceDN w:val="0"/>
              <w:adjustRightInd w:val="0"/>
              <w:jc w:val="center"/>
              <w:rPr>
                <w:rFonts w:asciiTheme="minorEastAsia" w:hAnsiTheme="minorEastAsia" w:cstheme="minorEastAsia"/>
                <w:kern w:val="0"/>
                <w:szCs w:val="21"/>
              </w:rPr>
            </w:pPr>
            <w:r>
              <w:rPr>
                <w:rFonts w:hint="eastAsia" w:ascii="宋体" w:hAnsi="宋体" w:cs="宋体"/>
                <w:snapToGrid w:val="0"/>
                <w:kern w:val="0"/>
                <w:szCs w:val="21"/>
                <w:lang w:val="zh-CN"/>
              </w:rPr>
              <w:t>节能</w:t>
            </w:r>
            <w:r>
              <w:rPr>
                <w:rFonts w:hint="eastAsia" w:ascii="宋体" w:hAnsi="宋体" w:cs="宋体"/>
                <w:snapToGrid w:val="0"/>
                <w:kern w:val="0"/>
                <w:szCs w:val="21"/>
              </w:rPr>
              <w:t>环保</w:t>
            </w:r>
          </w:p>
        </w:tc>
        <w:tc>
          <w:tcPr>
            <w:tcW w:w="7831" w:type="dxa"/>
            <w:gridSpan w:val="2"/>
            <w:vAlign w:val="center"/>
          </w:tcPr>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asciiTheme="minorEastAsia" w:hAnsiTheme="minorEastAsia" w:eastAsiaTheme="minorEastAsia" w:cstheme="minorEastAsia"/>
          <w:b/>
          <w:szCs w:val="21"/>
        </w:rPr>
      </w:pPr>
      <w:bookmarkStart w:id="100" w:name="_Toc32290"/>
      <w:r>
        <w:rPr>
          <w:rFonts w:hint="eastAsia" w:asciiTheme="minorEastAsia" w:hAnsiTheme="minorEastAsia" w:eastAsiaTheme="minorEastAsia" w:cstheme="minorEastAsia"/>
          <w:b/>
          <w:szCs w:val="21"/>
        </w:rPr>
        <w:t>二、计算办法</w:t>
      </w:r>
      <w:bookmarkEnd w:id="100"/>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rPr>
          <w:rFonts w:asciiTheme="minorEastAsia" w:hAnsiTheme="minorEastAsia" w:eastAsiaTheme="minorEastAsia" w:cstheme="minorEastAsia"/>
          <w:b/>
          <w:szCs w:val="21"/>
        </w:rPr>
      </w:pPr>
    </w:p>
    <w:p>
      <w:pPr>
        <w:pStyle w:val="20"/>
        <w:rPr>
          <w:rFonts w:asciiTheme="minorEastAsia" w:hAnsiTheme="minorEastAsia" w:eastAsiaTheme="minorEastAsia" w:cstheme="minorEastAsia"/>
        </w:rPr>
      </w:pPr>
    </w:p>
    <w:p>
      <w:pPr>
        <w:spacing w:line="360" w:lineRule="auto"/>
        <w:outlineLvl w:val="1"/>
        <w:rPr>
          <w:rFonts w:asciiTheme="minorEastAsia" w:hAnsiTheme="minorEastAsia" w:eastAsiaTheme="minorEastAsia" w:cstheme="minorEastAsia"/>
          <w:b/>
          <w:szCs w:val="21"/>
        </w:rPr>
      </w:pPr>
      <w:bookmarkStart w:id="101" w:name="_Toc1388"/>
      <w:r>
        <w:rPr>
          <w:rFonts w:hint="eastAsia" w:asciiTheme="minorEastAsia" w:hAnsiTheme="minorEastAsia" w:eastAsiaTheme="minorEastAsia" w:cstheme="minorEastAsia"/>
          <w:b/>
          <w:szCs w:val="21"/>
        </w:rPr>
        <w:t>三、评分细则</w:t>
      </w:r>
      <w:bookmarkEnd w:id="101"/>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类别</w:t>
            </w:r>
          </w:p>
        </w:tc>
        <w:tc>
          <w:tcPr>
            <w:tcW w:w="137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评审因素</w:t>
            </w:r>
          </w:p>
        </w:tc>
        <w:tc>
          <w:tcPr>
            <w:tcW w:w="6512"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评审标准</w:t>
            </w:r>
          </w:p>
        </w:tc>
        <w:tc>
          <w:tcPr>
            <w:tcW w:w="664" w:type="dxa"/>
            <w:tcBorders>
              <w:top w:val="single" w:color="auto" w:sz="12" w:space="0"/>
            </w:tcBorders>
            <w:vAlign w:val="center"/>
          </w:tcPr>
          <w:p>
            <w:pPr>
              <w:spacing w:line="36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rPr>
              <w:t>竞标报价</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30分</w:t>
            </w:r>
          </w:p>
        </w:tc>
        <w:tc>
          <w:tcPr>
            <w:tcW w:w="1376"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rPr>
              <w:t>最后报价</w:t>
            </w:r>
          </w:p>
        </w:tc>
        <w:tc>
          <w:tcPr>
            <w:tcW w:w="6512" w:type="dxa"/>
            <w:vAlign w:val="center"/>
          </w:tcPr>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1、报价采用低价优先法计算，即满足磋商采购文件要求且报价最低的报价为磋商基准价，其报价分为满分30分；</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2、其他供应商的报价分按照下列公式计算：</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报价分=（磋商基准价/磋商报价）×30</w:t>
            </w:r>
          </w:p>
          <w:p>
            <w:pPr>
              <w:widowControl/>
              <w:spacing w:line="260" w:lineRule="exact"/>
              <w:jc w:val="left"/>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备注：1、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2、符合本磋商文件第四章“政策支持”条件的，在评审时予以价格扣除，用扣除后的价格参与评审。</w:t>
            </w:r>
          </w:p>
        </w:tc>
        <w:tc>
          <w:tcPr>
            <w:tcW w:w="664" w:type="dxa"/>
            <w:vAlign w:val="center"/>
          </w:tcPr>
          <w:p>
            <w:pPr>
              <w:widowControl/>
              <w:spacing w:line="26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商务20分</w:t>
            </w:r>
          </w:p>
        </w:tc>
        <w:tc>
          <w:tcPr>
            <w:tcW w:w="1376" w:type="dxa"/>
            <w:vAlign w:val="center"/>
          </w:tcPr>
          <w:p>
            <w:pPr>
              <w:spacing w:line="360" w:lineRule="auto"/>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kern w:val="0"/>
                <w:szCs w:val="21"/>
              </w:rPr>
              <w:t>财务状况</w:t>
            </w:r>
          </w:p>
        </w:tc>
        <w:tc>
          <w:tcPr>
            <w:tcW w:w="6512" w:type="dxa"/>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szCs w:val="21"/>
              </w:rPr>
            </w:pPr>
            <w:r>
              <w:rPr>
                <w:rFonts w:hint="eastAsia" w:ascii="宋体" w:hAnsi="宋体" w:cs="宋体"/>
                <w:kern w:val="0"/>
                <w:szCs w:val="21"/>
              </w:rPr>
              <w:t>根据供应商提供的近三年（</w:t>
            </w:r>
            <w:r>
              <w:rPr>
                <w:rFonts w:hint="eastAsia" w:asciiTheme="minorEastAsia" w:hAnsiTheme="minorEastAsia" w:eastAsiaTheme="minorEastAsia" w:cstheme="minorEastAsia"/>
                <w:spacing w:val="-6"/>
                <w:szCs w:val="21"/>
              </w:rPr>
              <w:t>2017、2018、2019</w:t>
            </w:r>
            <w:r>
              <w:rPr>
                <w:rFonts w:hint="eastAsia" w:ascii="宋体" w:hAnsi="宋体" w:cs="宋体"/>
                <w:kern w:val="0"/>
                <w:szCs w:val="21"/>
              </w:rPr>
              <w:t>）财务报告，对其经营状况、财务状况相互比较：连续盈利，偿债能力、盈利能力和抗风险能力强的，得4分；盈利情况一般，偿债能力和抗风险能力较弱的，得2分；无盈利，偿债能力和抗风险能力差的，得1分；（成立不足三年的按公司成立时的间起算）</w:t>
            </w:r>
          </w:p>
        </w:tc>
        <w:tc>
          <w:tcPr>
            <w:tcW w:w="664" w:type="dxa"/>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kern w:val="0"/>
                <w:szCs w:val="21"/>
              </w:rPr>
              <w:t xml:space="preserve">4分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spacing w:line="360" w:lineRule="auto"/>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szCs w:val="21"/>
              </w:rPr>
              <w:t>类似业绩</w:t>
            </w:r>
          </w:p>
        </w:tc>
        <w:tc>
          <w:tcPr>
            <w:tcW w:w="6512" w:type="dxa"/>
            <w:vAlign w:val="center"/>
          </w:tcPr>
          <w:p>
            <w:pPr>
              <w:spacing w:line="360" w:lineRule="auto"/>
              <w:jc w:val="left"/>
              <w:rPr>
                <w:rFonts w:asciiTheme="minorEastAsia" w:hAnsiTheme="minorEastAsia" w:eastAsiaTheme="minorEastAsia" w:cstheme="minorEastAsia"/>
                <w:spacing w:val="-6"/>
                <w:kern w:val="0"/>
                <w:szCs w:val="21"/>
              </w:rPr>
            </w:pPr>
            <w:r>
              <w:rPr>
                <w:rFonts w:hint="eastAsia" w:ascii="宋体" w:hAnsi="宋体" w:cs="宋体"/>
                <w:szCs w:val="21"/>
              </w:rPr>
              <w:t>近三年（</w:t>
            </w:r>
            <w:r>
              <w:rPr>
                <w:rFonts w:hint="eastAsia" w:asciiTheme="minorEastAsia" w:hAnsiTheme="minorEastAsia" w:eastAsiaTheme="minorEastAsia" w:cstheme="minorEastAsia"/>
                <w:spacing w:val="-6"/>
                <w:szCs w:val="21"/>
              </w:rPr>
              <w:t>磋商</w:t>
            </w:r>
            <w:r>
              <w:rPr>
                <w:rFonts w:hint="eastAsia" w:ascii="宋体" w:hAnsi="宋体" w:cs="宋体"/>
                <w:szCs w:val="21"/>
              </w:rPr>
              <w:t>截止时间往前推算36个月）承担过的类似项目业绩一个得2分，最高得8分。（须提供中标通知书及合同复印件加盖公章）</w:t>
            </w:r>
          </w:p>
        </w:tc>
        <w:tc>
          <w:tcPr>
            <w:tcW w:w="664" w:type="dxa"/>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szCs w:val="21"/>
              </w:rPr>
              <w:t>8</w:t>
            </w:r>
            <w:r>
              <w:rPr>
                <w:rFonts w:hint="eastAsia" w:asciiTheme="minorEastAsia" w:hAnsiTheme="minorEastAsia" w:eastAsiaTheme="minorEastAsia" w:cstheme="minorEastAsia"/>
                <w:spacing w:val="-6"/>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kern w:val="0"/>
                <w:szCs w:val="21"/>
              </w:rPr>
              <w:t>用户评价</w:t>
            </w:r>
          </w:p>
        </w:tc>
        <w:tc>
          <w:tcPr>
            <w:tcW w:w="6512" w:type="dxa"/>
            <w:vAlign w:val="center"/>
          </w:tcPr>
          <w:p>
            <w:pPr>
              <w:spacing w:line="360" w:lineRule="auto"/>
              <w:jc w:val="left"/>
              <w:rPr>
                <w:rFonts w:asciiTheme="minorEastAsia" w:hAnsiTheme="minorEastAsia" w:eastAsiaTheme="minorEastAsia" w:cstheme="minorEastAsia"/>
                <w:spacing w:val="-6"/>
                <w:szCs w:val="21"/>
              </w:rPr>
            </w:pPr>
            <w:r>
              <w:rPr>
                <w:rFonts w:hint="eastAsia" w:ascii="宋体" w:hAnsi="宋体" w:cs="宋体"/>
                <w:szCs w:val="21"/>
              </w:rPr>
              <w:t>提供近三年（</w:t>
            </w:r>
            <w:r>
              <w:rPr>
                <w:rFonts w:hint="eastAsia" w:asciiTheme="minorEastAsia" w:hAnsiTheme="minorEastAsia" w:eastAsiaTheme="minorEastAsia" w:cstheme="minorEastAsia"/>
                <w:spacing w:val="-6"/>
                <w:szCs w:val="21"/>
              </w:rPr>
              <w:t>磋商</w:t>
            </w:r>
            <w:r>
              <w:rPr>
                <w:rFonts w:hint="eastAsia" w:ascii="宋体" w:hAnsi="宋体" w:cs="宋体"/>
                <w:szCs w:val="21"/>
              </w:rPr>
              <w:t>截止时间往前推算36个月）用户出具的满意评价证明（盖用户单位公章），每提供一个得1分，最高得4分。（需提供不同单位出具加盖公章的满意评价证明）</w:t>
            </w:r>
          </w:p>
        </w:tc>
        <w:tc>
          <w:tcPr>
            <w:tcW w:w="664" w:type="dxa"/>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kern w:val="0"/>
                <w:szCs w:val="21"/>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tcBorders>
              <w:bottom w:val="single" w:color="auto" w:sz="4" w:space="0"/>
            </w:tcBorders>
            <w:vAlign w:val="center"/>
          </w:tcPr>
          <w:p>
            <w:pPr>
              <w:spacing w:line="360" w:lineRule="auto"/>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kern w:val="0"/>
                <w:szCs w:val="21"/>
              </w:rPr>
              <w:t>体系认证</w:t>
            </w:r>
          </w:p>
        </w:tc>
        <w:tc>
          <w:tcPr>
            <w:tcW w:w="6512" w:type="dxa"/>
            <w:tcBorders>
              <w:bottom w:val="single" w:color="auto" w:sz="4" w:space="0"/>
            </w:tcBorders>
            <w:vAlign w:val="center"/>
          </w:tcPr>
          <w:p>
            <w:pPr>
              <w:spacing w:line="360" w:lineRule="auto"/>
              <w:jc w:val="left"/>
              <w:rPr>
                <w:rFonts w:asciiTheme="minorEastAsia" w:hAnsiTheme="minorEastAsia" w:eastAsiaTheme="minorEastAsia" w:cstheme="minorEastAsia"/>
                <w:spacing w:val="-6"/>
                <w:kern w:val="0"/>
                <w:szCs w:val="21"/>
              </w:rPr>
            </w:pPr>
            <w:r>
              <w:rPr>
                <w:rFonts w:hint="eastAsia" w:ascii="宋体" w:hAnsi="宋体" w:cs="宋体"/>
                <w:kern w:val="0"/>
                <w:szCs w:val="21"/>
              </w:rPr>
              <w:t>供应商</w:t>
            </w:r>
            <w:r>
              <w:rPr>
                <w:rFonts w:hint="eastAsia" w:ascii="宋体" w:hAnsi="宋体" w:cs="宋体"/>
                <w:szCs w:val="21"/>
              </w:rPr>
              <w:t>提供职业健康体系认证证书、质量管理体系认证证书、环境管理体系认证。每提供1 个证书得1分，不提供的不得分。</w:t>
            </w:r>
          </w:p>
        </w:tc>
        <w:tc>
          <w:tcPr>
            <w:tcW w:w="664" w:type="dxa"/>
            <w:tcBorders>
              <w:bottom w:val="single" w:color="auto" w:sz="4" w:space="0"/>
            </w:tcBorders>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kern w:val="0"/>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tcBorders>
              <w:top w:val="single" w:color="auto" w:sz="4" w:space="0"/>
            </w:tcBorders>
            <w:vAlign w:val="center"/>
          </w:tcPr>
          <w:p>
            <w:pPr>
              <w:spacing w:line="360" w:lineRule="auto"/>
              <w:rPr>
                <w:rFonts w:asciiTheme="minorEastAsia" w:hAnsiTheme="minorEastAsia" w:eastAsiaTheme="minorEastAsia" w:cstheme="minorEastAsia"/>
                <w:spacing w:val="-6"/>
                <w:kern w:val="0"/>
                <w:szCs w:val="21"/>
              </w:rPr>
            </w:pPr>
            <w:r>
              <w:rPr>
                <w:rFonts w:hint="eastAsia" w:ascii="宋体" w:hAnsi="宋体" w:cs="宋体"/>
                <w:szCs w:val="21"/>
              </w:rPr>
              <w:t>标书制作</w:t>
            </w:r>
          </w:p>
        </w:tc>
        <w:tc>
          <w:tcPr>
            <w:tcW w:w="6512" w:type="dxa"/>
            <w:tcBorders>
              <w:top w:val="single" w:color="auto" w:sz="4" w:space="0"/>
            </w:tcBorders>
            <w:vAlign w:val="center"/>
          </w:tcPr>
          <w:p>
            <w:pPr>
              <w:spacing w:line="360" w:lineRule="auto"/>
              <w:jc w:val="left"/>
              <w:rPr>
                <w:rFonts w:asciiTheme="minorEastAsia" w:hAnsiTheme="minorEastAsia" w:eastAsiaTheme="minorEastAsia" w:cstheme="minorEastAsia"/>
                <w:spacing w:val="-6"/>
                <w:kern w:val="0"/>
                <w:szCs w:val="21"/>
              </w:rPr>
            </w:pPr>
            <w:r>
              <w:rPr>
                <w:rFonts w:hint="eastAsia" w:ascii="宋体" w:hAnsi="宋体" w:cs="宋体"/>
                <w:szCs w:val="21"/>
              </w:rPr>
              <w:t>响应文件逐页有连续页码，并有详细目录，目录与有关材料装订顺序对应清晰，查阅方便的得0.5分；有评分导引表的得0.5分</w:t>
            </w:r>
          </w:p>
        </w:tc>
        <w:tc>
          <w:tcPr>
            <w:tcW w:w="664" w:type="dxa"/>
            <w:tcBorders>
              <w:top w:val="single" w:color="auto" w:sz="4" w:space="0"/>
            </w:tcBorders>
            <w:vAlign w:val="center"/>
          </w:tcPr>
          <w:p>
            <w:pPr>
              <w:autoSpaceDE w:val="0"/>
              <w:autoSpaceDN w:val="0"/>
              <w:adjustRightInd w:val="0"/>
              <w:spacing w:line="360" w:lineRule="auto"/>
              <w:ind w:right="71" w:rightChars="34"/>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kern w:val="0"/>
                <w:szCs w:val="21"/>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技术服务50分</w:t>
            </w:r>
          </w:p>
        </w:tc>
        <w:tc>
          <w:tcPr>
            <w:tcW w:w="1376" w:type="dxa"/>
            <w:vAlign w:val="center"/>
          </w:tcPr>
          <w:p>
            <w:pPr>
              <w:spacing w:line="360" w:lineRule="auto"/>
              <w:rPr>
                <w:rFonts w:asciiTheme="minorEastAsia" w:hAnsiTheme="minorEastAsia" w:eastAsiaTheme="minorEastAsia" w:cstheme="minorEastAsia"/>
                <w:spacing w:val="-6"/>
                <w:szCs w:val="21"/>
              </w:rPr>
            </w:pPr>
            <w:r>
              <w:rPr>
                <w:rFonts w:hint="eastAsia"/>
              </w:rPr>
              <w:t>技术响应</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供应商所投产品技术参数响应情况占35分，具体由磋商小组根据供应商的响应文件中产品情况、《技术响应、偏离说明表》等有关资料打分。其中：完全满足磋商文件技术参数要求的得35分；有一项不满足的扣 5分，扣完为止。</w:t>
            </w:r>
          </w:p>
          <w:p>
            <w:pPr>
              <w:spacing w:line="360" w:lineRule="auto"/>
              <w:ind w:left="-4" w:leftChars="-2" w:firstLine="2" w:firstLineChars="1"/>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备注：复制磋商文件技术要求作为实际响应数据或投标响应数据无对应支持文件的，其技术响应将可能按负偏离处理。参数需列出证明文件予以佐证,未予以佐证视为不响应。（主要技术参数以提供原厂确认并盖章的技术参数或原厂出具的产品宣传彩页或打印的官网资料截图资料为准）</w:t>
            </w:r>
          </w:p>
        </w:tc>
        <w:tc>
          <w:tcPr>
            <w:tcW w:w="664" w:type="dxa"/>
            <w:vAlign w:val="center"/>
          </w:tcPr>
          <w:p>
            <w:pPr>
              <w:spacing w:line="360" w:lineRule="auto"/>
              <w:ind w:left="-4" w:leftChars="-2" w:firstLine="2" w:firstLineChars="1"/>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35分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ind w:left="-4" w:leftChars="-2" w:firstLine="2" w:firstLineChars="1"/>
              <w:rPr>
                <w:rFonts w:asciiTheme="minorEastAsia" w:hAnsiTheme="minorEastAsia" w:eastAsiaTheme="minorEastAsia" w:cstheme="minorEastAsia"/>
                <w:szCs w:val="21"/>
              </w:rPr>
            </w:pPr>
          </w:p>
        </w:tc>
        <w:tc>
          <w:tcPr>
            <w:tcW w:w="1376"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人员组成情况</w:t>
            </w:r>
          </w:p>
        </w:tc>
        <w:tc>
          <w:tcPr>
            <w:tcW w:w="6512" w:type="dxa"/>
            <w:vAlign w:val="center"/>
          </w:tcPr>
          <w:p>
            <w:pPr>
              <w:widowControl/>
              <w:spacing w:line="360"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实施方案情况，包括人员组织、交货期、质量保证措施等进行评分，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科学、合理，针对性强，3分；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欠合理，基本可行，1分；</w:t>
            </w:r>
          </w:p>
          <w:p>
            <w:pPr>
              <w:widowControl/>
              <w:spacing w:line="360" w:lineRule="auto"/>
              <w:rPr>
                <w:rFonts w:asciiTheme="minorEastAsia" w:hAnsiTheme="minorEastAsia" w:eastAsiaTheme="minorEastAsia" w:cstheme="minorEastAsia"/>
                <w:szCs w:val="21"/>
              </w:rPr>
            </w:pPr>
            <w:r>
              <w:rPr>
                <w:rFonts w:hint="eastAsia" w:ascii="宋体" w:hAnsi="宋体" w:cs="宋体"/>
                <w:kern w:val="0"/>
                <w:szCs w:val="21"/>
              </w:rPr>
              <w:t>不可行，0 分。</w:t>
            </w:r>
          </w:p>
        </w:tc>
        <w:tc>
          <w:tcPr>
            <w:tcW w:w="664" w:type="dxa"/>
            <w:vAlign w:val="center"/>
          </w:tcPr>
          <w:p>
            <w:pPr>
              <w:widowControl/>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rPr>
              <w:t>实施、培训和验收方案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提供实施、培训和验收方案，实施、培训和验收方案具有可操作性、合理性和可行性，依据对实施、培训、验收方案等的描述及承诺等进行评分，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科学、合理，针对性强，3 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欠合理，基本可行，1分；</w:t>
            </w:r>
          </w:p>
          <w:p>
            <w:pPr>
              <w:widowControl/>
              <w:spacing w:line="360" w:lineRule="auto"/>
              <w:rPr>
                <w:rFonts w:asciiTheme="minorEastAsia" w:hAnsiTheme="minorEastAsia" w:eastAsiaTheme="minorEastAsia" w:cstheme="minorEastAsia"/>
                <w:spacing w:val="-6"/>
                <w:kern w:val="0"/>
                <w:szCs w:val="21"/>
              </w:rPr>
            </w:pPr>
            <w:r>
              <w:rPr>
                <w:rFonts w:hint="eastAsia" w:ascii="宋体" w:hAnsi="宋体" w:cs="宋体"/>
                <w:kern w:val="0"/>
                <w:szCs w:val="21"/>
              </w:rPr>
              <w:t>不可行，0 分。</w:t>
            </w:r>
          </w:p>
        </w:tc>
        <w:tc>
          <w:tcPr>
            <w:tcW w:w="664" w:type="dxa"/>
            <w:vAlign w:val="center"/>
          </w:tcPr>
          <w:p>
            <w:pPr>
              <w:widowControl/>
              <w:spacing w:line="360" w:lineRule="auto"/>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售后服务方案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提供售后服务方案，根据售后服务方案设计的完整性、可行性等进行评分，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科学、合理，针对性强，3 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 分；</w:t>
            </w:r>
          </w:p>
          <w:p>
            <w:pPr>
              <w:widowControl/>
              <w:spacing w:line="360" w:lineRule="auto"/>
              <w:rPr>
                <w:rFonts w:asciiTheme="minorEastAsia" w:hAnsiTheme="minorEastAsia" w:eastAsiaTheme="minorEastAsia" w:cstheme="minorEastAsia"/>
                <w:spacing w:val="-6"/>
                <w:szCs w:val="21"/>
              </w:rPr>
            </w:pPr>
            <w:r>
              <w:rPr>
                <w:rFonts w:hint="eastAsia" w:ascii="宋体" w:hAnsi="宋体" w:cs="宋体"/>
                <w:kern w:val="0"/>
                <w:szCs w:val="21"/>
              </w:rPr>
              <w:t>不可行，0 分。</w:t>
            </w:r>
          </w:p>
        </w:tc>
        <w:tc>
          <w:tcPr>
            <w:tcW w:w="664" w:type="dxa"/>
            <w:vAlign w:val="center"/>
          </w:tcPr>
          <w:p>
            <w:pPr>
              <w:widowControl/>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应急方案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提供系统应急方案，根据对设备故障时处理方案等的描述及可行性等进行评分，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科学、合理，针对性强，3分；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 分；</w:t>
            </w:r>
          </w:p>
          <w:p>
            <w:pPr>
              <w:widowControl/>
              <w:spacing w:line="360" w:lineRule="auto"/>
              <w:rPr>
                <w:rFonts w:asciiTheme="minorEastAsia" w:hAnsiTheme="minorEastAsia" w:eastAsiaTheme="minorEastAsia" w:cstheme="minorEastAsia"/>
                <w:spacing w:val="-6"/>
                <w:szCs w:val="21"/>
              </w:rPr>
            </w:pPr>
            <w:r>
              <w:rPr>
                <w:rFonts w:hint="eastAsia" w:ascii="宋体" w:hAnsi="宋体" w:cs="宋体"/>
                <w:kern w:val="0"/>
                <w:szCs w:val="21"/>
              </w:rPr>
              <w:t>不可行，0 分。</w:t>
            </w:r>
          </w:p>
        </w:tc>
        <w:tc>
          <w:tcPr>
            <w:tcW w:w="664" w:type="dxa"/>
            <w:vAlign w:val="center"/>
          </w:tcPr>
          <w:p>
            <w:pPr>
              <w:widowControl/>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Theme="minorEastAsia" w:hAnsiTheme="minorEastAsia" w:eastAsiaTheme="minorEastAsia" w:cstheme="minorEastAsia"/>
                <w:szCs w:val="21"/>
              </w:rPr>
            </w:pPr>
          </w:p>
        </w:tc>
        <w:tc>
          <w:tcPr>
            <w:tcW w:w="1376" w:type="dxa"/>
            <w:vAlign w:val="center"/>
          </w:tcPr>
          <w:p>
            <w:pPr>
              <w:widowControl/>
              <w:spacing w:line="36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技术培训</w:t>
            </w:r>
          </w:p>
        </w:tc>
        <w:tc>
          <w:tcPr>
            <w:tcW w:w="6512" w:type="dxa"/>
            <w:vAlign w:val="center"/>
          </w:tcPr>
          <w:p>
            <w:pPr>
              <w:widowControl/>
              <w:spacing w:line="360"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根据供应商提供服务过程中的现场技术培训方案等进行评分，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科学、合理，针对性强，3 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合理，可行，2分；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欠合理，基本可行，1分；</w:t>
            </w:r>
          </w:p>
          <w:p>
            <w:pPr>
              <w:widowControl/>
              <w:spacing w:line="360" w:lineRule="auto"/>
              <w:rPr>
                <w:rFonts w:asciiTheme="minorEastAsia" w:hAnsiTheme="minorEastAsia" w:eastAsiaTheme="minorEastAsia" w:cstheme="minorEastAsia"/>
                <w:spacing w:val="-6"/>
                <w:szCs w:val="21"/>
              </w:rPr>
            </w:pPr>
            <w:r>
              <w:rPr>
                <w:rFonts w:hint="eastAsia" w:ascii="宋体" w:hAnsi="宋体" w:cs="宋体"/>
                <w:kern w:val="0"/>
                <w:szCs w:val="21"/>
              </w:rPr>
              <w:t>不可行，0 分。</w:t>
            </w:r>
          </w:p>
        </w:tc>
        <w:tc>
          <w:tcPr>
            <w:tcW w:w="664" w:type="dxa"/>
            <w:vAlign w:val="center"/>
          </w:tcPr>
          <w:p>
            <w:pPr>
              <w:widowControl/>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w:t>
            </w:r>
          </w:p>
        </w:tc>
        <w:tc>
          <w:tcPr>
            <w:tcW w:w="8552" w:type="dxa"/>
            <w:gridSpan w:val="3"/>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100</w:t>
            </w:r>
          </w:p>
        </w:tc>
      </w:tr>
    </w:tbl>
    <w:p>
      <w:pPr>
        <w:rPr>
          <w:rFonts w:asciiTheme="minorEastAsia" w:hAnsiTheme="minorEastAsia" w:eastAsiaTheme="minorEastAsia" w:cstheme="minorEastAsia"/>
          <w:b/>
          <w:szCs w:val="21"/>
        </w:rPr>
      </w:pPr>
      <w:bookmarkStart w:id="102" w:name="_Toc23609"/>
      <w:r>
        <w:rPr>
          <w:rFonts w:hint="eastAsia" w:asciiTheme="minorEastAsia" w:hAnsiTheme="minorEastAsia" w:eastAsiaTheme="minorEastAsia" w:cstheme="minorEastAsia"/>
          <w:b/>
          <w:szCs w:val="21"/>
        </w:rPr>
        <w:br w:type="page"/>
      </w:r>
    </w:p>
    <w:p>
      <w:pPr>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四、评定办法</w:t>
      </w:r>
      <w:bookmarkEnd w:id="102"/>
    </w:p>
    <w:p>
      <w:pPr>
        <w:numPr>
          <w:ilvl w:val="3"/>
          <w:numId w:val="35"/>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6"/>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6"/>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6"/>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5"/>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5"/>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5"/>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
    <w:p/>
    <w:p/>
    <w:p>
      <w:pPr>
        <w:spacing w:line="360" w:lineRule="auto"/>
        <w:outlineLvl w:val="1"/>
        <w:rPr>
          <w:rFonts w:asciiTheme="minorEastAsia" w:hAnsiTheme="minorEastAsia" w:eastAsiaTheme="minorEastAsia" w:cstheme="minorEastAsia"/>
          <w:b/>
          <w:szCs w:val="21"/>
        </w:rPr>
      </w:pPr>
      <w:bookmarkStart w:id="103" w:name="_Toc2115"/>
      <w:r>
        <w:rPr>
          <w:rFonts w:hint="eastAsia" w:asciiTheme="minorEastAsia" w:hAnsiTheme="minorEastAsia" w:eastAsiaTheme="minorEastAsia" w:cstheme="minorEastAsia"/>
          <w:b/>
          <w:szCs w:val="21"/>
        </w:rPr>
        <w:t>五、磋商及评审步骤</w:t>
      </w:r>
      <w:bookmarkEnd w:id="103"/>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1.验证委托代理人身份、响应文件密封检查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4.1磋商小组所有成员应当集中与单一供应商分别进行磋商，并按照磋商会随机抽签的顺序给予所有参加磋商的供应商平等的磋商机会。</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在磋商过程中，若磋商小组无法联系上供应商代表或者供应商代表在接到磋商小组通知后15分钟内不能抵达磋商会现场的，视为该供应商自动退出磋商。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4.5磋商结束后，磋商小组将要求所有实质性响应的供应商在规定时间内提交最后报价，最后报价是供应商响应文件的有效组成部分。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4.7符合下列情形，在采购过程中符合要求的供应商可以为2家：</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5.1经磋商确定最终采购需求和提交最后报价的供应商后，由磋商小组采用综合评分法对提交最后报价的供应商的响应文件和最后报价进行综合评分。具体详见“评分细则”。</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5.5在评审期间，供应商不得干扰和阻碍评审工作，供应商不得向磋商小组询问评审情况，任何影响和干扰评审工作的行为都可能导致被取消本次评审的资格，并承担相应的法律责任。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8"/>
        </w:rPr>
        <w:t>5.6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rPr>
          <w:rFonts w:asciiTheme="minorEastAsia" w:hAnsiTheme="minorEastAsia" w:eastAsiaTheme="minorEastAsia" w:cstheme="minorEastAsia"/>
          <w:kern w:val="0"/>
          <w:szCs w:val="21"/>
        </w:rPr>
      </w:pPr>
      <w:bookmarkStart w:id="104" w:name="_Toc211783328"/>
      <w:bookmarkStart w:id="105" w:name="_Toc318643471"/>
      <w:bookmarkStart w:id="106" w:name="_Toc20360"/>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104"/>
      <w:bookmarkEnd w:id="105"/>
      <w:r>
        <w:rPr>
          <w:rFonts w:hint="eastAsia" w:asciiTheme="minorEastAsia" w:hAnsiTheme="minorEastAsia" w:eastAsiaTheme="minorEastAsia" w:cstheme="minorEastAsia"/>
          <w:sz w:val="36"/>
          <w:szCs w:val="36"/>
        </w:rPr>
        <w:t>格式</w:t>
      </w:r>
      <w:bookmarkEnd w:id="106"/>
    </w:p>
    <w:p>
      <w:pPr>
        <w:spacing w:line="360" w:lineRule="auto"/>
        <w:rPr>
          <w:rFonts w:asciiTheme="minorEastAsia" w:hAnsiTheme="minorEastAsia" w:eastAsiaTheme="minorEastAsia" w:cstheme="minorEastAsia"/>
          <w:b/>
          <w:bCs/>
          <w:szCs w:val="21"/>
        </w:rPr>
      </w:pPr>
      <w:bookmarkStart w:id="107" w:name="_Toc16771"/>
      <w:r>
        <w:rPr>
          <w:rFonts w:hint="eastAsia" w:asciiTheme="minorEastAsia" w:hAnsiTheme="minorEastAsia" w:eastAsiaTheme="minorEastAsia" w:cstheme="minorEastAsia"/>
          <w:b/>
          <w:bCs/>
          <w:szCs w:val="21"/>
        </w:rPr>
        <w:t>国产设备合同：</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合同签订地点：</w:t>
      </w:r>
      <w:r>
        <w:rPr>
          <w:rFonts w:hint="eastAsia" w:asciiTheme="minorEastAsia" w:hAnsiTheme="minorEastAsia" w:eastAsiaTheme="minorEastAsia" w:cstheme="minorEastAsia"/>
          <w:szCs w:val="21"/>
          <w:u w:val="single"/>
        </w:rPr>
        <w:t>中国武汉洪山</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需求方：华中农业大学                   （以下简称甲方）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供应方：                               （以下简称乙方）</w:t>
      </w:r>
    </w:p>
    <w:p>
      <w:pPr>
        <w:spacing w:line="360" w:lineRule="auto"/>
        <w:rPr>
          <w:rFonts w:asciiTheme="minorEastAsia" w:hAnsiTheme="minorEastAsia" w:eastAsiaTheme="minorEastAsia" w:cstheme="minorEastAsia"/>
          <w:szCs w:val="21"/>
        </w:rPr>
      </w:pPr>
    </w:p>
    <w:p>
      <w:pPr>
        <w:pStyle w:val="11"/>
        <w:spacing w:line="360" w:lineRule="auto"/>
        <w:ind w:right="-153" w:rightChars="-7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依据学校集中采购（采购编号： ）结果</w:t>
      </w:r>
      <w:r>
        <w:rPr>
          <w:rFonts w:hint="eastAsia" w:asciiTheme="minorEastAsia" w:hAnsiTheme="minorEastAsia" w:eastAsiaTheme="minorEastAsia" w:cstheme="minorEastAsia"/>
          <w:i/>
          <w:szCs w:val="21"/>
        </w:rPr>
        <w:t>（非学校集中采购则删除）</w:t>
      </w:r>
      <w:r>
        <w:rPr>
          <w:rFonts w:hint="eastAsia" w:asciiTheme="minorEastAsia" w:hAnsiTheme="minorEastAsia" w:eastAsiaTheme="minorEastAsia" w:cstheme="minorEastAsia"/>
          <w:szCs w:val="21"/>
        </w:rPr>
        <w:t>，根据《中华人民共和国合同法》。为明确甲、乙双方责任，双方本着平等互利的原则，就甲方向乙方购买等的有关事项订立本合同。</w:t>
      </w:r>
    </w:p>
    <w:p>
      <w:pPr>
        <w:numPr>
          <w:ilvl w:val="0"/>
          <w:numId w:val="37"/>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产品名称、规格型号、厂家、数量、单价、金额见下表。</w:t>
      </w:r>
    </w:p>
    <w:tbl>
      <w:tblPr>
        <w:tblStyle w:val="26"/>
        <w:tblW w:w="8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12"/>
        <w:gridCol w:w="2420"/>
        <w:gridCol w:w="1247"/>
        <w:gridCol w:w="813"/>
        <w:gridCol w:w="72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12"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w:t>
            </w:r>
          </w:p>
        </w:tc>
        <w:tc>
          <w:tcPr>
            <w:tcW w:w="2420"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规格型号及技术指标</w:t>
            </w:r>
          </w:p>
        </w:tc>
        <w:tc>
          <w:tcPr>
            <w:tcW w:w="124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81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2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1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434" w:type="dxa"/>
            <w:gridSpan w:val="2"/>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   计</w:t>
            </w:r>
          </w:p>
        </w:tc>
        <w:tc>
          <w:tcPr>
            <w:tcW w:w="6385" w:type="dxa"/>
            <w:gridSpan w:val="5"/>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人民币元整(</w:t>
            </w:r>
            <w:r>
              <w:rPr>
                <w:rFonts w:hint="eastAsia" w:asciiTheme="minorEastAsia" w:hAnsiTheme="minorEastAsia" w:eastAsiaTheme="minorEastAsia" w:cstheme="minorEastAsia"/>
                <w:szCs w:val="21"/>
                <w:u w:val="single"/>
              </w:rPr>
              <w:t>￥   .00</w:t>
            </w:r>
            <w:r>
              <w:rPr>
                <w:rFonts w:hint="eastAsia" w:asciiTheme="minorEastAsia" w:hAnsiTheme="minorEastAsia" w:eastAsiaTheme="minorEastAsia" w:cstheme="minorEastAsia"/>
                <w:szCs w:val="21"/>
              </w:rPr>
              <w:t>)</w:t>
            </w:r>
          </w:p>
        </w:tc>
      </w:tr>
    </w:tbl>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注：配置、性能、功能等指标见附件</w:t>
      </w:r>
      <w:r>
        <w:rPr>
          <w:rFonts w:hint="eastAsia" w:asciiTheme="minorEastAsia" w:hAnsiTheme="minorEastAsia" w:eastAsiaTheme="minorEastAsia" w:cstheme="minorEastAsia"/>
          <w:i/>
          <w:szCs w:val="21"/>
        </w:rPr>
        <w:t>（如无则删除）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二．产品的质量要求和技术标准按国家或双方认可的产品技术标准。</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三、合同金额</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合同总金额为：人民币元整(￥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四、履约保证金及付款方式：采用以下方式 。</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无履约保证金，经甲方验收合格并收到乙方发票后</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天内，甲方向乙方支付合同总金额的100%，计人民币元整（￥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2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②</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履约保证金：合同签订前，乙方向甲方支付合同总额的5%，计人民币元整（￥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）作为履约保证金，自验收合格之日起自动转为质量保证金。</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付款方式：经甲方验收合格并收到乙方发票后</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天内，甲方向乙方支付合同总金额的100%，计人民币元整（￥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）；货物验收合格后安全运行一年（自验收合格之日起计算），如无质量及售后服务等其他违约事项，甲方向乙方无息退还质量保证金。</w:t>
      </w:r>
    </w:p>
    <w:p>
      <w:pPr>
        <w:tabs>
          <w:tab w:val="left" w:pos="306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五．到货及培训：</w:t>
      </w:r>
    </w:p>
    <w:p>
      <w:pPr>
        <w:tabs>
          <w:tab w:val="left" w:pos="306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乙方于年月日前将货运到甲方指定地点（具体时间以甲方通知为准），乙方负责产品的安装调试以及技术支持，并对甲方操作（管理）人员进行必要的技术培训和操作指导，保证产品能正常运行。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六．质保期和售后服务：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（1）从甲方验收合格之日起年。质保期内，乙方为甲方提供免费服务和免费更换（人为损坏除外）。</w:t>
      </w:r>
    </w:p>
    <w:p>
      <w:pPr>
        <w:tabs>
          <w:tab w:val="left" w:pos="3060"/>
        </w:tabs>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售后服务联系人及联系电话：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（2）若产品出现故障，乙方应在接到通知后小时内到现场提供服务。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（3）质保期后，若产品出现故障，乙方应提供维修服务，只收材料成本费。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（4）其他服务：</w:t>
      </w:r>
      <w:r>
        <w:rPr>
          <w:rFonts w:hint="eastAsia" w:asciiTheme="minorEastAsia" w:hAnsiTheme="minorEastAsia" w:eastAsiaTheme="minorEastAsia" w:cstheme="minorEastAsia"/>
          <w:i/>
          <w:szCs w:val="21"/>
        </w:rPr>
        <w:t>（如没有则写无）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七．甲方的责任和义务：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（1）产品运抵甲方指定地点后，应立即组织人员对货物进行清点、签收。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（2）甲方收到产品时，如发现产品规格、型号、数量不符时，应及时通知乙方并要求乙方按要求更换或补充。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（3）产品正常运行</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天后由甲方组织验收。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（4）按合同按时支付约定的费用。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八．乙方的责任和义务：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（1）按合同要求，按时提供全新完好的产品，否则应向甲方全额赔偿损失。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（2）在产品运抵甲方指定交货地点前三天通知甲方。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（3）负责对甲方人员进行操作培训，使其达到熟练操作的水平，并提供操作手册、专用工具等；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（4）应长期提供技术咨询服务。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（5）其他承诺：</w:t>
      </w:r>
      <w:r>
        <w:rPr>
          <w:rFonts w:hint="eastAsia" w:asciiTheme="minorEastAsia" w:hAnsiTheme="minorEastAsia" w:eastAsiaTheme="minorEastAsia" w:cstheme="minorEastAsia"/>
          <w:i/>
          <w:szCs w:val="21"/>
        </w:rPr>
        <w:t>（如没有则写无）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甲方无正当理由拒收货物的，应向乙方支付合同总价款10% 的违约金。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甲方逾期付款的，每逾期一日应向乙方支付未付款项的0.03%/日的违约金。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 乙方逾期交付货物给甲方的，每逾期一日应按逾期交付部分总价的 0.03%/日 计算向甲方支付违约金。如乙方逾期30天仍未交齐货物或者交付货物不合格的，甲方有权终止合同，乙方应按合同总价的10%计算向甲方支付违约金，并全额退还甲方已付给乙方的钱款及其利息。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乙方交付货物的质量、规格，性能、技术指标及配置不符合合同或合同附件约定的，甲方有权向乙方提出更换货物及索赔，乙方应在甲方提出之日起的日内免费更换合格的货物，由此造成的时间延误视作乙方逾期交付，按本合同第八条第3款处理。 如经两次更换，货物质量仍不符合规定的，甲方有权终止合同，乙方应向甲方返还已付款项，并按合同总价的10%向甲方支付违约金，造成甲方经济损失的，还需赔偿甲方的直接经济损失。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10%向甲方支付违约金并赔偿因此给甲方造成的一切损失，包括但不限于因第三人向甲方主张权利而发生的全部诉讼费、律师费、差旅费、邮件费、公告费、鉴定和调查取证等费用。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十．其他条款：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（1）本合同未尽事宜，经双方协商，签订补充协议，其补充协议与本合同有同等法律效力。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（2）本合同附件作为合同的有效组成部分，具有同等法律效力。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（3）本合同如发生纠纷，甲乙双方应积极协商，协商不成时，任何一方可向甲方所在地法院起诉。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（4）本合同一式五份，甲方执四份，乙方执一份，具有同等法律效力。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（5）本合同经双方签字盖章之日起生效。</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甲方：华中农业大学（盖章）          乙方：（盖章）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i/>
          <w:szCs w:val="21"/>
        </w:rPr>
        <w:t>（签字）</w:t>
      </w:r>
      <w:r>
        <w:rPr>
          <w:rFonts w:hint="eastAsia" w:asciiTheme="minorEastAsia" w:hAnsiTheme="minorEastAsia" w:eastAsiaTheme="minorEastAsia" w:cstheme="minorEastAsia"/>
          <w:szCs w:val="21"/>
        </w:rPr>
        <w:t xml:space="preserve">                  委托代理人：</w:t>
      </w:r>
      <w:r>
        <w:rPr>
          <w:rFonts w:hint="eastAsia" w:asciiTheme="minorEastAsia" w:hAnsiTheme="minorEastAsia" w:eastAsiaTheme="minorEastAsia" w:cstheme="minorEastAsia"/>
          <w:i/>
          <w:szCs w:val="21"/>
        </w:rPr>
        <w:t>（签字）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                           联系方式：</w:t>
      </w:r>
    </w:p>
    <w:p>
      <w:pPr>
        <w:spacing w:line="360" w:lineRule="auto"/>
        <w:ind w:firstLine="420" w:firstLineChars="20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sectPr>
          <w:footerReference r:id="rId7" w:type="default"/>
          <w:type w:val="continuous"/>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szCs w:val="21"/>
        </w:rPr>
        <w:t xml:space="preserve">    年    月    日                        年    月    日</w:t>
      </w:r>
    </w:p>
    <w:p>
      <w:pP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竞争性磋商响应文件格式</w:t>
      </w:r>
      <w:bookmarkEnd w:id="107"/>
    </w:p>
    <w:p>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asciiTheme="minorEastAsia" w:hAnsiTheme="minorEastAsia" w:eastAsiaTheme="minorEastAsia" w:cstheme="minorEastAsia"/>
        </w:rPr>
      </w:pPr>
    </w:p>
    <w:p>
      <w:pPr>
        <w:autoSpaceDE w:val="0"/>
        <w:autoSpaceDN w:val="0"/>
        <w:adjustRightInd w:val="0"/>
        <w:rPr>
          <w:rFonts w:asciiTheme="minorEastAsia" w:hAnsiTheme="minorEastAsia" w:eastAsiaTheme="minorEastAsia" w:cstheme="minorEastAsia"/>
        </w:rPr>
      </w:pPr>
    </w:p>
    <w:p>
      <w:pPr>
        <w:autoSpaceDE w:val="0"/>
        <w:autoSpaceDN w:val="0"/>
        <w:adjustRightInd w:val="0"/>
        <w:jc w:val="center"/>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项目编号：</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08" w:name="_Toc5751"/>
      <w:bookmarkStart w:id="109" w:name="_Toc23858"/>
    </w:p>
    <w:p>
      <w:pPr>
        <w:autoSpaceDE w:val="0"/>
        <w:autoSpaceDN w:val="0"/>
        <w:adjustRightInd w:val="0"/>
        <w:spacing w:line="360" w:lineRule="auto"/>
        <w:ind w:firstLine="1260" w:firstLineChars="4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08"/>
    <w:bookmarkEnd w:id="109"/>
    <w:p>
      <w:pPr>
        <w:autoSpaceDE w:val="0"/>
        <w:autoSpaceDN w:val="0"/>
        <w:adjustRightInd w:val="0"/>
        <w:spacing w:line="360" w:lineRule="auto"/>
        <w:jc w:val="center"/>
        <w:rPr>
          <w:rFonts w:asciiTheme="minorEastAsia" w:hAnsiTheme="minorEastAsia" w:eastAsiaTheme="minorEastAsia" w:cstheme="minorEastAsia"/>
          <w:b/>
          <w:bCs/>
          <w:sz w:val="24"/>
        </w:rPr>
      </w:pPr>
      <w:bookmarkStart w:id="110" w:name="_Toc360174584"/>
      <w:bookmarkStart w:id="111" w:name="_Toc264644272"/>
      <w:bookmarkStart w:id="112" w:name="_Toc533330957"/>
      <w:bookmarkStart w:id="113" w:name="_Toc11320441"/>
      <w:bookmarkStart w:id="114" w:name="_Toc533331084"/>
      <w:bookmarkStart w:id="115"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0"/>
      <w:bookmarkEnd w:id="111"/>
    </w:p>
    <w:p>
      <w:pPr>
        <w:autoSpaceDE w:val="0"/>
        <w:autoSpaceDN w:val="0"/>
        <w:adjustRightInd w:val="0"/>
        <w:rPr>
          <w:rFonts w:asciiTheme="minorEastAsia" w:hAnsiTheme="minorEastAsia" w:eastAsiaTheme="minorEastAsia" w:cstheme="minorEastAsia"/>
          <w:b/>
          <w:bCs/>
          <w:szCs w:val="21"/>
        </w:rPr>
      </w:pPr>
    </w:p>
    <w:p>
      <w:pPr>
        <w:adjustRightInd w:val="0"/>
        <w:snapToGri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rPr>
        <w:t>一、评分标准索引表</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rPr>
        <w:t>二、磋商书</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三、法定代表人授权书</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kern w:val="0"/>
          <w:szCs w:val="21"/>
        </w:rPr>
        <w:t>三、</w:t>
      </w:r>
      <w:r>
        <w:rPr>
          <w:rFonts w:hint="eastAsia" w:asciiTheme="minorEastAsia" w:hAnsiTheme="minorEastAsia" w:eastAsiaTheme="minorEastAsia" w:cstheme="minorEastAsia"/>
          <w:bCs/>
          <w:szCs w:val="21"/>
        </w:rPr>
        <w:t>法定代表人身份证明书</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t>四、报价一览表</w:t>
      </w:r>
      <w:r>
        <w:rPr>
          <w:rFonts w:hint="eastAsia" w:asciiTheme="minorEastAsia" w:hAnsiTheme="minorEastAsia" w:eastAsiaTheme="minorEastAsia" w:cstheme="minorEastAsia"/>
          <w:bCs/>
        </w:rPr>
        <w:t xml:space="preserve">      </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五、报价费用构成表</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t>六、耗材清单</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t>七、拟投入设备/备件、工具情况</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八、缴纳保证金的银行凭证（如有）</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t>九、偏离说明表</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szCs w:val="21"/>
        </w:rPr>
        <w:t>类似业绩一览表</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十一、拟投入项目组人员一览表</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p>
    <w:p>
      <w:pPr>
        <w:tabs>
          <w:tab w:val="left" w:pos="540"/>
        </w:tabs>
        <w:autoSpaceDE w:val="0"/>
        <w:autoSpaceDN w:val="0"/>
        <w:adjustRightInd w:val="0"/>
        <w:spacing w:line="36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t>十四、报价技术文件</w:t>
      </w:r>
    </w:p>
    <w:p>
      <w:pPr>
        <w:adjustRightInd w:val="0"/>
        <w:snapToGrid w:val="0"/>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十五、中小企业声明函</w:t>
      </w:r>
      <w:r>
        <w:rPr>
          <w:rFonts w:hint="eastAsia" w:asciiTheme="minorEastAsia" w:hAnsiTheme="minorEastAsia" w:eastAsiaTheme="minorEastAsia" w:cstheme="minorEastAsia"/>
          <w:bCs/>
          <w:lang w:val="zh-CN"/>
        </w:rPr>
        <w:t>（若</w:t>
      </w:r>
      <w:r>
        <w:rPr>
          <w:rFonts w:hint="eastAsia" w:asciiTheme="minorEastAsia" w:hAnsiTheme="minorEastAsia" w:eastAsiaTheme="minorEastAsia" w:cstheme="minorEastAsia"/>
          <w:bCs/>
        </w:rPr>
        <w:t>符合</w:t>
      </w:r>
      <w:r>
        <w:rPr>
          <w:rFonts w:hint="eastAsia" w:asciiTheme="minorEastAsia" w:hAnsiTheme="minorEastAsia" w:eastAsiaTheme="minorEastAsia" w:cstheme="minorEastAsia"/>
          <w:bCs/>
          <w:lang w:val="zh-CN"/>
        </w:rPr>
        <w:t>）</w:t>
      </w:r>
      <w:r>
        <w:rPr>
          <w:rFonts w:hint="eastAsia" w:asciiTheme="minorEastAsia" w:hAnsiTheme="minorEastAsia" w:eastAsiaTheme="minorEastAsia" w:cstheme="minorEastAsia"/>
          <w:bCs/>
          <w:lang w:val="zh-CN"/>
        </w:rPr>
        <w:br w:type="textWrapping"/>
      </w:r>
      <w:r>
        <w:rPr>
          <w:rFonts w:hint="eastAsia" w:asciiTheme="minorEastAsia" w:hAnsiTheme="minorEastAsia" w:eastAsiaTheme="minorEastAsia" w:cstheme="minorEastAsia"/>
          <w:bCs/>
        </w:rPr>
        <w:t>十六、监狱企业证明文件</w:t>
      </w:r>
      <w:r>
        <w:rPr>
          <w:rFonts w:hint="eastAsia" w:asciiTheme="minorEastAsia" w:hAnsiTheme="minorEastAsia" w:eastAsiaTheme="minorEastAsia" w:cstheme="minorEastAsia"/>
          <w:bCs/>
          <w:lang w:val="zh-CN"/>
        </w:rPr>
        <w:t>（若</w:t>
      </w:r>
      <w:r>
        <w:rPr>
          <w:rFonts w:hint="eastAsia" w:asciiTheme="minorEastAsia" w:hAnsiTheme="minorEastAsia" w:eastAsiaTheme="minorEastAsia" w:cstheme="minorEastAsia"/>
          <w:bCs/>
        </w:rPr>
        <w:t>符合</w:t>
      </w:r>
      <w:r>
        <w:rPr>
          <w:rFonts w:hint="eastAsia" w:asciiTheme="minorEastAsia" w:hAnsiTheme="minorEastAsia" w:eastAsiaTheme="minorEastAsia" w:cstheme="minorEastAsia"/>
          <w:bCs/>
          <w:lang w:val="zh-CN"/>
        </w:rPr>
        <w:t>）</w:t>
      </w:r>
    </w:p>
    <w:p>
      <w:pPr>
        <w:spacing w:line="360" w:lineRule="auto"/>
        <w:jc w:val="left"/>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rPr>
        <w:t>十七、</w:t>
      </w:r>
      <w:r>
        <w:rPr>
          <w:rFonts w:hint="eastAsia" w:asciiTheme="minorEastAsia" w:hAnsiTheme="minorEastAsia" w:eastAsiaTheme="minorEastAsia" w:cstheme="minorEastAsia"/>
          <w:bCs/>
          <w:lang w:val="zh-CN"/>
        </w:rPr>
        <w:t>残疾人福利性单位声明函（若</w:t>
      </w:r>
      <w:r>
        <w:rPr>
          <w:rFonts w:hint="eastAsia" w:asciiTheme="minorEastAsia" w:hAnsiTheme="minorEastAsia" w:eastAsiaTheme="minorEastAsia" w:cstheme="minorEastAsia"/>
          <w:bCs/>
        </w:rPr>
        <w:t>符合</w:t>
      </w:r>
      <w:r>
        <w:rPr>
          <w:rFonts w:hint="eastAsia" w:asciiTheme="minorEastAsia" w:hAnsiTheme="minorEastAsia" w:eastAsiaTheme="minorEastAsia" w:cstheme="minorEastAsia"/>
          <w:bCs/>
          <w:lang w:val="zh-CN"/>
        </w:rPr>
        <w:t>）</w:t>
      </w:r>
      <w:r>
        <w:rPr>
          <w:rFonts w:hint="eastAsia" w:asciiTheme="minorEastAsia" w:hAnsiTheme="minorEastAsia" w:eastAsiaTheme="minorEastAsia" w:cstheme="minorEastAsia"/>
          <w:bCs/>
          <w:lang w:val="zh-CN"/>
        </w:rPr>
        <w:br w:type="textWrapping"/>
      </w:r>
      <w:r>
        <w:rPr>
          <w:rFonts w:hint="eastAsia" w:asciiTheme="minorEastAsia" w:hAnsiTheme="minorEastAsia" w:eastAsiaTheme="minorEastAsia" w:cstheme="minorEastAsia"/>
          <w:bCs/>
        </w:rPr>
        <w:t>十八、节能环保产品证明材料</w:t>
      </w:r>
      <w:r>
        <w:rPr>
          <w:rFonts w:hint="eastAsia" w:asciiTheme="minorEastAsia" w:hAnsiTheme="minorEastAsia" w:eastAsiaTheme="minorEastAsia" w:cstheme="minorEastAsia"/>
          <w:bCs/>
          <w:lang w:val="zh-CN"/>
        </w:rPr>
        <w:t>（若</w:t>
      </w:r>
      <w:r>
        <w:rPr>
          <w:rFonts w:hint="eastAsia" w:asciiTheme="minorEastAsia" w:hAnsiTheme="minorEastAsia" w:eastAsiaTheme="minorEastAsia" w:cstheme="minorEastAsia"/>
          <w:bCs/>
        </w:rPr>
        <w:t>符合</w:t>
      </w:r>
      <w:r>
        <w:rPr>
          <w:rFonts w:hint="eastAsia" w:asciiTheme="minorEastAsia" w:hAnsiTheme="minorEastAsia" w:eastAsiaTheme="minorEastAsia" w:cstheme="minorEastAsia"/>
          <w:bCs/>
          <w:lang w:val="zh-CN"/>
        </w:rPr>
        <w:t>）</w:t>
      </w:r>
      <w:r>
        <w:rPr>
          <w:rFonts w:hint="eastAsia" w:asciiTheme="minorEastAsia" w:hAnsiTheme="minorEastAsia" w:eastAsiaTheme="minorEastAsia" w:cstheme="minorEastAsia"/>
          <w:bCs/>
          <w:lang w:val="zh-CN"/>
        </w:rPr>
        <w:br w:type="textWrapping"/>
      </w:r>
      <w:r>
        <w:rPr>
          <w:rFonts w:hint="eastAsia" w:asciiTheme="minorEastAsia" w:hAnsiTheme="minorEastAsia" w:eastAsiaTheme="minorEastAsia" w:cstheme="minorEastAsia"/>
          <w:bCs/>
          <w:spacing w:val="6"/>
          <w:szCs w:val="21"/>
        </w:rPr>
        <w:t>十九、</w:t>
      </w:r>
      <w:r>
        <w:rPr>
          <w:rFonts w:hint="eastAsia" w:asciiTheme="minorEastAsia" w:hAnsiTheme="minorEastAsia" w:eastAsiaTheme="minorEastAsia" w:cstheme="minorEastAsia"/>
          <w:bCs/>
        </w:rPr>
        <w:t>无重大违法记录声明</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spacing w:val="6"/>
          <w:szCs w:val="21"/>
        </w:rPr>
        <w:t>二十、参加本次政府采购活动前3年内发生诉讼及仲裁情况表</w:t>
      </w:r>
      <w:r>
        <w:rPr>
          <w:rFonts w:hint="eastAsia" w:asciiTheme="minorEastAsia" w:hAnsiTheme="minorEastAsia" w:eastAsiaTheme="minorEastAsia" w:cstheme="minorEastAsia"/>
          <w:bCs/>
          <w:spacing w:val="6"/>
          <w:szCs w:val="21"/>
        </w:rPr>
        <w:br w:type="textWrapping"/>
      </w:r>
      <w:r>
        <w:rPr>
          <w:rFonts w:hint="eastAsia" w:asciiTheme="minorEastAsia" w:hAnsiTheme="minorEastAsia" w:eastAsiaTheme="minorEastAsia" w:cstheme="minorEastAsia"/>
          <w:bCs/>
          <w:spacing w:val="6"/>
          <w:szCs w:val="21"/>
        </w:rPr>
        <w:t>二十一、磋商供应商认为应该提交的其它文件（格式自拟）</w:t>
      </w:r>
      <w:r>
        <w:rPr>
          <w:rFonts w:hint="eastAsia" w:asciiTheme="minorEastAsia" w:hAnsiTheme="minorEastAsia" w:eastAsiaTheme="minorEastAsia" w:cstheme="minorEastAsia"/>
          <w:bCs/>
          <w:spacing w:val="6"/>
          <w:szCs w:val="21"/>
        </w:rPr>
        <w:br w:type="textWrapping"/>
      </w:r>
      <w:r>
        <w:rPr>
          <w:rFonts w:hint="eastAsia" w:asciiTheme="minorEastAsia" w:hAnsiTheme="minorEastAsia" w:eastAsiaTheme="minorEastAsia" w:cstheme="minorEastAsia"/>
          <w:bCs/>
          <w:spacing w:val="6"/>
          <w:szCs w:val="21"/>
        </w:rPr>
        <w:br w:type="textWrapping"/>
      </w:r>
    </w:p>
    <w:p>
      <w:pPr>
        <w:autoSpaceDE w:val="0"/>
        <w:autoSpaceDN w:val="0"/>
        <w:adjustRightInd w:val="0"/>
        <w:spacing w:line="48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注：竞争性磋商响应文件目录及内容每页须顺序编写页码。</w:t>
      </w:r>
    </w:p>
    <w:p>
      <w:pPr>
        <w:autoSpaceDE w:val="0"/>
        <w:autoSpaceDN w:val="0"/>
        <w:adjustRightInd w:val="0"/>
        <w:spacing w:line="480" w:lineRule="auto"/>
        <w:rPr>
          <w:rFonts w:asciiTheme="minorEastAsia" w:hAnsiTheme="minorEastAsia" w:eastAsiaTheme="minorEastAsia" w:cstheme="minorEastAsia"/>
          <w:b/>
        </w:rPr>
      </w:pPr>
    </w:p>
    <w:p>
      <w:pPr>
        <w:autoSpaceDE w:val="0"/>
        <w:autoSpaceDN w:val="0"/>
        <w:adjustRightInd w:val="0"/>
        <w:spacing w:line="480" w:lineRule="auto"/>
        <w:rPr>
          <w:rFonts w:asciiTheme="minorEastAsia" w:hAnsiTheme="minorEastAsia" w:eastAsiaTheme="minorEastAsia" w:cstheme="minorEastAsia"/>
          <w:b/>
        </w:rPr>
        <w:sectPr>
          <w:footerReference r:id="rId8" w:type="default"/>
          <w:type w:val="continuous"/>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asciiTheme="minorEastAsia" w:hAnsiTheme="minorEastAsia" w:eastAsiaTheme="minorEastAsia" w:cstheme="minorEastAsia"/>
          <w:b/>
        </w:rPr>
      </w:pPr>
      <w:bookmarkStart w:id="116" w:name="_Toc22111"/>
      <w:r>
        <w:rPr>
          <w:rFonts w:hint="eastAsia" w:asciiTheme="minorEastAsia" w:hAnsiTheme="minorEastAsia" w:eastAsiaTheme="minorEastAsia" w:cstheme="minorEastAsia"/>
          <w:b/>
        </w:rPr>
        <w:t>一、评分标准索引表</w:t>
      </w:r>
      <w:bookmarkEnd w:id="116"/>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类别</w:t>
            </w:r>
          </w:p>
        </w:tc>
        <w:tc>
          <w:tcPr>
            <w:tcW w:w="1285"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评审因素</w:t>
            </w:r>
          </w:p>
        </w:tc>
        <w:tc>
          <w:tcPr>
            <w:tcW w:w="5197"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评审标准</w:t>
            </w:r>
          </w:p>
        </w:tc>
        <w:tc>
          <w:tcPr>
            <w:tcW w:w="1005" w:type="dxa"/>
            <w:tcBorders>
              <w:top w:val="single" w:color="auto" w:sz="12" w:space="0"/>
            </w:tcBorders>
            <w:vAlign w:val="center"/>
          </w:tcPr>
          <w:p>
            <w:pPr>
              <w:spacing w:line="36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w:t>
            </w:r>
          </w:p>
        </w:tc>
        <w:tc>
          <w:tcPr>
            <w:tcW w:w="1114" w:type="dxa"/>
            <w:tcBorders>
              <w:top w:val="single" w:color="auto" w:sz="12" w:space="0"/>
            </w:tcBorders>
            <w:vAlign w:val="center"/>
          </w:tcPr>
          <w:p>
            <w:pPr>
              <w:spacing w:line="36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p>
        </w:tc>
        <w:tc>
          <w:tcPr>
            <w:tcW w:w="1285" w:type="dxa"/>
            <w:vAlign w:val="center"/>
          </w:tcPr>
          <w:p>
            <w:pPr>
              <w:widowControl/>
              <w:spacing w:line="260" w:lineRule="exact"/>
              <w:jc w:val="center"/>
              <w:textAlignment w:val="center"/>
              <w:rPr>
                <w:rFonts w:asciiTheme="minorEastAsia" w:hAnsiTheme="minorEastAsia" w:eastAsiaTheme="minorEastAsia" w:cstheme="minorEastAsia"/>
                <w:spacing w:val="-6"/>
                <w:szCs w:val="21"/>
              </w:rPr>
            </w:pPr>
          </w:p>
        </w:tc>
        <w:tc>
          <w:tcPr>
            <w:tcW w:w="5197" w:type="dxa"/>
            <w:vAlign w:val="center"/>
          </w:tcPr>
          <w:p>
            <w:pPr>
              <w:widowControl/>
              <w:spacing w:line="260" w:lineRule="exact"/>
              <w:jc w:val="left"/>
              <w:textAlignment w:val="center"/>
            </w:pPr>
          </w:p>
        </w:tc>
        <w:tc>
          <w:tcPr>
            <w:tcW w:w="1005" w:type="dxa"/>
            <w:vAlign w:val="center"/>
          </w:tcPr>
          <w:p>
            <w:pPr>
              <w:widowControl/>
              <w:spacing w:line="260" w:lineRule="exact"/>
              <w:jc w:val="center"/>
              <w:textAlignment w:val="center"/>
            </w:pPr>
          </w:p>
        </w:tc>
        <w:tc>
          <w:tcPr>
            <w:tcW w:w="1114" w:type="dxa"/>
            <w:vAlign w:val="center"/>
          </w:tcPr>
          <w:p>
            <w:pPr>
              <w:widowControl/>
              <w:spacing w:line="260" w:lineRule="exact"/>
              <w:jc w:val="center"/>
              <w:textAlignment w:val="center"/>
              <w:rPr>
                <w:rFonts w:ascii="宋体" w:hAnsi="宋体" w:cs="宋体"/>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asciiTheme="minorEastAsia" w:hAnsiTheme="minorEastAsia" w:eastAsiaTheme="minorEastAsia" w:cstheme="minorEastAsia"/>
                <w:spacing w:val="-6"/>
                <w:szCs w:val="21"/>
              </w:rPr>
            </w:pPr>
          </w:p>
        </w:tc>
        <w:tc>
          <w:tcPr>
            <w:tcW w:w="1285" w:type="dxa"/>
            <w:vAlign w:val="center"/>
          </w:tcPr>
          <w:p>
            <w:pPr>
              <w:rPr>
                <w:rFonts w:asciiTheme="minorEastAsia" w:hAnsiTheme="minorEastAsia" w:eastAsiaTheme="minorEastAsia" w:cstheme="minorEastAsia"/>
                <w:spacing w:val="-6"/>
                <w:kern w:val="0"/>
                <w:szCs w:val="21"/>
              </w:rPr>
            </w:pPr>
          </w:p>
        </w:tc>
        <w:tc>
          <w:tcPr>
            <w:tcW w:w="5197" w:type="dxa"/>
            <w:vAlign w:val="center"/>
          </w:tcPr>
          <w:p>
            <w:pPr>
              <w:rPr>
                <w:rFonts w:asciiTheme="minorEastAsia" w:hAnsiTheme="minorEastAsia" w:eastAsiaTheme="minorEastAsia" w:cstheme="minorEastAsia"/>
                <w:spacing w:val="-6"/>
                <w:szCs w:val="21"/>
              </w:rPr>
            </w:pPr>
          </w:p>
        </w:tc>
        <w:tc>
          <w:tcPr>
            <w:tcW w:w="1005" w:type="dxa"/>
            <w:vAlign w:val="center"/>
          </w:tcPr>
          <w:p>
            <w:pPr>
              <w:rPr>
                <w:rFonts w:asciiTheme="minorEastAsia" w:hAnsiTheme="minorEastAsia" w:eastAsiaTheme="minorEastAsia" w:cstheme="minorEastAsia"/>
                <w:spacing w:val="-6"/>
                <w:szCs w:val="21"/>
              </w:rPr>
            </w:pPr>
          </w:p>
        </w:tc>
        <w:tc>
          <w:tcPr>
            <w:tcW w:w="1114" w:type="dxa"/>
            <w:vAlign w:val="center"/>
          </w:tcPr>
          <w:p>
            <w:pPr>
              <w:rPr>
                <w:rFonts w:asciiTheme="minorEastAsia" w:hAnsiTheme="minorEastAsia" w:eastAsiaTheme="minorEastAsia" w:cstheme="minor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spacing w:val="-6"/>
                <w:kern w:val="0"/>
                <w:szCs w:val="21"/>
              </w:rPr>
            </w:pPr>
          </w:p>
        </w:tc>
        <w:tc>
          <w:tcPr>
            <w:tcW w:w="5197" w:type="dxa"/>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005" w:type="dxa"/>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114" w:type="dxa"/>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color w:val="000000"/>
                <w:spacing w:val="-6"/>
                <w:szCs w:val="21"/>
              </w:rPr>
            </w:pPr>
          </w:p>
        </w:tc>
        <w:tc>
          <w:tcPr>
            <w:tcW w:w="5197" w:type="dxa"/>
            <w:vAlign w:val="center"/>
          </w:tcPr>
          <w:p>
            <w:pPr>
              <w:autoSpaceDE w:val="0"/>
              <w:autoSpaceDN w:val="0"/>
              <w:adjustRightInd w:val="0"/>
              <w:spacing w:line="300" w:lineRule="auto"/>
              <w:ind w:right="71" w:rightChars="34"/>
              <w:rPr>
                <w:rFonts w:asciiTheme="minorEastAsia" w:hAnsiTheme="minorEastAsia" w:eastAsiaTheme="minorEastAsia" w:cstheme="minorEastAsia"/>
                <w:color w:val="000000"/>
                <w:spacing w:val="-6"/>
                <w:szCs w:val="21"/>
              </w:rPr>
            </w:pPr>
          </w:p>
        </w:tc>
        <w:tc>
          <w:tcPr>
            <w:tcW w:w="1005" w:type="dxa"/>
            <w:vAlign w:val="center"/>
          </w:tcPr>
          <w:p>
            <w:pPr>
              <w:autoSpaceDE w:val="0"/>
              <w:autoSpaceDN w:val="0"/>
              <w:adjustRightInd w:val="0"/>
              <w:spacing w:line="300" w:lineRule="auto"/>
              <w:ind w:right="71" w:rightChars="34"/>
              <w:rPr>
                <w:rFonts w:asciiTheme="minorEastAsia" w:hAnsiTheme="minorEastAsia" w:eastAsiaTheme="minorEastAsia" w:cstheme="minorEastAsia"/>
                <w:color w:val="000000"/>
                <w:spacing w:val="-6"/>
                <w:szCs w:val="21"/>
              </w:rPr>
            </w:pPr>
          </w:p>
        </w:tc>
        <w:tc>
          <w:tcPr>
            <w:tcW w:w="1114" w:type="dxa"/>
            <w:vAlign w:val="center"/>
          </w:tcPr>
          <w:p>
            <w:pPr>
              <w:autoSpaceDE w:val="0"/>
              <w:autoSpaceDN w:val="0"/>
              <w:adjustRightInd w:val="0"/>
              <w:spacing w:line="300" w:lineRule="auto"/>
              <w:ind w:right="71" w:rightChars="34"/>
              <w:rPr>
                <w:rFonts w:asciiTheme="minorEastAsia" w:hAnsiTheme="minorEastAsia" w:eastAsiaTheme="minorEastAsia" w:cstheme="minorEastAsia"/>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tcBorders>
              <w:bottom w:val="single" w:color="auto" w:sz="4" w:space="0"/>
            </w:tcBorders>
            <w:vAlign w:val="center"/>
          </w:tcPr>
          <w:p>
            <w:pPr>
              <w:rPr>
                <w:rFonts w:asciiTheme="minorEastAsia" w:hAnsiTheme="minorEastAsia" w:eastAsiaTheme="minorEastAsia" w:cstheme="minorEastAsia"/>
                <w:spacing w:val="-6"/>
                <w:kern w:val="0"/>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tcBorders>
              <w:top w:val="single" w:color="auto" w:sz="4" w:space="0"/>
            </w:tcBorders>
            <w:vAlign w:val="center"/>
          </w:tcPr>
          <w:p>
            <w:pPr>
              <w:rPr>
                <w:rFonts w:asciiTheme="minorEastAsia" w:hAnsiTheme="minorEastAsia" w:eastAsiaTheme="minorEastAsia" w:cstheme="minorEastAsia"/>
                <w:spacing w:val="-6"/>
                <w:kern w:val="0"/>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asciiTheme="minorEastAsia" w:hAnsiTheme="minorEastAsia" w:eastAsiaTheme="minorEastAsia" w:cstheme="minorEastAsia"/>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asciiTheme="minorEastAsia" w:hAnsiTheme="minorEastAsia" w:eastAsiaTheme="minorEastAsia" w:cstheme="minorEastAsia"/>
                <w:spacing w:val="-6"/>
                <w:szCs w:val="21"/>
              </w:rPr>
            </w:pPr>
          </w:p>
        </w:tc>
        <w:tc>
          <w:tcPr>
            <w:tcW w:w="1285" w:type="dxa"/>
            <w:vAlign w:val="center"/>
          </w:tcPr>
          <w:p>
            <w:pPr>
              <w:rPr>
                <w:rFonts w:asciiTheme="minorEastAsia" w:hAnsiTheme="minorEastAsia" w:eastAsiaTheme="minorEastAsia" w:cstheme="minorEastAsia"/>
                <w:spacing w:val="-6"/>
                <w:szCs w:val="21"/>
              </w:rPr>
            </w:pPr>
          </w:p>
        </w:tc>
        <w:tc>
          <w:tcPr>
            <w:tcW w:w="5197" w:type="dxa"/>
            <w:vAlign w:val="center"/>
          </w:tcPr>
          <w:p>
            <w:pPr>
              <w:ind w:left="-4" w:leftChars="-2" w:firstLine="1" w:firstLineChars="1"/>
              <w:rPr>
                <w:rFonts w:asciiTheme="minorEastAsia" w:hAnsiTheme="minorEastAsia" w:eastAsiaTheme="minorEastAsia" w:cstheme="minorEastAsia"/>
                <w:spacing w:val="-6"/>
                <w:szCs w:val="21"/>
              </w:rPr>
            </w:pPr>
          </w:p>
        </w:tc>
        <w:tc>
          <w:tcPr>
            <w:tcW w:w="1005" w:type="dxa"/>
            <w:vAlign w:val="center"/>
          </w:tcPr>
          <w:p>
            <w:pPr>
              <w:ind w:left="-4" w:leftChars="-2" w:firstLine="1" w:firstLineChars="1"/>
              <w:rPr>
                <w:rFonts w:asciiTheme="minorEastAsia" w:hAnsiTheme="minorEastAsia" w:eastAsiaTheme="minorEastAsia" w:cstheme="minorEastAsia"/>
                <w:spacing w:val="-6"/>
                <w:szCs w:val="21"/>
              </w:rPr>
            </w:pPr>
          </w:p>
        </w:tc>
        <w:tc>
          <w:tcPr>
            <w:tcW w:w="1114" w:type="dxa"/>
            <w:vAlign w:val="center"/>
          </w:tcPr>
          <w:p>
            <w:pPr>
              <w:ind w:left="-4" w:leftChars="-2" w:firstLine="1" w:firstLineChars="1"/>
              <w:rPr>
                <w:rFonts w:asciiTheme="minorEastAsia" w:hAnsiTheme="minorEastAsia" w:eastAsiaTheme="minorEastAsia" w:cstheme="minor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asciiTheme="minorEastAsia" w:hAnsiTheme="minorEastAsia" w:eastAsiaTheme="minorEastAsia" w:cstheme="minorEastAsia"/>
                <w:szCs w:val="21"/>
              </w:rPr>
            </w:pPr>
          </w:p>
        </w:tc>
        <w:tc>
          <w:tcPr>
            <w:tcW w:w="1285" w:type="dxa"/>
            <w:vAlign w:val="center"/>
          </w:tcPr>
          <w:p>
            <w:pPr>
              <w:ind w:left="-4" w:leftChars="-2" w:firstLine="2" w:firstLineChars="1"/>
              <w:rPr>
                <w:rFonts w:asciiTheme="minorEastAsia" w:hAnsiTheme="minorEastAsia" w:eastAsiaTheme="minorEastAsia" w:cstheme="minorEastAsia"/>
                <w:szCs w:val="21"/>
              </w:rPr>
            </w:pPr>
          </w:p>
        </w:tc>
        <w:tc>
          <w:tcPr>
            <w:tcW w:w="5197" w:type="dxa"/>
            <w:vAlign w:val="center"/>
          </w:tcPr>
          <w:p>
            <w:pPr>
              <w:ind w:left="-4" w:leftChars="-2" w:firstLine="2" w:firstLineChars="1"/>
              <w:rPr>
                <w:rFonts w:asciiTheme="minorEastAsia" w:hAnsiTheme="minorEastAsia" w:eastAsiaTheme="minorEastAsia" w:cstheme="minorEastAsia"/>
                <w:szCs w:val="21"/>
              </w:rPr>
            </w:pPr>
          </w:p>
        </w:tc>
        <w:tc>
          <w:tcPr>
            <w:tcW w:w="1005" w:type="dxa"/>
            <w:vAlign w:val="center"/>
          </w:tcPr>
          <w:p>
            <w:pPr>
              <w:ind w:left="-4" w:leftChars="-2" w:firstLine="2" w:firstLineChars="1"/>
              <w:rPr>
                <w:rFonts w:asciiTheme="minorEastAsia" w:hAnsiTheme="minorEastAsia" w:eastAsiaTheme="minorEastAsia" w:cstheme="minorEastAsia"/>
                <w:szCs w:val="21"/>
              </w:rPr>
            </w:pPr>
          </w:p>
        </w:tc>
        <w:tc>
          <w:tcPr>
            <w:tcW w:w="1114" w:type="dxa"/>
            <w:vAlign w:val="center"/>
          </w:tcPr>
          <w:p>
            <w:pPr>
              <w:ind w:left="-4" w:leftChars="-2" w:firstLine="2" w:firstLineChars="1"/>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spacing w:val="-6"/>
                <w:kern w:val="0"/>
                <w:szCs w:val="21"/>
              </w:rPr>
            </w:pPr>
          </w:p>
        </w:tc>
        <w:tc>
          <w:tcPr>
            <w:tcW w:w="5197" w:type="dxa"/>
            <w:vAlign w:val="center"/>
          </w:tcPr>
          <w:p>
            <w:pPr>
              <w:autoSpaceDE w:val="0"/>
              <w:autoSpaceDN w:val="0"/>
              <w:adjustRightInd w:val="0"/>
              <w:rPr>
                <w:rFonts w:asciiTheme="minorEastAsia" w:hAnsiTheme="minorEastAsia" w:eastAsiaTheme="minorEastAsia" w:cstheme="minorEastAsia"/>
                <w:spacing w:val="-6"/>
                <w:kern w:val="0"/>
                <w:szCs w:val="21"/>
              </w:rPr>
            </w:pPr>
          </w:p>
        </w:tc>
        <w:tc>
          <w:tcPr>
            <w:tcW w:w="1005" w:type="dxa"/>
            <w:vAlign w:val="center"/>
          </w:tcPr>
          <w:p>
            <w:pPr>
              <w:autoSpaceDE w:val="0"/>
              <w:autoSpaceDN w:val="0"/>
              <w:adjustRightInd w:val="0"/>
              <w:rPr>
                <w:rFonts w:asciiTheme="minorEastAsia" w:hAnsiTheme="minorEastAsia" w:eastAsiaTheme="minorEastAsia" w:cstheme="minorEastAsia"/>
                <w:spacing w:val="-6"/>
                <w:kern w:val="0"/>
                <w:szCs w:val="21"/>
              </w:rPr>
            </w:pPr>
          </w:p>
        </w:tc>
        <w:tc>
          <w:tcPr>
            <w:tcW w:w="1114" w:type="dxa"/>
            <w:vAlign w:val="center"/>
          </w:tcPr>
          <w:p>
            <w:pPr>
              <w:autoSpaceDE w:val="0"/>
              <w:autoSpaceDN w:val="0"/>
              <w:adjustRightInd w:val="0"/>
              <w:rPr>
                <w:rFonts w:asciiTheme="minorEastAsia" w:hAnsiTheme="minorEastAsia" w:eastAsiaTheme="minorEastAsia" w:cstheme="minorEastAsia"/>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spacing w:val="-6"/>
                <w:szCs w:val="21"/>
              </w:rPr>
            </w:pPr>
          </w:p>
        </w:tc>
        <w:tc>
          <w:tcPr>
            <w:tcW w:w="5197" w:type="dxa"/>
            <w:vAlign w:val="center"/>
          </w:tcPr>
          <w:p>
            <w:pPr>
              <w:ind w:left="-4" w:leftChars="-2" w:firstLine="1" w:firstLineChars="1"/>
              <w:rPr>
                <w:rFonts w:asciiTheme="minorEastAsia" w:hAnsiTheme="minorEastAsia" w:eastAsiaTheme="minorEastAsia" w:cstheme="minorEastAsia"/>
                <w:spacing w:val="-6"/>
                <w:szCs w:val="21"/>
              </w:rPr>
            </w:pPr>
          </w:p>
        </w:tc>
        <w:tc>
          <w:tcPr>
            <w:tcW w:w="1005" w:type="dxa"/>
            <w:vAlign w:val="center"/>
          </w:tcPr>
          <w:p>
            <w:pPr>
              <w:ind w:left="-4" w:leftChars="-2" w:firstLine="1" w:firstLineChars="1"/>
              <w:rPr>
                <w:rFonts w:asciiTheme="minorEastAsia" w:hAnsiTheme="minorEastAsia" w:eastAsiaTheme="minorEastAsia" w:cstheme="minorEastAsia"/>
                <w:spacing w:val="-6"/>
                <w:szCs w:val="21"/>
              </w:rPr>
            </w:pPr>
          </w:p>
        </w:tc>
        <w:tc>
          <w:tcPr>
            <w:tcW w:w="1114" w:type="dxa"/>
            <w:vAlign w:val="center"/>
          </w:tcPr>
          <w:p>
            <w:pPr>
              <w:ind w:left="-4" w:leftChars="-2" w:firstLine="1" w:firstLineChars="1"/>
              <w:rPr>
                <w:rFonts w:asciiTheme="minorEastAsia" w:hAnsiTheme="minorEastAsia" w:eastAsiaTheme="minorEastAsia" w:cstheme="minor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spacing w:val="-6"/>
                <w:szCs w:val="21"/>
              </w:rPr>
            </w:pPr>
          </w:p>
        </w:tc>
        <w:tc>
          <w:tcPr>
            <w:tcW w:w="5197" w:type="dxa"/>
            <w:vAlign w:val="center"/>
          </w:tcPr>
          <w:p>
            <w:pPr>
              <w:rPr>
                <w:rFonts w:asciiTheme="minorEastAsia" w:hAnsiTheme="minorEastAsia" w:eastAsiaTheme="minorEastAsia" w:cstheme="minorEastAsia"/>
                <w:spacing w:val="-6"/>
                <w:szCs w:val="21"/>
              </w:rPr>
            </w:pPr>
          </w:p>
        </w:tc>
        <w:tc>
          <w:tcPr>
            <w:tcW w:w="1005" w:type="dxa"/>
            <w:vAlign w:val="center"/>
          </w:tcPr>
          <w:p>
            <w:pPr>
              <w:rPr>
                <w:rFonts w:asciiTheme="minorEastAsia" w:hAnsiTheme="minorEastAsia" w:eastAsiaTheme="minorEastAsia" w:cstheme="minorEastAsia"/>
                <w:spacing w:val="-6"/>
                <w:szCs w:val="21"/>
              </w:rPr>
            </w:pPr>
          </w:p>
        </w:tc>
        <w:tc>
          <w:tcPr>
            <w:tcW w:w="1114" w:type="dxa"/>
            <w:vAlign w:val="center"/>
          </w:tcPr>
          <w:p>
            <w:pPr>
              <w:rPr>
                <w:rFonts w:asciiTheme="minorEastAsia" w:hAnsiTheme="minorEastAsia" w:eastAsiaTheme="minorEastAsia" w:cstheme="minor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asciiTheme="minorEastAsia" w:hAnsiTheme="minorEastAsia" w:eastAsiaTheme="minorEastAsia" w:cstheme="minorEastAsia"/>
                <w:szCs w:val="21"/>
              </w:rPr>
            </w:pPr>
          </w:p>
        </w:tc>
        <w:tc>
          <w:tcPr>
            <w:tcW w:w="1285" w:type="dxa"/>
            <w:vAlign w:val="center"/>
          </w:tcPr>
          <w:p>
            <w:pPr>
              <w:rPr>
                <w:rFonts w:asciiTheme="minorEastAsia" w:hAnsiTheme="minorEastAsia" w:eastAsiaTheme="minorEastAsia" w:cstheme="minorEastAsia"/>
                <w:spacing w:val="-6"/>
                <w:szCs w:val="21"/>
              </w:rPr>
            </w:pPr>
          </w:p>
        </w:tc>
        <w:tc>
          <w:tcPr>
            <w:tcW w:w="5197" w:type="dxa"/>
            <w:vAlign w:val="center"/>
          </w:tcPr>
          <w:p>
            <w:pPr>
              <w:rPr>
                <w:rFonts w:asciiTheme="minorEastAsia" w:hAnsiTheme="minorEastAsia" w:eastAsiaTheme="minorEastAsia" w:cstheme="minorEastAsia"/>
                <w:spacing w:val="-6"/>
                <w:szCs w:val="21"/>
              </w:rPr>
            </w:pPr>
          </w:p>
        </w:tc>
        <w:tc>
          <w:tcPr>
            <w:tcW w:w="1005" w:type="dxa"/>
            <w:vAlign w:val="center"/>
          </w:tcPr>
          <w:p>
            <w:pPr>
              <w:rPr>
                <w:rFonts w:asciiTheme="minorEastAsia" w:hAnsiTheme="minorEastAsia" w:eastAsiaTheme="minorEastAsia" w:cstheme="minorEastAsia"/>
                <w:spacing w:val="-6"/>
                <w:szCs w:val="21"/>
              </w:rPr>
            </w:pPr>
          </w:p>
        </w:tc>
        <w:tc>
          <w:tcPr>
            <w:tcW w:w="1114" w:type="dxa"/>
            <w:vAlign w:val="center"/>
          </w:tcPr>
          <w:p>
            <w:pPr>
              <w:rPr>
                <w:rFonts w:asciiTheme="minorEastAsia" w:hAnsiTheme="minorEastAsia" w:eastAsiaTheme="minorEastAsia" w:cstheme="minorEastAsia"/>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asciiTheme="minorEastAsia" w:hAnsiTheme="minorEastAsia" w:eastAsiaTheme="minorEastAsia" w:cstheme="minorEastAsia"/>
                <w:szCs w:val="21"/>
              </w:rPr>
            </w:pPr>
          </w:p>
        </w:tc>
        <w:tc>
          <w:tcPr>
            <w:tcW w:w="7487" w:type="dxa"/>
            <w:gridSpan w:val="3"/>
            <w:vAlign w:val="center"/>
          </w:tcPr>
          <w:p>
            <w:pPr>
              <w:jc w:val="center"/>
              <w:rPr>
                <w:rFonts w:asciiTheme="minorEastAsia" w:hAnsiTheme="minorEastAsia" w:eastAsiaTheme="minorEastAsia" w:cstheme="minorEastAsia"/>
                <w:spacing w:val="-6"/>
                <w:szCs w:val="21"/>
              </w:rPr>
            </w:pPr>
          </w:p>
        </w:tc>
        <w:tc>
          <w:tcPr>
            <w:tcW w:w="1114" w:type="dxa"/>
            <w:vAlign w:val="center"/>
          </w:tcPr>
          <w:p>
            <w:pPr>
              <w:jc w:val="center"/>
              <w:rPr>
                <w:rFonts w:asciiTheme="minorEastAsia" w:hAnsiTheme="minorEastAsia" w:eastAsiaTheme="minorEastAsia" w:cstheme="minorEastAsia"/>
                <w:spacing w:val="-6"/>
                <w:szCs w:val="21"/>
              </w:rPr>
            </w:pPr>
          </w:p>
        </w:tc>
      </w:tr>
    </w:tbl>
    <w:p>
      <w:pPr>
        <w:adjustRightInd w:val="0"/>
        <w:snapToGrid w:val="0"/>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djustRightInd w:val="0"/>
        <w:snapToGrid w:val="0"/>
        <w:spacing w:line="480" w:lineRule="auto"/>
        <w:jc w:val="center"/>
        <w:outlineLvl w:val="1"/>
        <w:rPr>
          <w:rFonts w:asciiTheme="minorEastAsia" w:hAnsiTheme="minorEastAsia" w:eastAsiaTheme="minorEastAsia" w:cstheme="minorEastAsia"/>
          <w:b/>
        </w:rPr>
      </w:pPr>
      <w:bookmarkStart w:id="117" w:name="_Toc479184125"/>
      <w:bookmarkStart w:id="118" w:name="_Toc30144"/>
      <w:bookmarkStart w:id="119" w:name="_Toc15789"/>
      <w:bookmarkStart w:id="120" w:name="_Toc20684"/>
      <w:r>
        <w:rPr>
          <w:rFonts w:hint="eastAsia" w:asciiTheme="minorEastAsia" w:hAnsiTheme="minorEastAsia" w:eastAsiaTheme="minorEastAsia" w:cstheme="minorEastAsia"/>
          <w:b/>
        </w:rPr>
        <w:t>二、磋商书</w:t>
      </w:r>
      <w:bookmarkEnd w:id="117"/>
      <w:bookmarkEnd w:id="118"/>
      <w:bookmarkEnd w:id="119"/>
      <w:bookmarkEnd w:id="120"/>
    </w:p>
    <w:p>
      <w:pPr>
        <w:pStyle w:val="20"/>
        <w:rPr>
          <w:rFonts w:asciiTheme="minorEastAsia" w:hAnsiTheme="minorEastAsia" w:eastAsiaTheme="minorEastAsia" w:cstheme="minorEastAsia"/>
          <w:b/>
          <w:szCs w:val="21"/>
        </w:rPr>
      </w:pP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依据贵方（项目名称/项目编号）项目第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包货物的磋商邀请，我方代表（姓名、职务）经正式授权并代表供应商（供应商的名称、地址）提交下述文件正本一份，副本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8"/>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8"/>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8"/>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元（人民币大写）的保证金（如有）。</w:t>
      </w:r>
    </w:p>
    <w:p>
      <w:pPr>
        <w:autoSpaceDE w:val="0"/>
        <w:autoSpaceDN w:val="0"/>
        <w:adjustRightInd w:val="0"/>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39"/>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39"/>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39"/>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39"/>
        </w:numPr>
        <w:tabs>
          <w:tab w:val="left" w:pos="840"/>
        </w:tabs>
        <w:autoSpaceDE w:val="0"/>
        <w:autoSpaceDN w:val="0"/>
        <w:adjustRightInd w:val="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重要声明：</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rPr>
        <w:t>与我方单位负责人为同一人的其他单位名称：□无；□有，具体单位名称为：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 xml:space="preserve">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4.2与我方存在控股、管理关系的其他单位的名称：□无；□有，具体单位名称为：</w:t>
      </w:r>
      <w:r>
        <w:rPr>
          <w:rFonts w:hint="eastAsia" w:asciiTheme="minorEastAsia" w:hAnsiTheme="minorEastAsia" w:eastAsiaTheme="minorEastAsia" w:cstheme="minorEastAsia"/>
          <w:u w:val="single"/>
        </w:rPr>
        <w:t>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u w:val="single"/>
        </w:rPr>
        <w:t>     </w:t>
      </w:r>
    </w:p>
    <w:p>
      <w:r>
        <w:rPr>
          <w:rFonts w:hint="eastAsia" w:asciiTheme="minorEastAsia" w:hAnsiTheme="minorEastAsia" w:eastAsiaTheme="minorEastAsia" w:cstheme="minorEastAsia"/>
          <w:b/>
          <w:bCs/>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日历天。</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0"/>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asciiTheme="minorEastAsia" w:hAnsiTheme="minorEastAsia" w:eastAsiaTheme="minorEastAsia" w:cstheme="minorEastAsia"/>
          <w:kern w:val="0"/>
          <w:szCs w:val="21"/>
        </w:rPr>
      </w:pP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授权代表（签字）：</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b/>
        </w:rPr>
      </w:pPr>
      <w:bookmarkStart w:id="121" w:name="_Toc2610"/>
      <w:bookmarkStart w:id="122" w:name="_Toc479184126"/>
      <w:bookmarkStart w:id="123" w:name="_Toc24205"/>
      <w:bookmarkStart w:id="124" w:name="_Toc13969"/>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t>三、法定代表人授权书</w:t>
      </w:r>
      <w:bookmarkEnd w:id="121"/>
      <w:bookmarkEnd w:id="122"/>
      <w:bookmarkEnd w:id="123"/>
      <w:bookmarkEnd w:id="124"/>
    </w:p>
    <w:p>
      <w:pPr>
        <w:rPr>
          <w:rFonts w:asciiTheme="minorEastAsia" w:hAnsiTheme="minorEastAsia" w:eastAsiaTheme="minorEastAsia" w:cstheme="minorEastAsia"/>
          <w:kern w:val="0"/>
          <w:szCs w:val="21"/>
        </w:rPr>
      </w:pPr>
    </w:p>
    <w:p>
      <w:pPr>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pPr>
            <w:r>
              <w:rPr>
                <w:rFonts w:hint="eastAsia"/>
              </w:rPr>
              <w:t>授权代表身份证正反面（真彩扫描件）：</w:t>
            </w:r>
          </w:p>
          <w:p>
            <w:pPr>
              <w:autoSpaceDE w:val="0"/>
              <w:autoSpaceDN w:val="0"/>
              <w:adjustRightInd w:val="0"/>
              <w:spacing w:line="360" w:lineRule="auto"/>
              <w:jc w:val="left"/>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25" w:name="_Toc30245"/>
      <w:bookmarkStart w:id="126" w:name="_Toc479184127"/>
      <w:bookmarkStart w:id="127" w:name="_Toc424832832"/>
      <w:bookmarkStart w:id="128" w:name="_Toc10475"/>
      <w:bookmarkStart w:id="129" w:name="_Toc432149008"/>
      <w:bookmarkStart w:id="130" w:name="_Toc360120184"/>
      <w:bookmarkStart w:id="131" w:name="_Toc29904"/>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三、</w:t>
      </w:r>
      <w:r>
        <w:rPr>
          <w:rFonts w:hint="eastAsia" w:asciiTheme="minorEastAsia" w:hAnsiTheme="minorEastAsia" w:eastAsiaTheme="minorEastAsia" w:cstheme="minorEastAsia"/>
          <w:b/>
          <w:bCs/>
          <w:szCs w:val="21"/>
        </w:rPr>
        <w:t>法定代表人身份证明书</w:t>
      </w:r>
      <w:bookmarkEnd w:id="125"/>
      <w:bookmarkEnd w:id="126"/>
      <w:bookmarkEnd w:id="127"/>
      <w:bookmarkEnd w:id="128"/>
      <w:bookmarkEnd w:id="129"/>
      <w:bookmarkEnd w:id="130"/>
      <w:bookmarkEnd w:id="131"/>
    </w:p>
    <w:p>
      <w:pPr>
        <w:spacing w:line="360" w:lineRule="auto"/>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rPr>
              <w:t>粘贴法定代表人身份证正反面（真彩扫描件）：</w:t>
            </w:r>
          </w:p>
        </w:tc>
      </w:tr>
    </w:tbl>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32" w:name="_Toc422466732"/>
      <w:bookmarkStart w:id="133" w:name="_Toc432149006"/>
      <w:r>
        <w:rPr>
          <w:rFonts w:hint="eastAsia" w:asciiTheme="minorEastAsia" w:hAnsiTheme="minorEastAsia" w:eastAsiaTheme="minorEastAsia" w:cstheme="minorEastAsia"/>
          <w:b/>
          <w:bCs/>
          <w:sz w:val="24"/>
        </w:rPr>
        <w:br w:type="page"/>
      </w:r>
      <w:bookmarkStart w:id="134" w:name="_Toc23856"/>
      <w:bookmarkStart w:id="135" w:name="_Toc479184128"/>
      <w:bookmarkStart w:id="136" w:name="_Toc4741"/>
      <w:bookmarkStart w:id="137" w:name="_Toc4301"/>
      <w:r>
        <w:rPr>
          <w:rFonts w:hint="eastAsia" w:asciiTheme="minorEastAsia" w:hAnsiTheme="minorEastAsia" w:eastAsiaTheme="minorEastAsia" w:cstheme="minorEastAsia"/>
          <w:b/>
          <w:bCs/>
          <w:szCs w:val="21"/>
        </w:rPr>
        <w:t>四、报价一览表</w:t>
      </w:r>
      <w:bookmarkEnd w:id="132"/>
      <w:bookmarkEnd w:id="133"/>
      <w:bookmarkEnd w:id="134"/>
      <w:bookmarkEnd w:id="135"/>
      <w:bookmarkEnd w:id="136"/>
      <w:bookmarkEnd w:id="137"/>
    </w:p>
    <w:p>
      <w:pPr>
        <w:adjustRightInd w:val="0"/>
        <w:snapToGrid w:val="0"/>
        <w:ind w:left="-88" w:leftChars="-42"/>
        <w:rPr>
          <w:rFonts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项目包号：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u w:val="single"/>
              </w:rPr>
              <w:t xml:space="preserve">小写：      </w:t>
            </w: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主要产品概况（如有）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请填写本项目核心产品的品牌、规格型号和制造商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（3）此表除保留在竞争性磋商响应文件中外，另复制一份与法定代表人授权书（原件）、保证金缴纳证明（如有）（复印件）及报价优惠声明（如有）一起另外密封装在一个小信封中，作为磋商记录之用。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38" w:name="_Toc259028723"/>
      <w:bookmarkStart w:id="139" w:name="_Toc460258117"/>
      <w:bookmarkStart w:id="140" w:name="_Toc424832831"/>
      <w:bookmarkStart w:id="141" w:name="_Toc432149007"/>
      <w:r>
        <w:rPr>
          <w:rFonts w:hint="eastAsia" w:asciiTheme="minorEastAsia" w:hAnsiTheme="minorEastAsia" w:eastAsiaTheme="minorEastAsia" w:cstheme="minorEastAsia"/>
          <w:b/>
          <w:bCs/>
          <w:sz w:val="24"/>
        </w:rPr>
        <w:br w:type="page"/>
      </w:r>
      <w:bookmarkStart w:id="142" w:name="_Toc18559"/>
      <w:bookmarkStart w:id="143" w:name="_Toc1079"/>
      <w:bookmarkStart w:id="144" w:name="_Toc479184129"/>
      <w:bookmarkStart w:id="145" w:name="_Toc31617"/>
      <w:r>
        <w:rPr>
          <w:rFonts w:hint="eastAsia" w:asciiTheme="minorEastAsia" w:hAnsiTheme="minorEastAsia" w:eastAsiaTheme="minorEastAsia" w:cstheme="minorEastAsia"/>
          <w:b/>
          <w:bCs/>
          <w:szCs w:val="21"/>
        </w:rPr>
        <w:t>五、</w:t>
      </w:r>
      <w:bookmarkEnd w:id="138"/>
      <w:bookmarkEnd w:id="139"/>
      <w:bookmarkEnd w:id="142"/>
      <w:bookmarkEnd w:id="143"/>
      <w:bookmarkEnd w:id="144"/>
      <w:r>
        <w:rPr>
          <w:rFonts w:hint="eastAsia" w:asciiTheme="minorEastAsia" w:hAnsiTheme="minorEastAsia" w:eastAsiaTheme="minorEastAsia" w:cstheme="minorEastAsia"/>
          <w:b/>
          <w:bCs/>
          <w:szCs w:val="21"/>
        </w:rPr>
        <w:t>报价费用构成表</w:t>
      </w:r>
      <w:bookmarkEnd w:id="145"/>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规格型号（如有）</w:t>
            </w:r>
          </w:p>
        </w:tc>
        <w:tc>
          <w:tcPr>
            <w:tcW w:w="14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制造商名称（如有）</w:t>
            </w:r>
          </w:p>
        </w:tc>
        <w:tc>
          <w:tcPr>
            <w:tcW w:w="741"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1"/>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1"/>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1"/>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如果不提供详细的报价费用构成可能将被视为没有实质性响应磋商文件。</w:t>
      </w:r>
    </w:p>
    <w:p>
      <w:pPr>
        <w:adjustRightInd w:val="0"/>
        <w:snapToGrid w:val="0"/>
        <w:spacing w:line="360" w:lineRule="auto"/>
        <w:ind w:left="-88" w:leftChars="-42"/>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46" w:name="_Toc479184130"/>
      <w:bookmarkStart w:id="147" w:name="_Toc28656"/>
      <w:bookmarkStart w:id="148" w:name="_Toc27104"/>
      <w:bookmarkStart w:id="149" w:name="_Toc26825"/>
      <w:r>
        <w:rPr>
          <w:rFonts w:hint="eastAsia" w:asciiTheme="minorEastAsia" w:hAnsiTheme="minorEastAsia" w:eastAsiaTheme="minorEastAsia" w:cstheme="minorEastAsia"/>
          <w:b/>
          <w:bCs/>
          <w:szCs w:val="21"/>
        </w:rPr>
        <w:t>六、耗材清单</w:t>
      </w:r>
      <w:bookmarkEnd w:id="146"/>
      <w:bookmarkEnd w:id="147"/>
      <w:bookmarkEnd w:id="148"/>
      <w:bookmarkEnd w:id="149"/>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0" w:name="_Toc4793"/>
      <w:bookmarkStart w:id="151" w:name="_Toc7535"/>
      <w:bookmarkStart w:id="152" w:name="_Toc479184131"/>
      <w:bookmarkStart w:id="153" w:name="_Toc32726"/>
      <w:r>
        <w:rPr>
          <w:rFonts w:hint="eastAsia" w:asciiTheme="minorEastAsia" w:hAnsiTheme="minorEastAsia" w:eastAsiaTheme="minorEastAsia" w:cstheme="minorEastAsia"/>
          <w:b/>
          <w:bCs/>
          <w:szCs w:val="21"/>
        </w:rPr>
        <w:t>七、拟投入设备/备件、工具情况</w:t>
      </w:r>
      <w:bookmarkEnd w:id="150"/>
      <w:bookmarkEnd w:id="151"/>
      <w:bookmarkEnd w:id="152"/>
      <w:bookmarkEnd w:id="153"/>
    </w:p>
    <w:p>
      <w:pPr>
        <w:spacing w:line="360" w:lineRule="auto"/>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4" w:name="_Toc10449"/>
      <w:bookmarkStart w:id="155" w:name="_Toc450827818"/>
      <w:bookmarkStart w:id="156" w:name="_Toc27053"/>
      <w:bookmarkStart w:id="157" w:name="_Toc479184132"/>
      <w:bookmarkStart w:id="158" w:name="_Toc3195"/>
      <w:r>
        <w:rPr>
          <w:rFonts w:hint="eastAsia" w:asciiTheme="minorEastAsia" w:hAnsiTheme="minorEastAsia" w:eastAsiaTheme="minorEastAsia" w:cstheme="minorEastAsia"/>
          <w:b/>
          <w:bCs/>
          <w:szCs w:val="21"/>
        </w:rPr>
        <w:t>八、缴纳保证金的银行凭证</w:t>
      </w:r>
      <w:bookmarkEnd w:id="154"/>
      <w:bookmarkEnd w:id="155"/>
      <w:bookmarkEnd w:id="156"/>
      <w:bookmarkEnd w:id="157"/>
      <w:r>
        <w:rPr>
          <w:rFonts w:hint="eastAsia" w:asciiTheme="minorEastAsia" w:hAnsiTheme="minorEastAsia" w:eastAsiaTheme="minorEastAsia" w:cstheme="minorEastAsia"/>
          <w:b/>
          <w:bCs/>
          <w:szCs w:val="21"/>
        </w:rPr>
        <w:t>（如有）</w:t>
      </w:r>
      <w:bookmarkEnd w:id="158"/>
    </w:p>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c>
      </w:tr>
    </w:tbl>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40"/>
    <w:bookmarkEnd w:id="141"/>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59" w:name="_Toc1591"/>
      <w:bookmarkStart w:id="160" w:name="_Toc432149012"/>
      <w:bookmarkStart w:id="161" w:name="_Toc28200"/>
      <w:bookmarkStart w:id="162" w:name="_Toc479184133"/>
      <w:bookmarkStart w:id="163" w:name="_Toc422466736"/>
      <w:bookmarkStart w:id="164" w:name="_Toc4542"/>
      <w:r>
        <w:rPr>
          <w:rFonts w:hint="eastAsia" w:asciiTheme="minorEastAsia" w:hAnsiTheme="minorEastAsia" w:eastAsiaTheme="minorEastAsia" w:cstheme="minorEastAsia"/>
          <w:b/>
          <w:bCs/>
          <w:szCs w:val="21"/>
        </w:rPr>
        <w:t>九、偏离说明表</w:t>
      </w:r>
      <w:bookmarkEnd w:id="159"/>
      <w:bookmarkEnd w:id="160"/>
      <w:bookmarkEnd w:id="161"/>
      <w:bookmarkEnd w:id="162"/>
      <w:bookmarkEnd w:id="163"/>
      <w:bookmarkEnd w:id="164"/>
    </w:p>
    <w:p>
      <w:pPr>
        <w:adjustRightInd w:val="0"/>
        <w:snapToGrid w:val="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响应审核（资格性要求）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color="auto" w:fill="D7D7D7" w:themeFill="background1" w:themeFillShade="D8"/>
              </w:rPr>
              <w:t>响应审核（符合性要求）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2"/>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2"/>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65" w:name="_Toc362935521"/>
      <w:bookmarkStart w:id="166" w:name="_Toc28283"/>
      <w:bookmarkStart w:id="167" w:name="_Toc432149013"/>
      <w:bookmarkStart w:id="168" w:name="_Toc479184134"/>
      <w:bookmarkStart w:id="169" w:name="_Toc32060"/>
      <w:bookmarkStart w:id="170" w:name="_Toc31755"/>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65"/>
      <w:bookmarkEnd w:id="166"/>
      <w:bookmarkEnd w:id="167"/>
      <w:bookmarkEnd w:id="168"/>
      <w:bookmarkEnd w:id="169"/>
      <w:r>
        <w:rPr>
          <w:rFonts w:hint="eastAsia" w:asciiTheme="minorEastAsia" w:hAnsiTheme="minorEastAsia" w:eastAsiaTheme="minorEastAsia" w:cstheme="minorEastAsia"/>
          <w:b/>
          <w:bCs/>
          <w:szCs w:val="21"/>
        </w:rPr>
        <w:br w:type="textWrapping"/>
      </w:r>
      <w:bookmarkEnd w:id="170"/>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330"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771"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1176"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中标公告网页链接（如有）</w:t>
            </w:r>
          </w:p>
        </w:tc>
        <w:tc>
          <w:tcPr>
            <w:tcW w:w="101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是否投</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入使用</w:t>
            </w:r>
          </w:p>
        </w:tc>
        <w:tc>
          <w:tcPr>
            <w:tcW w:w="59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1.附磋商供应商承担类似项目的情况填入本表中，提供业绩合同等评分标准要求的相关证明材料。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2.公开竞标成交的类似业绩，还应提供成交/中标公告网页链接。</w:t>
      </w:r>
    </w:p>
    <w:p>
      <w:pPr>
        <w:spacing w:line="360" w:lineRule="auto"/>
        <w:rPr>
          <w:rFonts w:asciiTheme="minorEastAsia" w:hAnsiTheme="minorEastAsia" w:eastAsiaTheme="minorEastAsia" w:cstheme="minorEastAsia"/>
          <w:szCs w:val="21"/>
        </w:rPr>
      </w:pPr>
      <w:bookmarkStart w:id="171" w:name="_Toc454806053"/>
      <w:bookmarkStart w:id="172"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73" w:name="_Toc4834"/>
      <w:bookmarkStart w:id="174" w:name="_Toc479184135"/>
      <w:bookmarkStart w:id="175" w:name="_Toc30455"/>
      <w:bookmarkStart w:id="176" w:name="_Toc6612"/>
      <w:r>
        <w:rPr>
          <w:rFonts w:hint="eastAsia" w:asciiTheme="minorEastAsia" w:hAnsiTheme="minorEastAsia" w:eastAsiaTheme="minorEastAsia" w:cstheme="minorEastAsia"/>
          <w:b/>
          <w:bCs/>
          <w:szCs w:val="21"/>
        </w:rPr>
        <w:t>十一、拟投入项目组人员一览表</w:t>
      </w:r>
      <w:bookmarkEnd w:id="171"/>
      <w:bookmarkEnd w:id="172"/>
      <w:bookmarkEnd w:id="173"/>
      <w:bookmarkEnd w:id="174"/>
      <w:bookmarkEnd w:id="175"/>
      <w:bookmarkEnd w:id="176"/>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等评分标准要求的其他相关证明材料。无证明材料的内容评审时将不予考虑。</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77" w:name="_Toc422466737"/>
      <w:bookmarkStart w:id="178" w:name="_Toc432149014"/>
      <w:bookmarkStart w:id="179" w:name="_Toc26838"/>
      <w:bookmarkStart w:id="180" w:name="_Toc479184136"/>
      <w:bookmarkStart w:id="181" w:name="_Toc2463"/>
      <w:bookmarkStart w:id="182" w:name="_Toc10429"/>
      <w:r>
        <w:rPr>
          <w:rFonts w:hint="eastAsia" w:asciiTheme="minorEastAsia" w:hAnsiTheme="minorEastAsia" w:eastAsiaTheme="minorEastAsia" w:cstheme="minorEastAsia"/>
          <w:b/>
          <w:bCs/>
          <w:kern w:val="0"/>
          <w:szCs w:val="21"/>
        </w:rPr>
        <w:t>十二、</w:t>
      </w:r>
      <w:r>
        <w:rPr>
          <w:rFonts w:hint="eastAsia" w:asciiTheme="minorEastAsia" w:hAnsiTheme="minorEastAsia" w:eastAsiaTheme="minorEastAsia" w:cstheme="minorEastAsia"/>
          <w:b/>
          <w:bCs/>
          <w:szCs w:val="21"/>
        </w:rPr>
        <w:t>供应商的资格声明</w:t>
      </w:r>
      <w:bookmarkEnd w:id="177"/>
      <w:bookmarkEnd w:id="178"/>
      <w:bookmarkEnd w:id="179"/>
      <w:bookmarkEnd w:id="180"/>
      <w:bookmarkEnd w:id="181"/>
      <w:bookmarkEnd w:id="182"/>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3" w:name="_Toc316"/>
      <w:bookmarkStart w:id="184" w:name="_Toc479184137"/>
      <w:bookmarkStart w:id="185" w:name="_Toc17331"/>
      <w:bookmarkStart w:id="186" w:name="_Toc259028731"/>
      <w:bookmarkStart w:id="187" w:name="_Toc450827823"/>
      <w:bookmarkStart w:id="188" w:name="_Toc17527"/>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资格证明文件</w:t>
      </w:r>
      <w:bookmarkEnd w:id="183"/>
      <w:bookmarkEnd w:id="184"/>
      <w:bookmarkEnd w:id="185"/>
      <w:bookmarkEnd w:id="186"/>
      <w:bookmarkEnd w:id="187"/>
      <w:bookmarkEnd w:id="188"/>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88" w:leftChars="-42"/>
        <w:jc w:val="center"/>
        <w:rPr>
          <w:rFonts w:asciiTheme="minorEastAsia" w:hAnsiTheme="minorEastAsia" w:eastAsiaTheme="minorEastAsia" w:cstheme="minorEastAsia"/>
          <w:szCs w:val="21"/>
        </w:rPr>
      </w:pPr>
    </w:p>
    <w:p>
      <w:pPr>
        <w:spacing w:line="360" w:lineRule="auto"/>
        <w:ind w:left="168" w:leftChars="8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89" w:name="_Toc364868916"/>
      <w:bookmarkStart w:id="190" w:name="_Toc427239751"/>
      <w:bookmarkStart w:id="191" w:name="_Toc5793"/>
      <w:bookmarkStart w:id="192" w:name="_Toc358447587"/>
      <w:bookmarkStart w:id="193" w:name="_Toc18555"/>
      <w:bookmarkStart w:id="194" w:name="_Toc290207179"/>
      <w:bookmarkStart w:id="195" w:name="_Toc32187"/>
      <w:r>
        <w:rPr>
          <w:rFonts w:hint="eastAsia" w:asciiTheme="minorEastAsia" w:hAnsiTheme="minorEastAsia" w:eastAsiaTheme="minorEastAsia" w:cstheme="minorEastAsia"/>
          <w:b/>
          <w:bCs/>
          <w:kern w:val="0"/>
          <w:szCs w:val="21"/>
        </w:rPr>
        <w:t>十四、</w:t>
      </w:r>
      <w:bookmarkEnd w:id="189"/>
      <w:bookmarkEnd w:id="190"/>
      <w:bookmarkEnd w:id="191"/>
      <w:bookmarkEnd w:id="192"/>
      <w:bookmarkEnd w:id="193"/>
      <w:bookmarkEnd w:id="194"/>
      <w:bookmarkEnd w:id="195"/>
      <w:bookmarkStart w:id="196" w:name="_Toc27229"/>
      <w:bookmarkStart w:id="197" w:name="_Toc460258123"/>
      <w:bookmarkStart w:id="198" w:name="_Toc479184138"/>
      <w:bookmarkStart w:id="199" w:name="_Toc29785"/>
      <w:r>
        <w:rPr>
          <w:rFonts w:hint="eastAsia" w:asciiTheme="minorEastAsia" w:hAnsiTheme="minorEastAsia" w:eastAsiaTheme="minorEastAsia" w:cstheme="minorEastAsia"/>
          <w:b/>
        </w:rPr>
        <w:t>报价技术文件</w:t>
      </w:r>
      <w:bookmarkEnd w:id="196"/>
      <w:bookmarkEnd w:id="197"/>
      <w:bookmarkEnd w:id="198"/>
      <w:bookmarkEnd w:id="199"/>
    </w:p>
    <w:p>
      <w:pPr>
        <w:rPr>
          <w:rFonts w:asciiTheme="minorEastAsia" w:hAnsiTheme="minorEastAsia" w:eastAsiaTheme="minorEastAsia" w:cstheme="minorEastAsia"/>
          <w:szCs w:val="21"/>
        </w:rPr>
      </w:pPr>
    </w:p>
    <w:p>
      <w:pPr>
        <w:pStyle w:val="97"/>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3"/>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00" w:name="_Toc355802499"/>
      <w:bookmarkStart w:id="201" w:name="_Toc422466739"/>
      <w:bookmarkStart w:id="202" w:name="_Toc479184140"/>
      <w:bookmarkStart w:id="203" w:name="_Toc432149016"/>
      <w:bookmarkStart w:id="204" w:name="_Toc12119"/>
      <w:bookmarkStart w:id="205" w:name="_Toc8098"/>
      <w:bookmarkStart w:id="206" w:name="_Toc2101"/>
      <w:bookmarkStart w:id="207" w:name="_Toc22465"/>
      <w:bookmarkStart w:id="208" w:name="_Toc356836516"/>
      <w:bookmarkStart w:id="209" w:name="_Toc7704"/>
      <w:r>
        <w:rPr>
          <w:rFonts w:hint="eastAsia" w:asciiTheme="minorEastAsia" w:hAnsiTheme="minorEastAsia" w:eastAsiaTheme="minorEastAsia" w:cstheme="minorEastAsia"/>
          <w:b/>
        </w:rPr>
        <w:t>十五、中小企业声明函</w:t>
      </w:r>
      <w:bookmarkEnd w:id="200"/>
      <w:bookmarkEnd w:id="201"/>
      <w:bookmarkEnd w:id="202"/>
      <w:bookmarkEnd w:id="203"/>
      <w:bookmarkEnd w:id="204"/>
      <w:bookmarkEnd w:id="205"/>
      <w:bookmarkEnd w:id="206"/>
      <w:bookmarkEnd w:id="207"/>
      <w:bookmarkEnd w:id="20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09"/>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10" w:name="OLE_LINK5"/>
      <w:r>
        <w:rPr>
          <w:rFonts w:hint="eastAsia" w:asciiTheme="minorEastAsia" w:hAnsiTheme="minorEastAsia" w:eastAsiaTheme="minorEastAsia" w:cstheme="minorEastAsia"/>
          <w:spacing w:val="6"/>
          <w:szCs w:val="21"/>
        </w:rPr>
        <w:t>______（请填写：中型、小型、微型）企业</w:t>
      </w:r>
      <w:bookmarkEnd w:id="21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4"/>
        </w:numPr>
        <w:spacing w:line="360" w:lineRule="auto"/>
        <w:ind w:firstLine="44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numPr>
          <w:ilvl w:val="0"/>
          <w:numId w:val="44"/>
        </w:numPr>
        <w:spacing w:line="360" w:lineRule="auto"/>
        <w:ind w:firstLine="446" w:firstLineChars="200"/>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spacing w:line="360" w:lineRule="auto"/>
        <w:ind w:firstLine="44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asciiTheme="minorEastAsia" w:hAnsiTheme="minorEastAsia" w:eastAsiaTheme="minorEastAsia" w:cstheme="minorEastAsia"/>
          <w:spacing w:val="6"/>
          <w:szCs w:val="21"/>
        </w:rPr>
      </w:pPr>
    </w:p>
    <w:p>
      <w:pPr>
        <w:autoSpaceDE w:val="0"/>
        <w:autoSpaceDN w:val="0"/>
        <w:adjustRightInd w:val="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12"/>
    <w:bookmarkEnd w:id="113"/>
    <w:bookmarkEnd w:id="114"/>
    <w:bookmarkEnd w:id="115"/>
    <w:p>
      <w:pPr>
        <w:adjustRightInd w:val="0"/>
        <w:snapToGrid w:val="0"/>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11" w:name="_Toc29270"/>
      <w:bookmarkStart w:id="212" w:name="_Toc30406"/>
      <w:bookmarkStart w:id="213" w:name="_Toc7229"/>
      <w:bookmarkStart w:id="214" w:name="_Toc479184141"/>
      <w:bookmarkStart w:id="215" w:name="_Toc476839034"/>
      <w:bookmarkStart w:id="216" w:name="_Toc4320"/>
      <w:r>
        <w:rPr>
          <w:rFonts w:hint="eastAsia" w:asciiTheme="minorEastAsia" w:hAnsiTheme="minorEastAsia" w:eastAsiaTheme="minorEastAsia" w:cstheme="minorEastAsia"/>
          <w:b/>
          <w:bCs/>
          <w:spacing w:val="6"/>
          <w:szCs w:val="21"/>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11"/>
    </w:p>
    <w:p>
      <w:pPr>
        <w:adjustRightInd w:val="0"/>
        <w:snapToGrid w:val="0"/>
        <w:jc w:val="center"/>
        <w:rPr>
          <w:rFonts w:asciiTheme="minorEastAsia" w:hAnsiTheme="minorEastAsia" w:eastAsiaTheme="minorEastAsia" w:cstheme="minorEastAsia"/>
          <w:spacing w:val="6"/>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adjustRightInd w:val="0"/>
        <w:snapToGrid w:val="0"/>
        <w:jc w:val="center"/>
        <w:outlineLvl w:val="1"/>
        <w:rPr>
          <w:rFonts w:asciiTheme="minorEastAsia" w:hAnsiTheme="minorEastAsia" w:eastAsiaTheme="minorEastAsia" w:cstheme="minorEastAsia"/>
          <w:b/>
          <w:lang w:val="zh-CN"/>
        </w:rPr>
      </w:pPr>
      <w:bookmarkStart w:id="217" w:name="_Toc4952"/>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rPr>
        <w:t>十七、</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17"/>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（供应商）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rPr>
        <w:t xml:space="preserve">     （采购人）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1、供应商所投货物为自己制造的，也应按本声明函格式填写。</w:t>
      </w:r>
    </w:p>
    <w:p>
      <w:pPr>
        <w:pStyle w:val="14"/>
        <w:spacing w:line="360" w:lineRule="auto"/>
        <w:ind w:left="1033" w:leftChars="342" w:hanging="315" w:hangingChars="150"/>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时                 间：           年          月          日</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备注：享受政府采购支持政策的残疾人福利性单位应当同时满足以下条件：</w:t>
      </w:r>
    </w:p>
    <w:p>
      <w:pPr>
        <w:numPr>
          <w:ilvl w:val="0"/>
          <w:numId w:val="45"/>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安置的残疾人占本单位在职职工人数的比例不低于 25%（含 25%），并且安置的残疾人人数不少于 10 人（含 10 人）；</w:t>
      </w:r>
    </w:p>
    <w:p>
      <w:pPr>
        <w:numPr>
          <w:ilvl w:val="0"/>
          <w:numId w:val="45"/>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依法与安置的每位残疾人签订了一年以上（含一年）的劳动合同或服务协议；</w:t>
      </w:r>
    </w:p>
    <w:p>
      <w:pPr>
        <w:numPr>
          <w:ilvl w:val="0"/>
          <w:numId w:val="45"/>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为安置的每位残疾人按月足额缴纳了基本养老保险、基本医疗保险、失业保险、工伤保险和生育保险等社会保险费；</w:t>
      </w:r>
    </w:p>
    <w:p>
      <w:pPr>
        <w:numPr>
          <w:ilvl w:val="0"/>
          <w:numId w:val="45"/>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通过银行等金融机构向安置的每位残疾人，按月支付了不低于单位所在区县适用的经省级人民政府批准的月最低工资标准的工资；</w:t>
      </w:r>
    </w:p>
    <w:p>
      <w:pPr>
        <w:numPr>
          <w:ilvl w:val="0"/>
          <w:numId w:val="45"/>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18" w:name="_Toc15506"/>
      <w:r>
        <w:rPr>
          <w:rFonts w:hint="eastAsia" w:asciiTheme="minorEastAsia" w:hAnsiTheme="minorEastAsia" w:eastAsiaTheme="minorEastAsia" w:cstheme="minorEastAsia"/>
          <w:b/>
        </w:rPr>
        <w:t>十八、节能环保产品证明材料（若符合）</w:t>
      </w:r>
      <w:bookmarkEnd w:id="218"/>
    </w:p>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注：供应商所提供产品如为节能环保产品，则应按本磋商文件第四章“政策支持”提供相关证明材料，并将节能、环保产品分别列入上表中，未填写本表或未提供有效认证证书的不给予价格扣除。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spacing w:before="100" w:beforeAutospacing="1" w:after="100" w:afterAutospacing="1"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asciiTheme="minorEastAsia" w:hAnsiTheme="minorEastAsia" w:eastAsiaTheme="minorEastAsia" w:cstheme="minorEastAsia"/>
          <w:b/>
        </w:rPr>
      </w:pPr>
      <w:bookmarkStart w:id="219" w:name="_Toc11218"/>
      <w:r>
        <w:rPr>
          <w:rFonts w:hint="eastAsia" w:asciiTheme="minorEastAsia" w:hAnsiTheme="minorEastAsia" w:eastAsiaTheme="minorEastAsia" w:cstheme="minorEastAsia"/>
          <w:b/>
          <w:bCs/>
          <w:spacing w:val="6"/>
          <w:szCs w:val="21"/>
        </w:rPr>
        <w:t>十九、</w:t>
      </w:r>
      <w:r>
        <w:rPr>
          <w:rFonts w:hint="eastAsia" w:asciiTheme="minorEastAsia" w:hAnsiTheme="minorEastAsia" w:eastAsiaTheme="minorEastAsia" w:cstheme="minorEastAsia"/>
          <w:b/>
        </w:rPr>
        <w:t>无重大违法记录声明</w:t>
      </w:r>
      <w:bookmarkEnd w:id="212"/>
      <w:bookmarkEnd w:id="213"/>
      <w:bookmarkEnd w:id="214"/>
      <w:bookmarkEnd w:id="215"/>
      <w:bookmarkEnd w:id="216"/>
      <w:bookmarkEnd w:id="219"/>
    </w:p>
    <w:p>
      <w:pPr>
        <w:spacing w:line="48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（磋商供应商应在此基础上，根据本单位实际情况进行声明）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autoSpaceDE w:val="0"/>
        <w:autoSpaceDN w:val="0"/>
        <w:adjustRightInd w:val="0"/>
        <w:jc w:val="center"/>
        <w:rPr>
          <w:rFonts w:asciiTheme="minorEastAsia" w:hAnsiTheme="minorEastAsia" w:eastAsiaTheme="minorEastAsia" w:cstheme="minorEastAsia"/>
          <w:szCs w:val="21"/>
        </w:rPr>
      </w:pPr>
    </w:p>
    <w:p>
      <w:pPr>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spacing w:line="360" w:lineRule="auto"/>
        <w:jc w:val="center"/>
        <w:outlineLvl w:val="1"/>
      </w:pPr>
      <w:r>
        <w:rPr>
          <w:rFonts w:hint="eastAsia" w:asciiTheme="minorEastAsia" w:hAnsiTheme="minorEastAsia" w:eastAsiaTheme="minorEastAsia" w:cstheme="minorEastAsia"/>
          <w:spacing w:val="6"/>
          <w:szCs w:val="21"/>
        </w:rPr>
        <w:br w:type="page"/>
      </w:r>
      <w:bookmarkStart w:id="220" w:name="_Toc11829"/>
      <w:r>
        <w:rPr>
          <w:rFonts w:hint="eastAsia" w:asciiTheme="minorEastAsia" w:hAnsiTheme="minorEastAsia" w:eastAsiaTheme="minorEastAsia" w:cstheme="minorEastAsia"/>
          <w:b/>
          <w:bCs/>
          <w:spacing w:val="6"/>
          <w:szCs w:val="21"/>
        </w:rPr>
        <w:t>二十、参加本次政府采购活动前3年内发生诉讼及仲裁情况表</w:t>
      </w:r>
      <w:bookmarkEnd w:id="220"/>
    </w:p>
    <w:tbl>
      <w:tblPr>
        <w:tblStyle w:val="26"/>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诉</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讼</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仲</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裁</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c>
          <w:tcPr>
            <w:tcW w:w="2029" w:type="dxa"/>
            <w:tcBorders>
              <w:top w:val="single" w:color="auto" w:sz="8" w:space="0"/>
              <w:left w:val="single" w:color="auto" w:sz="8" w:space="0"/>
            </w:tcBorders>
            <w:tcMar>
              <w:left w:w="108" w:type="dxa"/>
              <w:right w:w="108" w:type="dxa"/>
            </w:tcMar>
            <w:vAlign w:val="center"/>
          </w:tcPr>
          <w:p>
            <w:pPr>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 </w:t>
      </w:r>
    </w:p>
    <w:p>
      <w:pPr>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asciiTheme="minorEastAsia" w:hAnsiTheme="minorEastAsia" w:eastAsiaTheme="minorEastAsia" w:cstheme="minorEastAsia"/>
          <w:spacing w:val="6"/>
          <w:szCs w:val="21"/>
        </w:rPr>
      </w:pPr>
      <w:bookmarkStart w:id="221" w:name="_Toc17368"/>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rPr>
        <w:t>二十一、磋商供应商认为应该提交的其它文件（格式自拟）</w:t>
      </w:r>
      <w:bookmarkEnd w:id="221"/>
    </w:p>
    <w:sectPr>
      <w:footerReference r:id="rId9"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2"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QpErkBAABZAwAADgAAAAAAAAAAAAAAAAAuAgAAZHJzL2Uyb0RvYy54&#10;bWxQSwECLQAUAAYACAAAACEADErw7tYAAAAFAQAADwAAAAAAAAAAAAAAAAATBAAAZHJzL2Rvd25y&#10;ZXYueG1sUEsFBgAAAAAEAAQA8wAAABYFAAAAAA==&#1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eyXJDuAEAAFUDAAAOAAAAAAAAAAAAAAAAAC4CAABkcnMvZTJvRG9jLnht&#10;bFBLAQItABQABgAIAAAAIQAMSvDu1gAAAAUBAAAPAAAAAAAAAAAAAAAAABIEAABkcnMvZG93bnJl&#10;di54bWxQSwUGAAAAAAQABADzAAAAFQUAAAAA&#1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44</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64</w:t>
    </w:r>
    <w:r>
      <w:rPr>
        <w:lang w:val="zh-CN"/>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8240;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E84619A"/>
    <w:multiLevelType w:val="singleLevel"/>
    <w:tmpl w:val="1E84619A"/>
    <w:lvl w:ilvl="0" w:tentative="0">
      <w:start w:val="1"/>
      <w:numFmt w:val="decimal"/>
      <w:suff w:val="nothing"/>
      <w:lvlText w:val="%1、"/>
      <w:lvlJc w:val="left"/>
    </w:lvl>
  </w:abstractNum>
  <w:abstractNum w:abstractNumId="1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6">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1">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3">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6">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51AA38A0"/>
    <w:multiLevelType w:val="multilevel"/>
    <w:tmpl w:val="51AA38A0"/>
    <w:lvl w:ilvl="0" w:tentative="0">
      <w:start w:val="1"/>
      <w:numFmt w:val="japaneseCounting"/>
      <w:lvlText w:val="%1．"/>
      <w:lvlJc w:val="left"/>
      <w:pPr>
        <w:tabs>
          <w:tab w:val="left" w:pos="1021"/>
        </w:tabs>
        <w:ind w:left="1021" w:hanging="480"/>
      </w:pPr>
      <w:rPr>
        <w:rFonts w:hint="default"/>
      </w:rPr>
    </w:lvl>
    <w:lvl w:ilvl="1" w:tentative="0">
      <w:start w:val="1"/>
      <w:numFmt w:val="lowerLetter"/>
      <w:lvlText w:val="%2)"/>
      <w:lvlJc w:val="left"/>
      <w:pPr>
        <w:tabs>
          <w:tab w:val="left" w:pos="1381"/>
        </w:tabs>
        <w:ind w:left="1381" w:hanging="420"/>
      </w:pPr>
    </w:lvl>
    <w:lvl w:ilvl="2" w:tentative="0">
      <w:start w:val="1"/>
      <w:numFmt w:val="lowerRoman"/>
      <w:lvlText w:val="%3."/>
      <w:lvlJc w:val="right"/>
      <w:pPr>
        <w:tabs>
          <w:tab w:val="left" w:pos="1801"/>
        </w:tabs>
        <w:ind w:left="1801" w:hanging="420"/>
      </w:pPr>
    </w:lvl>
    <w:lvl w:ilvl="3" w:tentative="0">
      <w:start w:val="1"/>
      <w:numFmt w:val="decimal"/>
      <w:lvlText w:val="%4."/>
      <w:lvlJc w:val="left"/>
      <w:pPr>
        <w:tabs>
          <w:tab w:val="left" w:pos="2221"/>
        </w:tabs>
        <w:ind w:left="2221" w:hanging="420"/>
      </w:pPr>
    </w:lvl>
    <w:lvl w:ilvl="4" w:tentative="0">
      <w:start w:val="1"/>
      <w:numFmt w:val="lowerLetter"/>
      <w:lvlText w:val="%5)"/>
      <w:lvlJc w:val="left"/>
      <w:pPr>
        <w:tabs>
          <w:tab w:val="left" w:pos="2641"/>
        </w:tabs>
        <w:ind w:left="2641" w:hanging="420"/>
      </w:pPr>
    </w:lvl>
    <w:lvl w:ilvl="5" w:tentative="0">
      <w:start w:val="1"/>
      <w:numFmt w:val="lowerRoman"/>
      <w:lvlText w:val="%6."/>
      <w:lvlJc w:val="right"/>
      <w:pPr>
        <w:tabs>
          <w:tab w:val="left" w:pos="3061"/>
        </w:tabs>
        <w:ind w:left="3061" w:hanging="420"/>
      </w:pPr>
    </w:lvl>
    <w:lvl w:ilvl="6" w:tentative="0">
      <w:start w:val="1"/>
      <w:numFmt w:val="decimal"/>
      <w:lvlText w:val="%7."/>
      <w:lvlJc w:val="left"/>
      <w:pPr>
        <w:tabs>
          <w:tab w:val="left" w:pos="3481"/>
        </w:tabs>
        <w:ind w:left="3481" w:hanging="420"/>
      </w:pPr>
    </w:lvl>
    <w:lvl w:ilvl="7" w:tentative="0">
      <w:start w:val="1"/>
      <w:numFmt w:val="lowerLetter"/>
      <w:lvlText w:val="%8)"/>
      <w:lvlJc w:val="left"/>
      <w:pPr>
        <w:tabs>
          <w:tab w:val="left" w:pos="3901"/>
        </w:tabs>
        <w:ind w:left="3901" w:hanging="420"/>
      </w:pPr>
    </w:lvl>
    <w:lvl w:ilvl="8" w:tentative="0">
      <w:start w:val="1"/>
      <w:numFmt w:val="lowerRoman"/>
      <w:lvlText w:val="%9."/>
      <w:lvlJc w:val="right"/>
      <w:pPr>
        <w:tabs>
          <w:tab w:val="left" w:pos="4321"/>
        </w:tabs>
        <w:ind w:left="4321" w:hanging="420"/>
      </w:pPr>
    </w:lvl>
  </w:abstractNum>
  <w:abstractNum w:abstractNumId="29">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1">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2">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9">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4">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7"/>
  </w:num>
  <w:num w:numId="2">
    <w:abstractNumId w:val="10"/>
  </w:num>
  <w:num w:numId="3">
    <w:abstractNumId w:val="17"/>
  </w:num>
  <w:num w:numId="4">
    <w:abstractNumId w:val="26"/>
  </w:num>
  <w:num w:numId="5">
    <w:abstractNumId w:val="12"/>
  </w:num>
  <w:num w:numId="6">
    <w:abstractNumId w:val="1"/>
  </w:num>
  <w:num w:numId="7">
    <w:abstractNumId w:val="31"/>
  </w:num>
  <w:num w:numId="8">
    <w:abstractNumId w:val="14"/>
  </w:num>
  <w:num w:numId="9">
    <w:abstractNumId w:val="8"/>
  </w:num>
  <w:num w:numId="10">
    <w:abstractNumId w:val="13"/>
  </w:num>
  <w:num w:numId="11">
    <w:abstractNumId w:val="33"/>
  </w:num>
  <w:num w:numId="12">
    <w:abstractNumId w:val="43"/>
  </w:num>
  <w:num w:numId="13">
    <w:abstractNumId w:val="44"/>
  </w:num>
  <w:num w:numId="14">
    <w:abstractNumId w:val="25"/>
  </w:num>
  <w:num w:numId="15">
    <w:abstractNumId w:val="29"/>
  </w:num>
  <w:num w:numId="16">
    <w:abstractNumId w:val="32"/>
  </w:num>
  <w:num w:numId="17">
    <w:abstractNumId w:val="34"/>
  </w:num>
  <w:num w:numId="18">
    <w:abstractNumId w:val="3"/>
  </w:num>
  <w:num w:numId="19">
    <w:abstractNumId w:val="36"/>
  </w:num>
  <w:num w:numId="20">
    <w:abstractNumId w:val="5"/>
  </w:num>
  <w:num w:numId="21">
    <w:abstractNumId w:val="23"/>
  </w:num>
  <w:num w:numId="22">
    <w:abstractNumId w:val="19"/>
  </w:num>
  <w:num w:numId="23">
    <w:abstractNumId w:val="39"/>
  </w:num>
  <w:num w:numId="24">
    <w:abstractNumId w:val="11"/>
  </w:num>
  <w:num w:numId="25">
    <w:abstractNumId w:val="24"/>
  </w:num>
  <w:num w:numId="26">
    <w:abstractNumId w:val="7"/>
  </w:num>
  <w:num w:numId="27">
    <w:abstractNumId w:val="38"/>
  </w:num>
  <w:num w:numId="28">
    <w:abstractNumId w:val="42"/>
  </w:num>
  <w:num w:numId="29">
    <w:abstractNumId w:val="27"/>
  </w:num>
  <w:num w:numId="30">
    <w:abstractNumId w:val="21"/>
  </w:num>
  <w:num w:numId="31">
    <w:abstractNumId w:val="9"/>
  </w:num>
  <w:num w:numId="32">
    <w:abstractNumId w:val="18"/>
  </w:num>
  <w:num w:numId="33">
    <w:abstractNumId w:val="41"/>
  </w:num>
  <w:num w:numId="34">
    <w:abstractNumId w:val="22"/>
  </w:num>
  <w:num w:numId="35">
    <w:abstractNumId w:val="40"/>
  </w:num>
  <w:num w:numId="36">
    <w:abstractNumId w:val="35"/>
  </w:num>
  <w:num w:numId="37">
    <w:abstractNumId w:val="28"/>
  </w:num>
  <w:num w:numId="38">
    <w:abstractNumId w:val="15"/>
  </w:num>
  <w:num w:numId="39">
    <w:abstractNumId w:val="30"/>
  </w:num>
  <w:num w:numId="40">
    <w:abstractNumId w:val="2"/>
  </w:num>
  <w:num w:numId="41">
    <w:abstractNumId w:val="16"/>
  </w:num>
  <w:num w:numId="42">
    <w:abstractNumId w:val="20"/>
  </w:num>
  <w:num w:numId="43">
    <w:abstractNumId w:val="6"/>
  </w:num>
  <w:num w:numId="44">
    <w:abstractNumId w:val="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2A1"/>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E37"/>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066"/>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A7926"/>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AD0"/>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5FA9"/>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2919"/>
    <w:rsid w:val="007B3F0C"/>
    <w:rsid w:val="007B3F75"/>
    <w:rsid w:val="007B6DA5"/>
    <w:rsid w:val="007B732F"/>
    <w:rsid w:val="007C0895"/>
    <w:rsid w:val="007C1124"/>
    <w:rsid w:val="007C1383"/>
    <w:rsid w:val="007C1FED"/>
    <w:rsid w:val="007C31C0"/>
    <w:rsid w:val="007C3714"/>
    <w:rsid w:val="007C48B8"/>
    <w:rsid w:val="007C5ABA"/>
    <w:rsid w:val="007C5B78"/>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0CB2"/>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88F"/>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0DC4"/>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A7A0A"/>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1606"/>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26"/>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462F"/>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5DE"/>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64FF"/>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A9706C"/>
    <w:rsid w:val="02DE374B"/>
    <w:rsid w:val="03044359"/>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A417BB"/>
    <w:rsid w:val="06B7286F"/>
    <w:rsid w:val="06C116BD"/>
    <w:rsid w:val="06C767F8"/>
    <w:rsid w:val="06EA2FBD"/>
    <w:rsid w:val="06ED1770"/>
    <w:rsid w:val="06FE4AAE"/>
    <w:rsid w:val="070157D1"/>
    <w:rsid w:val="07117CDC"/>
    <w:rsid w:val="07354BE2"/>
    <w:rsid w:val="073C203E"/>
    <w:rsid w:val="07506DDE"/>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57990"/>
    <w:rsid w:val="0A165448"/>
    <w:rsid w:val="0A502EA2"/>
    <w:rsid w:val="0A5758F7"/>
    <w:rsid w:val="0A67144A"/>
    <w:rsid w:val="0A71618F"/>
    <w:rsid w:val="0A7E1671"/>
    <w:rsid w:val="0AC16F66"/>
    <w:rsid w:val="0AFE4B8A"/>
    <w:rsid w:val="0B435CD5"/>
    <w:rsid w:val="0B456825"/>
    <w:rsid w:val="0B4B17AC"/>
    <w:rsid w:val="0B4C1B40"/>
    <w:rsid w:val="0B4F5787"/>
    <w:rsid w:val="0B625354"/>
    <w:rsid w:val="0B6438A9"/>
    <w:rsid w:val="0BC22757"/>
    <w:rsid w:val="0BD0342B"/>
    <w:rsid w:val="0BE3070D"/>
    <w:rsid w:val="0C367BBD"/>
    <w:rsid w:val="0C3C4113"/>
    <w:rsid w:val="0C4225D4"/>
    <w:rsid w:val="0C49239C"/>
    <w:rsid w:val="0C4E57C8"/>
    <w:rsid w:val="0C6C6830"/>
    <w:rsid w:val="0C7336D0"/>
    <w:rsid w:val="0CC36F40"/>
    <w:rsid w:val="0CF02600"/>
    <w:rsid w:val="0D162766"/>
    <w:rsid w:val="0D18185D"/>
    <w:rsid w:val="0D30615A"/>
    <w:rsid w:val="0D50445B"/>
    <w:rsid w:val="0D7807F1"/>
    <w:rsid w:val="0D895A46"/>
    <w:rsid w:val="0D9B67EB"/>
    <w:rsid w:val="0DC53FF4"/>
    <w:rsid w:val="0DE86CEC"/>
    <w:rsid w:val="0E0A51BD"/>
    <w:rsid w:val="0E141CA7"/>
    <w:rsid w:val="0E386D2E"/>
    <w:rsid w:val="0E442D5B"/>
    <w:rsid w:val="0E4E7B59"/>
    <w:rsid w:val="0E6E5960"/>
    <w:rsid w:val="0EAE4301"/>
    <w:rsid w:val="0ED27024"/>
    <w:rsid w:val="0ED94F19"/>
    <w:rsid w:val="0EDC5EDB"/>
    <w:rsid w:val="0F1B0DB7"/>
    <w:rsid w:val="0F3425BB"/>
    <w:rsid w:val="0F6C7EA7"/>
    <w:rsid w:val="0FA03F81"/>
    <w:rsid w:val="0FC5121F"/>
    <w:rsid w:val="0FC52200"/>
    <w:rsid w:val="0FC57219"/>
    <w:rsid w:val="0FF11896"/>
    <w:rsid w:val="0FF743B8"/>
    <w:rsid w:val="104114BC"/>
    <w:rsid w:val="104F21E7"/>
    <w:rsid w:val="10522A43"/>
    <w:rsid w:val="105950B7"/>
    <w:rsid w:val="10681B45"/>
    <w:rsid w:val="10915706"/>
    <w:rsid w:val="10D545EB"/>
    <w:rsid w:val="10E51E7E"/>
    <w:rsid w:val="1109548A"/>
    <w:rsid w:val="11156035"/>
    <w:rsid w:val="111F2499"/>
    <w:rsid w:val="11296D36"/>
    <w:rsid w:val="1146103D"/>
    <w:rsid w:val="116C7384"/>
    <w:rsid w:val="12305D0B"/>
    <w:rsid w:val="124B307E"/>
    <w:rsid w:val="12595354"/>
    <w:rsid w:val="12676ACE"/>
    <w:rsid w:val="128C79F5"/>
    <w:rsid w:val="12987FD1"/>
    <w:rsid w:val="12D57C7C"/>
    <w:rsid w:val="12DE2F04"/>
    <w:rsid w:val="12F453F7"/>
    <w:rsid w:val="134B6C2D"/>
    <w:rsid w:val="135A65CD"/>
    <w:rsid w:val="13681291"/>
    <w:rsid w:val="139A72A6"/>
    <w:rsid w:val="13D75C16"/>
    <w:rsid w:val="141A71FC"/>
    <w:rsid w:val="14393E39"/>
    <w:rsid w:val="1439492C"/>
    <w:rsid w:val="144E282E"/>
    <w:rsid w:val="14905D77"/>
    <w:rsid w:val="14C13D98"/>
    <w:rsid w:val="14C818C6"/>
    <w:rsid w:val="14D17473"/>
    <w:rsid w:val="14D2285A"/>
    <w:rsid w:val="14F848F0"/>
    <w:rsid w:val="1533008F"/>
    <w:rsid w:val="153D3401"/>
    <w:rsid w:val="15404178"/>
    <w:rsid w:val="155142E7"/>
    <w:rsid w:val="15855A36"/>
    <w:rsid w:val="158E06A1"/>
    <w:rsid w:val="15932B1E"/>
    <w:rsid w:val="15AF36C0"/>
    <w:rsid w:val="15D73E4B"/>
    <w:rsid w:val="15EE7CEF"/>
    <w:rsid w:val="160D691C"/>
    <w:rsid w:val="16333435"/>
    <w:rsid w:val="16391530"/>
    <w:rsid w:val="16550678"/>
    <w:rsid w:val="166C136C"/>
    <w:rsid w:val="168C0198"/>
    <w:rsid w:val="16C6539F"/>
    <w:rsid w:val="16C83962"/>
    <w:rsid w:val="16ED23AA"/>
    <w:rsid w:val="173E2364"/>
    <w:rsid w:val="173E4E07"/>
    <w:rsid w:val="1761710C"/>
    <w:rsid w:val="17812612"/>
    <w:rsid w:val="1789592C"/>
    <w:rsid w:val="17901A85"/>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80316"/>
    <w:rsid w:val="199E02FC"/>
    <w:rsid w:val="19BA1CE3"/>
    <w:rsid w:val="19DF55C2"/>
    <w:rsid w:val="1A0C61A8"/>
    <w:rsid w:val="1A0D5D6F"/>
    <w:rsid w:val="1A132F57"/>
    <w:rsid w:val="1A300E03"/>
    <w:rsid w:val="1A5F760F"/>
    <w:rsid w:val="1A6F3E95"/>
    <w:rsid w:val="1A6F6E85"/>
    <w:rsid w:val="1AD22ED2"/>
    <w:rsid w:val="1AD51B88"/>
    <w:rsid w:val="1B1C52A4"/>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6FC7"/>
    <w:rsid w:val="1D9F4A19"/>
    <w:rsid w:val="1DA05599"/>
    <w:rsid w:val="1DAB519B"/>
    <w:rsid w:val="1DC65420"/>
    <w:rsid w:val="1DC94DC3"/>
    <w:rsid w:val="1DD04ECF"/>
    <w:rsid w:val="1E0649A4"/>
    <w:rsid w:val="1E474E6F"/>
    <w:rsid w:val="1E61476C"/>
    <w:rsid w:val="1E6843C7"/>
    <w:rsid w:val="1EA60FCA"/>
    <w:rsid w:val="1EA87417"/>
    <w:rsid w:val="1ED70A99"/>
    <w:rsid w:val="1F253E48"/>
    <w:rsid w:val="1F35766F"/>
    <w:rsid w:val="1F65672E"/>
    <w:rsid w:val="1F6B4880"/>
    <w:rsid w:val="1F6D18D3"/>
    <w:rsid w:val="1F855EC8"/>
    <w:rsid w:val="1F865B87"/>
    <w:rsid w:val="1F8D0E35"/>
    <w:rsid w:val="1FB611E4"/>
    <w:rsid w:val="1FBA2E91"/>
    <w:rsid w:val="1FC02D54"/>
    <w:rsid w:val="1FC05752"/>
    <w:rsid w:val="1FD92D82"/>
    <w:rsid w:val="1FEE1F52"/>
    <w:rsid w:val="205C147C"/>
    <w:rsid w:val="20950348"/>
    <w:rsid w:val="20981E88"/>
    <w:rsid w:val="20A10137"/>
    <w:rsid w:val="20B97750"/>
    <w:rsid w:val="20BD2343"/>
    <w:rsid w:val="20C125E5"/>
    <w:rsid w:val="20F77EBA"/>
    <w:rsid w:val="20FE0571"/>
    <w:rsid w:val="212F48FD"/>
    <w:rsid w:val="216135E4"/>
    <w:rsid w:val="21B23C30"/>
    <w:rsid w:val="21D5663A"/>
    <w:rsid w:val="220D5F91"/>
    <w:rsid w:val="220F017A"/>
    <w:rsid w:val="22154D2B"/>
    <w:rsid w:val="223D6488"/>
    <w:rsid w:val="22477A04"/>
    <w:rsid w:val="224F423C"/>
    <w:rsid w:val="227710AB"/>
    <w:rsid w:val="229B4E78"/>
    <w:rsid w:val="22C77F82"/>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2E779E"/>
    <w:rsid w:val="243E250C"/>
    <w:rsid w:val="24474E0A"/>
    <w:rsid w:val="244E4AD0"/>
    <w:rsid w:val="246B4679"/>
    <w:rsid w:val="249900C5"/>
    <w:rsid w:val="24BF7D42"/>
    <w:rsid w:val="255D2F2A"/>
    <w:rsid w:val="256C5A3D"/>
    <w:rsid w:val="257963F1"/>
    <w:rsid w:val="25A7402B"/>
    <w:rsid w:val="25FE15DC"/>
    <w:rsid w:val="26806C09"/>
    <w:rsid w:val="26863962"/>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BC53BD"/>
    <w:rsid w:val="28E96526"/>
    <w:rsid w:val="28F77A34"/>
    <w:rsid w:val="29213FAC"/>
    <w:rsid w:val="294019F3"/>
    <w:rsid w:val="295F3244"/>
    <w:rsid w:val="295F6F3A"/>
    <w:rsid w:val="2978542E"/>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6E542D"/>
    <w:rsid w:val="2BBC0B01"/>
    <w:rsid w:val="2BEB27E3"/>
    <w:rsid w:val="2BEB2E9D"/>
    <w:rsid w:val="2BF61207"/>
    <w:rsid w:val="2C083687"/>
    <w:rsid w:val="2C1713D1"/>
    <w:rsid w:val="2C2E6F83"/>
    <w:rsid w:val="2C620007"/>
    <w:rsid w:val="2CD367CC"/>
    <w:rsid w:val="2CDD2B9E"/>
    <w:rsid w:val="2D09394F"/>
    <w:rsid w:val="2D571301"/>
    <w:rsid w:val="2D6345E9"/>
    <w:rsid w:val="2D7E4209"/>
    <w:rsid w:val="2D9B288E"/>
    <w:rsid w:val="2DBD42B5"/>
    <w:rsid w:val="2DCB5DC1"/>
    <w:rsid w:val="2DCE5309"/>
    <w:rsid w:val="2DD0754E"/>
    <w:rsid w:val="2DE2242A"/>
    <w:rsid w:val="2E4225F7"/>
    <w:rsid w:val="2E463849"/>
    <w:rsid w:val="2E5A5340"/>
    <w:rsid w:val="2E6E73D5"/>
    <w:rsid w:val="2E81141D"/>
    <w:rsid w:val="2E9A7ADA"/>
    <w:rsid w:val="2F1B0798"/>
    <w:rsid w:val="2F4F0438"/>
    <w:rsid w:val="2F506BFB"/>
    <w:rsid w:val="2F7E2CC0"/>
    <w:rsid w:val="2F89004D"/>
    <w:rsid w:val="2F921764"/>
    <w:rsid w:val="2F98405A"/>
    <w:rsid w:val="2FD11EB8"/>
    <w:rsid w:val="2FD17C99"/>
    <w:rsid w:val="30211463"/>
    <w:rsid w:val="303D5772"/>
    <w:rsid w:val="306E40F7"/>
    <w:rsid w:val="306F4499"/>
    <w:rsid w:val="30B15581"/>
    <w:rsid w:val="30B93848"/>
    <w:rsid w:val="30BE1DE8"/>
    <w:rsid w:val="31253510"/>
    <w:rsid w:val="313177AD"/>
    <w:rsid w:val="31341EAD"/>
    <w:rsid w:val="31423CC5"/>
    <w:rsid w:val="3157256E"/>
    <w:rsid w:val="31665B97"/>
    <w:rsid w:val="31854B7E"/>
    <w:rsid w:val="31E86EE4"/>
    <w:rsid w:val="31FD6157"/>
    <w:rsid w:val="32171B71"/>
    <w:rsid w:val="322B53E9"/>
    <w:rsid w:val="32915ABA"/>
    <w:rsid w:val="329C1497"/>
    <w:rsid w:val="32D72576"/>
    <w:rsid w:val="32D93319"/>
    <w:rsid w:val="330D0307"/>
    <w:rsid w:val="332C3D97"/>
    <w:rsid w:val="3360351F"/>
    <w:rsid w:val="33620CB2"/>
    <w:rsid w:val="3371657C"/>
    <w:rsid w:val="33B17CDB"/>
    <w:rsid w:val="33E04B57"/>
    <w:rsid w:val="33FA7456"/>
    <w:rsid w:val="34024883"/>
    <w:rsid w:val="342C6E98"/>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5B1C96"/>
    <w:rsid w:val="3660345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B72EB1"/>
    <w:rsid w:val="37C806F3"/>
    <w:rsid w:val="37C85C3C"/>
    <w:rsid w:val="37CF1603"/>
    <w:rsid w:val="38585500"/>
    <w:rsid w:val="385D1C71"/>
    <w:rsid w:val="386038B3"/>
    <w:rsid w:val="388E1434"/>
    <w:rsid w:val="38BA5460"/>
    <w:rsid w:val="38C62FF5"/>
    <w:rsid w:val="38D62476"/>
    <w:rsid w:val="38E27127"/>
    <w:rsid w:val="39027E88"/>
    <w:rsid w:val="39075875"/>
    <w:rsid w:val="391904A1"/>
    <w:rsid w:val="391C718D"/>
    <w:rsid w:val="39354161"/>
    <w:rsid w:val="394D30B0"/>
    <w:rsid w:val="39624091"/>
    <w:rsid w:val="397C6037"/>
    <w:rsid w:val="39D43B66"/>
    <w:rsid w:val="39E07E9A"/>
    <w:rsid w:val="39EC03FA"/>
    <w:rsid w:val="39F924A6"/>
    <w:rsid w:val="3A1D058F"/>
    <w:rsid w:val="3A1E303B"/>
    <w:rsid w:val="3A1F74C9"/>
    <w:rsid w:val="3A2A1F54"/>
    <w:rsid w:val="3A2D40D1"/>
    <w:rsid w:val="3A314B02"/>
    <w:rsid w:val="3A5C2602"/>
    <w:rsid w:val="3A79657B"/>
    <w:rsid w:val="3A8B77C7"/>
    <w:rsid w:val="3A9A32EA"/>
    <w:rsid w:val="3AAC573D"/>
    <w:rsid w:val="3ACD391F"/>
    <w:rsid w:val="3B026D00"/>
    <w:rsid w:val="3B1471CB"/>
    <w:rsid w:val="3B655681"/>
    <w:rsid w:val="3B6C4553"/>
    <w:rsid w:val="3B6F3ABC"/>
    <w:rsid w:val="3B7527F4"/>
    <w:rsid w:val="3B8F7266"/>
    <w:rsid w:val="3BAA143A"/>
    <w:rsid w:val="3BC378A6"/>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82DCA"/>
    <w:rsid w:val="3F9B2842"/>
    <w:rsid w:val="3FD12D26"/>
    <w:rsid w:val="3FDE4917"/>
    <w:rsid w:val="402F3ADF"/>
    <w:rsid w:val="40306F5A"/>
    <w:rsid w:val="40476BB3"/>
    <w:rsid w:val="40546FB6"/>
    <w:rsid w:val="40554803"/>
    <w:rsid w:val="407A60D5"/>
    <w:rsid w:val="40961808"/>
    <w:rsid w:val="40AB4DEE"/>
    <w:rsid w:val="40D24BBE"/>
    <w:rsid w:val="40EC4043"/>
    <w:rsid w:val="41166469"/>
    <w:rsid w:val="412008E0"/>
    <w:rsid w:val="413A6D3B"/>
    <w:rsid w:val="41515AC7"/>
    <w:rsid w:val="41902B9F"/>
    <w:rsid w:val="41A66510"/>
    <w:rsid w:val="41C02331"/>
    <w:rsid w:val="41C13A63"/>
    <w:rsid w:val="41C67037"/>
    <w:rsid w:val="41D229E1"/>
    <w:rsid w:val="41EC6E94"/>
    <w:rsid w:val="41F72149"/>
    <w:rsid w:val="42310D45"/>
    <w:rsid w:val="42415ACC"/>
    <w:rsid w:val="427D539F"/>
    <w:rsid w:val="42991E30"/>
    <w:rsid w:val="42CE0B28"/>
    <w:rsid w:val="42CF6367"/>
    <w:rsid w:val="42DE1CCC"/>
    <w:rsid w:val="42F80EA8"/>
    <w:rsid w:val="4308546B"/>
    <w:rsid w:val="43137528"/>
    <w:rsid w:val="43263445"/>
    <w:rsid w:val="434157E3"/>
    <w:rsid w:val="43494860"/>
    <w:rsid w:val="434D380E"/>
    <w:rsid w:val="43934189"/>
    <w:rsid w:val="439D4850"/>
    <w:rsid w:val="43C27232"/>
    <w:rsid w:val="43ED069F"/>
    <w:rsid w:val="442A6E5A"/>
    <w:rsid w:val="4449408F"/>
    <w:rsid w:val="445C4B8F"/>
    <w:rsid w:val="44833851"/>
    <w:rsid w:val="44982752"/>
    <w:rsid w:val="44BF6F86"/>
    <w:rsid w:val="44C45031"/>
    <w:rsid w:val="44D53AB2"/>
    <w:rsid w:val="44F27B0D"/>
    <w:rsid w:val="45485BDE"/>
    <w:rsid w:val="45945C30"/>
    <w:rsid w:val="459F2306"/>
    <w:rsid w:val="45A832FE"/>
    <w:rsid w:val="45AB6174"/>
    <w:rsid w:val="45B7732F"/>
    <w:rsid w:val="45BA63E5"/>
    <w:rsid w:val="45CC5EDC"/>
    <w:rsid w:val="45F73D47"/>
    <w:rsid w:val="462D2575"/>
    <w:rsid w:val="46467FD8"/>
    <w:rsid w:val="46601D33"/>
    <w:rsid w:val="4666746C"/>
    <w:rsid w:val="467505FA"/>
    <w:rsid w:val="467B6008"/>
    <w:rsid w:val="468720BA"/>
    <w:rsid w:val="46895AFC"/>
    <w:rsid w:val="46BC623F"/>
    <w:rsid w:val="46D855B9"/>
    <w:rsid w:val="47095782"/>
    <w:rsid w:val="470D2C74"/>
    <w:rsid w:val="477570F1"/>
    <w:rsid w:val="47AD33FA"/>
    <w:rsid w:val="47B41AAA"/>
    <w:rsid w:val="47BD07EC"/>
    <w:rsid w:val="47CD38AD"/>
    <w:rsid w:val="47DB16D8"/>
    <w:rsid w:val="481726F3"/>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9E73F7A"/>
    <w:rsid w:val="49F50AAE"/>
    <w:rsid w:val="4A2945F2"/>
    <w:rsid w:val="4A615154"/>
    <w:rsid w:val="4A96607C"/>
    <w:rsid w:val="4AB92E92"/>
    <w:rsid w:val="4B2134B8"/>
    <w:rsid w:val="4B24233C"/>
    <w:rsid w:val="4B2471EE"/>
    <w:rsid w:val="4B330A0B"/>
    <w:rsid w:val="4B5E55F9"/>
    <w:rsid w:val="4B685D82"/>
    <w:rsid w:val="4B7B4674"/>
    <w:rsid w:val="4B7C663B"/>
    <w:rsid w:val="4B812078"/>
    <w:rsid w:val="4BF71347"/>
    <w:rsid w:val="4BF97932"/>
    <w:rsid w:val="4C141E75"/>
    <w:rsid w:val="4C2A4039"/>
    <w:rsid w:val="4CAE60E3"/>
    <w:rsid w:val="4CEE1D13"/>
    <w:rsid w:val="4CFC44AB"/>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0C3F93"/>
    <w:rsid w:val="4E1D26B7"/>
    <w:rsid w:val="4E1F052C"/>
    <w:rsid w:val="4E451D41"/>
    <w:rsid w:val="4E7A454C"/>
    <w:rsid w:val="4E820B4C"/>
    <w:rsid w:val="4E85341C"/>
    <w:rsid w:val="4E8C09B2"/>
    <w:rsid w:val="4E9B7B12"/>
    <w:rsid w:val="4EC47712"/>
    <w:rsid w:val="4EDD3C61"/>
    <w:rsid w:val="4EF1457F"/>
    <w:rsid w:val="4EFB7B62"/>
    <w:rsid w:val="4F2C40A0"/>
    <w:rsid w:val="4F2F3B98"/>
    <w:rsid w:val="4F380B7A"/>
    <w:rsid w:val="4F424B82"/>
    <w:rsid w:val="4F4B0CB3"/>
    <w:rsid w:val="4F4F0EBF"/>
    <w:rsid w:val="4F8071B1"/>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221B66"/>
    <w:rsid w:val="513F19B5"/>
    <w:rsid w:val="51615030"/>
    <w:rsid w:val="51627812"/>
    <w:rsid w:val="516C0ACA"/>
    <w:rsid w:val="51D33F6D"/>
    <w:rsid w:val="51DB1448"/>
    <w:rsid w:val="52045DB4"/>
    <w:rsid w:val="522C275E"/>
    <w:rsid w:val="529000F6"/>
    <w:rsid w:val="5296149A"/>
    <w:rsid w:val="52A6567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837E36"/>
    <w:rsid w:val="54A01FAE"/>
    <w:rsid w:val="54AC3148"/>
    <w:rsid w:val="54C0256E"/>
    <w:rsid w:val="54C334B7"/>
    <w:rsid w:val="54D4667D"/>
    <w:rsid w:val="54D55C56"/>
    <w:rsid w:val="54EC389B"/>
    <w:rsid w:val="54F847D9"/>
    <w:rsid w:val="55126190"/>
    <w:rsid w:val="555F3833"/>
    <w:rsid w:val="55667780"/>
    <w:rsid w:val="556E493A"/>
    <w:rsid w:val="55941D63"/>
    <w:rsid w:val="559C0CE1"/>
    <w:rsid w:val="55B42D88"/>
    <w:rsid w:val="55D11119"/>
    <w:rsid w:val="55DB1F79"/>
    <w:rsid w:val="560A42BD"/>
    <w:rsid w:val="560C1D89"/>
    <w:rsid w:val="56353B20"/>
    <w:rsid w:val="56443B98"/>
    <w:rsid w:val="56453A77"/>
    <w:rsid w:val="56757259"/>
    <w:rsid w:val="568B7EB7"/>
    <w:rsid w:val="56BC078F"/>
    <w:rsid w:val="56CB4BCB"/>
    <w:rsid w:val="56FB75FE"/>
    <w:rsid w:val="57391A95"/>
    <w:rsid w:val="573F3C9E"/>
    <w:rsid w:val="574C52C4"/>
    <w:rsid w:val="57526FDB"/>
    <w:rsid w:val="57572F35"/>
    <w:rsid w:val="575B33A4"/>
    <w:rsid w:val="57674A5D"/>
    <w:rsid w:val="57B729FC"/>
    <w:rsid w:val="57C90530"/>
    <w:rsid w:val="57CE0836"/>
    <w:rsid w:val="582F44F7"/>
    <w:rsid w:val="583F27F2"/>
    <w:rsid w:val="58455B6D"/>
    <w:rsid w:val="584D29B0"/>
    <w:rsid w:val="584F7C49"/>
    <w:rsid w:val="5888302C"/>
    <w:rsid w:val="5889129A"/>
    <w:rsid w:val="58AD528C"/>
    <w:rsid w:val="58B31955"/>
    <w:rsid w:val="58BA45A1"/>
    <w:rsid w:val="594F6915"/>
    <w:rsid w:val="59737A65"/>
    <w:rsid w:val="59842DF4"/>
    <w:rsid w:val="59A0359A"/>
    <w:rsid w:val="59E52D9A"/>
    <w:rsid w:val="5A300449"/>
    <w:rsid w:val="5A482DEE"/>
    <w:rsid w:val="5A55295D"/>
    <w:rsid w:val="5A7E104A"/>
    <w:rsid w:val="5A8208A0"/>
    <w:rsid w:val="5A861FD5"/>
    <w:rsid w:val="5AC52E06"/>
    <w:rsid w:val="5AE3253A"/>
    <w:rsid w:val="5AEA30C9"/>
    <w:rsid w:val="5AEA3475"/>
    <w:rsid w:val="5AF54C6B"/>
    <w:rsid w:val="5B087B94"/>
    <w:rsid w:val="5B0C2FBE"/>
    <w:rsid w:val="5B0E3E89"/>
    <w:rsid w:val="5B124740"/>
    <w:rsid w:val="5B31434D"/>
    <w:rsid w:val="5B3F66E7"/>
    <w:rsid w:val="5B872AE6"/>
    <w:rsid w:val="5BA77753"/>
    <w:rsid w:val="5BC025EF"/>
    <w:rsid w:val="5C1203C7"/>
    <w:rsid w:val="5C1F35AE"/>
    <w:rsid w:val="5C3905BF"/>
    <w:rsid w:val="5C66397A"/>
    <w:rsid w:val="5C7349B6"/>
    <w:rsid w:val="5C824C05"/>
    <w:rsid w:val="5C8725EE"/>
    <w:rsid w:val="5CA22492"/>
    <w:rsid w:val="5CB0251A"/>
    <w:rsid w:val="5CB97030"/>
    <w:rsid w:val="5CC97332"/>
    <w:rsid w:val="5D187049"/>
    <w:rsid w:val="5D1D2427"/>
    <w:rsid w:val="5D756277"/>
    <w:rsid w:val="5D955FBD"/>
    <w:rsid w:val="5DA62524"/>
    <w:rsid w:val="5DAC3919"/>
    <w:rsid w:val="5DB36259"/>
    <w:rsid w:val="5DBD33B2"/>
    <w:rsid w:val="5DC223CB"/>
    <w:rsid w:val="5DF66637"/>
    <w:rsid w:val="5DFF6858"/>
    <w:rsid w:val="5E185132"/>
    <w:rsid w:val="5E2A0167"/>
    <w:rsid w:val="5E5D68E8"/>
    <w:rsid w:val="5E802A96"/>
    <w:rsid w:val="5E9074FF"/>
    <w:rsid w:val="5EAE1AF2"/>
    <w:rsid w:val="5EB62A77"/>
    <w:rsid w:val="5EB80355"/>
    <w:rsid w:val="5EBB2226"/>
    <w:rsid w:val="5EBE5F24"/>
    <w:rsid w:val="5EF07004"/>
    <w:rsid w:val="5F0E1E9A"/>
    <w:rsid w:val="5F860C23"/>
    <w:rsid w:val="5F9759AA"/>
    <w:rsid w:val="5FC44411"/>
    <w:rsid w:val="605C7AA6"/>
    <w:rsid w:val="605F132B"/>
    <w:rsid w:val="608510A4"/>
    <w:rsid w:val="608762FF"/>
    <w:rsid w:val="609E1C45"/>
    <w:rsid w:val="60BD4FD1"/>
    <w:rsid w:val="60D507D0"/>
    <w:rsid w:val="60EA1511"/>
    <w:rsid w:val="60EB6C34"/>
    <w:rsid w:val="60FD5C7B"/>
    <w:rsid w:val="613D7E7B"/>
    <w:rsid w:val="617162E9"/>
    <w:rsid w:val="61A52BAA"/>
    <w:rsid w:val="61FA0AE4"/>
    <w:rsid w:val="623438BB"/>
    <w:rsid w:val="624B10F0"/>
    <w:rsid w:val="624F3E48"/>
    <w:rsid w:val="62635981"/>
    <w:rsid w:val="6298286E"/>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562840"/>
    <w:rsid w:val="637141EC"/>
    <w:rsid w:val="63805B1F"/>
    <w:rsid w:val="63834973"/>
    <w:rsid w:val="638F3DC7"/>
    <w:rsid w:val="6397194C"/>
    <w:rsid w:val="63DA4B5E"/>
    <w:rsid w:val="64273E62"/>
    <w:rsid w:val="642E2892"/>
    <w:rsid w:val="64AD7C37"/>
    <w:rsid w:val="64B05758"/>
    <w:rsid w:val="64BE4B0D"/>
    <w:rsid w:val="65075A96"/>
    <w:rsid w:val="650E600B"/>
    <w:rsid w:val="650F0C7B"/>
    <w:rsid w:val="65B221E6"/>
    <w:rsid w:val="65DA1404"/>
    <w:rsid w:val="662000A5"/>
    <w:rsid w:val="66426031"/>
    <w:rsid w:val="66593B74"/>
    <w:rsid w:val="665D2DD8"/>
    <w:rsid w:val="66651C8A"/>
    <w:rsid w:val="66675176"/>
    <w:rsid w:val="669F2C65"/>
    <w:rsid w:val="66BE6B53"/>
    <w:rsid w:val="66C55FD8"/>
    <w:rsid w:val="66D333AF"/>
    <w:rsid w:val="67192A34"/>
    <w:rsid w:val="674A4927"/>
    <w:rsid w:val="677243C5"/>
    <w:rsid w:val="678568CD"/>
    <w:rsid w:val="67A24F14"/>
    <w:rsid w:val="67BB4EAD"/>
    <w:rsid w:val="67C21093"/>
    <w:rsid w:val="67E453F6"/>
    <w:rsid w:val="67F130F8"/>
    <w:rsid w:val="67F84AFE"/>
    <w:rsid w:val="680878A3"/>
    <w:rsid w:val="68340476"/>
    <w:rsid w:val="683870E8"/>
    <w:rsid w:val="68457681"/>
    <w:rsid w:val="684977D5"/>
    <w:rsid w:val="68552C50"/>
    <w:rsid w:val="685D34E7"/>
    <w:rsid w:val="68A8123A"/>
    <w:rsid w:val="68B84F4C"/>
    <w:rsid w:val="69055229"/>
    <w:rsid w:val="69136AFB"/>
    <w:rsid w:val="6929374C"/>
    <w:rsid w:val="692F20BB"/>
    <w:rsid w:val="69784C3F"/>
    <w:rsid w:val="69C1095D"/>
    <w:rsid w:val="6A0138F7"/>
    <w:rsid w:val="6A1E155A"/>
    <w:rsid w:val="6A7B5447"/>
    <w:rsid w:val="6ADB012D"/>
    <w:rsid w:val="6AE3748E"/>
    <w:rsid w:val="6AF53FAE"/>
    <w:rsid w:val="6B1C3EC6"/>
    <w:rsid w:val="6B574638"/>
    <w:rsid w:val="6B615C8D"/>
    <w:rsid w:val="6B67068F"/>
    <w:rsid w:val="6B6E2E8D"/>
    <w:rsid w:val="6BAB6FBB"/>
    <w:rsid w:val="6BB568D4"/>
    <w:rsid w:val="6BDF79C7"/>
    <w:rsid w:val="6BE146ED"/>
    <w:rsid w:val="6C0B074D"/>
    <w:rsid w:val="6C1458EF"/>
    <w:rsid w:val="6C231806"/>
    <w:rsid w:val="6C275F8B"/>
    <w:rsid w:val="6C3B15FF"/>
    <w:rsid w:val="6C3B431E"/>
    <w:rsid w:val="6C3E5116"/>
    <w:rsid w:val="6C645915"/>
    <w:rsid w:val="6C725FD7"/>
    <w:rsid w:val="6C852D02"/>
    <w:rsid w:val="6CEA2C90"/>
    <w:rsid w:val="6CFA5C74"/>
    <w:rsid w:val="6CFE7F19"/>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31DE1"/>
    <w:rsid w:val="6E0E6A1E"/>
    <w:rsid w:val="6E2D763E"/>
    <w:rsid w:val="6E420FB1"/>
    <w:rsid w:val="6E95768E"/>
    <w:rsid w:val="6EA14900"/>
    <w:rsid w:val="6EB27AA3"/>
    <w:rsid w:val="6EBF7033"/>
    <w:rsid w:val="6EF9461D"/>
    <w:rsid w:val="6F1348E9"/>
    <w:rsid w:val="6F2A01FE"/>
    <w:rsid w:val="6F2A71A4"/>
    <w:rsid w:val="6F9415EA"/>
    <w:rsid w:val="6FB72F84"/>
    <w:rsid w:val="6FCA5E7C"/>
    <w:rsid w:val="6FE3419F"/>
    <w:rsid w:val="6FF778F1"/>
    <w:rsid w:val="700346D4"/>
    <w:rsid w:val="700972F0"/>
    <w:rsid w:val="70287F2C"/>
    <w:rsid w:val="7034623E"/>
    <w:rsid w:val="704B2A8C"/>
    <w:rsid w:val="70AF69EB"/>
    <w:rsid w:val="70F97D93"/>
    <w:rsid w:val="7114307C"/>
    <w:rsid w:val="71181113"/>
    <w:rsid w:val="711D7CA6"/>
    <w:rsid w:val="71227E63"/>
    <w:rsid w:val="714D493B"/>
    <w:rsid w:val="715D7E02"/>
    <w:rsid w:val="71614B6B"/>
    <w:rsid w:val="718D2905"/>
    <w:rsid w:val="719909D2"/>
    <w:rsid w:val="719B61D4"/>
    <w:rsid w:val="71A10922"/>
    <w:rsid w:val="71D214DD"/>
    <w:rsid w:val="71E8233A"/>
    <w:rsid w:val="72091DAA"/>
    <w:rsid w:val="72267D97"/>
    <w:rsid w:val="724E29D1"/>
    <w:rsid w:val="728564F5"/>
    <w:rsid w:val="72883404"/>
    <w:rsid w:val="728B7ACE"/>
    <w:rsid w:val="728E70EC"/>
    <w:rsid w:val="729701CD"/>
    <w:rsid w:val="72AB431D"/>
    <w:rsid w:val="72DA09BB"/>
    <w:rsid w:val="72E745EF"/>
    <w:rsid w:val="72E97FB0"/>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B1443"/>
    <w:rsid w:val="75CD3F16"/>
    <w:rsid w:val="75F635D3"/>
    <w:rsid w:val="76781DCD"/>
    <w:rsid w:val="76D84698"/>
    <w:rsid w:val="775865D7"/>
    <w:rsid w:val="775B4584"/>
    <w:rsid w:val="776234AF"/>
    <w:rsid w:val="776D12AE"/>
    <w:rsid w:val="77AD0FE0"/>
    <w:rsid w:val="77BE7384"/>
    <w:rsid w:val="78821B50"/>
    <w:rsid w:val="788E2A2A"/>
    <w:rsid w:val="78C52EE0"/>
    <w:rsid w:val="78D23C9C"/>
    <w:rsid w:val="78FB222D"/>
    <w:rsid w:val="7913610A"/>
    <w:rsid w:val="791A167A"/>
    <w:rsid w:val="794D119C"/>
    <w:rsid w:val="796B6F7E"/>
    <w:rsid w:val="79901688"/>
    <w:rsid w:val="79935707"/>
    <w:rsid w:val="799A2128"/>
    <w:rsid w:val="79C0552F"/>
    <w:rsid w:val="79C30D65"/>
    <w:rsid w:val="79CC3295"/>
    <w:rsid w:val="7A0B1561"/>
    <w:rsid w:val="7A25258A"/>
    <w:rsid w:val="7A276E13"/>
    <w:rsid w:val="7A2C646D"/>
    <w:rsid w:val="7A55546C"/>
    <w:rsid w:val="7A743686"/>
    <w:rsid w:val="7A781BD7"/>
    <w:rsid w:val="7A824E2E"/>
    <w:rsid w:val="7A9E7BE0"/>
    <w:rsid w:val="7AFF6437"/>
    <w:rsid w:val="7B021BF1"/>
    <w:rsid w:val="7B551604"/>
    <w:rsid w:val="7B9F2862"/>
    <w:rsid w:val="7BA9751C"/>
    <w:rsid w:val="7BAB44F6"/>
    <w:rsid w:val="7BB856C6"/>
    <w:rsid w:val="7BBB27D3"/>
    <w:rsid w:val="7BC24A45"/>
    <w:rsid w:val="7BD52A90"/>
    <w:rsid w:val="7C076616"/>
    <w:rsid w:val="7C0D60AB"/>
    <w:rsid w:val="7C295DFC"/>
    <w:rsid w:val="7C4B37FA"/>
    <w:rsid w:val="7C58255B"/>
    <w:rsid w:val="7C5B5FF8"/>
    <w:rsid w:val="7C7871E3"/>
    <w:rsid w:val="7C910DB6"/>
    <w:rsid w:val="7CF03F88"/>
    <w:rsid w:val="7CF73786"/>
    <w:rsid w:val="7D5E51C4"/>
    <w:rsid w:val="7D7525FB"/>
    <w:rsid w:val="7DC111D1"/>
    <w:rsid w:val="7DC43A43"/>
    <w:rsid w:val="7DC74225"/>
    <w:rsid w:val="7DDA69EF"/>
    <w:rsid w:val="7E54176C"/>
    <w:rsid w:val="7E6C26A2"/>
    <w:rsid w:val="7EB35583"/>
    <w:rsid w:val="7EB5276C"/>
    <w:rsid w:val="7EBC57D7"/>
    <w:rsid w:val="7ED0794B"/>
    <w:rsid w:val="7ED70A6F"/>
    <w:rsid w:val="7EE20D78"/>
    <w:rsid w:val="7F3206AA"/>
    <w:rsid w:val="7F5E6382"/>
    <w:rsid w:val="7F5F2553"/>
    <w:rsid w:val="7F6605BC"/>
    <w:rsid w:val="7F89742A"/>
    <w:rsid w:val="7F9B22D0"/>
    <w:rsid w:val="7F9F74D0"/>
    <w:rsid w:val="7FA200C0"/>
    <w:rsid w:val="7FA23B7F"/>
    <w:rsid w:val="7FBE60DA"/>
    <w:rsid w:val="7FBF3588"/>
    <w:rsid w:val="7FD710C7"/>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Char"/>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Char"/>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Char"/>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Char"/>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5D3BE-995E-49F5-8A01-4E9AD33F436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6861</Words>
  <Characters>39111</Characters>
  <Lines>325</Lines>
  <Paragraphs>91</Paragraphs>
  <TotalTime>5</TotalTime>
  <ScaleCrop>false</ScaleCrop>
  <LinksUpToDate>false</LinksUpToDate>
  <CharactersWithSpaces>45881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盼盼</cp:lastModifiedBy>
  <cp:lastPrinted>2019-09-01T07:55:00Z</cp:lastPrinted>
  <dcterms:modified xsi:type="dcterms:W3CDTF">2020-09-21T03:58:21Z</dcterms:modified>
  <dc:title>湖 北  招 标</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