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p>
    <w:p>
      <w:pPr>
        <w:kinsoku w:val="0"/>
        <w:overflowPunct w:val="0"/>
        <w:ind w:right="17"/>
        <w:jc w:val="center"/>
        <w:rPr>
          <w:rFonts w:asciiTheme="minorEastAsia" w:hAnsiTheme="minorEastAsia" w:eastAsiaTheme="minorEastAsia" w:cstheme="minorEastAsia"/>
          <w:sz w:val="28"/>
        </w:rPr>
      </w:pPr>
      <w:r>
        <w:rPr>
          <w:rFonts w:hint="eastAsia" w:asciiTheme="minorEastAsia" w:hAnsiTheme="minorEastAsia" w:eastAsiaTheme="minorEastAsia" w:cstheme="minorEastAsia"/>
          <w:sz w:val="28"/>
        </w:rPr>
        <w:br w:type="textWrapping"/>
      </w:r>
      <w:r>
        <w:rPr>
          <w:rFonts w:hint="eastAsia" w:asciiTheme="minorEastAsia" w:hAnsiTheme="minorEastAsia" w:eastAsiaTheme="minorEastAsia" w:cstheme="minorEastAsia"/>
          <w:sz w:val="28"/>
        </w:rPr>
        <w:br w:type="textWrapping"/>
      </w:r>
    </w:p>
    <w:p>
      <w:pPr>
        <w:pStyle w:val="10"/>
        <w:kinsoku w:val="0"/>
        <w:overflowPunct w:val="0"/>
        <w:spacing w:before="194"/>
        <w:jc w:val="center"/>
        <w:rPr>
          <w:rFonts w:asciiTheme="minorEastAsia" w:hAnsiTheme="minorEastAsia" w:eastAsiaTheme="minorEastAsia" w:cstheme="minorEastAsia"/>
          <w:sz w:val="92"/>
        </w:rPr>
      </w:pPr>
      <w:r>
        <w:rPr>
          <w:rFonts w:hint="eastAsia" w:asciiTheme="minorEastAsia" w:hAnsiTheme="minorEastAsia" w:eastAsiaTheme="minorEastAsia" w:cstheme="minorEastAsia"/>
          <w:sz w:val="92"/>
        </w:rPr>
        <w:t>竞争性磋商采购文件</w:t>
      </w: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2" w:after="1"/>
        <w:rPr>
          <w:rFonts w:asciiTheme="minorEastAsia" w:hAnsiTheme="minorEastAsia" w:eastAsiaTheme="minorEastAsia" w:cstheme="minorEastAsia"/>
          <w:sz w:val="11"/>
        </w:rPr>
      </w:pPr>
    </w:p>
    <w:tbl>
      <w:tblPr>
        <w:tblStyle w:val="26"/>
        <w:tblW w:w="8146" w:type="dxa"/>
        <w:tblInd w:w="690" w:type="dxa"/>
        <w:tblLayout w:type="fixed"/>
        <w:tblCellMar>
          <w:top w:w="0" w:type="dxa"/>
          <w:left w:w="0" w:type="dxa"/>
          <w:bottom w:w="0" w:type="dxa"/>
          <w:right w:w="0" w:type="dxa"/>
        </w:tblCellMar>
      </w:tblPr>
      <w:tblGrid>
        <w:gridCol w:w="2093"/>
        <w:gridCol w:w="6053"/>
      </w:tblGrid>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102"/>
              <w:kinsoku w:val="0"/>
              <w:overflowPunct w:val="0"/>
              <w:spacing w:before="122"/>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项目编号：</w:t>
            </w:r>
          </w:p>
        </w:tc>
        <w:tc>
          <w:tcPr>
            <w:tcW w:w="6053" w:type="dxa"/>
            <w:tcBorders>
              <w:top w:val="nil"/>
              <w:left w:val="nil"/>
              <w:bottom w:val="nil"/>
              <w:right w:val="nil"/>
              <w:tl2br w:val="nil"/>
              <w:tr2bl w:val="nil"/>
            </w:tcBorders>
            <w:vAlign w:val="center"/>
          </w:tcPr>
          <w:p>
            <w:pPr>
              <w:pStyle w:val="102"/>
              <w:kinsoku w:val="0"/>
              <w:overflowPunct w:val="0"/>
              <w:spacing w:before="122"/>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ZJZB-ZC-202008-240</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102"/>
              <w:kinsoku w:val="0"/>
              <w:overflowPunct w:val="0"/>
              <w:spacing w:before="123"/>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项目名称：</w:t>
            </w:r>
          </w:p>
        </w:tc>
        <w:tc>
          <w:tcPr>
            <w:tcW w:w="6053" w:type="dxa"/>
            <w:tcBorders>
              <w:top w:val="nil"/>
              <w:left w:val="nil"/>
              <w:bottom w:val="nil"/>
              <w:right w:val="nil"/>
              <w:tl2br w:val="nil"/>
              <w:tr2bl w:val="nil"/>
            </w:tcBorders>
            <w:vAlign w:val="center"/>
          </w:tcPr>
          <w:p>
            <w:pPr>
              <w:pStyle w:val="102"/>
              <w:kinsoku w:val="0"/>
              <w:overflowPunct w:val="0"/>
              <w:spacing w:before="123" w:line="242" w:lineRule="auto"/>
              <w:ind w:left="55" w:right="136"/>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华中师范大学2020-2023年非学历培训学员住宿协议供应商遴选采购项目</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102"/>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采购方式：</w:t>
            </w:r>
          </w:p>
        </w:tc>
        <w:tc>
          <w:tcPr>
            <w:tcW w:w="6053" w:type="dxa"/>
            <w:tcBorders>
              <w:top w:val="nil"/>
              <w:left w:val="nil"/>
              <w:bottom w:val="nil"/>
              <w:right w:val="nil"/>
              <w:tl2br w:val="nil"/>
              <w:tr2bl w:val="nil"/>
            </w:tcBorders>
            <w:vAlign w:val="center"/>
          </w:tcPr>
          <w:p>
            <w:pPr>
              <w:pStyle w:val="102"/>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102"/>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采购类别：</w:t>
            </w:r>
          </w:p>
        </w:tc>
        <w:tc>
          <w:tcPr>
            <w:tcW w:w="6053" w:type="dxa"/>
            <w:tcBorders>
              <w:top w:val="nil"/>
              <w:left w:val="nil"/>
              <w:bottom w:val="nil"/>
              <w:right w:val="nil"/>
              <w:tl2br w:val="nil"/>
              <w:tr2bl w:val="nil"/>
            </w:tcBorders>
            <w:vAlign w:val="center"/>
          </w:tcPr>
          <w:p>
            <w:pPr>
              <w:pStyle w:val="102"/>
              <w:kinsoku w:val="0"/>
              <w:overflowPunct w:val="0"/>
              <w:spacing w:before="122" w:line="299" w:lineRule="exact"/>
              <w:ind w:left="55"/>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服务</w:t>
            </w:r>
          </w:p>
        </w:tc>
      </w:tr>
    </w:tbl>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rPr>
          <w:rFonts w:asciiTheme="minorEastAsia" w:hAnsiTheme="minorEastAsia" w:eastAsiaTheme="minorEastAsia" w:cstheme="minorEastAsia"/>
          <w:sz w:val="20"/>
        </w:rPr>
      </w:pPr>
    </w:p>
    <w:p>
      <w:pPr>
        <w:pStyle w:val="10"/>
        <w:kinsoku w:val="0"/>
        <w:overflowPunct w:val="0"/>
        <w:spacing w:before="4"/>
        <w:rPr>
          <w:rFonts w:asciiTheme="minorEastAsia" w:hAnsiTheme="minorEastAsia" w:eastAsiaTheme="minorEastAsia" w:cstheme="minorEastAsia"/>
          <w:sz w:val="20"/>
        </w:rPr>
      </w:pPr>
    </w:p>
    <w:tbl>
      <w:tblPr>
        <w:tblStyle w:val="26"/>
        <w:tblW w:w="8123" w:type="dxa"/>
        <w:tblInd w:w="713" w:type="dxa"/>
        <w:tblLayout w:type="fixed"/>
        <w:tblCellMar>
          <w:top w:w="0" w:type="dxa"/>
          <w:left w:w="0" w:type="dxa"/>
          <w:bottom w:w="0" w:type="dxa"/>
          <w:right w:w="0" w:type="dxa"/>
        </w:tblCellMar>
      </w:tblPr>
      <w:tblGrid>
        <w:gridCol w:w="2041"/>
        <w:gridCol w:w="6082"/>
      </w:tblGrid>
      <w:tr>
        <w:tblPrEx>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102"/>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采购人：</w:t>
            </w:r>
          </w:p>
        </w:tc>
        <w:tc>
          <w:tcPr>
            <w:tcW w:w="6082" w:type="dxa"/>
            <w:tcBorders>
              <w:top w:val="nil"/>
              <w:left w:val="nil"/>
              <w:bottom w:val="nil"/>
              <w:right w:val="nil"/>
              <w:tl2br w:val="nil"/>
              <w:tr2bl w:val="nil"/>
            </w:tcBorders>
            <w:vAlign w:val="center"/>
          </w:tcPr>
          <w:p>
            <w:pPr>
              <w:pStyle w:val="102"/>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华中师范大学</w:t>
            </w:r>
          </w:p>
        </w:tc>
      </w:tr>
      <w:tr>
        <w:tblPrEx>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102"/>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采购代理机构：</w:t>
            </w:r>
          </w:p>
        </w:tc>
        <w:tc>
          <w:tcPr>
            <w:tcW w:w="6082" w:type="dxa"/>
            <w:tcBorders>
              <w:top w:val="nil"/>
              <w:left w:val="nil"/>
              <w:bottom w:val="nil"/>
              <w:right w:val="nil"/>
              <w:tl2br w:val="nil"/>
              <w:tr2bl w:val="nil"/>
            </w:tcBorders>
            <w:vAlign w:val="center"/>
          </w:tcPr>
          <w:p>
            <w:pPr>
              <w:pStyle w:val="102"/>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中经国际招标集团有限公司</w:t>
            </w:r>
          </w:p>
        </w:tc>
      </w:tr>
      <w:tr>
        <w:tblPrEx>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102"/>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编制时间：</w:t>
            </w:r>
          </w:p>
        </w:tc>
        <w:tc>
          <w:tcPr>
            <w:tcW w:w="6082" w:type="dxa"/>
            <w:tcBorders>
              <w:top w:val="nil"/>
              <w:left w:val="nil"/>
              <w:bottom w:val="nil"/>
              <w:right w:val="nil"/>
              <w:tl2br w:val="nil"/>
              <w:tr2bl w:val="nil"/>
            </w:tcBorders>
            <w:vAlign w:val="center"/>
          </w:tcPr>
          <w:p>
            <w:pPr>
              <w:pStyle w:val="102"/>
              <w:kinsoku w:val="0"/>
              <w:overflowPunct w:val="0"/>
              <w:spacing w:before="122" w:line="299" w:lineRule="exact"/>
              <w:ind w:right="53"/>
              <w:rPr>
                <w:rFonts w:hint="default" w:asciiTheme="minorEastAsia" w:hAnsiTheme="minorEastAsia" w:eastAsiaTheme="minorEastAsia" w:cstheme="minorEastAsia"/>
                <w:b/>
                <w:sz w:val="28"/>
              </w:rPr>
            </w:pPr>
            <w:r>
              <w:rPr>
                <w:rFonts w:asciiTheme="minorEastAsia" w:hAnsiTheme="minorEastAsia" w:eastAsiaTheme="minorEastAsia" w:cstheme="minorEastAsia"/>
                <w:b/>
                <w:sz w:val="28"/>
              </w:rPr>
              <w:t>2020年8月</w:t>
            </w:r>
          </w:p>
        </w:tc>
      </w:tr>
    </w:tbl>
    <w:p>
      <w:pPr>
        <w:rPr>
          <w:rFonts w:asciiTheme="minorEastAsia" w:hAnsiTheme="minorEastAsia" w:eastAsiaTheme="minorEastAsia" w:cstheme="minorEastAsia"/>
          <w:sz w:val="20"/>
        </w:rPr>
        <w:sectPr>
          <w:type w:val="continuous"/>
          <w:pgSz w:w="11910" w:h="16840"/>
          <w:pgMar w:top="1400" w:right="1200" w:bottom="280" w:left="1200" w:header="720" w:footer="720" w:gutter="0"/>
          <w:cols w:space="720" w:num="1"/>
        </w:sectPr>
      </w:pPr>
    </w:p>
    <w:p>
      <w:pPr>
        <w:jc w:val="center"/>
        <w:rPr>
          <w:rFonts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目录</w:t>
      </w:r>
    </w:p>
    <w:p>
      <w:pPr>
        <w:jc w:val="center"/>
        <w:rPr>
          <w:rFonts w:asciiTheme="minorEastAsia" w:hAnsiTheme="minorEastAsia" w:eastAsiaTheme="minorEastAsia" w:cstheme="minorEastAsia"/>
          <w:b/>
          <w:bCs/>
          <w:szCs w:val="21"/>
          <w:lang w:val="zh-CN"/>
        </w:rPr>
      </w:pPr>
    </w:p>
    <w:p>
      <w:pPr>
        <w:pStyle w:val="20"/>
        <w:tabs>
          <w:tab w:val="right" w:leader="dot" w:pos="9072"/>
        </w:tabs>
        <w:rPr>
          <w:rFonts w:ascii="宋体" w:hAnsi="宋体" w:cs="宋体"/>
        </w:rPr>
      </w:pPr>
      <w:r>
        <w:rPr>
          <w:rFonts w:hint="eastAsia" w:ascii="宋体" w:hAnsi="宋体" w:cs="宋体"/>
          <w:sz w:val="24"/>
        </w:rPr>
        <w:fldChar w:fldCharType="begin"/>
      </w:r>
      <w:r>
        <w:rPr>
          <w:rFonts w:hint="eastAsia" w:ascii="宋体" w:hAnsi="宋体" w:cs="宋体"/>
          <w:sz w:val="24"/>
        </w:rPr>
        <w:instrText xml:space="preserve"> TOC \o "1-3" \h \z \u </w:instrText>
      </w:r>
      <w:r>
        <w:rPr>
          <w:rFonts w:hint="eastAsia" w:ascii="宋体" w:hAnsi="宋体" w:cs="宋体"/>
          <w:sz w:val="24"/>
        </w:rPr>
        <w:fldChar w:fldCharType="separate"/>
      </w:r>
      <w:r>
        <w:fldChar w:fldCharType="begin"/>
      </w:r>
      <w:r>
        <w:instrText xml:space="preserve"> HYPERLINK \l "_Toc5561" </w:instrText>
      </w:r>
      <w:r>
        <w:fldChar w:fldCharType="separate"/>
      </w:r>
      <w:r>
        <w:rPr>
          <w:rFonts w:hint="eastAsia" w:ascii="宋体" w:hAnsi="宋体" w:cs="宋体"/>
          <w:bCs/>
          <w:szCs w:val="36"/>
        </w:rPr>
        <w:t>第一章</w:t>
      </w:r>
      <w:r>
        <w:rPr>
          <w:rFonts w:hint="eastAsia" w:ascii="宋体" w:hAnsi="宋体" w:cs="宋体"/>
          <w:szCs w:val="36"/>
        </w:rPr>
        <w:t>竞争性磋商公告</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_Toc5561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"_Toc6699" </w:instrText>
      </w:r>
      <w:r>
        <w:fldChar w:fldCharType="separate"/>
      </w:r>
      <w:r>
        <w:rPr>
          <w:rFonts w:hint="eastAsia" w:ascii="宋体" w:hAnsi="宋体" w:cs="宋体"/>
          <w:szCs w:val="21"/>
        </w:rPr>
        <w:t>一、项目基本情况</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_Toc6699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"_Toc310" </w:instrText>
      </w:r>
      <w:r>
        <w:fldChar w:fldCharType="separate"/>
      </w:r>
      <w:r>
        <w:rPr>
          <w:rFonts w:hint="eastAsia" w:ascii="宋体" w:hAnsi="宋体" w:cs="宋体"/>
          <w:szCs w:val="21"/>
        </w:rPr>
        <w:t>二、申请人的资格要求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_Toc310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"_Toc3682" </w:instrText>
      </w:r>
      <w:r>
        <w:fldChar w:fldCharType="separate"/>
      </w:r>
      <w:r>
        <w:rPr>
          <w:rFonts w:hint="eastAsia" w:ascii="宋体" w:hAnsi="宋体" w:cs="宋体"/>
          <w:szCs w:val="21"/>
        </w:rPr>
        <w:t>三、获取采购文件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_Toc3682 </w:instrText>
      </w:r>
      <w:r>
        <w:rPr>
          <w:rFonts w:hint="eastAsia" w:ascii="宋体" w:hAnsi="宋体" w:cs="宋体"/>
        </w:rPr>
        <w:fldChar w:fldCharType="separate"/>
      </w:r>
      <w:r>
        <w:rPr>
          <w:rFonts w:hint="eastAsia" w:ascii="宋体" w:hAnsi="宋体" w:cs="宋体"/>
        </w:rPr>
        <w:t>5</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"_Toc424" </w:instrText>
      </w:r>
      <w:r>
        <w:fldChar w:fldCharType="separate"/>
      </w:r>
      <w:r>
        <w:rPr>
          <w:rFonts w:hint="eastAsia" w:ascii="宋体" w:hAnsi="宋体" w:cs="宋体"/>
          <w:szCs w:val="21"/>
        </w:rPr>
        <w:t>四、响应文件提交</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_Toc424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"_Toc29287" </w:instrText>
      </w:r>
      <w:r>
        <w:fldChar w:fldCharType="separate"/>
      </w:r>
      <w:r>
        <w:rPr>
          <w:rFonts w:hint="eastAsia" w:ascii="宋体" w:hAnsi="宋体" w:cs="宋体"/>
          <w:szCs w:val="21"/>
        </w:rPr>
        <w:t>五、开启</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_Toc29287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"_Toc12197" </w:instrText>
      </w:r>
      <w:r>
        <w:fldChar w:fldCharType="separate"/>
      </w:r>
      <w:r>
        <w:rPr>
          <w:rFonts w:hint="eastAsia" w:ascii="宋体" w:hAnsi="宋体" w:cs="宋体"/>
          <w:szCs w:val="21"/>
        </w:rPr>
        <w:t>六、公告期限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_Toc12197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"_Toc15340" </w:instrText>
      </w:r>
      <w:r>
        <w:fldChar w:fldCharType="separate"/>
      </w:r>
      <w:r>
        <w:rPr>
          <w:rFonts w:hint="eastAsia" w:ascii="宋体" w:hAnsi="宋体" w:cs="宋体"/>
          <w:szCs w:val="21"/>
        </w:rPr>
        <w:t>七、其他补充事宜</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_Toc15340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"_Toc13247" </w:instrText>
      </w:r>
      <w:r>
        <w:fldChar w:fldCharType="separate"/>
      </w:r>
      <w:r>
        <w:rPr>
          <w:rFonts w:hint="eastAsia" w:ascii="宋体" w:hAnsi="宋体" w:cs="宋体"/>
          <w:szCs w:val="21"/>
        </w:rPr>
        <w:t>八、凡对本次采购提出询问，请按以下方式联系</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_Toc13247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"_Toc31804" </w:instrText>
      </w:r>
      <w:r>
        <w:fldChar w:fldCharType="separate"/>
      </w:r>
      <w:r>
        <w:rPr>
          <w:rFonts w:hint="eastAsia" w:ascii="宋体" w:hAnsi="宋体" w:cs="宋体"/>
          <w:szCs w:val="21"/>
        </w:rPr>
        <w:t>九、注意事项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_Toc31804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20"/>
        <w:tabs>
          <w:tab w:val="right" w:leader="dot" w:pos="9072"/>
        </w:tabs>
        <w:rPr>
          <w:rFonts w:ascii="宋体" w:hAnsi="宋体" w:cs="宋体"/>
        </w:rPr>
      </w:pPr>
      <w:r>
        <w:fldChar w:fldCharType="begin"/>
      </w:r>
      <w:r>
        <w:instrText xml:space="preserve"> HYPERLINK \l "_Toc16661" </w:instrText>
      </w:r>
      <w:r>
        <w:fldChar w:fldCharType="separate"/>
      </w:r>
      <w:r>
        <w:rPr>
          <w:rFonts w:hint="eastAsia" w:ascii="宋体" w:hAnsi="宋体" w:cs="宋体"/>
          <w:szCs w:val="36"/>
        </w:rPr>
        <w:t>第二章供应商须知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_Toc16661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"_Toc19727" </w:instrText>
      </w:r>
      <w:r>
        <w:fldChar w:fldCharType="separate"/>
      </w:r>
      <w:r>
        <w:rPr>
          <w:rFonts w:hint="eastAsia" w:ascii="宋体" w:hAnsi="宋体" w:cs="宋体"/>
          <w:szCs w:val="21"/>
        </w:rPr>
        <w:t>《供应商须知前附表》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_Toc19727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"_Toc14659" </w:instrText>
      </w:r>
      <w:r>
        <w:fldChar w:fldCharType="separate"/>
      </w:r>
      <w:r>
        <w:rPr>
          <w:rFonts w:hint="eastAsia" w:ascii="宋体" w:hAnsi="宋体" w:cs="宋体"/>
          <w:szCs w:val="21"/>
        </w:rPr>
        <w:t>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_Toc14659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"_Toc9516" </w:instrText>
      </w:r>
      <w:r>
        <w:fldChar w:fldCharType="separate"/>
      </w:r>
      <w:r>
        <w:rPr>
          <w:rFonts w:hint="eastAsia" w:ascii="宋体" w:hAnsi="宋体" w:cs="宋体"/>
          <w:szCs w:val="21"/>
        </w:rPr>
        <w:t>一、总则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_Toc9516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"_Toc27922" </w:instrText>
      </w:r>
      <w:r>
        <w:fldChar w:fldCharType="separate"/>
      </w:r>
      <w:r>
        <w:rPr>
          <w:rFonts w:hint="eastAsia" w:ascii="宋体" w:hAnsi="宋体" w:cs="宋体"/>
          <w:szCs w:val="21"/>
        </w:rPr>
        <w:t>1、适用法律及范围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_Toc27922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"_Toc23281" </w:instrText>
      </w:r>
      <w:r>
        <w:fldChar w:fldCharType="separate"/>
      </w:r>
      <w:r>
        <w:rPr>
          <w:rFonts w:hint="eastAsia" w:ascii="宋体" w:hAnsi="宋体" w:cs="宋体"/>
          <w:szCs w:val="21"/>
        </w:rPr>
        <w:t>2、定义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_Toc23281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"_Toc18256" </w:instrText>
      </w:r>
      <w:r>
        <w:fldChar w:fldCharType="separate"/>
      </w:r>
      <w:r>
        <w:rPr>
          <w:rFonts w:hint="eastAsia" w:ascii="宋体" w:hAnsi="宋体" w:cs="宋体"/>
          <w:szCs w:val="21"/>
        </w:rPr>
        <w:t>3、</w:t>
      </w:r>
      <w:r>
        <w:rPr>
          <w:rFonts w:hint="eastAsia" w:ascii="宋体" w:hAnsi="宋体" w:cs="宋体"/>
          <w:snapToGrid w:val="0"/>
          <w:kern w:val="0"/>
          <w:szCs w:val="21"/>
          <w:lang w:val="zh-CN"/>
        </w:rPr>
        <w:t>工程、货物及服务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_Toc18256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"_Toc3124" </w:instrText>
      </w:r>
      <w:r>
        <w:fldChar w:fldCharType="separate"/>
      </w:r>
      <w:r>
        <w:rPr>
          <w:rFonts w:hint="eastAsia" w:ascii="宋体" w:hAnsi="宋体" w:cs="宋体"/>
          <w:szCs w:val="21"/>
        </w:rPr>
        <w:t>4、费用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_Toc3124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"_Toc23476" </w:instrText>
      </w:r>
      <w:r>
        <w:fldChar w:fldCharType="separate"/>
      </w:r>
      <w:r>
        <w:rPr>
          <w:rFonts w:hint="eastAsia" w:ascii="宋体" w:hAnsi="宋体" w:cs="宋体"/>
          <w:szCs w:val="21"/>
        </w:rPr>
        <w:t>二、竞争性磋商采购文件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_Toc23476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"_Toc7711" </w:instrText>
      </w:r>
      <w:r>
        <w:fldChar w:fldCharType="separate"/>
      </w:r>
      <w:r>
        <w:rPr>
          <w:rFonts w:hint="eastAsia" w:ascii="宋体" w:hAnsi="宋体" w:cs="宋体"/>
          <w:szCs w:val="21"/>
        </w:rPr>
        <w:t>5、竞争性磋商采购文件的构成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_Toc7711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"_Toc25034" </w:instrText>
      </w:r>
      <w:r>
        <w:fldChar w:fldCharType="separate"/>
      </w:r>
      <w:r>
        <w:rPr>
          <w:rFonts w:hint="eastAsia" w:ascii="宋体" w:hAnsi="宋体" w:cs="宋体"/>
          <w:snapToGrid w:val="0"/>
          <w:kern w:val="0"/>
          <w:szCs w:val="21"/>
          <w:lang w:val="zh-CN"/>
        </w:rPr>
        <w:t>6、竞争性磋商采购文件的澄清</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_Toc25034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"_Toc23795" </w:instrText>
      </w:r>
      <w:r>
        <w:fldChar w:fldCharType="separate"/>
      </w:r>
      <w:r>
        <w:rPr>
          <w:rFonts w:hint="eastAsia" w:ascii="宋体" w:hAnsi="宋体" w:cs="宋体"/>
          <w:snapToGrid w:val="0"/>
          <w:kern w:val="0"/>
          <w:szCs w:val="21"/>
          <w:lang w:val="zh-CN"/>
        </w:rPr>
        <w:t>7、竞争性磋商采购文件的修改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_Toc23795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"_Toc9259" </w:instrText>
      </w:r>
      <w:r>
        <w:fldChar w:fldCharType="separate"/>
      </w:r>
      <w:r>
        <w:rPr>
          <w:rFonts w:hint="eastAsia" w:ascii="宋体" w:hAnsi="宋体" w:cs="宋体"/>
          <w:szCs w:val="21"/>
        </w:rPr>
        <w:t>三、竞争性磋商响应文件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_Toc9259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"_Toc17108" </w:instrText>
      </w:r>
      <w:r>
        <w:fldChar w:fldCharType="separate"/>
      </w:r>
      <w:r>
        <w:rPr>
          <w:rFonts w:hint="eastAsia" w:ascii="宋体" w:hAnsi="宋体" w:cs="宋体"/>
          <w:snapToGrid w:val="0"/>
          <w:kern w:val="0"/>
          <w:szCs w:val="21"/>
          <w:lang w:val="zh-CN"/>
        </w:rPr>
        <w:t>8、语言和计量单位</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_Toc17108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"_Toc28309" </w:instrText>
      </w:r>
      <w:r>
        <w:fldChar w:fldCharType="separate"/>
      </w:r>
      <w:r>
        <w:rPr>
          <w:rFonts w:hint="eastAsia" w:ascii="宋体" w:hAnsi="宋体" w:cs="宋体"/>
          <w:snapToGrid w:val="0"/>
          <w:kern w:val="0"/>
          <w:szCs w:val="21"/>
          <w:lang w:val="zh-CN"/>
        </w:rPr>
        <w:t>9、竞争性磋商响应文件的构成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_Toc28309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"_Toc26127" </w:instrText>
      </w:r>
      <w:r>
        <w:fldChar w:fldCharType="separate"/>
      </w:r>
      <w:r>
        <w:rPr>
          <w:rFonts w:hint="eastAsia" w:ascii="宋体" w:hAnsi="宋体" w:cs="宋体"/>
          <w:snapToGrid w:val="0"/>
          <w:kern w:val="0"/>
          <w:szCs w:val="21"/>
          <w:lang w:val="zh-CN"/>
        </w:rPr>
        <w:t>10、竞争性磋商响应文件的编制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_Toc26127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"_Toc6556" </w:instrText>
      </w:r>
      <w:r>
        <w:fldChar w:fldCharType="separate"/>
      </w:r>
      <w:r>
        <w:rPr>
          <w:rFonts w:hint="eastAsia" w:ascii="宋体" w:hAnsi="宋体" w:cs="宋体"/>
          <w:snapToGrid w:val="0"/>
          <w:kern w:val="0"/>
          <w:szCs w:val="21"/>
          <w:lang w:val="zh-CN"/>
        </w:rPr>
        <w:t>11、磋商报价</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_Toc6556 </w:instrText>
      </w:r>
      <w:r>
        <w:rPr>
          <w:rFonts w:hint="eastAsia" w:ascii="宋体" w:hAnsi="宋体" w:cs="宋体"/>
        </w:rPr>
        <w:fldChar w:fldCharType="separate"/>
      </w:r>
      <w:r>
        <w:rPr>
          <w:rFonts w:hint="eastAsia" w:ascii="宋体" w:hAnsi="宋体" w:cs="宋体"/>
        </w:rPr>
        <w:t>16</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"_Toc21113" </w:instrText>
      </w:r>
      <w:r>
        <w:fldChar w:fldCharType="separate"/>
      </w:r>
      <w:r>
        <w:rPr>
          <w:rFonts w:hint="eastAsia" w:ascii="宋体" w:hAnsi="宋体" w:cs="宋体"/>
          <w:snapToGrid w:val="0"/>
          <w:kern w:val="0"/>
          <w:szCs w:val="21"/>
          <w:lang w:val="zh-CN"/>
        </w:rPr>
        <w:t>12、备选方案</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_Toc21113 </w:instrText>
      </w:r>
      <w:r>
        <w:rPr>
          <w:rFonts w:hint="eastAsia" w:ascii="宋体" w:hAnsi="宋体" w:cs="宋体"/>
        </w:rPr>
        <w:fldChar w:fldCharType="separate"/>
      </w:r>
      <w:r>
        <w:rPr>
          <w:rFonts w:hint="eastAsia" w:ascii="宋体" w:hAnsi="宋体" w:cs="宋体"/>
        </w:rPr>
        <w:t>16</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"_Toc2313" </w:instrText>
      </w:r>
      <w:r>
        <w:fldChar w:fldCharType="separate"/>
      </w:r>
      <w:r>
        <w:rPr>
          <w:rFonts w:hint="eastAsia" w:ascii="宋体" w:hAnsi="宋体" w:cs="宋体"/>
          <w:snapToGrid w:val="0"/>
          <w:kern w:val="0"/>
          <w:szCs w:val="21"/>
          <w:lang w:val="zh-CN"/>
        </w:rPr>
        <w:t>13、联合体</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_Toc2313 </w:instrText>
      </w:r>
      <w:r>
        <w:rPr>
          <w:rFonts w:hint="eastAsia" w:ascii="宋体" w:hAnsi="宋体" w:cs="宋体"/>
        </w:rPr>
        <w:fldChar w:fldCharType="separate"/>
      </w:r>
      <w:r>
        <w:rPr>
          <w:rFonts w:hint="eastAsia" w:ascii="宋体" w:hAnsi="宋体" w:cs="宋体"/>
        </w:rPr>
        <w:t>16</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"_Toc28373" </w:instrText>
      </w:r>
      <w:r>
        <w:fldChar w:fldCharType="separate"/>
      </w:r>
      <w:r>
        <w:rPr>
          <w:rFonts w:hint="eastAsia" w:ascii="宋体" w:hAnsi="宋体" w:cs="宋体"/>
          <w:snapToGrid w:val="0"/>
          <w:kern w:val="0"/>
          <w:szCs w:val="21"/>
          <w:lang w:val="zh-CN"/>
        </w:rPr>
        <w:t>14、供应商资格证明文件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_Toc28373 </w:instrText>
      </w:r>
      <w:r>
        <w:rPr>
          <w:rFonts w:hint="eastAsia" w:ascii="宋体" w:hAnsi="宋体" w:cs="宋体"/>
        </w:rPr>
        <w:fldChar w:fldCharType="separate"/>
      </w:r>
      <w:r>
        <w:rPr>
          <w:rFonts w:hint="eastAsia" w:ascii="宋体" w:hAnsi="宋体" w:cs="宋体"/>
        </w:rPr>
        <w:t>16</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"_Toc23084" </w:instrText>
      </w:r>
      <w:r>
        <w:fldChar w:fldCharType="separate"/>
      </w:r>
      <w:r>
        <w:rPr>
          <w:rFonts w:hint="eastAsia" w:ascii="宋体" w:hAnsi="宋体" w:cs="宋体"/>
          <w:snapToGrid w:val="0"/>
          <w:kern w:val="0"/>
          <w:szCs w:val="21"/>
          <w:lang w:val="zh-CN"/>
        </w:rPr>
        <w:t>15、证明报价内容、服务合格性和符合竞争性磋商采购文件规定的文件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_Toc23084 </w:instrText>
      </w:r>
      <w:r>
        <w:rPr>
          <w:rFonts w:hint="eastAsia" w:ascii="宋体" w:hAnsi="宋体" w:cs="宋体"/>
        </w:rPr>
        <w:fldChar w:fldCharType="separate"/>
      </w:r>
      <w:r>
        <w:rPr>
          <w:rFonts w:hint="eastAsia" w:ascii="宋体" w:hAnsi="宋体" w:cs="宋体"/>
        </w:rPr>
        <w:t>17</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"_Toc22120" </w:instrText>
      </w:r>
      <w:r>
        <w:fldChar w:fldCharType="separate"/>
      </w:r>
      <w:r>
        <w:rPr>
          <w:rFonts w:hint="eastAsia" w:ascii="宋体" w:hAnsi="宋体" w:cs="宋体"/>
          <w:snapToGrid w:val="0"/>
          <w:kern w:val="0"/>
          <w:szCs w:val="21"/>
          <w:lang w:val="zh-CN"/>
        </w:rPr>
        <w:t>16、磋商保证金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_Toc22120 </w:instrText>
      </w:r>
      <w:r>
        <w:rPr>
          <w:rFonts w:hint="eastAsia" w:ascii="宋体" w:hAnsi="宋体" w:cs="宋体"/>
        </w:rPr>
        <w:fldChar w:fldCharType="separate"/>
      </w:r>
      <w:r>
        <w:rPr>
          <w:rFonts w:hint="eastAsia" w:ascii="宋体" w:hAnsi="宋体" w:cs="宋体"/>
        </w:rPr>
        <w:t>17</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"_Toc10656" </w:instrText>
      </w:r>
      <w:r>
        <w:fldChar w:fldCharType="separate"/>
      </w:r>
      <w:r>
        <w:rPr>
          <w:rFonts w:hint="eastAsia" w:ascii="宋体" w:hAnsi="宋体" w:cs="宋体"/>
          <w:snapToGrid w:val="0"/>
          <w:kern w:val="0"/>
          <w:szCs w:val="21"/>
          <w:lang w:val="zh-CN"/>
        </w:rPr>
        <w:t>17、磋商有效期</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_Toc10656 </w:instrText>
      </w:r>
      <w:r>
        <w:rPr>
          <w:rFonts w:hint="eastAsia" w:ascii="宋体" w:hAnsi="宋体" w:cs="宋体"/>
        </w:rPr>
        <w:fldChar w:fldCharType="separate"/>
      </w:r>
      <w:r>
        <w:rPr>
          <w:rFonts w:hint="eastAsia" w:ascii="宋体" w:hAnsi="宋体" w:cs="宋体"/>
        </w:rPr>
        <w:t>17</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"_Toc4127" </w:instrText>
      </w:r>
      <w:r>
        <w:fldChar w:fldCharType="separate"/>
      </w:r>
      <w:r>
        <w:rPr>
          <w:rFonts w:hint="eastAsia" w:ascii="宋体" w:hAnsi="宋体" w:cs="宋体"/>
          <w:snapToGrid w:val="0"/>
          <w:kern w:val="0"/>
          <w:szCs w:val="21"/>
          <w:lang w:val="zh-CN"/>
        </w:rPr>
        <w:t>18、竞争性磋商响应文件的装订、签署和数量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_Toc4127 </w:instrText>
      </w:r>
      <w:r>
        <w:rPr>
          <w:rFonts w:hint="eastAsia" w:ascii="宋体" w:hAnsi="宋体" w:cs="宋体"/>
        </w:rPr>
        <w:fldChar w:fldCharType="separate"/>
      </w:r>
      <w:r>
        <w:rPr>
          <w:rFonts w:hint="eastAsia" w:ascii="宋体" w:hAnsi="宋体" w:cs="宋体"/>
        </w:rPr>
        <w:t>18</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"_Toc21594" </w:instrText>
      </w:r>
      <w:r>
        <w:fldChar w:fldCharType="separate"/>
      </w:r>
      <w:r>
        <w:rPr>
          <w:rFonts w:hint="eastAsia" w:ascii="宋体" w:hAnsi="宋体" w:cs="宋体"/>
          <w:szCs w:val="21"/>
        </w:rPr>
        <w:t>四、竞争性磋商响应文件的递交</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_Toc21594 </w:instrText>
      </w:r>
      <w:r>
        <w:rPr>
          <w:rFonts w:hint="eastAsia" w:ascii="宋体" w:hAnsi="宋体" w:cs="宋体"/>
        </w:rPr>
        <w:fldChar w:fldCharType="separate"/>
      </w:r>
      <w:r>
        <w:rPr>
          <w:rFonts w:hint="eastAsia" w:ascii="宋体" w:hAnsi="宋体" w:cs="宋体"/>
        </w:rPr>
        <w:t>18</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"_Toc6133" </w:instrText>
      </w:r>
      <w:r>
        <w:fldChar w:fldCharType="separate"/>
      </w:r>
      <w:r>
        <w:rPr>
          <w:rFonts w:hint="eastAsia" w:ascii="宋体" w:hAnsi="宋体" w:cs="宋体"/>
          <w:snapToGrid w:val="0"/>
          <w:kern w:val="0"/>
          <w:szCs w:val="21"/>
          <w:lang w:val="zh-CN"/>
        </w:rPr>
        <w:t>19、</w:t>
      </w:r>
      <w:r>
        <w:rPr>
          <w:rFonts w:hint="eastAsia" w:ascii="宋体" w:hAnsi="宋体" w:cs="宋体"/>
          <w:szCs w:val="21"/>
        </w:rPr>
        <w:t>竞争性磋商响应文件</w:t>
      </w:r>
      <w:r>
        <w:rPr>
          <w:rFonts w:hint="eastAsia" w:ascii="宋体" w:hAnsi="宋体" w:cs="宋体"/>
          <w:snapToGrid w:val="0"/>
          <w:kern w:val="0"/>
          <w:szCs w:val="21"/>
          <w:lang w:val="zh-CN"/>
        </w:rPr>
        <w:t>的密封和标记</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_Toc6133 </w:instrText>
      </w:r>
      <w:r>
        <w:rPr>
          <w:rFonts w:hint="eastAsia" w:ascii="宋体" w:hAnsi="宋体" w:cs="宋体"/>
        </w:rPr>
        <w:fldChar w:fldCharType="separate"/>
      </w:r>
      <w:r>
        <w:rPr>
          <w:rFonts w:hint="eastAsia" w:ascii="宋体" w:hAnsi="宋体" w:cs="宋体"/>
        </w:rPr>
        <w:t>18</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"_Toc30194" </w:instrText>
      </w:r>
      <w:r>
        <w:fldChar w:fldCharType="separate"/>
      </w:r>
      <w:r>
        <w:rPr>
          <w:rFonts w:hint="eastAsia" w:ascii="宋体" w:hAnsi="宋体" w:cs="宋体"/>
          <w:snapToGrid w:val="0"/>
          <w:kern w:val="0"/>
          <w:szCs w:val="21"/>
          <w:lang w:val="zh-CN"/>
        </w:rPr>
        <w:t>20、竞争性磋商响应文件的送达地点及截止时间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_Toc30194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"_Toc5243" </w:instrText>
      </w:r>
      <w:r>
        <w:fldChar w:fldCharType="separate"/>
      </w:r>
      <w:r>
        <w:rPr>
          <w:rFonts w:hint="eastAsia" w:ascii="宋体" w:hAnsi="宋体" w:cs="宋体"/>
          <w:snapToGrid w:val="0"/>
          <w:kern w:val="0"/>
          <w:szCs w:val="21"/>
          <w:lang w:val="zh-CN"/>
        </w:rPr>
        <w:t>21、迟交的竞争性磋商响应文件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_Toc5243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"_Toc8623" </w:instrText>
      </w:r>
      <w:r>
        <w:fldChar w:fldCharType="separate"/>
      </w:r>
      <w:r>
        <w:rPr>
          <w:rFonts w:hint="eastAsia" w:ascii="宋体" w:hAnsi="宋体" w:cs="宋体"/>
          <w:snapToGrid w:val="0"/>
          <w:kern w:val="0"/>
          <w:szCs w:val="21"/>
          <w:lang w:val="zh-CN"/>
        </w:rPr>
        <w:t>22、竞争性磋商响应文件的补充、修改或者撤回</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_Toc8623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"_Toc19684" </w:instrText>
      </w:r>
      <w:r>
        <w:fldChar w:fldCharType="separate"/>
      </w:r>
      <w:r>
        <w:rPr>
          <w:rFonts w:hint="eastAsia" w:ascii="宋体" w:hAnsi="宋体" w:cs="宋体"/>
          <w:szCs w:val="21"/>
        </w:rPr>
        <w:t>五、磋商程序及步骤</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_Toc19684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"_Toc9097" </w:instrText>
      </w:r>
      <w:r>
        <w:fldChar w:fldCharType="separate"/>
      </w:r>
      <w:r>
        <w:rPr>
          <w:rFonts w:hint="eastAsia" w:ascii="宋体" w:hAnsi="宋体" w:cs="宋体"/>
          <w:snapToGrid w:val="0"/>
          <w:kern w:val="0"/>
          <w:szCs w:val="21"/>
          <w:lang w:val="zh-CN"/>
        </w:rPr>
        <w:t>23、</w:t>
      </w:r>
      <w:r>
        <w:rPr>
          <w:rFonts w:hint="eastAsia" w:ascii="宋体" w:hAnsi="宋体" w:cs="宋体"/>
        </w:rPr>
        <w:t>竞争性磋商小组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_Toc9097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"_Toc31997" </w:instrText>
      </w:r>
      <w:r>
        <w:fldChar w:fldCharType="separate"/>
      </w:r>
      <w:r>
        <w:rPr>
          <w:rFonts w:hint="eastAsia" w:ascii="宋体" w:hAnsi="宋体" w:cs="宋体"/>
          <w:snapToGrid w:val="0"/>
          <w:kern w:val="0"/>
          <w:szCs w:val="21"/>
          <w:lang w:val="zh-CN"/>
        </w:rPr>
        <w:t>24、</w:t>
      </w:r>
      <w:r>
        <w:rPr>
          <w:rFonts w:hint="eastAsia" w:ascii="宋体" w:hAnsi="宋体" w:cs="宋体"/>
        </w:rPr>
        <w:t>磋商代表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_Toc31997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"_Toc26083" </w:instrText>
      </w:r>
      <w:r>
        <w:fldChar w:fldCharType="separate"/>
      </w:r>
      <w:r>
        <w:rPr>
          <w:rFonts w:hint="eastAsia" w:ascii="宋体" w:hAnsi="宋体" w:cs="宋体"/>
        </w:rPr>
        <w:t>25、资格审查和符合性审查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_Toc26083 </w:instrText>
      </w:r>
      <w:r>
        <w:rPr>
          <w:rFonts w:hint="eastAsia" w:ascii="宋体" w:hAnsi="宋体" w:cs="宋体"/>
        </w:rPr>
        <w:fldChar w:fldCharType="separate"/>
      </w:r>
      <w:r>
        <w:rPr>
          <w:rFonts w:hint="eastAsia" w:ascii="宋体" w:hAnsi="宋体" w:cs="宋体"/>
        </w:rPr>
        <w:t>20</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"_Toc25372" </w:instrText>
      </w:r>
      <w:r>
        <w:fldChar w:fldCharType="separate"/>
      </w:r>
      <w:r>
        <w:rPr>
          <w:rFonts w:hint="eastAsia" w:ascii="宋体" w:hAnsi="宋体" w:cs="宋体"/>
        </w:rPr>
        <w:t>26、磋商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_Toc25372 </w:instrText>
      </w:r>
      <w:r>
        <w:rPr>
          <w:rFonts w:hint="eastAsia" w:ascii="宋体" w:hAnsi="宋体" w:cs="宋体"/>
        </w:rPr>
        <w:fldChar w:fldCharType="separate"/>
      </w:r>
      <w:r>
        <w:rPr>
          <w:rFonts w:hint="eastAsia" w:ascii="宋体" w:hAnsi="宋体" w:cs="宋体"/>
        </w:rPr>
        <w:t>20</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"_Toc15525" </w:instrText>
      </w:r>
      <w:r>
        <w:fldChar w:fldCharType="separate"/>
      </w:r>
      <w:r>
        <w:rPr>
          <w:rFonts w:hint="eastAsia" w:ascii="宋体" w:hAnsi="宋体" w:cs="宋体"/>
          <w:lang w:val="zh-CN"/>
        </w:rPr>
        <w:t>27、保密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_Toc15525 </w:instrText>
      </w:r>
      <w:r>
        <w:rPr>
          <w:rFonts w:hint="eastAsia" w:ascii="宋体" w:hAnsi="宋体" w:cs="宋体"/>
        </w:rPr>
        <w:fldChar w:fldCharType="separate"/>
      </w:r>
      <w:r>
        <w:rPr>
          <w:rFonts w:hint="eastAsia" w:ascii="宋体" w:hAnsi="宋体" w:cs="宋体"/>
        </w:rPr>
        <w:t>21</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"_Toc4511" </w:instrText>
      </w:r>
      <w:r>
        <w:fldChar w:fldCharType="separate"/>
      </w:r>
      <w:r>
        <w:rPr>
          <w:rFonts w:hint="eastAsia" w:ascii="宋体" w:hAnsi="宋体" w:cs="宋体"/>
          <w:szCs w:val="21"/>
        </w:rPr>
        <w:t>六、成交与签订合同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_Toc4511 </w:instrText>
      </w:r>
      <w:r>
        <w:rPr>
          <w:rFonts w:hint="eastAsia" w:ascii="宋体" w:hAnsi="宋体" w:cs="宋体"/>
        </w:rPr>
        <w:fldChar w:fldCharType="separate"/>
      </w:r>
      <w:r>
        <w:rPr>
          <w:rFonts w:hint="eastAsia" w:ascii="宋体" w:hAnsi="宋体" w:cs="宋体"/>
        </w:rPr>
        <w:t>21</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"_Toc11874" </w:instrText>
      </w:r>
      <w:r>
        <w:fldChar w:fldCharType="separate"/>
      </w:r>
      <w:r>
        <w:rPr>
          <w:rFonts w:hint="eastAsia" w:ascii="宋体" w:hAnsi="宋体" w:cs="宋体"/>
          <w:lang w:val="zh-CN"/>
        </w:rPr>
        <w:t>28、合同授予标准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_Toc11874 </w:instrText>
      </w:r>
      <w:r>
        <w:rPr>
          <w:rFonts w:hint="eastAsia" w:ascii="宋体" w:hAnsi="宋体" w:cs="宋体"/>
        </w:rPr>
        <w:fldChar w:fldCharType="separate"/>
      </w:r>
      <w:r>
        <w:rPr>
          <w:rFonts w:hint="eastAsia" w:ascii="宋体" w:hAnsi="宋体" w:cs="宋体"/>
        </w:rPr>
        <w:t>21</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"_Toc952" </w:instrText>
      </w:r>
      <w:r>
        <w:fldChar w:fldCharType="separate"/>
      </w:r>
      <w:r>
        <w:rPr>
          <w:rFonts w:hint="eastAsia" w:ascii="宋体" w:hAnsi="宋体" w:cs="宋体"/>
          <w:lang w:val="zh-CN"/>
        </w:rPr>
        <w:t>29、签订合同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_Toc952 </w:instrText>
      </w:r>
      <w:r>
        <w:rPr>
          <w:rFonts w:hint="eastAsia" w:ascii="宋体" w:hAnsi="宋体" w:cs="宋体"/>
        </w:rPr>
        <w:fldChar w:fldCharType="separate"/>
      </w:r>
      <w:r>
        <w:rPr>
          <w:rFonts w:hint="eastAsia" w:ascii="宋体" w:hAnsi="宋体" w:cs="宋体"/>
        </w:rPr>
        <w:t>21</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"_Toc17606" </w:instrText>
      </w:r>
      <w:r>
        <w:fldChar w:fldCharType="separate"/>
      </w:r>
      <w:r>
        <w:rPr>
          <w:rFonts w:hint="eastAsia" w:ascii="宋体" w:hAnsi="宋体" w:cs="宋体"/>
          <w:lang w:val="zh-CN"/>
        </w:rPr>
        <w:t>31、质疑回复</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_Toc17606 </w:instrText>
      </w:r>
      <w:r>
        <w:rPr>
          <w:rFonts w:hint="eastAsia" w:ascii="宋体" w:hAnsi="宋体" w:cs="宋体"/>
        </w:rPr>
        <w:fldChar w:fldCharType="separate"/>
      </w:r>
      <w:r>
        <w:rPr>
          <w:rFonts w:hint="eastAsia" w:ascii="宋体" w:hAnsi="宋体" w:cs="宋体"/>
        </w:rPr>
        <w:t>23</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"_Toc12956" </w:instrText>
      </w:r>
      <w:r>
        <w:fldChar w:fldCharType="separate"/>
      </w:r>
      <w:r>
        <w:rPr>
          <w:rFonts w:hint="eastAsia" w:ascii="宋体" w:hAnsi="宋体" w:cs="宋体"/>
          <w:lang w:val="zh-CN"/>
        </w:rPr>
        <w:t>32、投诉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_Toc12956 </w:instrText>
      </w:r>
      <w:r>
        <w:rPr>
          <w:rFonts w:hint="eastAsia" w:ascii="宋体" w:hAnsi="宋体" w:cs="宋体"/>
        </w:rPr>
        <w:fldChar w:fldCharType="separate"/>
      </w:r>
      <w:r>
        <w:rPr>
          <w:rFonts w:hint="eastAsia" w:ascii="宋体" w:hAnsi="宋体" w:cs="宋体"/>
        </w:rPr>
        <w:t>23</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"_Toc14724" </w:instrText>
      </w:r>
      <w:r>
        <w:fldChar w:fldCharType="separate"/>
      </w:r>
      <w:r>
        <w:rPr>
          <w:rFonts w:hint="eastAsia" w:ascii="宋体" w:hAnsi="宋体" w:cs="宋体"/>
          <w:szCs w:val="21"/>
          <w:lang w:val="zh-CN"/>
        </w:rPr>
        <w:t>八、政策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_Toc14724 </w:instrText>
      </w:r>
      <w:r>
        <w:rPr>
          <w:rFonts w:hint="eastAsia" w:ascii="宋体" w:hAnsi="宋体" w:cs="宋体"/>
        </w:rPr>
        <w:fldChar w:fldCharType="separate"/>
      </w:r>
      <w:r>
        <w:rPr>
          <w:rFonts w:hint="eastAsia" w:ascii="宋体" w:hAnsi="宋体" w:cs="宋体"/>
        </w:rPr>
        <w:t>23</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"_Toc18751" </w:instrText>
      </w:r>
      <w:r>
        <w:fldChar w:fldCharType="separate"/>
      </w:r>
      <w:r>
        <w:rPr>
          <w:rFonts w:hint="eastAsia" w:ascii="宋体" w:hAnsi="宋体" w:cs="宋体"/>
        </w:rPr>
        <w:t>33、政府采购政策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_Toc18751 </w:instrText>
      </w:r>
      <w:r>
        <w:rPr>
          <w:rFonts w:hint="eastAsia" w:ascii="宋体" w:hAnsi="宋体" w:cs="宋体"/>
        </w:rPr>
        <w:fldChar w:fldCharType="separate"/>
      </w:r>
      <w:r>
        <w:rPr>
          <w:rFonts w:hint="eastAsia" w:ascii="宋体" w:hAnsi="宋体" w:cs="宋体"/>
        </w:rPr>
        <w:t>23</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"_Toc11174" </w:instrText>
      </w:r>
      <w:r>
        <w:fldChar w:fldCharType="separate"/>
      </w:r>
      <w:r>
        <w:rPr>
          <w:rFonts w:hint="eastAsia" w:ascii="宋体" w:hAnsi="宋体" w:cs="宋体"/>
          <w:szCs w:val="21"/>
          <w:lang w:val="zh-CN"/>
        </w:rPr>
        <w:t>九、其他要求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_Toc11174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"_Toc4827" </w:instrText>
      </w:r>
      <w:r>
        <w:fldChar w:fldCharType="separate"/>
      </w:r>
      <w:r>
        <w:rPr>
          <w:rFonts w:hint="eastAsia" w:ascii="宋体" w:hAnsi="宋体" w:cs="宋体"/>
          <w:szCs w:val="21"/>
          <w:lang w:val="zh-CN"/>
        </w:rPr>
        <w:t>十、适用法律</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_Toc4827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rPr>
        <w:fldChar w:fldCharType="end"/>
      </w:r>
    </w:p>
    <w:p>
      <w:pPr>
        <w:pStyle w:val="20"/>
        <w:tabs>
          <w:tab w:val="right" w:leader="dot" w:pos="9072"/>
        </w:tabs>
        <w:rPr>
          <w:rFonts w:ascii="宋体" w:hAnsi="宋体" w:cs="宋体"/>
        </w:rPr>
      </w:pPr>
      <w:r>
        <w:fldChar w:fldCharType="begin"/>
      </w:r>
      <w:r>
        <w:instrText xml:space="preserve"> HYPERLINK \l "_Toc10349" </w:instrText>
      </w:r>
      <w:r>
        <w:fldChar w:fldCharType="separate"/>
      </w:r>
      <w:r>
        <w:rPr>
          <w:rFonts w:hint="eastAsia" w:ascii="宋体" w:hAnsi="宋体" w:cs="宋体"/>
          <w:szCs w:val="36"/>
        </w:rPr>
        <w:t>第三章</w:t>
      </w:r>
      <w:r>
        <w:rPr>
          <w:rFonts w:hint="eastAsia" w:ascii="宋体" w:hAnsi="宋体" w:cs="宋体"/>
          <w:bCs/>
          <w:szCs w:val="36"/>
        </w:rPr>
        <w:t>采购需求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_Toc10349 </w:instrText>
      </w:r>
      <w:r>
        <w:rPr>
          <w:rFonts w:hint="eastAsia" w:ascii="宋体" w:hAnsi="宋体" w:cs="宋体"/>
        </w:rPr>
        <w:fldChar w:fldCharType="separate"/>
      </w:r>
      <w:r>
        <w:rPr>
          <w:rFonts w:hint="eastAsia" w:ascii="宋体" w:hAnsi="宋体" w:cs="宋体"/>
        </w:rPr>
        <w:t>26</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"_Toc25303" </w:instrText>
      </w:r>
      <w:r>
        <w:fldChar w:fldCharType="separate"/>
      </w:r>
      <w:r>
        <w:rPr>
          <w:rFonts w:hint="eastAsia" w:ascii="宋体" w:hAnsi="宋体" w:cs="宋体"/>
          <w:bCs/>
        </w:rPr>
        <w:t>一、技术需求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_Toc25303 </w:instrText>
      </w:r>
      <w:r>
        <w:rPr>
          <w:rFonts w:hint="eastAsia" w:ascii="宋体" w:hAnsi="宋体" w:cs="宋体"/>
        </w:rPr>
        <w:fldChar w:fldCharType="separate"/>
      </w:r>
      <w:r>
        <w:rPr>
          <w:rFonts w:hint="eastAsia" w:ascii="宋体" w:hAnsi="宋体" w:cs="宋体"/>
        </w:rPr>
        <w:t>26</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"_Toc27684" </w:instrText>
      </w:r>
      <w:r>
        <w:fldChar w:fldCharType="separate"/>
      </w:r>
      <w:r>
        <w:rPr>
          <w:rFonts w:hint="eastAsia" w:ascii="宋体" w:hAnsi="宋体" w:cs="宋体"/>
          <w:bCs/>
        </w:rPr>
        <w:t>二、商务需求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_Toc27684 </w:instrText>
      </w:r>
      <w:r>
        <w:rPr>
          <w:rFonts w:hint="eastAsia" w:ascii="宋体" w:hAnsi="宋体" w:cs="宋体"/>
        </w:rPr>
        <w:fldChar w:fldCharType="separate"/>
      </w:r>
      <w:r>
        <w:rPr>
          <w:rFonts w:hint="eastAsia" w:ascii="宋体" w:hAnsi="宋体" w:cs="宋体"/>
        </w:rPr>
        <w:t>26</w:t>
      </w:r>
      <w:r>
        <w:rPr>
          <w:rFonts w:hint="eastAsia" w:ascii="宋体" w:hAnsi="宋体" w:cs="宋体"/>
        </w:rPr>
        <w:fldChar w:fldCharType="end"/>
      </w:r>
      <w:r>
        <w:rPr>
          <w:rFonts w:hint="eastAsia" w:ascii="宋体" w:hAnsi="宋体" w:cs="宋体"/>
        </w:rPr>
        <w:fldChar w:fldCharType="end"/>
      </w:r>
    </w:p>
    <w:p>
      <w:pPr>
        <w:pStyle w:val="20"/>
        <w:tabs>
          <w:tab w:val="right" w:leader="dot" w:pos="9072"/>
        </w:tabs>
        <w:rPr>
          <w:rFonts w:ascii="宋体" w:hAnsi="宋体" w:cs="宋体"/>
        </w:rPr>
      </w:pPr>
      <w:r>
        <w:fldChar w:fldCharType="begin"/>
      </w:r>
      <w:r>
        <w:instrText xml:space="preserve"> HYPERLINK \l "_Toc26830" </w:instrText>
      </w:r>
      <w:r>
        <w:fldChar w:fldCharType="separate"/>
      </w:r>
      <w:r>
        <w:rPr>
          <w:rFonts w:hint="eastAsia" w:ascii="宋体" w:hAnsi="宋体" w:cs="宋体"/>
          <w:szCs w:val="36"/>
        </w:rPr>
        <w:t>第四章竞争性磋商采购评定办法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_Toc26830 </w:instrText>
      </w:r>
      <w:r>
        <w:rPr>
          <w:rFonts w:hint="eastAsia" w:ascii="宋体" w:hAnsi="宋体" w:cs="宋体"/>
        </w:rPr>
        <w:fldChar w:fldCharType="separate"/>
      </w:r>
      <w:r>
        <w:rPr>
          <w:rFonts w:hint="eastAsia" w:ascii="宋体" w:hAnsi="宋体" w:cs="宋体"/>
        </w:rPr>
        <w:t>28</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"_Toc8847" </w:instrText>
      </w:r>
      <w:r>
        <w:fldChar w:fldCharType="separate"/>
      </w:r>
      <w:r>
        <w:rPr>
          <w:rFonts w:hint="eastAsia" w:ascii="宋体" w:hAnsi="宋体" w:cs="宋体"/>
          <w:szCs w:val="21"/>
        </w:rPr>
        <w:t>一、评定办法前附表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_Toc8847 </w:instrText>
      </w:r>
      <w:r>
        <w:rPr>
          <w:rFonts w:hint="eastAsia" w:ascii="宋体" w:hAnsi="宋体" w:cs="宋体"/>
        </w:rPr>
        <w:fldChar w:fldCharType="separate"/>
      </w:r>
      <w:r>
        <w:rPr>
          <w:rFonts w:hint="eastAsia" w:ascii="宋体" w:hAnsi="宋体" w:cs="宋体"/>
        </w:rPr>
        <w:t>28</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"_Toc14777" </w:instrText>
      </w:r>
      <w:r>
        <w:fldChar w:fldCharType="separate"/>
      </w:r>
      <w:r>
        <w:rPr>
          <w:rFonts w:hint="eastAsia" w:ascii="宋体" w:hAnsi="宋体" w:cs="宋体"/>
          <w:szCs w:val="21"/>
        </w:rPr>
        <w:t>二、计算办法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_Toc14777 </w:instrText>
      </w:r>
      <w:r>
        <w:rPr>
          <w:rFonts w:hint="eastAsia" w:ascii="宋体" w:hAnsi="宋体" w:cs="宋体"/>
        </w:rPr>
        <w:fldChar w:fldCharType="separate"/>
      </w:r>
      <w:r>
        <w:rPr>
          <w:rFonts w:hint="eastAsia" w:ascii="宋体" w:hAnsi="宋体" w:cs="宋体"/>
        </w:rPr>
        <w:t>30</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"_Toc27622" </w:instrText>
      </w:r>
      <w:r>
        <w:fldChar w:fldCharType="separate"/>
      </w:r>
      <w:r>
        <w:rPr>
          <w:rFonts w:hint="eastAsia" w:ascii="宋体" w:hAnsi="宋体" w:cs="宋体"/>
          <w:szCs w:val="21"/>
        </w:rPr>
        <w:t>三、评分细则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_Toc27622 </w:instrText>
      </w:r>
      <w:r>
        <w:rPr>
          <w:rFonts w:hint="eastAsia" w:ascii="宋体" w:hAnsi="宋体" w:cs="宋体"/>
        </w:rPr>
        <w:fldChar w:fldCharType="separate"/>
      </w:r>
      <w:r>
        <w:rPr>
          <w:rFonts w:hint="eastAsia" w:ascii="宋体" w:hAnsi="宋体" w:cs="宋体"/>
        </w:rPr>
        <w:t>31</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"_Toc24464" </w:instrText>
      </w:r>
      <w:r>
        <w:fldChar w:fldCharType="separate"/>
      </w:r>
      <w:r>
        <w:rPr>
          <w:rFonts w:hint="eastAsia" w:ascii="宋体" w:hAnsi="宋体" w:cs="宋体"/>
          <w:szCs w:val="21"/>
        </w:rPr>
        <w:t>四、评定办法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_Toc24464 </w:instrText>
      </w:r>
      <w:r>
        <w:rPr>
          <w:rFonts w:hint="eastAsia" w:ascii="宋体" w:hAnsi="宋体" w:cs="宋体"/>
        </w:rPr>
        <w:fldChar w:fldCharType="separate"/>
      </w:r>
      <w:r>
        <w:rPr>
          <w:rFonts w:hint="eastAsia" w:ascii="宋体" w:hAnsi="宋体" w:cs="宋体"/>
        </w:rPr>
        <w:t>34</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"_Toc21104" </w:instrText>
      </w:r>
      <w:r>
        <w:fldChar w:fldCharType="separate"/>
      </w:r>
      <w:r>
        <w:rPr>
          <w:rFonts w:hint="eastAsia" w:ascii="宋体" w:hAnsi="宋体" w:cs="宋体"/>
          <w:szCs w:val="21"/>
        </w:rPr>
        <w:t>五、磋商及评审步骤</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_Toc21104 </w:instrText>
      </w:r>
      <w:r>
        <w:rPr>
          <w:rFonts w:hint="eastAsia" w:ascii="宋体" w:hAnsi="宋体" w:cs="宋体"/>
        </w:rPr>
        <w:fldChar w:fldCharType="separate"/>
      </w:r>
      <w:r>
        <w:rPr>
          <w:rFonts w:hint="eastAsia" w:ascii="宋体" w:hAnsi="宋体" w:cs="宋体"/>
        </w:rPr>
        <w:t>35</w:t>
      </w:r>
      <w:r>
        <w:rPr>
          <w:rFonts w:hint="eastAsia" w:ascii="宋体" w:hAnsi="宋体" w:cs="宋体"/>
        </w:rPr>
        <w:fldChar w:fldCharType="end"/>
      </w:r>
      <w:r>
        <w:rPr>
          <w:rFonts w:hint="eastAsia" w:ascii="宋体" w:hAnsi="宋体" w:cs="宋体"/>
        </w:rPr>
        <w:fldChar w:fldCharType="end"/>
      </w:r>
    </w:p>
    <w:p>
      <w:pPr>
        <w:pStyle w:val="20"/>
        <w:tabs>
          <w:tab w:val="right" w:leader="dot" w:pos="9072"/>
        </w:tabs>
        <w:rPr>
          <w:rFonts w:ascii="宋体" w:hAnsi="宋体" w:cs="宋体"/>
        </w:rPr>
      </w:pPr>
      <w:r>
        <w:fldChar w:fldCharType="begin"/>
      </w:r>
      <w:r>
        <w:instrText xml:space="preserve"> HYPERLINK \l "_Toc2787" </w:instrText>
      </w:r>
      <w:r>
        <w:fldChar w:fldCharType="separate"/>
      </w:r>
      <w:r>
        <w:rPr>
          <w:rFonts w:hint="eastAsia" w:ascii="宋体" w:hAnsi="宋体" w:cs="宋体"/>
          <w:kern w:val="0"/>
          <w:szCs w:val="36"/>
        </w:rPr>
        <w:t>第五章</w:t>
      </w:r>
      <w:r>
        <w:rPr>
          <w:rFonts w:hint="eastAsia" w:ascii="宋体" w:hAnsi="宋体" w:cs="宋体"/>
          <w:szCs w:val="36"/>
        </w:rPr>
        <w:t>合同书格式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_Toc2787 </w:instrText>
      </w:r>
      <w:r>
        <w:rPr>
          <w:rFonts w:hint="eastAsia" w:ascii="宋体" w:hAnsi="宋体" w:cs="宋体"/>
        </w:rPr>
        <w:fldChar w:fldCharType="separate"/>
      </w:r>
      <w:r>
        <w:rPr>
          <w:rFonts w:hint="eastAsia" w:ascii="宋体" w:hAnsi="宋体" w:cs="宋体"/>
        </w:rPr>
        <w:t>37</w:t>
      </w:r>
      <w:r>
        <w:rPr>
          <w:rFonts w:hint="eastAsia" w:ascii="宋体" w:hAnsi="宋体" w:cs="宋体"/>
        </w:rPr>
        <w:fldChar w:fldCharType="end"/>
      </w:r>
      <w:r>
        <w:rPr>
          <w:rFonts w:hint="eastAsia" w:ascii="宋体" w:hAnsi="宋体" w:cs="宋体"/>
        </w:rPr>
        <w:fldChar w:fldCharType="end"/>
      </w:r>
    </w:p>
    <w:p>
      <w:pPr>
        <w:pStyle w:val="20"/>
        <w:tabs>
          <w:tab w:val="right" w:leader="dot" w:pos="9072"/>
        </w:tabs>
        <w:rPr>
          <w:rFonts w:ascii="宋体" w:hAnsi="宋体" w:cs="宋体"/>
        </w:rPr>
      </w:pPr>
      <w:r>
        <w:fldChar w:fldCharType="begin"/>
      </w:r>
      <w:r>
        <w:instrText xml:space="preserve"> HYPERLINK \l "_Toc32322" </w:instrText>
      </w:r>
      <w:r>
        <w:fldChar w:fldCharType="separate"/>
      </w:r>
      <w:r>
        <w:rPr>
          <w:rFonts w:hint="eastAsia" w:ascii="宋体" w:hAnsi="宋体" w:cs="宋体"/>
          <w:szCs w:val="36"/>
        </w:rPr>
        <w:t>第六章竞争性磋商响应文件格式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_Toc32322 </w:instrText>
      </w:r>
      <w:r>
        <w:rPr>
          <w:rFonts w:hint="eastAsia" w:ascii="宋体" w:hAnsi="宋体" w:cs="宋体"/>
        </w:rPr>
        <w:fldChar w:fldCharType="separate"/>
      </w:r>
      <w:r>
        <w:rPr>
          <w:rFonts w:hint="eastAsia" w:ascii="宋体" w:hAnsi="宋体" w:cs="宋体"/>
        </w:rPr>
        <w:t>38</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"_Toc7729" </w:instrText>
      </w:r>
      <w:r>
        <w:fldChar w:fldCharType="separate"/>
      </w:r>
      <w:r>
        <w:rPr>
          <w:rFonts w:hint="eastAsia" w:ascii="宋体" w:hAnsi="宋体" w:cs="宋体"/>
          <w:szCs w:val="21"/>
        </w:rPr>
        <w:t>一、评分标准索引表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_Toc7729 </w:instrText>
      </w:r>
      <w:r>
        <w:rPr>
          <w:rFonts w:hint="eastAsia" w:ascii="宋体" w:hAnsi="宋体" w:cs="宋体"/>
        </w:rPr>
        <w:fldChar w:fldCharType="separate"/>
      </w:r>
      <w:r>
        <w:rPr>
          <w:rFonts w:hint="eastAsia" w:ascii="宋体" w:hAnsi="宋体" w:cs="宋体"/>
        </w:rPr>
        <w:t>39</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"_Toc8110" </w:instrText>
      </w:r>
      <w:r>
        <w:fldChar w:fldCharType="separate"/>
      </w:r>
      <w:r>
        <w:rPr>
          <w:rFonts w:hint="eastAsia" w:ascii="宋体" w:hAnsi="宋体" w:cs="宋体"/>
        </w:rPr>
        <w:t>二、磋商书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_Toc8110 </w:instrText>
      </w:r>
      <w:r>
        <w:rPr>
          <w:rFonts w:hint="eastAsia" w:ascii="宋体" w:hAnsi="宋体" w:cs="宋体"/>
        </w:rPr>
        <w:fldChar w:fldCharType="separate"/>
      </w:r>
      <w:r>
        <w:rPr>
          <w:rFonts w:hint="eastAsia" w:ascii="宋体" w:hAnsi="宋体" w:cs="宋体"/>
        </w:rPr>
        <w:t>40</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"_Toc18700" </w:instrText>
      </w:r>
      <w:r>
        <w:fldChar w:fldCharType="separate"/>
      </w:r>
      <w:r>
        <w:rPr>
          <w:rFonts w:hint="eastAsia" w:ascii="宋体" w:hAnsi="宋体" w:cs="宋体"/>
        </w:rPr>
        <w:t>三、法定代表人授权书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_Toc18700 </w:instrText>
      </w:r>
      <w:r>
        <w:rPr>
          <w:rFonts w:hint="eastAsia" w:ascii="宋体" w:hAnsi="宋体" w:cs="宋体"/>
        </w:rPr>
        <w:fldChar w:fldCharType="separate"/>
      </w:r>
      <w:r>
        <w:rPr>
          <w:rFonts w:hint="eastAsia" w:ascii="宋体" w:hAnsi="宋体" w:cs="宋体"/>
        </w:rPr>
        <w:t>41</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"_Toc3679" </w:instrText>
      </w:r>
      <w:r>
        <w:fldChar w:fldCharType="separate"/>
      </w:r>
      <w:r>
        <w:rPr>
          <w:rFonts w:hint="eastAsia" w:ascii="宋体" w:hAnsi="宋体" w:cs="宋体"/>
          <w:bCs/>
          <w:kern w:val="0"/>
          <w:szCs w:val="21"/>
        </w:rPr>
        <w:t>四、</w:t>
      </w:r>
      <w:r>
        <w:rPr>
          <w:rFonts w:hint="eastAsia" w:ascii="宋体" w:hAnsi="宋体" w:cs="宋体"/>
          <w:bCs/>
          <w:szCs w:val="21"/>
        </w:rPr>
        <w:t>法定代表人身份证明书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_Toc3679 </w:instrText>
      </w:r>
      <w:r>
        <w:rPr>
          <w:rFonts w:hint="eastAsia" w:ascii="宋体" w:hAnsi="宋体" w:cs="宋体"/>
        </w:rPr>
        <w:fldChar w:fldCharType="separate"/>
      </w:r>
      <w:r>
        <w:rPr>
          <w:rFonts w:hint="eastAsia" w:ascii="宋体" w:hAnsi="宋体" w:cs="宋体"/>
        </w:rPr>
        <w:t>42</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"_Toc22862" </w:instrText>
      </w:r>
      <w:r>
        <w:fldChar w:fldCharType="separate"/>
      </w:r>
      <w:r>
        <w:rPr>
          <w:rFonts w:hint="eastAsia" w:ascii="宋体" w:hAnsi="宋体" w:cs="宋体"/>
          <w:bCs/>
          <w:szCs w:val="21"/>
        </w:rPr>
        <w:t>五、报价一览表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_Toc22862 </w:instrText>
      </w:r>
      <w:r>
        <w:rPr>
          <w:rFonts w:hint="eastAsia" w:ascii="宋体" w:hAnsi="宋体" w:cs="宋体"/>
        </w:rPr>
        <w:fldChar w:fldCharType="separate"/>
      </w:r>
      <w:r>
        <w:rPr>
          <w:rFonts w:hint="eastAsia" w:ascii="宋体" w:hAnsi="宋体" w:cs="宋体"/>
        </w:rPr>
        <w:t>43</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"_Toc19008" </w:instrText>
      </w:r>
      <w:r>
        <w:fldChar w:fldCharType="separate"/>
      </w:r>
      <w:r>
        <w:rPr>
          <w:rFonts w:hint="eastAsia" w:ascii="宋体" w:hAnsi="宋体" w:cs="宋体"/>
          <w:bCs/>
          <w:szCs w:val="21"/>
        </w:rPr>
        <w:t>六、报价费用构成表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_Toc19008 </w:instrText>
      </w:r>
      <w:r>
        <w:rPr>
          <w:rFonts w:hint="eastAsia" w:ascii="宋体" w:hAnsi="宋体" w:cs="宋体"/>
        </w:rPr>
        <w:fldChar w:fldCharType="separate"/>
      </w:r>
      <w:r>
        <w:rPr>
          <w:rFonts w:hint="eastAsia" w:ascii="宋体" w:hAnsi="宋体" w:cs="宋体"/>
        </w:rPr>
        <w:t>44</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"_Toc23261" </w:instrText>
      </w:r>
      <w:r>
        <w:fldChar w:fldCharType="separate"/>
      </w:r>
      <w:r>
        <w:rPr>
          <w:rFonts w:hint="eastAsia" w:ascii="宋体" w:hAnsi="宋体" w:cs="宋体"/>
          <w:bCs/>
          <w:szCs w:val="21"/>
        </w:rPr>
        <w:t>七、耗材清单（如有）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_Toc23261 </w:instrText>
      </w:r>
      <w:r>
        <w:rPr>
          <w:rFonts w:hint="eastAsia" w:ascii="宋体" w:hAnsi="宋体" w:cs="宋体"/>
        </w:rPr>
        <w:fldChar w:fldCharType="separate"/>
      </w:r>
      <w:r>
        <w:rPr>
          <w:rFonts w:hint="eastAsia" w:ascii="宋体" w:hAnsi="宋体" w:cs="宋体"/>
        </w:rPr>
        <w:t>45</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"_Toc13463" </w:instrText>
      </w:r>
      <w:r>
        <w:fldChar w:fldCharType="separate"/>
      </w:r>
      <w:r>
        <w:rPr>
          <w:rFonts w:hint="eastAsia" w:ascii="宋体" w:hAnsi="宋体" w:cs="宋体"/>
          <w:bCs/>
          <w:szCs w:val="21"/>
        </w:rPr>
        <w:t>八、拟投入设备/备件、工具情况（如有）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_Toc13463 </w:instrText>
      </w:r>
      <w:r>
        <w:rPr>
          <w:rFonts w:hint="eastAsia" w:ascii="宋体" w:hAnsi="宋体" w:cs="宋体"/>
        </w:rPr>
        <w:fldChar w:fldCharType="separate"/>
      </w:r>
      <w:r>
        <w:rPr>
          <w:rFonts w:hint="eastAsia" w:ascii="宋体" w:hAnsi="宋体" w:cs="宋体"/>
        </w:rPr>
        <w:t>46</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"_Toc8932" </w:instrText>
      </w:r>
      <w:r>
        <w:fldChar w:fldCharType="separate"/>
      </w:r>
      <w:r>
        <w:rPr>
          <w:rFonts w:hint="eastAsia" w:ascii="宋体" w:hAnsi="宋体" w:cs="宋体"/>
          <w:bCs/>
          <w:szCs w:val="21"/>
        </w:rPr>
        <w:t>九、缴纳保证金的银行凭证（如有）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_Toc8932 </w:instrText>
      </w:r>
      <w:r>
        <w:rPr>
          <w:rFonts w:hint="eastAsia" w:ascii="宋体" w:hAnsi="宋体" w:cs="宋体"/>
        </w:rPr>
        <w:fldChar w:fldCharType="separate"/>
      </w:r>
      <w:r>
        <w:rPr>
          <w:rFonts w:hint="eastAsia" w:ascii="宋体" w:hAnsi="宋体" w:cs="宋体"/>
        </w:rPr>
        <w:t>47</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"_Toc19198" </w:instrText>
      </w:r>
      <w:r>
        <w:fldChar w:fldCharType="separate"/>
      </w:r>
      <w:r>
        <w:rPr>
          <w:rFonts w:hint="eastAsia" w:ascii="宋体" w:hAnsi="宋体" w:cs="宋体"/>
          <w:bCs/>
          <w:szCs w:val="21"/>
        </w:rPr>
        <w:t>十、偏离说明表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_Toc19198 </w:instrText>
      </w:r>
      <w:r>
        <w:rPr>
          <w:rFonts w:hint="eastAsia" w:ascii="宋体" w:hAnsi="宋体" w:cs="宋体"/>
        </w:rPr>
        <w:fldChar w:fldCharType="separate"/>
      </w:r>
      <w:r>
        <w:rPr>
          <w:rFonts w:hint="eastAsia" w:ascii="宋体" w:hAnsi="宋体" w:cs="宋体"/>
        </w:rPr>
        <w:t>48</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"_Toc2398" </w:instrText>
      </w:r>
      <w:r>
        <w:fldChar w:fldCharType="separate"/>
      </w:r>
      <w:r>
        <w:rPr>
          <w:rFonts w:hint="eastAsia" w:ascii="宋体" w:hAnsi="宋体" w:cs="宋体"/>
          <w:kern w:val="0"/>
          <w:szCs w:val="21"/>
        </w:rPr>
        <w:t>十一、</w:t>
      </w:r>
      <w:r>
        <w:rPr>
          <w:rFonts w:hint="eastAsia" w:ascii="宋体" w:hAnsi="宋体" w:cs="宋体"/>
          <w:bCs/>
          <w:szCs w:val="21"/>
        </w:rPr>
        <w:t>类似业绩一览表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_Toc2398 </w:instrText>
      </w:r>
      <w:r>
        <w:rPr>
          <w:rFonts w:hint="eastAsia" w:ascii="宋体" w:hAnsi="宋体" w:cs="宋体"/>
        </w:rPr>
        <w:fldChar w:fldCharType="separate"/>
      </w:r>
      <w:r>
        <w:rPr>
          <w:rFonts w:hint="eastAsia" w:ascii="宋体" w:hAnsi="宋体" w:cs="宋体"/>
        </w:rPr>
        <w:t>49</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"_Toc15136" </w:instrText>
      </w:r>
      <w:r>
        <w:fldChar w:fldCharType="separate"/>
      </w:r>
      <w:r>
        <w:rPr>
          <w:rFonts w:hint="eastAsia" w:ascii="宋体" w:hAnsi="宋体" w:cs="宋体"/>
          <w:bCs/>
          <w:szCs w:val="21"/>
        </w:rPr>
        <w:t>十二、拟投入项目组人员一览表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_Toc15136 </w:instrText>
      </w:r>
      <w:r>
        <w:rPr>
          <w:rFonts w:hint="eastAsia" w:ascii="宋体" w:hAnsi="宋体" w:cs="宋体"/>
        </w:rPr>
        <w:fldChar w:fldCharType="separate"/>
      </w:r>
      <w:r>
        <w:rPr>
          <w:rFonts w:hint="eastAsia" w:ascii="宋体" w:hAnsi="宋体" w:cs="宋体"/>
        </w:rPr>
        <w:t>50</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"_Toc27749" </w:instrText>
      </w:r>
      <w:r>
        <w:fldChar w:fldCharType="separate"/>
      </w:r>
      <w:r>
        <w:rPr>
          <w:rFonts w:hint="eastAsia" w:ascii="宋体" w:hAnsi="宋体" w:cs="宋体"/>
          <w:bCs/>
          <w:kern w:val="0"/>
          <w:szCs w:val="21"/>
        </w:rPr>
        <w:t>十三、</w:t>
      </w:r>
      <w:r>
        <w:rPr>
          <w:rFonts w:hint="eastAsia" w:ascii="宋体" w:hAnsi="宋体" w:cs="宋体"/>
          <w:bCs/>
          <w:szCs w:val="21"/>
        </w:rPr>
        <w:t>供应商的资格声明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_Toc27749 </w:instrText>
      </w:r>
      <w:r>
        <w:rPr>
          <w:rFonts w:hint="eastAsia" w:ascii="宋体" w:hAnsi="宋体" w:cs="宋体"/>
        </w:rPr>
        <w:fldChar w:fldCharType="separate"/>
      </w:r>
      <w:r>
        <w:rPr>
          <w:rFonts w:hint="eastAsia" w:ascii="宋体" w:hAnsi="宋体" w:cs="宋体"/>
        </w:rPr>
        <w:t>51</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"_Toc7524" </w:instrText>
      </w:r>
      <w:r>
        <w:fldChar w:fldCharType="separate"/>
      </w:r>
      <w:r>
        <w:rPr>
          <w:rFonts w:hint="eastAsia" w:ascii="宋体" w:hAnsi="宋体" w:cs="宋体"/>
          <w:bCs/>
          <w:kern w:val="0"/>
          <w:szCs w:val="21"/>
        </w:rPr>
        <w:t>十四、</w:t>
      </w:r>
      <w:r>
        <w:rPr>
          <w:rFonts w:hint="eastAsia" w:ascii="宋体" w:hAnsi="宋体" w:cs="宋体"/>
          <w:bCs/>
          <w:szCs w:val="21"/>
        </w:rPr>
        <w:t>资格证明文件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_Toc7524 </w:instrText>
      </w:r>
      <w:r>
        <w:rPr>
          <w:rFonts w:hint="eastAsia" w:ascii="宋体" w:hAnsi="宋体" w:cs="宋体"/>
        </w:rPr>
        <w:fldChar w:fldCharType="separate"/>
      </w:r>
      <w:r>
        <w:rPr>
          <w:rFonts w:hint="eastAsia" w:ascii="宋体" w:hAnsi="宋体" w:cs="宋体"/>
        </w:rPr>
        <w:t>52</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"_Toc12975" </w:instrText>
      </w:r>
      <w:r>
        <w:fldChar w:fldCharType="separate"/>
      </w:r>
      <w:r>
        <w:rPr>
          <w:rFonts w:hint="eastAsia" w:ascii="宋体" w:hAnsi="宋体" w:cs="宋体"/>
        </w:rPr>
        <w:t>十六、中小企业声明函</w:t>
      </w:r>
      <w:r>
        <w:rPr>
          <w:rFonts w:hint="eastAsia" w:ascii="宋体" w:hAnsi="宋体" w:cs="宋体"/>
          <w:lang w:val="zh-CN"/>
        </w:rPr>
        <w:t>（若</w:t>
      </w:r>
      <w:r>
        <w:rPr>
          <w:rFonts w:hint="eastAsia" w:ascii="宋体" w:hAnsi="宋体" w:cs="宋体"/>
        </w:rPr>
        <w:t>符合</w:t>
      </w:r>
      <w:r>
        <w:rPr>
          <w:rFonts w:hint="eastAsia" w:ascii="宋体" w:hAnsi="宋体" w:cs="宋体"/>
          <w:lang w:val="zh-CN"/>
        </w:rPr>
        <w:t>）</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_Toc12975 </w:instrText>
      </w:r>
      <w:r>
        <w:rPr>
          <w:rFonts w:hint="eastAsia" w:ascii="宋体" w:hAnsi="宋体" w:cs="宋体"/>
        </w:rPr>
        <w:fldChar w:fldCharType="separate"/>
      </w:r>
      <w:r>
        <w:rPr>
          <w:rFonts w:hint="eastAsia" w:ascii="宋体" w:hAnsi="宋体" w:cs="宋体"/>
        </w:rPr>
        <w:t>54</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"_Toc21996" </w:instrText>
      </w:r>
      <w:r>
        <w:fldChar w:fldCharType="separate"/>
      </w:r>
      <w:r>
        <w:rPr>
          <w:rFonts w:hint="eastAsia" w:ascii="宋体" w:hAnsi="宋体" w:cs="宋体"/>
          <w:bCs/>
          <w:spacing w:val="6"/>
          <w:szCs w:val="21"/>
        </w:rPr>
        <w:t>十七、</w:t>
      </w:r>
      <w:r>
        <w:rPr>
          <w:rFonts w:hint="eastAsia" w:ascii="宋体" w:hAnsi="宋体" w:cs="宋体"/>
          <w:bCs/>
          <w:lang w:val="zh-CN"/>
        </w:rPr>
        <w:t>监狱企业证</w:t>
      </w:r>
      <w:r>
        <w:rPr>
          <w:rFonts w:hint="eastAsia" w:ascii="宋体" w:hAnsi="宋体" w:cs="宋体"/>
          <w:lang w:val="zh-CN"/>
        </w:rPr>
        <w:t>明文</w:t>
      </w:r>
      <w:r>
        <w:rPr>
          <w:rFonts w:hint="eastAsia" w:ascii="宋体" w:hAnsi="宋体" w:cs="宋体"/>
        </w:rPr>
        <w:t>件</w:t>
      </w:r>
      <w:r>
        <w:rPr>
          <w:rFonts w:hint="eastAsia" w:ascii="宋体" w:hAnsi="宋体" w:cs="宋体"/>
          <w:lang w:val="zh-CN"/>
        </w:rPr>
        <w:t>（若</w:t>
      </w:r>
      <w:r>
        <w:rPr>
          <w:rFonts w:hint="eastAsia" w:ascii="宋体" w:hAnsi="宋体" w:cs="宋体"/>
        </w:rPr>
        <w:t>符合</w:t>
      </w:r>
      <w:r>
        <w:rPr>
          <w:rFonts w:hint="eastAsia" w:ascii="宋体" w:hAnsi="宋体" w:cs="宋体"/>
          <w:lang w:val="zh-CN"/>
        </w:rPr>
        <w:t>）</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_Toc21996 </w:instrText>
      </w:r>
      <w:r>
        <w:rPr>
          <w:rFonts w:hint="eastAsia" w:ascii="宋体" w:hAnsi="宋体" w:cs="宋体"/>
        </w:rPr>
        <w:fldChar w:fldCharType="separate"/>
      </w:r>
      <w:r>
        <w:rPr>
          <w:rFonts w:hint="eastAsia" w:ascii="宋体" w:hAnsi="宋体" w:cs="宋体"/>
        </w:rPr>
        <w:t>55</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"_Toc28428" </w:instrText>
      </w:r>
      <w:r>
        <w:fldChar w:fldCharType="separate"/>
      </w:r>
      <w:r>
        <w:rPr>
          <w:rFonts w:hint="eastAsia" w:ascii="宋体" w:hAnsi="宋体" w:cs="宋体"/>
        </w:rPr>
        <w:t>十八、</w:t>
      </w:r>
      <w:r>
        <w:rPr>
          <w:rFonts w:hint="eastAsia" w:ascii="宋体" w:hAnsi="宋体" w:cs="宋体"/>
          <w:lang w:val="zh-CN"/>
        </w:rPr>
        <w:t>残疾人福利性单位声明函（若</w:t>
      </w:r>
      <w:r>
        <w:rPr>
          <w:rFonts w:hint="eastAsia" w:ascii="宋体" w:hAnsi="宋体" w:cs="宋体"/>
        </w:rPr>
        <w:t>符合</w:t>
      </w:r>
      <w:r>
        <w:rPr>
          <w:rFonts w:hint="eastAsia" w:ascii="宋体" w:hAnsi="宋体" w:cs="宋体"/>
          <w:lang w:val="zh-CN"/>
        </w:rPr>
        <w:t>）</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_Toc28428 </w:instrText>
      </w:r>
      <w:r>
        <w:rPr>
          <w:rFonts w:hint="eastAsia" w:ascii="宋体" w:hAnsi="宋体" w:cs="宋体"/>
        </w:rPr>
        <w:fldChar w:fldCharType="separate"/>
      </w:r>
      <w:r>
        <w:rPr>
          <w:rFonts w:hint="eastAsia" w:ascii="宋体" w:hAnsi="宋体" w:cs="宋体"/>
        </w:rPr>
        <w:t>56</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"_Toc22163" </w:instrText>
      </w:r>
      <w:r>
        <w:fldChar w:fldCharType="separate"/>
      </w:r>
      <w:r>
        <w:rPr>
          <w:rFonts w:hint="eastAsia" w:ascii="宋体" w:hAnsi="宋体" w:cs="宋体"/>
        </w:rPr>
        <w:t>十九、节能环保产品证明材料（若符合）</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_Toc22163 </w:instrText>
      </w:r>
      <w:r>
        <w:rPr>
          <w:rFonts w:hint="eastAsia" w:ascii="宋体" w:hAnsi="宋体" w:cs="宋体"/>
        </w:rPr>
        <w:fldChar w:fldCharType="separate"/>
      </w:r>
      <w:r>
        <w:rPr>
          <w:rFonts w:hint="eastAsia" w:ascii="宋体" w:hAnsi="宋体" w:cs="宋体"/>
        </w:rPr>
        <w:t>57</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"_Toc5368" </w:instrText>
      </w:r>
      <w:r>
        <w:fldChar w:fldCharType="separate"/>
      </w:r>
      <w:r>
        <w:rPr>
          <w:rFonts w:hint="eastAsia" w:ascii="宋体" w:hAnsi="宋体" w:cs="宋体"/>
          <w:bCs/>
          <w:spacing w:val="6"/>
          <w:szCs w:val="21"/>
        </w:rPr>
        <w:t>二十、</w:t>
      </w:r>
      <w:r>
        <w:rPr>
          <w:rFonts w:hint="eastAsia" w:ascii="宋体" w:hAnsi="宋体" w:cs="宋体"/>
        </w:rPr>
        <w:t>无重大违法记录声明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_Toc5368 </w:instrText>
      </w:r>
      <w:r>
        <w:rPr>
          <w:rFonts w:hint="eastAsia" w:ascii="宋体" w:hAnsi="宋体" w:cs="宋体"/>
        </w:rPr>
        <w:fldChar w:fldCharType="separate"/>
      </w:r>
      <w:r>
        <w:rPr>
          <w:rFonts w:hint="eastAsia" w:ascii="宋体" w:hAnsi="宋体" w:cs="宋体"/>
        </w:rPr>
        <w:t>58</w:t>
      </w:r>
      <w:r>
        <w:rPr>
          <w:rFonts w:hint="eastAsia" w:ascii="宋体" w:hAnsi="宋体" w:cs="宋体"/>
        </w:rPr>
        <w:fldChar w:fldCharType="end"/>
      </w:r>
      <w:r>
        <w:rPr>
          <w:rFonts w:hint="eastAsia" w:ascii="宋体" w:hAnsi="宋体" w:cs="宋体"/>
        </w:rPr>
        <w:fldChar w:fldCharType="end"/>
      </w:r>
    </w:p>
    <w:p>
      <w:pPr>
        <w:pStyle w:val="22"/>
        <w:tabs>
          <w:tab w:val="right" w:leader="dot" w:pos="9072"/>
        </w:tabs>
        <w:rPr>
          <w:rFonts w:ascii="宋体" w:hAnsi="宋体" w:cs="宋体"/>
        </w:rPr>
      </w:pPr>
      <w:r>
        <w:fldChar w:fldCharType="begin"/>
      </w:r>
      <w:r>
        <w:instrText xml:space="preserve"> HYPERLINK \l "_Toc4557" </w:instrText>
      </w:r>
      <w:r>
        <w:fldChar w:fldCharType="separate"/>
      </w:r>
      <w:r>
        <w:rPr>
          <w:rFonts w:hint="eastAsia" w:ascii="宋体" w:hAnsi="宋体" w:cs="宋体"/>
          <w:bCs/>
          <w:spacing w:val="6"/>
          <w:szCs w:val="21"/>
        </w:rPr>
        <w:t>二十一、磋商供应商认为应该提交的其它文件（格式自拟）</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_Toc4557 </w:instrText>
      </w:r>
      <w:r>
        <w:rPr>
          <w:rFonts w:hint="eastAsia" w:ascii="宋体" w:hAnsi="宋体" w:cs="宋体"/>
        </w:rPr>
        <w:fldChar w:fldCharType="separate"/>
      </w:r>
      <w:r>
        <w:rPr>
          <w:rFonts w:hint="eastAsia" w:ascii="宋体" w:hAnsi="宋体" w:cs="宋体"/>
        </w:rPr>
        <w:t>58</w:t>
      </w:r>
      <w:r>
        <w:rPr>
          <w:rFonts w:hint="eastAsia" w:ascii="宋体" w:hAnsi="宋体" w:cs="宋体"/>
        </w:rPr>
        <w:fldChar w:fldCharType="end"/>
      </w:r>
      <w:r>
        <w:rPr>
          <w:rFonts w:hint="eastAsia" w:ascii="宋体" w:hAnsi="宋体" w:cs="宋体"/>
        </w:rPr>
        <w:fldChar w:fldCharType="end"/>
      </w:r>
    </w:p>
    <w:p>
      <w:pPr>
        <w:jc w:val="left"/>
        <w:rPr>
          <w:rFonts w:asciiTheme="minorEastAsia" w:hAnsiTheme="minorEastAsia" w:eastAsiaTheme="minorEastAsia" w:cstheme="minorEastAsia"/>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宋体" w:hAnsi="宋体" w:cs="宋体"/>
        </w:rPr>
        <w:fldChar w:fldCharType="end"/>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numPr>
          <w:ilvl w:val="0"/>
          <w:numId w:val="5"/>
        </w:numPr>
        <w:spacing w:line="360" w:lineRule="auto"/>
        <w:jc w:val="center"/>
        <w:outlineLvl w:val="0"/>
        <w:rPr>
          <w:b/>
          <w:bCs/>
          <w:sz w:val="24"/>
        </w:rPr>
      </w:pPr>
      <w:bookmarkStart w:id="0" w:name="_Toc5561"/>
      <w:bookmarkStart w:id="1" w:name="_Toc6866"/>
      <w:r>
        <w:rPr>
          <w:rFonts w:hint="eastAsia" w:ascii="宋体" w:hAnsi="宋体" w:cs="宋体"/>
          <w:b/>
          <w:sz w:val="36"/>
          <w:szCs w:val="36"/>
        </w:rPr>
        <w:t>竞争性磋商公告</w:t>
      </w:r>
      <w:bookmarkEnd w:id="0"/>
      <w:bookmarkEnd w:id="1"/>
      <w:bookmarkStart w:id="2" w:name="_Toc144974480"/>
      <w:bookmarkStart w:id="3" w:name="_Toc152045512"/>
      <w:bookmarkStart w:id="4" w:name="_Toc152042288"/>
      <w:bookmarkStart w:id="5" w:name="_Toc179632528"/>
      <w:bookmarkStart w:id="6" w:name="_Toc9976"/>
      <w:bookmarkStart w:id="7" w:name="_Toc524908844"/>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ascii="宋体" w:hAnsi="宋体" w:cs="宋体"/>
          <w:szCs w:val="21"/>
        </w:rPr>
      </w:pPr>
      <w:r>
        <w:rPr>
          <w:rFonts w:hint="eastAsia" w:ascii="宋体" w:hAnsi="宋体" w:cs="宋体"/>
          <w:b/>
          <w:bCs/>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szCs w:val="21"/>
        </w:rPr>
      </w:pPr>
      <w:r>
        <w:rPr>
          <w:rFonts w:hint="eastAsia" w:ascii="宋体" w:hAnsi="宋体" w:cs="宋体"/>
          <w:szCs w:val="21"/>
          <w:u w:val="single"/>
        </w:rPr>
        <w:t>华中师范大学2020-2023年非学历培训学员住宿协议供应商遴选采购项目</w:t>
      </w:r>
      <w:r>
        <w:rPr>
          <w:rFonts w:hint="eastAsia" w:ascii="宋体" w:hAnsi="宋体" w:cs="宋体"/>
          <w:szCs w:val="21"/>
        </w:rPr>
        <w:t>的潜在供应商应在</w:t>
      </w:r>
      <w:r>
        <w:rPr>
          <w:rFonts w:hint="eastAsia" w:ascii="宋体" w:hAnsi="宋体" w:cs="宋体"/>
          <w:szCs w:val="21"/>
          <w:u w:val="single"/>
        </w:rPr>
        <w:t>中经国际招标集团有限公司（武昌区中北路岳家嘴立交山河企业大厦48楼4805室）或线上</w:t>
      </w:r>
      <w:r>
        <w:rPr>
          <w:rFonts w:hint="eastAsia" w:ascii="宋体" w:hAnsi="宋体" w:cs="宋体"/>
          <w:szCs w:val="21"/>
        </w:rPr>
        <w:t>获取采购文件，并于</w:t>
      </w:r>
      <w:r>
        <w:rPr>
          <w:rFonts w:hint="eastAsia" w:ascii="宋体" w:hAnsi="宋体" w:cs="宋体"/>
          <w:szCs w:val="21"/>
          <w:u w:val="single"/>
        </w:rPr>
        <w:t>2020年9月14日09点30分</w:t>
      </w:r>
      <w:r>
        <w:rPr>
          <w:rFonts w:hint="eastAsia" w:ascii="宋体" w:hAnsi="宋体" w:cs="宋体"/>
          <w:szCs w:val="21"/>
        </w:rPr>
        <w:t>（北京时间）前递交响应文件。</w:t>
      </w:r>
    </w:p>
    <w:p>
      <w:pPr>
        <w:pStyle w:val="2"/>
        <w:numPr>
          <w:ilvl w:val="0"/>
          <w:numId w:val="6"/>
        </w:numPr>
        <w:spacing w:line="360" w:lineRule="auto"/>
        <w:jc w:val="left"/>
        <w:rPr>
          <w:rFonts w:ascii="宋体" w:hAnsi="宋体" w:eastAsia="宋体" w:cs="宋体"/>
          <w:sz w:val="21"/>
          <w:szCs w:val="21"/>
        </w:rPr>
      </w:pPr>
      <w:bookmarkStart w:id="8" w:name="_Toc6699"/>
      <w:r>
        <w:rPr>
          <w:rFonts w:hint="eastAsia" w:ascii="宋体" w:hAnsi="宋体" w:eastAsia="宋体" w:cs="宋体"/>
          <w:sz w:val="21"/>
          <w:szCs w:val="21"/>
        </w:rPr>
        <w:t>项目基本情况</w:t>
      </w:r>
      <w:bookmarkEnd w:id="8"/>
    </w:p>
    <w:p>
      <w:pPr>
        <w:spacing w:line="360" w:lineRule="auto"/>
        <w:jc w:val="left"/>
        <w:rPr>
          <w:rFonts w:ascii="宋体" w:hAnsi="宋体" w:cs="宋体"/>
          <w:szCs w:val="21"/>
        </w:rPr>
      </w:pPr>
      <w:r>
        <w:rPr>
          <w:rFonts w:hint="eastAsia" w:ascii="宋体" w:hAnsi="宋体" w:cs="宋体"/>
          <w:szCs w:val="21"/>
        </w:rPr>
        <w:t>1、项目编号：ZJZB-ZC-202008-240；</w:t>
      </w:r>
      <w:r>
        <w:rPr>
          <w:rFonts w:hint="eastAsia" w:ascii="宋体" w:hAnsi="宋体" w:cs="宋体"/>
          <w:szCs w:val="21"/>
        </w:rPr>
        <w:br w:type="textWrapping"/>
      </w:r>
      <w:r>
        <w:rPr>
          <w:rFonts w:hint="eastAsia" w:ascii="宋体" w:hAnsi="宋体" w:cs="宋体"/>
          <w:szCs w:val="21"/>
        </w:rPr>
        <w:t>2、项目名称：华中师范大学2020-2023年非学历培训学员住宿协议供应商遴选采购项目</w:t>
      </w:r>
      <w:r>
        <w:rPr>
          <w:rFonts w:hint="eastAsia" w:ascii="宋体" w:hAnsi="宋体" w:cs="宋体"/>
          <w:szCs w:val="21"/>
        </w:rPr>
        <w:br w:type="textWrapping"/>
      </w:r>
      <w:r>
        <w:rPr>
          <w:rFonts w:hint="eastAsia" w:ascii="宋体" w:hAnsi="宋体" w:cs="宋体"/>
          <w:szCs w:val="21"/>
        </w:rPr>
        <w:t>3、采购方式：竞争性磋商</w:t>
      </w:r>
      <w:r>
        <w:rPr>
          <w:rFonts w:hint="eastAsia" w:ascii="宋体" w:hAnsi="宋体" w:cs="宋体"/>
          <w:szCs w:val="21"/>
        </w:rPr>
        <w:br w:type="textWrapping"/>
      </w:r>
      <w:r>
        <w:rPr>
          <w:rFonts w:hint="eastAsia" w:ascii="宋体" w:hAnsi="宋体" w:cs="宋体"/>
          <w:szCs w:val="21"/>
        </w:rPr>
        <w:t>4、最高限价：住宿费：标间（含双早餐）</w:t>
      </w:r>
      <w:r>
        <w:rPr>
          <w:rFonts w:ascii="宋体" w:hAnsi="宋体" w:cs="宋体"/>
          <w:szCs w:val="21"/>
          <w:u w:val="single"/>
        </w:rPr>
        <w:t>450</w:t>
      </w:r>
      <w:r>
        <w:rPr>
          <w:rFonts w:hint="eastAsia" w:ascii="宋体" w:hAnsi="宋体" w:cs="宋体"/>
          <w:szCs w:val="21"/>
        </w:rPr>
        <w:t>元/间/天；会议室（60人桌）</w:t>
      </w:r>
      <w:r>
        <w:rPr>
          <w:rFonts w:ascii="宋体" w:hAnsi="宋体" w:cs="宋体"/>
          <w:szCs w:val="21"/>
          <w:u w:val="single"/>
        </w:rPr>
        <w:t>1500</w:t>
      </w:r>
      <w:r>
        <w:rPr>
          <w:rFonts w:hint="eastAsia" w:ascii="宋体" w:hAnsi="宋体" w:cs="宋体"/>
          <w:szCs w:val="21"/>
        </w:rPr>
        <w:t>元/半天，会议室（</w:t>
      </w:r>
      <w:r>
        <w:rPr>
          <w:rFonts w:ascii="宋体" w:hAnsi="宋体" w:cs="宋体"/>
          <w:szCs w:val="21"/>
        </w:rPr>
        <w:t>10</w:t>
      </w:r>
      <w:r>
        <w:rPr>
          <w:rFonts w:hint="eastAsia" w:ascii="宋体" w:hAnsi="宋体" w:cs="宋体"/>
          <w:szCs w:val="21"/>
        </w:rPr>
        <w:t>0人桌）</w:t>
      </w:r>
      <w:r>
        <w:rPr>
          <w:rFonts w:ascii="宋体" w:hAnsi="宋体" w:cs="宋体"/>
          <w:szCs w:val="21"/>
          <w:u w:val="single"/>
        </w:rPr>
        <w:t>2000</w:t>
      </w:r>
      <w:r>
        <w:rPr>
          <w:rFonts w:hint="eastAsia" w:ascii="宋体" w:hAnsi="宋体" w:cs="宋体"/>
          <w:szCs w:val="21"/>
        </w:rPr>
        <w:t>元/半天，会议室（</w:t>
      </w:r>
      <w:r>
        <w:rPr>
          <w:rFonts w:ascii="宋体" w:hAnsi="宋体" w:cs="宋体"/>
          <w:szCs w:val="21"/>
        </w:rPr>
        <w:t>20</w:t>
      </w:r>
      <w:r>
        <w:rPr>
          <w:rFonts w:hint="eastAsia" w:ascii="宋体" w:hAnsi="宋体" w:cs="宋体"/>
          <w:szCs w:val="21"/>
        </w:rPr>
        <w:t>0人桌）</w:t>
      </w:r>
      <w:r>
        <w:rPr>
          <w:rFonts w:ascii="宋体" w:hAnsi="宋体" w:cs="宋体"/>
          <w:szCs w:val="21"/>
          <w:u w:val="single"/>
        </w:rPr>
        <w:t>2500</w:t>
      </w:r>
      <w:r>
        <w:rPr>
          <w:rFonts w:hint="eastAsia" w:ascii="宋体" w:hAnsi="宋体" w:cs="宋体"/>
          <w:szCs w:val="21"/>
        </w:rPr>
        <w:t>元/半天。</w:t>
      </w:r>
    </w:p>
    <w:p>
      <w:pPr>
        <w:spacing w:line="360" w:lineRule="auto"/>
        <w:jc w:val="left"/>
        <w:rPr>
          <w:rFonts w:ascii="宋体" w:hAnsi="宋体" w:cs="宋体"/>
          <w:szCs w:val="21"/>
        </w:rPr>
      </w:pPr>
      <w:r>
        <w:rPr>
          <w:rFonts w:hint="eastAsia" w:ascii="宋体" w:hAnsi="宋体" w:cs="宋体"/>
          <w:szCs w:val="21"/>
        </w:rPr>
        <w:t>5、采购需求：本次竞争性磋商采购共</w:t>
      </w:r>
      <w:r>
        <w:rPr>
          <w:rFonts w:hint="eastAsia" w:ascii="宋体" w:hAnsi="宋体" w:cs="宋体"/>
          <w:szCs w:val="21"/>
          <w:u w:val="single"/>
        </w:rPr>
        <w:t>1</w:t>
      </w:r>
      <w:r>
        <w:rPr>
          <w:rFonts w:hint="eastAsia" w:ascii="宋体" w:hAnsi="宋体" w:cs="宋体"/>
          <w:szCs w:val="21"/>
        </w:rPr>
        <w:t>个项目包，具体需求如下，详细技术规格、参数及商务要求见本项目采购文件第三章内容。</w:t>
      </w:r>
    </w:p>
    <w:p>
      <w:pPr>
        <w:numPr>
          <w:ilvl w:val="0"/>
          <w:numId w:val="7"/>
        </w:numPr>
        <w:spacing w:line="360" w:lineRule="auto"/>
        <w:ind w:left="420" w:leftChars="200"/>
        <w:jc w:val="left"/>
        <w:rPr>
          <w:rFonts w:ascii="宋体" w:hAnsi="宋体" w:cs="宋体"/>
          <w:szCs w:val="21"/>
        </w:rPr>
      </w:pPr>
      <w:r>
        <w:rPr>
          <w:rFonts w:hint="eastAsia" w:ascii="宋体" w:hAnsi="宋体" w:cs="宋体"/>
          <w:szCs w:val="21"/>
        </w:rPr>
        <w:t>类别：服务</w:t>
      </w:r>
    </w:p>
    <w:p>
      <w:pPr>
        <w:numPr>
          <w:ilvl w:val="0"/>
          <w:numId w:val="7"/>
        </w:numPr>
        <w:spacing w:line="360" w:lineRule="auto"/>
        <w:ind w:left="420" w:leftChars="200"/>
        <w:jc w:val="left"/>
        <w:rPr>
          <w:rFonts w:ascii="宋体" w:hAnsi="宋体" w:cs="宋体"/>
          <w:szCs w:val="21"/>
        </w:rPr>
      </w:pPr>
      <w:r>
        <w:rPr>
          <w:rFonts w:hint="eastAsia" w:ascii="宋体" w:hAnsi="宋体" w:cs="宋体"/>
          <w:szCs w:val="21"/>
        </w:rPr>
        <w:t>简要技术要求/项目性质：</w:t>
      </w:r>
      <w:r>
        <w:rPr>
          <w:rFonts w:hint="eastAsia" w:ascii="宋体" w:hAnsi="宋体" w:cs="宋体"/>
          <w:szCs w:val="21"/>
          <w:u w:val="single"/>
        </w:rPr>
        <w:t>培训中心每年承接各类集中培训项目80余项，计约10000人次，学员在校培训期间需在学校周边宾馆住宿。为满足学员住宿需要，现公开遴选10家协议供应商</w:t>
      </w:r>
      <w:r>
        <w:rPr>
          <w:rFonts w:hint="eastAsia" w:ascii="宋体" w:hAnsi="宋体" w:cs="宋体"/>
          <w:szCs w:val="21"/>
        </w:rPr>
        <w:t>(</w:t>
      </w:r>
      <w:r>
        <w:rPr>
          <w:rFonts w:hint="eastAsia" w:asciiTheme="minorEastAsia" w:hAnsiTheme="minorEastAsia" w:eastAsiaTheme="minorEastAsia" w:cstheme="minorEastAsia"/>
          <w:bCs/>
          <w:kern w:val="44"/>
          <w:szCs w:val="21"/>
        </w:rPr>
        <w:t>若通过资格及符合性审查后的合格供应商</w:t>
      </w:r>
      <w:r>
        <w:rPr>
          <w:rFonts w:ascii="Arial" w:hAnsi="Arial" w:cs="Arial" w:eastAsiaTheme="minorEastAsia"/>
          <w:bCs/>
          <w:kern w:val="44"/>
          <w:szCs w:val="21"/>
        </w:rPr>
        <w:t>≤</w:t>
      </w:r>
      <w:r>
        <w:rPr>
          <w:rFonts w:hint="eastAsia" w:asciiTheme="minorEastAsia" w:hAnsiTheme="minorEastAsia" w:eastAsiaTheme="minorEastAsia" w:cstheme="minorEastAsia"/>
          <w:bCs/>
          <w:kern w:val="44"/>
          <w:szCs w:val="21"/>
        </w:rPr>
        <w:t>10家，则推荐n-2名成交候选供应商,n为合格供应商数量）</w:t>
      </w:r>
      <w:r>
        <w:rPr>
          <w:rFonts w:hint="eastAsia" w:ascii="宋体" w:hAnsi="宋体" w:cs="宋体"/>
          <w:szCs w:val="21"/>
        </w:rPr>
        <w:t>,</w:t>
      </w:r>
      <w:r>
        <w:rPr>
          <w:rFonts w:hint="eastAsia" w:ascii="宋体" w:hAnsi="宋体" w:cs="宋体"/>
          <w:szCs w:val="21"/>
          <w:u w:val="single"/>
        </w:rPr>
        <w:t>每个培训项目实施时间一般为5-7天，部分项目为10天以上</w:t>
      </w:r>
      <w:r>
        <w:rPr>
          <w:rFonts w:hint="eastAsia" w:ascii="宋体" w:hAnsi="宋体" w:cs="宋体"/>
          <w:szCs w:val="21"/>
        </w:rPr>
        <w:t>；(详见采购文件第三章“项目采购需求”）</w:t>
      </w:r>
    </w:p>
    <w:p>
      <w:pPr>
        <w:numPr>
          <w:ilvl w:val="0"/>
          <w:numId w:val="7"/>
        </w:numPr>
        <w:spacing w:line="360" w:lineRule="auto"/>
        <w:ind w:left="420" w:leftChars="200"/>
        <w:jc w:val="left"/>
        <w:rPr>
          <w:rFonts w:ascii="宋体" w:hAnsi="宋体" w:cs="宋体"/>
          <w:szCs w:val="21"/>
        </w:rPr>
      </w:pPr>
      <w:r>
        <w:rPr>
          <w:rFonts w:hint="eastAsia" w:ascii="宋体" w:hAnsi="宋体" w:cs="宋体"/>
          <w:szCs w:val="21"/>
        </w:rPr>
        <w:t>服务期：</w:t>
      </w:r>
      <w:r>
        <w:rPr>
          <w:rFonts w:hint="eastAsia" w:ascii="宋体" w:hAnsi="宋体" w:cs="宋体"/>
          <w:szCs w:val="21"/>
          <w:u w:val="single"/>
        </w:rPr>
        <w:t>3年（2020年9月-2023年8月31日），采购人每年针对入围供应商的服务情况进行考评，考评合格者可与采购人续签协议，考评不合格者，采购人将不再续签协议</w:t>
      </w:r>
      <w:r>
        <w:rPr>
          <w:rFonts w:hint="eastAsia" w:ascii="宋体" w:hAnsi="宋体" w:cs="宋体"/>
          <w:szCs w:val="21"/>
        </w:rPr>
        <w:t>。</w:t>
      </w:r>
    </w:p>
    <w:p>
      <w:pPr>
        <w:numPr>
          <w:ilvl w:val="0"/>
          <w:numId w:val="7"/>
        </w:numPr>
        <w:spacing w:line="360" w:lineRule="auto"/>
        <w:ind w:left="420" w:leftChars="200"/>
        <w:jc w:val="left"/>
        <w:rPr>
          <w:rFonts w:ascii="宋体" w:hAnsi="宋体" w:cs="宋体"/>
          <w:szCs w:val="21"/>
        </w:rPr>
      </w:pPr>
      <w:r>
        <w:rPr>
          <w:rFonts w:hint="eastAsia" w:ascii="宋体" w:hAnsi="宋体" w:cs="宋体"/>
          <w:szCs w:val="21"/>
        </w:rPr>
        <w:t>其他：供应商参加竞标的报价超过该项目采购最高限价的，该项目竞标无效；供应商报价须包含该采购需求的全部内容。</w:t>
      </w:r>
    </w:p>
    <w:p>
      <w:pPr>
        <w:spacing w:line="360" w:lineRule="auto"/>
        <w:jc w:val="left"/>
        <w:rPr>
          <w:rFonts w:ascii="宋体" w:hAnsi="宋体" w:cs="宋体"/>
          <w:strike/>
          <w:szCs w:val="21"/>
        </w:rPr>
      </w:pPr>
      <w:r>
        <w:rPr>
          <w:rFonts w:hint="eastAsia" w:ascii="宋体" w:hAnsi="宋体" w:cs="宋体"/>
          <w:szCs w:val="21"/>
        </w:rPr>
        <w:t>6、合同履行期限：</w:t>
      </w:r>
      <w:r>
        <w:rPr>
          <w:rFonts w:hint="eastAsia" w:ascii="宋体" w:hAnsi="宋体" w:cs="宋体"/>
          <w:szCs w:val="21"/>
          <w:u w:val="single"/>
        </w:rPr>
        <w:t>3年（2020年9月-2023年8月31日），采购人每年针对入围供应商的服务情况进行考评，考评合格者可与采购人续签协议，考评不合格者，采购人将不再续签协议；</w:t>
      </w:r>
    </w:p>
    <w:p>
      <w:pPr>
        <w:spacing w:line="360" w:lineRule="auto"/>
        <w:jc w:val="left"/>
        <w:rPr>
          <w:rFonts w:ascii="宋体" w:hAnsi="宋体" w:cs="宋体"/>
          <w:szCs w:val="21"/>
        </w:rPr>
      </w:pPr>
      <w:r>
        <w:rPr>
          <w:rFonts w:hint="eastAsia" w:ascii="宋体" w:hAnsi="宋体" w:cs="宋体"/>
          <w:szCs w:val="21"/>
        </w:rPr>
        <w:t>7、本项目</w:t>
      </w:r>
      <w:r>
        <w:rPr>
          <w:rFonts w:hint="eastAsia" w:ascii="宋体" w:hAnsi="宋体" w:cs="宋体"/>
          <w:szCs w:val="21"/>
          <w:u w:val="single"/>
        </w:rPr>
        <w:t>不接受</w:t>
      </w:r>
      <w:r>
        <w:rPr>
          <w:rFonts w:hint="eastAsia" w:ascii="宋体" w:hAnsi="宋体" w:cs="宋体"/>
          <w:szCs w:val="21"/>
        </w:rPr>
        <w:t>联合体竞标；</w:t>
      </w:r>
    </w:p>
    <w:p>
      <w:pPr>
        <w:pStyle w:val="10"/>
        <w:rPr>
          <w:b/>
        </w:rPr>
      </w:pPr>
      <w:r>
        <w:rPr>
          <w:rFonts w:hint="eastAsia"/>
          <w:b/>
        </w:rPr>
        <w:t>8、其他：特别说明：如学校其他单位有需要，可以共用此次招标结果。</w:t>
      </w:r>
    </w:p>
    <w:p>
      <w:pPr>
        <w:pStyle w:val="2"/>
        <w:numPr>
          <w:ilvl w:val="0"/>
          <w:numId w:val="6"/>
        </w:numPr>
        <w:spacing w:line="360" w:lineRule="auto"/>
        <w:jc w:val="left"/>
        <w:rPr>
          <w:rFonts w:ascii="宋体" w:hAnsi="宋体" w:eastAsia="宋体" w:cs="宋体"/>
          <w:sz w:val="21"/>
          <w:szCs w:val="21"/>
        </w:rPr>
      </w:pPr>
      <w:bookmarkStart w:id="9" w:name="_Toc310"/>
      <w:r>
        <w:rPr>
          <w:rFonts w:hint="eastAsia" w:ascii="宋体" w:hAnsi="宋体" w:eastAsia="宋体" w:cs="宋体"/>
          <w:sz w:val="21"/>
          <w:szCs w:val="21"/>
        </w:rPr>
        <w:t>申请人的资格要求</w:t>
      </w:r>
      <w:bookmarkEnd w:id="9"/>
    </w:p>
    <w:p>
      <w:pPr>
        <w:numPr>
          <w:ilvl w:val="0"/>
          <w:numId w:val="8"/>
        </w:numPr>
        <w:spacing w:line="360" w:lineRule="auto"/>
        <w:ind w:firstLine="420" w:firstLineChars="200"/>
        <w:jc w:val="left"/>
        <w:rPr>
          <w:rFonts w:ascii="宋体" w:hAnsi="宋体" w:cs="宋体"/>
          <w:szCs w:val="21"/>
        </w:rPr>
      </w:pPr>
      <w:r>
        <w:rPr>
          <w:rFonts w:hint="eastAsia" w:ascii="宋体" w:hAnsi="宋体" w:cs="宋体"/>
          <w:szCs w:val="21"/>
        </w:rPr>
        <w:t>满足《中华人民共和国政府采购法》第二十二条规定；</w:t>
      </w:r>
    </w:p>
    <w:p>
      <w:pPr>
        <w:spacing w:line="360" w:lineRule="auto"/>
        <w:ind w:left="446"/>
        <w:jc w:val="left"/>
        <w:rPr>
          <w:rFonts w:ascii="宋体" w:hAnsi="宋体" w:cs="宋体"/>
          <w:szCs w:val="21"/>
        </w:rPr>
      </w:pPr>
      <w:r>
        <w:rPr>
          <w:rFonts w:hint="eastAsia" w:ascii="宋体" w:hAnsi="宋体" w:cs="宋体"/>
          <w:szCs w:val="21"/>
        </w:rPr>
        <w:t xml:space="preserve">   1.1具有独立承担民事责任的能力；</w:t>
      </w:r>
    </w:p>
    <w:p>
      <w:pPr>
        <w:spacing w:line="360" w:lineRule="auto"/>
        <w:ind w:left="420" w:firstLine="315" w:firstLineChars="150"/>
        <w:jc w:val="left"/>
        <w:rPr>
          <w:rFonts w:ascii="宋体" w:hAnsi="宋体" w:cs="宋体"/>
          <w:szCs w:val="21"/>
        </w:rPr>
      </w:pPr>
      <w:r>
        <w:rPr>
          <w:rFonts w:hint="eastAsia" w:ascii="宋体" w:hAnsi="宋体" w:cs="宋体"/>
          <w:szCs w:val="21"/>
        </w:rPr>
        <w:t>1.2具有良好的商业信誉和健全的财务会计制度；</w:t>
      </w:r>
    </w:p>
    <w:p>
      <w:pPr>
        <w:spacing w:line="360" w:lineRule="auto"/>
        <w:ind w:left="420" w:firstLine="315" w:firstLineChars="150"/>
        <w:jc w:val="left"/>
        <w:rPr>
          <w:rFonts w:ascii="宋体" w:hAnsi="宋体" w:cs="宋体"/>
          <w:szCs w:val="21"/>
        </w:rPr>
      </w:pPr>
      <w:r>
        <w:rPr>
          <w:rFonts w:hint="eastAsia" w:ascii="宋体" w:hAnsi="宋体" w:cs="宋体"/>
          <w:szCs w:val="21"/>
        </w:rPr>
        <w:t>1.3具有履行合同所必需的设备和专业技术能力；</w:t>
      </w:r>
    </w:p>
    <w:p>
      <w:pPr>
        <w:spacing w:line="360" w:lineRule="auto"/>
        <w:ind w:left="420" w:firstLine="315" w:firstLineChars="150"/>
        <w:jc w:val="left"/>
        <w:rPr>
          <w:rFonts w:ascii="宋体" w:hAnsi="宋体" w:cs="宋体"/>
          <w:szCs w:val="21"/>
        </w:rPr>
      </w:pPr>
      <w:r>
        <w:rPr>
          <w:rFonts w:hint="eastAsia" w:ascii="宋体" w:hAnsi="宋体" w:cs="宋体"/>
          <w:szCs w:val="21"/>
        </w:rPr>
        <w:t>1.4有依法缴纳税收和社会保障资金的良好记录；</w:t>
      </w:r>
    </w:p>
    <w:p>
      <w:pPr>
        <w:spacing w:line="360" w:lineRule="auto"/>
        <w:ind w:left="420" w:firstLine="315" w:firstLineChars="150"/>
        <w:jc w:val="left"/>
        <w:rPr>
          <w:rFonts w:ascii="宋体" w:hAnsi="宋体" w:cs="宋体"/>
          <w:szCs w:val="21"/>
        </w:rPr>
      </w:pPr>
      <w:r>
        <w:rPr>
          <w:rFonts w:hint="eastAsia" w:ascii="宋体" w:hAnsi="宋体" w:cs="宋体"/>
          <w:szCs w:val="21"/>
        </w:rPr>
        <w:t>1.5参加政府采购活动前三年内，在经营活动中没有重大违法记录；（重大违法记录是指供应商因违法经营受到刑事处罚或者责令停产停业、吊销许可证或者执照、较大数额罚款等行政处罚）</w:t>
      </w:r>
    </w:p>
    <w:p>
      <w:pPr>
        <w:spacing w:line="360" w:lineRule="auto"/>
        <w:ind w:left="420" w:firstLine="315" w:firstLineChars="150"/>
        <w:jc w:val="left"/>
        <w:rPr>
          <w:rFonts w:ascii="宋体" w:hAnsi="宋体" w:cs="宋体"/>
          <w:szCs w:val="21"/>
        </w:rPr>
      </w:pPr>
      <w:r>
        <w:rPr>
          <w:rFonts w:hint="eastAsia" w:ascii="宋体" w:hAnsi="宋体" w:cs="宋体"/>
          <w:szCs w:val="21"/>
        </w:rPr>
        <w:t>1.6法律、行政法规规定的其他条件；</w:t>
      </w:r>
    </w:p>
    <w:p>
      <w:pPr>
        <w:numPr>
          <w:ilvl w:val="0"/>
          <w:numId w:val="8"/>
        </w:numPr>
        <w:spacing w:line="360" w:lineRule="auto"/>
        <w:ind w:firstLine="420" w:firstLineChars="200"/>
        <w:jc w:val="left"/>
        <w:rPr>
          <w:rFonts w:ascii="宋体" w:hAnsi="宋体" w:cs="宋体"/>
          <w:szCs w:val="21"/>
        </w:rPr>
      </w:pPr>
      <w:r>
        <w:rPr>
          <w:rFonts w:hint="eastAsia" w:ascii="宋体" w:hAnsi="宋体" w:cs="宋体"/>
          <w:szCs w:val="21"/>
        </w:rPr>
        <w:t>落实政府采购政策需满足的资格要求：本项目需落实政府采购强制、优先采购节能产品政策；政府采购优先采购环保产品政策；政府采购促进中小企业发展（监狱企业、残疾人福利性单位视同小微企业）等政策详见采购文件；</w:t>
      </w:r>
    </w:p>
    <w:p>
      <w:pPr>
        <w:numPr>
          <w:ilvl w:val="0"/>
          <w:numId w:val="8"/>
        </w:numPr>
        <w:spacing w:line="360" w:lineRule="auto"/>
        <w:ind w:firstLine="422" w:firstLineChars="200"/>
        <w:jc w:val="left"/>
        <w:rPr>
          <w:rFonts w:ascii="宋体" w:hAnsi="宋体" w:cs="宋体"/>
          <w:b/>
          <w:bCs/>
          <w:szCs w:val="21"/>
        </w:rPr>
      </w:pPr>
      <w:r>
        <w:rPr>
          <w:rFonts w:hint="eastAsia" w:ascii="宋体" w:hAnsi="宋体" w:cs="宋体"/>
          <w:b/>
          <w:bCs/>
          <w:szCs w:val="21"/>
        </w:rPr>
        <w:t>本项目的特定资格要求：</w:t>
      </w:r>
    </w:p>
    <w:p>
      <w:pPr>
        <w:spacing w:line="360" w:lineRule="auto"/>
        <w:ind w:firstLine="420" w:firstLineChars="200"/>
        <w:jc w:val="left"/>
        <w:rPr>
          <w:rFonts w:ascii="宋体" w:hAnsi="宋体" w:cs="宋体"/>
          <w:szCs w:val="21"/>
        </w:rPr>
      </w:pPr>
      <w:r>
        <w:rPr>
          <w:rFonts w:hint="eastAsia" w:ascii="宋体" w:hAnsi="宋体" w:cs="宋体"/>
          <w:szCs w:val="21"/>
        </w:rPr>
        <w:t>3.1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宋体" w:hAnsi="宋体" w:cs="宋体"/>
          <w:szCs w:val="21"/>
        </w:rPr>
        <w:br w:type="textWrapping"/>
      </w:r>
      <w:r>
        <w:rPr>
          <w:rFonts w:hint="eastAsia" w:ascii="宋体" w:hAnsi="宋体" w:cs="宋体"/>
          <w:szCs w:val="21"/>
        </w:rPr>
        <w:t xml:space="preserve">    3.2供应商营业执照的经营范围需满足采购需求；</w:t>
      </w:r>
    </w:p>
    <w:p>
      <w:pPr>
        <w:spacing w:line="360" w:lineRule="auto"/>
        <w:ind w:firstLine="420" w:firstLineChars="200"/>
        <w:jc w:val="left"/>
        <w:rPr>
          <w:rFonts w:ascii="宋体" w:hAnsi="宋体" w:cs="宋体"/>
          <w:szCs w:val="21"/>
        </w:rPr>
      </w:pPr>
      <w:r>
        <w:rPr>
          <w:rFonts w:hint="eastAsia" w:ascii="宋体" w:hAnsi="宋体" w:cs="宋体"/>
          <w:szCs w:val="21"/>
        </w:rPr>
        <w:t>3.3 供应商经营场所需可一次性满足至少100人所需食宿；</w:t>
      </w:r>
    </w:p>
    <w:p>
      <w:pPr>
        <w:numPr>
          <w:ilvl w:val="0"/>
          <w:numId w:val="8"/>
        </w:numPr>
        <w:spacing w:line="360" w:lineRule="auto"/>
        <w:ind w:firstLine="420" w:firstLineChars="200"/>
        <w:jc w:val="left"/>
        <w:rPr>
          <w:rFonts w:ascii="宋体" w:hAnsi="宋体" w:cs="宋体"/>
          <w:szCs w:val="21"/>
        </w:rPr>
      </w:pPr>
      <w:r>
        <w:rPr>
          <w:rFonts w:hint="eastAsia" w:ascii="宋体" w:hAnsi="宋体" w:cs="宋体"/>
          <w:szCs w:val="21"/>
        </w:rPr>
        <w:t>如国家法律法规对市场准入有要求的还应符合相关规定；</w:t>
      </w:r>
    </w:p>
    <w:p>
      <w:pPr>
        <w:pStyle w:val="2"/>
        <w:numPr>
          <w:ilvl w:val="0"/>
          <w:numId w:val="6"/>
        </w:numPr>
        <w:spacing w:line="360" w:lineRule="auto"/>
        <w:jc w:val="left"/>
        <w:rPr>
          <w:rFonts w:ascii="宋体" w:hAnsi="宋体" w:eastAsia="宋体" w:cs="宋体"/>
          <w:sz w:val="21"/>
          <w:szCs w:val="21"/>
        </w:rPr>
      </w:pPr>
      <w:bookmarkStart w:id="10" w:name="_Toc3682"/>
      <w:bookmarkStart w:id="11" w:name="_Toc334539185"/>
      <w:r>
        <w:rPr>
          <w:rFonts w:hint="eastAsia" w:ascii="宋体" w:hAnsi="宋体" w:eastAsia="宋体" w:cs="宋体"/>
          <w:sz w:val="21"/>
          <w:szCs w:val="21"/>
        </w:rPr>
        <w:t>获取采购文件</w:t>
      </w:r>
      <w:bookmarkEnd w:id="10"/>
    </w:p>
    <w:p>
      <w:pPr>
        <w:spacing w:line="360" w:lineRule="auto"/>
        <w:ind w:firstLine="420" w:firstLineChars="200"/>
        <w:jc w:val="left"/>
        <w:rPr>
          <w:rFonts w:ascii="宋体" w:hAnsi="宋体" w:cs="宋体"/>
          <w:szCs w:val="21"/>
        </w:rPr>
      </w:pPr>
      <w:r>
        <w:rPr>
          <w:rFonts w:hint="eastAsia" w:ascii="宋体" w:hAnsi="宋体" w:cs="宋体"/>
          <w:szCs w:val="21"/>
        </w:rPr>
        <w:t>时间：</w:t>
      </w:r>
      <w:r>
        <w:rPr>
          <w:rFonts w:hint="eastAsia" w:ascii="宋体" w:hAnsi="宋体" w:cs="宋体"/>
          <w:szCs w:val="21"/>
          <w:u w:val="single"/>
        </w:rPr>
        <w:t>2020年9月1日至2020年9月7日</w:t>
      </w:r>
      <w:r>
        <w:rPr>
          <w:rFonts w:hint="eastAsia" w:ascii="宋体" w:hAnsi="宋体" w:cs="宋体"/>
          <w:szCs w:val="21"/>
        </w:rPr>
        <w:t>（提供期限自本公告发布之日起至少5个工作日），每天上午09:00至12:00，下午14:30至17:00（北京时间，法定节假日除外）</w:t>
      </w:r>
    </w:p>
    <w:p>
      <w:pPr>
        <w:spacing w:line="360" w:lineRule="auto"/>
        <w:ind w:firstLine="420" w:firstLineChars="200"/>
        <w:jc w:val="left"/>
        <w:rPr>
          <w:rFonts w:ascii="宋体" w:hAnsi="宋体" w:cs="宋体"/>
          <w:szCs w:val="21"/>
        </w:rPr>
      </w:pPr>
      <w:r>
        <w:rPr>
          <w:rFonts w:hint="eastAsia" w:ascii="宋体" w:hAnsi="宋体" w:cs="宋体"/>
          <w:szCs w:val="21"/>
        </w:rPr>
        <w:t>地点：武昌区中北路岳家嘴立交山河企业大厦48楼4805室；</w:t>
      </w:r>
    </w:p>
    <w:p>
      <w:pPr>
        <w:spacing w:line="360" w:lineRule="auto"/>
        <w:ind w:firstLine="420" w:firstLineChars="200"/>
        <w:jc w:val="left"/>
        <w:rPr>
          <w:rFonts w:ascii="宋体" w:hAnsi="宋体" w:cs="宋体"/>
          <w:szCs w:val="21"/>
        </w:rPr>
      </w:pPr>
      <w:r>
        <w:rPr>
          <w:rFonts w:hint="eastAsia" w:ascii="宋体" w:hAnsi="宋体" w:cs="宋体"/>
          <w:szCs w:val="21"/>
        </w:rPr>
        <w:t>现场获取：</w:t>
      </w:r>
      <w:bookmarkEnd w:id="11"/>
      <w:r>
        <w:rPr>
          <w:rFonts w:hint="eastAsia" w:ascii="宋体" w:hAnsi="宋体" w:cs="宋体"/>
          <w:szCs w:val="21"/>
        </w:rPr>
        <w:t>1）法定代表人领取的，凭法定代表人身份证明书（格式见附件）及法定代表人身份证原件领取；2）法定代表人委托他人领取的，凭法定代表人授权书（格式见附件）及受托人身份证原件领取；3）加盖公章的营业执照真彩扫描件、项目报名表（格式见附件）；</w:t>
      </w:r>
      <w:r>
        <w:rPr>
          <w:rFonts w:hint="eastAsia" w:ascii="宋体" w:hAnsi="宋体" w:cs="宋体"/>
          <w:szCs w:val="21"/>
        </w:rPr>
        <w:br w:type="textWrapping"/>
      </w:r>
      <w:r>
        <w:rPr>
          <w:rFonts w:hint="eastAsia" w:ascii="宋体" w:hAnsi="宋体" w:cs="宋体"/>
          <w:szCs w:val="21"/>
        </w:rPr>
        <w:t>线上获取：线上获取文件的供应商，将公告后附件内容加盖公章扫描成PDF格式发送至邮箱2102252595@qq.com（邮件主题名称必须备注所参与的项目名称及公司全称，否则不予受理），以邮箱收到的时间为准。我司会按照收到资料的顺次序逐一回复，供应商递交资料后请耐心等待工作人员邮箱回复消息后，支付文件费用并确认报名成功。报名咨询请优先选择邮箱留言方式，特殊情况再电话联系，感谢理解。</w:t>
      </w:r>
    </w:p>
    <w:p>
      <w:pPr>
        <w:spacing w:line="360" w:lineRule="auto"/>
        <w:ind w:firstLine="420" w:firstLineChars="200"/>
        <w:jc w:val="left"/>
        <w:rPr>
          <w:rFonts w:ascii="宋体" w:hAnsi="宋体" w:cs="宋体"/>
          <w:szCs w:val="21"/>
        </w:rPr>
      </w:pPr>
      <w:r>
        <w:rPr>
          <w:rFonts w:hint="eastAsia" w:ascii="宋体" w:hAnsi="宋体" w:cs="宋体"/>
          <w:szCs w:val="21"/>
        </w:rPr>
        <w:t>售价：采购文件人民币300元/本，售后不退，不办理邮寄；</w:t>
      </w:r>
    </w:p>
    <w:p>
      <w:pPr>
        <w:pStyle w:val="2"/>
        <w:numPr>
          <w:ilvl w:val="0"/>
          <w:numId w:val="6"/>
        </w:numPr>
        <w:spacing w:line="360" w:lineRule="auto"/>
        <w:jc w:val="left"/>
        <w:rPr>
          <w:rFonts w:ascii="宋体" w:hAnsi="宋体" w:eastAsia="宋体" w:cs="宋体"/>
          <w:sz w:val="21"/>
          <w:szCs w:val="21"/>
        </w:rPr>
      </w:pPr>
      <w:bookmarkStart w:id="12" w:name="_Toc424"/>
      <w:r>
        <w:rPr>
          <w:rFonts w:hint="eastAsia" w:ascii="宋体" w:hAnsi="宋体" w:eastAsia="宋体" w:cs="宋体"/>
          <w:sz w:val="21"/>
          <w:szCs w:val="21"/>
        </w:rPr>
        <w:t>响应文件提交</w:t>
      </w:r>
      <w:bookmarkEnd w:id="12"/>
    </w:p>
    <w:p>
      <w:pPr>
        <w:spacing w:line="360" w:lineRule="auto"/>
        <w:ind w:firstLine="420" w:firstLineChars="200"/>
        <w:jc w:val="left"/>
        <w:rPr>
          <w:rFonts w:ascii="宋体" w:hAnsi="宋体" w:cs="宋体"/>
          <w:szCs w:val="21"/>
        </w:rPr>
      </w:pPr>
      <w:r>
        <w:rPr>
          <w:rFonts w:hint="eastAsia" w:ascii="宋体" w:hAnsi="宋体" w:cs="宋体"/>
          <w:szCs w:val="21"/>
        </w:rPr>
        <w:t>2020年9月14日09点30分（北京时间）（从磋商文件开始发出之日起至供应商提交首次响应文件截止之日止不得少于10日）</w:t>
      </w:r>
      <w:r>
        <w:rPr>
          <w:rFonts w:hint="eastAsia" w:ascii="宋体" w:hAnsi="宋体" w:cs="宋体"/>
          <w:szCs w:val="21"/>
        </w:rPr>
        <w:br w:type="textWrapping"/>
      </w:r>
      <w:r>
        <w:rPr>
          <w:rFonts w:hint="eastAsia" w:ascii="宋体" w:hAnsi="宋体" w:cs="宋体"/>
          <w:szCs w:val="21"/>
          <w:lang w:val="en-US" w:eastAsia="zh-CN"/>
        </w:rPr>
        <w:t xml:space="preserve">    </w:t>
      </w:r>
      <w:r>
        <w:rPr>
          <w:rFonts w:hint="eastAsia" w:ascii="宋体" w:hAnsi="宋体" w:cs="宋体"/>
          <w:szCs w:val="21"/>
        </w:rPr>
        <w:t>送达地点：武昌区中北路岳家嘴立交山河企业大厦4806室</w:t>
      </w:r>
    </w:p>
    <w:p>
      <w:pPr>
        <w:pStyle w:val="2"/>
        <w:numPr>
          <w:ilvl w:val="0"/>
          <w:numId w:val="6"/>
        </w:numPr>
        <w:spacing w:line="360" w:lineRule="auto"/>
        <w:jc w:val="left"/>
        <w:rPr>
          <w:rFonts w:eastAsia="宋体"/>
          <w:sz w:val="21"/>
          <w:szCs w:val="21"/>
        </w:rPr>
      </w:pPr>
      <w:bookmarkStart w:id="13" w:name="_Toc29287"/>
      <w:r>
        <w:rPr>
          <w:rFonts w:hint="eastAsia" w:ascii="宋体" w:hAnsi="宋体" w:eastAsia="宋体" w:cs="宋体"/>
          <w:sz w:val="21"/>
          <w:szCs w:val="21"/>
        </w:rPr>
        <w:t>开启</w:t>
      </w:r>
      <w:bookmarkEnd w:id="13"/>
    </w:p>
    <w:p>
      <w:pPr>
        <w:spacing w:line="360" w:lineRule="auto"/>
        <w:ind w:firstLine="420" w:firstLineChars="200"/>
        <w:jc w:val="left"/>
        <w:rPr>
          <w:szCs w:val="21"/>
        </w:rPr>
      </w:pPr>
      <w:r>
        <w:rPr>
          <w:rFonts w:hint="eastAsia" w:ascii="宋体" w:hAnsi="宋体" w:cs="宋体"/>
          <w:szCs w:val="21"/>
        </w:rPr>
        <w:t>时间：2020年9月14日09点30分（北京时间）</w:t>
      </w:r>
    </w:p>
    <w:p>
      <w:pPr>
        <w:pStyle w:val="2"/>
        <w:numPr>
          <w:ilvl w:val="0"/>
          <w:numId w:val="6"/>
        </w:numPr>
        <w:spacing w:line="360" w:lineRule="auto"/>
        <w:jc w:val="left"/>
        <w:rPr>
          <w:rFonts w:ascii="宋体" w:hAnsi="宋体" w:eastAsia="宋体" w:cs="宋体"/>
          <w:sz w:val="21"/>
          <w:szCs w:val="21"/>
        </w:rPr>
      </w:pPr>
      <w:bookmarkStart w:id="14" w:name="_Toc12197"/>
      <w:r>
        <w:rPr>
          <w:rFonts w:hint="eastAsia" w:ascii="宋体" w:hAnsi="宋体" w:eastAsia="宋体" w:cs="宋体"/>
          <w:sz w:val="21"/>
          <w:szCs w:val="21"/>
        </w:rPr>
        <w:t>公告期限</w:t>
      </w:r>
      <w:bookmarkEnd w:id="14"/>
    </w:p>
    <w:p>
      <w:pPr>
        <w:spacing w:line="360" w:lineRule="auto"/>
        <w:ind w:firstLine="420" w:firstLineChars="200"/>
        <w:jc w:val="left"/>
        <w:rPr>
          <w:rFonts w:ascii="宋体" w:hAnsi="宋体" w:cs="宋体"/>
          <w:szCs w:val="21"/>
        </w:rPr>
      </w:pPr>
      <w:bookmarkStart w:id="15" w:name="_Toc6021"/>
      <w:bookmarkStart w:id="16" w:name="_Toc334539188"/>
      <w:bookmarkStart w:id="17" w:name="_Toc317262251"/>
      <w:bookmarkStart w:id="18" w:name="_Toc320898024"/>
      <w:bookmarkStart w:id="19" w:name="_Toc276368888"/>
      <w:bookmarkStart w:id="20" w:name="_Toc259607751"/>
      <w:r>
        <w:rPr>
          <w:rFonts w:hint="eastAsia" w:ascii="宋体" w:hAnsi="宋体" w:cs="宋体"/>
          <w:szCs w:val="21"/>
        </w:rPr>
        <w:t>自本公告发布之日起至少5个工作日</w:t>
      </w:r>
    </w:p>
    <w:bookmarkEnd w:id="15"/>
    <w:bookmarkEnd w:id="16"/>
    <w:bookmarkEnd w:id="17"/>
    <w:bookmarkEnd w:id="18"/>
    <w:bookmarkEnd w:id="19"/>
    <w:bookmarkEnd w:id="20"/>
    <w:p>
      <w:pPr>
        <w:pStyle w:val="2"/>
        <w:numPr>
          <w:ilvl w:val="0"/>
          <w:numId w:val="6"/>
        </w:numPr>
        <w:spacing w:line="360" w:lineRule="auto"/>
        <w:jc w:val="left"/>
        <w:rPr>
          <w:rFonts w:ascii="宋体" w:hAnsi="宋体" w:eastAsia="宋体" w:cs="宋体"/>
          <w:sz w:val="21"/>
          <w:szCs w:val="21"/>
        </w:rPr>
      </w:pPr>
      <w:bookmarkStart w:id="21" w:name="_Toc15340"/>
      <w:r>
        <w:rPr>
          <w:rFonts w:hint="eastAsia" w:ascii="宋体" w:hAnsi="宋体" w:eastAsia="宋体" w:cs="宋体"/>
          <w:sz w:val="21"/>
          <w:szCs w:val="21"/>
        </w:rPr>
        <w:t>其他补充事宜</w:t>
      </w:r>
      <w:bookmarkEnd w:id="21"/>
    </w:p>
    <w:p>
      <w:pPr>
        <w:spacing w:line="360" w:lineRule="auto"/>
        <w:ind w:firstLine="420" w:firstLineChars="200"/>
        <w:jc w:val="left"/>
        <w:rPr>
          <w:rFonts w:ascii="宋体" w:hAnsi="宋体" w:cs="宋体"/>
          <w:szCs w:val="21"/>
        </w:rPr>
      </w:pPr>
      <w:bookmarkStart w:id="22" w:name="_Toc259028279"/>
      <w:r>
        <w:rPr>
          <w:rFonts w:hint="eastAsia" w:ascii="宋体" w:hAnsi="宋体" w:cs="宋体"/>
          <w:szCs w:val="21"/>
        </w:rPr>
        <w:t>1.本项目是否专门面向中小企业、监狱企业、残疾人福利性单位：否</w:t>
      </w:r>
    </w:p>
    <w:p>
      <w:pPr>
        <w:spacing w:line="360" w:lineRule="auto"/>
        <w:ind w:firstLine="420" w:firstLineChars="200"/>
        <w:jc w:val="left"/>
        <w:rPr>
          <w:rFonts w:ascii="宋体" w:hAnsi="宋体" w:cs="宋体"/>
          <w:szCs w:val="21"/>
        </w:rPr>
      </w:pPr>
      <w:r>
        <w:rPr>
          <w:rFonts w:hint="eastAsia" w:ascii="宋体" w:hAnsi="宋体" w:cs="宋体"/>
          <w:szCs w:val="21"/>
        </w:rPr>
        <w:t>2.与采购人存在利害关系可能影响采购公正性的法人、其他组织或者个人，不得参与本项目；单位负责人为同一人或存在控股、管理关系的不同单位只能有一家单位报名(按在采购代理机构处获取文件登记的先后顺序)。为本项目提供过整体设计、规范编制或者项目管理、监理、检测等服务的供应商不得参加本次采购活动。</w:t>
      </w:r>
    </w:p>
    <w:p>
      <w:pPr>
        <w:spacing w:line="360" w:lineRule="auto"/>
        <w:ind w:firstLine="420" w:firstLineChars="200"/>
        <w:jc w:val="left"/>
        <w:rPr>
          <w:rFonts w:ascii="宋体" w:hAnsi="宋体" w:cs="宋体"/>
          <w:szCs w:val="21"/>
        </w:rPr>
      </w:pPr>
      <w:r>
        <w:rPr>
          <w:rFonts w:hint="eastAsia" w:ascii="宋体" w:hAnsi="宋体" w:cs="宋体"/>
          <w:szCs w:val="21"/>
        </w:rPr>
        <w:t>3.供应商如需查询技术要求可直接到我处查阅采购文件第三章相关内容。</w:t>
      </w:r>
      <w:r>
        <w:rPr>
          <w:rFonts w:hint="eastAsia" w:ascii="宋体" w:hAnsi="宋体" w:cs="宋体"/>
          <w:szCs w:val="21"/>
        </w:rPr>
        <w:br w:type="textWrapping"/>
      </w:r>
      <w:r>
        <w:rPr>
          <w:rFonts w:hint="eastAsia" w:ascii="宋体" w:hAnsi="宋体" w:cs="宋体"/>
          <w:szCs w:val="21"/>
        </w:rPr>
        <w:t xml:space="preserve">    4.本项目将在以下网站发布所有信息，请参加本项目竞标的供应商密切关注。</w:t>
      </w:r>
      <w:r>
        <w:rPr>
          <w:rFonts w:hint="eastAsia" w:ascii="宋体" w:hAnsi="宋体" w:cs="宋体"/>
          <w:szCs w:val="21"/>
        </w:rPr>
        <w:br w:type="textWrapping"/>
      </w:r>
      <w:r>
        <w:rPr>
          <w:rFonts w:hint="eastAsia" w:ascii="宋体" w:hAnsi="宋体" w:cs="宋体"/>
          <w:szCs w:val="21"/>
        </w:rPr>
        <w:t xml:space="preserve">    （一）《中国政府采购网》（网址：</w:t>
      </w:r>
      <w:r>
        <w:fldChar w:fldCharType="begin"/>
      </w:r>
      <w:r>
        <w:instrText xml:space="preserve"> HYPERLINK "http://www.ccgp.gov.cn/）" </w:instrText>
      </w:r>
      <w:r>
        <w:fldChar w:fldCharType="separate"/>
      </w:r>
      <w:r>
        <w:rPr>
          <w:rFonts w:hint="eastAsia" w:ascii="宋体" w:hAnsi="宋体" w:cs="宋体"/>
          <w:szCs w:val="21"/>
        </w:rPr>
        <w:t>http://www.ccgp.gov.cn/）</w:t>
      </w:r>
      <w:r>
        <w:rPr>
          <w:rFonts w:hint="eastAsia" w:ascii="宋体" w:hAnsi="宋体" w:cs="宋体"/>
          <w:szCs w:val="21"/>
        </w:rPr>
        <w:fldChar w:fldCharType="end"/>
      </w:r>
    </w:p>
    <w:p>
      <w:pPr>
        <w:spacing w:line="360" w:lineRule="auto"/>
        <w:ind w:firstLine="420" w:firstLineChars="200"/>
        <w:jc w:val="left"/>
        <w:rPr>
          <w:rFonts w:ascii="宋体" w:hAnsi="宋体" w:cs="宋体" w:eastAsiaTheme="minorEastAsia"/>
          <w:szCs w:val="21"/>
        </w:rPr>
      </w:pPr>
      <w:r>
        <w:rPr>
          <w:rFonts w:hint="eastAsia" w:ascii="宋体" w:hAnsi="宋体" w:cs="宋体"/>
          <w:szCs w:val="21"/>
        </w:rPr>
        <w:t>（二）《中经国际招标集团有限公司官网》（网址：</w:t>
      </w:r>
      <w:r>
        <w:rPr>
          <w:rFonts w:hint="eastAsia" w:asciiTheme="minorEastAsia" w:hAnsiTheme="minorEastAsia" w:eastAsiaTheme="minorEastAsia" w:cstheme="minorEastAsia"/>
          <w:szCs w:val="21"/>
        </w:rPr>
        <w:t>http://www.ceitcl.com/）</w:t>
      </w:r>
    </w:p>
    <w:p>
      <w:pPr>
        <w:spacing w:line="360" w:lineRule="auto"/>
        <w:ind w:firstLine="420" w:firstLineChars="200"/>
        <w:jc w:val="left"/>
        <w:rPr>
          <w:rFonts w:ascii="宋体" w:hAnsi="宋体" w:cs="宋体"/>
          <w:b/>
          <w:bCs/>
          <w:szCs w:val="21"/>
        </w:rPr>
      </w:pPr>
      <w:r>
        <w:rPr>
          <w:rFonts w:hint="eastAsia" w:ascii="宋体" w:hAnsi="宋体" w:cs="宋体"/>
          <w:szCs w:val="21"/>
        </w:rPr>
        <w:t>（三）《华中师范大学招标信息网》（网址：http://zb.ccnu.edu.cn/）</w:t>
      </w:r>
    </w:p>
    <w:bookmarkEnd w:id="22"/>
    <w:p>
      <w:pPr>
        <w:pStyle w:val="2"/>
        <w:numPr>
          <w:ilvl w:val="0"/>
          <w:numId w:val="6"/>
        </w:numPr>
        <w:spacing w:line="360" w:lineRule="auto"/>
        <w:jc w:val="left"/>
        <w:rPr>
          <w:rFonts w:ascii="宋体" w:hAnsi="宋体" w:eastAsia="宋体" w:cs="宋体"/>
          <w:sz w:val="21"/>
          <w:szCs w:val="21"/>
        </w:rPr>
      </w:pPr>
      <w:bookmarkStart w:id="23" w:name="_Toc13247"/>
      <w:r>
        <w:rPr>
          <w:rFonts w:hint="eastAsia" w:ascii="宋体" w:hAnsi="宋体" w:eastAsia="宋体" w:cs="宋体"/>
          <w:sz w:val="21"/>
          <w:szCs w:val="21"/>
        </w:rPr>
        <w:t>凡对本次采购提出询问，请按以下方式联系</w:t>
      </w:r>
      <w:bookmarkEnd w:id="23"/>
    </w:p>
    <w:p>
      <w:pPr>
        <w:spacing w:line="360" w:lineRule="auto"/>
        <w:ind w:firstLine="420" w:firstLineChars="200"/>
        <w:jc w:val="left"/>
        <w:rPr>
          <w:rFonts w:ascii="宋体" w:hAnsi="宋体" w:cs="宋体"/>
          <w:szCs w:val="21"/>
        </w:rPr>
      </w:pPr>
      <w:r>
        <w:rPr>
          <w:rFonts w:hint="eastAsia" w:ascii="宋体" w:hAnsi="宋体" w:cs="宋体"/>
          <w:szCs w:val="21"/>
        </w:rPr>
        <w:t>1.采购人信息</w:t>
      </w:r>
    </w:p>
    <w:p>
      <w:pPr>
        <w:spacing w:line="360" w:lineRule="auto"/>
        <w:ind w:firstLine="420" w:firstLineChars="200"/>
        <w:jc w:val="left"/>
        <w:rPr>
          <w:rFonts w:ascii="宋体" w:hAnsi="宋体" w:cs="宋体"/>
          <w:szCs w:val="21"/>
        </w:rPr>
      </w:pPr>
      <w:r>
        <w:rPr>
          <w:rFonts w:hint="eastAsia" w:ascii="宋体" w:hAnsi="宋体" w:cs="宋体"/>
          <w:szCs w:val="21"/>
        </w:rPr>
        <w:t>名称：华中师范大学　　　　　　　　　　　　</w:t>
      </w:r>
    </w:p>
    <w:p>
      <w:pPr>
        <w:spacing w:line="360" w:lineRule="auto"/>
        <w:ind w:firstLine="420" w:firstLineChars="200"/>
        <w:jc w:val="left"/>
        <w:rPr>
          <w:rFonts w:ascii="宋体" w:hAnsi="宋体" w:cs="宋体"/>
          <w:szCs w:val="21"/>
        </w:rPr>
      </w:pPr>
      <w:r>
        <w:rPr>
          <w:rFonts w:hint="eastAsia" w:ascii="宋体" w:hAnsi="宋体" w:cs="宋体"/>
          <w:szCs w:val="21"/>
        </w:rPr>
        <w:t>地址：湖北省武汉市珞喻路152号　　　　　　　　　　　　</w:t>
      </w:r>
    </w:p>
    <w:p>
      <w:pPr>
        <w:spacing w:line="360" w:lineRule="auto"/>
        <w:ind w:firstLine="420" w:firstLineChars="200"/>
        <w:jc w:val="left"/>
        <w:rPr>
          <w:rFonts w:ascii="宋体" w:hAnsi="宋体" w:cs="宋体"/>
          <w:szCs w:val="21"/>
        </w:rPr>
      </w:pPr>
      <w:r>
        <w:rPr>
          <w:rFonts w:hint="eastAsia" w:ascii="宋体" w:hAnsi="宋体" w:cs="宋体"/>
          <w:szCs w:val="21"/>
        </w:rPr>
        <w:t>联系方式：李老师027-67862906　　　　　　　　　　　</w:t>
      </w:r>
    </w:p>
    <w:p>
      <w:pPr>
        <w:spacing w:line="360" w:lineRule="auto"/>
        <w:ind w:firstLine="420" w:firstLineChars="200"/>
        <w:jc w:val="left"/>
        <w:rPr>
          <w:rFonts w:ascii="宋体" w:hAnsi="宋体" w:cs="宋体"/>
          <w:szCs w:val="21"/>
        </w:rPr>
      </w:pPr>
      <w:r>
        <w:rPr>
          <w:rFonts w:hint="eastAsia" w:ascii="宋体" w:hAnsi="宋体" w:cs="宋体"/>
          <w:szCs w:val="21"/>
        </w:rPr>
        <w:t>2.采购代理机构信息</w:t>
      </w:r>
    </w:p>
    <w:p>
      <w:pPr>
        <w:spacing w:line="360" w:lineRule="auto"/>
        <w:ind w:firstLine="420" w:firstLineChars="200"/>
        <w:jc w:val="left"/>
        <w:rPr>
          <w:rFonts w:ascii="宋体" w:hAnsi="宋体" w:cs="宋体"/>
          <w:szCs w:val="21"/>
        </w:rPr>
      </w:pPr>
      <w:r>
        <w:rPr>
          <w:rFonts w:hint="eastAsia" w:ascii="宋体" w:hAnsi="宋体" w:cs="宋体"/>
          <w:szCs w:val="21"/>
        </w:rPr>
        <w:t>名称：中经国际招标集团有限公司　　　　　　　　　　　　</w:t>
      </w:r>
    </w:p>
    <w:p>
      <w:pPr>
        <w:spacing w:line="360" w:lineRule="auto"/>
        <w:ind w:firstLine="420" w:firstLineChars="200"/>
        <w:jc w:val="left"/>
        <w:rPr>
          <w:rFonts w:ascii="宋体" w:hAnsi="宋体" w:cs="宋体"/>
          <w:szCs w:val="21"/>
        </w:rPr>
      </w:pPr>
      <w:r>
        <w:rPr>
          <w:rFonts w:hint="eastAsia" w:ascii="宋体" w:hAnsi="宋体" w:cs="宋体"/>
          <w:szCs w:val="21"/>
        </w:rPr>
        <w:t>地　址：武昌区中北路岳家嘴立交山河企业大厦48楼4805、4806室　　　　　　　　　　　　</w:t>
      </w:r>
    </w:p>
    <w:p>
      <w:pPr>
        <w:spacing w:line="360" w:lineRule="auto"/>
        <w:ind w:firstLine="420" w:firstLineChars="200"/>
        <w:jc w:val="left"/>
        <w:rPr>
          <w:rFonts w:ascii="宋体" w:hAnsi="宋体" w:cs="宋体"/>
          <w:szCs w:val="21"/>
        </w:rPr>
      </w:pPr>
      <w:r>
        <w:rPr>
          <w:rFonts w:hint="eastAsia" w:ascii="宋体" w:hAnsi="宋体" w:cs="宋体"/>
          <w:szCs w:val="21"/>
        </w:rPr>
        <w:t>联系方式：027-87820788　　　　　　　　　　　　</w:t>
      </w:r>
    </w:p>
    <w:p>
      <w:pPr>
        <w:spacing w:line="360" w:lineRule="auto"/>
        <w:ind w:firstLine="420" w:firstLineChars="200"/>
        <w:jc w:val="left"/>
        <w:rPr>
          <w:rFonts w:ascii="宋体" w:hAnsi="宋体" w:cs="宋体"/>
          <w:szCs w:val="21"/>
        </w:rPr>
      </w:pPr>
      <w:r>
        <w:rPr>
          <w:rFonts w:hint="eastAsia" w:ascii="宋体" w:hAnsi="宋体" w:cs="宋体"/>
          <w:szCs w:val="21"/>
        </w:rPr>
        <w:t>3.项目联系方式</w:t>
      </w:r>
    </w:p>
    <w:p>
      <w:pPr>
        <w:spacing w:line="360" w:lineRule="auto"/>
        <w:ind w:firstLine="420" w:firstLineChars="200"/>
        <w:jc w:val="left"/>
        <w:rPr>
          <w:rFonts w:ascii="宋体" w:hAnsi="宋体" w:cs="宋体"/>
          <w:szCs w:val="21"/>
        </w:rPr>
      </w:pPr>
      <w:r>
        <w:rPr>
          <w:rFonts w:hint="eastAsia" w:ascii="宋体" w:hAnsi="宋体" w:cs="宋体"/>
          <w:szCs w:val="21"/>
        </w:rPr>
        <w:t>项目联系人：张梦、彭盼明、吴妍</w:t>
      </w:r>
    </w:p>
    <w:p>
      <w:pPr>
        <w:spacing w:line="360" w:lineRule="auto"/>
        <w:ind w:firstLine="420" w:firstLineChars="200"/>
        <w:jc w:val="left"/>
        <w:rPr>
          <w:rFonts w:asciiTheme="minorEastAsia" w:hAnsiTheme="minorEastAsia" w:eastAsiaTheme="minorEastAsia" w:cstheme="minorEastAsia"/>
          <w:szCs w:val="21"/>
        </w:rPr>
      </w:pPr>
      <w:r>
        <w:rPr>
          <w:rFonts w:hint="eastAsia" w:ascii="宋体" w:hAnsi="宋体" w:cs="宋体"/>
          <w:szCs w:val="21"/>
        </w:rPr>
        <w:t>电　话：027-87820788　　</w:t>
      </w:r>
    </w:p>
    <w:p>
      <w:pPr>
        <w:pStyle w:val="2"/>
        <w:numPr>
          <w:ilvl w:val="0"/>
          <w:numId w:val="6"/>
        </w:numPr>
        <w:spacing w:line="360" w:lineRule="auto"/>
        <w:jc w:val="left"/>
        <w:rPr>
          <w:rFonts w:asciiTheme="minorEastAsia" w:hAnsiTheme="minorEastAsia" w:eastAsiaTheme="minorEastAsia" w:cstheme="minorEastAsia"/>
          <w:sz w:val="21"/>
          <w:szCs w:val="21"/>
        </w:rPr>
      </w:pPr>
      <w:bookmarkStart w:id="24" w:name="_Toc24714"/>
      <w:bookmarkStart w:id="25" w:name="_Toc31804"/>
      <w:r>
        <w:rPr>
          <w:rFonts w:hint="eastAsia" w:asciiTheme="minorEastAsia" w:hAnsiTheme="minorEastAsia" w:eastAsiaTheme="minorEastAsia" w:cstheme="minorEastAsia"/>
          <w:sz w:val="21"/>
          <w:szCs w:val="21"/>
        </w:rPr>
        <w:t>注意事项</w:t>
      </w:r>
      <w:bookmarkEnd w:id="24"/>
      <w:bookmarkEnd w:id="25"/>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asciiTheme="minorEastAsia" w:hAnsiTheme="minorEastAsia" w:eastAsiaTheme="minorEastAsia" w:cstheme="minorEastAsia"/>
        </w:rPr>
      </w:pP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2020年8月31日</w:t>
      </w:r>
      <w:bookmarkStart w:id="26" w:name="_Toc16661"/>
    </w:p>
    <w:p>
      <w:pPr>
        <w:pStyle w:val="3"/>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t>第二章供应商须知</w:t>
      </w:r>
      <w:bookmarkEnd w:id="26"/>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27" w:name="_Toc9516"/>
      <w:r>
        <w:rPr>
          <w:rFonts w:hint="eastAsia" w:asciiTheme="minorEastAsia" w:hAnsiTheme="minorEastAsia" w:eastAsiaTheme="minorEastAsia" w:cstheme="minorEastAsia"/>
          <w:b/>
          <w:szCs w:val="21"/>
        </w:rPr>
        <w:t>总则</w:t>
      </w:r>
      <w:bookmarkEnd w:id="27"/>
    </w:p>
    <w:p>
      <w:pPr>
        <w:autoSpaceDE w:val="0"/>
        <w:autoSpaceDN w:val="0"/>
        <w:adjustRightInd w:val="0"/>
        <w:spacing w:line="360" w:lineRule="auto"/>
        <w:jc w:val="center"/>
        <w:outlineLvl w:val="1"/>
        <w:rPr>
          <w:rFonts w:asciiTheme="minorEastAsia" w:hAnsiTheme="minorEastAsia" w:eastAsiaTheme="minorEastAsia" w:cstheme="minorEastAsia"/>
          <w:b/>
          <w:szCs w:val="21"/>
          <w:lang w:val="zh-CN"/>
        </w:rPr>
      </w:pPr>
      <w:bookmarkStart w:id="28" w:name="_Toc19727"/>
      <w:bookmarkStart w:id="29" w:name="_Toc27922"/>
      <w:bookmarkStart w:id="30" w:name="_Toc27243"/>
      <w:r>
        <w:rPr>
          <w:rFonts w:hint="eastAsia" w:asciiTheme="minorEastAsia" w:hAnsiTheme="minorEastAsia" w:eastAsiaTheme="minorEastAsia" w:cstheme="minorEastAsia"/>
          <w:b/>
          <w:szCs w:val="21"/>
        </w:rPr>
        <w:t>《供应商须知前附表》</w:t>
      </w:r>
      <w:bookmarkEnd w:id="28"/>
    </w:p>
    <w:p>
      <w:pPr>
        <w:autoSpaceDE w:val="0"/>
        <w:autoSpaceDN w:val="0"/>
        <w:adjustRightInd w:val="0"/>
        <w:spacing w:line="360" w:lineRule="auto"/>
        <w:ind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条款号</w:t>
            </w:r>
          </w:p>
        </w:tc>
        <w:tc>
          <w:tcPr>
            <w:tcW w:w="2127"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t>条款名称</w:t>
            </w:r>
          </w:p>
        </w:tc>
        <w:tc>
          <w:tcPr>
            <w:tcW w:w="6130"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采购人</w:t>
            </w:r>
          </w:p>
        </w:tc>
        <w:tc>
          <w:tcPr>
            <w:tcW w:w="6130" w:type="dxa"/>
            <w:vAlign w:val="center"/>
          </w:tcPr>
          <w:p>
            <w:pPr>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华中师范大学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w:t>
            </w:r>
          </w:p>
        </w:tc>
        <w:tc>
          <w:tcPr>
            <w:tcW w:w="2127" w:type="dxa"/>
            <w:vAlign w:val="center"/>
          </w:tcPr>
          <w:p>
            <w:pPr>
              <w:pStyle w:val="24"/>
              <w:widowControl w:val="0"/>
              <w:autoSpaceDE w:val="0"/>
              <w:autoSpaceDN w:val="0"/>
              <w:adjustRightInd w:val="0"/>
              <w:spacing w:before="0" w:beforeAutospacing="0" w:after="0" w:afterAutospacing="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监管部门</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中华人民共和国财政部政府采购管理办公室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Lines="10" w:beforeAutospacing="0" w:afterLines="10" w:afterAutospacing="0"/>
              <w:ind w:left="21" w:leftChars="10"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sz w:val="21"/>
                <w:szCs w:val="21"/>
                <w:lang w:val="zh-CN"/>
              </w:rPr>
              <w:t>详见</w:t>
            </w:r>
            <w:r>
              <w:rPr>
                <w:rFonts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招标代理服务费</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国家发展与改革委员会办公厅发改办价格【2003】857号文的规定，经与采购人协商，由中标人按国家发展计划委员会计价格【2002】1980号文规定的取费标准向采购代理机构支付招标代理服务费。招标代理服务费由中标人在领取成交通知书的同时，向采购代理机构支付。招标代理服务费按每家中标人叁仟元保底收费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提疑截止时间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rPr>
              <w:t>供应商</w:t>
            </w:r>
            <w:r>
              <w:rPr>
                <w:rFonts w:asciiTheme="minorEastAsia" w:hAnsiTheme="minorEastAsia" w:eastAsiaTheme="minorEastAsia" w:cstheme="minorEastAsia"/>
                <w:sz w:val="21"/>
                <w:szCs w:val="21"/>
                <w:lang w:val="zh-CN"/>
              </w:rPr>
              <w:t>对</w:t>
            </w:r>
            <w:r>
              <w:rPr>
                <w:rFonts w:asciiTheme="minorEastAsia" w:hAnsiTheme="minorEastAsia" w:eastAsiaTheme="minorEastAsia" w:cstheme="minorEastAsia"/>
                <w:sz w:val="21"/>
                <w:szCs w:val="21"/>
              </w:rPr>
              <w:t>磋商</w:t>
            </w:r>
            <w:r>
              <w:rPr>
                <w:rFonts w:asciiTheme="minorEastAsia" w:hAnsiTheme="minorEastAsia" w:eastAsiaTheme="minorEastAsia" w:cstheme="minorEastAsia"/>
                <w:sz w:val="21"/>
                <w:szCs w:val="21"/>
                <w:lang w:val="zh-CN"/>
              </w:rPr>
              <w:t>文件有异议</w:t>
            </w:r>
            <w:r>
              <w:rPr>
                <w:rFonts w:asciiTheme="minorEastAsia" w:hAnsiTheme="minorEastAsia" w:eastAsiaTheme="minorEastAsia" w:cstheme="minorEastAsia"/>
                <w:sz w:val="21"/>
                <w:szCs w:val="21"/>
              </w:rPr>
              <w:t>或疑问</w:t>
            </w:r>
            <w:r>
              <w:rPr>
                <w:rFonts w:asciiTheme="minorEastAsia" w:hAnsiTheme="minorEastAsia" w:eastAsiaTheme="minorEastAsia" w:cstheme="minorEastAsia"/>
                <w:sz w:val="21"/>
                <w:szCs w:val="21"/>
                <w:lang w:val="zh-CN"/>
              </w:rPr>
              <w:t>的，均应以书面形式在</w:t>
            </w:r>
          </w:p>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sz w:val="21"/>
                <w:szCs w:val="21"/>
                <w:lang w:val="zh-CN"/>
              </w:rPr>
            </w:pPr>
            <w:r>
              <w:rPr>
                <w:rFonts w:asciiTheme="minorEastAsia" w:hAnsiTheme="minorEastAsia" w:eastAsiaTheme="minorEastAsia" w:cstheme="minorEastAsia"/>
                <w:sz w:val="21"/>
                <w:szCs w:val="21"/>
                <w:lang w:val="zh-CN"/>
              </w:rPr>
              <w:t>2020年</w:t>
            </w:r>
            <w:r>
              <w:rPr>
                <w:rFonts w:asciiTheme="minorEastAsia" w:hAnsiTheme="minorEastAsia" w:eastAsiaTheme="minorEastAsia" w:cstheme="minorEastAsia"/>
                <w:sz w:val="21"/>
                <w:szCs w:val="21"/>
              </w:rPr>
              <w:t>9</w:t>
            </w:r>
            <w:r>
              <w:rPr>
                <w:rFonts w:asciiTheme="minorEastAsia" w:hAnsiTheme="minorEastAsia" w:eastAsiaTheme="minorEastAsia" w:cstheme="minorEastAsia"/>
                <w:sz w:val="21"/>
                <w:szCs w:val="21"/>
                <w:lang w:val="zh-CN"/>
              </w:rPr>
              <w:t>月</w:t>
            </w:r>
            <w:r>
              <w:rPr>
                <w:rFonts w:asciiTheme="minorEastAsia" w:hAnsiTheme="minorEastAsia" w:eastAsiaTheme="minorEastAsia" w:cstheme="minorEastAsia"/>
                <w:sz w:val="21"/>
                <w:szCs w:val="21"/>
              </w:rPr>
              <w:t>8</w:t>
            </w:r>
            <w:r>
              <w:rPr>
                <w:rFonts w:asciiTheme="minorEastAsia" w:hAnsiTheme="minorEastAsia" w:eastAsiaTheme="minorEastAsia" w:cstheme="minorEastAsia"/>
                <w:sz w:val="21"/>
                <w:szCs w:val="21"/>
                <w:lang w:val="zh-CN"/>
              </w:rPr>
              <w:t>日</w:t>
            </w:r>
            <w:r>
              <w:rPr>
                <w:rFonts w:asciiTheme="minorEastAsia" w:hAnsiTheme="minorEastAsia" w:eastAsiaTheme="minorEastAsia" w:cstheme="minorEastAsia"/>
                <w:sz w:val="21"/>
                <w:szCs w:val="21"/>
              </w:rPr>
              <w:t>17</w:t>
            </w:r>
            <w:r>
              <w:rPr>
                <w:rFonts w:asciiTheme="minorEastAsia" w:hAnsiTheme="minorEastAsia" w:eastAsiaTheme="minorEastAsia" w:cstheme="minorEastAsia"/>
                <w:sz w:val="21"/>
                <w:szCs w:val="21"/>
                <w:lang w:val="zh-CN"/>
              </w:rPr>
              <w:t>:</w:t>
            </w:r>
            <w:r>
              <w:rPr>
                <w:rFonts w:asciiTheme="minorEastAsia" w:hAnsiTheme="minorEastAsia" w:eastAsiaTheme="minorEastAsia" w:cstheme="minorEastAsia"/>
                <w:sz w:val="21"/>
                <w:szCs w:val="21"/>
              </w:rPr>
              <w:t>0</w:t>
            </w:r>
            <w:r>
              <w:rPr>
                <w:rFonts w:asciiTheme="minorEastAsia" w:hAnsiTheme="minorEastAsia" w:eastAsiaTheme="minorEastAsia" w:cstheme="minorEastAsia"/>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rPr>
            </w:pPr>
            <w:r>
              <w:rPr>
                <w:rFonts w:asciiTheme="minorEastAsia" w:hAnsiTheme="minorEastAsia" w:eastAsiaTheme="minorEastAsia" w:cstheme="minorEastAsia"/>
                <w:kern w:val="2"/>
                <w:sz w:val="21"/>
                <w:szCs w:val="21"/>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供应商确认收到磋商</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文件澄清或者修改的</w:t>
            </w:r>
          </w:p>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对多</w:t>
            </w:r>
            <w:r>
              <w:rPr>
                <w:rFonts w:hint="eastAsia" w:asciiTheme="minorEastAsia" w:hAnsiTheme="minorEastAsia" w:eastAsiaTheme="minorEastAsia" w:cstheme="minorEastAsia"/>
                <w:snapToGrid w:val="0"/>
                <w:kern w:val="0"/>
                <w:szCs w:val="21"/>
              </w:rPr>
              <w:t>包</w:t>
            </w:r>
            <w:r>
              <w:rPr>
                <w:rFonts w:hint="eastAsia" w:asciiTheme="minorEastAsia" w:hAnsiTheme="minorEastAsia" w:eastAsiaTheme="minorEastAsia" w:cstheme="minorEastAsia"/>
                <w:snapToGrid w:val="0"/>
                <w:kern w:val="0"/>
                <w:szCs w:val="21"/>
                <w:lang w:val="zh-CN"/>
              </w:rPr>
              <w:t>采购的规定</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w:t>
            </w:r>
            <w:r>
              <w:rPr>
                <w:rFonts w:hint="eastAsia" w:asciiTheme="minorEastAsia" w:hAnsiTheme="minorEastAsia" w:eastAsiaTheme="minorEastAsia" w:cstheme="minorEastAsia"/>
                <w:szCs w:val="21"/>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备选方案</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本次采购</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联合体磋商</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本次采购</w:t>
            </w:r>
            <w:r>
              <w:rPr>
                <w:rFonts w:hint="eastAsia" w:asciiTheme="minorEastAsia" w:hAnsiTheme="minorEastAsia" w:eastAsiaTheme="minorEastAsia" w:cstheme="minorEastAsia"/>
                <w:szCs w:val="21"/>
                <w:u w:val="single"/>
                <w:lang w:val="zh-CN"/>
              </w:rPr>
              <w:t>不接受</w:t>
            </w:r>
            <w:r>
              <w:rPr>
                <w:rFonts w:hint="eastAsia" w:asciiTheme="minorEastAsia" w:hAnsiTheme="minorEastAsia" w:eastAsiaTheme="minorEastAsia" w:cstheme="minorEastAsia"/>
                <w:szCs w:val="21"/>
                <w:lang w:val="zh-CN"/>
              </w:rPr>
              <w:t>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lang w:val="zh-CN"/>
              </w:rPr>
              <w:t>应提交的其它资格证明文件（实质性要求）</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w:t>
            </w:r>
            <w:r>
              <w:rPr>
                <w:rFonts w:hint="eastAsia" w:asciiTheme="minorEastAsia" w:hAnsiTheme="minorEastAsia" w:eastAsiaTheme="minorEastAsia" w:cstheme="minorEastAsia"/>
                <w:szCs w:val="21"/>
              </w:rPr>
              <w:t>竞争性磋商</w:t>
            </w:r>
            <w:r>
              <w:rPr>
                <w:rFonts w:hint="eastAsia" w:asciiTheme="minorEastAsia" w:hAnsiTheme="minorEastAsia" w:eastAsiaTheme="minorEastAsia" w:cstheme="minorEastAsia"/>
                <w:szCs w:val="21"/>
                <w:lang w:val="zh-CN"/>
              </w:rPr>
              <w:t>公告》第二款“资格要求”，须提供的证明文件包括但不限于：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1、具有独立承担民事责任的能力（经营范围需满足采购需求）；</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营业执照等证明文件或自然人的身份证明（如供应商是企业（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2、具有良好的商业信誉和健全的财务会计制度；</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3、具有履行合同所必需的设备和专业技术能力的证明材料；（自拟）</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6、符合本文件第一章第二款资格要求的所有证明资料。</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
                <w:bCs/>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供应商不得存在的其他情形</w:t>
            </w:r>
          </w:p>
        </w:tc>
        <w:tc>
          <w:tcPr>
            <w:tcW w:w="6130" w:type="dxa"/>
            <w:vAlign w:val="center"/>
          </w:tcPr>
          <w:p>
            <w:pPr>
              <w:numPr>
                <w:ilvl w:val="0"/>
                <w:numId w:val="10"/>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numPr>
                <w:ilvl w:val="0"/>
                <w:numId w:val="10"/>
              </w:num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证明响应内容符合竞争性磋商采购文件要求的文件和竞争性磋商采购文件规定的其他资料</w:t>
            </w:r>
          </w:p>
        </w:tc>
        <w:tc>
          <w:tcPr>
            <w:tcW w:w="6130" w:type="dxa"/>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磋商保证金金额、递交方式、时间及接受磋商保证金的帐户信息</w:t>
            </w:r>
          </w:p>
        </w:tc>
        <w:tc>
          <w:tcPr>
            <w:tcW w:w="6130" w:type="dxa"/>
            <w:vAlign w:val="center"/>
          </w:tcPr>
          <w:p>
            <w:pPr>
              <w:ind w:right="256" w:rightChars="12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无（本项目不适用）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kern w:val="0"/>
                <w:szCs w:val="21"/>
              </w:rPr>
              <w:t>自磋商截止时间起共</w:t>
            </w:r>
            <w:r>
              <w:rPr>
                <w:rFonts w:hint="eastAsia" w:asciiTheme="minorEastAsia" w:hAnsiTheme="minorEastAsia" w:eastAsiaTheme="minorEastAsia" w:cstheme="minorEastAsia"/>
                <w:kern w:val="0"/>
                <w:szCs w:val="21"/>
                <w:u w:val="single"/>
              </w:rPr>
              <w:t xml:space="preserve"> 90 </w:t>
            </w:r>
            <w:r>
              <w:rPr>
                <w:rFonts w:hint="eastAsia" w:asciiTheme="minorEastAsia" w:hAnsiTheme="minorEastAsia" w:eastAsiaTheme="minorEastAsia" w:cstheme="minorEastAsia"/>
                <w:kern w:val="0"/>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竞争性磋商响应文件正、副本数量</w:t>
            </w:r>
          </w:p>
        </w:tc>
        <w:tc>
          <w:tcPr>
            <w:tcW w:w="6130" w:type="dxa"/>
            <w:vAlign w:val="center"/>
          </w:tcPr>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1、响应文件纸质版：正本一份（需为彩色打印件），副本</w:t>
            </w:r>
            <w:r>
              <w:rPr>
                <w:rFonts w:hint="eastAsia" w:asciiTheme="minorEastAsia" w:hAnsiTheme="minorEastAsia" w:eastAsiaTheme="minorEastAsia" w:cstheme="minorEastAsia"/>
                <w:szCs w:val="21"/>
                <w:u w:val="single"/>
              </w:rPr>
              <w:t>两</w:t>
            </w:r>
            <w:r>
              <w:rPr>
                <w:rFonts w:hint="eastAsia" w:asciiTheme="minorEastAsia" w:hAnsiTheme="minorEastAsia" w:eastAsiaTheme="minorEastAsia" w:cstheme="minorEastAsia"/>
                <w:szCs w:val="21"/>
              </w:rPr>
              <w:t>份；</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2、响应文件电子版：</w:t>
            </w:r>
          </w:p>
          <w:p>
            <w:pPr>
              <w:autoSpaceDE w:val="0"/>
              <w:autoSpaceDN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□不要求</w:t>
            </w:r>
          </w:p>
          <w:p>
            <w:pPr>
              <w:autoSpaceDE w:val="0"/>
              <w:autoSpaceDN w:val="0"/>
              <w:snapToGri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bdr w:val="single" w:color="auto" w:sz="4" w:space="0"/>
              </w:rPr>
              <w:t>√</w:t>
            </w:r>
            <w:r>
              <w:rPr>
                <w:rFonts w:hint="eastAsia" w:asciiTheme="minorEastAsia" w:hAnsiTheme="minorEastAsia" w:eastAsiaTheme="minorEastAsia" w:cstheme="minorEastAsia"/>
                <w:szCs w:val="21"/>
              </w:rPr>
              <w:t>要求，响应文件电子版内容：</w:t>
            </w:r>
            <w:r>
              <w:rPr>
                <w:rFonts w:hint="eastAsia" w:asciiTheme="minorEastAsia" w:hAnsiTheme="minorEastAsia" w:eastAsiaTheme="minorEastAsia" w:cstheme="minorEastAsia"/>
                <w:szCs w:val="21"/>
                <w:u w:val="single"/>
              </w:rPr>
              <w:t>与正本保持一致</w:t>
            </w:r>
          </w:p>
          <w:p>
            <w:pPr>
              <w:autoSpaceDE w:val="0"/>
              <w:autoSpaceDN w:val="0"/>
              <w:snapToGrid w:val="0"/>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shd w:val="clear" w:color="auto" w:fill="FFFFFF"/>
              </w:rPr>
              <w:t>响应文件电子版格式：</w:t>
            </w:r>
            <w:r>
              <w:rPr>
                <w:rFonts w:hint="eastAsia" w:asciiTheme="minorEastAsia" w:hAnsiTheme="minorEastAsia" w:eastAsiaTheme="minorEastAsia" w:cstheme="minorEastAsia"/>
                <w:szCs w:val="21"/>
                <w:u w:val="single"/>
              </w:rPr>
              <w:t>加盖公章后的PDF扫描件格式；</w:t>
            </w:r>
          </w:p>
          <w:p>
            <w:pPr>
              <w:autoSpaceDE w:val="0"/>
              <w:autoSpaceDN w:val="0"/>
              <w:adjustRightInd w:val="0"/>
              <w:ind w:firstLine="840" w:firstLineChars="40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响应文件电子版形式：</w:t>
            </w:r>
            <w:r>
              <w:rPr>
                <w:rFonts w:hint="eastAsia" w:asciiTheme="minorEastAsia" w:hAnsiTheme="minorEastAsia" w:eastAsiaTheme="minorEastAsia" w:cstheme="minorEastAsia"/>
                <w:szCs w:val="21"/>
                <w:u w:val="single"/>
              </w:rPr>
              <w:t xml:space="preserve"> U盘1份</w:t>
            </w:r>
          </w:p>
          <w:p>
            <w:pPr>
              <w:autoSpaceDE w:val="0"/>
              <w:autoSpaceDN w:val="0"/>
              <w:adjustRightInd w:val="0"/>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3、手持法定代表人授权委托书（或法定代表人身份证明书）、单独密封提供的报价一览表、优惠声明（如有）；</w:t>
            </w:r>
          </w:p>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所有响应文件概不退还，响应文件按包分开制作，分开密封。</w:t>
            </w:r>
          </w:p>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纸质响应文件应采用胶粘方</w:t>
            </w:r>
            <w:r>
              <w:rPr>
                <w:rFonts w:hint="eastAsia" w:asciiTheme="minorEastAsia" w:hAnsiTheme="minorEastAsia" w:eastAsiaTheme="minorEastAsia" w:cstheme="minorEastAsia"/>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kern w:val="2"/>
                <w:sz w:val="21"/>
                <w:szCs w:val="21"/>
                <w:lang w:val="zh-CN"/>
              </w:rPr>
            </w:pPr>
            <w:r>
              <w:rPr>
                <w:rFonts w:asciiTheme="minorEastAsia" w:hAnsiTheme="minorEastAsia" w:eastAsiaTheme="minorEastAsia" w:cstheme="minorEastAsia"/>
                <w:kern w:val="2"/>
                <w:sz w:val="21"/>
                <w:szCs w:val="21"/>
              </w:rPr>
              <w:t>19.1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竞争性磋商响应文件的密封和标记</w:t>
            </w:r>
          </w:p>
        </w:tc>
        <w:tc>
          <w:tcPr>
            <w:tcW w:w="6130" w:type="dxa"/>
            <w:vAlign w:val="center"/>
          </w:tcPr>
          <w:p>
            <w:pPr>
              <w:autoSpaceDE w:val="0"/>
              <w:autoSpaceDN w:val="0"/>
              <w:adjustRightIn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本条款细化为：响应文件正本需逐页加盖供应商单位公章，不得使用单位其他专用章代替。因签字盖章问题导致的响应材料被否决或竞标受影响的情况，其后果供应商自行承担。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响应文件送达地点及递交截止时间</w:t>
            </w:r>
          </w:p>
        </w:tc>
        <w:tc>
          <w:tcPr>
            <w:tcW w:w="6130" w:type="dxa"/>
            <w:vAlign w:val="center"/>
          </w:tcPr>
          <w:p>
            <w:pPr>
              <w:autoSpaceDE w:val="0"/>
              <w:autoSpaceDN w:val="0"/>
              <w:adjustRightInd w:val="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bCs/>
                <w:snapToGrid w:val="0"/>
                <w:kern w:val="0"/>
                <w:szCs w:val="21"/>
              </w:rPr>
            </w:pPr>
            <w:r>
              <w:rPr>
                <w:rFonts w:hint="eastAsia" w:asciiTheme="minorEastAsia" w:hAnsiTheme="minorEastAsia" w:eastAsiaTheme="minorEastAsia" w:cstheme="minorEastAsia"/>
                <w:b/>
                <w:bCs/>
                <w:snapToGrid w:val="0"/>
                <w:kern w:val="0"/>
                <w:szCs w:val="21"/>
              </w:rPr>
              <w:t>磋商代表</w:t>
            </w:r>
          </w:p>
        </w:tc>
        <w:tc>
          <w:tcPr>
            <w:tcW w:w="6130" w:type="dxa"/>
            <w:vAlign w:val="center"/>
          </w:tcPr>
          <w:p>
            <w:pPr>
              <w:autoSpaceDE w:val="0"/>
              <w:autoSpaceDN w:val="0"/>
              <w:adjustRightInd w:val="0"/>
              <w:jc w:val="left"/>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建议供应商拟派出席磋商会议的磋商代表为熟知本项目的技术人员或商务负责人等能</w:t>
            </w:r>
            <w:r>
              <w:rPr>
                <w:rFonts w:hint="eastAsia" w:asciiTheme="minorEastAsia" w:hAnsiTheme="minorEastAsia" w:eastAsiaTheme="minorEastAsia" w:cstheme="minorEastAsia"/>
                <w:b/>
                <w:bCs/>
                <w:szCs w:val="21"/>
              </w:rPr>
              <w:t>为磋商小组详细介绍供应商公司情况及项目了解情况的</w:t>
            </w:r>
            <w:r>
              <w:rPr>
                <w:rFonts w:hint="eastAsia" w:asciiTheme="minorEastAsia" w:hAnsiTheme="minorEastAsia" w:eastAsiaTheme="minorEastAsia" w:cstheme="minorEastAsia"/>
                <w:b/>
                <w:bCs/>
                <w:szCs w:val="21"/>
                <w:lang w:val="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Cs w:val="21"/>
              </w:rPr>
              <w:t>在指定地点以</w:t>
            </w:r>
            <w:r>
              <w:rPr>
                <w:rFonts w:hint="eastAsia" w:asciiTheme="minorEastAsia" w:hAnsiTheme="minorEastAsia" w:eastAsiaTheme="minorEastAsia" w:cstheme="minorEastAsia"/>
                <w:snapToGrid w:val="0"/>
                <w:kern w:val="0"/>
                <w:szCs w:val="21"/>
                <w:lang w:val="zh-CN"/>
              </w:rPr>
              <w:t>密封</w:t>
            </w:r>
            <w:r>
              <w:rPr>
                <w:rFonts w:hint="eastAsia" w:asciiTheme="minorEastAsia" w:hAnsiTheme="minorEastAsia" w:eastAsiaTheme="minorEastAsia" w:cstheme="minorEastAsia"/>
                <w:snapToGrid w:val="0"/>
                <w:kern w:val="0"/>
                <w:szCs w:val="21"/>
              </w:rPr>
              <w:t>等形式</w:t>
            </w:r>
            <w:r>
              <w:rPr>
                <w:rFonts w:hint="eastAsia" w:asciiTheme="minorEastAsia" w:hAnsiTheme="minorEastAsia" w:eastAsiaTheme="minorEastAsia" w:cstheme="minorEastAsia"/>
                <w:snapToGrid w:val="0"/>
                <w:kern w:val="0"/>
                <w:szCs w:val="21"/>
                <w:lang w:val="zh-CN"/>
              </w:rPr>
              <w:t>递交</w:t>
            </w:r>
            <w:r>
              <w:rPr>
                <w:rFonts w:hint="eastAsia" w:asciiTheme="minorEastAsia" w:hAnsiTheme="minorEastAsia" w:eastAsiaTheme="minorEastAsia" w:cstheme="minorEastAsia"/>
                <w:snapToGrid w:val="0"/>
                <w:kern w:val="0"/>
                <w:szCs w:val="21"/>
              </w:rPr>
              <w:t>给采购代理机构指定现场工作人员或</w:t>
            </w:r>
            <w:r>
              <w:rPr>
                <w:rFonts w:hint="eastAsia" w:asciiTheme="minorEastAsia" w:hAnsiTheme="minorEastAsia" w:eastAsiaTheme="minorEastAsia" w:cstheme="minorEastAsia"/>
                <w:snapToGrid w:val="0"/>
                <w:kern w:val="0"/>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27.3</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推荐成交候选</w:t>
            </w:r>
            <w:r>
              <w:rPr>
                <w:rFonts w:hint="eastAsia" w:asciiTheme="minorEastAsia" w:hAnsiTheme="minorEastAsia" w:eastAsiaTheme="minorEastAsia" w:cstheme="minorEastAsia"/>
                <w:snapToGrid w:val="0"/>
                <w:kern w:val="0"/>
                <w:szCs w:val="21"/>
              </w:rPr>
              <w:t>供应商</w:t>
            </w:r>
            <w:r>
              <w:rPr>
                <w:rFonts w:hint="eastAsia" w:asciiTheme="minorEastAsia" w:hAnsiTheme="minorEastAsia" w:eastAsiaTheme="minorEastAsia" w:cstheme="minorEastAsia"/>
                <w:snapToGrid w:val="0"/>
                <w:kern w:val="0"/>
                <w:szCs w:val="21"/>
                <w:lang w:val="zh-CN"/>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本项目推荐</w:t>
            </w:r>
            <w:r>
              <w:rPr>
                <w:rFonts w:hint="eastAsia" w:asciiTheme="minorEastAsia" w:hAnsiTheme="minorEastAsia" w:eastAsiaTheme="minorEastAsia" w:cstheme="minorEastAsia"/>
                <w:bCs/>
                <w:kern w:val="44"/>
                <w:szCs w:val="21"/>
                <w:u w:val="single"/>
              </w:rPr>
              <w:t>10</w:t>
            </w:r>
            <w:r>
              <w:rPr>
                <w:rFonts w:hint="eastAsia" w:asciiTheme="minorEastAsia" w:hAnsiTheme="minorEastAsia" w:eastAsiaTheme="minorEastAsia" w:cstheme="minorEastAsia"/>
                <w:bCs/>
                <w:kern w:val="44"/>
                <w:szCs w:val="21"/>
              </w:rPr>
              <w:t>名成交候选供应商；若通过资格及符合性审查后的合格供应商</w:t>
            </w:r>
            <w:r>
              <w:rPr>
                <w:rFonts w:ascii="Arial" w:hAnsi="Arial" w:cs="Arial" w:eastAsiaTheme="minorEastAsia"/>
                <w:bCs/>
                <w:kern w:val="44"/>
                <w:szCs w:val="21"/>
              </w:rPr>
              <w:t>≤</w:t>
            </w:r>
            <w:r>
              <w:rPr>
                <w:rFonts w:hint="eastAsia" w:asciiTheme="minorEastAsia" w:hAnsiTheme="minorEastAsia" w:eastAsiaTheme="minorEastAsia" w:cstheme="minorEastAsia"/>
                <w:bCs/>
                <w:kern w:val="44"/>
                <w:szCs w:val="21"/>
              </w:rPr>
              <w:t>10家，则推荐n-2名成交候选供应商（n为合格供应商数量）；若通过资格及符合性审查后的合格供应商不足3家，则重新组织采购活动。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28.5</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成交通知书的领</w:t>
            </w:r>
            <w:r>
              <w:rPr>
                <w:rFonts w:hint="eastAsia" w:asciiTheme="minorEastAsia" w:hAnsiTheme="minorEastAsia" w:eastAsiaTheme="minorEastAsia" w:cstheme="minorEastAsia"/>
                <w:snapToGrid w:val="0"/>
                <w:kern w:val="0"/>
                <w:szCs w:val="21"/>
              </w:rPr>
              <w:t>时</w:t>
            </w:r>
            <w:r>
              <w:rPr>
                <w:rFonts w:hint="eastAsia" w:asciiTheme="minorEastAsia" w:hAnsiTheme="minorEastAsia" w:eastAsiaTheme="minorEastAsia" w:cstheme="minorEastAsia"/>
                <w:snapToGrid w:val="0"/>
                <w:kern w:val="0"/>
                <w:szCs w:val="21"/>
                <w:lang w:val="zh-CN"/>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Lines="10" w:afterLines="10"/>
              <w:ind w:right="21" w:rightChars="10"/>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
                <w:bCs/>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报价方式</w:t>
            </w:r>
          </w:p>
        </w:tc>
        <w:tc>
          <w:tcPr>
            <w:tcW w:w="6130" w:type="dxa"/>
            <w:vAlign w:val="center"/>
          </w:tcPr>
          <w:p>
            <w:pPr>
              <w:autoSpaceDE w:val="0"/>
              <w:autoSpaceDN w:val="0"/>
              <w:adjustRightInd w:val="0"/>
              <w:snapToGrid w:val="0"/>
              <w:spacing w:beforeLines="10" w:afterLines="10"/>
              <w:ind w:right="21" w:rightChars="10"/>
              <w:jc w:val="left"/>
              <w:rPr>
                <w:lang w:val="zh-CN"/>
              </w:rPr>
            </w:pPr>
            <w:r>
              <w:rPr>
                <w:rFonts w:hint="eastAsia"/>
                <w:b/>
                <w:bCs/>
                <w:lang w:val="zh-CN"/>
              </w:rPr>
              <w:t>此项目按照酒店标间（含双早）和会议室（半天）的综合单价进行报价。</w:t>
            </w:r>
          </w:p>
          <w:p>
            <w:pPr>
              <w:autoSpaceDE w:val="0"/>
              <w:autoSpaceDN w:val="0"/>
              <w:adjustRightInd w:val="0"/>
              <w:snapToGrid w:val="0"/>
              <w:spacing w:beforeLines="10" w:afterLines="10"/>
              <w:ind w:right="21" w:rightChars="10"/>
              <w:jc w:val="left"/>
              <w:rPr>
                <w:lang w:val="zh-CN"/>
              </w:rPr>
            </w:pPr>
            <w:r>
              <w:rPr>
                <w:rFonts w:hint="eastAsia"/>
                <w:lang w:val="zh-CN"/>
              </w:rPr>
              <w:t>本项目</w:t>
            </w:r>
            <w:r>
              <w:rPr>
                <w:rFonts w:hint="eastAsia"/>
              </w:rPr>
              <w:t>竞标</w:t>
            </w:r>
            <w:r>
              <w:rPr>
                <w:rFonts w:hint="eastAsia"/>
                <w:lang w:val="zh-CN"/>
              </w:rPr>
              <w:t>报价为“交钥匙”价。竞标报价应包括完成该</w:t>
            </w:r>
            <w:r>
              <w:rPr>
                <w:rFonts w:hint="eastAsia"/>
              </w:rPr>
              <w:t>项目采购范围内的所有费用</w:t>
            </w:r>
            <w:r>
              <w:rPr>
                <w:rFonts w:hint="eastAsia"/>
                <w:lang w:val="zh-CN"/>
              </w:rPr>
              <w:t>及</w:t>
            </w:r>
            <w:r>
              <w:rPr>
                <w:rFonts w:hint="eastAsia"/>
              </w:rPr>
              <w:t>后期</w:t>
            </w:r>
            <w:r>
              <w:rPr>
                <w:rFonts w:hint="eastAsia"/>
                <w:lang w:val="zh-CN"/>
              </w:rPr>
              <w:t>质保期间等一切服务费用及其他售后服务等全部相关工作</w:t>
            </w:r>
            <w:r>
              <w:rPr>
                <w:rFonts w:hint="eastAsia"/>
              </w:rPr>
              <w:t>的全费用</w:t>
            </w:r>
            <w:r>
              <w:rPr>
                <w:rFonts w:hint="eastAsia"/>
                <w:lang w:val="zh-CN"/>
              </w:rPr>
              <w:t>。合同签订后采购人未提出增加工作内容的情况下，合同价不得调整。</w:t>
            </w:r>
          </w:p>
          <w:p>
            <w:pPr>
              <w:autoSpaceDE w:val="0"/>
              <w:autoSpaceDN w:val="0"/>
              <w:adjustRightInd w:val="0"/>
              <w:snapToGrid w:val="0"/>
              <w:spacing w:beforeLines="10" w:afterLines="10"/>
              <w:ind w:right="21" w:rightChars="10"/>
              <w:jc w:val="left"/>
              <w:rPr>
                <w:lang w:val="zh-CN"/>
              </w:rPr>
            </w:pPr>
            <w:r>
              <w:rPr>
                <w:rFonts w:hint="eastAsia"/>
                <w:lang w:val="zh-CN"/>
              </w:rPr>
              <w:t>各供应商按此要求进行报价，同时在合同实施过程中还将发生的其它费用</w:t>
            </w:r>
            <w:r>
              <w:rPr>
                <w:rFonts w:hint="eastAsia"/>
              </w:rPr>
              <w:t>也</w:t>
            </w:r>
            <w:r>
              <w:rPr>
                <w:rFonts w:hint="eastAsia"/>
                <w:lang w:val="zh-CN"/>
              </w:rPr>
              <w:t>应包含在总价中，对在合同实施过程中可能发生的其它费用（如：增加耗材、材料涨价、人工、运输成本增加等因素），</w:t>
            </w:r>
            <w:r>
              <w:rPr>
                <w:rFonts w:hint="eastAsia"/>
              </w:rPr>
              <w:t>采购人</w:t>
            </w:r>
            <w:r>
              <w:rPr>
                <w:rFonts w:hint="eastAsia"/>
                <w:lang w:val="zh-CN"/>
              </w:rPr>
              <w:t>概不负责。</w:t>
            </w:r>
          </w:p>
          <w:p>
            <w:pPr>
              <w:autoSpaceDE w:val="0"/>
              <w:autoSpaceDN w:val="0"/>
              <w:adjustRightInd w:val="0"/>
              <w:snapToGrid w:val="0"/>
              <w:spacing w:beforeLines="10" w:afterLines="10"/>
              <w:ind w:right="21" w:rightChars="10"/>
              <w:jc w:val="left"/>
            </w:pPr>
            <w:r>
              <w:rPr>
                <w:rFonts w:hint="eastAsia"/>
                <w:lang w:val="zh-CN"/>
              </w:rPr>
              <w:t>对于</w:t>
            </w:r>
            <w:r>
              <w:rPr>
                <w:rFonts w:hint="eastAsia"/>
              </w:rPr>
              <w:t>磋商</w:t>
            </w:r>
            <w:r>
              <w:rPr>
                <w:rFonts w:hint="eastAsia"/>
                <w:lang w:val="zh-CN"/>
              </w:rPr>
              <w:t>文件未列明，而</w:t>
            </w:r>
            <w:r>
              <w:rPr>
                <w:rFonts w:hint="eastAsia"/>
              </w:rPr>
              <w:t>磋商</w:t>
            </w:r>
            <w:r>
              <w:rPr>
                <w:rFonts w:hint="eastAsia"/>
                <w:lang w:val="zh-CN"/>
              </w:rPr>
              <w:t>供应商认为</w:t>
            </w:r>
            <w:r>
              <w:rPr>
                <w:rFonts w:hint="eastAsia"/>
              </w:rPr>
              <w:t>必须</w:t>
            </w:r>
            <w:r>
              <w:rPr>
                <w:rFonts w:hint="eastAsia"/>
                <w:lang w:val="zh-CN"/>
              </w:rPr>
              <w:t>的费用也需列入总报价。在合同实施时，采购人将不予支付</w:t>
            </w:r>
            <w:r>
              <w:rPr>
                <w:rFonts w:hint="eastAsia"/>
              </w:rPr>
              <w:t>成交</w:t>
            </w:r>
            <w:r>
              <w:rPr>
                <w:rFonts w:hint="eastAsia"/>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踏勘现场</w:t>
            </w: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☑采购人不组织统一踏勘，请各供应商自行踏勘现场；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□组织，踏勘时间：</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踏勘集中地点：</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踏勘联系人：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注：1、供应商承担踏勘现场所发生的自身费用；</w:t>
            </w:r>
          </w:p>
          <w:p>
            <w:pPr>
              <w:autoSpaceDE w:val="0"/>
              <w:autoSpaceDN w:val="0"/>
              <w:adjustRightInd w:val="0"/>
              <w:snapToGrid w:val="0"/>
              <w:spacing w:beforeLines="10" w:afterLines="10"/>
              <w:ind w:right="21" w:rightChars="10"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2、供应商应承担踏勘现场的责任和风险。</w:t>
            </w:r>
          </w:p>
          <w:p>
            <w:pPr>
              <w:autoSpaceDE w:val="0"/>
              <w:autoSpaceDN w:val="0"/>
              <w:adjustRightInd w:val="0"/>
              <w:snapToGrid w:val="0"/>
              <w:spacing w:beforeLines="10" w:afterLines="10"/>
              <w:ind w:right="21" w:rightChars="10" w:firstLine="420" w:firstLineChars="20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3、采购人在踏勘现场中介绍的项目背景及项目现场和相关的周边环境情况，供应商在编制响应文件时参考，采购人和采购代理机构不对供应商据此作出的判断和决策负责。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04"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127" w:type="dxa"/>
            <w:vAlign w:val="center"/>
          </w:tcPr>
          <w:p>
            <w:pPr>
              <w:autoSpaceDE w:val="0"/>
              <w:autoSpaceDN w:val="0"/>
              <w:adjustRightInd w:val="0"/>
              <w:ind w:left="21" w:lef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付款方式</w:t>
            </w:r>
          </w:p>
        </w:tc>
        <w:tc>
          <w:tcPr>
            <w:tcW w:w="6130" w:type="dxa"/>
            <w:vAlign w:val="center"/>
          </w:tcPr>
          <w:p>
            <w:pPr>
              <w:autoSpaceDE w:val="0"/>
              <w:autoSpaceDN w:val="0"/>
              <w:adjustRightInd w:val="0"/>
              <w:snapToGrid w:val="0"/>
              <w:spacing w:line="360" w:lineRule="auto"/>
              <w:rPr>
                <w:rFonts w:asciiTheme="minorEastAsia" w:hAnsiTheme="minorEastAsia" w:eastAsiaTheme="minorEastAsia" w:cstheme="minorEastAsia"/>
                <w:szCs w:val="21"/>
              </w:rPr>
            </w:pPr>
            <w:r>
              <w:rPr>
                <w:rFonts w:hint="eastAsia"/>
                <w:lang w:val="zh-CN"/>
              </w:rPr>
              <w:t>按月结算，具体以采购人财务支付制度支付合同款项，成交供应商每月在采购人支付合同款项前三个工作日向采购人提供正规的税务发票，否则，采购人有权拒付。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22"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履约保证金</w:t>
            </w:r>
          </w:p>
        </w:tc>
        <w:tc>
          <w:tcPr>
            <w:tcW w:w="6130" w:type="dxa"/>
            <w:vAlign w:val="center"/>
          </w:tcPr>
          <w:p>
            <w:pPr>
              <w:autoSpaceDE w:val="0"/>
              <w:autoSpaceDN w:val="0"/>
              <w:adjustRightInd w:val="0"/>
              <w:snapToGrid w:val="0"/>
              <w:spacing w:beforeLines="10" w:afterLines="10" w:line="360" w:lineRule="auto"/>
              <w:ind w:right="21" w:rightChars="10"/>
              <w:rPr>
                <w:rFonts w:asciiTheme="minorEastAsia" w:hAnsiTheme="minorEastAsia" w:eastAsiaTheme="minorEastAsia" w:cstheme="minorEastAsia"/>
                <w:szCs w:val="21"/>
              </w:rPr>
            </w:pPr>
            <w:r>
              <w:rPr>
                <w:rFonts w:hint="eastAsia"/>
                <w:lang w:val="zh-CN"/>
              </w:rPr>
              <w:t>签订年度框架协议前，成交供应商提交肆万元作为履约保证金，以支票、汇票、本票或者金融机构、担保机构出具的保函等非现金形式提交给采购人，服务期满后无息退还。</w:t>
            </w:r>
          </w:p>
        </w:tc>
      </w:tr>
    </w:tbl>
    <w:p>
      <w:pP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numPr>
          <w:ilvl w:val="0"/>
          <w:numId w:val="11"/>
        </w:numPr>
        <w:spacing w:line="360" w:lineRule="auto"/>
        <w:ind w:hanging="54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适用法律及范围</w:t>
      </w:r>
      <w:bookmarkEnd w:id="29"/>
      <w:bookmarkEnd w:id="30"/>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1" w:name="_Toc23281"/>
      <w:bookmarkStart w:id="32" w:name="_Toc30547"/>
      <w:r>
        <w:rPr>
          <w:rFonts w:hint="eastAsia" w:asciiTheme="minorEastAsia" w:hAnsiTheme="minorEastAsia" w:eastAsiaTheme="minorEastAsia" w:cstheme="minorEastAsia"/>
          <w:b/>
          <w:szCs w:val="21"/>
        </w:rPr>
        <w:t>定义</w:t>
      </w:r>
      <w:bookmarkEnd w:id="31"/>
      <w:bookmarkEnd w:id="32"/>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“成交供应商”</w:t>
      </w:r>
      <w:r>
        <w:rPr>
          <w:rFonts w:hint="eastAsia" w:asciiTheme="minorEastAsia" w:hAnsiTheme="minorEastAsia" w:eastAsiaTheme="minorEastAsia" w:cstheme="minorEastAsia"/>
          <w:snapToGrid w:val="0"/>
          <w:kern w:val="0"/>
          <w:szCs w:val="21"/>
          <w:lang w:val="zh-CN"/>
        </w:rPr>
        <w:t>是指经磋商小组评审推荐，采购人授予合同的供应商。</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3" w:name="_Toc30503"/>
      <w:bookmarkStart w:id="34" w:name="_Toc18256"/>
      <w:r>
        <w:rPr>
          <w:rFonts w:hint="eastAsia" w:asciiTheme="minorEastAsia" w:hAnsiTheme="minorEastAsia" w:eastAsiaTheme="minorEastAsia" w:cstheme="minorEastAsia"/>
          <w:b/>
          <w:snapToGrid w:val="0"/>
          <w:kern w:val="0"/>
          <w:szCs w:val="21"/>
          <w:lang w:val="zh-CN"/>
        </w:rPr>
        <w:t>工程、货物及服务</w:t>
      </w:r>
      <w:bookmarkEnd w:id="33"/>
      <w:bookmarkEnd w:id="34"/>
    </w:p>
    <w:p>
      <w:pPr>
        <w:numPr>
          <w:ilvl w:val="1"/>
          <w:numId w:val="14"/>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asciiTheme="minorEastAsia" w:hAnsiTheme="minorEastAsia" w:eastAsiaTheme="minorEastAsia" w:cstheme="minorEastAsia"/>
          <w:b/>
          <w:szCs w:val="21"/>
        </w:rPr>
      </w:pPr>
      <w:bookmarkStart w:id="35" w:name="_Toc3124"/>
      <w:bookmarkStart w:id="36" w:name="_Toc9974"/>
      <w:r>
        <w:rPr>
          <w:rFonts w:hint="eastAsia" w:asciiTheme="minorEastAsia" w:hAnsiTheme="minorEastAsia" w:eastAsiaTheme="minorEastAsia" w:cstheme="minorEastAsia"/>
          <w:b/>
          <w:szCs w:val="21"/>
        </w:rPr>
        <w:t>费用</w:t>
      </w:r>
      <w:bookmarkEnd w:id="35"/>
      <w:bookmarkEnd w:id="36"/>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37" w:name="_Toc23476"/>
      <w:r>
        <w:rPr>
          <w:rFonts w:hint="eastAsia" w:asciiTheme="minorEastAsia" w:hAnsiTheme="minorEastAsia" w:eastAsiaTheme="minorEastAsia" w:cstheme="minorEastAsia"/>
          <w:b/>
          <w:szCs w:val="21"/>
        </w:rPr>
        <w:t>竞争性磋商采购文件</w:t>
      </w:r>
      <w:bookmarkEnd w:id="37"/>
    </w:p>
    <w:p>
      <w:pPr>
        <w:numPr>
          <w:ilvl w:val="0"/>
          <w:numId w:val="11"/>
        </w:numPr>
        <w:spacing w:line="360" w:lineRule="auto"/>
        <w:ind w:hanging="540"/>
        <w:outlineLvl w:val="1"/>
        <w:rPr>
          <w:rFonts w:asciiTheme="minorEastAsia" w:hAnsiTheme="minorEastAsia" w:eastAsiaTheme="minorEastAsia" w:cstheme="minorEastAsia"/>
          <w:b/>
          <w:szCs w:val="21"/>
        </w:rPr>
      </w:pPr>
      <w:bookmarkStart w:id="38" w:name="_Toc7711"/>
      <w:bookmarkStart w:id="39" w:name="_Toc4547"/>
      <w:r>
        <w:rPr>
          <w:rFonts w:hint="eastAsia" w:asciiTheme="minorEastAsia" w:hAnsiTheme="minorEastAsia" w:eastAsiaTheme="minorEastAsia" w:cstheme="minorEastAsia"/>
          <w:b/>
          <w:szCs w:val="21"/>
        </w:rPr>
        <w:t>竞争性磋商采购文件的构成</w:t>
      </w:r>
      <w:bookmarkEnd w:id="38"/>
      <w:bookmarkEnd w:id="39"/>
    </w:p>
    <w:p>
      <w:pPr>
        <w:numPr>
          <w:ilvl w:val="1"/>
          <w:numId w:val="16"/>
        </w:numPr>
        <w:tabs>
          <w:tab w:val="left" w:pos="540"/>
          <w:tab w:val="clear" w:pos="36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磋商小组在磋商过程中发出的对本磋商文件的实质性变动</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0" w:name="_Toc25034"/>
      <w:bookmarkStart w:id="41" w:name="_Toc29700"/>
      <w:r>
        <w:rPr>
          <w:rFonts w:hint="eastAsia" w:asciiTheme="minorEastAsia" w:hAnsiTheme="minorEastAsia" w:eastAsiaTheme="minorEastAsia" w:cstheme="minorEastAsia"/>
          <w:b/>
          <w:snapToGrid w:val="0"/>
          <w:kern w:val="0"/>
          <w:szCs w:val="21"/>
          <w:lang w:val="zh-CN"/>
        </w:rPr>
        <w:t>竞争性磋商采购文件的澄清</w:t>
      </w:r>
      <w:bookmarkEnd w:id="40"/>
      <w:bookmarkEnd w:id="41"/>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2" w:name="_Toc23795"/>
      <w:bookmarkStart w:id="43" w:name="_Toc31761"/>
      <w:r>
        <w:rPr>
          <w:rFonts w:hint="eastAsia" w:asciiTheme="minorEastAsia" w:hAnsiTheme="minorEastAsia" w:eastAsiaTheme="minorEastAsia" w:cstheme="minorEastAsia"/>
          <w:b/>
          <w:snapToGrid w:val="0"/>
          <w:kern w:val="0"/>
          <w:szCs w:val="21"/>
          <w:lang w:val="zh-CN"/>
        </w:rPr>
        <w:t>竞争性磋商采购文件的修改</w:t>
      </w:r>
      <w:bookmarkEnd w:id="42"/>
      <w:bookmarkEnd w:id="43"/>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44" w:name="_Toc9259"/>
      <w:r>
        <w:rPr>
          <w:rFonts w:hint="eastAsia" w:asciiTheme="minorEastAsia" w:hAnsiTheme="minorEastAsia" w:eastAsiaTheme="minorEastAsia" w:cstheme="minorEastAsia"/>
          <w:b/>
          <w:szCs w:val="21"/>
        </w:rPr>
        <w:t>竞争性磋商响应文件</w:t>
      </w:r>
      <w:bookmarkEnd w:id="44"/>
    </w:p>
    <w:p>
      <w:pPr>
        <w:numPr>
          <w:ilvl w:val="0"/>
          <w:numId w:val="11"/>
        </w:numPr>
        <w:spacing w:line="360" w:lineRule="auto"/>
        <w:ind w:hanging="540"/>
        <w:outlineLvl w:val="1"/>
        <w:rPr>
          <w:rFonts w:asciiTheme="minorEastAsia" w:hAnsiTheme="minorEastAsia" w:eastAsiaTheme="minorEastAsia" w:cstheme="minorEastAsia"/>
          <w:snapToGrid w:val="0"/>
          <w:kern w:val="0"/>
          <w:szCs w:val="21"/>
          <w:lang w:val="zh-CN"/>
        </w:rPr>
      </w:pPr>
      <w:bookmarkStart w:id="45" w:name="_Toc17108"/>
      <w:bookmarkStart w:id="46" w:name="_Toc30987"/>
      <w:r>
        <w:rPr>
          <w:rFonts w:hint="eastAsia" w:asciiTheme="minorEastAsia" w:hAnsiTheme="minorEastAsia" w:eastAsiaTheme="minorEastAsia" w:cstheme="minorEastAsia"/>
          <w:b/>
          <w:snapToGrid w:val="0"/>
          <w:kern w:val="0"/>
          <w:szCs w:val="21"/>
          <w:lang w:val="zh-CN"/>
        </w:rPr>
        <w:t>语言和计量单位</w:t>
      </w:r>
      <w:bookmarkEnd w:id="45"/>
      <w:bookmarkEnd w:id="46"/>
    </w:p>
    <w:p>
      <w:pPr>
        <w:numPr>
          <w:ilvl w:val="1"/>
          <w:numId w:val="19"/>
        </w:numPr>
        <w:tabs>
          <w:tab w:val="left" w:pos="540"/>
          <w:tab w:val="clear" w:pos="360"/>
        </w:tabs>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7" w:name="_Toc32272"/>
      <w:bookmarkStart w:id="48" w:name="_Toc28309"/>
      <w:r>
        <w:rPr>
          <w:rFonts w:hint="eastAsia" w:asciiTheme="minorEastAsia" w:hAnsiTheme="minorEastAsia" w:eastAsiaTheme="minorEastAsia" w:cstheme="minorEastAsia"/>
          <w:b/>
          <w:snapToGrid w:val="0"/>
          <w:kern w:val="0"/>
          <w:szCs w:val="21"/>
          <w:lang w:val="zh-CN"/>
        </w:rPr>
        <w:t>竞争性磋商响应文件的构成</w:t>
      </w:r>
      <w:bookmarkEnd w:id="47"/>
      <w:bookmarkEnd w:id="48"/>
    </w:p>
    <w:p>
      <w:pPr>
        <w:numPr>
          <w:ilvl w:val="1"/>
          <w:numId w:val="20"/>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49" w:name="_Toc25217"/>
      <w:bookmarkStart w:id="50" w:name="_Toc26127"/>
      <w:r>
        <w:rPr>
          <w:rFonts w:hint="eastAsia" w:asciiTheme="minorEastAsia" w:hAnsiTheme="minorEastAsia" w:eastAsiaTheme="minorEastAsia" w:cstheme="minorEastAsia"/>
          <w:b/>
          <w:snapToGrid w:val="0"/>
          <w:kern w:val="0"/>
          <w:szCs w:val="21"/>
          <w:lang w:val="zh-CN"/>
        </w:rPr>
        <w:t>竞争性磋商响应文件的编制</w:t>
      </w:r>
      <w:bookmarkEnd w:id="49"/>
      <w:bookmarkEnd w:id="50"/>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asciiTheme="minorEastAsia" w:hAnsiTheme="minorEastAsia" w:eastAsiaTheme="minorEastAsia" w:cstheme="minorEastAsia"/>
          <w:b/>
          <w:snapToGrid w:val="0"/>
          <w:kern w:val="0"/>
          <w:szCs w:val="21"/>
          <w:lang w:val="zh-CN"/>
        </w:rPr>
      </w:pPr>
      <w:bookmarkStart w:id="51" w:name="_Toc6556"/>
      <w:bookmarkStart w:id="52" w:name="_Toc24544"/>
      <w:r>
        <w:rPr>
          <w:rFonts w:hint="eastAsia" w:asciiTheme="minorEastAsia" w:hAnsiTheme="minorEastAsia" w:eastAsiaTheme="minorEastAsia" w:cstheme="minorEastAsia"/>
          <w:b/>
          <w:snapToGrid w:val="0"/>
          <w:kern w:val="0"/>
          <w:szCs w:val="21"/>
          <w:lang w:val="zh-CN"/>
        </w:rPr>
        <w:t>磋商报价</w:t>
      </w:r>
      <w:bookmarkEnd w:id="51"/>
      <w:bookmarkEnd w:id="52"/>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3" w:name="_Toc21113"/>
      <w:bookmarkStart w:id="54" w:name="_Toc6176"/>
      <w:r>
        <w:rPr>
          <w:rFonts w:hint="eastAsia" w:asciiTheme="minorEastAsia" w:hAnsiTheme="minorEastAsia" w:eastAsiaTheme="minorEastAsia" w:cstheme="minorEastAsia"/>
          <w:b/>
          <w:snapToGrid w:val="0"/>
          <w:kern w:val="0"/>
          <w:szCs w:val="21"/>
          <w:lang w:val="zh-CN"/>
        </w:rPr>
        <w:t>备选方案</w:t>
      </w:r>
      <w:bookmarkEnd w:id="53"/>
      <w:bookmarkEnd w:id="54"/>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是否允许备选方案见《供应商须知前附表》。不允许有备选方案的，若在响应文件中提交了备选方案，其响应文件将被视为无效文件。</w:t>
      </w:r>
    </w:p>
    <w:p>
      <w:pPr>
        <w:numPr>
          <w:ilvl w:val="0"/>
          <w:numId w:val="11"/>
        </w:numPr>
        <w:tabs>
          <w:tab w:val="left" w:pos="864"/>
        </w:tabs>
        <w:spacing w:line="360" w:lineRule="auto"/>
        <w:ind w:hanging="540"/>
        <w:outlineLvl w:val="1"/>
        <w:rPr>
          <w:rFonts w:asciiTheme="minorEastAsia" w:hAnsiTheme="minorEastAsia" w:eastAsiaTheme="minorEastAsia" w:cstheme="minorEastAsia"/>
          <w:b/>
          <w:snapToGrid w:val="0"/>
          <w:kern w:val="0"/>
          <w:szCs w:val="21"/>
          <w:lang w:val="zh-CN"/>
        </w:rPr>
      </w:pPr>
      <w:bookmarkStart w:id="55" w:name="_Toc2313"/>
      <w:bookmarkStart w:id="56" w:name="_Toc3324"/>
      <w:r>
        <w:rPr>
          <w:rFonts w:hint="eastAsia" w:asciiTheme="minorEastAsia" w:hAnsiTheme="minorEastAsia" w:eastAsiaTheme="minorEastAsia" w:cstheme="minorEastAsia"/>
          <w:b/>
          <w:snapToGrid w:val="0"/>
          <w:kern w:val="0"/>
          <w:szCs w:val="21"/>
          <w:lang w:val="zh-CN"/>
        </w:rPr>
        <w:t>联合体</w:t>
      </w:r>
      <w:bookmarkEnd w:id="55"/>
      <w:bookmarkEnd w:id="56"/>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本次采购是否允许联合体参加详见《供应商须知前附表》。</w:t>
      </w:r>
    </w:p>
    <w:p>
      <w:pPr>
        <w:numPr>
          <w:ilvl w:val="1"/>
          <w:numId w:val="24"/>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7" w:name="_Toc28373"/>
      <w:bookmarkStart w:id="58" w:name="_Toc2434"/>
      <w:r>
        <w:rPr>
          <w:rFonts w:hint="eastAsia" w:asciiTheme="minorEastAsia" w:hAnsiTheme="minorEastAsia" w:eastAsiaTheme="minorEastAsia" w:cstheme="minorEastAsia"/>
          <w:b/>
          <w:snapToGrid w:val="0"/>
          <w:kern w:val="0"/>
          <w:szCs w:val="21"/>
          <w:lang w:val="zh-CN"/>
        </w:rPr>
        <w:t>供应商资格证明文件</w:t>
      </w:r>
      <w:bookmarkEnd w:id="57"/>
      <w:bookmarkEnd w:id="58"/>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eastAsiaTheme="minorEastAsia"/>
        </w:rPr>
      </w:pPr>
      <w:r>
        <w:rPr>
          <w:rFonts w:hint="eastAsia" w:asciiTheme="minorEastAsia" w:hAnsiTheme="minorEastAsia" w:eastAsiaTheme="minorEastAsia" w:cstheme="minorEastAsia"/>
          <w:snapToGrid w:val="0"/>
          <w:kern w:val="0"/>
          <w:szCs w:val="21"/>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59" w:name="_Toc23084"/>
      <w:bookmarkStart w:id="60" w:name="_Toc993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59"/>
      <w:bookmarkEnd w:id="60"/>
    </w:p>
    <w:p>
      <w:pPr>
        <w:numPr>
          <w:ilvl w:val="1"/>
          <w:numId w:val="27"/>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1" w:name="_Toc27068"/>
      <w:bookmarkStart w:id="62" w:name="_Toc22120"/>
      <w:r>
        <w:rPr>
          <w:rFonts w:hint="eastAsia" w:asciiTheme="minorEastAsia" w:hAnsiTheme="minorEastAsia" w:eastAsiaTheme="minorEastAsia" w:cstheme="minorEastAsia"/>
          <w:b/>
          <w:snapToGrid w:val="0"/>
          <w:kern w:val="0"/>
          <w:szCs w:val="21"/>
          <w:lang w:val="zh-CN"/>
        </w:rPr>
        <w:t>磋商保证金</w:t>
      </w:r>
      <w:bookmarkEnd w:id="61"/>
      <w:bookmarkEnd w:id="62"/>
    </w:p>
    <w:p>
      <w:pPr>
        <w:numPr>
          <w:ilvl w:val="1"/>
          <w:numId w:val="28"/>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3" w:name="_Toc10656"/>
      <w:bookmarkStart w:id="64" w:name="_Toc5668"/>
      <w:r>
        <w:rPr>
          <w:rFonts w:hint="eastAsia" w:asciiTheme="minorEastAsia" w:hAnsiTheme="minorEastAsia" w:eastAsiaTheme="minorEastAsia" w:cstheme="minorEastAsia"/>
          <w:b/>
          <w:snapToGrid w:val="0"/>
          <w:kern w:val="0"/>
          <w:szCs w:val="21"/>
          <w:lang w:val="zh-CN"/>
        </w:rPr>
        <w:t>磋商有效期</w:t>
      </w:r>
      <w:bookmarkEnd w:id="63"/>
      <w:bookmarkEnd w:id="64"/>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5" w:name="_Toc4127"/>
      <w:bookmarkStart w:id="66"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5"/>
      <w:bookmarkEnd w:id="66"/>
    </w:p>
    <w:p>
      <w:pPr>
        <w:numPr>
          <w:ilvl w:val="1"/>
          <w:numId w:val="31"/>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、报价一览表、优惠声明（如有）。本次磋商供应商提交响应文件正、副本和电子文档的数量见《供应商须知前附表》。</w:t>
      </w:r>
    </w:p>
    <w:p>
      <w:pPr>
        <w:numPr>
          <w:ilvl w:val="1"/>
          <w:numId w:val="31"/>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法定代表人身份证明书）、报价一览表、优惠声明（如有）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67" w:name="_Toc21594"/>
      <w:r>
        <w:rPr>
          <w:rFonts w:hint="eastAsia" w:asciiTheme="minorEastAsia" w:hAnsiTheme="minorEastAsia" w:eastAsiaTheme="minorEastAsia" w:cstheme="minorEastAsia"/>
          <w:b/>
          <w:szCs w:val="21"/>
        </w:rPr>
        <w:t>竞争性磋商响应文件的递交</w:t>
      </w:r>
      <w:bookmarkEnd w:id="67"/>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68" w:name="_Toc6133"/>
      <w:bookmarkStart w:id="69" w:name="_Toc27305"/>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8"/>
      <w:bookmarkEnd w:id="69"/>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（磋商</w:t>
      </w:r>
      <w:r>
        <w:rPr>
          <w:rFonts w:hint="eastAsia" w:asciiTheme="minorEastAsia" w:hAnsiTheme="minorEastAsia" w:eastAsiaTheme="minorEastAsia" w:cstheme="minorEastAsia"/>
          <w:snapToGrid w:val="0"/>
          <w:kern w:val="0"/>
          <w:szCs w:val="21"/>
          <w:u w:val="single"/>
        </w:rPr>
        <w:t>截止</w:t>
      </w:r>
      <w:r>
        <w:rPr>
          <w:rFonts w:hint="eastAsia" w:asciiTheme="minorEastAsia" w:hAnsiTheme="minorEastAsia" w:eastAsiaTheme="minorEastAsia" w:cstheme="minorEastAsia"/>
          <w:snapToGrid w:val="0"/>
          <w:kern w:val="0"/>
          <w:szCs w:val="21"/>
          <w:u w:val="single"/>
          <w:lang w:val="zh-CN"/>
        </w:rPr>
        <w:t>时间）前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0" w:name="_Toc30194"/>
      <w:bookmarkStart w:id="71" w:name="_Toc17857"/>
      <w:r>
        <w:rPr>
          <w:rFonts w:hint="eastAsia" w:asciiTheme="minorEastAsia" w:hAnsiTheme="minorEastAsia" w:eastAsiaTheme="minorEastAsia" w:cstheme="minorEastAsia"/>
          <w:b/>
          <w:snapToGrid w:val="0"/>
          <w:kern w:val="0"/>
          <w:szCs w:val="21"/>
          <w:lang w:val="zh-CN"/>
        </w:rPr>
        <w:t>竞争性磋商响应文件的送达地点及截止时间</w:t>
      </w:r>
      <w:bookmarkEnd w:id="70"/>
      <w:bookmarkEnd w:id="71"/>
    </w:p>
    <w:p>
      <w:pPr>
        <w:tabs>
          <w:tab w:val="left" w:pos="540"/>
        </w:tabs>
        <w:autoSpaceDE w:val="0"/>
        <w:autoSpaceDN w:val="0"/>
        <w:adjustRightInd w:val="0"/>
        <w:spacing w:line="360" w:lineRule="auto"/>
        <w:ind w:left="617" w:hanging="617" w:hangingChars="294"/>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20.1截止时间是</w:t>
      </w:r>
      <w:r>
        <w:rPr>
          <w:rFonts w:hint="eastAsia" w:asciiTheme="minorEastAsia" w:hAnsiTheme="minorEastAsia" w:eastAsiaTheme="minorEastAsia" w:cstheme="minorEastAsia"/>
          <w:b/>
          <w:bCs/>
          <w:snapToGrid w:val="0"/>
          <w:kern w:val="0"/>
          <w:szCs w:val="21"/>
          <w:lang w:val="zh-CN"/>
        </w:rPr>
        <w:t>竞争性磋商</w:t>
      </w:r>
      <w:r>
        <w:rPr>
          <w:rFonts w:hint="eastAsia" w:asciiTheme="minorEastAsia" w:hAnsiTheme="minorEastAsia" w:eastAsiaTheme="minorEastAsia" w:cstheme="minorEastAsia"/>
          <w:snapToGrid w:val="0"/>
          <w:kern w:val="0"/>
          <w:szCs w:val="21"/>
          <w:lang w:val="zh-CN"/>
        </w:rPr>
        <w:t>文件中规定的首次送达、提交响应文件的最后时间。本次磋商响应文件的送达地点及截止时间见《供应商须知前附表》。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2" w:name="_Toc5243"/>
      <w:bookmarkStart w:id="73" w:name="_Toc31376"/>
      <w:r>
        <w:rPr>
          <w:rFonts w:hint="eastAsia" w:asciiTheme="minorEastAsia" w:hAnsiTheme="minorEastAsia" w:eastAsiaTheme="minorEastAsia" w:cstheme="minorEastAsia"/>
          <w:b/>
          <w:snapToGrid w:val="0"/>
          <w:kern w:val="0"/>
          <w:szCs w:val="21"/>
          <w:lang w:val="zh-CN"/>
        </w:rPr>
        <w:t>迟交的竞争性磋商响应文件</w:t>
      </w:r>
      <w:bookmarkEnd w:id="72"/>
      <w:bookmarkEnd w:id="73"/>
    </w:p>
    <w:p>
      <w:pPr>
        <w:numPr>
          <w:ilvl w:val="1"/>
          <w:numId w:val="33"/>
        </w:numPr>
        <w:tabs>
          <w:tab w:val="left" w:pos="540"/>
          <w:tab w:val="clear" w:pos="480"/>
        </w:tabs>
        <w:autoSpaceDE w:val="0"/>
        <w:autoSpaceDN w:val="0"/>
        <w:adjustRightInd w:val="0"/>
        <w:spacing w:line="360" w:lineRule="auto"/>
        <w:ind w:left="539" w:hanging="539"/>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4" w:name="_Toc31760"/>
      <w:bookmarkStart w:id="75" w:name="_Toc8623"/>
      <w:r>
        <w:rPr>
          <w:rFonts w:hint="eastAsia" w:asciiTheme="minorEastAsia" w:hAnsiTheme="minorEastAsia" w:eastAsiaTheme="minorEastAsia" w:cstheme="minorEastAsia"/>
          <w:b/>
          <w:snapToGrid w:val="0"/>
          <w:kern w:val="0"/>
          <w:szCs w:val="21"/>
          <w:lang w:val="zh-CN"/>
        </w:rPr>
        <w:t>竞争性磋商响应文件的补充、修改或者撤回</w:t>
      </w:r>
      <w:bookmarkEnd w:id="74"/>
      <w:bookmarkEnd w:id="75"/>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39" w:hanging="539"/>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76" w:name="_Toc19684"/>
      <w:r>
        <w:rPr>
          <w:rFonts w:hint="eastAsia" w:asciiTheme="minorEastAsia" w:hAnsiTheme="minorEastAsia" w:eastAsiaTheme="minorEastAsia" w:cstheme="minorEastAsia"/>
          <w:b/>
          <w:szCs w:val="21"/>
        </w:rPr>
        <w:t>磋商程序及步骤</w:t>
      </w:r>
      <w:bookmarkEnd w:id="76"/>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7" w:name="_Toc9097"/>
      <w:bookmarkStart w:id="78" w:name="_Toc22624"/>
      <w:r>
        <w:rPr>
          <w:rFonts w:hint="eastAsia" w:asciiTheme="minorEastAsia" w:hAnsiTheme="minorEastAsia" w:eastAsiaTheme="minorEastAsia" w:cstheme="minorEastAsia"/>
          <w:b/>
        </w:rPr>
        <w:t>竞争性磋商小组</w:t>
      </w:r>
      <w:bookmarkEnd w:id="77"/>
      <w:bookmarkEnd w:id="78"/>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rPr>
        <w:t xml:space="preserve">23.1  </w:t>
      </w:r>
      <w:r>
        <w:rPr>
          <w:rFonts w:hint="eastAsia" w:asciiTheme="minorEastAsia" w:hAnsiTheme="minorEastAsia" w:eastAsiaTheme="minorEastAsia" w:cstheme="minorEastAsia"/>
          <w:snapToGrid w:val="0"/>
          <w:kern w:val="0"/>
          <w:szCs w:val="21"/>
          <w:lang w:val="zh-CN"/>
        </w:rPr>
        <w:t>采购人依照《中华人民共和国政府采购法》、《中华人民共和国政府采购法实施条例》、《政府采购竞争性磋商采购方式管理暂行办法》及现行法律规定组建磋商小组，磋商小组由采购人代表和评审专家共3人或</w:t>
      </w:r>
      <w:r>
        <w:rPr>
          <w:rFonts w:hint="eastAsia" w:asciiTheme="minorEastAsia" w:hAnsiTheme="minorEastAsia" w:eastAsiaTheme="minorEastAsia" w:cstheme="minorEastAsia"/>
          <w:snapToGrid w:val="0"/>
          <w:kern w:val="0"/>
          <w:szCs w:val="21"/>
        </w:rPr>
        <w:t>3</w:t>
      </w:r>
      <w:r>
        <w:rPr>
          <w:rFonts w:hint="eastAsia" w:asciiTheme="minorEastAsia" w:hAnsiTheme="minorEastAsia" w:eastAsiaTheme="minorEastAsia" w:cstheme="minorEastAsia"/>
          <w:snapToGrid w:val="0"/>
          <w:kern w:val="0"/>
          <w:szCs w:val="21"/>
          <w:lang w:val="zh-CN"/>
        </w:rPr>
        <w:t>人以上单数组成。磋商小组人数详见《供应商须知前附表》。</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23.2 磋商小组中的评审专家人数不少于磋商小组成员总数的2/3。除本采购文件另有规定，评审专家将从政府采购评审专家库中随机抽取。</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23.3 磋商小组所有成员按事先抽取的磋商顺序，集中与单一供应商分别进行磋商，并给予所有参加磋商的供应商平等的磋商机会。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snapToGrid w:val="0"/>
          <w:kern w:val="0"/>
          <w:szCs w:val="21"/>
          <w:lang w:val="zh-CN"/>
        </w:rPr>
      </w:pPr>
      <w:bookmarkStart w:id="79" w:name="_Toc21483"/>
      <w:bookmarkStart w:id="80" w:name="_Toc31997"/>
      <w:r>
        <w:rPr>
          <w:rFonts w:hint="eastAsia" w:asciiTheme="minorEastAsia" w:hAnsiTheme="minorEastAsia" w:eastAsiaTheme="minorEastAsia" w:cstheme="minorEastAsia"/>
          <w:b/>
        </w:rPr>
        <w:t>磋商代表</w:t>
      </w:r>
      <w:bookmarkEnd w:id="79"/>
      <w:bookmarkEnd w:id="80"/>
    </w:p>
    <w:p>
      <w:pPr>
        <w:tabs>
          <w:tab w:val="left" w:pos="864"/>
          <w:tab w:val="left" w:pos="1080"/>
        </w:tabs>
        <w:spacing w:line="360" w:lineRule="auto"/>
        <w:ind w:left="632" w:hanging="632" w:hangingChars="300"/>
        <w:jc w:val="left"/>
        <w:rPr>
          <w:rFonts w:asciiTheme="minorEastAsia" w:hAnsiTheme="minorEastAsia" w:eastAsiaTheme="minorEastAsia" w:cstheme="minorEastAsia"/>
          <w:szCs w:val="21"/>
        </w:rPr>
      </w:pPr>
      <w:bookmarkStart w:id="81" w:name="_Toc9967"/>
      <w:bookmarkStart w:id="82"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1"/>
      <w:bookmarkEnd w:id="82"/>
      <w:r>
        <w:rPr>
          <w:rFonts w:hint="eastAsia" w:asciiTheme="minorEastAsia" w:hAnsiTheme="minorEastAsia" w:eastAsiaTheme="minorEastAsia" w:cstheme="minorEastAsia"/>
          <w:szCs w:val="21"/>
        </w:rPr>
        <w:t>磋商代表的其他要求见《供应商须知前附表》。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83" w:name="_Toc26083"/>
      <w:r>
        <w:rPr>
          <w:rFonts w:hint="eastAsia" w:asciiTheme="minorEastAsia" w:hAnsiTheme="minorEastAsia" w:eastAsiaTheme="minorEastAsia" w:cstheme="minorEastAsia"/>
          <w:b/>
        </w:rPr>
        <w:t>资格审查和符合性审查</w:t>
      </w:r>
      <w:bookmarkEnd w:id="83"/>
    </w:p>
    <w:p>
      <w:pPr>
        <w:spacing w:line="360" w:lineRule="auto"/>
        <w:ind w:left="630" w:hanging="630" w:hangingChars="3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84" w:name="_Toc25372"/>
      <w:r>
        <w:rPr>
          <w:rFonts w:hint="eastAsia" w:asciiTheme="minorEastAsia" w:hAnsiTheme="minorEastAsia" w:eastAsiaTheme="minorEastAsia" w:cstheme="minorEastAsia"/>
          <w:b/>
        </w:rPr>
        <w:t>磋商</w:t>
      </w:r>
      <w:bookmarkEnd w:id="84"/>
    </w:p>
    <w:p>
      <w:pPr>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szCs w:val="21"/>
        </w:rPr>
        <w:t>26.1磋商小组将根据本磋商文件第四章规定的程序和方法与供应商进行磋商。在磋商中，磋商的任何一方不得透露与磋商有关的其他磋商供应商的技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26.2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spacing w:line="360" w:lineRule="auto"/>
        <w:ind w:left="630" w:hanging="630" w:hangingChars="3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26.3供应商应当按照磋商文件的变动情况和磋商小组的要求重新提交响应文件，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对原响应文件进行技术、商务、价格修正，重新提交的响应文件应实质性响应本磋商文件及</w:t>
      </w:r>
      <w:r>
        <w:rPr>
          <w:rFonts w:hint="eastAsia" w:asciiTheme="minorEastAsia" w:hAnsiTheme="minorEastAsia" w:eastAsiaTheme="minorEastAsia" w:cstheme="minorEastAsia"/>
        </w:rPr>
        <w:t>对磋商文件作出的实质性变动，</w:t>
      </w:r>
      <w:r>
        <w:rPr>
          <w:rFonts w:hint="eastAsia" w:asciiTheme="minorEastAsia" w:hAnsiTheme="minorEastAsia" w:eastAsiaTheme="minorEastAsia" w:cstheme="minorEastAsia"/>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rPr>
        <w:t>供应商的磋商保证金将在成交通知书发放后的五个工作日内退还。</w:t>
      </w:r>
    </w:p>
    <w:p>
      <w:pPr>
        <w:tabs>
          <w:tab w:val="left" w:pos="540"/>
        </w:tabs>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26.4最后报价</w:t>
      </w:r>
    </w:p>
    <w:p>
      <w:pPr>
        <w:spacing w:line="360" w:lineRule="auto"/>
        <w:ind w:left="630" w:leftChars="300"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bCs/>
          <w:kern w:val="44"/>
          <w:szCs w:val="21"/>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w:t>
      </w:r>
      <w:r>
        <w:rPr>
          <w:rFonts w:hint="eastAsia" w:asciiTheme="minorEastAsia" w:hAnsiTheme="minorEastAsia" w:eastAsiaTheme="minorEastAsia" w:cstheme="minorEastAsia"/>
        </w:rPr>
        <w:t>最后报价为本次竞争性磋商不可变动的最终价格。</w:t>
      </w:r>
    </w:p>
    <w:p>
      <w:pPr>
        <w:spacing w:line="360" w:lineRule="auto"/>
        <w:ind w:left="630" w:leftChars="300"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left="630" w:leftChars="300"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left="630" w:leftChars="300"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本采购项目提交最后报价供应商的确定方式详见《供应商须知前附表》。</w:t>
      </w:r>
    </w:p>
    <w:p>
      <w:pPr>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26.5</w:t>
      </w:r>
      <w:r>
        <w:rPr>
          <w:rFonts w:hint="eastAsia" w:asciiTheme="minorEastAsia" w:hAnsiTheme="minorEastAsia" w:eastAsiaTheme="minorEastAsia" w:cstheme="minorEastAsia"/>
          <w:bCs/>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rPr>
        <w:t>提交最后报价</w:t>
      </w:r>
      <w:r>
        <w:rPr>
          <w:rFonts w:hint="eastAsia" w:asciiTheme="minorEastAsia" w:hAnsiTheme="minorEastAsia" w:eastAsiaTheme="minorEastAsia" w:cstheme="minorEastAsia"/>
          <w:bCs/>
          <w:kern w:val="44"/>
          <w:szCs w:val="21"/>
        </w:rPr>
        <w:t>。</w:t>
      </w:r>
    </w:p>
    <w:p>
      <w:pPr>
        <w:spacing w:line="360" w:lineRule="auto"/>
        <w:ind w:left="630" w:hanging="630" w:hangingChars="300"/>
        <w:jc w:val="left"/>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26.6</w:t>
      </w:r>
      <w:r>
        <w:rPr>
          <w:rFonts w:hint="eastAsia" w:asciiTheme="minorEastAsia" w:hAnsiTheme="minorEastAsia" w:eastAsiaTheme="minorEastAsia" w:cstheme="minorEastAsia"/>
          <w:bCs/>
          <w:kern w:val="44"/>
          <w:szCs w:val="21"/>
        </w:rPr>
        <w:t>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26.7采购代理机构对磋商过程和重要磋商内容进行记录，磋商双方在记录上签字确认。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5" w:name="_Toc15525"/>
      <w:r>
        <w:rPr>
          <w:rFonts w:hint="eastAsia" w:asciiTheme="minorEastAsia" w:hAnsiTheme="minorEastAsia" w:eastAsiaTheme="minorEastAsia" w:cstheme="minorEastAsia"/>
          <w:b/>
          <w:lang w:val="zh-CN"/>
        </w:rPr>
        <w:t>保密</w:t>
      </w:r>
      <w:bookmarkEnd w:id="85"/>
    </w:p>
    <w:p>
      <w:pPr>
        <w:numPr>
          <w:ilvl w:val="1"/>
          <w:numId w:val="35"/>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rPr>
      </w:pPr>
      <w:bookmarkStart w:id="86" w:name="_Toc4511"/>
      <w:r>
        <w:rPr>
          <w:rFonts w:hint="eastAsia" w:asciiTheme="minorEastAsia" w:hAnsiTheme="minorEastAsia" w:eastAsiaTheme="minorEastAsia" w:cstheme="minorEastAsia"/>
          <w:b/>
          <w:szCs w:val="21"/>
        </w:rPr>
        <w:t>成交与签订合同</w:t>
      </w:r>
      <w:bookmarkEnd w:id="86"/>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7" w:name="_Toc11874"/>
      <w:r>
        <w:rPr>
          <w:rFonts w:hint="eastAsia" w:asciiTheme="minorEastAsia" w:hAnsiTheme="minorEastAsia" w:eastAsiaTheme="minorEastAsia" w:cstheme="minorEastAsia"/>
          <w:b/>
          <w:lang w:val="zh-CN"/>
        </w:rPr>
        <w:t>合同授予标准</w:t>
      </w:r>
      <w:bookmarkEnd w:id="87"/>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28.1采购人将把合同授予排名第一的供应商，特殊情况按本须知29.3的规定执行。</w:t>
      </w:r>
    </w:p>
    <w:p>
      <w:pPr>
        <w:spacing w:line="360" w:lineRule="auto"/>
        <w:ind w:left="630" w:hanging="630" w:hangingChars="300"/>
        <w:jc w:val="left"/>
        <w:rPr>
          <w:rFonts w:ascii="宋体" w:hAnsi="宋体" w:cs="宋体"/>
          <w:szCs w:val="21"/>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 xml:space="preserve">2  </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 xml:space="preserve">3  </w:t>
      </w:r>
      <w:r>
        <w:rPr>
          <w:rFonts w:hint="eastAsia" w:asciiTheme="minorEastAsia" w:hAnsiTheme="minorEastAsia" w:eastAsiaTheme="minorEastAsia" w:cstheme="minorEastAsia"/>
          <w:snapToGrid w:val="0"/>
          <w:kern w:val="0"/>
          <w:szCs w:val="21"/>
          <w:lang w:val="zh-CN"/>
        </w:rPr>
        <w:t>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w:t>
      </w:r>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 xml:space="preserve">4  </w:t>
      </w:r>
      <w:r>
        <w:rPr>
          <w:rFonts w:hint="eastAsia" w:asciiTheme="minorEastAsia" w:hAnsiTheme="minorEastAsia" w:eastAsiaTheme="minorEastAsia" w:cstheme="minorEastAsia"/>
          <w:iCs/>
          <w:snapToGrid w:val="0"/>
          <w:kern w:val="0"/>
          <w:szCs w:val="21"/>
          <w:lang w:val="zh-CN"/>
        </w:rPr>
        <w:t>采购人或者采购代理机构应当在成交供应商确定后2个工作日内，在省级以上财政部门指定的政府采购信息发布媒体上公告成交结果，同时向成交供应商发出成交通知书，并将磋商文件随成交结果同时公告。</w:t>
      </w:r>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rPr>
        <w:t xml:space="preserve">5  </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88" w:name="_Toc952"/>
      <w:r>
        <w:rPr>
          <w:rFonts w:hint="eastAsia" w:asciiTheme="minorEastAsia" w:hAnsiTheme="minorEastAsia" w:eastAsiaTheme="minorEastAsia" w:cstheme="minorEastAsia"/>
          <w:b/>
          <w:lang w:val="zh-CN"/>
        </w:rPr>
        <w:t>签订合同</w:t>
      </w:r>
      <w:bookmarkEnd w:id="88"/>
    </w:p>
    <w:p>
      <w:pPr>
        <w:tabs>
          <w:tab w:val="left" w:pos="426"/>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tabs>
          <w:tab w:val="left" w:pos="426"/>
        </w:tabs>
        <w:autoSpaceDE w:val="0"/>
        <w:autoSpaceDN w:val="0"/>
        <w:adjustRightInd w:val="0"/>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snapToGrid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left="630" w:left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left="630" w:left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ind w:left="630" w:hanging="630" w:hanging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szCs w:val="21"/>
          <w:lang w:val="zh-CN"/>
        </w:rPr>
        <w:t>29.6 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left="630" w:leftChars="300"/>
        <w:jc w:val="left"/>
        <w:rPr>
          <w:rFonts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9"/>
        </w:numPr>
        <w:tabs>
          <w:tab w:val="left" w:pos="540"/>
          <w:tab w:val="clear" w:pos="840"/>
        </w:tabs>
        <w:spacing w:line="360" w:lineRule="auto"/>
        <w:ind w:left="632" w:hanging="632" w:hangingChars="300"/>
        <w:jc w:val="left"/>
        <w:rPr>
          <w:rFonts w:asciiTheme="minorEastAsia" w:hAnsiTheme="minorEastAsia" w:eastAsiaTheme="minorEastAsia" w:cstheme="minorEastAsia"/>
          <w:b/>
          <w:szCs w:val="21"/>
          <w:lang w:val="zh-CN"/>
        </w:rPr>
      </w:pPr>
      <w:bookmarkStart w:id="89" w:name="_Toc4883"/>
      <w:bookmarkStart w:id="90" w:name="_Toc14510"/>
      <w:bookmarkStart w:id="91" w:name="_Toc13988"/>
      <w:r>
        <w:rPr>
          <w:rFonts w:hint="eastAsia" w:asciiTheme="minorEastAsia" w:hAnsiTheme="minorEastAsia" w:eastAsiaTheme="minorEastAsia" w:cstheme="minorEastAsia"/>
          <w:b/>
          <w:szCs w:val="21"/>
          <w:lang w:val="zh-CN"/>
        </w:rPr>
        <w:t>质疑和投诉</w:t>
      </w:r>
      <w:bookmarkEnd w:id="89"/>
      <w:bookmarkEnd w:id="90"/>
      <w:bookmarkEnd w:id="91"/>
    </w:p>
    <w:p>
      <w:pPr>
        <w:numPr>
          <w:ilvl w:val="0"/>
          <w:numId w:val="11"/>
        </w:numPr>
        <w:tabs>
          <w:tab w:val="left" w:pos="864"/>
          <w:tab w:val="left" w:pos="1080"/>
        </w:tabs>
        <w:spacing w:line="360" w:lineRule="auto"/>
        <w:ind w:left="632" w:hanging="632" w:hangingChars="300"/>
        <w:jc w:val="left"/>
        <w:rPr>
          <w:rFonts w:asciiTheme="minorEastAsia" w:hAnsiTheme="minorEastAsia" w:eastAsiaTheme="minorEastAsia" w:cstheme="minorEastAsia"/>
          <w:b/>
          <w:lang w:val="zh-CN"/>
        </w:rPr>
      </w:pPr>
      <w:r>
        <w:rPr>
          <w:rFonts w:hint="eastAsia" w:asciiTheme="minorEastAsia" w:hAnsiTheme="minorEastAsia" w:eastAsiaTheme="minorEastAsia" w:cstheme="minorEastAsia"/>
          <w:b/>
          <w:lang w:val="zh-CN"/>
        </w:rPr>
        <w:t>质疑</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1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0</w:t>
      </w:r>
      <w:r>
        <w:rPr>
          <w:rFonts w:hint="eastAsia" w:ascii="宋体" w:hAnsi="宋体" w:cs="宋体"/>
          <w:snapToGrid w:val="0"/>
          <w:kern w:val="0"/>
          <w:szCs w:val="21"/>
          <w:lang w:val="zh-CN"/>
        </w:rPr>
        <w:t>.2质疑书应当包括下列主要内容：</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（5）提出质疑的日期；</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autoSpaceDE w:val="0"/>
        <w:autoSpaceDN w:val="0"/>
        <w:adjustRightInd w:val="0"/>
        <w:spacing w:line="360" w:lineRule="auto"/>
        <w:ind w:left="630" w:leftChars="300"/>
        <w:jc w:val="left"/>
        <w:rPr>
          <w:rFonts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2" w:name="_Toc17606"/>
      <w:r>
        <w:rPr>
          <w:rFonts w:hint="eastAsia" w:asciiTheme="minorEastAsia" w:hAnsiTheme="minorEastAsia" w:eastAsiaTheme="minorEastAsia" w:cstheme="minorEastAsia"/>
          <w:b/>
          <w:lang w:val="zh-CN"/>
        </w:rPr>
        <w:t>质疑回复</w:t>
      </w:r>
      <w:bookmarkEnd w:id="92"/>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.1采购人或采购代理机构应当在收到供应商的书面质疑后7个工作日内作出答复，并以书面形式通知质疑供应商和其他有关供应商，但答复的内容不得涉及商业秘密。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1</w:t>
      </w:r>
      <w:r>
        <w:rPr>
          <w:rFonts w:hint="eastAsia" w:ascii="宋体" w:hAnsi="宋体" w:cs="宋体"/>
          <w:snapToGrid w:val="0"/>
          <w:kern w:val="0"/>
          <w:szCs w:val="21"/>
          <w:lang w:val="zh-CN"/>
        </w:rPr>
        <w:t>.2质疑答复应当包括下列内容：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lang w:val="zh-CN"/>
        </w:rPr>
      </w:pPr>
      <w:bookmarkStart w:id="93" w:name="_Toc12956"/>
      <w:r>
        <w:rPr>
          <w:rFonts w:hint="eastAsia" w:asciiTheme="minorEastAsia" w:hAnsiTheme="minorEastAsia" w:eastAsiaTheme="minorEastAsia" w:cstheme="minorEastAsia"/>
          <w:b/>
          <w:lang w:val="zh-CN"/>
        </w:rPr>
        <w:t>投诉</w:t>
      </w:r>
      <w:bookmarkEnd w:id="93"/>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1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2</w:t>
      </w:r>
      <w:r>
        <w:rPr>
          <w:rFonts w:hint="eastAsia" w:ascii="宋体" w:hAnsi="宋体" w:cs="宋体"/>
          <w:snapToGrid w:val="0"/>
          <w:kern w:val="0"/>
          <w:szCs w:val="21"/>
          <w:lang w:val="zh-CN"/>
        </w:rPr>
        <w:t>.2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4" w:name="_Toc28705"/>
      <w:bookmarkStart w:id="95" w:name="_Toc5571"/>
      <w:bookmarkStart w:id="96" w:name="_Toc14724"/>
      <w:bookmarkStart w:id="97" w:name="_Toc14767"/>
      <w:r>
        <w:rPr>
          <w:rFonts w:hint="eastAsia" w:asciiTheme="minorEastAsia" w:hAnsiTheme="minorEastAsia" w:eastAsiaTheme="minorEastAsia" w:cstheme="minorEastAsia"/>
          <w:b/>
          <w:szCs w:val="21"/>
          <w:lang w:val="zh-CN"/>
        </w:rPr>
        <w:t>政策</w:t>
      </w:r>
      <w:bookmarkEnd w:id="94"/>
      <w:bookmarkEnd w:id="95"/>
      <w:bookmarkEnd w:id="96"/>
      <w:bookmarkEnd w:id="97"/>
    </w:p>
    <w:p>
      <w:pPr>
        <w:numPr>
          <w:ilvl w:val="0"/>
          <w:numId w:val="11"/>
        </w:numPr>
        <w:tabs>
          <w:tab w:val="left" w:pos="864"/>
          <w:tab w:val="left" w:pos="1080"/>
        </w:tabs>
        <w:spacing w:line="360" w:lineRule="auto"/>
        <w:ind w:hanging="540"/>
        <w:outlineLvl w:val="1"/>
        <w:rPr>
          <w:rFonts w:asciiTheme="minorEastAsia" w:hAnsiTheme="minorEastAsia" w:eastAsiaTheme="minorEastAsia" w:cstheme="minorEastAsia"/>
          <w:b/>
        </w:rPr>
      </w:pPr>
      <w:bookmarkStart w:id="98" w:name="_Toc18751"/>
      <w:r>
        <w:rPr>
          <w:rFonts w:hint="eastAsia" w:asciiTheme="minorEastAsia" w:hAnsiTheme="minorEastAsia" w:eastAsiaTheme="minorEastAsia" w:cstheme="minorEastAsia"/>
          <w:b/>
        </w:rPr>
        <w:t>政府采购政策</w:t>
      </w:r>
      <w:bookmarkEnd w:id="98"/>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.1</w:t>
      </w:r>
      <w:r>
        <w:rPr>
          <w:rFonts w:hint="eastAsia" w:ascii="宋体" w:hAnsi="宋体" w:cs="宋体"/>
          <w:snapToGrid w:val="0"/>
          <w:spacing w:val="-2"/>
          <w:kern w:val="0"/>
          <w:szCs w:val="21"/>
          <w:lang w:val="zh-CN"/>
        </w:rPr>
        <w:t>除非“供应商须知前附表”中有特殊规定，本项目所采购的货物应当为中华人民共和国境内提供。</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.2为促进中小企业发展，本项目供应商如符合工信部联企业【</w:t>
      </w:r>
      <w:r>
        <w:rPr>
          <w:rFonts w:hint="eastAsia" w:ascii="宋体" w:hAnsi="宋体" w:cs="宋体"/>
          <w:snapToGrid w:val="0"/>
          <w:kern w:val="0"/>
          <w:szCs w:val="21"/>
        </w:rPr>
        <w:t>2011</w:t>
      </w:r>
      <w:r>
        <w:rPr>
          <w:rFonts w:hint="eastAsia" w:ascii="宋体" w:hAnsi="宋体" w:cs="宋体"/>
          <w:snapToGrid w:val="0"/>
          <w:kern w:val="0"/>
          <w:szCs w:val="21"/>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ind w:left="630" w:hanging="630" w:hangingChars="300"/>
        <w:jc w:val="left"/>
        <w:rPr>
          <w:rFonts w:ascii="宋体" w:hAnsi="宋体" w:cs="宋体"/>
          <w:snapToGrid w:val="0"/>
          <w:kern w:val="0"/>
          <w:szCs w:val="21"/>
        </w:rPr>
      </w:pPr>
      <w:r>
        <w:rPr>
          <w:rFonts w:hint="eastAsia" w:ascii="宋体" w:hAnsi="宋体" w:cs="宋体"/>
          <w:snapToGrid w:val="0"/>
          <w:kern w:val="0"/>
          <w:szCs w:val="21"/>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ind w:left="630" w:hanging="630" w:hangingChars="300"/>
        <w:jc w:val="left"/>
        <w:rPr>
          <w:rFonts w:ascii="宋体" w:hAnsi="宋体" w:cs="宋体"/>
          <w:snapToGrid w:val="0"/>
          <w:kern w:val="0"/>
          <w:szCs w:val="21"/>
        </w:rPr>
      </w:pPr>
      <w:r>
        <w:rPr>
          <w:rFonts w:hint="eastAsia" w:ascii="宋体" w:hAnsi="宋体" w:cs="宋体"/>
          <w:snapToGrid w:val="0"/>
          <w:kern w:val="0"/>
          <w:szCs w:val="21"/>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ind w:left="630" w:hanging="630" w:hangingChars="300"/>
        <w:jc w:val="left"/>
        <w:rPr>
          <w:rFonts w:ascii="宋体" w:hAnsi="宋体" w:cs="宋体"/>
          <w:snapToGrid w:val="0"/>
          <w:kern w:val="0"/>
          <w:szCs w:val="21"/>
        </w:rPr>
      </w:pPr>
      <w:r>
        <w:rPr>
          <w:rFonts w:hint="eastAsia" w:ascii="宋体" w:hAnsi="宋体" w:cs="宋体"/>
          <w:snapToGrid w:val="0"/>
          <w:kern w:val="0"/>
          <w:szCs w:val="21"/>
          <w:lang w:val="zh-CN"/>
        </w:rPr>
        <w:t>3</w:t>
      </w:r>
      <w:r>
        <w:rPr>
          <w:rFonts w:hint="eastAsia" w:ascii="宋体" w:hAnsi="宋体" w:cs="宋体"/>
          <w:snapToGrid w:val="0"/>
          <w:kern w:val="0"/>
          <w:szCs w:val="21"/>
        </w:rPr>
        <w:t>3</w:t>
      </w:r>
      <w:r>
        <w:rPr>
          <w:rFonts w:hint="eastAsia" w:ascii="宋体" w:hAnsi="宋体" w:cs="宋体"/>
          <w:snapToGrid w:val="0"/>
          <w:kern w:val="0"/>
          <w:szCs w:val="21"/>
          <w:lang w:val="zh-CN"/>
        </w:rPr>
        <w:t>.</w:t>
      </w:r>
      <w:r>
        <w:rPr>
          <w:rFonts w:hint="eastAsia" w:ascii="宋体" w:hAnsi="宋体" w:cs="宋体"/>
          <w:snapToGrid w:val="0"/>
          <w:kern w:val="0"/>
          <w:szCs w:val="21"/>
        </w:rPr>
        <w:t>5  按照《财政部发展改革委生态环境部市场监管总局关于调整优化节能产品、环境标志产品政府采购执行机制的通知》（财库〔2019〕9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ind w:left="630" w:hanging="630" w:hangingChars="300"/>
        <w:jc w:val="left"/>
        <w:rPr>
          <w:rFonts w:ascii="宋体" w:hAnsi="宋体" w:cs="宋体"/>
          <w:snapToGrid w:val="0"/>
          <w:kern w:val="0"/>
          <w:szCs w:val="21"/>
          <w:lang w:val="zh-CN"/>
        </w:rPr>
      </w:pPr>
      <w:r>
        <w:rPr>
          <w:rFonts w:hint="eastAsia" w:ascii="宋体" w:hAnsi="宋体" w:cs="宋体"/>
          <w:snapToGrid w:val="0"/>
          <w:kern w:val="0"/>
          <w:szCs w:val="21"/>
          <w:lang w:val="zh-CN"/>
        </w:rPr>
        <w:t>33.</w:t>
      </w:r>
      <w:r>
        <w:rPr>
          <w:rFonts w:hint="eastAsia" w:ascii="宋体" w:hAnsi="宋体" w:cs="宋体"/>
          <w:snapToGrid w:val="0"/>
          <w:kern w:val="0"/>
          <w:szCs w:val="21"/>
        </w:rPr>
        <w:t xml:space="preserve">6  </w:t>
      </w:r>
      <w:r>
        <w:rPr>
          <w:rFonts w:hint="eastAsia" w:ascii="宋体" w:hAnsi="宋体" w:cs="宋体"/>
          <w:snapToGrid w:val="0"/>
          <w:kern w:val="0"/>
          <w:szCs w:val="21"/>
          <w:lang w:val="zh-CN"/>
        </w:rPr>
        <w:t>上述政府采购政策优惠须经磋商小组评审后执行，未提供单独分项报价或证明资料不全的不给予价格扣除。</w:t>
      </w:r>
    </w:p>
    <w:p>
      <w:pPr>
        <w:autoSpaceDE w:val="0"/>
        <w:autoSpaceDN w:val="0"/>
        <w:adjustRightInd w:val="0"/>
        <w:spacing w:line="360" w:lineRule="auto"/>
        <w:ind w:left="630" w:leftChars="300"/>
        <w:jc w:val="left"/>
        <w:rPr>
          <w:b/>
          <w:bCs/>
          <w:lang w:val="zh-CN"/>
        </w:rPr>
      </w:pPr>
      <w:r>
        <w:rPr>
          <w:rFonts w:hint="eastAsia" w:ascii="宋体" w:hAnsi="宋体" w:cs="宋体"/>
          <w:b/>
          <w:bCs/>
          <w:snapToGrid w:val="0"/>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99" w:name="_Toc11174"/>
      <w:r>
        <w:rPr>
          <w:rFonts w:hint="eastAsia" w:asciiTheme="minorEastAsia" w:hAnsiTheme="minorEastAsia" w:eastAsiaTheme="minorEastAsia" w:cstheme="minorEastAsia"/>
          <w:b/>
          <w:szCs w:val="21"/>
          <w:lang w:val="zh-CN"/>
        </w:rPr>
        <w:t>其他要求</w:t>
      </w:r>
      <w:bookmarkEnd w:id="99"/>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9"/>
        </w:numPr>
        <w:tabs>
          <w:tab w:val="left" w:pos="540"/>
          <w:tab w:val="clear" w:pos="840"/>
        </w:tabs>
        <w:spacing w:line="360" w:lineRule="auto"/>
        <w:ind w:left="540" w:hanging="540"/>
        <w:outlineLvl w:val="1"/>
        <w:rPr>
          <w:rFonts w:asciiTheme="minorEastAsia" w:hAnsiTheme="minorEastAsia" w:eastAsiaTheme="minorEastAsia" w:cstheme="minorEastAsia"/>
          <w:b/>
          <w:szCs w:val="21"/>
          <w:lang w:val="zh-CN"/>
        </w:rPr>
      </w:pPr>
      <w:bookmarkStart w:id="100" w:name="_Toc4827"/>
      <w:r>
        <w:rPr>
          <w:rFonts w:hint="eastAsia" w:asciiTheme="minorEastAsia" w:hAnsiTheme="minorEastAsia" w:eastAsiaTheme="minorEastAsia" w:cstheme="minorEastAsia"/>
          <w:b/>
          <w:szCs w:val="21"/>
          <w:lang w:val="zh-CN"/>
        </w:rPr>
        <w:t>适用法律</w:t>
      </w:r>
      <w:bookmarkEnd w:id="100"/>
    </w:p>
    <w:p>
      <w:pPr>
        <w:autoSpaceDE w:val="0"/>
        <w:autoSpaceDN w:val="0"/>
        <w:adjustRightInd w:val="0"/>
        <w:spacing w:line="360" w:lineRule="auto"/>
        <w:ind w:left="630" w:left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numPr>
          <w:ilvl w:val="0"/>
          <w:numId w:val="36"/>
        </w:numPr>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11 月 30 日。</w:t>
      </w:r>
    </w:p>
    <w:p>
      <w:pPr>
        <w:numPr>
          <w:ilvl w:val="0"/>
          <w:numId w:val="36"/>
        </w:numPr>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rPr>
        <w:t>8</w:t>
      </w:r>
      <w:r>
        <w:rPr>
          <w:rFonts w:hint="eastAsia" w:asciiTheme="minorEastAsia" w:hAnsiTheme="minorEastAsia" w:eastAsiaTheme="minorEastAsia" w:cstheme="minorEastAsia"/>
          <w:snapToGrid w:val="0"/>
          <w:kern w:val="0"/>
          <w:szCs w:val="21"/>
          <w:lang w:val="zh-CN"/>
        </w:rPr>
        <w:t>年度。</w:t>
      </w:r>
    </w:p>
    <w:p>
      <w:pPr>
        <w:numPr>
          <w:ilvl w:val="0"/>
          <w:numId w:val="36"/>
        </w:numPr>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jc w:val="center"/>
        <w:outlineLvl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bookmarkStart w:id="101" w:name="_Toc10349"/>
      <w:r>
        <w:rPr>
          <w:rFonts w:hint="eastAsia" w:asciiTheme="minorEastAsia" w:hAnsiTheme="minorEastAsia" w:eastAsiaTheme="minorEastAsia" w:cstheme="minorEastAsia"/>
          <w:b/>
          <w:bCs/>
          <w:sz w:val="36"/>
          <w:szCs w:val="36"/>
        </w:rPr>
        <w:t>第三章采购需求</w:t>
      </w:r>
      <w:bookmarkEnd w:id="101"/>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2" w:name="_Toc25303"/>
      <w:r>
        <w:rPr>
          <w:rFonts w:hint="eastAsia" w:asciiTheme="minorEastAsia" w:hAnsiTheme="minorEastAsia" w:eastAsiaTheme="minorEastAsia" w:cstheme="minorEastAsia"/>
          <w:b/>
          <w:bCs/>
          <w:sz w:val="24"/>
        </w:rPr>
        <w:t>一、技术需求</w:t>
      </w:r>
      <w:bookmarkEnd w:id="102"/>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项目概况：培训中心每年承接各类集中培训项目80余项，计约10000人次，学员在校培训期间需在学校周边宾馆住宿。为满足学员住宿需要，现公开遴选10家协议供应商，每个培训项目实施时间一般为5-7天，部分项目为10天以上。</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2、服务内容和要求：</w:t>
      </w:r>
    </w:p>
    <w:p>
      <w:pPr>
        <w:spacing w:line="360" w:lineRule="auto"/>
        <w:ind w:firstLine="420" w:firstLineChars="200"/>
        <w:rPr>
          <w:rFonts w:ascii="宋体" w:hAnsi="宋体" w:cs="宋体"/>
          <w:szCs w:val="21"/>
        </w:rPr>
      </w:pPr>
      <w:r>
        <w:rPr>
          <w:rFonts w:hint="eastAsia" w:ascii="宋体" w:hAnsi="宋体" w:cs="宋体"/>
          <w:szCs w:val="21"/>
        </w:rPr>
        <w:t>2.1 服务内容：2020年9月-2023年8月的非学历培训住宿服务，每间标间需含双份早餐。</w:t>
      </w:r>
    </w:p>
    <w:p>
      <w:pPr>
        <w:spacing w:line="360" w:lineRule="auto"/>
        <w:ind w:firstLine="420" w:firstLineChars="200"/>
        <w:rPr>
          <w:rFonts w:ascii="宋体" w:hAnsi="宋体" w:cs="宋体"/>
          <w:szCs w:val="21"/>
        </w:rPr>
      </w:pPr>
      <w:r>
        <w:rPr>
          <w:rFonts w:hint="eastAsia" w:ascii="宋体" w:hAnsi="宋体" w:cs="宋体"/>
          <w:szCs w:val="21"/>
        </w:rPr>
        <w:t>★2.2 要求：</w:t>
      </w:r>
    </w:p>
    <w:p>
      <w:pPr>
        <w:spacing w:line="360" w:lineRule="auto"/>
        <w:ind w:firstLine="1050" w:firstLineChars="500"/>
        <w:rPr>
          <w:rFonts w:ascii="宋体" w:hAnsi="宋体" w:cs="宋体"/>
          <w:szCs w:val="21"/>
        </w:rPr>
      </w:pPr>
      <w:r>
        <w:rPr>
          <w:rFonts w:hint="eastAsia" w:ascii="宋体" w:hAnsi="宋体" w:cs="宋体"/>
          <w:szCs w:val="21"/>
        </w:rPr>
        <w:t>（1）需含双份早餐，不包含午餐及晚餐；</w:t>
      </w:r>
    </w:p>
    <w:p>
      <w:pPr>
        <w:spacing w:line="360" w:lineRule="auto"/>
        <w:ind w:firstLine="1050" w:firstLineChars="500"/>
        <w:rPr>
          <w:rFonts w:ascii="宋体" w:hAnsi="宋体" w:cs="宋体"/>
          <w:szCs w:val="21"/>
        </w:rPr>
      </w:pPr>
      <w:r>
        <w:rPr>
          <w:rFonts w:hint="eastAsia" w:ascii="宋体" w:hAnsi="宋体" w:cs="宋体"/>
          <w:szCs w:val="21"/>
        </w:rPr>
        <w:t>（2）距离华师主校区不超过4公里（以百度步行公里数为准），若供应商距离华师主校区距离超出4公里，供应商需提供摆渡车接送学员往返学校、酒店（提供承诺书）；</w:t>
      </w:r>
    </w:p>
    <w:p>
      <w:pPr>
        <w:spacing w:line="360" w:lineRule="auto"/>
        <w:ind w:firstLine="1050" w:firstLineChars="500"/>
        <w:rPr>
          <w:rFonts w:ascii="宋体" w:hAnsi="宋体" w:cs="宋体"/>
          <w:szCs w:val="21"/>
        </w:rPr>
      </w:pPr>
      <w:r>
        <w:rPr>
          <w:rFonts w:hint="eastAsia" w:ascii="宋体" w:hAnsi="宋体" w:cs="宋体"/>
          <w:szCs w:val="21"/>
        </w:rPr>
        <w:t>（3）标间不低于40间，三星以上设施及服务标准；</w:t>
      </w:r>
    </w:p>
    <w:p>
      <w:pPr>
        <w:spacing w:line="360" w:lineRule="auto"/>
        <w:ind w:firstLine="1050" w:firstLineChars="500"/>
        <w:rPr>
          <w:rFonts w:ascii="宋体" w:hAnsi="宋体" w:cs="宋体"/>
          <w:szCs w:val="21"/>
        </w:rPr>
      </w:pPr>
      <w:r>
        <w:rPr>
          <w:rFonts w:hint="eastAsia" w:ascii="宋体" w:hAnsi="宋体" w:cs="宋体"/>
          <w:szCs w:val="21"/>
        </w:rPr>
        <w:t>（4）会议室（含桌，60人及以上）至少一间，且有可供授课的多媒体设备（音响、话筒、显示屏）。</w:t>
      </w:r>
    </w:p>
    <w:p>
      <w:pPr>
        <w:autoSpaceDE w:val="0"/>
        <w:autoSpaceDN w:val="0"/>
        <w:adjustRightInd w:val="0"/>
        <w:spacing w:line="360" w:lineRule="auto"/>
        <w:ind w:firstLine="1050" w:firstLineChars="500"/>
      </w:pPr>
      <w:r>
        <w:rPr>
          <w:rFonts w:hint="eastAsia" w:asciiTheme="minorEastAsia" w:hAnsiTheme="minorEastAsia" w:eastAsiaTheme="minorEastAsia" w:cstheme="minorEastAsia"/>
          <w:szCs w:val="21"/>
        </w:rPr>
        <w:t>（5）因供应商有其他活动导致客房标间不能容纳学校当期培训人数时，则需为学员合理分配单间或套间，收费标准以供应商单间或套间当日门市价为标准进行折扣收取，折扣率至少50%。</w:t>
      </w:r>
      <w:r>
        <w:rPr>
          <w:rFonts w:hint="eastAsia" w:asciiTheme="minorEastAsia" w:hAnsiTheme="minorEastAsia" w:eastAsiaTheme="minorEastAsia" w:cstheme="minorEastAsia"/>
          <w:szCs w:val="21"/>
        </w:rPr>
        <w:br w:type="textWrapping"/>
      </w:r>
    </w:p>
    <w:p>
      <w:pPr>
        <w:autoSpaceDE w:val="0"/>
        <w:autoSpaceDN w:val="0"/>
        <w:adjustRightInd w:val="0"/>
        <w:spacing w:line="360" w:lineRule="auto"/>
        <w:outlineLvl w:val="1"/>
        <w:rPr>
          <w:rFonts w:asciiTheme="minorEastAsia" w:hAnsiTheme="minorEastAsia" w:eastAsiaTheme="minorEastAsia" w:cstheme="minorEastAsia"/>
          <w:b/>
          <w:bCs/>
          <w:sz w:val="24"/>
        </w:rPr>
      </w:pPr>
      <w:bookmarkStart w:id="103" w:name="_Toc27684"/>
      <w:r>
        <w:rPr>
          <w:rFonts w:hint="eastAsia" w:asciiTheme="minorEastAsia" w:hAnsiTheme="minorEastAsia" w:eastAsiaTheme="minorEastAsia" w:cstheme="minorEastAsia"/>
          <w:b/>
          <w:bCs/>
          <w:sz w:val="24"/>
        </w:rPr>
        <w:t>二、商务需求</w:t>
      </w:r>
      <w:bookmarkEnd w:id="103"/>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1、违约责任：</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所有拟派服务人员及设备均需按照磋商文件指标要求及竞标响应情况进行检查核对后方可签订合同，不满足磋商文件要求的，采购人有权不对其进行验收；同时采购人有权对成交供应商进行双倍罚款或取消合同。</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1.2若非采购人原因，成交供应商逾期签订合同的，成交供应商向采购人支付逾期违约金，逾期违约金为每天1000.00元人民币，但其最终累计金额不超过合同价款的10%。</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1.3因成交供应商原因服务质量及诚信要求达不到约定的标准，由成交供应商向采购人支付合同价款10%的违约金。</w:t>
      </w:r>
      <w:r>
        <w:rPr>
          <w:rFonts w:hint="eastAsia" w:asciiTheme="minorEastAsia" w:hAnsiTheme="minorEastAsia" w:eastAsiaTheme="minorEastAsia" w:cstheme="minorEastAsia"/>
          <w:b/>
          <w:bCs/>
          <w:szCs w:val="21"/>
        </w:rPr>
        <w:br w:type="textWrapping"/>
      </w:r>
      <w:r>
        <w:rPr>
          <w:rFonts w:hint="eastAsia" w:asciiTheme="minorEastAsia" w:hAnsiTheme="minorEastAsia" w:eastAsiaTheme="minorEastAsia" w:cstheme="minorEastAsia"/>
          <w:szCs w:val="21"/>
        </w:rPr>
        <w:t>2、服务质量要求：</w:t>
      </w:r>
    </w:p>
    <w:p>
      <w:pPr>
        <w:spacing w:line="360" w:lineRule="auto"/>
        <w:ind w:firstLine="420" w:firstLineChars="200"/>
      </w:pPr>
      <w:r>
        <w:rPr>
          <w:rFonts w:hint="eastAsia" w:ascii="宋体" w:hAnsi="宋体" w:cs="宋体"/>
        </w:rPr>
        <w:t xml:space="preserve">2.1 </w:t>
      </w:r>
      <w:r>
        <w:rPr>
          <w:rFonts w:hint="eastAsia"/>
        </w:rPr>
        <w:t>按照国家、地方的相关法规、管理条例与技术标准、行业规范要求，提供优质、规范、高效的标准化服务、管理和能耗、物耗控制。</w:t>
      </w:r>
    </w:p>
    <w:p>
      <w:pPr>
        <w:spacing w:line="360" w:lineRule="auto"/>
        <w:ind w:firstLine="420" w:firstLineChars="200"/>
      </w:pPr>
      <w:r>
        <w:rPr>
          <w:rFonts w:hint="eastAsia" w:ascii="宋体" w:hAnsi="宋体" w:cs="宋体"/>
        </w:rPr>
        <w:t>2.2 会议、</w:t>
      </w:r>
      <w:r>
        <w:rPr>
          <w:rFonts w:hint="eastAsia"/>
        </w:rPr>
        <w:t>学员住宿、餐饮的管理与服务须安全、卫生、规范，提供酒店式的服务，专业化的管理。</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3、服务要求：</w:t>
      </w:r>
    </w:p>
    <w:p>
      <w:pPr>
        <w:autoSpaceDE w:val="0"/>
        <w:autoSpaceDN w:val="0"/>
        <w:adjustRightInd w:val="0"/>
        <w:spacing w:line="360" w:lineRule="auto"/>
        <w:ind w:firstLine="210" w:firstLineChars="100"/>
        <w:rPr>
          <w:rFonts w:ascii="宋体" w:hAnsi="宋体" w:cs="宋体"/>
          <w:kern w:val="0"/>
          <w:szCs w:val="21"/>
        </w:rPr>
      </w:pPr>
      <w:r>
        <w:rPr>
          <w:rFonts w:hint="eastAsia" w:ascii="宋体" w:hAnsi="宋体" w:cs="宋体"/>
          <w:kern w:val="0"/>
          <w:szCs w:val="21"/>
        </w:rPr>
        <w:t>3.1 供应商提供至少2名服务人员在会议时进行服务工作；</w:t>
      </w:r>
    </w:p>
    <w:p>
      <w:pPr>
        <w:autoSpaceDE w:val="0"/>
        <w:autoSpaceDN w:val="0"/>
        <w:adjustRightInd w:val="0"/>
        <w:spacing w:line="360" w:lineRule="auto"/>
        <w:ind w:firstLine="210" w:firstLineChars="100"/>
        <w:rPr>
          <w:rFonts w:ascii="宋体" w:hAnsi="宋体" w:cs="宋体"/>
          <w:kern w:val="0"/>
          <w:szCs w:val="21"/>
        </w:rPr>
      </w:pPr>
      <w:r>
        <w:rPr>
          <w:rFonts w:hint="eastAsia" w:ascii="宋体" w:hAnsi="宋体" w:cs="宋体"/>
          <w:kern w:val="0"/>
          <w:szCs w:val="21"/>
        </w:rPr>
        <w:t>3.2 提供工作人员24小时处理学员住宿中遇到的用具不足或用电器损坏等情况；</w:t>
      </w:r>
    </w:p>
    <w:p>
      <w:pPr>
        <w:autoSpaceDE w:val="0"/>
        <w:autoSpaceDN w:val="0"/>
        <w:adjustRightInd w:val="0"/>
        <w:spacing w:line="360" w:lineRule="auto"/>
        <w:ind w:firstLine="210" w:firstLineChars="100"/>
        <w:rPr>
          <w:rFonts w:ascii="宋体" w:hAnsi="宋体" w:cs="宋体"/>
          <w:kern w:val="0"/>
          <w:szCs w:val="21"/>
        </w:rPr>
      </w:pPr>
      <w:r>
        <w:rPr>
          <w:rFonts w:hint="eastAsia" w:ascii="宋体" w:hAnsi="宋体" w:cs="宋体"/>
          <w:kern w:val="0"/>
          <w:szCs w:val="21"/>
        </w:rPr>
        <w:t>3.3 提供早餐包含多种食品以供学员选择。</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4、服务地点：华中师范大学指定地点</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5、服务期：3年（2020年9月-2023年8月31日），采购人每年针对入围供应商的服务情况进行考评，考评合格者可与采购人续签协议，考评不合格者，采购人将不再续签协议。</w:t>
      </w:r>
    </w:p>
    <w:p>
      <w:pPr>
        <w:autoSpaceDE w:val="0"/>
        <w:autoSpaceDN w:val="0"/>
        <w:adjustRightInd w:val="0"/>
        <w:snapToGrid w:val="0"/>
        <w:spacing w:beforeLines="10" w:afterLines="10" w:line="360" w:lineRule="auto"/>
        <w:ind w:right="21" w:rightChars="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6、履约保证金：</w:t>
      </w:r>
    </w:p>
    <w:p>
      <w:pPr>
        <w:autoSpaceDE w:val="0"/>
        <w:autoSpaceDN w:val="0"/>
        <w:adjustRightInd w:val="0"/>
        <w:snapToGrid w:val="0"/>
        <w:spacing w:beforeLines="10" w:afterLines="10" w:line="360" w:lineRule="auto"/>
        <w:ind w:right="21" w:rightChars="10"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签订年度框架协议前，成交供应商提交肆万元作为履约保证金，以支票、汇票、本票或者金融机构、担保机构出具的保函等非现金形式提交给采购人，服务期满后无息退还。</w:t>
      </w:r>
    </w:p>
    <w:p>
      <w:pPr>
        <w:numPr>
          <w:ilvl w:val="0"/>
          <w:numId w:val="37"/>
        </w:num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付款方式：</w:t>
      </w:r>
      <w:r>
        <w:rPr>
          <w:rFonts w:hint="eastAsia" w:ascii="宋体" w:hAnsi="宋体" w:cs="宋体"/>
          <w:szCs w:val="21"/>
        </w:rPr>
        <w:t>按月结算，具体以采购人财务支付制度支付合同款项，成交供应商每月在采购人支付合同款项前三个工作日向采购人提供正规的税务发票，否则，采购人有权拒付。</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b/>
          <w:bCs/>
          <w:szCs w:val="21"/>
        </w:rPr>
        <w:t>8、其他：</w:t>
      </w:r>
      <w:r>
        <w:rPr>
          <w:rFonts w:hint="eastAsia"/>
          <w:b/>
        </w:rPr>
        <w:t>特别说明：如学校其他单位有需要，可以共用此次招标结果。</w:t>
      </w:r>
    </w:p>
    <w:p>
      <w:pPr>
        <w:autoSpaceDE w:val="0"/>
        <w:autoSpaceDN w:val="0"/>
        <w:adjustRightInd w:val="0"/>
        <w:spacing w:line="360" w:lineRule="auto"/>
        <w:rPr>
          <w:rFonts w:asciiTheme="minorEastAsia" w:hAnsiTheme="minorEastAsia" w:eastAsiaTheme="minorEastAsia" w:cstheme="minorEastAsia"/>
          <w:szCs w:val="21"/>
        </w:rPr>
      </w:pP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1、资格审查因素等证明材料须提供网上图片或查询方式以供磋商小组核查，响应文件内附相关证书真彩扫描件。</w:t>
      </w:r>
    </w:p>
    <w:p>
      <w:pPr>
        <w:pStyle w:val="10"/>
        <w:spacing w:line="360" w:lineRule="auto"/>
        <w:rPr>
          <w:b/>
        </w:rPr>
      </w:pPr>
      <w:r>
        <w:rPr>
          <w:rFonts w:hint="eastAsia" w:asciiTheme="minorEastAsia" w:hAnsiTheme="minorEastAsia" w:eastAsiaTheme="minorEastAsia" w:cstheme="minorEastAsia"/>
          <w:szCs w:val="21"/>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szCs w:val="21"/>
        </w:rPr>
        <w:br w:type="textWrapping"/>
      </w:r>
      <w:r>
        <w:rPr>
          <w:rFonts w:hint="eastAsia" w:asciiTheme="minorEastAsia" w:hAnsiTheme="minorEastAsia" w:eastAsiaTheme="minorEastAsia" w:cstheme="minorEastAsia"/>
          <w:b/>
          <w:bCs/>
          <w:szCs w:val="21"/>
        </w:rPr>
        <w:br w:type="textWrapping"/>
      </w:r>
    </w:p>
    <w:p>
      <w:pPr>
        <w:autoSpaceDE w:val="0"/>
        <w:autoSpaceDN w:val="0"/>
        <w:adjustRightInd w:val="0"/>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br w:type="textWrapping"/>
      </w:r>
    </w:p>
    <w:p>
      <w:pPr>
        <w:pStyle w:val="10"/>
      </w:pPr>
    </w:p>
    <w:p/>
    <w:p>
      <w:pPr>
        <w:pStyle w:val="3"/>
        <w:jc w:val="center"/>
        <w:rPr>
          <w:rFonts w:asciiTheme="minorEastAsia" w:hAnsiTheme="minorEastAsia" w:eastAsiaTheme="minorEastAsia" w:cstheme="minorEastAsia"/>
          <w:szCs w:val="21"/>
        </w:rPr>
      </w:pPr>
      <w:bookmarkStart w:id="104" w:name="_Toc26830"/>
      <w:r>
        <w:rPr>
          <w:rFonts w:hint="eastAsia" w:asciiTheme="minorEastAsia" w:hAnsiTheme="minorEastAsia" w:eastAsiaTheme="minorEastAsia" w:cstheme="minorEastAsia"/>
          <w:sz w:val="36"/>
          <w:szCs w:val="36"/>
        </w:rPr>
        <w:t>第四章竞争性磋商采购评定办法</w:t>
      </w:r>
      <w:bookmarkEnd w:id="104"/>
    </w:p>
    <w:p>
      <w:pPr>
        <w:spacing w:line="360" w:lineRule="auto"/>
        <w:outlineLvl w:val="1"/>
        <w:rPr>
          <w:rFonts w:asciiTheme="minorEastAsia" w:hAnsiTheme="minorEastAsia" w:eastAsiaTheme="minorEastAsia" w:cstheme="minorEastAsia"/>
          <w:b/>
          <w:szCs w:val="21"/>
        </w:rPr>
      </w:pPr>
      <w:bookmarkStart w:id="105" w:name="_Toc8847"/>
      <w:r>
        <w:rPr>
          <w:rFonts w:hint="eastAsia" w:asciiTheme="minorEastAsia" w:hAnsiTheme="minorEastAsia" w:eastAsiaTheme="minorEastAsia" w:cstheme="minorEastAsia"/>
          <w:b/>
          <w:szCs w:val="21"/>
        </w:rPr>
        <w:t>一、评定办法前附表</w:t>
      </w:r>
      <w:bookmarkEnd w:id="105"/>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szCs w:val="21"/>
              </w:rPr>
            </w:pPr>
          </w:p>
        </w:tc>
        <w:tc>
          <w:tcPr>
            <w:tcW w:w="3101" w:type="dxa"/>
            <w:vAlign w:val="center"/>
          </w:tcPr>
          <w:p>
            <w:pPr>
              <w:widowControl/>
              <w:spacing w:line="280" w:lineRule="exact"/>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lang w:val="zh-CN"/>
              </w:rPr>
            </w:pPr>
            <w:r>
              <w:rPr>
                <w:rFonts w:hint="eastAsia"/>
                <w:lang w:val="zh-CN"/>
              </w:rPr>
              <w:t>2、参与本项目采购活动前，已为本项目提供过整体设计、规范编制或者项目管理、监理、检测等服务的供应商。</w:t>
            </w:r>
          </w:p>
          <w:p>
            <w:pPr>
              <w:widowControl/>
              <w:spacing w:line="280" w:lineRule="exact"/>
              <w:jc w:val="left"/>
              <w:rPr>
                <w:lang w:val="zh-CN"/>
              </w:rPr>
            </w:pPr>
            <w:r>
              <w:rPr>
                <w:rFonts w:hint="eastAsia"/>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asciiTheme="minorEastAsia" w:hAnsiTheme="minorEastAsia" w:eastAsiaTheme="minorEastAsia" w:cstheme="minorEastAsia"/>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磋商保证金（如有）</w:t>
            </w:r>
          </w:p>
        </w:tc>
        <w:tc>
          <w:tcPr>
            <w:tcW w:w="4730" w:type="dxa"/>
            <w:vAlign w:val="center"/>
          </w:tcPr>
          <w:p>
            <w:pPr>
              <w:widowControl/>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6"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是否未超出经营范围竞标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5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商务需求是否实质性响应磋商文件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Merge w:val="continue"/>
            <w:vAlign w:val="center"/>
          </w:tcPr>
          <w:p>
            <w:pPr>
              <w:widowControl/>
              <w:jc w:val="center"/>
              <w:rPr>
                <w:rFonts w:asciiTheme="minorEastAsia" w:hAnsiTheme="minorEastAsia" w:eastAsiaTheme="minorEastAsia" w:cstheme="minorEastAsia"/>
                <w:kern w:val="0"/>
                <w:szCs w:val="21"/>
              </w:rPr>
            </w:pP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ascii="宋体" w:hAnsi="宋体"/>
                <w:szCs w:val="21"/>
              </w:rPr>
            </w:pPr>
            <w:r>
              <w:rPr>
                <w:rFonts w:hint="eastAsia" w:ascii="宋体" w:hAnsi="宋体"/>
                <w:szCs w:val="21"/>
              </w:rPr>
              <w:t>其他要求（一）</w:t>
            </w:r>
          </w:p>
        </w:tc>
        <w:tc>
          <w:tcPr>
            <w:tcW w:w="4730" w:type="dxa"/>
            <w:vAlign w:val="center"/>
          </w:tcPr>
          <w:p>
            <w:pPr>
              <w:autoSpaceDE w:val="0"/>
              <w:autoSpaceDN w:val="0"/>
              <w:adjustRightInd w:val="0"/>
              <w:snapToGrid w:val="0"/>
              <w:rPr>
                <w:rFonts w:ascii="宋体" w:hAnsi="宋体"/>
                <w:szCs w:val="21"/>
              </w:rPr>
            </w:pPr>
            <w:r>
              <w:rPr>
                <w:rFonts w:hint="eastAsia" w:ascii="宋体" w:hAnsi="宋体"/>
                <w:szCs w:val="21"/>
              </w:rPr>
              <w:t>供应商未有下列任一情形：</w:t>
            </w:r>
          </w:p>
          <w:p>
            <w:pPr>
              <w:autoSpaceDE w:val="0"/>
              <w:autoSpaceDN w:val="0"/>
              <w:adjustRightInd w:val="0"/>
              <w:snapToGrid w:val="0"/>
              <w:rPr>
                <w:rFonts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asciiTheme="minorEastAsia" w:hAnsiTheme="minorEastAsia" w:eastAsiaTheme="minorEastAsia" w:cstheme="minorEastAsia"/>
                <w:bCs/>
                <w:kern w:val="0"/>
                <w:szCs w:val="21"/>
              </w:rPr>
            </w:pPr>
          </w:p>
        </w:tc>
        <w:tc>
          <w:tcPr>
            <w:tcW w:w="851" w:type="dxa"/>
            <w:vMerge w:val="continue"/>
            <w:vAlign w:val="center"/>
          </w:tcPr>
          <w:p>
            <w:pPr>
              <w:widowControl/>
              <w:jc w:val="center"/>
              <w:rPr>
                <w:rFonts w:asciiTheme="minorEastAsia" w:hAnsiTheme="minorEastAsia" w:eastAsiaTheme="minorEastAsia" w:cstheme="minorEastAsia"/>
                <w:bCs/>
                <w:kern w:val="0"/>
                <w:szCs w:val="21"/>
              </w:rPr>
            </w:pPr>
          </w:p>
        </w:tc>
        <w:tc>
          <w:tcPr>
            <w:tcW w:w="3101"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其他要求（二）</w:t>
            </w:r>
          </w:p>
        </w:tc>
        <w:tc>
          <w:tcPr>
            <w:tcW w:w="4730" w:type="dxa"/>
            <w:vAlign w:val="center"/>
          </w:tcPr>
          <w:p>
            <w:pPr>
              <w:widowControl/>
              <w:rPr>
                <w:rFonts w:asciiTheme="minorEastAsia" w:hAnsiTheme="minorEastAsia" w:eastAsiaTheme="minorEastAsia" w:cstheme="minorEastAsia"/>
                <w:kern w:val="0"/>
                <w:szCs w:val="21"/>
              </w:rPr>
            </w:pPr>
            <w:r>
              <w:rPr>
                <w:rFonts w:hint="eastAsia" w:ascii="宋体" w:hAnsi="宋体" w:cs="宋体"/>
                <w:kern w:val="0"/>
                <w:szCs w:val="21"/>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w:t>
            </w:r>
          </w:p>
        </w:tc>
        <w:tc>
          <w:tcPr>
            <w:tcW w:w="851" w:type="dxa"/>
            <w:vMerge w:val="restart"/>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asciiTheme="minorEastAsia" w:hAnsiTheme="minorEastAsia" w:eastAsiaTheme="minorEastAsia" w:cstheme="minorEastAsia"/>
                <w:kern w:val="0"/>
                <w:szCs w:val="21"/>
              </w:rPr>
            </w:pPr>
          </w:p>
        </w:tc>
        <w:tc>
          <w:tcPr>
            <w:tcW w:w="851" w:type="dxa"/>
            <w:vMerge w:val="continue"/>
            <w:vAlign w:val="center"/>
          </w:tcPr>
          <w:p>
            <w:pPr>
              <w:widowControl/>
              <w:jc w:val="center"/>
              <w:rPr>
                <w:rFonts w:asciiTheme="minorEastAsia" w:hAnsiTheme="minorEastAsia" w:eastAsiaTheme="minorEastAsia" w:cstheme="minorEastAsia"/>
                <w:kern w:val="0"/>
                <w:szCs w:val="21"/>
              </w:rPr>
            </w:pPr>
          </w:p>
        </w:tc>
        <w:tc>
          <w:tcPr>
            <w:tcW w:w="3101"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类型：工业制造业……（查询划型标准）</w:t>
            </w:r>
          </w:p>
          <w:p>
            <w:pPr>
              <w:widowControl/>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小型：营业收入从业人员资产总额</w:t>
            </w:r>
          </w:p>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微型：营业收入从业人员资产总额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2011】300号文中对中小企业划型标准的，需提供本单位的《中小企业声明函》（格式见第六章）及企业相关数据资料。代理商竞标需同时提供制造商及代理商双方的数据资料（制造商直接竞标的仅需提供制造商数据资料），如果数据资料与声明函不一致的，由磋商小组判定。经磋商小组审核确认供应商符合工信部联企业【2011】300 号文中对中小企业划型标准的，将根据财库【2011】181号文的相关规定在评定时对小型和微型企业产品的价格给予6%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ascii="宋体" w:hAnsi="宋体" w:cs="宋体"/>
                <w:snapToGrid w:val="0"/>
                <w:kern w:val="0"/>
                <w:szCs w:val="21"/>
                <w:lang w:val="zh-CN"/>
              </w:rPr>
            </w:pPr>
          </w:p>
          <w:p>
            <w:pPr>
              <w:autoSpaceDE w:val="0"/>
              <w:autoSpaceDN w:val="0"/>
              <w:adjustRightInd w:val="0"/>
              <w:jc w:val="center"/>
              <w:rPr>
                <w:rFonts w:asciiTheme="minorEastAsia" w:hAnsiTheme="minorEastAsia" w:cstheme="minorEastAsia"/>
                <w:kern w:val="0"/>
                <w:szCs w:val="21"/>
              </w:rPr>
            </w:pPr>
            <w:r>
              <w:rPr>
                <w:rFonts w:hint="eastAsia" w:ascii="宋体" w:hAnsi="宋体" w:cs="宋体"/>
                <w:snapToGrid w:val="0"/>
                <w:kern w:val="0"/>
                <w:szCs w:val="21"/>
                <w:lang w:val="zh-CN"/>
              </w:rPr>
              <w:t>节能</w:t>
            </w:r>
            <w:r>
              <w:rPr>
                <w:rFonts w:hint="eastAsia" w:ascii="宋体" w:hAnsi="宋体" w:cs="宋体"/>
                <w:snapToGrid w:val="0"/>
                <w:kern w:val="0"/>
                <w:szCs w:val="21"/>
              </w:rPr>
              <w:t>环保</w:t>
            </w:r>
          </w:p>
        </w:tc>
        <w:tc>
          <w:tcPr>
            <w:tcW w:w="7831" w:type="dxa"/>
            <w:gridSpan w:val="2"/>
            <w:vAlign w:val="center"/>
          </w:tcPr>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按照《财政部发展改革委生态环境部市场监管总局关于调整优化节能产品、环境标志产品政府采购执行机制的通知》（财库〔2019〕9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如供应商投标产品符合以上文件的政策支持，须提供产品认证证书（合格有效时间内的）或节能产品查询（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asciiTheme="minorEastAsia" w:hAnsiTheme="minorEastAsia" w:eastAsiaTheme="minorEastAsia" w:cstheme="minorEastAsia"/>
          <w:b/>
          <w:szCs w:val="21"/>
        </w:rPr>
      </w:pPr>
      <w:bookmarkStart w:id="106" w:name="_Toc14777"/>
      <w:r>
        <w:rPr>
          <w:rFonts w:hint="eastAsia" w:asciiTheme="minorEastAsia" w:hAnsiTheme="minorEastAsia" w:eastAsiaTheme="minorEastAsia" w:cstheme="minorEastAsia"/>
          <w:b/>
          <w:szCs w:val="21"/>
        </w:rPr>
        <w:t>二、计算办法</w:t>
      </w:r>
      <w:bookmarkEnd w:id="106"/>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rPr>
          <w:rFonts w:asciiTheme="minorEastAsia" w:hAnsiTheme="minorEastAsia" w:eastAsiaTheme="minorEastAsia" w:cstheme="minorEastAsia"/>
          <w:b/>
          <w:szCs w:val="21"/>
        </w:rPr>
      </w:pPr>
    </w:p>
    <w:p>
      <w:pPr>
        <w:pStyle w:val="20"/>
        <w:rPr>
          <w:rFonts w:asciiTheme="minorEastAsia" w:hAnsiTheme="minorEastAsia" w:eastAsiaTheme="minorEastAsia" w:cstheme="minorEastAsia"/>
        </w:rPr>
      </w:pPr>
    </w:p>
    <w:p>
      <w:pP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spacing w:line="360" w:lineRule="auto"/>
        <w:outlineLvl w:val="1"/>
        <w:rPr>
          <w:rFonts w:asciiTheme="minorEastAsia" w:hAnsiTheme="minorEastAsia" w:eastAsiaTheme="minorEastAsia" w:cstheme="minorEastAsia"/>
          <w:b/>
          <w:szCs w:val="21"/>
        </w:rPr>
      </w:pPr>
      <w:bookmarkStart w:id="107" w:name="_Toc27622"/>
      <w:r>
        <w:rPr>
          <w:rFonts w:hint="eastAsia" w:asciiTheme="minorEastAsia" w:hAnsiTheme="minorEastAsia" w:eastAsiaTheme="minorEastAsia" w:cstheme="minorEastAsia"/>
          <w:b/>
          <w:szCs w:val="21"/>
        </w:rPr>
        <w:t>三、评分细则</w:t>
      </w:r>
      <w:bookmarkEnd w:id="107"/>
    </w:p>
    <w:tbl>
      <w:tblPr>
        <w:tblStyle w:val="26"/>
        <w:tblW w:w="92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374"/>
        <w:gridCol w:w="6507"/>
        <w:gridCol w:w="6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1" w:hRule="atLeast"/>
        </w:trPr>
        <w:tc>
          <w:tcPr>
            <w:tcW w:w="735"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类别</w:t>
            </w:r>
          </w:p>
        </w:tc>
        <w:tc>
          <w:tcPr>
            <w:tcW w:w="1374"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评审因素</w:t>
            </w:r>
          </w:p>
        </w:tc>
        <w:tc>
          <w:tcPr>
            <w:tcW w:w="6507" w:type="dxa"/>
            <w:tcBorders>
              <w:top w:val="single" w:color="auto" w:sz="12" w:space="0"/>
            </w:tcBorders>
            <w:vAlign w:val="center"/>
          </w:tcPr>
          <w:p>
            <w:pPr>
              <w:spacing w:line="360" w:lineRule="atLeast"/>
              <w:jc w:val="center"/>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zCs w:val="21"/>
              </w:rPr>
              <w:t>评审标准</w:t>
            </w:r>
          </w:p>
        </w:tc>
        <w:tc>
          <w:tcPr>
            <w:tcW w:w="663" w:type="dxa"/>
            <w:tcBorders>
              <w:top w:val="single" w:color="auto" w:sz="12" w:space="0"/>
            </w:tcBorders>
            <w:vAlign w:val="center"/>
          </w:tcPr>
          <w:p>
            <w:pPr>
              <w:spacing w:line="360" w:lineRule="atLeast"/>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51" w:hRule="atLeast"/>
        </w:trPr>
        <w:tc>
          <w:tcPr>
            <w:tcW w:w="735" w:type="dxa"/>
            <w:vAlign w:val="center"/>
          </w:tcPr>
          <w:p>
            <w:pPr>
              <w:widowControl/>
              <w:spacing w:line="260" w:lineRule="exact"/>
              <w:jc w:val="center"/>
              <w:textAlignment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kern w:val="0"/>
                <w:szCs w:val="21"/>
              </w:rPr>
              <w:t>竞标报价</w:t>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t>20分</w:t>
            </w:r>
          </w:p>
        </w:tc>
        <w:tc>
          <w:tcPr>
            <w:tcW w:w="1374" w:type="dxa"/>
            <w:vAlign w:val="center"/>
          </w:tcPr>
          <w:p>
            <w:pPr>
              <w:widowControl/>
              <w:spacing w:line="260" w:lineRule="exact"/>
              <w:jc w:val="center"/>
              <w:textAlignment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kern w:val="0"/>
                <w:szCs w:val="21"/>
              </w:rPr>
              <w:t>最后报价</w:t>
            </w:r>
          </w:p>
        </w:tc>
        <w:tc>
          <w:tcPr>
            <w:tcW w:w="6507" w:type="dxa"/>
            <w:vAlign w:val="center"/>
          </w:tcPr>
          <w:p>
            <w:pPr>
              <w:widowControl/>
              <w:spacing w:line="260" w:lineRule="exact"/>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1、报价采用低价优先法计算，即满足磋商采购文件要求且报价最低的报价为磋商基准价，其报价分为满分</w:t>
            </w:r>
            <w:r>
              <w:rPr>
                <w:rFonts w:hint="eastAsia" w:asciiTheme="minorEastAsia" w:hAnsiTheme="minorEastAsia" w:eastAsiaTheme="minorEastAsia" w:cstheme="minorEastAsia"/>
                <w:kern w:val="0"/>
                <w:szCs w:val="21"/>
              </w:rPr>
              <w:t>20</w:t>
            </w:r>
            <w:r>
              <w:rPr>
                <w:rFonts w:hint="eastAsia" w:asciiTheme="minorEastAsia" w:hAnsiTheme="minorEastAsia" w:eastAsiaTheme="minorEastAsia" w:cstheme="minorEastAsia"/>
              </w:rPr>
              <w:t>分；</w:t>
            </w:r>
          </w:p>
          <w:p>
            <w:pPr>
              <w:widowControl/>
              <w:spacing w:line="260" w:lineRule="exact"/>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2、其他供应商的报价分按照下列公式计算：</w:t>
            </w:r>
          </w:p>
          <w:p>
            <w:pPr>
              <w:widowControl/>
              <w:spacing w:line="260" w:lineRule="exact"/>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rPr>
              <w:t>报价分=（磋商基准价/磋商报价）×</w:t>
            </w:r>
            <w:r>
              <w:rPr>
                <w:rFonts w:hint="eastAsia" w:asciiTheme="minorEastAsia" w:hAnsiTheme="minorEastAsia" w:eastAsiaTheme="minorEastAsia" w:cstheme="minorEastAsia"/>
                <w:kern w:val="0"/>
                <w:szCs w:val="21"/>
              </w:rPr>
              <w:t>20</w:t>
            </w:r>
          </w:p>
          <w:p>
            <w:pPr>
              <w:widowControl/>
              <w:spacing w:line="260" w:lineRule="exact"/>
              <w:jc w:val="left"/>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rPr>
              <w:t>备注：1、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60" w:lineRule="exact"/>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b/>
                <w:bCs/>
              </w:rPr>
              <w:t>2、符合本磋商文件第四章“政策支持”条件的，在评审时予以价格扣除，用扣除后的价格参与评审。</w:t>
            </w:r>
          </w:p>
        </w:tc>
        <w:tc>
          <w:tcPr>
            <w:tcW w:w="663" w:type="dxa"/>
            <w:vAlign w:val="center"/>
          </w:tcPr>
          <w:p>
            <w:pPr>
              <w:widowControl/>
              <w:spacing w:line="260" w:lineRule="exact"/>
              <w:jc w:val="center"/>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20分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3" w:hRule="atLeast"/>
        </w:trPr>
        <w:tc>
          <w:tcPr>
            <w:tcW w:w="735" w:type="dxa"/>
            <w:vMerge w:val="restart"/>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商务30分</w:t>
            </w:r>
          </w:p>
        </w:tc>
        <w:tc>
          <w:tcPr>
            <w:tcW w:w="1374" w:type="dxa"/>
            <w:vAlign w:val="center"/>
          </w:tcPr>
          <w:p>
            <w:pPr>
              <w:spacing w:line="360" w:lineRule="auto"/>
              <w:jc w:val="center"/>
              <w:rPr>
                <w:rFonts w:ascii="宋体" w:hAnsi="宋体" w:cs="宋体"/>
                <w:szCs w:val="21"/>
              </w:rPr>
            </w:pPr>
            <w:r>
              <w:rPr>
                <w:rFonts w:hint="eastAsia" w:ascii="宋体" w:hAnsi="宋体" w:cs="宋体"/>
                <w:szCs w:val="21"/>
              </w:rPr>
              <w:t>类似业绩</w:t>
            </w:r>
          </w:p>
        </w:tc>
        <w:tc>
          <w:tcPr>
            <w:tcW w:w="6507" w:type="dxa"/>
            <w:vAlign w:val="center"/>
          </w:tcPr>
          <w:p>
            <w:pPr>
              <w:spacing w:line="360" w:lineRule="auto"/>
              <w:jc w:val="left"/>
              <w:rPr>
                <w:rFonts w:ascii="宋体" w:hAnsi="宋体" w:cs="宋体"/>
                <w:szCs w:val="21"/>
              </w:rPr>
            </w:pPr>
            <w:r>
              <w:rPr>
                <w:rFonts w:hint="eastAsia" w:ascii="宋体" w:hAnsi="宋体" w:cs="宋体"/>
                <w:szCs w:val="21"/>
              </w:rPr>
              <w:t>近三年（磋商截止时间往前推算36个月）具有类似长期或单次服务业绩的，每个得1分，最多得6分；（需提供合同真彩扫描件并加盖公章，未提供不得分）</w:t>
            </w:r>
          </w:p>
        </w:tc>
        <w:tc>
          <w:tcPr>
            <w:tcW w:w="663" w:type="dxa"/>
            <w:vAlign w:val="center"/>
          </w:tcPr>
          <w:p>
            <w:pPr>
              <w:spacing w:line="360" w:lineRule="auto"/>
              <w:jc w:val="center"/>
              <w:rPr>
                <w:rFonts w:ascii="宋体" w:hAnsi="宋体" w:cs="宋体"/>
                <w:szCs w:val="21"/>
              </w:rPr>
            </w:pPr>
            <w:r>
              <w:rPr>
                <w:rFonts w:hint="eastAsia" w:ascii="宋体" w:hAnsi="宋体" w:cs="宋体"/>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3" w:hRule="atLeast"/>
        </w:trPr>
        <w:tc>
          <w:tcPr>
            <w:tcW w:w="735" w:type="dxa"/>
            <w:vMerge w:val="continue"/>
            <w:vAlign w:val="center"/>
          </w:tcPr>
          <w:p>
            <w:pPr>
              <w:rPr>
                <w:rFonts w:asciiTheme="minorEastAsia" w:hAnsiTheme="minorEastAsia" w:eastAsiaTheme="minorEastAsia" w:cstheme="minorEastAsia"/>
                <w:szCs w:val="21"/>
              </w:rPr>
            </w:pPr>
          </w:p>
        </w:tc>
        <w:tc>
          <w:tcPr>
            <w:tcW w:w="1374" w:type="dxa"/>
            <w:vAlign w:val="center"/>
          </w:tcPr>
          <w:p>
            <w:pPr>
              <w:spacing w:line="360" w:lineRule="auto"/>
              <w:jc w:val="center"/>
              <w:rPr>
                <w:rFonts w:ascii="宋体" w:hAnsi="宋体" w:cs="宋体"/>
                <w:szCs w:val="21"/>
              </w:rPr>
            </w:pPr>
            <w:r>
              <w:rPr>
                <w:rFonts w:hint="eastAsia" w:ascii="宋体" w:hAnsi="宋体" w:cs="宋体"/>
                <w:szCs w:val="21"/>
              </w:rPr>
              <w:t>用户评价</w:t>
            </w:r>
          </w:p>
        </w:tc>
        <w:tc>
          <w:tcPr>
            <w:tcW w:w="6507" w:type="dxa"/>
            <w:vAlign w:val="center"/>
          </w:tcPr>
          <w:p>
            <w:pPr>
              <w:spacing w:line="360" w:lineRule="auto"/>
              <w:jc w:val="left"/>
              <w:rPr>
                <w:rFonts w:ascii="宋体" w:hAnsi="宋体" w:cs="宋体"/>
                <w:szCs w:val="21"/>
              </w:rPr>
            </w:pPr>
            <w:r>
              <w:rPr>
                <w:rFonts w:hint="eastAsia" w:ascii="宋体" w:hAnsi="宋体" w:cs="宋体"/>
                <w:szCs w:val="21"/>
              </w:rPr>
              <w:t>提供近三年（磋商截止时间往前推算36个月）用户出具的满意评价证明（盖用户单位公章），每提供一个得1分，最高得5分。（需提供不同单位出具加盖公章的满意评价证明）</w:t>
            </w:r>
          </w:p>
        </w:tc>
        <w:tc>
          <w:tcPr>
            <w:tcW w:w="663" w:type="dxa"/>
            <w:vAlign w:val="center"/>
          </w:tcPr>
          <w:p>
            <w:pPr>
              <w:spacing w:line="360" w:lineRule="auto"/>
              <w:jc w:val="left"/>
              <w:rPr>
                <w:rFonts w:ascii="宋体" w:hAnsi="宋体" w:cs="宋体"/>
                <w:szCs w:val="21"/>
              </w:rPr>
            </w:pPr>
            <w:r>
              <w:rPr>
                <w:rFonts w:hint="eastAsia" w:ascii="宋体" w:hAnsi="宋体" w:cs="宋体"/>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48" w:hRule="atLeast"/>
        </w:trPr>
        <w:tc>
          <w:tcPr>
            <w:tcW w:w="735" w:type="dxa"/>
            <w:vMerge w:val="continue"/>
            <w:vAlign w:val="center"/>
          </w:tcPr>
          <w:p>
            <w:pPr>
              <w:rPr>
                <w:rFonts w:asciiTheme="minorEastAsia" w:hAnsiTheme="minorEastAsia" w:eastAsiaTheme="minorEastAsia" w:cstheme="minorEastAsia"/>
                <w:szCs w:val="21"/>
              </w:rPr>
            </w:pPr>
          </w:p>
        </w:tc>
        <w:tc>
          <w:tcPr>
            <w:tcW w:w="1374" w:type="dxa"/>
            <w:vAlign w:val="center"/>
          </w:tcPr>
          <w:p>
            <w:pPr>
              <w:spacing w:line="360" w:lineRule="auto"/>
              <w:jc w:val="center"/>
              <w:rPr>
                <w:rFonts w:ascii="宋体" w:hAnsi="宋体" w:cs="宋体"/>
                <w:szCs w:val="21"/>
              </w:rPr>
            </w:pPr>
            <w:r>
              <w:rPr>
                <w:rFonts w:hint="eastAsia" w:ascii="宋体" w:hAnsi="宋体" w:cs="宋体"/>
                <w:szCs w:val="21"/>
              </w:rPr>
              <w:t>财务状况</w:t>
            </w:r>
          </w:p>
        </w:tc>
        <w:tc>
          <w:tcPr>
            <w:tcW w:w="6507" w:type="dxa"/>
            <w:vAlign w:val="center"/>
          </w:tcPr>
          <w:p>
            <w:pPr>
              <w:spacing w:line="360" w:lineRule="auto"/>
              <w:jc w:val="left"/>
              <w:rPr>
                <w:rFonts w:ascii="宋体" w:hAnsi="宋体" w:cs="宋体"/>
                <w:szCs w:val="21"/>
              </w:rPr>
            </w:pPr>
            <w:r>
              <w:rPr>
                <w:rFonts w:hint="eastAsia" w:ascii="宋体" w:hAnsi="宋体" w:cs="宋体"/>
                <w:szCs w:val="21"/>
              </w:rPr>
              <w:t>根据供应商提供的近三年（2018、2019）财务报告，对其经营状况、财务状况相互比较：</w:t>
            </w:r>
          </w:p>
          <w:p>
            <w:pPr>
              <w:spacing w:line="360" w:lineRule="auto"/>
              <w:jc w:val="left"/>
              <w:rPr>
                <w:rFonts w:ascii="宋体" w:hAnsi="宋体" w:cs="宋体"/>
                <w:szCs w:val="21"/>
              </w:rPr>
            </w:pPr>
            <w:r>
              <w:rPr>
                <w:rFonts w:hint="eastAsia" w:ascii="宋体" w:hAnsi="宋体" w:cs="宋体"/>
                <w:szCs w:val="21"/>
              </w:rPr>
              <w:t>连续盈利，偿债能力、盈利能力和抗风险能力强的，得5分；</w:t>
            </w:r>
          </w:p>
          <w:p>
            <w:pPr>
              <w:spacing w:line="360" w:lineRule="auto"/>
              <w:jc w:val="left"/>
              <w:rPr>
                <w:rFonts w:ascii="宋体" w:hAnsi="宋体" w:cs="宋体"/>
                <w:szCs w:val="21"/>
              </w:rPr>
            </w:pPr>
            <w:r>
              <w:rPr>
                <w:rFonts w:hint="eastAsia" w:ascii="宋体" w:hAnsi="宋体" w:cs="宋体"/>
                <w:szCs w:val="21"/>
              </w:rPr>
              <w:t>盈利情况一般，偿债能力和抗风险能力较弱的，得3分；</w:t>
            </w:r>
          </w:p>
          <w:p>
            <w:pPr>
              <w:spacing w:line="360" w:lineRule="auto"/>
              <w:jc w:val="left"/>
              <w:rPr>
                <w:rFonts w:ascii="宋体" w:hAnsi="宋体" w:cs="宋体"/>
                <w:szCs w:val="21"/>
              </w:rPr>
            </w:pPr>
            <w:r>
              <w:rPr>
                <w:rFonts w:hint="eastAsia" w:ascii="宋体" w:hAnsi="宋体" w:cs="宋体"/>
                <w:szCs w:val="21"/>
              </w:rPr>
              <w:t>无盈利，偿债能力和抗风险能力差的，得1分；</w:t>
            </w:r>
          </w:p>
          <w:p>
            <w:pPr>
              <w:spacing w:line="360" w:lineRule="auto"/>
              <w:jc w:val="left"/>
              <w:rPr>
                <w:rFonts w:ascii="宋体" w:hAnsi="宋体" w:cs="宋体"/>
                <w:szCs w:val="21"/>
              </w:rPr>
            </w:pPr>
            <w:r>
              <w:rPr>
                <w:rFonts w:hint="eastAsia" w:ascii="宋体" w:hAnsi="宋体" w:cs="宋体"/>
                <w:szCs w:val="21"/>
              </w:rPr>
              <w:t>（成立不足两年的按公司成立时间起算）</w:t>
            </w:r>
          </w:p>
        </w:tc>
        <w:tc>
          <w:tcPr>
            <w:tcW w:w="663" w:type="dxa"/>
            <w:vAlign w:val="center"/>
          </w:tcPr>
          <w:p>
            <w:pPr>
              <w:spacing w:line="360" w:lineRule="auto"/>
              <w:jc w:val="left"/>
              <w:rPr>
                <w:rFonts w:ascii="宋体" w:hAnsi="宋体" w:cs="宋体"/>
                <w:spacing w:val="-6"/>
                <w:szCs w:val="21"/>
              </w:rPr>
            </w:pPr>
            <w:r>
              <w:rPr>
                <w:rFonts w:hint="eastAsia" w:ascii="宋体" w:hAnsi="宋体" w:cs="宋体"/>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33" w:hRule="atLeast"/>
        </w:trPr>
        <w:tc>
          <w:tcPr>
            <w:tcW w:w="735" w:type="dxa"/>
            <w:vMerge w:val="continue"/>
            <w:vAlign w:val="center"/>
          </w:tcPr>
          <w:p>
            <w:pPr>
              <w:rPr>
                <w:rFonts w:asciiTheme="minorEastAsia" w:hAnsiTheme="minorEastAsia" w:eastAsiaTheme="minorEastAsia" w:cstheme="minorEastAsia"/>
                <w:szCs w:val="21"/>
              </w:rPr>
            </w:pPr>
          </w:p>
        </w:tc>
        <w:tc>
          <w:tcPr>
            <w:tcW w:w="1374" w:type="dxa"/>
            <w:tcBorders>
              <w:bottom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体系认证</w:t>
            </w:r>
          </w:p>
        </w:tc>
        <w:tc>
          <w:tcPr>
            <w:tcW w:w="6507" w:type="dxa"/>
            <w:tcBorders>
              <w:bottom w:val="single" w:color="auto" w:sz="4" w:space="0"/>
            </w:tcBorders>
            <w:vAlign w:val="center"/>
          </w:tcPr>
          <w:p>
            <w:pPr>
              <w:spacing w:line="360" w:lineRule="auto"/>
              <w:jc w:val="left"/>
              <w:rPr>
                <w:rFonts w:ascii="宋体" w:hAnsi="宋体" w:cs="宋体"/>
                <w:szCs w:val="21"/>
              </w:rPr>
            </w:pPr>
            <w:r>
              <w:rPr>
                <w:rFonts w:hint="eastAsia" w:ascii="宋体" w:hAnsi="宋体" w:eastAsia="宋体" w:cs="宋体"/>
                <w:color w:val="auto"/>
                <w:szCs w:val="21"/>
              </w:rPr>
              <w:t>供应商具有有效的质量管理体系认证证书</w:t>
            </w:r>
            <w:r>
              <w:rPr>
                <w:rFonts w:hint="eastAsia" w:ascii="宋体" w:hAnsi="宋体" w:eastAsia="宋体" w:cs="宋体"/>
                <w:color w:val="auto"/>
                <w:szCs w:val="21"/>
                <w:lang w:eastAsia="zh-CN"/>
              </w:rPr>
              <w:t>、</w:t>
            </w:r>
            <w:r>
              <w:rPr>
                <w:rFonts w:hint="eastAsia" w:ascii="宋体" w:hAnsi="宋体" w:eastAsia="宋体" w:cs="宋体"/>
                <w:color w:val="auto"/>
                <w:szCs w:val="21"/>
              </w:rPr>
              <w:t>环境管理体系认证证书</w:t>
            </w:r>
            <w:r>
              <w:rPr>
                <w:rFonts w:hint="eastAsia" w:ascii="宋体" w:hAnsi="宋体" w:eastAsia="宋体" w:cs="宋体"/>
                <w:color w:val="auto"/>
                <w:szCs w:val="21"/>
                <w:lang w:eastAsia="zh-CN"/>
              </w:rPr>
              <w:t>、</w:t>
            </w:r>
            <w:r>
              <w:rPr>
                <w:rFonts w:hint="eastAsia" w:ascii="宋体" w:hAnsi="宋体" w:eastAsia="宋体" w:cs="宋体"/>
                <w:color w:val="auto"/>
                <w:szCs w:val="21"/>
              </w:rPr>
              <w:t>职业健康安全管理体系认证证书。</w:t>
            </w:r>
            <w:r>
              <w:rPr>
                <w:rFonts w:hint="eastAsia" w:ascii="宋体" w:hAnsi="宋体" w:cs="宋体"/>
                <w:color w:val="auto"/>
                <w:szCs w:val="21"/>
              </w:rPr>
              <w:t>每提供1个证书得1分，不提供的不得分。</w:t>
            </w:r>
          </w:p>
        </w:tc>
        <w:tc>
          <w:tcPr>
            <w:tcW w:w="663" w:type="dxa"/>
            <w:tcBorders>
              <w:bottom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3" w:hRule="atLeast"/>
        </w:trPr>
        <w:tc>
          <w:tcPr>
            <w:tcW w:w="735" w:type="dxa"/>
            <w:vMerge w:val="continue"/>
            <w:vAlign w:val="center"/>
          </w:tcPr>
          <w:p>
            <w:pPr>
              <w:rPr>
                <w:rFonts w:asciiTheme="minorEastAsia" w:hAnsiTheme="minorEastAsia" w:eastAsiaTheme="minorEastAsia" w:cstheme="minorEastAsia"/>
                <w:szCs w:val="21"/>
              </w:rPr>
            </w:pPr>
          </w:p>
        </w:tc>
        <w:tc>
          <w:tcPr>
            <w:tcW w:w="1374" w:type="dxa"/>
            <w:tcBorders>
              <w:top w:val="single" w:color="auto" w:sz="4" w:space="0"/>
            </w:tcBorders>
            <w:vAlign w:val="center"/>
          </w:tcPr>
          <w:p>
            <w:pPr>
              <w:widowControl/>
              <w:spacing w:line="360" w:lineRule="auto"/>
              <w:jc w:val="center"/>
              <w:textAlignment w:val="center"/>
              <w:rPr>
                <w:rFonts w:ascii="宋体" w:hAnsi="宋体" w:cs="宋体"/>
                <w:kern w:val="0"/>
                <w:szCs w:val="21"/>
              </w:rPr>
            </w:pPr>
            <w:r>
              <w:rPr>
                <w:rFonts w:hint="eastAsia" w:ascii="宋体" w:hAnsi="宋体" w:cs="宋体"/>
                <w:kern w:val="0"/>
                <w:szCs w:val="21"/>
              </w:rPr>
              <w:t>企业荣誉</w:t>
            </w:r>
          </w:p>
        </w:tc>
        <w:tc>
          <w:tcPr>
            <w:tcW w:w="6507" w:type="dxa"/>
            <w:tcBorders>
              <w:top w:val="single" w:color="auto" w:sz="4" w:space="0"/>
            </w:tcBorders>
            <w:vAlign w:val="center"/>
          </w:tcPr>
          <w:p>
            <w:pPr>
              <w:widowControl/>
              <w:spacing w:line="360" w:lineRule="auto"/>
              <w:jc w:val="left"/>
              <w:textAlignment w:val="center"/>
              <w:rPr>
                <w:rFonts w:ascii="宋体" w:hAnsi="宋体" w:cs="宋体"/>
                <w:szCs w:val="21"/>
              </w:rPr>
            </w:pPr>
            <w:r>
              <w:rPr>
                <w:rFonts w:hint="eastAsia" w:ascii="宋体" w:hAnsi="宋体" w:cs="宋体"/>
                <w:szCs w:val="21"/>
              </w:rPr>
              <w:t>供应商获得国行业内奖励或荣誉证书的，每个得1分，最多得3分；</w:t>
            </w:r>
          </w:p>
        </w:tc>
        <w:tc>
          <w:tcPr>
            <w:tcW w:w="663" w:type="dxa"/>
            <w:tcBorders>
              <w:top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3" w:hRule="atLeast"/>
        </w:trPr>
        <w:tc>
          <w:tcPr>
            <w:tcW w:w="735" w:type="dxa"/>
            <w:vMerge w:val="continue"/>
            <w:vAlign w:val="center"/>
          </w:tcPr>
          <w:p>
            <w:pPr>
              <w:rPr>
                <w:rFonts w:asciiTheme="minorEastAsia" w:hAnsiTheme="minorEastAsia" w:eastAsiaTheme="minorEastAsia" w:cstheme="minorEastAsia"/>
                <w:szCs w:val="21"/>
              </w:rPr>
            </w:pPr>
          </w:p>
        </w:tc>
        <w:tc>
          <w:tcPr>
            <w:tcW w:w="1374" w:type="dxa"/>
            <w:tcBorders>
              <w:top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合格证</w:t>
            </w:r>
          </w:p>
        </w:tc>
        <w:tc>
          <w:tcPr>
            <w:tcW w:w="6507" w:type="dxa"/>
            <w:tcBorders>
              <w:top w:val="single" w:color="auto" w:sz="4" w:space="0"/>
            </w:tcBorders>
            <w:vAlign w:val="center"/>
          </w:tcPr>
          <w:p>
            <w:pPr>
              <w:pStyle w:val="10"/>
              <w:spacing w:after="0"/>
              <w:rPr>
                <w:rFonts w:ascii="宋体" w:hAnsi="宋体" w:cs="宋体"/>
                <w:kern w:val="0"/>
                <w:szCs w:val="21"/>
              </w:rPr>
            </w:pPr>
            <w:r>
              <w:rPr>
                <w:rFonts w:hint="eastAsia" w:ascii="宋体" w:hAnsi="宋体" w:cs="宋体"/>
                <w:kern w:val="0"/>
                <w:szCs w:val="21"/>
              </w:rPr>
              <w:t>投标人提供合格的《消防安全合格证》得2分，不提供则不得分。</w:t>
            </w:r>
          </w:p>
        </w:tc>
        <w:tc>
          <w:tcPr>
            <w:tcW w:w="663" w:type="dxa"/>
            <w:tcBorders>
              <w:top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8" w:hRule="atLeast"/>
        </w:trPr>
        <w:tc>
          <w:tcPr>
            <w:tcW w:w="735" w:type="dxa"/>
            <w:vMerge w:val="continue"/>
            <w:vAlign w:val="center"/>
          </w:tcPr>
          <w:p>
            <w:pPr>
              <w:rPr>
                <w:rFonts w:asciiTheme="minorEastAsia" w:hAnsiTheme="minorEastAsia" w:eastAsiaTheme="minorEastAsia" w:cstheme="minorEastAsia"/>
                <w:szCs w:val="21"/>
              </w:rPr>
            </w:pPr>
          </w:p>
        </w:tc>
        <w:tc>
          <w:tcPr>
            <w:tcW w:w="1374" w:type="dxa"/>
            <w:tcBorders>
              <w:top w:val="single" w:color="auto" w:sz="4" w:space="0"/>
              <w:bottom w:val="single" w:color="auto" w:sz="4" w:space="0"/>
            </w:tcBorders>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标书制作</w:t>
            </w:r>
          </w:p>
        </w:tc>
        <w:tc>
          <w:tcPr>
            <w:tcW w:w="6507" w:type="dxa"/>
            <w:tcBorders>
              <w:top w:val="single" w:color="auto" w:sz="4" w:space="0"/>
            </w:tcBorders>
            <w:vAlign w:val="center"/>
          </w:tcPr>
          <w:p>
            <w:pPr>
              <w:spacing w:line="360" w:lineRule="auto"/>
              <w:jc w:val="left"/>
              <w:textAlignment w:val="center"/>
              <w:rPr>
                <w:rFonts w:ascii="宋体" w:hAnsi="宋体" w:cs="宋体"/>
                <w:szCs w:val="21"/>
              </w:rPr>
            </w:pPr>
            <w:r>
              <w:rPr>
                <w:rFonts w:hint="eastAsia" w:ascii="宋体" w:hAnsi="宋体" w:cs="宋体"/>
                <w:szCs w:val="21"/>
              </w:rPr>
              <w:t>文件制作规范，字迹及图表清晰得1分；</w:t>
            </w:r>
          </w:p>
          <w:p>
            <w:pPr>
              <w:spacing w:line="360" w:lineRule="auto"/>
              <w:jc w:val="left"/>
              <w:textAlignment w:val="center"/>
              <w:rPr>
                <w:rFonts w:ascii="宋体" w:hAnsi="宋体" w:cs="宋体"/>
                <w:szCs w:val="21"/>
              </w:rPr>
            </w:pPr>
            <w:r>
              <w:rPr>
                <w:rFonts w:hint="eastAsia" w:ascii="宋体" w:hAnsi="宋体" w:cs="宋体"/>
                <w:szCs w:val="21"/>
              </w:rPr>
              <w:t>目录与有关材料装订及编排顺序对应清晰，查阅方便得1分；</w:t>
            </w:r>
          </w:p>
        </w:tc>
        <w:tc>
          <w:tcPr>
            <w:tcW w:w="663" w:type="dxa"/>
            <w:tcBorders>
              <w:top w:val="single" w:color="auto" w:sz="4" w:space="0"/>
            </w:tcBorders>
            <w:vAlign w:val="center"/>
          </w:tcPr>
          <w:p>
            <w:pPr>
              <w:spacing w:line="360" w:lineRule="auto"/>
              <w:jc w:val="center"/>
              <w:textAlignment w:val="center"/>
              <w:rPr>
                <w:rFonts w:ascii="宋体" w:hAnsi="宋体" w:cs="宋体"/>
                <w:spacing w:val="-6"/>
                <w:kern w:val="0"/>
                <w:szCs w:val="21"/>
              </w:rPr>
            </w:pPr>
            <w:r>
              <w:rPr>
                <w:rFonts w:hint="eastAsia" w:ascii="宋体" w:hAnsi="宋体" w:cs="宋体"/>
                <w:kern w:val="0"/>
                <w:szCs w:val="21"/>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7" w:hRule="atLeast"/>
        </w:trPr>
        <w:tc>
          <w:tcPr>
            <w:tcW w:w="735" w:type="dxa"/>
            <w:vMerge w:val="continue"/>
            <w:vAlign w:val="center"/>
          </w:tcPr>
          <w:p>
            <w:pPr>
              <w:rPr>
                <w:rFonts w:asciiTheme="minorEastAsia" w:hAnsiTheme="minorEastAsia" w:eastAsiaTheme="minorEastAsia" w:cstheme="minorEastAsia"/>
                <w:szCs w:val="21"/>
              </w:rPr>
            </w:pPr>
          </w:p>
        </w:tc>
        <w:tc>
          <w:tcPr>
            <w:tcW w:w="1374" w:type="dxa"/>
            <w:tcBorders>
              <w:top w:val="single" w:color="auto" w:sz="4" w:space="0"/>
            </w:tcBorders>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服务人员</w:t>
            </w:r>
          </w:p>
        </w:tc>
        <w:tc>
          <w:tcPr>
            <w:tcW w:w="6507" w:type="dxa"/>
            <w:tcBorders>
              <w:top w:val="single" w:color="auto" w:sz="4" w:space="0"/>
            </w:tcBorders>
            <w:vAlign w:val="center"/>
          </w:tcPr>
          <w:p>
            <w:pPr>
              <w:pStyle w:val="10"/>
              <w:spacing w:line="360" w:lineRule="auto"/>
            </w:pPr>
            <w:r>
              <w:t>供应商须</w:t>
            </w:r>
            <w:r>
              <w:rPr>
                <w:rFonts w:ascii="宋体" w:hAnsi="宋体" w:cs="宋体"/>
                <w:szCs w:val="21"/>
              </w:rPr>
              <w:t>提供</w:t>
            </w:r>
            <w:r>
              <w:rPr>
                <w:rFonts w:hint="eastAsia" w:ascii="宋体" w:hAnsi="宋体" w:cs="宋体"/>
                <w:szCs w:val="21"/>
              </w:rPr>
              <w:t>主要服务</w:t>
            </w:r>
            <w:r>
              <w:rPr>
                <w:rFonts w:ascii="宋体" w:hAnsi="宋体" w:cs="宋体"/>
                <w:szCs w:val="21"/>
              </w:rPr>
              <w:t>人员健康证明有效材料，</w:t>
            </w:r>
            <w:r>
              <w:rPr>
                <w:rFonts w:hint="eastAsia" w:ascii="宋体" w:hAnsi="宋体" w:cs="宋体"/>
                <w:szCs w:val="21"/>
              </w:rPr>
              <w:t>每</w:t>
            </w:r>
            <w:r>
              <w:rPr>
                <w:rFonts w:ascii="宋体" w:hAnsi="宋体" w:cs="宋体"/>
                <w:szCs w:val="21"/>
              </w:rPr>
              <w:t>提供</w:t>
            </w:r>
            <w:r>
              <w:rPr>
                <w:rFonts w:hint="eastAsia" w:ascii="宋体" w:hAnsi="宋体" w:cs="宋体"/>
                <w:szCs w:val="21"/>
              </w:rPr>
              <w:t>一个</w:t>
            </w:r>
            <w:r>
              <w:rPr>
                <w:rFonts w:ascii="宋体" w:hAnsi="宋体" w:cs="宋体"/>
                <w:szCs w:val="21"/>
              </w:rPr>
              <w:t>证明材料</w:t>
            </w:r>
            <w:r>
              <w:rPr>
                <w:rFonts w:hint="eastAsia" w:ascii="宋体" w:hAnsi="宋体" w:cs="宋体"/>
                <w:szCs w:val="21"/>
              </w:rPr>
              <w:t>得0.5</w:t>
            </w:r>
            <w:r>
              <w:rPr>
                <w:rFonts w:ascii="宋体" w:hAnsi="宋体" w:cs="宋体"/>
                <w:szCs w:val="21"/>
              </w:rPr>
              <w:t>分，</w:t>
            </w:r>
            <w:r>
              <w:rPr>
                <w:rFonts w:hint="eastAsia" w:ascii="宋体" w:hAnsi="宋体" w:cs="宋体"/>
                <w:szCs w:val="21"/>
              </w:rPr>
              <w:t>满分4分，</w:t>
            </w:r>
            <w:r>
              <w:rPr>
                <w:rFonts w:ascii="宋体" w:hAnsi="宋体" w:cs="宋体"/>
                <w:szCs w:val="21"/>
              </w:rPr>
              <w:t xml:space="preserve">未提供的不得分。 </w:t>
            </w:r>
          </w:p>
        </w:tc>
        <w:tc>
          <w:tcPr>
            <w:tcW w:w="663" w:type="dxa"/>
            <w:tcBorders>
              <w:top w:val="single" w:color="auto" w:sz="4" w:space="0"/>
            </w:tcBorders>
            <w:vAlign w:val="center"/>
          </w:tcPr>
          <w:p>
            <w:pPr>
              <w:spacing w:line="360" w:lineRule="auto"/>
              <w:jc w:val="center"/>
              <w:textAlignment w:val="center"/>
              <w:rPr>
                <w:rFonts w:ascii="宋体" w:hAnsi="宋体" w:cs="宋体"/>
                <w:kern w:val="0"/>
                <w:szCs w:val="21"/>
              </w:rPr>
            </w:pPr>
            <w:r>
              <w:rPr>
                <w:rFonts w:hint="eastAsia" w:ascii="宋体" w:hAnsi="宋体" w:cs="宋体"/>
                <w:kern w:val="0"/>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63" w:hRule="atLeast"/>
        </w:trPr>
        <w:tc>
          <w:tcPr>
            <w:tcW w:w="735" w:type="dxa"/>
            <w:vMerge w:val="restart"/>
            <w:tcBorders>
              <w:top w:val="single" w:color="auto" w:sz="4" w:space="0"/>
            </w:tcBorders>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技术部分50分</w:t>
            </w:r>
          </w:p>
        </w:tc>
        <w:tc>
          <w:tcPr>
            <w:tcW w:w="1374" w:type="dxa"/>
            <w:tcBorders>
              <w:top w:val="single" w:color="auto" w:sz="4" w:space="0"/>
            </w:tcBorders>
            <w:vAlign w:val="center"/>
          </w:tcPr>
          <w:p>
            <w:pPr>
              <w:spacing w:line="360" w:lineRule="auto"/>
              <w:jc w:val="center"/>
              <w:rPr>
                <w:rFonts w:ascii="宋体" w:hAnsi="宋体" w:cs="宋体"/>
                <w:spacing w:val="-6"/>
                <w:szCs w:val="21"/>
              </w:rPr>
            </w:pPr>
            <w:r>
              <w:rPr>
                <w:rFonts w:hint="eastAsia" w:ascii="宋体" w:hAnsi="宋体" w:cs="宋体"/>
                <w:spacing w:val="-6"/>
                <w:szCs w:val="21"/>
              </w:rPr>
              <w:t>实施方案</w:t>
            </w:r>
          </w:p>
        </w:tc>
        <w:tc>
          <w:tcPr>
            <w:tcW w:w="6507" w:type="dxa"/>
            <w:vAlign w:val="center"/>
          </w:tcPr>
          <w:p>
            <w:pPr>
              <w:spacing w:line="360" w:lineRule="auto"/>
              <w:ind w:left="-4" w:leftChars="-2" w:firstLine="1" w:firstLineChars="1"/>
              <w:rPr>
                <w:rFonts w:ascii="宋体" w:hAnsi="宋体" w:cs="宋体"/>
                <w:spacing w:val="-6"/>
                <w:szCs w:val="21"/>
              </w:rPr>
            </w:pPr>
            <w:r>
              <w:rPr>
                <w:rFonts w:hint="eastAsia" w:ascii="宋体" w:hAnsi="宋体" w:cs="宋体"/>
                <w:spacing w:val="-6"/>
                <w:szCs w:val="21"/>
              </w:rPr>
              <w:t>供应商根据本项目的特点和要求，制定出本项目的计划实施方案，包括但不限于以下内容：整体工作方案、工作流程、落实防疫要求、管理服务模式、进度控制措施等方面内容。</w:t>
            </w:r>
          </w:p>
          <w:p>
            <w:pPr>
              <w:spacing w:line="360" w:lineRule="auto"/>
              <w:ind w:left="-4" w:leftChars="-2" w:firstLine="1" w:firstLineChars="1"/>
              <w:rPr>
                <w:rFonts w:ascii="宋体" w:hAnsi="宋体" w:cs="宋体"/>
                <w:spacing w:val="-6"/>
                <w:szCs w:val="21"/>
              </w:rPr>
            </w:pPr>
            <w:r>
              <w:rPr>
                <w:rFonts w:hint="eastAsia" w:ascii="宋体" w:hAnsi="宋体" w:cs="宋体"/>
                <w:spacing w:val="-6"/>
                <w:szCs w:val="21"/>
              </w:rPr>
              <w:t>科学、合理，针对性强，8分；</w:t>
            </w:r>
          </w:p>
          <w:p>
            <w:pPr>
              <w:spacing w:line="360" w:lineRule="auto"/>
              <w:ind w:left="-4" w:leftChars="-2" w:firstLine="1" w:firstLineChars="1"/>
              <w:rPr>
                <w:rFonts w:ascii="宋体" w:hAnsi="宋体" w:cs="宋体"/>
                <w:spacing w:val="-6"/>
                <w:szCs w:val="21"/>
              </w:rPr>
            </w:pPr>
            <w:r>
              <w:rPr>
                <w:rFonts w:hint="eastAsia" w:ascii="宋体" w:hAnsi="宋体" w:cs="宋体"/>
                <w:spacing w:val="-6"/>
                <w:szCs w:val="21"/>
              </w:rPr>
              <w:t>合理，可行，6分；</w:t>
            </w:r>
          </w:p>
          <w:p>
            <w:pPr>
              <w:spacing w:line="360" w:lineRule="auto"/>
              <w:ind w:left="-4" w:leftChars="-2" w:firstLine="1" w:firstLineChars="1"/>
              <w:rPr>
                <w:rFonts w:ascii="宋体" w:hAnsi="宋体" w:cs="宋体"/>
                <w:spacing w:val="-6"/>
                <w:szCs w:val="21"/>
              </w:rPr>
            </w:pPr>
            <w:r>
              <w:rPr>
                <w:rFonts w:hint="eastAsia" w:ascii="宋体" w:hAnsi="宋体" w:cs="宋体"/>
                <w:spacing w:val="-6"/>
                <w:szCs w:val="21"/>
              </w:rPr>
              <w:t>欠合理，基本可行，4分；</w:t>
            </w:r>
          </w:p>
          <w:p>
            <w:pPr>
              <w:spacing w:line="360" w:lineRule="auto"/>
              <w:ind w:left="-4" w:leftChars="-2" w:firstLine="1" w:firstLineChars="1"/>
              <w:rPr>
                <w:rFonts w:ascii="宋体" w:hAnsi="宋体" w:cs="宋体"/>
                <w:spacing w:val="-6"/>
                <w:szCs w:val="21"/>
              </w:rPr>
            </w:pPr>
            <w:r>
              <w:rPr>
                <w:rFonts w:hint="eastAsia" w:ascii="宋体" w:hAnsi="宋体" w:cs="宋体"/>
                <w:spacing w:val="-6"/>
                <w:szCs w:val="21"/>
              </w:rPr>
              <w:t>不可行，0 分。</w:t>
            </w:r>
          </w:p>
        </w:tc>
        <w:tc>
          <w:tcPr>
            <w:tcW w:w="663" w:type="dxa"/>
            <w:vAlign w:val="center"/>
          </w:tcPr>
          <w:p>
            <w:pPr>
              <w:spacing w:line="360" w:lineRule="auto"/>
              <w:ind w:left="-4" w:leftChars="-2" w:firstLine="1" w:firstLineChars="1"/>
              <w:jc w:val="center"/>
              <w:rPr>
                <w:rFonts w:ascii="宋体" w:hAnsi="宋体" w:cs="宋体"/>
                <w:spacing w:val="-6"/>
                <w:szCs w:val="21"/>
              </w:rPr>
            </w:pPr>
            <w:r>
              <w:rPr>
                <w:rFonts w:hint="eastAsia" w:ascii="宋体" w:hAnsi="宋体" w:cs="宋体"/>
                <w:spacing w:val="-6"/>
                <w:szCs w:val="21"/>
              </w:rPr>
              <w:t>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30" w:hRule="atLeast"/>
        </w:trPr>
        <w:tc>
          <w:tcPr>
            <w:tcW w:w="735" w:type="dxa"/>
            <w:vMerge w:val="continue"/>
            <w:vAlign w:val="center"/>
          </w:tcPr>
          <w:p>
            <w:pPr>
              <w:jc w:val="center"/>
              <w:rPr>
                <w:rFonts w:asciiTheme="minorEastAsia" w:hAnsiTheme="minorEastAsia" w:eastAsiaTheme="minorEastAsia" w:cstheme="minorEastAsia"/>
                <w:spacing w:val="-6"/>
                <w:szCs w:val="21"/>
              </w:rPr>
            </w:pPr>
          </w:p>
        </w:tc>
        <w:tc>
          <w:tcPr>
            <w:tcW w:w="1374" w:type="dxa"/>
            <w:vAlign w:val="center"/>
          </w:tcPr>
          <w:p>
            <w:pPr>
              <w:spacing w:line="360" w:lineRule="auto"/>
              <w:jc w:val="center"/>
              <w:rPr>
                <w:rFonts w:ascii="宋体" w:hAnsi="宋体" w:cs="宋体"/>
                <w:szCs w:val="21"/>
              </w:rPr>
            </w:pPr>
            <w:r>
              <w:rPr>
                <w:rFonts w:hint="eastAsia" w:ascii="宋体" w:hAnsi="宋体" w:cs="宋体"/>
                <w:szCs w:val="21"/>
              </w:rPr>
              <w:t>安保方案</w:t>
            </w:r>
          </w:p>
        </w:tc>
        <w:tc>
          <w:tcPr>
            <w:tcW w:w="6507" w:type="dxa"/>
          </w:tcPr>
          <w:p>
            <w:pPr>
              <w:spacing w:line="360" w:lineRule="auto"/>
            </w:pPr>
            <w:r>
              <w:rPr>
                <w:rFonts w:hint="eastAsia"/>
              </w:rPr>
              <w:t>供应商针对本项目提供安保方案以确保服务质量（包括但不限于各服务项目工作实施计划、人员管理措施、应急事件处理方案和质量考核标准服务质量、安全管理制度等。）</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科学、合理，针对性强7分；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合理，可行，4分；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欠合理，基本可行，1分；</w:t>
            </w:r>
          </w:p>
          <w:p>
            <w:pPr>
              <w:pStyle w:val="10"/>
            </w:pPr>
            <w:r>
              <w:rPr>
                <w:rFonts w:hint="eastAsia" w:ascii="宋体" w:hAnsi="宋体" w:cs="宋体"/>
                <w:kern w:val="0"/>
                <w:szCs w:val="21"/>
              </w:rPr>
              <w:t>不可行，0 分。</w:t>
            </w:r>
          </w:p>
        </w:tc>
        <w:tc>
          <w:tcPr>
            <w:tcW w:w="663" w:type="dxa"/>
            <w:vAlign w:val="center"/>
          </w:tcPr>
          <w:p>
            <w:pPr>
              <w:spacing w:line="360" w:lineRule="auto"/>
              <w:jc w:val="center"/>
              <w:rPr>
                <w:rFonts w:ascii="宋体" w:hAnsi="宋体" w:cs="宋体"/>
                <w:szCs w:val="21"/>
              </w:rPr>
            </w:pPr>
            <w:r>
              <w:rPr>
                <w:rFonts w:hint="eastAsia" w:ascii="宋体" w:hAnsi="宋体" w:cs="宋体"/>
                <w:szCs w:val="21"/>
              </w:rPr>
              <w:t>7分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33" w:hRule="atLeast"/>
        </w:trPr>
        <w:tc>
          <w:tcPr>
            <w:tcW w:w="735" w:type="dxa"/>
            <w:vMerge w:val="continue"/>
            <w:vAlign w:val="center"/>
          </w:tcPr>
          <w:p>
            <w:pPr>
              <w:ind w:left="-4" w:leftChars="-2" w:firstLine="2" w:firstLineChars="1"/>
              <w:rPr>
                <w:rFonts w:asciiTheme="minorEastAsia" w:hAnsiTheme="minorEastAsia" w:eastAsiaTheme="minorEastAsia" w:cstheme="minorEastAsia"/>
                <w:szCs w:val="21"/>
              </w:rPr>
            </w:pPr>
          </w:p>
        </w:tc>
        <w:tc>
          <w:tcPr>
            <w:tcW w:w="1374" w:type="dxa"/>
            <w:vAlign w:val="center"/>
          </w:tcPr>
          <w:p>
            <w:pPr>
              <w:spacing w:line="360" w:lineRule="auto"/>
              <w:jc w:val="center"/>
              <w:rPr>
                <w:rFonts w:ascii="宋体" w:hAnsi="宋体" w:cs="宋体"/>
                <w:szCs w:val="21"/>
              </w:rPr>
            </w:pPr>
            <w:r>
              <w:rPr>
                <w:rFonts w:hint="eastAsia" w:ascii="宋体" w:hAnsi="宋体" w:cs="宋体"/>
                <w:szCs w:val="21"/>
              </w:rPr>
              <w:t>餐饮绿化服务方案</w:t>
            </w:r>
          </w:p>
        </w:tc>
        <w:tc>
          <w:tcPr>
            <w:tcW w:w="6507" w:type="dxa"/>
          </w:tcPr>
          <w:p>
            <w:pPr>
              <w:spacing w:line="360" w:lineRule="auto"/>
            </w:pPr>
            <w:r>
              <w:rPr>
                <w:rFonts w:hint="eastAsia"/>
              </w:rPr>
              <w:t>提供餐饮绿化方案（包含但不限于确保学员饮食干净、卫生、新鲜、安全等内容）进行评分，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科学、合理，针对性强6分；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合理，可行，4分；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欠合理，基本可行，2分；</w:t>
            </w:r>
          </w:p>
          <w:p>
            <w:pPr>
              <w:pStyle w:val="10"/>
            </w:pPr>
            <w:r>
              <w:rPr>
                <w:rFonts w:hint="eastAsia" w:ascii="宋体" w:hAnsi="宋体" w:cs="宋体"/>
                <w:kern w:val="0"/>
                <w:szCs w:val="21"/>
              </w:rPr>
              <w:t>不可行，0 分。</w:t>
            </w:r>
          </w:p>
        </w:tc>
        <w:tc>
          <w:tcPr>
            <w:tcW w:w="663" w:type="dxa"/>
            <w:vAlign w:val="center"/>
          </w:tcPr>
          <w:p>
            <w:pPr>
              <w:spacing w:line="360" w:lineRule="auto"/>
              <w:jc w:val="center"/>
              <w:rPr>
                <w:rFonts w:ascii="宋体" w:hAnsi="宋体" w:cs="宋体"/>
                <w:szCs w:val="21"/>
              </w:rPr>
            </w:pPr>
            <w:r>
              <w:rPr>
                <w:rFonts w:hint="eastAsia" w:ascii="宋体" w:hAnsi="宋体" w:cs="宋体"/>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25" w:hRule="atLeast"/>
        </w:trPr>
        <w:tc>
          <w:tcPr>
            <w:tcW w:w="735" w:type="dxa"/>
            <w:vMerge w:val="continue"/>
            <w:vAlign w:val="center"/>
          </w:tcPr>
          <w:p>
            <w:pPr>
              <w:rPr>
                <w:rFonts w:asciiTheme="minorEastAsia" w:hAnsiTheme="minorEastAsia" w:eastAsiaTheme="minorEastAsia" w:cstheme="minorEastAsia"/>
                <w:szCs w:val="21"/>
              </w:rPr>
            </w:pPr>
          </w:p>
        </w:tc>
        <w:tc>
          <w:tcPr>
            <w:tcW w:w="1374" w:type="dxa"/>
            <w:vAlign w:val="center"/>
          </w:tcPr>
          <w:p>
            <w:pPr>
              <w:jc w:val="center"/>
              <w:rPr>
                <w:rFonts w:asciiTheme="minorEastAsia" w:hAnsiTheme="minorEastAsia" w:eastAsiaTheme="minorEastAsia" w:cstheme="minorEastAsia"/>
                <w:spacing w:val="-6"/>
                <w:kern w:val="0"/>
                <w:szCs w:val="21"/>
              </w:rPr>
            </w:pPr>
            <w:r>
              <w:rPr>
                <w:rFonts w:hint="eastAsia" w:asciiTheme="minorEastAsia" w:hAnsiTheme="minorEastAsia" w:eastAsiaTheme="minorEastAsia" w:cstheme="minorEastAsia"/>
                <w:spacing w:val="-6"/>
                <w:kern w:val="0"/>
                <w:szCs w:val="21"/>
              </w:rPr>
              <w:t>会务及住宿服务方案</w:t>
            </w:r>
          </w:p>
        </w:tc>
        <w:tc>
          <w:tcPr>
            <w:tcW w:w="6507" w:type="dxa"/>
            <w:vAlign w:val="center"/>
          </w:tcPr>
          <w:p>
            <w:pPr>
              <w:autoSpaceDE w:val="0"/>
              <w:autoSpaceDN w:val="0"/>
              <w:adjustRightInd w:val="0"/>
              <w:spacing w:line="360" w:lineRule="auto"/>
            </w:pPr>
            <w:r>
              <w:rPr>
                <w:rFonts w:hint="eastAsia"/>
              </w:rPr>
              <w:t>提供会务及住宿服务方案（包含但不限于确保会议室现场环境好、设备充足，学员住宿条件优质、环境安静舒适等）进行评分，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科学、合理，针对性强6分；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合理，可行，4分；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欠合理，基本可行，2分；</w:t>
            </w:r>
          </w:p>
          <w:p>
            <w:pPr>
              <w:pStyle w:val="10"/>
            </w:pPr>
            <w:r>
              <w:rPr>
                <w:rFonts w:hint="eastAsia" w:ascii="宋体" w:hAnsi="宋体" w:cs="宋体"/>
                <w:kern w:val="0"/>
                <w:szCs w:val="21"/>
              </w:rPr>
              <w:t>不可行，0 分。</w:t>
            </w:r>
          </w:p>
        </w:tc>
        <w:tc>
          <w:tcPr>
            <w:tcW w:w="663" w:type="dxa"/>
            <w:vAlign w:val="center"/>
          </w:tcPr>
          <w:p>
            <w:pPr>
              <w:autoSpaceDE w:val="0"/>
              <w:autoSpaceDN w:val="0"/>
              <w:adjustRightInd w:val="0"/>
              <w:rPr>
                <w:rFonts w:asciiTheme="minorEastAsia" w:hAnsiTheme="minorEastAsia" w:eastAsiaTheme="minorEastAsia" w:cstheme="minorEastAsia"/>
                <w:spacing w:val="-6"/>
                <w:kern w:val="0"/>
                <w:szCs w:val="21"/>
              </w:rPr>
            </w:pPr>
            <w:r>
              <w:rPr>
                <w:rFonts w:hint="eastAsia" w:asciiTheme="minorEastAsia" w:hAnsiTheme="minorEastAsia" w:eastAsiaTheme="minorEastAsia" w:cstheme="minorEastAsia"/>
                <w:spacing w:val="-6"/>
                <w:kern w:val="0"/>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56" w:hRule="atLeast"/>
        </w:trPr>
        <w:tc>
          <w:tcPr>
            <w:tcW w:w="735" w:type="dxa"/>
            <w:vMerge w:val="continue"/>
            <w:vAlign w:val="center"/>
          </w:tcPr>
          <w:p>
            <w:pPr>
              <w:rPr>
                <w:rFonts w:asciiTheme="minorEastAsia" w:hAnsiTheme="minorEastAsia" w:eastAsiaTheme="minorEastAsia" w:cstheme="minorEastAsia"/>
                <w:szCs w:val="21"/>
              </w:rPr>
            </w:pPr>
          </w:p>
        </w:tc>
        <w:tc>
          <w:tcPr>
            <w:tcW w:w="1374" w:type="dxa"/>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保洁服务方案</w:t>
            </w:r>
          </w:p>
        </w:tc>
        <w:tc>
          <w:tcPr>
            <w:tcW w:w="6507" w:type="dxa"/>
            <w:vAlign w:val="center"/>
          </w:tcPr>
          <w:p>
            <w:pPr>
              <w:autoSpaceDE w:val="0"/>
              <w:autoSpaceDN w:val="0"/>
              <w:adjustRightInd w:val="0"/>
              <w:spacing w:line="360" w:lineRule="auto"/>
            </w:pPr>
            <w:r>
              <w:rPr>
                <w:rFonts w:hint="eastAsia"/>
              </w:rPr>
              <w:t>提供保洁服务方案（包含但不限于确保学员住宿环境、会议室、餐厅及餐具卫生、干净、整洁等）进行评分，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科学、合理，针对性强6分；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合理，可行，3分；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欠合理，基本可行，1分；</w:t>
            </w:r>
          </w:p>
          <w:p>
            <w:pPr>
              <w:ind w:left="-4" w:leftChars="-2" w:firstLine="2" w:firstLineChars="1"/>
              <w:rPr>
                <w:rFonts w:asciiTheme="minorEastAsia" w:hAnsiTheme="minorEastAsia" w:eastAsiaTheme="minorEastAsia" w:cstheme="minorEastAsia"/>
                <w:spacing w:val="-6"/>
                <w:szCs w:val="21"/>
              </w:rPr>
            </w:pPr>
            <w:r>
              <w:rPr>
                <w:rFonts w:hint="eastAsia" w:ascii="宋体" w:hAnsi="宋体" w:cs="宋体"/>
                <w:kern w:val="0"/>
                <w:szCs w:val="21"/>
              </w:rPr>
              <w:t>不可行，0 分。</w:t>
            </w:r>
          </w:p>
        </w:tc>
        <w:tc>
          <w:tcPr>
            <w:tcW w:w="663" w:type="dxa"/>
            <w:vAlign w:val="center"/>
          </w:tcPr>
          <w:p>
            <w:pPr>
              <w:ind w:left="-4" w:leftChars="-2" w:firstLine="1" w:firstLineChars="1"/>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47" w:hRule="atLeast"/>
        </w:trPr>
        <w:tc>
          <w:tcPr>
            <w:tcW w:w="735" w:type="dxa"/>
            <w:vMerge w:val="continue"/>
            <w:vAlign w:val="center"/>
          </w:tcPr>
          <w:p>
            <w:pPr>
              <w:rPr>
                <w:rFonts w:asciiTheme="minorEastAsia" w:hAnsiTheme="minorEastAsia" w:eastAsiaTheme="minorEastAsia" w:cstheme="minorEastAsia"/>
                <w:szCs w:val="21"/>
              </w:rPr>
            </w:pPr>
          </w:p>
        </w:tc>
        <w:tc>
          <w:tcPr>
            <w:tcW w:w="1374" w:type="dxa"/>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应急方案</w:t>
            </w:r>
          </w:p>
        </w:tc>
        <w:tc>
          <w:tcPr>
            <w:tcW w:w="6507" w:type="dxa"/>
            <w:vAlign w:val="center"/>
          </w:tcPr>
          <w:p>
            <w:pPr>
              <w:spacing w:line="360" w:lineRule="auto"/>
              <w:rPr>
                <w:rFonts w:ascii="宋体" w:hAnsi="宋体" w:cs="宋体"/>
                <w:szCs w:val="21"/>
              </w:rPr>
            </w:pPr>
            <w:r>
              <w:rPr>
                <w:rFonts w:hint="eastAsia" w:ascii="宋体" w:hAnsi="宋体" w:cs="宋体"/>
                <w:szCs w:val="21"/>
              </w:rPr>
              <w:t>提供应急方案，根据对临时增加的会议、就餐、住宿等处理方案等的描述及可行性等进行综合评分，</w:t>
            </w:r>
          </w:p>
          <w:p>
            <w:pPr>
              <w:spacing w:line="360" w:lineRule="auto"/>
              <w:rPr>
                <w:rFonts w:ascii="宋体" w:hAnsi="宋体" w:cs="宋体"/>
                <w:szCs w:val="21"/>
              </w:rPr>
            </w:pPr>
            <w:r>
              <w:rPr>
                <w:rFonts w:hint="eastAsia" w:ascii="宋体" w:hAnsi="宋体" w:cs="宋体"/>
                <w:szCs w:val="21"/>
              </w:rPr>
              <w:t>科学、合理，针对性强，5分；</w:t>
            </w:r>
          </w:p>
          <w:p>
            <w:pPr>
              <w:spacing w:line="360" w:lineRule="auto"/>
              <w:rPr>
                <w:rFonts w:ascii="宋体" w:hAnsi="宋体" w:cs="宋体"/>
                <w:szCs w:val="21"/>
              </w:rPr>
            </w:pPr>
            <w:r>
              <w:rPr>
                <w:rFonts w:hint="eastAsia" w:ascii="宋体" w:hAnsi="宋体" w:cs="宋体"/>
                <w:szCs w:val="21"/>
              </w:rPr>
              <w:t>合理，可行，3分；</w:t>
            </w:r>
          </w:p>
          <w:p>
            <w:pPr>
              <w:spacing w:line="360" w:lineRule="auto"/>
              <w:rPr>
                <w:rFonts w:ascii="宋体" w:hAnsi="宋体" w:cs="宋体"/>
                <w:szCs w:val="21"/>
              </w:rPr>
            </w:pPr>
            <w:r>
              <w:rPr>
                <w:rFonts w:hint="eastAsia" w:ascii="宋体" w:hAnsi="宋体" w:cs="宋体"/>
                <w:szCs w:val="21"/>
              </w:rPr>
              <w:t>欠合理，基本可行，1分；</w:t>
            </w:r>
          </w:p>
          <w:p>
            <w:pPr>
              <w:rPr>
                <w:rFonts w:asciiTheme="minorEastAsia" w:hAnsiTheme="minorEastAsia" w:eastAsiaTheme="minorEastAsia" w:cstheme="minorEastAsia"/>
                <w:spacing w:val="-6"/>
                <w:szCs w:val="21"/>
              </w:rPr>
            </w:pPr>
            <w:r>
              <w:rPr>
                <w:rFonts w:hint="eastAsia" w:ascii="宋体" w:hAnsi="宋体" w:cs="宋体"/>
                <w:szCs w:val="21"/>
              </w:rPr>
              <w:t>不可行，0 分。</w:t>
            </w:r>
          </w:p>
        </w:tc>
        <w:tc>
          <w:tcPr>
            <w:tcW w:w="663" w:type="dxa"/>
            <w:vAlign w:val="center"/>
          </w:tcPr>
          <w:p>
            <w:pP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57" w:hRule="atLeast"/>
        </w:trPr>
        <w:tc>
          <w:tcPr>
            <w:tcW w:w="735" w:type="dxa"/>
            <w:vMerge w:val="continue"/>
            <w:vAlign w:val="center"/>
          </w:tcPr>
          <w:p>
            <w:pPr>
              <w:rPr>
                <w:rFonts w:asciiTheme="minorEastAsia" w:hAnsiTheme="minorEastAsia" w:eastAsiaTheme="minorEastAsia" w:cstheme="minorEastAsia"/>
                <w:szCs w:val="21"/>
              </w:rPr>
            </w:pPr>
          </w:p>
        </w:tc>
        <w:tc>
          <w:tcPr>
            <w:tcW w:w="1374" w:type="dxa"/>
            <w:vAlign w:val="center"/>
          </w:tcPr>
          <w:p>
            <w:pPr>
              <w:jc w:val="center"/>
              <w:rPr>
                <w:rFonts w:ascii="宋体" w:hAnsi="宋体" w:cs="宋体"/>
                <w:spacing w:val="-6"/>
                <w:szCs w:val="21"/>
              </w:rPr>
            </w:pPr>
            <w:r>
              <w:rPr>
                <w:rFonts w:hint="eastAsia" w:ascii="宋体" w:hAnsi="宋体" w:cs="宋体"/>
                <w:spacing w:val="-6"/>
                <w:szCs w:val="21"/>
              </w:rPr>
              <w:t>服务承诺</w:t>
            </w:r>
          </w:p>
        </w:tc>
        <w:tc>
          <w:tcPr>
            <w:tcW w:w="6507" w:type="dxa"/>
            <w:vAlign w:val="center"/>
          </w:tcPr>
          <w:p>
            <w:pPr>
              <w:spacing w:line="360" w:lineRule="auto"/>
              <w:rPr>
                <w:szCs w:val="21"/>
              </w:rPr>
            </w:pPr>
            <w:r>
              <w:rPr>
                <w:rFonts w:hint="eastAsia"/>
                <w:szCs w:val="21"/>
              </w:rPr>
              <w:t>根据本项目特点，提供明确的服务承诺和具体指标，并列出具体落实措施，</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科学、合理，针对性强，6分；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合理，可行，4分；</w:t>
            </w:r>
          </w:p>
          <w:p>
            <w:pPr>
              <w:widowControl/>
              <w:spacing w:line="360" w:lineRule="auto"/>
              <w:jc w:val="left"/>
              <w:textAlignment w:val="center"/>
              <w:rPr>
                <w:rFonts w:ascii="宋体" w:hAnsi="宋体" w:cs="宋体"/>
                <w:kern w:val="0"/>
                <w:szCs w:val="21"/>
              </w:rPr>
            </w:pPr>
            <w:r>
              <w:rPr>
                <w:rFonts w:hint="eastAsia" w:ascii="宋体" w:hAnsi="宋体" w:cs="宋体"/>
                <w:kern w:val="0"/>
                <w:szCs w:val="21"/>
              </w:rPr>
              <w:t>欠合理，基本可行，2分；</w:t>
            </w:r>
          </w:p>
          <w:p>
            <w:pPr>
              <w:spacing w:line="360" w:lineRule="auto"/>
            </w:pPr>
            <w:r>
              <w:rPr>
                <w:rFonts w:hint="eastAsia" w:ascii="宋体" w:hAnsi="宋体" w:cs="宋体"/>
                <w:kern w:val="0"/>
                <w:szCs w:val="21"/>
              </w:rPr>
              <w:t>不可行，0 分。</w:t>
            </w:r>
          </w:p>
        </w:tc>
        <w:tc>
          <w:tcPr>
            <w:tcW w:w="663" w:type="dxa"/>
            <w:vAlign w:val="center"/>
          </w:tcPr>
          <w:p>
            <w:pPr>
              <w:rPr>
                <w:rFonts w:ascii="宋体" w:hAnsi="宋体" w:cs="宋体"/>
                <w:spacing w:val="-6"/>
                <w:szCs w:val="21"/>
              </w:rPr>
            </w:pPr>
            <w:r>
              <w:rPr>
                <w:rFonts w:hint="eastAsia" w:ascii="宋体" w:hAnsi="宋体" w:cs="宋体"/>
                <w:spacing w:val="-6"/>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trPr>
        <w:tc>
          <w:tcPr>
            <w:tcW w:w="735" w:type="dxa"/>
            <w:vMerge w:val="continue"/>
            <w:vAlign w:val="center"/>
          </w:tcPr>
          <w:p>
            <w:pPr>
              <w:rPr>
                <w:rFonts w:asciiTheme="minorEastAsia" w:hAnsiTheme="minorEastAsia" w:eastAsiaTheme="minorEastAsia" w:cstheme="minorEastAsia"/>
                <w:szCs w:val="21"/>
              </w:rPr>
            </w:pPr>
          </w:p>
        </w:tc>
        <w:tc>
          <w:tcPr>
            <w:tcW w:w="1374" w:type="dxa"/>
            <w:vAlign w:val="center"/>
          </w:tcPr>
          <w:p>
            <w:pPr>
              <w:jc w:val="center"/>
              <w:rPr>
                <w:rFonts w:ascii="宋体" w:hAnsi="宋体" w:cs="宋体"/>
                <w:spacing w:val="-6"/>
                <w:szCs w:val="21"/>
              </w:rPr>
            </w:pPr>
            <w:r>
              <w:rPr>
                <w:rFonts w:hint="eastAsia" w:ascii="宋体" w:hAnsi="宋体" w:cs="宋体"/>
                <w:spacing w:val="-6"/>
                <w:szCs w:val="21"/>
              </w:rPr>
              <w:t>增值服务</w:t>
            </w:r>
          </w:p>
        </w:tc>
        <w:tc>
          <w:tcPr>
            <w:tcW w:w="6507" w:type="dxa"/>
            <w:vAlign w:val="center"/>
          </w:tcPr>
          <w:p>
            <w:pPr>
              <w:pStyle w:val="10"/>
              <w:spacing w:after="0" w:line="360" w:lineRule="auto"/>
              <w:rPr>
                <w:rFonts w:ascii="宋体" w:hAnsi="宋体" w:cs="宋体"/>
              </w:rPr>
            </w:pPr>
            <w:r>
              <w:rPr>
                <w:rFonts w:hint="eastAsia"/>
              </w:rPr>
              <w:t>供应商针对本次项目特点提供增值服务，如</w:t>
            </w:r>
            <w:r>
              <w:rPr>
                <w:rFonts w:hint="eastAsia" w:ascii="宋体" w:hAnsi="宋体" w:cs="宋体"/>
              </w:rPr>
              <w:t>：（1.会议现场为会议人员提供小零食、饮水；2.为培训人员提供每日早上及中午午休过后叫醒服务，3.在培训人员入住及退房离开时为有需要的人员搬运行李等），</w:t>
            </w:r>
            <w:r>
              <w:rPr>
                <w:rFonts w:hint="eastAsia"/>
              </w:rPr>
              <w:t>并提供对应承诺函（</w:t>
            </w:r>
            <w:r>
              <w:rPr>
                <w:rFonts w:hint="eastAsia" w:ascii="宋体" w:hAnsi="宋体" w:cs="宋体"/>
              </w:rPr>
              <w:t>格式自拟</w:t>
            </w:r>
            <w:r>
              <w:rPr>
                <w:rFonts w:hint="eastAsia"/>
              </w:rPr>
              <w:t>）</w:t>
            </w:r>
            <w:r>
              <w:rPr>
                <w:rFonts w:hint="eastAsia" w:ascii="宋体" w:hAnsi="宋体" w:cs="宋体"/>
              </w:rPr>
              <w:t>，每提供一项得1分，满分6分。</w:t>
            </w:r>
          </w:p>
        </w:tc>
        <w:tc>
          <w:tcPr>
            <w:tcW w:w="663" w:type="dxa"/>
            <w:vAlign w:val="center"/>
          </w:tcPr>
          <w:p>
            <w:pPr>
              <w:rPr>
                <w:rFonts w:ascii="宋体" w:hAnsi="宋体" w:cs="宋体"/>
                <w:spacing w:val="-6"/>
                <w:szCs w:val="21"/>
              </w:rPr>
            </w:pPr>
            <w:r>
              <w:rPr>
                <w:rFonts w:hint="eastAsia" w:ascii="宋体" w:hAnsi="宋体" w:cs="宋体"/>
                <w:spacing w:val="-6"/>
                <w:szCs w:val="21"/>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8" w:hRule="atLeast"/>
        </w:trPr>
        <w:tc>
          <w:tcPr>
            <w:tcW w:w="735"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总分</w:t>
            </w:r>
          </w:p>
        </w:tc>
        <w:tc>
          <w:tcPr>
            <w:tcW w:w="8544" w:type="dxa"/>
            <w:gridSpan w:val="3"/>
            <w:vAlign w:val="center"/>
          </w:tcPr>
          <w:p>
            <w:pPr>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100</w:t>
            </w:r>
          </w:p>
        </w:tc>
      </w:tr>
    </w:tbl>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textWrapping"/>
      </w:r>
    </w:p>
    <w:p>
      <w:pP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spacing w:line="360" w:lineRule="auto"/>
        <w:outlineLvl w:val="1"/>
        <w:rPr>
          <w:rFonts w:asciiTheme="minorEastAsia" w:hAnsiTheme="minorEastAsia" w:eastAsiaTheme="minorEastAsia" w:cstheme="minorEastAsia"/>
          <w:b/>
          <w:szCs w:val="21"/>
        </w:rPr>
      </w:pPr>
      <w:bookmarkStart w:id="108" w:name="_Toc24464"/>
      <w:r>
        <w:rPr>
          <w:rFonts w:hint="eastAsia" w:asciiTheme="minorEastAsia" w:hAnsiTheme="minorEastAsia" w:eastAsiaTheme="minorEastAsia" w:cstheme="minorEastAsia"/>
          <w:b/>
          <w:szCs w:val="21"/>
        </w:rPr>
        <w:t>四、评定办法</w:t>
      </w:r>
      <w:bookmarkEnd w:id="108"/>
    </w:p>
    <w:p>
      <w:pPr>
        <w:numPr>
          <w:ilvl w:val="3"/>
          <w:numId w:val="38"/>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9"/>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9"/>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9"/>
        </w:numPr>
        <w:tabs>
          <w:tab w:val="left" w:pos="540"/>
          <w:tab w:val="clear" w:pos="36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8"/>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 分值构成</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 评标基准价计算</w:t>
      </w:r>
    </w:p>
    <w:p>
      <w:pPr>
        <w:spacing w:line="360" w:lineRule="auto"/>
        <w:ind w:firstLine="840" w:firstLineChars="4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 评分标准</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8"/>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3.1磋商小组严格按照本章要求对最终报价进行评定。</w:t>
      </w:r>
    </w:p>
    <w:p>
      <w:pPr>
        <w:tabs>
          <w:tab w:val="left" w:pos="540"/>
        </w:tab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spacing w:line="360" w:lineRule="auto"/>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8"/>
        </w:numPr>
        <w:tabs>
          <w:tab w:val="left" w:pos="540"/>
        </w:tabs>
        <w:spacing w:line="360" w:lineRule="auto"/>
        <w:ind w:left="540" w:hanging="54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ind w:left="420" w:left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
    <w:p/>
    <w:p/>
    <w:p>
      <w:pPr>
        <w:spacing w:line="360" w:lineRule="auto"/>
        <w:outlineLvl w:val="1"/>
        <w:rPr>
          <w:rFonts w:asciiTheme="minorEastAsia" w:hAnsiTheme="minorEastAsia" w:eastAsiaTheme="minorEastAsia" w:cstheme="minorEastAsia"/>
          <w:b/>
          <w:szCs w:val="21"/>
        </w:rPr>
      </w:pPr>
      <w:bookmarkStart w:id="109" w:name="_Toc21104"/>
      <w:r>
        <w:rPr>
          <w:rFonts w:hint="eastAsia" w:asciiTheme="minorEastAsia" w:hAnsiTheme="minorEastAsia" w:eastAsiaTheme="minorEastAsia" w:cstheme="minorEastAsia"/>
          <w:b/>
          <w:szCs w:val="21"/>
        </w:rPr>
        <w:t>五、磋商及评审步骤</w:t>
      </w:r>
      <w:bookmarkEnd w:id="109"/>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1.验证委托代理人身份、响应文件密封检查</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4.1磋商小组所有成员应当集中与单一供应商分别进行磋商，并按照磋商会随机抽签的顺序给予所有参加磋商的供应商平等的磋商机会。</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在磋商过程中，若磋商小组无法联系上供应商代表或者供应商代表在接到磋商小组通知后15分钟内不能抵达磋商会现场的，视为该供应商自动退出磋商。</w:t>
      </w:r>
    </w:p>
    <w:p>
      <w:pPr>
        <w:spacing w:line="360" w:lineRule="auto"/>
        <w:ind w:left="420" w:left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left="420" w:leftChars="200"/>
        <w:jc w:val="left"/>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left="420" w:leftChars="200"/>
        <w:jc w:val="left"/>
        <w:rPr>
          <w:rFonts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spacing w:line="360" w:lineRule="auto"/>
        <w:ind w:left="420" w:leftChars="200"/>
        <w:jc w:val="left"/>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5.1经磋商确定最终采购需求和提交最后报价的供应商后，由磋商小组采用综合评分法对提交最后报价的供应商的响应文件和最后报价进行综合评分。具体详见“评分细则”。</w:t>
      </w:r>
    </w:p>
    <w:p>
      <w:pPr>
        <w:spacing w:line="360" w:lineRule="auto"/>
        <w:ind w:left="420" w:leftChars="200"/>
        <w:jc w:val="left"/>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spacing w:line="360" w:lineRule="auto"/>
        <w:ind w:left="420" w:leftChars="200"/>
        <w:jc w:val="left"/>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5.3采购代理机构负责对各磋商小组成员的总分进行复核和汇总。各项统计结果均精确到小数点后两位。</w:t>
      </w:r>
    </w:p>
    <w:p>
      <w:pPr>
        <w:spacing w:line="360" w:lineRule="auto"/>
        <w:ind w:left="420" w:leftChars="200"/>
        <w:jc w:val="left"/>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left="420" w:leftChars="200"/>
        <w:jc w:val="left"/>
        <w:rPr>
          <w:rFonts w:asciiTheme="minorEastAsia" w:hAnsiTheme="minorEastAsia" w:eastAsiaTheme="minorEastAsia" w:cstheme="minorEastAsia"/>
          <w:szCs w:val="28"/>
        </w:rPr>
      </w:pPr>
      <w:r>
        <w:rPr>
          <w:rFonts w:hint="eastAsia" w:asciiTheme="minorEastAsia" w:hAnsiTheme="minorEastAsia" w:eastAsiaTheme="minorEastAsia" w:cstheme="minorEastAsia"/>
          <w:szCs w:val="28"/>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left="420" w:left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8"/>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rPr>
          <w:rFonts w:asciiTheme="minorEastAsia" w:hAnsiTheme="minorEastAsia" w:eastAsiaTheme="minorEastAsia" w:cstheme="minorEastAsia"/>
          <w:kern w:val="0"/>
          <w:szCs w:val="21"/>
        </w:rPr>
      </w:pPr>
      <w:bookmarkStart w:id="110" w:name="_Toc318643471"/>
      <w:bookmarkStart w:id="111" w:name="_Toc211783328"/>
      <w:r>
        <w:rPr>
          <w:rFonts w:hint="eastAsia" w:asciiTheme="minorEastAsia" w:hAnsiTheme="minorEastAsia" w:eastAsiaTheme="minorEastAsia" w:cstheme="minorEastAsia"/>
          <w:sz w:val="36"/>
          <w:szCs w:val="36"/>
        </w:rPr>
        <w:br w:type="page"/>
      </w:r>
    </w:p>
    <w:p>
      <w:pPr>
        <w:pStyle w:val="3"/>
        <w:spacing w:line="240" w:lineRule="auto"/>
        <w:jc w:val="center"/>
        <w:rPr>
          <w:rFonts w:hint="eastAsia" w:asciiTheme="minorEastAsia" w:hAnsiTheme="minorEastAsia" w:eastAsiaTheme="minorEastAsia" w:cstheme="minorEastAsia"/>
          <w:sz w:val="36"/>
          <w:szCs w:val="36"/>
        </w:rPr>
      </w:pPr>
      <w:bookmarkStart w:id="112" w:name="_Toc2787"/>
      <w:r>
        <w:rPr>
          <w:rFonts w:hint="eastAsia" w:asciiTheme="minorEastAsia" w:hAnsiTheme="minorEastAsia" w:eastAsiaTheme="minorEastAsia" w:cstheme="minorEastAsia"/>
          <w:sz w:val="36"/>
          <w:szCs w:val="36"/>
        </w:rPr>
        <w:t>第五章合同书</w:t>
      </w:r>
      <w:bookmarkEnd w:id="110"/>
      <w:bookmarkEnd w:id="111"/>
      <w:r>
        <w:rPr>
          <w:rFonts w:hint="eastAsia" w:asciiTheme="minorEastAsia" w:hAnsiTheme="minorEastAsia" w:eastAsiaTheme="minorEastAsia" w:cstheme="minorEastAsia"/>
          <w:sz w:val="36"/>
          <w:szCs w:val="36"/>
        </w:rPr>
        <w:t>格式</w:t>
      </w:r>
      <w:bookmarkEnd w:id="112"/>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spacing w:line="240" w:lineRule="auto"/>
        <w:ind w:firstLine="416"/>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w:t>
      </w:r>
      <w:r>
        <w:rPr>
          <w:rFonts w:hint="eastAsia" w:asciiTheme="minorEastAsia" w:hAnsiTheme="minorEastAsia" w:eastAsiaTheme="minorEastAsia" w:cstheme="minorEastAsia"/>
          <w:kern w:val="0"/>
          <w:szCs w:val="21"/>
          <w:lang w:eastAsia="zh-CN"/>
        </w:rPr>
        <w:t>合同款项</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w:t>
      </w:r>
      <w:r>
        <w:rPr>
          <w:rFonts w:hint="eastAsia" w:asciiTheme="minorEastAsia" w:hAnsiTheme="minorEastAsia" w:eastAsiaTheme="minorEastAsia" w:cstheme="minorEastAsia"/>
          <w:kern w:val="0"/>
          <w:szCs w:val="21"/>
          <w:lang w:eastAsia="zh-CN"/>
        </w:rPr>
        <w:t>服务</w:t>
      </w:r>
      <w:r>
        <w:rPr>
          <w:rFonts w:hint="eastAsia" w:asciiTheme="minorEastAsia" w:hAnsiTheme="minorEastAsia" w:eastAsiaTheme="minorEastAsia" w:cstheme="minorEastAsia"/>
          <w:kern w:val="0"/>
          <w:szCs w:val="21"/>
        </w:rPr>
        <w:t>期向需方提供合格的</w:t>
      </w:r>
      <w:r>
        <w:rPr>
          <w:rFonts w:hint="eastAsia" w:asciiTheme="minorEastAsia" w:hAnsiTheme="minorEastAsia" w:eastAsiaTheme="minorEastAsia" w:cstheme="minorEastAsia"/>
          <w:kern w:val="0"/>
          <w:szCs w:val="21"/>
          <w:u w:val="single"/>
        </w:rPr>
        <w:t>（服务）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Cs w:val="21"/>
        </w:rPr>
      </w:pPr>
      <w:r>
        <w:rPr>
          <w:rFonts w:hint="eastAsia" w:asciiTheme="minorEastAsia" w:hAnsiTheme="minorEastAsia" w:eastAsiaTheme="minorEastAsia" w:cstheme="minorEastAsia"/>
          <w:b/>
          <w:bCs w:val="0"/>
          <w:kern w:val="0"/>
          <w:szCs w:val="21"/>
        </w:rPr>
        <w:t>4.</w:t>
      </w:r>
      <w:r>
        <w:rPr>
          <w:rFonts w:hint="eastAsia" w:asciiTheme="minorEastAsia" w:hAnsiTheme="minorEastAsia" w:eastAsiaTheme="minorEastAsia" w:cstheme="minorEastAsia"/>
          <w:b/>
          <w:bCs w:val="0"/>
          <w:kern w:val="0"/>
          <w:szCs w:val="21"/>
        </w:rPr>
        <w:tab/>
      </w:r>
      <w:r>
        <w:rPr>
          <w:rFonts w:hint="eastAsia" w:asciiTheme="minorEastAsia" w:hAnsiTheme="minorEastAsia" w:eastAsiaTheme="minorEastAsia" w:cstheme="minorEastAsia"/>
          <w:b/>
          <w:bCs w:val="0"/>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w:t>
      </w:r>
      <w:r>
        <w:rPr>
          <w:rFonts w:hint="eastAsia" w:asciiTheme="minorEastAsia" w:hAnsiTheme="minorEastAsia" w:eastAsiaTheme="minorEastAsia" w:cstheme="minorEastAsia"/>
          <w:kern w:val="0"/>
          <w:szCs w:val="21"/>
          <w:lang w:val="en-US" w:eastAsia="zh-CN"/>
        </w:rPr>
        <w:t>协议</w:t>
      </w:r>
      <w:r>
        <w:rPr>
          <w:rFonts w:hint="eastAsia" w:asciiTheme="minorEastAsia" w:hAnsiTheme="minorEastAsia" w:eastAsiaTheme="minorEastAsia" w:cstheme="minorEastAsia"/>
          <w:kern w:val="0"/>
          <w:szCs w:val="21"/>
        </w:rPr>
        <w:t>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Cs w:val="21"/>
          <w:lang w:eastAsia="zh-CN"/>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lang w:eastAsia="zh-CN"/>
        </w:rPr>
        <w:t>服务</w:t>
      </w:r>
      <w:r>
        <w:rPr>
          <w:rFonts w:hint="eastAsia" w:asciiTheme="minorEastAsia" w:hAnsiTheme="minorEastAsia" w:eastAsiaTheme="minorEastAsia" w:cstheme="minorEastAsia"/>
          <w:b/>
          <w:kern w:val="0"/>
          <w:szCs w:val="21"/>
        </w:rPr>
        <w:t>及</w:t>
      </w:r>
      <w:r>
        <w:rPr>
          <w:rFonts w:hint="eastAsia" w:asciiTheme="minorEastAsia" w:hAnsiTheme="minorEastAsia" w:eastAsiaTheme="minorEastAsia" w:cstheme="minorEastAsia"/>
          <w:b/>
          <w:kern w:val="0"/>
          <w:szCs w:val="21"/>
          <w:lang w:eastAsia="zh-CN"/>
        </w:rPr>
        <w:t>服务期</w:t>
      </w:r>
    </w:p>
    <w:p>
      <w:pPr>
        <w:pStyle w:val="21"/>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（服务）</w:t>
      </w:r>
      <w:r>
        <w:rPr>
          <w:rFonts w:hint="eastAsia" w:asciiTheme="minorEastAsia" w:hAnsiTheme="minorEastAsia" w:eastAsiaTheme="minorEastAsia" w:cstheme="minorEastAsia"/>
          <w:kern w:val="0"/>
          <w:sz w:val="21"/>
          <w:szCs w:val="21"/>
        </w:rPr>
        <w:t>及</w:t>
      </w:r>
      <w:r>
        <w:rPr>
          <w:rFonts w:hint="eastAsia" w:asciiTheme="minorEastAsia" w:hAnsiTheme="minorEastAsia" w:eastAsiaTheme="minorEastAsia" w:cstheme="minorEastAsia"/>
          <w:kern w:val="0"/>
          <w:sz w:val="21"/>
          <w:szCs w:val="21"/>
          <w:lang w:eastAsia="zh-CN"/>
        </w:rPr>
        <w:t>服务期</w:t>
      </w:r>
      <w:r>
        <w:rPr>
          <w:rFonts w:hint="eastAsia" w:asciiTheme="minorEastAsia" w:hAnsiTheme="minorEastAsia" w:eastAsiaTheme="minorEastAsia" w:cstheme="minorEastAsia"/>
          <w:kern w:val="0"/>
          <w:sz w:val="21"/>
          <w:szCs w:val="21"/>
        </w:rPr>
        <w:t>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lang w:eastAsia="zh-CN"/>
        </w:rPr>
        <w:t>服务完成时间</w:t>
      </w:r>
      <w:r>
        <w:rPr>
          <w:rFonts w:hint="eastAsia" w:asciiTheme="minorEastAsia" w:hAnsiTheme="minorEastAsia" w:eastAsiaTheme="minorEastAsia" w:cstheme="minorEastAsia"/>
          <w:b/>
          <w:kern w:val="0"/>
          <w:szCs w:val="21"/>
        </w:rPr>
        <w:t>和</w:t>
      </w:r>
      <w:r>
        <w:rPr>
          <w:rFonts w:hint="eastAsia" w:asciiTheme="minorEastAsia" w:hAnsiTheme="minorEastAsia" w:eastAsiaTheme="minorEastAsia" w:cstheme="minorEastAsia"/>
          <w:b/>
          <w:kern w:val="0"/>
          <w:szCs w:val="21"/>
          <w:lang w:eastAsia="zh-CN"/>
        </w:rPr>
        <w:t>服务</w:t>
      </w:r>
      <w:r>
        <w:rPr>
          <w:rFonts w:hint="eastAsia" w:asciiTheme="minorEastAsia" w:hAnsiTheme="minorEastAsia" w:eastAsiaTheme="minorEastAsia" w:cstheme="minorEastAsia"/>
          <w:b/>
          <w:kern w:val="0"/>
          <w:szCs w:val="21"/>
        </w:rPr>
        <w:t>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(交服务地点） </w:t>
      </w:r>
      <w:r>
        <w:rPr>
          <w:rFonts w:hint="eastAsia" w:asciiTheme="minorEastAsia" w:hAnsiTheme="minorEastAsia" w:eastAsiaTheme="minorEastAsia" w:cstheme="minorEastAsia"/>
          <w:kern w:val="0"/>
          <w:szCs w:val="21"/>
        </w:rPr>
        <w:t>在竞争性磋商采购文件中有明确规定。</w:t>
      </w:r>
      <w:bookmarkStart w:id="229" w:name="_GoBack"/>
      <w:bookmarkEnd w:id="229"/>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Cs w:val="21"/>
        </w:rPr>
        <w:t>合同签订地址：</w:t>
      </w:r>
      <w:r>
        <w:rPr>
          <w:rFonts w:hint="eastAsia" w:asciiTheme="minorEastAsia" w:hAnsiTheme="minorEastAsia" w:eastAsiaTheme="minorEastAsia" w:cstheme="minorEastAsia"/>
          <w:sz w:val="36"/>
          <w:szCs w:val="36"/>
        </w:rPr>
        <w:br w:type="page"/>
      </w:r>
    </w:p>
    <w:p>
      <w:pPr>
        <w:pStyle w:val="3"/>
        <w:jc w:val="center"/>
        <w:rPr>
          <w:rFonts w:asciiTheme="minorEastAsia" w:hAnsiTheme="minorEastAsia" w:eastAsiaTheme="minorEastAsia" w:cstheme="minorEastAsia"/>
          <w:sz w:val="36"/>
          <w:szCs w:val="36"/>
        </w:rPr>
      </w:pPr>
      <w:bookmarkStart w:id="113" w:name="_Toc32322"/>
      <w:r>
        <w:rPr>
          <w:rFonts w:hint="eastAsia" w:asciiTheme="minorEastAsia" w:hAnsiTheme="minorEastAsia" w:eastAsiaTheme="minorEastAsia" w:cstheme="minorEastAsia"/>
          <w:sz w:val="36"/>
          <w:szCs w:val="36"/>
        </w:rPr>
        <w:t>第六章竞争性磋商响应文件格式</w:t>
      </w:r>
      <w:bookmarkEnd w:id="113"/>
    </w:p>
    <w:p>
      <w:pPr>
        <w:autoSpaceDE w:val="0"/>
        <w:autoSpaceDN w:val="0"/>
        <w:adjustRightInd w:val="0"/>
        <w:rPr>
          <w:rFonts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asciiTheme="minorEastAsia" w:hAnsiTheme="minorEastAsia" w:eastAsiaTheme="minorEastAsia" w:cstheme="minorEastAsia"/>
        </w:rPr>
      </w:pPr>
    </w:p>
    <w:p>
      <w:pPr>
        <w:autoSpaceDE w:val="0"/>
        <w:autoSpaceDN w:val="0"/>
        <w:adjustRightInd w:val="0"/>
        <w:rPr>
          <w:rFonts w:asciiTheme="minorEastAsia" w:hAnsiTheme="minorEastAsia" w:eastAsiaTheme="minorEastAsia" w:cstheme="minorEastAsia"/>
        </w:rPr>
      </w:pPr>
    </w:p>
    <w:p>
      <w:pPr>
        <w:autoSpaceDE w:val="0"/>
        <w:autoSpaceDN w:val="0"/>
        <w:adjustRightInd w:val="0"/>
        <w:jc w:val="center"/>
        <w:rPr>
          <w:rFonts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响应文件</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项目编号：</w:t>
      </w:r>
    </w:p>
    <w:p>
      <w:pPr>
        <w:tabs>
          <w:tab w:val="left" w:pos="7230"/>
        </w:tabs>
        <w:ind w:firstLine="1190" w:firstLineChars="395"/>
        <w:rPr>
          <w:rFonts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p>
    <w:p>
      <w:pPr>
        <w:autoSpaceDE w:val="0"/>
        <w:autoSpaceDN w:val="0"/>
        <w:adjustRightInd w:val="0"/>
        <w:ind w:firstLine="1190" w:firstLineChars="395"/>
        <w:rPr>
          <w:rFonts w:asciiTheme="minorEastAsia" w:hAnsiTheme="minorEastAsia" w:eastAsiaTheme="minorEastAsia" w:cstheme="minorEastAsia"/>
          <w:b/>
          <w:bCs/>
          <w:sz w:val="30"/>
          <w:szCs w:val="30"/>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rPr>
          <w:rFonts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bookmarkStart w:id="114" w:name="_Toc5751"/>
      <w:bookmarkStart w:id="115" w:name="_Toc23858"/>
    </w:p>
    <w:p>
      <w:pPr>
        <w:autoSpaceDE w:val="0"/>
        <w:autoSpaceDN w:val="0"/>
        <w:adjustRightInd w:val="0"/>
        <w:spacing w:line="360" w:lineRule="auto"/>
        <w:ind w:firstLine="1260" w:firstLineChars="4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日期：年月日</w:t>
      </w:r>
    </w:p>
    <w:bookmarkEnd w:id="114"/>
    <w:bookmarkEnd w:id="115"/>
    <w:p>
      <w:pPr>
        <w:autoSpaceDE w:val="0"/>
        <w:autoSpaceDN w:val="0"/>
        <w:adjustRightInd w:val="0"/>
        <w:spacing w:line="360" w:lineRule="auto"/>
        <w:jc w:val="center"/>
        <w:rPr>
          <w:rFonts w:asciiTheme="minorEastAsia" w:hAnsiTheme="minorEastAsia" w:eastAsiaTheme="minorEastAsia" w:cstheme="minorEastAsia"/>
          <w:b/>
          <w:bCs/>
          <w:sz w:val="24"/>
        </w:rPr>
      </w:pPr>
      <w:bookmarkStart w:id="116" w:name="_Toc264644272"/>
      <w:bookmarkStart w:id="117" w:name="_Toc360174584"/>
      <w:bookmarkStart w:id="118" w:name="_Toc533330957"/>
      <w:bookmarkStart w:id="119" w:name="_Toc211783342"/>
      <w:bookmarkStart w:id="120" w:name="_Toc11320441"/>
      <w:bookmarkStart w:id="121" w:name="_Toc533331084"/>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16"/>
      <w:bookmarkEnd w:id="117"/>
    </w:p>
    <w:p>
      <w:pPr>
        <w:autoSpaceDE w:val="0"/>
        <w:autoSpaceDN w:val="0"/>
        <w:adjustRightInd w:val="0"/>
        <w:rPr>
          <w:rFonts w:asciiTheme="minorEastAsia" w:hAnsiTheme="minorEastAsia" w:eastAsiaTheme="minorEastAsia" w:cstheme="minorEastAsia"/>
          <w:b/>
          <w:bCs/>
          <w:szCs w:val="21"/>
        </w:rPr>
      </w:pPr>
    </w:p>
    <w:p>
      <w:pPr>
        <w:autoSpaceDE w:val="0"/>
        <w:autoSpaceDN w:val="0"/>
        <w:adjustRightInd w:val="0"/>
        <w:spacing w:line="360" w:lineRule="auto"/>
        <w:rPr>
          <w:rFonts w:ascii="宋体" w:hAnsi="宋体" w:cs="宋体"/>
          <w:b/>
          <w:szCs w:val="21"/>
        </w:rPr>
      </w:pPr>
      <w:r>
        <w:rPr>
          <w:rFonts w:hint="eastAsia" w:ascii="宋体" w:hAnsi="宋体" w:cs="宋体"/>
          <w:b/>
          <w:szCs w:val="21"/>
        </w:rPr>
        <w:t>注：响应文件目录及内容每页须顺序编写页码。</w:t>
      </w:r>
    </w:p>
    <w:p>
      <w:pPr>
        <w:autoSpaceDE w:val="0"/>
        <w:autoSpaceDN w:val="0"/>
        <w:adjustRightInd w:val="0"/>
        <w:spacing w:line="360" w:lineRule="auto"/>
        <w:jc w:val="center"/>
        <w:outlineLvl w:val="1"/>
        <w:rPr>
          <w:rFonts w:ascii="宋体" w:hAnsi="宋体" w:cs="宋体"/>
          <w:b/>
          <w:szCs w:val="21"/>
        </w:rPr>
      </w:pPr>
      <w:bookmarkStart w:id="122" w:name="_Toc7729"/>
      <w:r>
        <w:rPr>
          <w:rFonts w:hint="eastAsia" w:ascii="宋体" w:hAnsi="宋体" w:cs="宋体"/>
          <w:b/>
          <w:szCs w:val="21"/>
        </w:rPr>
        <w:br w:type="textWrapping"/>
      </w:r>
      <w:r>
        <w:rPr>
          <w:rFonts w:hint="eastAsia" w:ascii="宋体" w:hAnsi="宋体" w:cs="宋体"/>
          <w:b/>
          <w:szCs w:val="21"/>
        </w:rPr>
        <w:t>一、评分标准索引表</w:t>
      </w:r>
      <w:bookmarkEnd w:id="122"/>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类别</w:t>
            </w:r>
          </w:p>
        </w:tc>
        <w:tc>
          <w:tcPr>
            <w:tcW w:w="1285"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评审因素</w:t>
            </w:r>
          </w:p>
        </w:tc>
        <w:tc>
          <w:tcPr>
            <w:tcW w:w="5358" w:type="dxa"/>
            <w:tcBorders>
              <w:top w:val="single" w:color="auto" w:sz="12" w:space="0"/>
            </w:tcBorders>
            <w:vAlign w:val="center"/>
          </w:tcPr>
          <w:p>
            <w:pPr>
              <w:spacing w:line="360" w:lineRule="auto"/>
              <w:jc w:val="center"/>
              <w:rPr>
                <w:rFonts w:ascii="宋体" w:hAnsi="宋体" w:cs="宋体"/>
                <w:b/>
                <w:bCs/>
                <w:spacing w:val="-6"/>
                <w:szCs w:val="21"/>
              </w:rPr>
            </w:pPr>
            <w:r>
              <w:rPr>
                <w:rFonts w:hint="eastAsia" w:ascii="宋体" w:hAnsi="宋体" w:cs="宋体"/>
                <w:b/>
                <w:bCs/>
                <w:szCs w:val="21"/>
              </w:rPr>
              <w:t>评审标准</w:t>
            </w:r>
          </w:p>
        </w:tc>
        <w:tc>
          <w:tcPr>
            <w:tcW w:w="825" w:type="dxa"/>
            <w:tcBorders>
              <w:top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分值</w:t>
            </w:r>
          </w:p>
        </w:tc>
        <w:tc>
          <w:tcPr>
            <w:tcW w:w="1133" w:type="dxa"/>
            <w:tcBorders>
              <w:top w:val="single" w:color="auto" w:sz="12" w:space="0"/>
            </w:tcBorders>
            <w:vAlign w:val="center"/>
          </w:tcPr>
          <w:p>
            <w:pPr>
              <w:spacing w:line="360" w:lineRule="auto"/>
              <w:jc w:val="center"/>
              <w:rPr>
                <w:rFonts w:ascii="宋体" w:hAnsi="宋体" w:cs="宋体"/>
                <w:b/>
                <w:bCs/>
                <w:szCs w:val="21"/>
              </w:rPr>
            </w:pPr>
            <w:r>
              <w:rPr>
                <w:rFonts w:hint="eastAsia" w:ascii="宋体" w:hAnsi="宋体" w:cs="宋体"/>
                <w:b/>
                <w:bCs/>
                <w:szCs w:val="21"/>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360" w:lineRule="auto"/>
              <w:jc w:val="center"/>
              <w:textAlignment w:val="center"/>
              <w:rPr>
                <w:rFonts w:ascii="宋体" w:hAnsi="宋体" w:cs="宋体"/>
                <w:spacing w:val="-6"/>
                <w:szCs w:val="21"/>
              </w:rPr>
            </w:pPr>
          </w:p>
        </w:tc>
        <w:tc>
          <w:tcPr>
            <w:tcW w:w="1285" w:type="dxa"/>
            <w:vAlign w:val="center"/>
          </w:tcPr>
          <w:p>
            <w:pPr>
              <w:widowControl/>
              <w:spacing w:line="360" w:lineRule="auto"/>
              <w:jc w:val="center"/>
              <w:textAlignment w:val="center"/>
              <w:rPr>
                <w:rFonts w:ascii="宋体" w:hAnsi="宋体" w:cs="宋体"/>
                <w:spacing w:val="-6"/>
                <w:szCs w:val="21"/>
              </w:rPr>
            </w:pPr>
          </w:p>
        </w:tc>
        <w:tc>
          <w:tcPr>
            <w:tcW w:w="5358" w:type="dxa"/>
            <w:vAlign w:val="center"/>
          </w:tcPr>
          <w:p>
            <w:pPr>
              <w:widowControl/>
              <w:spacing w:line="360" w:lineRule="auto"/>
              <w:jc w:val="left"/>
              <w:textAlignment w:val="center"/>
              <w:rPr>
                <w:rFonts w:ascii="宋体" w:hAnsi="宋体" w:cs="宋体"/>
                <w:szCs w:val="21"/>
              </w:rPr>
            </w:pPr>
          </w:p>
        </w:tc>
        <w:tc>
          <w:tcPr>
            <w:tcW w:w="825" w:type="dxa"/>
            <w:vAlign w:val="center"/>
          </w:tcPr>
          <w:p>
            <w:pPr>
              <w:widowControl/>
              <w:spacing w:line="360" w:lineRule="auto"/>
              <w:jc w:val="center"/>
              <w:textAlignment w:val="center"/>
              <w:rPr>
                <w:rFonts w:ascii="宋体" w:hAnsi="宋体" w:cs="宋体"/>
                <w:szCs w:val="21"/>
              </w:rPr>
            </w:pPr>
          </w:p>
        </w:tc>
        <w:tc>
          <w:tcPr>
            <w:tcW w:w="1133" w:type="dxa"/>
            <w:vAlign w:val="center"/>
          </w:tcPr>
          <w:p>
            <w:pPr>
              <w:widowControl/>
              <w:spacing w:line="360" w:lineRule="auto"/>
              <w:jc w:val="center"/>
              <w:textAlignment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spacing w:val="-6"/>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autoSpaceDE w:val="0"/>
              <w:autoSpaceDN w:val="0"/>
              <w:adjustRightInd w:val="0"/>
              <w:spacing w:line="360" w:lineRule="auto"/>
              <w:ind w:right="71" w:rightChars="34"/>
              <w:rPr>
                <w:rFonts w:ascii="宋体" w:hAnsi="宋体" w:cs="宋体"/>
                <w:spacing w:val="-6"/>
                <w:szCs w:val="21"/>
              </w:rPr>
            </w:pPr>
          </w:p>
        </w:tc>
        <w:tc>
          <w:tcPr>
            <w:tcW w:w="825" w:type="dxa"/>
            <w:vAlign w:val="center"/>
          </w:tcPr>
          <w:p>
            <w:pPr>
              <w:autoSpaceDE w:val="0"/>
              <w:autoSpaceDN w:val="0"/>
              <w:adjustRightInd w:val="0"/>
              <w:spacing w:line="360" w:lineRule="auto"/>
              <w:ind w:right="71" w:rightChars="34"/>
              <w:rPr>
                <w:rFonts w:ascii="宋体" w:hAnsi="宋体" w:cs="宋体"/>
                <w:spacing w:val="-6"/>
                <w:szCs w:val="21"/>
              </w:rPr>
            </w:pPr>
          </w:p>
        </w:tc>
        <w:tc>
          <w:tcPr>
            <w:tcW w:w="1133" w:type="dxa"/>
            <w:vAlign w:val="center"/>
          </w:tcPr>
          <w:p>
            <w:pPr>
              <w:autoSpaceDE w:val="0"/>
              <w:autoSpaceDN w:val="0"/>
              <w:adjustRightInd w:val="0"/>
              <w:spacing w:line="360" w:lineRule="auto"/>
              <w:ind w:right="71" w:rightChars="34"/>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bottom w:val="single" w:color="auto" w:sz="4" w:space="0"/>
            </w:tcBorders>
            <w:vAlign w:val="center"/>
          </w:tcPr>
          <w:p>
            <w:pPr>
              <w:spacing w:line="360" w:lineRule="auto"/>
              <w:rPr>
                <w:rFonts w:ascii="宋体" w:hAnsi="宋体" w:cs="宋体"/>
                <w:spacing w:val="-6"/>
                <w:kern w:val="0"/>
                <w:szCs w:val="21"/>
              </w:rPr>
            </w:pPr>
          </w:p>
        </w:tc>
        <w:tc>
          <w:tcPr>
            <w:tcW w:w="5358"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bottom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tcBorders>
              <w:top w:val="single" w:color="auto" w:sz="4" w:space="0"/>
            </w:tcBorders>
            <w:vAlign w:val="center"/>
          </w:tcPr>
          <w:p>
            <w:pPr>
              <w:spacing w:line="360" w:lineRule="auto"/>
              <w:rPr>
                <w:rFonts w:ascii="宋体" w:hAnsi="宋体" w:cs="宋体"/>
                <w:spacing w:val="-6"/>
                <w:kern w:val="0"/>
                <w:szCs w:val="21"/>
              </w:rPr>
            </w:pPr>
          </w:p>
        </w:tc>
        <w:tc>
          <w:tcPr>
            <w:tcW w:w="5358"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825"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c>
          <w:tcPr>
            <w:tcW w:w="1133" w:type="dxa"/>
            <w:tcBorders>
              <w:top w:val="single" w:color="auto" w:sz="4" w:space="0"/>
            </w:tcBorders>
            <w:vAlign w:val="center"/>
          </w:tcPr>
          <w:p>
            <w:pPr>
              <w:autoSpaceDE w:val="0"/>
              <w:autoSpaceDN w:val="0"/>
              <w:adjustRightInd w:val="0"/>
              <w:spacing w:line="360" w:lineRule="auto"/>
              <w:ind w:right="71" w:rightChars="34"/>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spacing w:val="-6"/>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ind w:left="-4" w:leftChars="-2" w:firstLine="2" w:firstLineChars="1"/>
              <w:rPr>
                <w:rFonts w:ascii="宋体" w:hAnsi="宋体" w:cs="宋体"/>
                <w:szCs w:val="21"/>
              </w:rPr>
            </w:pPr>
          </w:p>
        </w:tc>
        <w:tc>
          <w:tcPr>
            <w:tcW w:w="1285" w:type="dxa"/>
            <w:vAlign w:val="center"/>
          </w:tcPr>
          <w:p>
            <w:pPr>
              <w:spacing w:line="360" w:lineRule="auto"/>
              <w:ind w:left="-4" w:leftChars="-2" w:firstLine="2" w:firstLineChars="1"/>
              <w:rPr>
                <w:rFonts w:ascii="宋体" w:hAnsi="宋体" w:cs="宋体"/>
                <w:szCs w:val="21"/>
              </w:rPr>
            </w:pPr>
          </w:p>
        </w:tc>
        <w:tc>
          <w:tcPr>
            <w:tcW w:w="5358" w:type="dxa"/>
            <w:vAlign w:val="center"/>
          </w:tcPr>
          <w:p>
            <w:pPr>
              <w:spacing w:line="360" w:lineRule="auto"/>
              <w:ind w:left="-4" w:leftChars="-2" w:firstLine="2" w:firstLineChars="1"/>
              <w:rPr>
                <w:rFonts w:ascii="宋体" w:hAnsi="宋体" w:cs="宋体"/>
                <w:szCs w:val="21"/>
              </w:rPr>
            </w:pPr>
          </w:p>
        </w:tc>
        <w:tc>
          <w:tcPr>
            <w:tcW w:w="825" w:type="dxa"/>
            <w:vAlign w:val="center"/>
          </w:tcPr>
          <w:p>
            <w:pPr>
              <w:spacing w:line="360" w:lineRule="auto"/>
              <w:ind w:left="-4" w:leftChars="-2" w:firstLine="2" w:firstLineChars="1"/>
              <w:rPr>
                <w:rFonts w:ascii="宋体" w:hAnsi="宋体" w:cs="宋体"/>
                <w:szCs w:val="21"/>
              </w:rPr>
            </w:pPr>
          </w:p>
        </w:tc>
        <w:tc>
          <w:tcPr>
            <w:tcW w:w="1133" w:type="dxa"/>
            <w:vAlign w:val="center"/>
          </w:tcPr>
          <w:p>
            <w:pPr>
              <w:spacing w:line="360" w:lineRule="auto"/>
              <w:ind w:left="-4" w:leftChars="-2" w:firstLine="2" w:firstLineChars="1"/>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kern w:val="0"/>
                <w:szCs w:val="21"/>
              </w:rPr>
            </w:pPr>
          </w:p>
        </w:tc>
        <w:tc>
          <w:tcPr>
            <w:tcW w:w="5358" w:type="dxa"/>
            <w:vAlign w:val="center"/>
          </w:tcPr>
          <w:p>
            <w:pPr>
              <w:autoSpaceDE w:val="0"/>
              <w:autoSpaceDN w:val="0"/>
              <w:adjustRightInd w:val="0"/>
              <w:spacing w:line="360" w:lineRule="auto"/>
              <w:rPr>
                <w:rFonts w:ascii="宋体" w:hAnsi="宋体" w:cs="宋体"/>
                <w:spacing w:val="-6"/>
                <w:kern w:val="0"/>
                <w:szCs w:val="21"/>
              </w:rPr>
            </w:pPr>
          </w:p>
        </w:tc>
        <w:tc>
          <w:tcPr>
            <w:tcW w:w="825" w:type="dxa"/>
            <w:vAlign w:val="center"/>
          </w:tcPr>
          <w:p>
            <w:pPr>
              <w:autoSpaceDE w:val="0"/>
              <w:autoSpaceDN w:val="0"/>
              <w:adjustRightInd w:val="0"/>
              <w:spacing w:line="360" w:lineRule="auto"/>
              <w:rPr>
                <w:rFonts w:ascii="宋体" w:hAnsi="宋体" w:cs="宋体"/>
                <w:spacing w:val="-6"/>
                <w:kern w:val="0"/>
                <w:szCs w:val="21"/>
              </w:rPr>
            </w:pPr>
          </w:p>
        </w:tc>
        <w:tc>
          <w:tcPr>
            <w:tcW w:w="1133" w:type="dxa"/>
            <w:vAlign w:val="center"/>
          </w:tcPr>
          <w:p>
            <w:pPr>
              <w:autoSpaceDE w:val="0"/>
              <w:autoSpaceDN w:val="0"/>
              <w:adjustRightInd w:val="0"/>
              <w:spacing w:line="360" w:lineRule="auto"/>
              <w:rPr>
                <w:rFonts w:ascii="宋体" w:hAnsi="宋体" w:cs="宋体"/>
                <w:spacing w:val="-6"/>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ind w:left="-4" w:leftChars="-2" w:firstLine="1" w:firstLineChars="1"/>
              <w:rPr>
                <w:rFonts w:ascii="宋体" w:hAnsi="宋体" w:cs="宋体"/>
                <w:spacing w:val="-6"/>
                <w:szCs w:val="21"/>
              </w:rPr>
            </w:pPr>
          </w:p>
        </w:tc>
        <w:tc>
          <w:tcPr>
            <w:tcW w:w="825" w:type="dxa"/>
            <w:vAlign w:val="center"/>
          </w:tcPr>
          <w:p>
            <w:pPr>
              <w:spacing w:line="360" w:lineRule="auto"/>
              <w:ind w:left="-4" w:leftChars="-2" w:firstLine="1" w:firstLineChars="1"/>
              <w:rPr>
                <w:rFonts w:ascii="宋体" w:hAnsi="宋体" w:cs="宋体"/>
                <w:spacing w:val="-6"/>
                <w:szCs w:val="21"/>
              </w:rPr>
            </w:pPr>
          </w:p>
        </w:tc>
        <w:tc>
          <w:tcPr>
            <w:tcW w:w="1133" w:type="dxa"/>
            <w:vAlign w:val="center"/>
          </w:tcPr>
          <w:p>
            <w:pPr>
              <w:spacing w:line="360" w:lineRule="auto"/>
              <w:ind w:left="-4" w:leftChars="-2" w:firstLine="1" w:firstLineChars="1"/>
              <w:rPr>
                <w:rFonts w:ascii="宋体" w:hAnsi="宋体" w:cs="宋体"/>
                <w:spacing w:val="-6"/>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szCs w:val="21"/>
              </w:rPr>
            </w:pPr>
          </w:p>
        </w:tc>
        <w:tc>
          <w:tcPr>
            <w:tcW w:w="1285" w:type="dxa"/>
            <w:vAlign w:val="center"/>
          </w:tcPr>
          <w:p>
            <w:pPr>
              <w:spacing w:line="360" w:lineRule="auto"/>
              <w:rPr>
                <w:rFonts w:ascii="宋体" w:hAnsi="宋体" w:cs="宋体"/>
                <w:spacing w:val="-6"/>
                <w:szCs w:val="21"/>
              </w:rPr>
            </w:pPr>
          </w:p>
        </w:tc>
        <w:tc>
          <w:tcPr>
            <w:tcW w:w="5358" w:type="dxa"/>
            <w:vAlign w:val="center"/>
          </w:tcPr>
          <w:p>
            <w:pPr>
              <w:spacing w:line="360" w:lineRule="auto"/>
              <w:rPr>
                <w:rFonts w:ascii="宋体" w:hAnsi="宋体" w:cs="宋体"/>
                <w:spacing w:val="-6"/>
                <w:szCs w:val="21"/>
              </w:rPr>
            </w:pPr>
          </w:p>
        </w:tc>
        <w:tc>
          <w:tcPr>
            <w:tcW w:w="825" w:type="dxa"/>
            <w:vAlign w:val="center"/>
          </w:tcPr>
          <w:p>
            <w:pPr>
              <w:spacing w:line="360" w:lineRule="auto"/>
              <w:rPr>
                <w:rFonts w:ascii="宋体" w:hAnsi="宋体" w:cs="宋体"/>
                <w:spacing w:val="-6"/>
                <w:szCs w:val="21"/>
              </w:rPr>
            </w:pPr>
          </w:p>
        </w:tc>
        <w:tc>
          <w:tcPr>
            <w:tcW w:w="1133" w:type="dxa"/>
            <w:vAlign w:val="center"/>
          </w:tcPr>
          <w:p>
            <w:pPr>
              <w:spacing w:line="360" w:lineRule="auto"/>
              <w:rPr>
                <w:rFonts w:ascii="宋体" w:hAnsi="宋体" w:cs="宋体"/>
                <w:spacing w:val="-6"/>
                <w:szCs w:val="21"/>
              </w:rPr>
            </w:pPr>
          </w:p>
        </w:tc>
      </w:tr>
    </w:tbl>
    <w:p>
      <w:pPr>
        <w:autoSpaceDE w:val="0"/>
        <w:autoSpaceDN w:val="0"/>
        <w:adjustRightInd w:val="0"/>
        <w:spacing w:line="480" w:lineRule="auto"/>
        <w:rPr>
          <w:rFonts w:asciiTheme="minorEastAsia" w:hAnsiTheme="minorEastAsia" w:eastAsiaTheme="minorEastAsia" w:cstheme="minorEastAsia"/>
          <w:b/>
        </w:rPr>
      </w:pPr>
    </w:p>
    <w:p>
      <w:pPr>
        <w:adjustRightInd w:val="0"/>
        <w:snapToGrid w:val="0"/>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
        </w:rPr>
        <w:br w:type="textWrapping"/>
      </w:r>
    </w:p>
    <w:p>
      <w:pPr>
        <w:adjustRightInd w:val="0"/>
        <w:snapToGrid w:val="0"/>
        <w:spacing w:line="480" w:lineRule="auto"/>
        <w:jc w:val="center"/>
        <w:outlineLvl w:val="1"/>
        <w:rPr>
          <w:rFonts w:asciiTheme="minorEastAsia" w:hAnsiTheme="minorEastAsia" w:eastAsiaTheme="minorEastAsia" w:cstheme="minorEastAsia"/>
          <w:b/>
        </w:rPr>
      </w:pPr>
      <w:bookmarkStart w:id="123" w:name="_Toc8110"/>
      <w:bookmarkStart w:id="124" w:name="_Toc479184125"/>
      <w:bookmarkStart w:id="125" w:name="_Toc30144"/>
      <w:bookmarkStart w:id="126" w:name="_Toc15789"/>
      <w:r>
        <w:rPr>
          <w:rFonts w:hint="eastAsia" w:asciiTheme="minorEastAsia" w:hAnsiTheme="minorEastAsia" w:eastAsiaTheme="minorEastAsia" w:cstheme="minorEastAsia"/>
          <w:b/>
        </w:rPr>
        <w:t>二、磋商书</w:t>
      </w:r>
      <w:bookmarkEnd w:id="123"/>
      <w:bookmarkEnd w:id="124"/>
      <w:bookmarkEnd w:id="125"/>
      <w:bookmarkEnd w:id="126"/>
    </w:p>
    <w:p>
      <w:pPr>
        <w:pStyle w:val="20"/>
        <w:rPr>
          <w:rFonts w:asciiTheme="minorEastAsia" w:hAnsiTheme="minorEastAsia" w:eastAsiaTheme="minorEastAsia" w:cstheme="minorEastAsia"/>
          <w:b/>
          <w:szCs w:val="21"/>
        </w:rPr>
      </w:pPr>
    </w:p>
    <w:p>
      <w:pPr>
        <w:autoSpaceDE w:val="0"/>
        <w:autoSpaceDN w:val="0"/>
        <w:adjustRightInd w:val="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依据贵方（项目名称/项目编号）项目第包服务的磋商邀请，我方代表（姓名、职务）经正式授权并代表供应商（供应商的名称、地址）提交下述文件正本一份，副本份。</w:t>
      </w:r>
    </w:p>
    <w:p>
      <w:pPr>
        <w:numPr>
          <w:ilvl w:val="1"/>
          <w:numId w:val="40"/>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40"/>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40"/>
        </w:numPr>
        <w:tabs>
          <w:tab w:val="left" w:pos="840"/>
          <w:tab w:val="clear" w:pos="360"/>
        </w:tabs>
        <w:autoSpaceDE w:val="0"/>
        <w:autoSpaceDN w:val="0"/>
        <w:adjustRightInd w:val="0"/>
        <w:ind w:left="840" w:hanging="42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按采购的规定递交元（人民币大写）的保证金（如有）。</w:t>
      </w:r>
    </w:p>
    <w:p>
      <w:pPr>
        <w:autoSpaceDE w:val="0"/>
        <w:autoSpaceDN w:val="0"/>
        <w:adjustRightInd w:val="0"/>
        <w:ind w:firstLine="422" w:firstLineChars="2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1"/>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1"/>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1"/>
        </w:numPr>
        <w:tabs>
          <w:tab w:val="left" w:pos="840"/>
        </w:tabs>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1"/>
        </w:numPr>
        <w:tabs>
          <w:tab w:val="left" w:pos="840"/>
        </w:tabs>
        <w:autoSpaceDE w:val="0"/>
        <w:autoSpaceDN w:val="0"/>
        <w:adjustRightInd w:val="0"/>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重要声明：</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rPr>
        <w:t>与我方单位负责人为同一人的其他单位名称：□无；□有，具体单位名称为：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4.2与我方存在控股、管理关系的其他单位的名称：□无；□有，具体单位名称为：</w:t>
      </w:r>
      <w:r>
        <w:rPr>
          <w:rFonts w:hint="eastAsia" w:asciiTheme="minorEastAsia" w:hAnsiTheme="minorEastAsia" w:eastAsiaTheme="minorEastAsia" w:cstheme="minorEastAsia"/>
          <w:u w:val="single"/>
        </w:rPr>
        <w:t>     </w:t>
      </w:r>
    </w:p>
    <w:p>
      <w:pPr>
        <w:tabs>
          <w:tab w:val="left" w:pos="840"/>
        </w:tabs>
        <w:autoSpaceDE w:val="0"/>
        <w:autoSpaceDN w:val="0"/>
        <w:adjustRightInd w:val="0"/>
        <w:ind w:left="420" w:leftChars="200"/>
        <w:rPr>
          <w:rFonts w:asciiTheme="minorEastAsia" w:hAnsiTheme="minorEastAsia" w:eastAsiaTheme="minorEastAsia" w:cstheme="minorEastAsia"/>
        </w:rPr>
      </w:pPr>
      <w:r>
        <w:rPr>
          <w:rFonts w:hint="eastAsia" w:asciiTheme="minorEastAsia" w:hAnsiTheme="minorEastAsia" w:eastAsiaTheme="minorEastAsia" w:cstheme="minorEastAsia"/>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u w:val="single"/>
        </w:rPr>
        <w:t>     </w:t>
      </w:r>
    </w:p>
    <w:p>
      <w:r>
        <w:rPr>
          <w:rFonts w:hint="eastAsia" w:asciiTheme="minorEastAsia" w:hAnsiTheme="minorEastAsia" w:eastAsiaTheme="minorEastAsia" w:cstheme="minorEastAsia"/>
          <w:b/>
          <w:bCs/>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本竞争性磋商响应文件的有效期自磋商截止时间起共日历天。</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2"/>
        </w:numPr>
        <w:tabs>
          <w:tab w:val="left" w:pos="840"/>
        </w:tabs>
        <w:autoSpaceDE w:val="0"/>
        <w:autoSpaceDN w:val="0"/>
        <w:adjustRightInd w:val="0"/>
        <w:ind w:left="0"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p>
    <w:p>
      <w:pPr>
        <w:autoSpaceDE w:val="0"/>
        <w:autoSpaceDN w:val="0"/>
        <w:adjustRightInd w:val="0"/>
        <w:ind w:firstLine="420" w:firstLineChars="200"/>
        <w:jc w:val="left"/>
        <w:rPr>
          <w:rFonts w:asciiTheme="minorEastAsia" w:hAnsiTheme="minorEastAsia" w:eastAsiaTheme="minorEastAsia" w:cstheme="minorEastAsia"/>
          <w:kern w:val="0"/>
          <w:szCs w:val="21"/>
        </w:rPr>
      </w:pP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通讯地址：</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电话：</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电子函件：</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授权代表（签字）：</w:t>
      </w:r>
    </w:p>
    <w:p>
      <w:pPr>
        <w:autoSpaceDE w:val="0"/>
        <w:autoSpaceDN w:val="0"/>
        <w:adjustRightInd w:val="0"/>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日期：</w:t>
      </w:r>
    </w:p>
    <w:p>
      <w:pPr>
        <w:tabs>
          <w:tab w:val="left" w:pos="540"/>
        </w:tabs>
        <w:autoSpaceDE w:val="0"/>
        <w:autoSpaceDN w:val="0"/>
        <w:adjustRightInd w:val="0"/>
        <w:jc w:val="center"/>
        <w:outlineLvl w:val="1"/>
        <w:rPr>
          <w:rFonts w:asciiTheme="minorEastAsia" w:hAnsiTheme="minorEastAsia" w:eastAsiaTheme="minorEastAsia" w:cstheme="minorEastAsia"/>
          <w:b/>
        </w:rPr>
      </w:pPr>
      <w:bookmarkStart w:id="127" w:name="_Toc479184126"/>
      <w:bookmarkStart w:id="128" w:name="_Toc18700"/>
      <w:bookmarkStart w:id="129" w:name="_Toc13969"/>
      <w:bookmarkStart w:id="130" w:name="_Toc24205"/>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br w:type="textWrapping"/>
      </w:r>
      <w:r>
        <w:rPr>
          <w:rFonts w:hint="eastAsia" w:asciiTheme="minorEastAsia" w:hAnsiTheme="minorEastAsia" w:eastAsiaTheme="minorEastAsia" w:cstheme="minorEastAsia"/>
          <w:b/>
        </w:rPr>
        <w:t>三、法定代表人授权书</w:t>
      </w:r>
      <w:bookmarkEnd w:id="127"/>
      <w:bookmarkEnd w:id="128"/>
      <w:bookmarkEnd w:id="129"/>
      <w:bookmarkEnd w:id="130"/>
    </w:p>
    <w:p>
      <w:pPr>
        <w:rPr>
          <w:rFonts w:asciiTheme="minorEastAsia" w:hAnsiTheme="minorEastAsia" w:eastAsiaTheme="minorEastAsia" w:cstheme="minorEastAsia"/>
          <w:kern w:val="0"/>
          <w:szCs w:val="21"/>
        </w:rPr>
      </w:pPr>
    </w:p>
    <w:p>
      <w:pPr>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采购活动的供应商代表人（磋商代表），全权代表我公司处理在该项目采购活动中的一切事宜。代理期限从年月日起至年月日止。</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授权单位（盖章）：</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签发日期：年月日</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授权代表职务：</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p>
    <w:p>
      <w:pPr>
        <w:autoSpaceDE w:val="0"/>
        <w:autoSpaceDN w:val="0"/>
        <w:adjustRightInd w:val="0"/>
        <w:spacing w:line="360" w:lineRule="auto"/>
        <w:ind w:firstLine="697"/>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授权代表身份证号码：</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pPr>
            <w:r>
              <w:rPr>
                <w:rFonts w:hint="eastAsia"/>
              </w:rPr>
              <w:t>授权代表身份证正反面（真彩扫描件）：</w:t>
            </w:r>
          </w:p>
          <w:p>
            <w:pPr>
              <w:autoSpaceDE w:val="0"/>
              <w:autoSpaceDN w:val="0"/>
              <w:adjustRightInd w:val="0"/>
              <w:spacing w:line="360" w:lineRule="auto"/>
              <w:jc w:val="left"/>
            </w:pPr>
            <w:r>
              <w:rPr>
                <w:rFonts w:hint="eastAsia"/>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rPr>
          <w:rFonts w:asciiTheme="minorEastAsia" w:hAnsiTheme="minorEastAsia" w:eastAsiaTheme="minorEastAsia" w:cstheme="minorEastAsia"/>
          <w:b/>
          <w:bCs/>
          <w:kern w:val="0"/>
          <w:szCs w:val="21"/>
        </w:rPr>
      </w:pPr>
      <w:bookmarkStart w:id="131" w:name="_Toc424832832"/>
      <w:bookmarkStart w:id="132" w:name="_Toc30245"/>
      <w:bookmarkStart w:id="133" w:name="_Toc12123"/>
      <w:bookmarkStart w:id="134" w:name="_Toc29904"/>
      <w:bookmarkStart w:id="135" w:name="_Toc432149008"/>
      <w:bookmarkStart w:id="136" w:name="_Toc3679"/>
      <w:bookmarkStart w:id="137" w:name="_Toc360120184"/>
      <w:bookmarkStart w:id="138" w:name="_Toc479184127"/>
      <w:r>
        <w:rPr>
          <w:rFonts w:hint="eastAsia" w:asciiTheme="minorEastAsia" w:hAnsiTheme="minorEastAsia" w:eastAsiaTheme="minorEastAsia" w:cstheme="minorEastAsia"/>
          <w:b/>
          <w:bCs/>
          <w:kern w:val="0"/>
          <w:szCs w:val="21"/>
        </w:rPr>
        <w:br w:type="textWrapping"/>
      </w:r>
      <w:r>
        <w:rPr>
          <w:rFonts w:hint="eastAsia" w:asciiTheme="minorEastAsia" w:hAnsiTheme="minorEastAsia" w:eastAsiaTheme="minorEastAsia" w:cstheme="minorEastAsia"/>
          <w:b/>
          <w:bCs/>
          <w:kern w:val="0"/>
          <w:szCs w:val="21"/>
        </w:rPr>
        <w:br w:type="textWrapping"/>
      </w:r>
    </w:p>
    <w:p>
      <w:pPr>
        <w:rPr>
          <w:rFonts w:asciiTheme="minorEastAsia" w:hAnsiTheme="minorEastAsia" w:eastAsiaTheme="minorEastAsia" w:cstheme="minorEastAsia"/>
          <w:b/>
          <w:bCs/>
          <w:kern w:val="0"/>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kern w:val="0"/>
          <w:szCs w:val="21"/>
        </w:rPr>
        <w:t>四、</w:t>
      </w:r>
      <w:r>
        <w:rPr>
          <w:rFonts w:hint="eastAsia" w:asciiTheme="minorEastAsia" w:hAnsiTheme="minorEastAsia" w:eastAsiaTheme="minorEastAsia" w:cstheme="minorEastAsia"/>
          <w:b/>
          <w:bCs/>
          <w:szCs w:val="21"/>
        </w:rPr>
        <w:t>法定代表人身份证明书</w:t>
      </w:r>
      <w:bookmarkEnd w:id="131"/>
      <w:bookmarkEnd w:id="132"/>
      <w:bookmarkEnd w:id="133"/>
      <w:bookmarkEnd w:id="134"/>
      <w:bookmarkEnd w:id="135"/>
      <w:bookmarkEnd w:id="136"/>
      <w:bookmarkEnd w:id="137"/>
      <w:bookmarkEnd w:id="138"/>
    </w:p>
    <w:p>
      <w:pPr>
        <w:spacing w:line="360" w:lineRule="auto"/>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兹证明（姓名）</w:t>
      </w:r>
      <w:r>
        <w:rPr>
          <w:rFonts w:hint="eastAsia" w:asciiTheme="minorEastAsia" w:hAnsiTheme="minorEastAsia" w:eastAsiaTheme="minorEastAsia" w:cstheme="minorEastAsia"/>
          <w:szCs w:val="21"/>
        </w:rPr>
        <w:t>在我单位任职务</w:t>
      </w:r>
      <w:r>
        <w:rPr>
          <w:rFonts w:hint="eastAsia" w:asciiTheme="minorEastAsia" w:hAnsiTheme="minorEastAsia" w:eastAsiaTheme="minorEastAsia" w:cstheme="minorEastAsia"/>
          <w:kern w:val="0"/>
          <w:szCs w:val="21"/>
        </w:rPr>
        <w:t>，系（供应商）的法定代表人。</w:t>
      </w:r>
    </w:p>
    <w:p>
      <w:pPr>
        <w:spacing w:line="360" w:lineRule="auto"/>
        <w:ind w:firstLine="630" w:firstLineChars="300"/>
        <w:rPr>
          <w:rFonts w:asciiTheme="minorEastAsia" w:hAnsiTheme="minorEastAsia" w:eastAsiaTheme="minorEastAsia" w:cstheme="minorEastAsia"/>
          <w:kern w:val="0"/>
          <w:szCs w:val="21"/>
        </w:rPr>
      </w:pP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性别：年龄：</w:t>
      </w:r>
    </w:p>
    <w:p>
      <w:pPr>
        <w:spacing w:line="360" w:lineRule="auto"/>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p>
    <w:p>
      <w:pPr>
        <w:spacing w:line="360" w:lineRule="auto"/>
        <w:ind w:firstLine="5985" w:firstLineChars="28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年月日</w:t>
      </w: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p>
      <w:pPr>
        <w:autoSpaceDE w:val="0"/>
        <w:autoSpaceDN w:val="0"/>
        <w:adjustRightInd w:val="0"/>
        <w:spacing w:line="360" w:lineRule="auto"/>
        <w:rPr>
          <w:rFonts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kern w:val="0"/>
                <w:szCs w:val="21"/>
              </w:rPr>
            </w:pPr>
          </w:p>
          <w:p>
            <w:pPr>
              <w:spacing w:line="360" w:lineRule="auto"/>
              <w:rPr>
                <w:rFonts w:asciiTheme="minorEastAsia" w:hAnsiTheme="minorEastAsia" w:eastAsiaTheme="minorEastAsia" w:cstheme="minorEastAsia"/>
                <w:kern w:val="0"/>
                <w:szCs w:val="21"/>
              </w:rPr>
            </w:pPr>
            <w:r>
              <w:rPr>
                <w:rFonts w:hint="eastAsia"/>
              </w:rPr>
              <w:t>粘贴法定代表人身份证正反面（真彩扫描件）：</w:t>
            </w:r>
          </w:p>
        </w:tc>
      </w:tr>
    </w:tbl>
    <w:p>
      <w:pPr>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asciiTheme="minorEastAsia" w:hAnsiTheme="minorEastAsia" w:eastAsiaTheme="minorEastAsia" w:cstheme="minorEastAsia"/>
          <w:b/>
          <w:kern w:val="0"/>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Cs/>
          <w:szCs w:val="21"/>
        </w:rPr>
      </w:pPr>
    </w:p>
    <w:p>
      <w:pPr>
        <w:tabs>
          <w:tab w:val="left" w:pos="3969"/>
        </w:tabs>
        <w:spacing w:line="500" w:lineRule="exac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bookmarkStart w:id="139" w:name="_Toc422466732"/>
      <w:bookmarkStart w:id="140" w:name="_Toc432149006"/>
      <w:r>
        <w:rPr>
          <w:rFonts w:hint="eastAsia" w:asciiTheme="minorEastAsia" w:hAnsiTheme="minorEastAsia" w:eastAsiaTheme="minorEastAsia" w:cstheme="minorEastAsia"/>
          <w:b/>
          <w:bCs/>
          <w:sz w:val="24"/>
        </w:rPr>
        <w:br w:type="page"/>
      </w:r>
      <w:bookmarkStart w:id="141" w:name="_Toc4741"/>
      <w:bookmarkStart w:id="142" w:name="_Toc4301"/>
      <w:bookmarkStart w:id="143" w:name="_Toc22862"/>
      <w:bookmarkStart w:id="144" w:name="_Toc479184128"/>
      <w:r>
        <w:rPr>
          <w:rFonts w:hint="eastAsia" w:asciiTheme="minorEastAsia" w:hAnsiTheme="minorEastAsia" w:eastAsiaTheme="minorEastAsia" w:cstheme="minorEastAsia"/>
          <w:b/>
          <w:bCs/>
          <w:szCs w:val="21"/>
        </w:rPr>
        <w:t>五、报价一览表</w:t>
      </w:r>
      <w:bookmarkEnd w:id="139"/>
      <w:bookmarkEnd w:id="140"/>
      <w:bookmarkEnd w:id="141"/>
      <w:bookmarkEnd w:id="142"/>
      <w:bookmarkEnd w:id="143"/>
      <w:bookmarkEnd w:id="144"/>
    </w:p>
    <w:p>
      <w:pPr>
        <w:adjustRightInd w:val="0"/>
        <w:snapToGrid w:val="0"/>
        <w:ind w:left="-88" w:leftChars="-42"/>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宋体" w:hAnsi="宋体"/>
                <w:szCs w:val="21"/>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pStyle w:val="10"/>
              <w:spacing w:after="0" w:line="360" w:lineRule="auto"/>
              <w:rPr>
                <w:rFonts w:ascii="宋体" w:hAnsi="宋体" w:cs="宋体"/>
                <w:szCs w:val="21"/>
              </w:rPr>
            </w:pPr>
            <w:r>
              <w:rPr>
                <w:rFonts w:hint="eastAsia" w:ascii="宋体" w:hAnsi="宋体" w:cs="宋体"/>
                <w:szCs w:val="21"/>
              </w:rPr>
              <w:t>住宿费：标间（含双早餐）</w:t>
            </w:r>
            <w:r>
              <w:rPr>
                <w:rFonts w:hint="eastAsia" w:ascii="宋体" w:hAnsi="宋体" w:cs="宋体"/>
                <w:szCs w:val="21"/>
                <w:u w:val="single"/>
              </w:rPr>
              <w:t xml:space="preserve">           元</w:t>
            </w:r>
            <w:r>
              <w:rPr>
                <w:rFonts w:hint="eastAsia" w:ascii="宋体" w:hAnsi="宋体" w:cs="宋体"/>
                <w:szCs w:val="21"/>
              </w:rPr>
              <w:t>/间/天</w:t>
            </w:r>
          </w:p>
          <w:p>
            <w:pPr>
              <w:pStyle w:val="10"/>
              <w:spacing w:after="0" w:line="360" w:lineRule="auto"/>
              <w:rPr>
                <w:rFonts w:ascii="宋体" w:hAnsi="宋体" w:cs="宋体"/>
                <w:szCs w:val="21"/>
              </w:rPr>
            </w:pPr>
            <w:r>
              <w:rPr>
                <w:rFonts w:hint="eastAsia" w:ascii="宋体" w:hAnsi="宋体" w:cs="宋体"/>
                <w:szCs w:val="21"/>
              </w:rPr>
              <w:t>会议室（60人桌）</w:t>
            </w:r>
            <w:r>
              <w:rPr>
                <w:rFonts w:hint="eastAsia" w:ascii="宋体" w:hAnsi="宋体" w:cs="宋体"/>
                <w:szCs w:val="21"/>
                <w:u w:val="single"/>
              </w:rPr>
              <w:t xml:space="preserve">                    </w:t>
            </w:r>
            <w:r>
              <w:rPr>
                <w:rFonts w:hint="eastAsia" w:ascii="宋体" w:hAnsi="宋体" w:cs="宋体"/>
                <w:szCs w:val="21"/>
              </w:rPr>
              <w:t>元/半天</w:t>
            </w:r>
          </w:p>
          <w:p>
            <w:pPr>
              <w:pStyle w:val="10"/>
              <w:spacing w:after="0" w:line="360" w:lineRule="auto"/>
              <w:rPr>
                <w:rFonts w:ascii="宋体" w:hAnsi="宋体" w:cs="宋体"/>
                <w:szCs w:val="21"/>
              </w:rPr>
            </w:pPr>
            <w:r>
              <w:rPr>
                <w:rFonts w:hint="eastAsia" w:ascii="宋体" w:hAnsi="宋体" w:cs="宋体"/>
                <w:szCs w:val="21"/>
              </w:rPr>
              <w:t>会议室（</w:t>
            </w:r>
            <w:r>
              <w:rPr>
                <w:rFonts w:ascii="宋体" w:hAnsi="宋体" w:cs="宋体"/>
                <w:szCs w:val="21"/>
              </w:rPr>
              <w:t>10</w:t>
            </w:r>
            <w:r>
              <w:rPr>
                <w:rFonts w:hint="eastAsia" w:ascii="宋体" w:hAnsi="宋体" w:cs="宋体"/>
                <w:szCs w:val="21"/>
              </w:rPr>
              <w:t>0人桌）</w:t>
            </w:r>
            <w:r>
              <w:rPr>
                <w:rFonts w:hint="eastAsia" w:ascii="宋体" w:hAnsi="宋体" w:cs="宋体"/>
                <w:szCs w:val="21"/>
                <w:u w:val="single"/>
              </w:rPr>
              <w:t xml:space="preserve">                 </w:t>
            </w:r>
            <w:r>
              <w:rPr>
                <w:rFonts w:hint="eastAsia" w:ascii="宋体" w:hAnsi="宋体" w:cs="宋体"/>
                <w:szCs w:val="21"/>
              </w:rPr>
              <w:t>元/半天</w:t>
            </w:r>
          </w:p>
          <w:p>
            <w:pPr>
              <w:pStyle w:val="10"/>
              <w:spacing w:after="0" w:line="360" w:lineRule="auto"/>
            </w:pPr>
            <w:r>
              <w:rPr>
                <w:rFonts w:hint="eastAsia" w:ascii="宋体" w:hAnsi="宋体" w:cs="宋体"/>
                <w:szCs w:val="21"/>
              </w:rPr>
              <w:t>会议室（</w:t>
            </w:r>
            <w:r>
              <w:rPr>
                <w:rFonts w:ascii="宋体" w:hAnsi="宋体" w:cs="宋体"/>
                <w:szCs w:val="21"/>
              </w:rPr>
              <w:t>20</w:t>
            </w:r>
            <w:r>
              <w:rPr>
                <w:rFonts w:hint="eastAsia" w:ascii="宋体" w:hAnsi="宋体" w:cs="宋体"/>
                <w:szCs w:val="21"/>
              </w:rPr>
              <w:t>0人桌）</w:t>
            </w:r>
            <w:r>
              <w:rPr>
                <w:rFonts w:hint="eastAsia" w:ascii="宋体" w:hAnsi="宋体" w:cs="宋体"/>
                <w:szCs w:val="21"/>
                <w:u w:val="single"/>
              </w:rPr>
              <w:t xml:space="preserve">                 </w:t>
            </w:r>
            <w:r>
              <w:rPr>
                <w:rFonts w:hint="eastAsia" w:ascii="宋体" w:hAnsi="宋体" w:cs="宋体"/>
                <w:szCs w:val="21"/>
              </w:rPr>
              <w:t>元/半天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（2）价格应按照“供应商须知”的要求报价。</w:t>
      </w:r>
    </w:p>
    <w:p>
      <w:pPr>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（3）此表除保留在竞争性磋商响应文件中外，另复制一份与法定代表人授权书（原件）、保证金缴纳证明（如有）（复印件）及报价优惠声明（如有）一起另外密封装在一个小信封中，作为磋商记录之用。</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szCs w:val="21"/>
          <w:u w:val="single"/>
        </w:rPr>
      </w:pPr>
      <w:bookmarkStart w:id="145" w:name="_Toc259028723"/>
      <w:bookmarkStart w:id="146" w:name="_Toc460258117"/>
      <w:bookmarkStart w:id="147" w:name="_Toc424832831"/>
      <w:bookmarkStart w:id="148" w:name="_Toc432149007"/>
      <w:r>
        <w:rPr>
          <w:rFonts w:hint="eastAsia" w:asciiTheme="minorEastAsia" w:hAnsiTheme="minorEastAsia" w:eastAsiaTheme="minorEastAsia" w:cstheme="minorEastAsia"/>
          <w:b/>
          <w:bCs/>
          <w:sz w:val="24"/>
        </w:rPr>
        <w:br w:type="page"/>
      </w:r>
      <w:bookmarkStart w:id="149" w:name="_Toc479184129"/>
      <w:bookmarkStart w:id="150" w:name="_Toc18559"/>
      <w:bookmarkStart w:id="151" w:name="_Toc1079"/>
      <w:bookmarkStart w:id="152" w:name="_Toc19008"/>
      <w:r>
        <w:rPr>
          <w:rFonts w:hint="eastAsia" w:asciiTheme="minorEastAsia" w:hAnsiTheme="minorEastAsia" w:eastAsiaTheme="minorEastAsia" w:cstheme="minorEastAsia"/>
          <w:b/>
          <w:bCs/>
          <w:szCs w:val="21"/>
        </w:rPr>
        <w:t>六、</w:t>
      </w:r>
      <w:bookmarkEnd w:id="145"/>
      <w:bookmarkEnd w:id="146"/>
      <w:bookmarkEnd w:id="149"/>
      <w:bookmarkEnd w:id="150"/>
      <w:bookmarkEnd w:id="151"/>
      <w:r>
        <w:rPr>
          <w:rFonts w:hint="eastAsia" w:asciiTheme="minorEastAsia" w:hAnsiTheme="minorEastAsia" w:eastAsiaTheme="minorEastAsia" w:cstheme="minorEastAsia"/>
          <w:b/>
          <w:bCs/>
          <w:szCs w:val="21"/>
        </w:rPr>
        <w:t>报价费用构成表</w:t>
      </w:r>
      <w:bookmarkEnd w:id="152"/>
    </w:p>
    <w:p>
      <w:pPr>
        <w:adjustRightInd w:val="0"/>
        <w:snapToGrid w:val="0"/>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3630"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936"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11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w:t>
            </w:r>
          </w:p>
        </w:tc>
        <w:tc>
          <w:tcPr>
            <w:tcW w:w="1248"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w:t>
            </w:r>
          </w:p>
        </w:tc>
        <w:tc>
          <w:tcPr>
            <w:tcW w:w="1109"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3630" w:type="dxa"/>
            <w:vAlign w:val="center"/>
          </w:tcPr>
          <w:p>
            <w:pPr>
              <w:adjustRightInd w:val="0"/>
              <w:snapToGrid w:val="0"/>
              <w:jc w:val="center"/>
              <w:rPr>
                <w:rFonts w:asciiTheme="minorEastAsia" w:hAnsiTheme="minorEastAsia" w:eastAsiaTheme="minorEastAsia" w:cstheme="minorEastAsia"/>
                <w:szCs w:val="21"/>
              </w:rPr>
            </w:pP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3630" w:type="dxa"/>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936" w:type="dxa"/>
            <w:vAlign w:val="center"/>
          </w:tcPr>
          <w:p>
            <w:pPr>
              <w:adjustRightInd w:val="0"/>
              <w:snapToGrid w:val="0"/>
              <w:jc w:val="center"/>
              <w:rPr>
                <w:rFonts w:asciiTheme="minorEastAsia" w:hAnsiTheme="minorEastAsia" w:eastAsiaTheme="minorEastAsia" w:cstheme="minorEastAsia"/>
                <w:szCs w:val="21"/>
              </w:rPr>
            </w:pPr>
          </w:p>
        </w:tc>
        <w:tc>
          <w:tcPr>
            <w:tcW w:w="1118" w:type="dxa"/>
            <w:vAlign w:val="center"/>
          </w:tcPr>
          <w:p>
            <w:pPr>
              <w:adjustRightInd w:val="0"/>
              <w:snapToGrid w:val="0"/>
              <w:jc w:val="center"/>
              <w:rPr>
                <w:rFonts w:asciiTheme="minorEastAsia" w:hAnsiTheme="minorEastAsia" w:eastAsiaTheme="minorEastAsia" w:cstheme="minorEastAsia"/>
                <w:szCs w:val="21"/>
              </w:rPr>
            </w:pP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总计</w:t>
            </w:r>
          </w:p>
        </w:tc>
        <w:tc>
          <w:tcPr>
            <w:tcW w:w="1248" w:type="dxa"/>
            <w:vAlign w:val="center"/>
          </w:tcPr>
          <w:p>
            <w:pPr>
              <w:adjustRightInd w:val="0"/>
              <w:snapToGrid w:val="0"/>
              <w:jc w:val="center"/>
              <w:rPr>
                <w:rFonts w:asciiTheme="minorEastAsia" w:hAnsiTheme="minorEastAsia" w:eastAsiaTheme="minorEastAsia" w:cstheme="minorEastAsia"/>
                <w:szCs w:val="21"/>
              </w:rPr>
            </w:pPr>
          </w:p>
        </w:tc>
        <w:tc>
          <w:tcPr>
            <w:tcW w:w="1109" w:type="dxa"/>
            <w:vAlign w:val="center"/>
          </w:tcPr>
          <w:p>
            <w:pPr>
              <w:adjustRightInd w:val="0"/>
              <w:snapToGrid w:val="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3"/>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所有价格按照“供应商须知”要求执行，精确到个数位。</w:t>
      </w:r>
    </w:p>
    <w:p>
      <w:pPr>
        <w:numPr>
          <w:ilvl w:val="0"/>
          <w:numId w:val="43"/>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3"/>
        </w:num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如果不提供详细的报价费用构成可能将被视为没有实质性响应磋商文件。</w:t>
      </w:r>
    </w:p>
    <w:p>
      <w:pPr>
        <w:adjustRightInd w:val="0"/>
        <w:snapToGrid w:val="0"/>
        <w:spacing w:line="360" w:lineRule="auto"/>
        <w:ind w:left="-88" w:leftChars="-42"/>
        <w:rPr>
          <w:rFonts w:asciiTheme="minorEastAsia" w:hAnsiTheme="minorEastAsia" w:eastAsiaTheme="minorEastAsia" w:cstheme="minorEastAsia"/>
          <w:b/>
          <w:bCs/>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时间：年月日</w:t>
      </w:r>
    </w:p>
    <w:p>
      <w:pPr>
        <w:spacing w:line="360" w:lineRule="auto"/>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3" w:name="_Toc26825"/>
      <w:bookmarkStart w:id="154" w:name="_Toc479184130"/>
      <w:bookmarkStart w:id="155" w:name="_Toc28656"/>
      <w:bookmarkStart w:id="156" w:name="_Toc23261"/>
      <w:r>
        <w:rPr>
          <w:rFonts w:hint="eastAsia" w:asciiTheme="minorEastAsia" w:hAnsiTheme="minorEastAsia" w:eastAsiaTheme="minorEastAsia" w:cstheme="minorEastAsia"/>
          <w:b/>
          <w:bCs/>
          <w:szCs w:val="21"/>
        </w:rPr>
        <w:t>七、耗材清单</w:t>
      </w:r>
      <w:bookmarkEnd w:id="153"/>
      <w:bookmarkEnd w:id="154"/>
      <w:bookmarkEnd w:id="155"/>
      <w:r>
        <w:rPr>
          <w:rFonts w:hint="eastAsia" w:asciiTheme="minorEastAsia" w:hAnsiTheme="minorEastAsia" w:eastAsiaTheme="minorEastAsia" w:cstheme="minorEastAsia"/>
          <w:b/>
          <w:bCs/>
          <w:szCs w:val="21"/>
        </w:rPr>
        <w:t>（如有）</w:t>
      </w:r>
      <w:bookmarkEnd w:id="156"/>
    </w:p>
    <w:p>
      <w:pPr>
        <w:adjustRightInd w:val="0"/>
        <w:snapToGrid w:val="0"/>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时间：年月日</w:t>
      </w:r>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
      <w:pPr>
        <w:tabs>
          <w:tab w:val="left" w:pos="540"/>
        </w:tabs>
        <w:autoSpaceDE w:val="0"/>
        <w:autoSpaceDN w:val="0"/>
        <w:adjustRightInd w:val="0"/>
        <w:spacing w:line="360" w:lineRule="auto"/>
        <w:jc w:val="left"/>
        <w:rPr>
          <w:rFonts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7" w:name="_Toc32726"/>
      <w:bookmarkStart w:id="158" w:name="_Toc7535"/>
      <w:bookmarkStart w:id="159" w:name="_Toc479184131"/>
      <w:bookmarkStart w:id="160" w:name="_Toc13463"/>
      <w:r>
        <w:rPr>
          <w:rFonts w:hint="eastAsia" w:asciiTheme="minorEastAsia" w:hAnsiTheme="minorEastAsia" w:eastAsiaTheme="minorEastAsia" w:cstheme="minorEastAsia"/>
          <w:b/>
          <w:bCs/>
          <w:szCs w:val="21"/>
        </w:rPr>
        <w:t>八、拟投入设备/备件、工具情况</w:t>
      </w:r>
      <w:bookmarkEnd w:id="157"/>
      <w:bookmarkEnd w:id="158"/>
      <w:bookmarkEnd w:id="159"/>
      <w:r>
        <w:rPr>
          <w:rFonts w:hint="eastAsia" w:asciiTheme="minorEastAsia" w:hAnsiTheme="minorEastAsia" w:eastAsiaTheme="minorEastAsia" w:cstheme="minorEastAsia"/>
          <w:b/>
          <w:bCs/>
          <w:szCs w:val="21"/>
        </w:rPr>
        <w:t>（如有）</w:t>
      </w:r>
      <w:bookmarkEnd w:id="160"/>
    </w:p>
    <w:p>
      <w:pPr>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设备</w:t>
            </w:r>
            <w:r>
              <w:rPr>
                <w:rFonts w:hint="eastAsia" w:asciiTheme="minorEastAsia" w:hAnsiTheme="minorEastAsia" w:eastAsiaTheme="minorEastAsia" w:cstheme="minorEastAsia"/>
                <w:b/>
                <w:bCs/>
                <w:szCs w:val="21"/>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left"/>
              <w:rPr>
                <w:rFonts w:asciiTheme="minorEastAsia" w:hAnsiTheme="minorEastAsia" w:eastAsiaTheme="minorEastAsia" w:cstheme="minorEastAsia"/>
                <w:kern w:val="0"/>
                <w:szCs w:val="21"/>
              </w:rPr>
            </w:pPr>
          </w:p>
        </w:tc>
        <w:tc>
          <w:tcPr>
            <w:tcW w:w="1512" w:type="dxa"/>
          </w:tcPr>
          <w:p>
            <w:pPr>
              <w:widowControl/>
              <w:jc w:val="center"/>
              <w:rPr>
                <w:rFonts w:asciiTheme="minorEastAsia" w:hAnsiTheme="minorEastAsia" w:eastAsiaTheme="minorEastAsia" w:cstheme="minorEastAsia"/>
                <w:szCs w:val="21"/>
              </w:rPr>
            </w:pPr>
          </w:p>
        </w:tc>
        <w:tc>
          <w:tcPr>
            <w:tcW w:w="1513" w:type="dxa"/>
          </w:tcPr>
          <w:p>
            <w:pPr>
              <w:widowControl/>
              <w:jc w:val="center"/>
              <w:rPr>
                <w:rFonts w:asciiTheme="minorEastAsia" w:hAnsiTheme="minorEastAsia" w:eastAsiaTheme="minorEastAsia" w:cstheme="minorEastAsia"/>
                <w:szCs w:val="21"/>
              </w:rPr>
            </w:pPr>
          </w:p>
        </w:tc>
        <w:tc>
          <w:tcPr>
            <w:tcW w:w="709" w:type="dxa"/>
            <w:vAlign w:val="center"/>
          </w:tcPr>
          <w:p>
            <w:pPr>
              <w:widowControl/>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295" w:type="dxa"/>
            <w:vAlign w:val="center"/>
          </w:tcPr>
          <w:p>
            <w:pPr>
              <w:widowControl/>
              <w:jc w:val="center"/>
              <w:rPr>
                <w:rFonts w:asciiTheme="minorEastAsia" w:hAnsiTheme="minorEastAsia" w:eastAsiaTheme="minorEastAsia" w:cstheme="minorEastAsia"/>
                <w:szCs w:val="21"/>
              </w:rPr>
            </w:pPr>
          </w:p>
        </w:tc>
        <w:tc>
          <w:tcPr>
            <w:tcW w:w="1512" w:type="dxa"/>
            <w:vAlign w:val="center"/>
          </w:tcPr>
          <w:p>
            <w:pPr>
              <w:widowControl/>
              <w:jc w:val="center"/>
              <w:rPr>
                <w:rFonts w:asciiTheme="minorEastAsia" w:hAnsiTheme="minorEastAsia" w:eastAsiaTheme="minorEastAsia" w:cstheme="minorEastAsia"/>
                <w:szCs w:val="21"/>
              </w:rPr>
            </w:pPr>
          </w:p>
        </w:tc>
        <w:tc>
          <w:tcPr>
            <w:tcW w:w="1512" w:type="dxa"/>
          </w:tcPr>
          <w:p>
            <w:pPr>
              <w:jc w:val="center"/>
              <w:rPr>
                <w:rFonts w:asciiTheme="minorEastAsia" w:hAnsiTheme="minorEastAsia" w:eastAsiaTheme="minorEastAsia" w:cstheme="minorEastAsia"/>
                <w:szCs w:val="21"/>
              </w:rPr>
            </w:pPr>
          </w:p>
        </w:tc>
        <w:tc>
          <w:tcPr>
            <w:tcW w:w="1513" w:type="dxa"/>
          </w:tcPr>
          <w:p>
            <w:pPr>
              <w:jc w:val="center"/>
              <w:rPr>
                <w:rFonts w:asciiTheme="minorEastAsia" w:hAnsiTheme="minorEastAsia" w:eastAsiaTheme="minorEastAsia" w:cstheme="minorEastAsia"/>
                <w:szCs w:val="21"/>
              </w:rPr>
            </w:pPr>
          </w:p>
        </w:tc>
        <w:tc>
          <w:tcPr>
            <w:tcW w:w="709" w:type="dxa"/>
            <w:vAlign w:val="center"/>
          </w:tcPr>
          <w:p>
            <w:pPr>
              <w:jc w:val="center"/>
              <w:rPr>
                <w:rFonts w:asciiTheme="minorEastAsia" w:hAnsiTheme="minorEastAsia" w:eastAsiaTheme="minorEastAsia" w:cstheme="minorEastAsia"/>
                <w:szCs w:val="21"/>
              </w:rPr>
            </w:pPr>
          </w:p>
        </w:tc>
        <w:tc>
          <w:tcPr>
            <w:tcW w:w="958" w:type="dxa"/>
            <w:vAlign w:val="center"/>
          </w:tcPr>
          <w:p>
            <w:pPr>
              <w:widowControl/>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p>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1" w:name="_Toc479184132"/>
      <w:bookmarkStart w:id="162" w:name="_Toc450827818"/>
      <w:bookmarkStart w:id="163" w:name="_Toc10449"/>
      <w:bookmarkStart w:id="164" w:name="_Toc27053"/>
      <w:bookmarkStart w:id="165" w:name="_Toc8932"/>
      <w:r>
        <w:rPr>
          <w:rFonts w:hint="eastAsia" w:asciiTheme="minorEastAsia" w:hAnsiTheme="minorEastAsia" w:eastAsiaTheme="minorEastAsia" w:cstheme="minorEastAsia"/>
          <w:b/>
          <w:bCs/>
          <w:szCs w:val="21"/>
        </w:rPr>
        <w:t>九、缴纳保证金的银行凭证</w:t>
      </w:r>
      <w:bookmarkEnd w:id="161"/>
      <w:bookmarkEnd w:id="162"/>
      <w:bookmarkEnd w:id="163"/>
      <w:bookmarkEnd w:id="164"/>
      <w:r>
        <w:rPr>
          <w:rFonts w:hint="eastAsia" w:asciiTheme="minorEastAsia" w:hAnsiTheme="minorEastAsia" w:eastAsiaTheme="minorEastAsia" w:cstheme="minorEastAsia"/>
          <w:b/>
          <w:bCs/>
          <w:szCs w:val="21"/>
        </w:rPr>
        <w:t>（如有）</w:t>
      </w:r>
      <w:bookmarkEnd w:id="165"/>
    </w:p>
    <w:p>
      <w:pPr>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参加贵方组织的，采购编号为的采购活动。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（大写）　　</w:t>
      </w:r>
      <w:r>
        <w:rPr>
          <w:rFonts w:hint="eastAsia" w:asciiTheme="minorEastAsia" w:hAnsiTheme="minorEastAsia" w:eastAsiaTheme="minorEastAsia" w:cstheme="minorEastAsia"/>
          <w:szCs w:val="21"/>
        </w:rPr>
        <w:t>元的保证金。</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磋商供应商法定代表人（签字）：</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磋商供应商名称（盖章）：</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时间：年月日</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bCs/>
                <w:szCs w:val="21"/>
              </w:rPr>
            </w:pPr>
          </w:p>
        </w:tc>
      </w:tr>
    </w:tbl>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注：请供应商认真填写银行信息，并要求与粘贴转账或电汇银行凭证的相关信息一致，采购代理机构将依据此凭证信息退还保证金。</w:t>
      </w:r>
    </w:p>
    <w:bookmarkEnd w:id="147"/>
    <w:bookmarkEnd w:id="148"/>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6" w:name="_Toc19198"/>
      <w:bookmarkStart w:id="167" w:name="_Toc479184133"/>
      <w:bookmarkStart w:id="168" w:name="_Toc28200"/>
      <w:bookmarkStart w:id="169" w:name="_Toc422466736"/>
      <w:bookmarkStart w:id="170" w:name="_Toc432149012"/>
      <w:bookmarkStart w:id="171" w:name="_Toc1591"/>
      <w:r>
        <w:rPr>
          <w:rFonts w:hint="eastAsia" w:asciiTheme="minorEastAsia" w:hAnsiTheme="minorEastAsia" w:eastAsiaTheme="minorEastAsia" w:cstheme="minorEastAsia"/>
          <w:b/>
          <w:bCs/>
          <w:szCs w:val="21"/>
        </w:rPr>
        <w:t>十、偏离说明表</w:t>
      </w:r>
      <w:bookmarkEnd w:id="166"/>
      <w:bookmarkEnd w:id="167"/>
      <w:bookmarkEnd w:id="168"/>
      <w:bookmarkEnd w:id="169"/>
      <w:bookmarkEnd w:id="170"/>
      <w:bookmarkEnd w:id="171"/>
    </w:p>
    <w:p>
      <w:pPr>
        <w:adjustRightInd w:val="0"/>
        <w:snapToGrid w:val="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color="auto" w:fill="D7D7D7" w:themeFill="background1" w:themeFillShade="D8"/>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4"/>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4"/>
        </w:numPr>
        <w:tabs>
          <w:tab w:val="left" w:pos="540"/>
        </w:tabs>
        <w:adjustRightInd w:val="0"/>
        <w:snapToGrid w:val="0"/>
        <w:ind w:left="540" w:hanging="54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szCs w:val="21"/>
        </w:rPr>
      </w:pPr>
    </w:p>
    <w:p>
      <w:pPr>
        <w:adjustRightInd w:val="0"/>
        <w:snapToGrid w:val="0"/>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时</w:t>
      </w:r>
      <w:r>
        <w:rPr>
          <w:rFonts w:hint="eastAsia" w:asciiTheme="minorEastAsia" w:hAnsiTheme="minorEastAsia" w:eastAsiaTheme="minorEastAsia" w:cstheme="minorEastAsia"/>
          <w:szCs w:val="21"/>
        </w:rPr>
        <w:t>间：年月日</w:t>
      </w:r>
    </w:p>
    <w:p>
      <w:pPr>
        <w:rPr>
          <w:rFonts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2" w:name="_Toc32060"/>
      <w:bookmarkStart w:id="173" w:name="_Toc28283"/>
      <w:bookmarkStart w:id="174" w:name="_Toc362935521"/>
      <w:bookmarkStart w:id="175" w:name="_Toc479184134"/>
      <w:bookmarkStart w:id="176" w:name="_Toc432149013"/>
      <w:bookmarkStart w:id="177" w:name="_Toc2398"/>
      <w:r>
        <w:rPr>
          <w:rFonts w:hint="eastAsia" w:asciiTheme="minorEastAsia" w:hAnsiTheme="minorEastAsia" w:eastAsiaTheme="minorEastAsia" w:cstheme="minorEastAsia"/>
          <w:b/>
          <w:kern w:val="0"/>
          <w:szCs w:val="21"/>
        </w:rPr>
        <w:t>十一、</w:t>
      </w:r>
      <w:r>
        <w:rPr>
          <w:rFonts w:hint="eastAsia" w:asciiTheme="minorEastAsia" w:hAnsiTheme="minorEastAsia" w:eastAsiaTheme="minorEastAsia" w:cstheme="minorEastAsia"/>
          <w:b/>
          <w:bCs/>
          <w:szCs w:val="21"/>
        </w:rPr>
        <w:t>类似业绩一览表</w:t>
      </w:r>
      <w:bookmarkEnd w:id="172"/>
      <w:bookmarkEnd w:id="173"/>
      <w:bookmarkEnd w:id="174"/>
      <w:bookmarkEnd w:id="175"/>
      <w:bookmarkEnd w:id="176"/>
      <w:r>
        <w:rPr>
          <w:rFonts w:hint="eastAsia" w:asciiTheme="minorEastAsia" w:hAnsiTheme="minorEastAsia" w:eastAsiaTheme="minorEastAsia" w:cstheme="minorEastAsia"/>
          <w:b/>
          <w:bCs/>
          <w:szCs w:val="21"/>
        </w:rPr>
        <w:br w:type="textWrapping"/>
      </w:r>
      <w:bookmarkEnd w:id="177"/>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序号</w:t>
            </w:r>
          </w:p>
        </w:tc>
        <w:tc>
          <w:tcPr>
            <w:tcW w:w="142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tc>
        <w:tc>
          <w:tcPr>
            <w:tcW w:w="82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134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中标公告网页链接（如有）</w:t>
            </w:r>
          </w:p>
        </w:tc>
        <w:tc>
          <w:tcPr>
            <w:tcW w:w="646"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1.附磋商供应商承担类似项目的情况填入本表中，提供业绩合同等评分标准要求的相关证明材料。无证明材料的内容评审时将不予考虑。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2.公开竞标成交的类似业绩，还应提供成交/中标公告网页链接。</w:t>
      </w:r>
    </w:p>
    <w:p>
      <w:pPr>
        <w:spacing w:line="360" w:lineRule="auto"/>
        <w:rPr>
          <w:rFonts w:asciiTheme="minorEastAsia" w:hAnsiTheme="minorEastAsia" w:eastAsiaTheme="minorEastAsia" w:cstheme="minorEastAsia"/>
          <w:szCs w:val="21"/>
        </w:rPr>
      </w:pPr>
      <w:bookmarkStart w:id="178" w:name="_Toc460258118"/>
      <w:bookmarkStart w:id="179" w:name="_Toc454806053"/>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时</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0" w:name="_Toc30455"/>
      <w:bookmarkStart w:id="181" w:name="_Toc15136"/>
      <w:bookmarkStart w:id="182" w:name="_Toc479184135"/>
      <w:bookmarkStart w:id="183" w:name="_Toc4834"/>
      <w:r>
        <w:rPr>
          <w:rFonts w:hint="eastAsia" w:asciiTheme="minorEastAsia" w:hAnsiTheme="minorEastAsia" w:eastAsiaTheme="minorEastAsia" w:cstheme="minorEastAsia"/>
          <w:b/>
          <w:bCs/>
          <w:szCs w:val="21"/>
        </w:rPr>
        <w:t>十二、拟投入项目组人员一览表</w:t>
      </w:r>
      <w:bookmarkEnd w:id="178"/>
      <w:bookmarkEnd w:id="179"/>
      <w:bookmarkEnd w:id="180"/>
      <w:bookmarkEnd w:id="181"/>
      <w:bookmarkEnd w:id="182"/>
      <w:bookmarkEnd w:id="183"/>
    </w:p>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p>
      <w:pPr>
        <w:adjustRightInd w:val="0"/>
        <w:snapToGrid w:val="0"/>
        <w:spacing w:line="360" w:lineRule="auto"/>
        <w:ind w:left="-181" w:leftChars="-86" w:firstLine="180" w:firstLineChars="8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说明：附拟投入项目组人员身份证、劳动合同、社保证明、</w:t>
      </w:r>
      <w:r>
        <w:rPr>
          <w:rFonts w:hint="eastAsia"/>
        </w:rPr>
        <w:t>职称证书、学历证书</w:t>
      </w:r>
      <w:r>
        <w:rPr>
          <w:rFonts w:hint="eastAsia" w:asciiTheme="minorEastAsia" w:hAnsiTheme="minorEastAsia" w:eastAsiaTheme="minorEastAsia" w:cstheme="minorEastAsia"/>
          <w:szCs w:val="21"/>
        </w:rPr>
        <w:t>等评分标准要求的其他相关证明材料。无证明材料的内容评审时将不予考虑。</w:t>
      </w: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时</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4" w:name="_Toc479184136"/>
      <w:bookmarkStart w:id="185" w:name="_Toc432149014"/>
      <w:bookmarkStart w:id="186" w:name="_Toc26838"/>
      <w:bookmarkStart w:id="187" w:name="_Toc10429"/>
      <w:bookmarkStart w:id="188" w:name="_Toc422466737"/>
      <w:bookmarkStart w:id="189" w:name="_Toc27749"/>
      <w:r>
        <w:rPr>
          <w:rFonts w:hint="eastAsia" w:asciiTheme="minorEastAsia" w:hAnsiTheme="minorEastAsia" w:eastAsiaTheme="minorEastAsia" w:cstheme="minorEastAsia"/>
          <w:b/>
          <w:bCs/>
          <w:kern w:val="0"/>
          <w:szCs w:val="21"/>
        </w:rPr>
        <w:t>十三、</w:t>
      </w:r>
      <w:r>
        <w:rPr>
          <w:rFonts w:hint="eastAsia" w:asciiTheme="minorEastAsia" w:hAnsiTheme="minorEastAsia" w:eastAsiaTheme="minorEastAsia" w:cstheme="minorEastAsia"/>
          <w:b/>
          <w:bCs/>
          <w:szCs w:val="21"/>
        </w:rPr>
        <w:t>供应商的资格声明</w:t>
      </w:r>
      <w:bookmarkEnd w:id="184"/>
      <w:bookmarkEnd w:id="185"/>
      <w:bookmarkEnd w:id="186"/>
      <w:bookmarkEnd w:id="187"/>
      <w:bookmarkEnd w:id="188"/>
      <w:bookmarkEnd w:id="189"/>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（2）地址：邮箱：</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电话：传真：</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原值：净值：</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szCs w:val="21"/>
              </w:rPr>
            </w:pPr>
          </w:p>
        </w:tc>
        <w:tc>
          <w:tcPr>
            <w:tcW w:w="1737" w:type="dxa"/>
            <w:vAlign w:val="center"/>
          </w:tcPr>
          <w:p>
            <w:pPr>
              <w:spacing w:line="360" w:lineRule="auto"/>
              <w:jc w:val="center"/>
              <w:rPr>
                <w:rFonts w:asciiTheme="minorEastAsia" w:hAnsiTheme="minorEastAsia" w:eastAsiaTheme="minorEastAsia" w:cstheme="minorEastAsia"/>
                <w:szCs w:val="21"/>
              </w:rPr>
            </w:pPr>
          </w:p>
        </w:tc>
        <w:tc>
          <w:tcPr>
            <w:tcW w:w="2269" w:type="dxa"/>
            <w:vAlign w:val="center"/>
          </w:tcPr>
          <w:p>
            <w:pPr>
              <w:spacing w:line="360" w:lineRule="auto"/>
              <w:jc w:val="center"/>
              <w:rPr>
                <w:rFonts w:asciiTheme="minorEastAsia" w:hAnsiTheme="minorEastAsia" w:eastAsiaTheme="minorEastAsia" w:cstheme="minorEastAsia"/>
                <w:szCs w:val="21"/>
              </w:rPr>
            </w:pPr>
          </w:p>
        </w:tc>
        <w:tc>
          <w:tcPr>
            <w:tcW w:w="2268" w:type="dxa"/>
            <w:vAlign w:val="center"/>
          </w:tcPr>
          <w:p>
            <w:pPr>
              <w:spacing w:line="360" w:lineRule="auto"/>
              <w:jc w:val="center"/>
              <w:rPr>
                <w:rFonts w:asciiTheme="minorEastAsia" w:hAnsiTheme="minorEastAsia" w:eastAsiaTheme="minorEastAsia" w:cstheme="minorEastAsia"/>
                <w:szCs w:val="21"/>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asciiTheme="minorEastAsia" w:hAnsiTheme="minorEastAsia" w:eastAsiaTheme="minorEastAsia" w:cstheme="minorEastAsia"/>
          <w:bCs/>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传真：</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时</w:t>
      </w:r>
      <w:r>
        <w:rPr>
          <w:rFonts w:hint="eastAsia" w:asciiTheme="minorEastAsia" w:hAnsiTheme="minorEastAsia" w:eastAsiaTheme="minorEastAsia" w:cstheme="minorEastAsia"/>
          <w:szCs w:val="21"/>
        </w:rPr>
        <w:t>间：年月日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0" w:name="_Toc7524"/>
      <w:bookmarkStart w:id="191" w:name="_Toc17331"/>
      <w:bookmarkStart w:id="192" w:name="_Toc17527"/>
      <w:bookmarkStart w:id="193" w:name="_Toc259028731"/>
      <w:bookmarkStart w:id="194" w:name="_Toc479184137"/>
      <w:bookmarkStart w:id="195" w:name="_Toc450827823"/>
      <w:r>
        <w:rPr>
          <w:rFonts w:hint="eastAsia" w:asciiTheme="minorEastAsia" w:hAnsiTheme="minorEastAsia" w:eastAsiaTheme="minorEastAsia" w:cstheme="minorEastAsia"/>
          <w:b/>
          <w:bCs/>
          <w:kern w:val="0"/>
          <w:szCs w:val="21"/>
        </w:rPr>
        <w:t>十四、</w:t>
      </w:r>
      <w:r>
        <w:rPr>
          <w:rFonts w:hint="eastAsia" w:asciiTheme="minorEastAsia" w:hAnsiTheme="minorEastAsia" w:eastAsiaTheme="minorEastAsia" w:cstheme="minorEastAsia"/>
          <w:b/>
          <w:bCs/>
          <w:szCs w:val="21"/>
        </w:rPr>
        <w:t>资格证明文件</w:t>
      </w:r>
      <w:bookmarkEnd w:id="190"/>
      <w:bookmarkEnd w:id="191"/>
      <w:bookmarkEnd w:id="192"/>
      <w:bookmarkEnd w:id="193"/>
      <w:bookmarkEnd w:id="194"/>
      <w:bookmarkEnd w:id="195"/>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提供第一章第二款资格要求的资格证明文件的真彩扫描件。</w:t>
      </w:r>
    </w:p>
    <w:p>
      <w:pPr>
        <w:rPr>
          <w:rFonts w:asciiTheme="minorEastAsia" w:hAnsiTheme="minorEastAsia" w:eastAsiaTheme="minorEastAsia" w:cstheme="minorEastAsia"/>
          <w:szCs w:val="21"/>
        </w:rPr>
      </w:pPr>
    </w:p>
    <w:p>
      <w:pPr>
        <w:adjustRightInd w:val="0"/>
        <w:snapToGrid w:val="0"/>
        <w:spacing w:line="360" w:lineRule="auto"/>
        <w:ind w:left="-88" w:leftChars="-42"/>
        <w:jc w:val="center"/>
        <w:rPr>
          <w:rFonts w:asciiTheme="minorEastAsia" w:hAnsiTheme="minorEastAsia" w:eastAsiaTheme="minorEastAsia" w:cstheme="minorEastAsia"/>
          <w:szCs w:val="21"/>
        </w:rPr>
      </w:pPr>
    </w:p>
    <w:p>
      <w:pPr>
        <w:spacing w:line="360" w:lineRule="auto"/>
        <w:ind w:left="168" w:leftChars="8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p>
    <w:p>
      <w:pPr>
        <w:spacing w:line="360" w:lineRule="auto"/>
        <w:ind w:left="168" w:leftChars="80"/>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96" w:name="_Toc18555"/>
      <w:bookmarkStart w:id="197" w:name="_Toc427239751"/>
      <w:bookmarkStart w:id="198" w:name="_Toc32187"/>
      <w:bookmarkStart w:id="199" w:name="_Toc364868916"/>
      <w:bookmarkStart w:id="200" w:name="_Toc5793"/>
      <w:bookmarkStart w:id="201" w:name="_Toc290207179"/>
      <w:bookmarkStart w:id="202" w:name="_Toc358447587"/>
      <w:r>
        <w:rPr>
          <w:rFonts w:hint="eastAsia" w:asciiTheme="minorEastAsia" w:hAnsiTheme="minorEastAsia" w:eastAsiaTheme="minorEastAsia" w:cstheme="minorEastAsia"/>
          <w:b/>
          <w:bCs/>
          <w:kern w:val="0"/>
          <w:szCs w:val="21"/>
        </w:rPr>
        <w:t>十五、</w:t>
      </w:r>
      <w:bookmarkEnd w:id="196"/>
      <w:bookmarkEnd w:id="197"/>
      <w:bookmarkEnd w:id="198"/>
      <w:bookmarkEnd w:id="199"/>
      <w:bookmarkEnd w:id="200"/>
      <w:bookmarkEnd w:id="201"/>
      <w:bookmarkEnd w:id="202"/>
      <w:bookmarkStart w:id="203" w:name="_Toc460258123"/>
      <w:bookmarkStart w:id="204" w:name="_Toc27229"/>
      <w:bookmarkStart w:id="205" w:name="_Toc29785"/>
      <w:bookmarkStart w:id="206" w:name="_Toc479184138"/>
      <w:r>
        <w:rPr>
          <w:rFonts w:hint="eastAsia" w:asciiTheme="minorEastAsia" w:hAnsiTheme="minorEastAsia" w:eastAsiaTheme="minorEastAsia" w:cstheme="minorEastAsia"/>
          <w:b/>
        </w:rPr>
        <w:t>报价技术文件</w:t>
      </w:r>
      <w:bookmarkEnd w:id="203"/>
      <w:bookmarkEnd w:id="204"/>
      <w:bookmarkEnd w:id="205"/>
      <w:bookmarkEnd w:id="206"/>
    </w:p>
    <w:p>
      <w:pPr>
        <w:rPr>
          <w:rFonts w:asciiTheme="minorEastAsia" w:hAnsiTheme="minorEastAsia" w:eastAsiaTheme="minorEastAsia" w:cstheme="minorEastAsia"/>
          <w:szCs w:val="21"/>
        </w:rPr>
      </w:pPr>
    </w:p>
    <w:p>
      <w:pPr>
        <w:pStyle w:val="104"/>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以下内容仅供参考，格式自拟。</w:t>
      </w:r>
    </w:p>
    <w:p>
      <w:pPr>
        <w:numPr>
          <w:ilvl w:val="1"/>
          <w:numId w:val="45"/>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5"/>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5"/>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5"/>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5"/>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5"/>
        </w:numPr>
        <w:tabs>
          <w:tab w:val="left" w:pos="640"/>
          <w:tab w:val="clear" w:pos="0"/>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07" w:name="_Toc8098"/>
      <w:bookmarkStart w:id="208" w:name="_Toc422466739"/>
      <w:bookmarkStart w:id="209" w:name="_Toc22465"/>
      <w:bookmarkStart w:id="210" w:name="_Toc356836516"/>
      <w:bookmarkStart w:id="211" w:name="_Toc12119"/>
      <w:bookmarkStart w:id="212" w:name="_Toc432149016"/>
      <w:bookmarkStart w:id="213" w:name="_Toc479184140"/>
      <w:bookmarkStart w:id="214" w:name="_Toc2101"/>
      <w:bookmarkStart w:id="215" w:name="_Toc355802499"/>
      <w:bookmarkStart w:id="216" w:name="_Toc12975"/>
      <w:r>
        <w:rPr>
          <w:rFonts w:hint="eastAsia" w:asciiTheme="minorEastAsia" w:hAnsiTheme="minorEastAsia" w:eastAsiaTheme="minorEastAsia" w:cstheme="minorEastAsia"/>
          <w:b/>
        </w:rPr>
        <w:t>十六、中小企业声明函</w:t>
      </w:r>
      <w:bookmarkEnd w:id="207"/>
      <w:bookmarkEnd w:id="208"/>
      <w:bookmarkEnd w:id="209"/>
      <w:bookmarkEnd w:id="210"/>
      <w:bookmarkEnd w:id="211"/>
      <w:bookmarkEnd w:id="212"/>
      <w:bookmarkEnd w:id="213"/>
      <w:bookmarkEnd w:id="214"/>
      <w:bookmarkEnd w:id="215"/>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16"/>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17" w:name="OLE_LINK5"/>
      <w:r>
        <w:rPr>
          <w:rFonts w:hint="eastAsia" w:asciiTheme="minorEastAsia" w:hAnsiTheme="minorEastAsia" w:eastAsiaTheme="minorEastAsia" w:cstheme="minorEastAsia"/>
          <w:spacing w:val="6"/>
          <w:szCs w:val="21"/>
        </w:rPr>
        <w:t>______（请填写：中型、小型、微型）企业</w:t>
      </w:r>
      <w:bookmarkEnd w:id="217"/>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6"/>
        </w:numPr>
        <w:spacing w:line="360" w:lineRule="auto"/>
        <w:ind w:firstLine="446" w:firstLineChars="200"/>
        <w:rPr>
          <w:rFonts w:asciiTheme="minorEastAsia" w:hAnsiTheme="minorEastAsia" w:eastAsiaTheme="minorEastAsia" w:cstheme="minorEastAsia"/>
          <w:b/>
          <w:bCs/>
          <w:spacing w:val="6"/>
          <w:szCs w:val="21"/>
        </w:rPr>
      </w:pPr>
      <w:r>
        <w:rPr>
          <w:rFonts w:hint="eastAsia" w:asciiTheme="minorEastAsia" w:hAnsiTheme="minorEastAsia" w:eastAsiaTheme="minorEastAsia" w:cstheme="minorEastAsia"/>
          <w:b/>
          <w:bCs/>
          <w:spacing w:val="6"/>
          <w:szCs w:val="21"/>
        </w:rPr>
        <w:t>提供供应商企业规模、年产值、员工数量及制造商企业规模、年产值、员工数量等数据资料。</w:t>
      </w:r>
    </w:p>
    <w:p>
      <w:pPr>
        <w:numPr>
          <w:ilvl w:val="0"/>
          <w:numId w:val="46"/>
        </w:numPr>
        <w:spacing w:line="360" w:lineRule="auto"/>
        <w:ind w:firstLine="446" w:firstLineChars="200"/>
      </w:pPr>
      <w:r>
        <w:rPr>
          <w:rFonts w:hint="eastAsia" w:asciiTheme="minorEastAsia" w:hAnsiTheme="minorEastAsia" w:eastAsiaTheme="minorEastAsia" w:cstheme="minorEastAsia"/>
          <w:b/>
          <w:bCs/>
          <w:spacing w:val="6"/>
          <w:szCs w:val="21"/>
        </w:rPr>
        <w:t>供应商非所投货物制造商的，还应当提供货物制造商的中小企业声明函，否则在评审时不予考虑。</w:t>
      </w:r>
    </w:p>
    <w:p>
      <w:pPr>
        <w:spacing w:line="360" w:lineRule="auto"/>
        <w:ind w:firstLine="444"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备注：未提供证明材料或材料不全的不予折扣。</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w:t>
      </w:r>
    </w:p>
    <w:p>
      <w:pPr>
        <w:spacing w:line="360" w:lineRule="auto"/>
        <w:rPr>
          <w:rFonts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时</w:t>
      </w:r>
      <w:r>
        <w:rPr>
          <w:rFonts w:hint="eastAsia" w:asciiTheme="minorEastAsia" w:hAnsiTheme="minorEastAsia" w:eastAsiaTheme="minorEastAsia" w:cstheme="minorEastAsia"/>
          <w:szCs w:val="21"/>
        </w:rPr>
        <w:t>间：年月日</w:t>
      </w:r>
    </w:p>
    <w:p>
      <w:pPr>
        <w:spacing w:line="360" w:lineRule="auto"/>
        <w:ind w:firstLine="444" w:firstLineChars="200"/>
        <w:rPr>
          <w:rFonts w:asciiTheme="minorEastAsia" w:hAnsiTheme="minorEastAsia" w:eastAsiaTheme="minorEastAsia" w:cstheme="minorEastAsia"/>
          <w:spacing w:val="6"/>
          <w:szCs w:val="21"/>
        </w:rPr>
      </w:pPr>
    </w:p>
    <w:p>
      <w:pPr>
        <w:autoSpaceDE w:val="0"/>
        <w:autoSpaceDN w:val="0"/>
        <w:adjustRightInd w:val="0"/>
        <w:jc w:val="right"/>
        <w:rPr>
          <w:rFonts w:asciiTheme="minorEastAsia" w:hAnsiTheme="minorEastAsia" w:eastAsiaTheme="minorEastAsia" w:cstheme="minorEastAsia"/>
          <w:szCs w:val="21"/>
        </w:rPr>
      </w:pPr>
    </w:p>
    <w:bookmarkEnd w:id="118"/>
    <w:bookmarkEnd w:id="119"/>
    <w:bookmarkEnd w:id="120"/>
    <w:bookmarkEnd w:id="121"/>
    <w:p>
      <w:pPr>
        <w:adjustRightInd w:val="0"/>
        <w:snapToGrid w:val="0"/>
        <w:jc w:val="center"/>
        <w:outlineLvl w:val="1"/>
        <w:rPr>
          <w:rFonts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18" w:name="_Toc21996"/>
      <w:bookmarkStart w:id="219" w:name="_Toc7229"/>
      <w:bookmarkStart w:id="220" w:name="_Toc4320"/>
      <w:bookmarkStart w:id="221" w:name="_Toc476839034"/>
      <w:bookmarkStart w:id="222" w:name="_Toc479184141"/>
      <w:bookmarkStart w:id="223" w:name="_Toc30406"/>
      <w:r>
        <w:rPr>
          <w:rFonts w:hint="eastAsia" w:asciiTheme="minorEastAsia" w:hAnsiTheme="minorEastAsia" w:eastAsiaTheme="minorEastAsia" w:cstheme="minorEastAsia"/>
          <w:b/>
          <w:bCs/>
          <w:spacing w:val="6"/>
          <w:szCs w:val="21"/>
        </w:rPr>
        <w:t>十七、</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18"/>
    </w:p>
    <w:p>
      <w:pPr>
        <w:adjustRightInd w:val="0"/>
        <w:snapToGrid w:val="0"/>
        <w:jc w:val="center"/>
        <w:rPr>
          <w:rFonts w:asciiTheme="minorEastAsia" w:hAnsiTheme="minorEastAsia" w:eastAsiaTheme="minorEastAsia" w:cstheme="minorEastAsia"/>
          <w:spacing w:val="6"/>
          <w:szCs w:val="21"/>
        </w:rPr>
      </w:pP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磋商供应商授权代表（签字）：</w:t>
      </w:r>
    </w:p>
    <w:p>
      <w:pPr>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名称（盖章）：</w:t>
      </w:r>
    </w:p>
    <w:p>
      <w:pPr>
        <w:adjustRightInd w:val="0"/>
        <w:snapToGrid w:val="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时</w:t>
      </w:r>
      <w:r>
        <w:rPr>
          <w:rFonts w:hint="eastAsia" w:asciiTheme="minorEastAsia" w:hAnsiTheme="minorEastAsia" w:eastAsiaTheme="minorEastAsia" w:cstheme="minorEastAsia"/>
          <w:szCs w:val="21"/>
        </w:rPr>
        <w:t>间：年月日</w:t>
      </w:r>
    </w:p>
    <w:p>
      <w:pPr>
        <w:adjustRightInd w:val="0"/>
        <w:snapToGrid w:val="0"/>
        <w:rPr>
          <w:rFonts w:asciiTheme="minorEastAsia" w:hAnsiTheme="minorEastAsia" w:eastAsiaTheme="minorEastAsia" w:cstheme="minorEastAsia"/>
          <w:spacing w:val="6"/>
          <w:szCs w:val="21"/>
        </w:rPr>
      </w:pPr>
    </w:p>
    <w:p>
      <w:pPr>
        <w:adjustRightInd w:val="0"/>
        <w:snapToGrid w:val="0"/>
        <w:rPr>
          <w:rFonts w:asciiTheme="minorEastAsia" w:hAnsiTheme="minorEastAsia" w:eastAsiaTheme="minorEastAsia" w:cstheme="minorEastAsia"/>
          <w:spacing w:val="6"/>
          <w:szCs w:val="21"/>
        </w:rPr>
      </w:pPr>
    </w:p>
    <w:p>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adjustRightInd w:val="0"/>
        <w:snapToGrid w:val="0"/>
        <w:jc w:val="center"/>
        <w:outlineLvl w:val="1"/>
        <w:rPr>
          <w:rFonts w:asciiTheme="minorEastAsia" w:hAnsiTheme="minorEastAsia" w:eastAsiaTheme="minorEastAsia" w:cstheme="minorEastAsia"/>
          <w:b/>
          <w:lang w:val="zh-CN"/>
        </w:rPr>
      </w:pPr>
      <w:bookmarkStart w:id="224" w:name="_Toc28428"/>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rPr>
        <w:t>十八、</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rPr>
        <w:t>符合</w:t>
      </w:r>
      <w:r>
        <w:rPr>
          <w:rFonts w:hint="eastAsia" w:asciiTheme="minorEastAsia" w:hAnsiTheme="minorEastAsia" w:eastAsiaTheme="minorEastAsia" w:cstheme="minorEastAsia"/>
          <w:b/>
          <w:lang w:val="zh-CN"/>
        </w:rPr>
        <w:t>）</w:t>
      </w:r>
      <w:bookmarkEnd w:id="224"/>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（供应商）</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1、供应商所投货物为自己制造的，也应按本声明函格式填写。</w:t>
      </w:r>
    </w:p>
    <w:p>
      <w:pPr>
        <w:pStyle w:val="14"/>
        <w:spacing w:line="360" w:lineRule="auto"/>
        <w:ind w:left="1033" w:leftChars="342" w:hanging="315" w:hangingChars="150"/>
        <w:jc w:val="left"/>
        <w:rPr>
          <w:rFonts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制造商法定代表人（签字）：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磋商供应商授权代表（签字）：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时间：年月日</w:t>
      </w:r>
    </w:p>
    <w:p>
      <w:p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备注：享受政府采购支持政策的残疾人福利性单位应当同时满足以下条件：</w:t>
      </w:r>
    </w:p>
    <w:p>
      <w:pPr>
        <w:numPr>
          <w:ilvl w:val="0"/>
          <w:numId w:val="47"/>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安置的残疾人占本单位在职职工人数的比例不低于 25%（含 25%），并且安置的残疾人人数不少于 10 人（含 10 人）；</w:t>
      </w:r>
    </w:p>
    <w:p>
      <w:pPr>
        <w:numPr>
          <w:ilvl w:val="0"/>
          <w:numId w:val="47"/>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依法与安置的每位残疾人签订了一年以上（含一年）的劳动合同或服务协议；</w:t>
      </w:r>
    </w:p>
    <w:p>
      <w:pPr>
        <w:numPr>
          <w:ilvl w:val="0"/>
          <w:numId w:val="47"/>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为安置的每位残疾人按月足额缴纳了基本养老保险、基本医疗保险、失业保险、工伤保险和生育保险等社会保险费；</w:t>
      </w:r>
    </w:p>
    <w:p>
      <w:pPr>
        <w:numPr>
          <w:ilvl w:val="0"/>
          <w:numId w:val="47"/>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通过银行等金融机构向安置的每位残疾人，按月支付了不低于单位所在区县适用的经省级人民政府批准的月最低工资标准的工资；</w:t>
      </w:r>
    </w:p>
    <w:p>
      <w:pPr>
        <w:numPr>
          <w:ilvl w:val="0"/>
          <w:numId w:val="47"/>
        </w:numPr>
        <w:spacing w:before="100" w:beforeAutospacing="1" w:after="100" w:afterAutospacing="1"/>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szCs w:val="21"/>
          <w:u w:val="single"/>
        </w:rPr>
      </w:pPr>
      <w:bookmarkStart w:id="225" w:name="_Toc22163"/>
      <w:r>
        <w:rPr>
          <w:rFonts w:hint="eastAsia" w:asciiTheme="minorEastAsia" w:hAnsiTheme="minorEastAsia" w:eastAsiaTheme="minorEastAsia" w:cstheme="minorEastAsia"/>
          <w:b/>
        </w:rPr>
        <w:t>十九、节能环保产品证明材料（若符合）</w:t>
      </w:r>
      <w:bookmarkEnd w:id="225"/>
    </w:p>
    <w:p>
      <w:pPr>
        <w:adjustRightInd w:val="0"/>
        <w:snapToGrid w:val="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w:t>
      </w:r>
    </w:p>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szCs w:val="21"/>
              </w:rPr>
            </w:pPr>
          </w:p>
        </w:tc>
      </w:tr>
    </w:tbl>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磋商供应商授权代表（签字）：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spacing w:before="100" w:beforeAutospacing="1" w:after="100" w:afterAutospacing="1"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zh-CN"/>
        </w:rPr>
        <w:t>时间：年月日</w:t>
      </w:r>
    </w:p>
    <w:p>
      <w:pPr>
        <w:spacing w:before="100" w:beforeAutospacing="1" w:after="100" w:afterAutospacing="1"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asciiTheme="minorEastAsia" w:hAnsiTheme="minorEastAsia" w:eastAsiaTheme="minorEastAsia" w:cstheme="minorEastAsia"/>
          <w:b/>
        </w:rPr>
      </w:pPr>
      <w:bookmarkStart w:id="226" w:name="_Toc5368"/>
      <w:r>
        <w:rPr>
          <w:rFonts w:hint="eastAsia" w:asciiTheme="minorEastAsia" w:hAnsiTheme="minorEastAsia" w:eastAsiaTheme="minorEastAsia" w:cstheme="minorEastAsia"/>
          <w:b/>
          <w:bCs/>
          <w:spacing w:val="6"/>
          <w:szCs w:val="21"/>
        </w:rPr>
        <w:t>二十、</w:t>
      </w:r>
      <w:r>
        <w:rPr>
          <w:rFonts w:hint="eastAsia" w:asciiTheme="minorEastAsia" w:hAnsiTheme="minorEastAsia" w:eastAsiaTheme="minorEastAsia" w:cstheme="minorEastAsia"/>
          <w:b/>
        </w:rPr>
        <w:t>无重大违法记录声明</w:t>
      </w:r>
      <w:bookmarkEnd w:id="219"/>
      <w:bookmarkEnd w:id="220"/>
      <w:bookmarkEnd w:id="221"/>
      <w:bookmarkEnd w:id="222"/>
      <w:bookmarkEnd w:id="223"/>
      <w:bookmarkEnd w:id="226"/>
    </w:p>
    <w:p>
      <w:pPr>
        <w:spacing w:line="48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（磋商供应商应在此基础上，根据本单位实际情况进行声明）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磋商供应商法定代表人（签字）：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磋商供应商授权代表（签字）：</w:t>
      </w:r>
    </w:p>
    <w:p>
      <w:pPr>
        <w:spacing w:before="100" w:beforeAutospacing="1" w:after="100" w:afterAutospacing="1"/>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磋商供应商名称（</w:t>
      </w:r>
      <w:r>
        <w:rPr>
          <w:rFonts w:hint="eastAsia" w:asciiTheme="minorEastAsia" w:hAnsiTheme="minorEastAsia" w:eastAsiaTheme="minorEastAsia" w:cstheme="minorEastAsia"/>
          <w:szCs w:val="21"/>
        </w:rPr>
        <w:t>盖章</w:t>
      </w:r>
      <w:r>
        <w:rPr>
          <w:rFonts w:hint="eastAsia" w:asciiTheme="minorEastAsia" w:hAnsiTheme="minorEastAsia" w:eastAsiaTheme="minorEastAsia" w:cstheme="minorEastAsia"/>
          <w:szCs w:val="21"/>
          <w:lang w:val="zh-CN"/>
        </w:rPr>
        <w:t>）：</w:t>
      </w:r>
    </w:p>
    <w:p>
      <w:pPr>
        <w:ind w:firstLine="420" w:firstLineChars="20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时间：年月日</w:t>
      </w:r>
    </w:p>
    <w:p>
      <w:pPr>
        <w:ind w:firstLine="420" w:firstLineChars="200"/>
        <w:jc w:val="center"/>
        <w:outlineLvl w:val="1"/>
        <w:rPr>
          <w:rFonts w:asciiTheme="minorEastAsia" w:hAnsiTheme="minorEastAsia" w:eastAsiaTheme="minorEastAsia" w:cstheme="minorEastAsia"/>
          <w:b/>
          <w:bCs/>
          <w:spacing w:val="6"/>
          <w:szCs w:val="21"/>
        </w:rPr>
      </w:pPr>
      <w:bookmarkStart w:id="227" w:name="_Toc5812"/>
      <w:bookmarkStart w:id="228" w:name="_Toc4557"/>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spacing w:val="6"/>
          <w:szCs w:val="21"/>
        </w:rPr>
        <w:t>二十一、磋商供应商认为应该提交的其它文件（格式自拟）</w:t>
      </w:r>
      <w:bookmarkEnd w:id="227"/>
      <w:bookmarkEnd w:id="228"/>
    </w:p>
    <w:sectPr>
      <w:footerReference r:id="rId7" w:type="default"/>
      <w:type w:val="continuous"/>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serif">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42</w:t>
    </w:r>
    <w:r>
      <w:rPr>
        <w:lang w:val="zh-CN"/>
      </w:rP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8240;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CD20A8C3"/>
    <w:multiLevelType w:val="singleLevel"/>
    <w:tmpl w:val="CD20A8C3"/>
    <w:lvl w:ilvl="0" w:tentative="0">
      <w:start w:val="7"/>
      <w:numFmt w:val="decimal"/>
      <w:suff w:val="nothing"/>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5907297"/>
    <w:multiLevelType w:val="multilevel"/>
    <w:tmpl w:val="15907297"/>
    <w:lvl w:ilvl="0" w:tentative="0">
      <w:start w:val="1"/>
      <w:numFmt w:val="decimal"/>
      <w:pStyle w:val="86"/>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8"/>
      <w:lvlText w:val="%1.%2.%3"/>
      <w:lvlJc w:val="left"/>
      <w:pPr>
        <w:tabs>
          <w:tab w:val="left" w:pos="720"/>
        </w:tabs>
        <w:ind w:left="720" w:hanging="153"/>
      </w:pPr>
      <w:rPr>
        <w:rFonts w:hint="eastAsia"/>
      </w:rPr>
    </w:lvl>
    <w:lvl w:ilvl="3" w:tentative="0">
      <w:start w:val="1"/>
      <w:numFmt w:val="decimal"/>
      <w:pStyle w:val="85"/>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6">
    <w:nsid w:val="1E84619A"/>
    <w:multiLevelType w:val="singleLevel"/>
    <w:tmpl w:val="1E84619A"/>
    <w:lvl w:ilvl="0" w:tentative="0">
      <w:start w:val="1"/>
      <w:numFmt w:val="decimal"/>
      <w:suff w:val="nothing"/>
      <w:lvlText w:val="%1、"/>
      <w:lvlJc w:val="left"/>
    </w:lvl>
  </w:abstractNum>
  <w:abstractNum w:abstractNumId="17">
    <w:nsid w:val="20BA2AF0"/>
    <w:multiLevelType w:val="singleLevel"/>
    <w:tmpl w:val="20BA2AF0"/>
    <w:lvl w:ilvl="0" w:tentative="0">
      <w:start w:val="1"/>
      <w:numFmt w:val="decimal"/>
      <w:suff w:val="space"/>
      <w:lvlText w:val="%1）"/>
      <w:lvlJc w:val="left"/>
    </w:lvl>
  </w:abstractNum>
  <w:abstractNum w:abstractNumId="18">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9">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0">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92"/>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1">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4">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6">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7">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8">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9">
    <w:nsid w:val="4B331C36"/>
    <w:multiLevelType w:val="multilevel"/>
    <w:tmpl w:val="4B331C36"/>
    <w:lvl w:ilvl="0" w:tentative="0">
      <w:start w:val="1"/>
      <w:numFmt w:val="japaneseCounting"/>
      <w:pStyle w:val="97"/>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1">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3">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4">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8">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9">
    <w:nsid w:val="6CEA2025"/>
    <w:multiLevelType w:val="multilevel"/>
    <w:tmpl w:val="6CEA2025"/>
    <w:lvl w:ilvl="0" w:tentative="0">
      <w:start w:val="1"/>
      <w:numFmt w:val="none"/>
      <w:pStyle w:val="74"/>
      <w:suff w:val="nothing"/>
      <w:lvlText w:val="%1"/>
      <w:lvlJc w:val="left"/>
      <w:pPr>
        <w:ind w:left="0" w:firstLine="0"/>
      </w:pPr>
      <w:rPr>
        <w:rFonts w:hint="default" w:ascii="Times New Roman" w:hAnsi="Times New Roman"/>
        <w:b/>
        <w:i w:val="0"/>
        <w:sz w:val="21"/>
      </w:rPr>
    </w:lvl>
    <w:lvl w:ilvl="1" w:tentative="0">
      <w:start w:val="1"/>
      <w:numFmt w:val="decimal"/>
      <w:pStyle w:val="77"/>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83"/>
      <w:suff w:val="nothing"/>
      <w:lvlText w:val="%1%2.%3　"/>
      <w:lvlJc w:val="left"/>
      <w:pPr>
        <w:ind w:left="720" w:firstLine="0"/>
      </w:pPr>
      <w:rPr>
        <w:rFonts w:hint="eastAsia" w:ascii="黑体" w:hAnsi="Times New Roman" w:eastAsia="黑体"/>
        <w:b w:val="0"/>
        <w:i w:val="0"/>
        <w:sz w:val="21"/>
      </w:rPr>
    </w:lvl>
    <w:lvl w:ilvl="3" w:tentative="0">
      <w:start w:val="1"/>
      <w:numFmt w:val="decimal"/>
      <w:pStyle w:val="82"/>
      <w:suff w:val="nothing"/>
      <w:lvlText w:val="%1%2.4.%4　"/>
      <w:lvlJc w:val="left"/>
      <w:pPr>
        <w:ind w:left="420" w:firstLine="0"/>
      </w:pPr>
      <w:rPr>
        <w:rFonts w:hint="eastAsia" w:ascii="黑体" w:hAnsi="Times New Roman" w:eastAsia="黑体"/>
        <w:b w:val="0"/>
        <w:i w:val="0"/>
        <w:sz w:val="21"/>
      </w:rPr>
    </w:lvl>
    <w:lvl w:ilvl="4" w:tentative="0">
      <w:start w:val="1"/>
      <w:numFmt w:val="decimal"/>
      <w:pStyle w:val="89"/>
      <w:suff w:val="nothing"/>
      <w:lvlText w:val="5.%12.5.%5　"/>
      <w:lvlJc w:val="left"/>
      <w:pPr>
        <w:ind w:left="42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0">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41">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4">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6">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9"/>
  </w:num>
  <w:num w:numId="2">
    <w:abstractNumId w:val="11"/>
  </w:num>
  <w:num w:numId="3">
    <w:abstractNumId w:val="20"/>
  </w:num>
  <w:num w:numId="4">
    <w:abstractNumId w:val="29"/>
  </w:num>
  <w:num w:numId="5">
    <w:abstractNumId w:val="14"/>
  </w:num>
  <w:num w:numId="6">
    <w:abstractNumId w:val="13"/>
  </w:num>
  <w:num w:numId="7">
    <w:abstractNumId w:val="2"/>
  </w:num>
  <w:num w:numId="8">
    <w:abstractNumId w:val="33"/>
  </w:num>
  <w:num w:numId="9">
    <w:abstractNumId w:val="9"/>
  </w:num>
  <w:num w:numId="10">
    <w:abstractNumId w:val="16"/>
  </w:num>
  <w:num w:numId="11">
    <w:abstractNumId w:val="15"/>
  </w:num>
  <w:num w:numId="12">
    <w:abstractNumId w:val="35"/>
  </w:num>
  <w:num w:numId="13">
    <w:abstractNumId w:val="45"/>
  </w:num>
  <w:num w:numId="14">
    <w:abstractNumId w:val="46"/>
  </w:num>
  <w:num w:numId="15">
    <w:abstractNumId w:val="28"/>
  </w:num>
  <w:num w:numId="16">
    <w:abstractNumId w:val="31"/>
  </w:num>
  <w:num w:numId="17">
    <w:abstractNumId w:val="34"/>
  </w:num>
  <w:num w:numId="18">
    <w:abstractNumId w:val="36"/>
  </w:num>
  <w:num w:numId="19">
    <w:abstractNumId w:val="4"/>
  </w:num>
  <w:num w:numId="20">
    <w:abstractNumId w:val="38"/>
  </w:num>
  <w:num w:numId="21">
    <w:abstractNumId w:val="6"/>
  </w:num>
  <w:num w:numId="22">
    <w:abstractNumId w:val="26"/>
  </w:num>
  <w:num w:numId="23">
    <w:abstractNumId w:val="22"/>
  </w:num>
  <w:num w:numId="24">
    <w:abstractNumId w:val="41"/>
  </w:num>
  <w:num w:numId="25">
    <w:abstractNumId w:val="12"/>
  </w:num>
  <w:num w:numId="26">
    <w:abstractNumId w:val="27"/>
  </w:num>
  <w:num w:numId="27">
    <w:abstractNumId w:val="8"/>
  </w:num>
  <w:num w:numId="28">
    <w:abstractNumId w:val="40"/>
  </w:num>
  <w:num w:numId="29">
    <w:abstractNumId w:val="44"/>
  </w:num>
  <w:num w:numId="30">
    <w:abstractNumId w:val="30"/>
  </w:num>
  <w:num w:numId="31">
    <w:abstractNumId w:val="24"/>
  </w:num>
  <w:num w:numId="32">
    <w:abstractNumId w:val="10"/>
  </w:num>
  <w:num w:numId="33">
    <w:abstractNumId w:val="21"/>
  </w:num>
  <w:num w:numId="34">
    <w:abstractNumId w:val="43"/>
  </w:num>
  <w:num w:numId="35">
    <w:abstractNumId w:val="25"/>
  </w:num>
  <w:num w:numId="36">
    <w:abstractNumId w:val="17"/>
  </w:num>
  <w:num w:numId="37">
    <w:abstractNumId w:val="1"/>
  </w:num>
  <w:num w:numId="38">
    <w:abstractNumId w:val="42"/>
  </w:num>
  <w:num w:numId="39">
    <w:abstractNumId w:val="37"/>
  </w:num>
  <w:num w:numId="40">
    <w:abstractNumId w:val="18"/>
  </w:num>
  <w:num w:numId="41">
    <w:abstractNumId w:val="32"/>
  </w:num>
  <w:num w:numId="42">
    <w:abstractNumId w:val="3"/>
  </w:num>
  <w:num w:numId="43">
    <w:abstractNumId w:val="19"/>
  </w:num>
  <w:num w:numId="44">
    <w:abstractNumId w:val="23"/>
  </w:num>
  <w:num w:numId="45">
    <w:abstractNumId w:val="7"/>
  </w:num>
  <w:num w:numId="46">
    <w:abstractNumId w:val="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383590"/>
    <w:rsid w:val="00081C5D"/>
    <w:rsid w:val="001C7F84"/>
    <w:rsid w:val="00262F73"/>
    <w:rsid w:val="003543A8"/>
    <w:rsid w:val="00375FF2"/>
    <w:rsid w:val="003820D4"/>
    <w:rsid w:val="00383590"/>
    <w:rsid w:val="00592F0A"/>
    <w:rsid w:val="005A76A5"/>
    <w:rsid w:val="00614A00"/>
    <w:rsid w:val="0067654A"/>
    <w:rsid w:val="006E6AA1"/>
    <w:rsid w:val="00723041"/>
    <w:rsid w:val="00744996"/>
    <w:rsid w:val="00812F0F"/>
    <w:rsid w:val="00886D29"/>
    <w:rsid w:val="008F62D0"/>
    <w:rsid w:val="00A63F1E"/>
    <w:rsid w:val="00AA70B6"/>
    <w:rsid w:val="00B348BF"/>
    <w:rsid w:val="00C674DC"/>
    <w:rsid w:val="00CA4647"/>
    <w:rsid w:val="00D302C7"/>
    <w:rsid w:val="00D42372"/>
    <w:rsid w:val="00E3521B"/>
    <w:rsid w:val="00E52DB0"/>
    <w:rsid w:val="00E759AF"/>
    <w:rsid w:val="00EC6BBF"/>
    <w:rsid w:val="00F62EF1"/>
    <w:rsid w:val="00FD7643"/>
    <w:rsid w:val="0138518F"/>
    <w:rsid w:val="02484CDC"/>
    <w:rsid w:val="041E6CD8"/>
    <w:rsid w:val="04292BD5"/>
    <w:rsid w:val="062958E9"/>
    <w:rsid w:val="07554760"/>
    <w:rsid w:val="084F3ABD"/>
    <w:rsid w:val="0A6043A0"/>
    <w:rsid w:val="0B407E95"/>
    <w:rsid w:val="0C410E3C"/>
    <w:rsid w:val="0D6E0463"/>
    <w:rsid w:val="0F76751E"/>
    <w:rsid w:val="10133B21"/>
    <w:rsid w:val="118C3979"/>
    <w:rsid w:val="11E128DD"/>
    <w:rsid w:val="15430E4A"/>
    <w:rsid w:val="19FF25CF"/>
    <w:rsid w:val="1A6A0938"/>
    <w:rsid w:val="1B7E25A5"/>
    <w:rsid w:val="1B916B68"/>
    <w:rsid w:val="1D6F5531"/>
    <w:rsid w:val="1DF022B8"/>
    <w:rsid w:val="1FF1715D"/>
    <w:rsid w:val="233F4A2D"/>
    <w:rsid w:val="242C15A4"/>
    <w:rsid w:val="2AED43ED"/>
    <w:rsid w:val="2C532646"/>
    <w:rsid w:val="2CBB1255"/>
    <w:rsid w:val="2FE62789"/>
    <w:rsid w:val="32E22F80"/>
    <w:rsid w:val="331A0453"/>
    <w:rsid w:val="360C2C2E"/>
    <w:rsid w:val="37D75441"/>
    <w:rsid w:val="38043D20"/>
    <w:rsid w:val="38731ACB"/>
    <w:rsid w:val="38BB3138"/>
    <w:rsid w:val="38F34E70"/>
    <w:rsid w:val="39936527"/>
    <w:rsid w:val="3A20610F"/>
    <w:rsid w:val="3A8F2498"/>
    <w:rsid w:val="3CF94A78"/>
    <w:rsid w:val="3F311304"/>
    <w:rsid w:val="40007C2C"/>
    <w:rsid w:val="42031D84"/>
    <w:rsid w:val="425372BD"/>
    <w:rsid w:val="42FD46D0"/>
    <w:rsid w:val="43775AD3"/>
    <w:rsid w:val="44401654"/>
    <w:rsid w:val="48A04FBA"/>
    <w:rsid w:val="4A183411"/>
    <w:rsid w:val="4C473DDC"/>
    <w:rsid w:val="4CF71FA7"/>
    <w:rsid w:val="4CFF6E4E"/>
    <w:rsid w:val="4DD9115A"/>
    <w:rsid w:val="53671D9C"/>
    <w:rsid w:val="588E461E"/>
    <w:rsid w:val="593731BD"/>
    <w:rsid w:val="5BC51335"/>
    <w:rsid w:val="5C076A04"/>
    <w:rsid w:val="5C2568CC"/>
    <w:rsid w:val="5E5172EF"/>
    <w:rsid w:val="61A64436"/>
    <w:rsid w:val="627C301A"/>
    <w:rsid w:val="6C10791B"/>
    <w:rsid w:val="6D3D0E4D"/>
    <w:rsid w:val="6E535193"/>
    <w:rsid w:val="6EAA1870"/>
    <w:rsid w:val="70364267"/>
    <w:rsid w:val="73397533"/>
    <w:rsid w:val="74D503FB"/>
    <w:rsid w:val="7820296B"/>
    <w:rsid w:val="788A7EE3"/>
    <w:rsid w:val="7A7A09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42"/>
    <w:qFormat/>
    <w:uiPriority w:val="0"/>
    <w:rPr>
      <w:rFonts w:ascii="宋体" w:hAnsi="Tahoma"/>
      <w:sz w:val="18"/>
      <w:szCs w:val="18"/>
    </w:rPr>
  </w:style>
  <w:style w:type="paragraph" w:styleId="8">
    <w:name w:val="annotation text"/>
    <w:basedOn w:val="1"/>
    <w:link w:val="71"/>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65"/>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9"/>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Emphasis"/>
    <w:basedOn w:val="28"/>
    <w:qFormat/>
    <w:uiPriority w:val="0"/>
  </w:style>
  <w:style w:type="character" w:styleId="33">
    <w:name w:val="HTML Definition"/>
    <w:basedOn w:val="28"/>
    <w:qFormat/>
    <w:uiPriority w:val="0"/>
  </w:style>
  <w:style w:type="character" w:styleId="34">
    <w:name w:val="HTML Variable"/>
    <w:basedOn w:val="28"/>
    <w:qFormat/>
    <w:uiPriority w:val="0"/>
  </w:style>
  <w:style w:type="character" w:styleId="35">
    <w:name w:val="Hyperlink"/>
    <w:qFormat/>
    <w:uiPriority w:val="99"/>
    <w:rPr>
      <w:rFonts w:ascii="Tahoma" w:hAnsi="Tahoma"/>
      <w:color w:val="0000FF"/>
      <w:sz w:val="24"/>
      <w:u w:val="single"/>
    </w:rPr>
  </w:style>
  <w:style w:type="character" w:styleId="36">
    <w:name w:val="HTML Code"/>
    <w:basedOn w:val="28"/>
    <w:qFormat/>
    <w:uiPriority w:val="0"/>
    <w:rPr>
      <w:rFonts w:hint="default" w:ascii="serif" w:hAnsi="serif" w:eastAsia="serif" w:cs="serif"/>
      <w:sz w:val="21"/>
      <w:szCs w:val="21"/>
    </w:rPr>
  </w:style>
  <w:style w:type="character" w:styleId="37">
    <w:name w:val="annotation reference"/>
    <w:unhideWhenUsed/>
    <w:qFormat/>
    <w:uiPriority w:val="99"/>
    <w:rPr>
      <w:rFonts w:ascii="Tahoma" w:hAnsi="Tahoma"/>
      <w:sz w:val="21"/>
      <w:szCs w:val="21"/>
    </w:rPr>
  </w:style>
  <w:style w:type="character" w:styleId="38">
    <w:name w:val="HTML Cite"/>
    <w:basedOn w:val="28"/>
    <w:qFormat/>
    <w:uiPriority w:val="0"/>
  </w:style>
  <w:style w:type="character" w:styleId="39">
    <w:name w:val="HTML Keyboard"/>
    <w:basedOn w:val="28"/>
    <w:qFormat/>
    <w:uiPriority w:val="0"/>
    <w:rPr>
      <w:rFonts w:ascii="serif" w:hAnsi="serif" w:eastAsia="serif" w:cs="serif"/>
      <w:sz w:val="21"/>
      <w:szCs w:val="21"/>
    </w:rPr>
  </w:style>
  <w:style w:type="character" w:styleId="40">
    <w:name w:val="HTML Sample"/>
    <w:basedOn w:val="28"/>
    <w:qFormat/>
    <w:uiPriority w:val="0"/>
    <w:rPr>
      <w:rFonts w:hint="default" w:ascii="serif" w:hAnsi="serif" w:eastAsia="serif" w:cs="serif"/>
      <w:sz w:val="21"/>
      <w:szCs w:val="21"/>
    </w:rPr>
  </w:style>
  <w:style w:type="character" w:customStyle="1" w:styleId="41">
    <w:name w:val="cfdate"/>
    <w:basedOn w:val="28"/>
    <w:qFormat/>
    <w:uiPriority w:val="0"/>
    <w:rPr>
      <w:color w:val="333333"/>
      <w:sz w:val="18"/>
      <w:szCs w:val="18"/>
    </w:rPr>
  </w:style>
  <w:style w:type="character" w:customStyle="1" w:styleId="42">
    <w:name w:val="文档结构图 Char"/>
    <w:link w:val="7"/>
    <w:qFormat/>
    <w:uiPriority w:val="0"/>
    <w:rPr>
      <w:rFonts w:ascii="宋体" w:hAnsi="Tahoma"/>
      <w:kern w:val="2"/>
      <w:sz w:val="18"/>
      <w:szCs w:val="18"/>
    </w:rPr>
  </w:style>
  <w:style w:type="character" w:customStyle="1" w:styleId="43">
    <w:name w:val="copyright"/>
    <w:basedOn w:val="28"/>
    <w:qFormat/>
    <w:uiPriority w:val="0"/>
  </w:style>
  <w:style w:type="character" w:customStyle="1" w:styleId="44">
    <w:name w:val="Char Char6"/>
    <w:qFormat/>
    <w:uiPriority w:val="0"/>
    <w:rPr>
      <w:rFonts w:ascii="Tahoma" w:hAnsi="Tahoma" w:eastAsia="宋体"/>
      <w:b/>
      <w:bCs/>
      <w:kern w:val="2"/>
      <w:sz w:val="32"/>
      <w:szCs w:val="32"/>
      <w:lang w:val="en-US" w:eastAsia="zh-CN" w:bidi="ar-SA"/>
    </w:rPr>
  </w:style>
  <w:style w:type="character" w:customStyle="1" w:styleId="45">
    <w:name w:val="qxdate"/>
    <w:basedOn w:val="28"/>
    <w:qFormat/>
    <w:uiPriority w:val="0"/>
    <w:rPr>
      <w:color w:val="333333"/>
      <w:sz w:val="18"/>
      <w:szCs w:val="18"/>
    </w:rPr>
  </w:style>
  <w:style w:type="character" w:customStyle="1" w:styleId="46">
    <w:name w:val="gjfg"/>
    <w:basedOn w:val="28"/>
    <w:qFormat/>
    <w:uiPriority w:val="0"/>
  </w:style>
  <w:style w:type="character" w:customStyle="1" w:styleId="47">
    <w:name w:val="Char Char3"/>
    <w:semiHidden/>
    <w:qFormat/>
    <w:uiPriority w:val="0"/>
    <w:rPr>
      <w:rFonts w:ascii="Tahoma" w:hAnsi="Tahoma" w:eastAsia="宋体"/>
      <w:kern w:val="2"/>
      <w:sz w:val="18"/>
      <w:szCs w:val="18"/>
      <w:lang w:val="en-US" w:eastAsia="zh-CN" w:bidi="ar-SA"/>
    </w:rPr>
  </w:style>
  <w:style w:type="character" w:customStyle="1" w:styleId="48">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9">
    <w:name w:val="Char Char4"/>
    <w:qFormat/>
    <w:uiPriority w:val="0"/>
    <w:rPr>
      <w:rFonts w:ascii="Tahoma" w:hAnsi="Tahoma" w:eastAsia="宋体"/>
      <w:kern w:val="2"/>
      <w:sz w:val="18"/>
      <w:szCs w:val="18"/>
      <w:lang w:val="en-US" w:eastAsia="zh-CN" w:bidi="ar-SA"/>
    </w:rPr>
  </w:style>
  <w:style w:type="character" w:customStyle="1" w:styleId="50">
    <w:name w:val="font51"/>
    <w:qFormat/>
    <w:uiPriority w:val="0"/>
    <w:rPr>
      <w:rFonts w:hint="eastAsia" w:ascii="宋体" w:hAnsi="宋体" w:eastAsia="宋体" w:cs="宋体"/>
      <w:color w:val="000000"/>
      <w:sz w:val="21"/>
      <w:szCs w:val="21"/>
      <w:u w:val="none"/>
    </w:rPr>
  </w:style>
  <w:style w:type="character" w:customStyle="1" w:styleId="51">
    <w:name w:val="Char Char1"/>
    <w:semiHidden/>
    <w:qFormat/>
    <w:uiPriority w:val="0"/>
    <w:rPr>
      <w:rFonts w:ascii="Tahoma" w:hAnsi="Tahoma" w:eastAsia="宋体"/>
      <w:kern w:val="2"/>
      <w:sz w:val="28"/>
      <w:lang w:val="en-US" w:eastAsia="zh-CN" w:bidi="ar-SA"/>
    </w:rPr>
  </w:style>
  <w:style w:type="character" w:customStyle="1" w:styleId="52">
    <w:name w:val="profont1"/>
    <w:qFormat/>
    <w:uiPriority w:val="0"/>
    <w:rPr>
      <w:rFonts w:hint="default" w:ascii="Verdana" w:hAnsi="Verdana"/>
      <w:b/>
      <w:bCs/>
      <w:color w:val="333333"/>
      <w:sz w:val="24"/>
      <w:szCs w:val="24"/>
      <w:u w:val="none"/>
    </w:rPr>
  </w:style>
  <w:style w:type="character" w:customStyle="1" w:styleId="53">
    <w:name w:val="标题 2 Char"/>
    <w:qFormat/>
    <w:uiPriority w:val="0"/>
    <w:rPr>
      <w:rFonts w:ascii="Arial" w:hAnsi="Arial" w:eastAsia="黑体"/>
      <w:b/>
      <w:bCs/>
      <w:kern w:val="2"/>
      <w:sz w:val="32"/>
      <w:szCs w:val="32"/>
      <w:lang w:val="en-US" w:eastAsia="zh-CN" w:bidi="ar-SA"/>
    </w:rPr>
  </w:style>
  <w:style w:type="character" w:customStyle="1" w:styleId="54">
    <w:name w:val="Char Char5"/>
    <w:qFormat/>
    <w:uiPriority w:val="0"/>
    <w:rPr>
      <w:rFonts w:ascii="Tahoma" w:hAnsi="Tahoma" w:eastAsia="宋体"/>
      <w:kern w:val="2"/>
      <w:sz w:val="18"/>
      <w:szCs w:val="18"/>
      <w:lang w:val="en-US" w:eastAsia="zh-CN" w:bidi="ar-SA"/>
    </w:rPr>
  </w:style>
  <w:style w:type="character" w:customStyle="1" w:styleId="55">
    <w:name w:val="标题 1.1 Char1"/>
    <w:qFormat/>
    <w:uiPriority w:val="0"/>
    <w:rPr>
      <w:rFonts w:ascii="Arial" w:hAnsi="Arial" w:eastAsia="黑体"/>
      <w:b/>
      <w:bCs/>
      <w:kern w:val="2"/>
      <w:sz w:val="32"/>
      <w:szCs w:val="32"/>
      <w:lang w:val="en-US" w:eastAsia="zh-CN" w:bidi="ar-SA"/>
    </w:rPr>
  </w:style>
  <w:style w:type="character" w:customStyle="1" w:styleId="56">
    <w:name w:val="font01"/>
    <w:qFormat/>
    <w:uiPriority w:val="0"/>
    <w:rPr>
      <w:rFonts w:hint="eastAsia" w:ascii="宋体" w:hAnsi="宋体" w:eastAsia="宋体" w:cs="宋体"/>
      <w:color w:val="000000"/>
      <w:sz w:val="24"/>
      <w:szCs w:val="24"/>
      <w:u w:val="none"/>
    </w:rPr>
  </w:style>
  <w:style w:type="character" w:customStyle="1" w:styleId="57">
    <w:name w:val="font11"/>
    <w:qFormat/>
    <w:uiPriority w:val="0"/>
    <w:rPr>
      <w:rFonts w:hint="eastAsia" w:ascii="宋体" w:hAnsi="宋体" w:eastAsia="宋体" w:cs="宋体"/>
      <w:b/>
      <w:color w:val="000000"/>
      <w:sz w:val="24"/>
      <w:szCs w:val="24"/>
      <w:u w:val="none"/>
    </w:rPr>
  </w:style>
  <w:style w:type="character" w:customStyle="1" w:styleId="58">
    <w:name w:val="Char Char"/>
    <w:qFormat/>
    <w:uiPriority w:val="0"/>
    <w:rPr>
      <w:rFonts w:ascii="Tahoma" w:hAnsi="Tahoma"/>
      <w:kern w:val="2"/>
      <w:sz w:val="21"/>
      <w:szCs w:val="24"/>
    </w:rPr>
  </w:style>
  <w:style w:type="character" w:customStyle="1" w:styleId="59">
    <w:name w:val="style111"/>
    <w:qFormat/>
    <w:uiPriority w:val="0"/>
    <w:rPr>
      <w:rFonts w:ascii="Tahoma" w:hAnsi="Tahoma"/>
      <w:sz w:val="22"/>
      <w:szCs w:val="22"/>
    </w:rPr>
  </w:style>
  <w:style w:type="character" w:customStyle="1" w:styleId="60">
    <w:name w:val="displayarti"/>
    <w:basedOn w:val="28"/>
    <w:qFormat/>
    <w:uiPriority w:val="0"/>
    <w:rPr>
      <w:color w:val="FFFFFF"/>
      <w:shd w:val="clear" w:color="auto" w:fill="A00000"/>
    </w:rPr>
  </w:style>
  <w:style w:type="character" w:customStyle="1" w:styleId="61">
    <w:name w:val="Char Char7"/>
    <w:qFormat/>
    <w:uiPriority w:val="0"/>
    <w:rPr>
      <w:rFonts w:ascii="Tahoma" w:hAnsi="Tahoma" w:eastAsia="宋体"/>
      <w:b/>
      <w:bCs/>
      <w:kern w:val="44"/>
      <w:sz w:val="44"/>
      <w:szCs w:val="44"/>
      <w:lang w:val="en-US" w:eastAsia="zh-CN" w:bidi="ar-SA"/>
    </w:rPr>
  </w:style>
  <w:style w:type="character" w:customStyle="1" w:styleId="62">
    <w:name w:val="font31"/>
    <w:qFormat/>
    <w:uiPriority w:val="0"/>
    <w:rPr>
      <w:rFonts w:hint="eastAsia" w:ascii="宋体" w:hAnsi="宋体" w:eastAsia="宋体" w:cs="宋体"/>
      <w:color w:val="000000"/>
      <w:sz w:val="21"/>
      <w:szCs w:val="21"/>
      <w:u w:val="none"/>
    </w:rPr>
  </w:style>
  <w:style w:type="character" w:customStyle="1" w:styleId="63">
    <w:name w:val="Char Char2"/>
    <w:qFormat/>
    <w:uiPriority w:val="0"/>
    <w:rPr>
      <w:rFonts w:ascii="华文仿宋" w:hAnsi="华文仿宋" w:eastAsia="华文仿宋"/>
      <w:color w:val="000000"/>
      <w:sz w:val="32"/>
      <w:szCs w:val="32"/>
      <w:lang w:val="en-US" w:eastAsia="zh-CN" w:bidi="ar-SA"/>
    </w:rPr>
  </w:style>
  <w:style w:type="character" w:customStyle="1" w:styleId="64">
    <w:name w:val="style51"/>
    <w:qFormat/>
    <w:uiPriority w:val="0"/>
    <w:rPr>
      <w:rFonts w:ascii="Tahoma" w:hAnsi="Tahoma"/>
      <w:b/>
      <w:bCs/>
      <w:color w:val="814107"/>
      <w:sz w:val="21"/>
      <w:szCs w:val="21"/>
    </w:rPr>
  </w:style>
  <w:style w:type="character" w:customStyle="1" w:styleId="65">
    <w:name w:val="页脚 Char"/>
    <w:link w:val="18"/>
    <w:qFormat/>
    <w:uiPriority w:val="99"/>
    <w:rPr>
      <w:rFonts w:ascii="Tahoma" w:hAnsi="Tahoma"/>
      <w:kern w:val="2"/>
      <w:sz w:val="18"/>
      <w:szCs w:val="18"/>
    </w:rPr>
  </w:style>
  <w:style w:type="character" w:customStyle="1" w:styleId="66">
    <w:name w:val="标题 1.1 Char"/>
    <w:qFormat/>
    <w:uiPriority w:val="0"/>
    <w:rPr>
      <w:rFonts w:ascii="仿宋_GB2312" w:hAnsi="Arial" w:eastAsia="仿宋_GB2312" w:cs="Arial"/>
      <w:b/>
      <w:bCs/>
      <w:kern w:val="2"/>
      <w:sz w:val="24"/>
      <w:szCs w:val="24"/>
      <w:lang w:val="en-US" w:eastAsia="zh-CN" w:bidi="ar-SA"/>
    </w:rPr>
  </w:style>
  <w:style w:type="character" w:customStyle="1" w:styleId="67">
    <w:name w:val="普通文字 Char1"/>
    <w:qFormat/>
    <w:uiPriority w:val="0"/>
    <w:rPr>
      <w:rFonts w:ascii="宋体" w:hAnsi="Courier New" w:eastAsia="宋体"/>
      <w:kern w:val="2"/>
      <w:sz w:val="21"/>
      <w:szCs w:val="21"/>
      <w:lang w:val="en-US" w:eastAsia="zh-CN" w:bidi="ar-SA"/>
    </w:rPr>
  </w:style>
  <w:style w:type="character" w:customStyle="1" w:styleId="68">
    <w:name w:val="font41"/>
    <w:qFormat/>
    <w:uiPriority w:val="0"/>
    <w:rPr>
      <w:rFonts w:ascii="font-weight : 400" w:hAnsi="font-weight : 400" w:eastAsia="font-weight : 400" w:cs="font-weight : 400"/>
      <w:color w:val="000000"/>
      <w:sz w:val="21"/>
      <w:szCs w:val="21"/>
      <w:u w:val="none"/>
    </w:rPr>
  </w:style>
  <w:style w:type="character" w:customStyle="1" w:styleId="69">
    <w:name w:val="批注主题 Char"/>
    <w:link w:val="25"/>
    <w:qFormat/>
    <w:uiPriority w:val="0"/>
    <w:rPr>
      <w:rFonts w:ascii="Tahoma" w:hAnsi="Tahoma"/>
      <w:b/>
      <w:bCs/>
      <w:kern w:val="2"/>
      <w:sz w:val="21"/>
      <w:szCs w:val="24"/>
    </w:rPr>
  </w:style>
  <w:style w:type="character" w:customStyle="1" w:styleId="70">
    <w:name w:val="redfilefwwh"/>
    <w:basedOn w:val="28"/>
    <w:qFormat/>
    <w:uiPriority w:val="0"/>
    <w:rPr>
      <w:color w:val="BA2636"/>
      <w:sz w:val="18"/>
      <w:szCs w:val="18"/>
    </w:rPr>
  </w:style>
  <w:style w:type="character" w:customStyle="1" w:styleId="71">
    <w:name w:val="批注文字 Char"/>
    <w:link w:val="8"/>
    <w:semiHidden/>
    <w:qFormat/>
    <w:uiPriority w:val="99"/>
    <w:rPr>
      <w:rFonts w:ascii="Tahoma" w:hAnsi="Tahoma"/>
      <w:kern w:val="2"/>
      <w:sz w:val="21"/>
      <w:szCs w:val="24"/>
    </w:rPr>
  </w:style>
  <w:style w:type="character" w:customStyle="1" w:styleId="72">
    <w:name w:val="redfilenumber"/>
    <w:basedOn w:val="28"/>
    <w:qFormat/>
    <w:uiPriority w:val="0"/>
    <w:rPr>
      <w:color w:val="BA2636"/>
      <w:sz w:val="18"/>
      <w:szCs w:val="18"/>
    </w:rPr>
  </w:style>
  <w:style w:type="paragraph" w:customStyle="1" w:styleId="73">
    <w:name w:val="Char1 Char Char Char"/>
    <w:basedOn w:val="1"/>
    <w:qFormat/>
    <w:uiPriority w:val="0"/>
    <w:pPr>
      <w:adjustRightInd w:val="0"/>
      <w:spacing w:line="360" w:lineRule="auto"/>
    </w:pPr>
    <w:rPr>
      <w:kern w:val="0"/>
      <w:sz w:val="24"/>
      <w:szCs w:val="20"/>
    </w:rPr>
  </w:style>
  <w:style w:type="paragraph" w:customStyle="1" w:styleId="74">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5">
    <w:name w:val="_Style 2"/>
    <w:basedOn w:val="1"/>
    <w:qFormat/>
    <w:uiPriority w:val="34"/>
    <w:pPr>
      <w:ind w:firstLine="420" w:firstLineChars="200"/>
    </w:pPr>
  </w:style>
  <w:style w:type="paragraph" w:customStyle="1" w:styleId="76">
    <w:name w:val="Char Char Char Char Char Char"/>
    <w:basedOn w:val="1"/>
    <w:qFormat/>
    <w:uiPriority w:val="0"/>
    <w:rPr>
      <w:rFonts w:ascii="Tahoma" w:hAnsi="Tahoma"/>
      <w:sz w:val="24"/>
    </w:rPr>
  </w:style>
  <w:style w:type="paragraph" w:customStyle="1" w:styleId="77">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8">
    <w:name w:val="Char Char Char"/>
    <w:basedOn w:val="1"/>
    <w:qFormat/>
    <w:uiPriority w:val="0"/>
    <w:rPr>
      <w:rFonts w:ascii="Tahoma" w:hAnsi="Tahoma"/>
      <w:sz w:val="24"/>
      <w:szCs w:val="20"/>
    </w:rPr>
  </w:style>
  <w:style w:type="paragraph" w:customStyle="1" w:styleId="7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80">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8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82">
    <w:name w:val="二级条标题"/>
    <w:basedOn w:val="83"/>
    <w:next w:val="1"/>
    <w:qFormat/>
    <w:uiPriority w:val="0"/>
    <w:pPr>
      <w:numPr>
        <w:ilvl w:val="3"/>
      </w:numPr>
      <w:outlineLvl w:val="3"/>
    </w:pPr>
  </w:style>
  <w:style w:type="paragraph" w:customStyle="1" w:styleId="83">
    <w:name w:val="一级条标题"/>
    <w:basedOn w:val="77"/>
    <w:next w:val="1"/>
    <w:qFormat/>
    <w:uiPriority w:val="0"/>
    <w:pPr>
      <w:numPr>
        <w:ilvl w:val="2"/>
      </w:numPr>
      <w:spacing w:beforeLines="0" w:afterLines="0"/>
      <w:outlineLvl w:val="2"/>
    </w:pPr>
  </w:style>
  <w:style w:type="paragraph" w:customStyle="1" w:styleId="84">
    <w:name w:val="Char Char Char1"/>
    <w:basedOn w:val="1"/>
    <w:qFormat/>
    <w:uiPriority w:val="0"/>
    <w:rPr>
      <w:rFonts w:ascii="Tahoma" w:hAnsi="Tahoma"/>
      <w:sz w:val="24"/>
      <w:szCs w:val="20"/>
    </w:rPr>
  </w:style>
  <w:style w:type="paragraph" w:customStyle="1" w:styleId="85">
    <w:name w:val="样式5"/>
    <w:basedOn w:val="86"/>
    <w:qFormat/>
    <w:uiPriority w:val="0"/>
    <w:pPr>
      <w:numPr>
        <w:ilvl w:val="3"/>
      </w:numPr>
      <w:tabs>
        <w:tab w:val="left" w:pos="432"/>
      </w:tabs>
      <w:spacing w:before="156"/>
    </w:pPr>
  </w:style>
  <w:style w:type="paragraph" w:customStyle="1" w:styleId="86">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7">
    <w:name w:val="Char"/>
    <w:basedOn w:val="1"/>
    <w:qFormat/>
    <w:uiPriority w:val="0"/>
    <w:pPr>
      <w:adjustRightInd w:val="0"/>
      <w:spacing w:line="360" w:lineRule="auto"/>
    </w:pPr>
    <w:rPr>
      <w:kern w:val="0"/>
      <w:sz w:val="24"/>
      <w:szCs w:val="20"/>
    </w:rPr>
  </w:style>
  <w:style w:type="paragraph" w:customStyle="1" w:styleId="88">
    <w:name w:val="Char1"/>
    <w:basedOn w:val="1"/>
    <w:qFormat/>
    <w:uiPriority w:val="0"/>
    <w:pPr>
      <w:adjustRightInd w:val="0"/>
      <w:spacing w:line="360" w:lineRule="auto"/>
    </w:pPr>
    <w:rPr>
      <w:kern w:val="0"/>
      <w:sz w:val="24"/>
      <w:szCs w:val="20"/>
    </w:rPr>
  </w:style>
  <w:style w:type="paragraph" w:customStyle="1" w:styleId="89">
    <w:name w:val="三级条标题"/>
    <w:basedOn w:val="82"/>
    <w:next w:val="1"/>
    <w:qFormat/>
    <w:uiPriority w:val="0"/>
    <w:pPr>
      <w:numPr>
        <w:ilvl w:val="4"/>
      </w:numPr>
      <w:outlineLvl w:val="4"/>
    </w:pPr>
  </w:style>
  <w:style w:type="paragraph" w:customStyle="1" w:styleId="90">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1">
    <w:name w:val="Char Char Char Char Char Char Char"/>
    <w:basedOn w:val="1"/>
    <w:qFormat/>
    <w:uiPriority w:val="0"/>
    <w:rPr>
      <w:rFonts w:ascii="Tahoma" w:hAnsi="Tahoma" w:cs="Arial"/>
      <w:szCs w:val="21"/>
    </w:rPr>
  </w:style>
  <w:style w:type="paragraph" w:customStyle="1" w:styleId="92">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93">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4">
    <w:name w:val="五级条标题"/>
    <w:basedOn w:val="95"/>
    <w:next w:val="1"/>
    <w:qFormat/>
    <w:uiPriority w:val="0"/>
    <w:pPr>
      <w:numPr>
        <w:ilvl w:val="6"/>
      </w:numPr>
      <w:outlineLvl w:val="6"/>
    </w:pPr>
  </w:style>
  <w:style w:type="paragraph" w:customStyle="1" w:styleId="95">
    <w:name w:val="四级条标题"/>
    <w:basedOn w:val="89"/>
    <w:next w:val="1"/>
    <w:qFormat/>
    <w:uiPriority w:val="0"/>
    <w:pPr>
      <w:numPr>
        <w:ilvl w:val="5"/>
      </w:numPr>
      <w:outlineLvl w:val="5"/>
    </w:pPr>
  </w:style>
  <w:style w:type="paragraph" w:customStyle="1" w:styleId="96">
    <w:name w:val="Normal Indent1"/>
    <w:basedOn w:val="1"/>
    <w:qFormat/>
    <w:uiPriority w:val="99"/>
    <w:pPr>
      <w:autoSpaceDE w:val="0"/>
      <w:autoSpaceDN w:val="0"/>
      <w:adjustRightInd w:val="0"/>
      <w:ind w:firstLine="420"/>
    </w:pPr>
    <w:rPr>
      <w:kern w:val="0"/>
      <w:szCs w:val="21"/>
    </w:rPr>
  </w:style>
  <w:style w:type="paragraph" w:customStyle="1" w:styleId="97">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8">
    <w:name w:val="样式6"/>
    <w:basedOn w:val="86"/>
    <w:qFormat/>
    <w:uiPriority w:val="0"/>
    <w:pPr>
      <w:numPr>
        <w:ilvl w:val="2"/>
      </w:numPr>
      <w:spacing w:before="156"/>
      <w:outlineLvl w:val="4"/>
    </w:pPr>
    <w:rPr>
      <w:rFonts w:ascii="MS Shell Dlg" w:hAnsi="MS Shell Dlg"/>
    </w:rPr>
  </w:style>
  <w:style w:type="paragraph" w:customStyle="1" w:styleId="99">
    <w:name w:val="列出段落1"/>
    <w:basedOn w:val="1"/>
    <w:qFormat/>
    <w:uiPriority w:val="34"/>
    <w:pPr>
      <w:ind w:firstLine="420" w:firstLineChars="200"/>
    </w:pPr>
    <w:rPr>
      <w:sz w:val="28"/>
    </w:rPr>
  </w:style>
  <w:style w:type="paragraph" w:customStyle="1" w:styleId="100">
    <w:name w:val="列出段落11"/>
    <w:basedOn w:val="1"/>
    <w:qFormat/>
    <w:uiPriority w:val="0"/>
    <w:pPr>
      <w:ind w:firstLine="420" w:firstLineChars="200"/>
    </w:pPr>
    <w:rPr>
      <w:rFonts w:ascii="Calibri" w:hAnsi="Calibri"/>
      <w:kern w:val="0"/>
      <w:sz w:val="20"/>
      <w:szCs w:val="20"/>
    </w:rPr>
  </w:style>
  <w:style w:type="paragraph" w:customStyle="1" w:styleId="101">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102">
    <w:name w:val="Table Paragraph"/>
    <w:basedOn w:val="1"/>
    <w:unhideWhenUsed/>
    <w:qFormat/>
    <w:uiPriority w:val="1"/>
    <w:rPr>
      <w:rFonts w:hint="eastAsia"/>
      <w:sz w:val="24"/>
    </w:rPr>
  </w:style>
  <w:style w:type="paragraph" w:customStyle="1" w:styleId="103">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04">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5">
    <w:name w:val="fontstrikethrough"/>
    <w:basedOn w:val="28"/>
    <w:qFormat/>
    <w:uiPriority w:val="0"/>
    <w:rPr>
      <w:strike/>
    </w:rPr>
  </w:style>
  <w:style w:type="character" w:customStyle="1" w:styleId="106">
    <w:name w:val="fontborder"/>
    <w:basedOn w:val="28"/>
    <w:qFormat/>
    <w:uiPriority w:val="0"/>
    <w:rPr>
      <w:bdr w:val="single" w:color="000000" w:sz="6" w:space="0"/>
    </w:rPr>
  </w:style>
  <w:style w:type="paragraph" w:customStyle="1" w:styleId="107">
    <w:name w:val="lemmawgt-lemmatitle-title"/>
    <w:basedOn w:val="1"/>
    <w:qFormat/>
    <w:uiPriority w:val="0"/>
    <w:pPr>
      <w:spacing w:after="75" w:line="585" w:lineRule="atLeast"/>
      <w:jc w:val="left"/>
    </w:pPr>
    <w:rPr>
      <w:kern w:val="0"/>
    </w:rPr>
  </w:style>
  <w:style w:type="character" w:customStyle="1" w:styleId="108">
    <w:name w:val="lemmawgt-lemmatitle-title1"/>
    <w:basedOn w:val="2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57</Pages>
  <Words>5660</Words>
  <Characters>32263</Characters>
  <Lines>268</Lines>
  <Paragraphs>75</Paragraphs>
  <TotalTime>0</TotalTime>
  <ScaleCrop>false</ScaleCrop>
  <LinksUpToDate>false</LinksUpToDate>
  <CharactersWithSpaces>37848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2018-07-03T07:53:00Z</dcterms:created>
  <dc:creator>风之客</dc:creator>
  <cp:lastModifiedBy>everything</cp:lastModifiedBy>
  <cp:lastPrinted>2020-07-23T17:32:00Z</cp:lastPrinted>
  <dcterms:modified xsi:type="dcterms:W3CDTF">2020-08-31T07:05:29Z</dcterms:modified>
  <dc:title>湖 北  招 标</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