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HGDXW20-050/ZJZB-202007-196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湖北工业大学第六届中国国际“互联网+”大学生创新创业大赛湖北省复赛网络直播设备采购项目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2020年8月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jc w:val="left"/>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ab/>
      </w:r>
      <w:r>
        <w:rPr>
          <w:rFonts w:hint="eastAsia" w:asciiTheme="minorEastAsia" w:hAnsiTheme="minorEastAsia" w:eastAsiaTheme="minorEastAsia" w:cstheme="minorEastAsia"/>
          <w:b/>
          <w:bCs/>
          <w:sz w:val="44"/>
          <w:szCs w:val="44"/>
          <w:lang w:val="zh-CN"/>
        </w:rPr>
        <w:t>目  录</w:t>
      </w:r>
      <w:r>
        <w:rPr>
          <w:rFonts w:hint="eastAsia" w:asciiTheme="minorEastAsia" w:hAnsiTheme="minorEastAsia" w:eastAsiaTheme="minorEastAsia" w:cstheme="minorEastAsia"/>
          <w:b/>
          <w:bCs/>
          <w:sz w:val="44"/>
          <w:szCs w:val="44"/>
          <w:lang w:val="zh-CN"/>
        </w:rPr>
        <w:tab/>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_Toc22269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_Toc22269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_Toc29671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 项目基本情况</w:t>
      </w:r>
      <w:r>
        <w:tab/>
      </w:r>
      <w:r>
        <w:fldChar w:fldCharType="begin"/>
      </w:r>
      <w:r>
        <w:instrText xml:space="preserve"> PAGEREF _Toc29671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_Toc30573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二、 申请人的资格要求</w:t>
      </w:r>
      <w:r>
        <w:tab/>
      </w:r>
      <w:r>
        <w:fldChar w:fldCharType="begin"/>
      </w:r>
      <w:r>
        <w:instrText xml:space="preserve"> PAGEREF _Toc30573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_Toc3451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_Toc3451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_Toc6945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_Toc6945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_Toc11700 </w:instrText>
      </w:r>
      <w:r>
        <w:rPr>
          <w:rFonts w:hint="eastAsia" w:asciiTheme="minorEastAsia" w:hAnsiTheme="minorEastAsia" w:eastAsiaTheme="minorEastAsia" w:cstheme="minorEastAsia"/>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_Toc11700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_Toc664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六、 公告期限</w:t>
      </w:r>
      <w:r>
        <w:tab/>
      </w:r>
      <w:r>
        <w:fldChar w:fldCharType="begin"/>
      </w:r>
      <w:r>
        <w:instrText xml:space="preserve"> PAGEREF _Toc664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_Toc24708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七、 其他补充事宜</w:t>
      </w:r>
      <w:r>
        <w:tab/>
      </w:r>
      <w:r>
        <w:fldChar w:fldCharType="begin"/>
      </w:r>
      <w:r>
        <w:instrText xml:space="preserve"> PAGEREF _Toc24708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_Toc27052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_Toc27052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_Toc31580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_Toc31580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_Toc15616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_Toc15616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_Toc22892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_Toc22892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_Toc20433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_Toc20433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_Toc31387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_Toc15744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_Toc15744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_Toc9077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_Toc9077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_Toc15445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_Toc15445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_Toc19819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_Toc4922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_Toc29195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_Toc29195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_Toc12939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_Toc12939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_Toc20775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_Toc20775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_Toc12332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_Toc4353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_Toc10626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_Toc20720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_Toc20720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_Toc25093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_Toc18974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_Toc18974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_Toc27517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_Toc27517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_Toc14160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_Toc19766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_Toc19766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_Toc17368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_Toc2467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_Toc797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_Toc797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_Toc7755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_Toc7755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_Toc15711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_Toc14328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_Toc14328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_Toc928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_Toc25980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_Toc19421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_Toc19421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_Toc9612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_Toc9612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_Toc8183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_Toc8183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_Toc20607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_Toc31996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_Toc9459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_Toc9459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_Toc11704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_Toc11704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_Toc13985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_Toc13985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_Toc682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_Toc14580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_Toc6871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_Toc11029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_Toc19481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_Toc19481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_Toc22917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_Toc22917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_Toc28362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_Toc28362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_Toc2444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_Toc2444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_Toc12297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_Toc12297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_Toc1272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_Toc26346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_Toc26346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_Toc12550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_Toc12550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_Toc3145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_Toc29039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_Toc12829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_Toc24807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_Toc24807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 xml:space="preserve"> 四、</w:t>
      </w:r>
      <w:r>
        <w:rPr>
          <w:rFonts w:hint="eastAsia" w:asciiTheme="minorEastAsia" w:hAnsiTheme="minorEastAsia" w:eastAsiaTheme="minorEastAsia" w:cstheme="minorEastAsia"/>
          <w:szCs w:val="21"/>
        </w:rPr>
        <w:t>评定办法</w:t>
      </w:r>
      <w:r>
        <w:tab/>
      </w:r>
      <w:r>
        <w:fldChar w:fldCharType="begin"/>
      </w:r>
      <w:r>
        <w:instrText xml:space="preserve"> PAGEREF _Toc32379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_Toc29333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_Toc4018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_Toc27725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_Toc27725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_Toc6681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 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_Toc6681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_Toc26512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_Toc21900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三</w:t>
      </w:r>
      <w:r>
        <w:rPr>
          <w:rFonts w:hint="eastAsia" w:asciiTheme="minorEastAsia" w:hAnsiTheme="minorEastAsia" w:eastAsiaTheme="minorEastAsia" w:cstheme="minorEastAsia"/>
        </w:rPr>
        <w:t>、法定代表人授权书</w:t>
      </w:r>
      <w:r>
        <w:tab/>
      </w:r>
      <w:r>
        <w:fldChar w:fldCharType="begin"/>
      </w:r>
      <w:r>
        <w:instrText xml:space="preserve"> PAGEREF _Toc21900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_Toc14241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 xml:space="preserve">  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_Toc14241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_Toc16309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_Toc17713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_Toc17713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w:t>
      </w:r>
      <w:r>
        <w:tab/>
      </w:r>
      <w:r>
        <w:fldChar w:fldCharType="begin"/>
      </w:r>
      <w:r>
        <w:instrText xml:space="preserve"> PAGEREF _Toc8579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_Toc13420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八、拟投入设备/备件、工具情况</w:t>
      </w:r>
      <w:r>
        <w:tab/>
      </w:r>
      <w:r>
        <w:fldChar w:fldCharType="begin"/>
      </w:r>
      <w:r>
        <w:instrText xml:space="preserve"> PAGEREF _Toc13420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_Toc31109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_Toc4206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_Toc4206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_Toc14855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_Toc14855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二</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_Toc20332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_Toc286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_Toc23827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十五、</w:t>
      </w:r>
      <w:r>
        <w:rPr>
          <w:rFonts w:hint="eastAsia" w:asciiTheme="minorEastAsia" w:hAnsiTheme="minorEastAsia" w:eastAsiaTheme="minorEastAsia" w:cstheme="minorEastAsia"/>
          <w:bCs/>
          <w:kern w:val="0"/>
          <w:szCs w:val="21"/>
        </w:rPr>
        <w:t>报价技术文件</w:t>
      </w:r>
      <w:r>
        <w:tab/>
      </w:r>
      <w:r>
        <w:fldChar w:fldCharType="begin"/>
      </w:r>
      <w:r>
        <w:instrText xml:space="preserve"> PAGEREF _Toc25094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_Toc1256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十七、</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_Toc21120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_Toc9396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_Toc9232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十九、节能环保产品证明材料（若符合）</w:t>
      </w:r>
      <w:r>
        <w:tab/>
      </w:r>
      <w:r>
        <w:fldChar w:fldCharType="begin"/>
      </w:r>
      <w:r>
        <w:instrText xml:space="preserve"> PAGEREF _Toc9232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_Toc3904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_Toc3904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_Toc28755 </w:instrText>
      </w:r>
      <w:r>
        <w:fldChar w:fldCharType="separate"/>
      </w:r>
      <w:r>
        <w:t>61</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22269"/>
      <w:bookmarkStart w:id="1" w:name="_Toc6866"/>
      <w:r>
        <w:rPr>
          <w:rFonts w:hint="eastAsia" w:ascii="宋体" w:hAnsi="宋体" w:cs="宋体"/>
          <w:b/>
          <w:sz w:val="36"/>
          <w:szCs w:val="36"/>
        </w:rPr>
        <w:t>竞争性磋商公告</w:t>
      </w:r>
      <w:bookmarkEnd w:id="0"/>
      <w:bookmarkEnd w:id="1"/>
      <w:bookmarkStart w:id="2" w:name="_Toc9976"/>
      <w:bookmarkStart w:id="3" w:name="_Toc144974480"/>
      <w:bookmarkStart w:id="4" w:name="_Toc152042288"/>
      <w:bookmarkStart w:id="5" w:name="_Toc524908844"/>
      <w:bookmarkStart w:id="6" w:name="_Toc152045512"/>
      <w:bookmarkStart w:id="7" w:name="_Toc179632528"/>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auto"/>
          <w:sz w:val="21"/>
          <w:szCs w:val="21"/>
          <w:u w:val="single"/>
          <w:lang w:val="en-US" w:eastAsia="zh-CN"/>
        </w:rPr>
        <w:t>湖北工业大学第六届中国国际“互联网+”大学生创新创业大赛湖北省复赛网络直播设备采购项目</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000000"/>
          <w:sz w:val="21"/>
          <w:szCs w:val="21"/>
          <w:u w:val="single"/>
        </w:rPr>
        <w:t>中经国际招标集团有限公司</w:t>
      </w:r>
      <w:r>
        <w:rPr>
          <w:rFonts w:hint="eastAsia" w:ascii="宋体" w:hAnsi="宋体" w:eastAsia="宋体" w:cs="宋体"/>
          <w:color w:val="000000"/>
          <w:sz w:val="21"/>
          <w:szCs w:val="21"/>
          <w:u w:val="single"/>
          <w:lang w:eastAsia="zh-CN"/>
        </w:rPr>
        <w:t>（武昌区中北路岳家嘴立交山河企业大厦</w:t>
      </w:r>
      <w:r>
        <w:rPr>
          <w:rFonts w:hint="eastAsia" w:ascii="宋体" w:hAnsi="宋体" w:eastAsia="宋体" w:cs="宋体"/>
          <w:color w:val="000000"/>
          <w:sz w:val="21"/>
          <w:szCs w:val="21"/>
          <w:u w:val="single"/>
          <w:lang w:val="en-US" w:eastAsia="zh-CN"/>
        </w:rPr>
        <w:t>48楼</w:t>
      </w:r>
      <w:r>
        <w:rPr>
          <w:rFonts w:hint="eastAsia" w:ascii="宋体" w:hAnsi="宋体" w:eastAsia="宋体" w:cs="宋体"/>
          <w:color w:val="000000"/>
          <w:sz w:val="21"/>
          <w:szCs w:val="21"/>
          <w:u w:val="single"/>
          <w:lang w:eastAsia="zh-CN"/>
        </w:rPr>
        <w:t>480</w:t>
      </w:r>
      <w:r>
        <w:rPr>
          <w:rFonts w:hint="eastAsia" w:ascii="宋体" w:hAnsi="宋体" w:eastAsia="宋体" w:cs="宋体"/>
          <w:color w:val="auto"/>
          <w:sz w:val="21"/>
          <w:szCs w:val="21"/>
          <w:u w:val="single"/>
          <w:lang w:eastAsia="zh-CN"/>
        </w:rPr>
        <w:t>5室）或线上</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000000"/>
          <w:sz w:val="21"/>
          <w:szCs w:val="21"/>
        </w:rPr>
        <w:t>文件，</w:t>
      </w:r>
      <w:r>
        <w:rPr>
          <w:rFonts w:hint="eastAsia" w:ascii="宋体" w:hAnsi="宋体" w:eastAsia="宋体" w:cs="宋体"/>
          <w:color w:val="auto"/>
          <w:sz w:val="21"/>
          <w:szCs w:val="21"/>
        </w:rPr>
        <w:t>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31</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09</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30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w:t>
      </w:r>
      <w:r>
        <w:rPr>
          <w:rFonts w:hint="eastAsia" w:ascii="宋体" w:hAnsi="宋体" w:eastAsia="宋体" w:cs="宋体"/>
          <w:color w:val="000000"/>
          <w:sz w:val="21"/>
          <w:szCs w:val="21"/>
        </w:rPr>
        <w:t>）前递交</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文件。</w:t>
      </w:r>
    </w:p>
    <w:p>
      <w:pPr>
        <w:pStyle w:val="4"/>
        <w:numPr>
          <w:ilvl w:val="0"/>
          <w:numId w:val="6"/>
        </w:numPr>
        <w:spacing w:line="360" w:lineRule="auto"/>
        <w:jc w:val="left"/>
        <w:rPr>
          <w:rFonts w:hint="eastAsia" w:ascii="宋体" w:hAnsi="宋体" w:eastAsia="宋体" w:cs="宋体"/>
          <w:color w:val="000000"/>
          <w:sz w:val="21"/>
          <w:szCs w:val="21"/>
        </w:rPr>
      </w:pPr>
      <w:bookmarkStart w:id="8" w:name="_Toc6232"/>
      <w:bookmarkStart w:id="9" w:name="_Toc7901"/>
      <w:bookmarkStart w:id="10" w:name="_Toc29671"/>
      <w:r>
        <w:rPr>
          <w:rFonts w:hint="eastAsia" w:ascii="宋体" w:hAnsi="宋体" w:eastAsia="宋体" w:cs="宋体"/>
          <w:color w:val="000000"/>
          <w:sz w:val="21"/>
          <w:szCs w:val="21"/>
        </w:rPr>
        <w:t>项目基本情况</w:t>
      </w:r>
      <w:bookmarkEnd w:id="8"/>
      <w:bookmarkEnd w:id="9"/>
      <w:bookmarkEnd w:id="10"/>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1、项目编号：HGDXW20-050</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ZJZB-202007-196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2、项目名称：湖北工业大学第六届中国国际“互联网+”大学生创新创业大赛湖北省复赛网络直播设备</w:t>
      </w:r>
      <w:r>
        <w:rPr>
          <w:rFonts w:hint="eastAsia" w:ascii="宋体" w:hAnsi="宋体" w:cs="宋体"/>
          <w:color w:val="auto"/>
          <w:sz w:val="21"/>
          <w:szCs w:val="21"/>
          <w:lang w:eastAsia="zh-CN"/>
        </w:rPr>
        <w:t>采购项目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3、采购方式：竞争性</w:t>
      </w:r>
      <w:r>
        <w:rPr>
          <w:rFonts w:hint="eastAsia" w:ascii="宋体" w:hAnsi="宋体" w:cs="宋体"/>
          <w:color w:val="auto"/>
          <w:sz w:val="21"/>
          <w:szCs w:val="21"/>
          <w:lang w:val="en-US" w:eastAsia="zh-CN"/>
        </w:rPr>
        <w:t>磋商</w:t>
      </w:r>
    </w:p>
    <w:p>
      <w:pPr>
        <w:spacing w:line="360" w:lineRule="auto"/>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、预算</w:t>
      </w:r>
      <w:r>
        <w:rPr>
          <w:rFonts w:hint="eastAsia" w:ascii="宋体" w:hAnsi="宋体" w:eastAsia="宋体" w:cs="宋体"/>
          <w:color w:val="auto"/>
          <w:sz w:val="21"/>
          <w:szCs w:val="21"/>
          <w:lang w:eastAsia="zh-CN"/>
        </w:rPr>
        <w:t>金额</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25.2</w:t>
      </w:r>
      <w:r>
        <w:rPr>
          <w:rFonts w:hint="eastAsia" w:ascii="宋体" w:hAnsi="宋体" w:eastAsia="宋体" w:cs="宋体"/>
          <w:color w:val="auto"/>
          <w:sz w:val="21"/>
          <w:szCs w:val="21"/>
        </w:rPr>
        <w:t>万元（含财政资金</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万元，其他资金</w:t>
      </w:r>
      <w:r>
        <w:rPr>
          <w:rFonts w:hint="eastAsia" w:ascii="宋体" w:hAnsi="宋体" w:cs="宋体"/>
          <w:color w:val="auto"/>
          <w:sz w:val="21"/>
          <w:szCs w:val="21"/>
          <w:u w:val="single"/>
          <w:lang w:val="en-US" w:eastAsia="zh-CN"/>
        </w:rPr>
        <w:t>25.2</w:t>
      </w:r>
      <w:r>
        <w:rPr>
          <w:rFonts w:hint="eastAsia" w:ascii="宋体" w:hAnsi="宋体" w:eastAsia="宋体" w:cs="宋体"/>
          <w:color w:val="auto"/>
          <w:sz w:val="21"/>
          <w:szCs w:val="21"/>
        </w:rPr>
        <w:t>万元）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5、最高限价：</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25.2</w:t>
      </w:r>
      <w:r>
        <w:rPr>
          <w:rFonts w:hint="eastAsia" w:ascii="宋体" w:hAnsi="宋体" w:eastAsia="宋体" w:cs="宋体"/>
          <w:color w:val="auto"/>
          <w:sz w:val="21"/>
          <w:szCs w:val="21"/>
        </w:rPr>
        <w:t>万元</w:t>
      </w:r>
      <w:r>
        <w:rPr>
          <w:rFonts w:hint="eastAsia" w:ascii="宋体" w:hAnsi="宋体" w:eastAsia="宋体" w:cs="宋体"/>
          <w:color w:val="auto"/>
          <w:sz w:val="21"/>
          <w:szCs w:val="21"/>
          <w:lang w:val="en-US" w:eastAsia="zh-CN"/>
        </w:rPr>
        <w:t>；</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需求：本次</w:t>
      </w:r>
      <w:r>
        <w:rPr>
          <w:rFonts w:hint="eastAsia" w:ascii="宋体" w:hAnsi="宋体" w:cs="宋体"/>
          <w:color w:val="auto"/>
          <w:sz w:val="21"/>
          <w:szCs w:val="21"/>
          <w:lang w:val="en-US" w:eastAsia="zh-CN"/>
        </w:rPr>
        <w:t>竞争性磋商采购</w:t>
      </w:r>
      <w:r>
        <w:rPr>
          <w:rFonts w:hint="eastAsia" w:ascii="宋体" w:hAnsi="宋体" w:eastAsia="宋体" w:cs="宋体"/>
          <w:color w:val="auto"/>
          <w:sz w:val="21"/>
          <w:szCs w:val="21"/>
        </w:rPr>
        <w:t>共分</w:t>
      </w:r>
      <w:r>
        <w:rPr>
          <w:rFonts w:hint="eastAsia" w:ascii="宋体" w:hAnsi="宋体" w:eastAsia="宋体" w:cs="宋体"/>
          <w:color w:val="auto"/>
          <w:sz w:val="21"/>
          <w:szCs w:val="21"/>
          <w:u w:val="single"/>
        </w:rPr>
        <w:t>1</w:t>
      </w:r>
      <w:r>
        <w:rPr>
          <w:rFonts w:hint="eastAsia" w:ascii="宋体" w:hAnsi="宋体" w:eastAsia="宋体" w:cs="宋体"/>
          <w:color w:val="auto"/>
          <w:sz w:val="21"/>
          <w:szCs w:val="21"/>
        </w:rPr>
        <w:t>个项目包，具体需求如下，详细技术规格、参数及商务要求见本</w:t>
      </w:r>
      <w:r>
        <w:rPr>
          <w:rFonts w:hint="eastAsia" w:ascii="宋体" w:hAnsi="宋体" w:eastAsia="宋体" w:cs="宋体"/>
          <w:color w:val="000000"/>
          <w:sz w:val="21"/>
          <w:szCs w:val="21"/>
        </w:rPr>
        <w:t>项目</w:t>
      </w:r>
      <w:r>
        <w:rPr>
          <w:rFonts w:hint="eastAsia" w:ascii="宋体" w:hAnsi="宋体" w:eastAsia="宋体" w:cs="宋体"/>
          <w:color w:val="000000"/>
          <w:sz w:val="21"/>
          <w:szCs w:val="21"/>
          <w:lang w:val="en-US" w:eastAsia="zh-CN"/>
        </w:rPr>
        <w:t>采购</w:t>
      </w:r>
      <w:r>
        <w:rPr>
          <w:rFonts w:hint="eastAsia" w:ascii="宋体" w:hAnsi="宋体" w:eastAsia="宋体" w:cs="宋体"/>
          <w:color w:val="000000"/>
          <w:sz w:val="21"/>
          <w:szCs w:val="21"/>
        </w:rPr>
        <w:t>文件第三章内容。</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货物</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简要技术要求/项目性质：</w:t>
      </w:r>
      <w:r>
        <w:rPr>
          <w:rFonts w:hint="eastAsia" w:ascii="宋体" w:hAnsi="宋体" w:cs="宋体"/>
          <w:color w:val="auto"/>
          <w:sz w:val="21"/>
          <w:szCs w:val="21"/>
          <w:u w:val="single"/>
          <w:lang w:eastAsia="zh-CN"/>
        </w:rPr>
        <w:t>采购</w:t>
      </w:r>
      <w:r>
        <w:rPr>
          <w:rFonts w:hint="eastAsia" w:ascii="宋体" w:hAnsi="宋体" w:cs="宋体"/>
          <w:color w:val="auto"/>
          <w:sz w:val="21"/>
          <w:szCs w:val="21"/>
          <w:u w:val="single"/>
          <w:lang w:val="en-US" w:eastAsia="zh-CN"/>
        </w:rPr>
        <w:t>14台会议教学触碰一体机</w:t>
      </w:r>
      <w:r>
        <w:rPr>
          <w:rFonts w:hint="eastAsia" w:ascii="宋体" w:hAnsi="宋体" w:eastAsia="宋体" w:cs="宋体"/>
          <w:color w:val="auto"/>
          <w:sz w:val="21"/>
          <w:szCs w:val="21"/>
        </w:rPr>
        <w:t>；(详见采购文件第三章“项目采购需求”）</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交货期：9月5日前完成供货，9月10日前完成设备</w:t>
      </w:r>
      <w:r>
        <w:rPr>
          <w:rFonts w:hint="eastAsia" w:ascii="宋体" w:hAnsi="宋体" w:cs="宋体"/>
          <w:b w:val="0"/>
          <w:bCs w:val="0"/>
          <w:color w:val="auto"/>
          <w:kern w:val="2"/>
          <w:sz w:val="21"/>
          <w:szCs w:val="21"/>
          <w:lang w:val="en-US" w:eastAsia="zh-CN" w:bidi="ar-SA"/>
        </w:rPr>
        <w:t>安装</w:t>
      </w:r>
      <w:r>
        <w:rPr>
          <w:rFonts w:hint="eastAsia" w:ascii="宋体" w:hAnsi="宋体" w:eastAsia="宋体" w:cs="宋体"/>
          <w:b w:val="0"/>
          <w:bCs w:val="0"/>
          <w:color w:val="auto"/>
          <w:kern w:val="2"/>
          <w:sz w:val="21"/>
          <w:szCs w:val="21"/>
          <w:lang w:val="en-US" w:eastAsia="zh-CN" w:bidi="ar-SA"/>
        </w:rPr>
        <w:t>调试</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质保期/保修期：验收合格之日算起，质保期限为</w:t>
      </w:r>
      <w:r>
        <w:rPr>
          <w:rFonts w:hint="eastAsia" w:ascii="宋体" w:hAnsi="宋体" w:cs="宋体"/>
          <w:b w:val="0"/>
          <w:bCs w:val="0"/>
          <w:color w:val="auto"/>
          <w:kern w:val="2"/>
          <w:sz w:val="21"/>
          <w:szCs w:val="21"/>
          <w:lang w:val="en-US" w:eastAsia="zh-CN" w:bidi="ar-SA"/>
        </w:rPr>
        <w:t>3</w:t>
      </w:r>
      <w:r>
        <w:rPr>
          <w:rFonts w:hint="eastAsia" w:ascii="宋体" w:hAnsi="宋体" w:eastAsia="宋体" w:cs="宋体"/>
          <w:b w:val="0"/>
          <w:bCs w:val="0"/>
          <w:color w:val="auto"/>
          <w:kern w:val="2"/>
          <w:sz w:val="21"/>
          <w:szCs w:val="21"/>
          <w:lang w:val="en-US" w:eastAsia="zh-CN" w:bidi="ar-SA"/>
        </w:rPr>
        <w:t>年</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质量标准：达到国家或行业颁布的其他现行各项技术标准和验收规范规定</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u w:val="none"/>
          <w:lang w:eastAsia="zh-CN"/>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b w:val="0"/>
          <w:bCs w:val="0"/>
          <w:color w:val="auto"/>
          <w:kern w:val="2"/>
          <w:sz w:val="21"/>
          <w:szCs w:val="21"/>
          <w:lang w:val="en-US" w:eastAsia="zh-CN" w:bidi="ar-SA"/>
        </w:rPr>
        <w:t>9月5日前完成供货，9月10日前完成设备</w:t>
      </w:r>
      <w:r>
        <w:rPr>
          <w:rFonts w:hint="eastAsia" w:ascii="宋体" w:hAnsi="宋体" w:cs="宋体"/>
          <w:b w:val="0"/>
          <w:bCs w:val="0"/>
          <w:color w:val="auto"/>
          <w:kern w:val="2"/>
          <w:sz w:val="21"/>
          <w:szCs w:val="21"/>
          <w:lang w:val="en-US" w:eastAsia="zh-CN" w:bidi="ar-SA"/>
        </w:rPr>
        <w:t>安装</w:t>
      </w:r>
      <w:r>
        <w:rPr>
          <w:rFonts w:hint="eastAsia" w:ascii="宋体" w:hAnsi="宋体" w:eastAsia="宋体" w:cs="宋体"/>
          <w:b w:val="0"/>
          <w:bCs w:val="0"/>
          <w:color w:val="auto"/>
          <w:kern w:val="2"/>
          <w:sz w:val="21"/>
          <w:szCs w:val="21"/>
          <w:lang w:val="en-US" w:eastAsia="zh-CN" w:bidi="ar-SA"/>
        </w:rPr>
        <w:t>调试</w:t>
      </w:r>
      <w:r>
        <w:rPr>
          <w:rFonts w:hint="eastAsia" w:ascii="宋体" w:hAnsi="宋体" w:cs="宋体"/>
          <w:color w:val="auto"/>
          <w:sz w:val="21"/>
          <w:szCs w:val="21"/>
          <w:u w:val="none"/>
          <w:lang w:eastAsia="zh-CN"/>
        </w:rPr>
        <w:t>；</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4"/>
        <w:numPr>
          <w:ilvl w:val="0"/>
          <w:numId w:val="6"/>
        </w:numPr>
        <w:spacing w:line="360" w:lineRule="auto"/>
        <w:jc w:val="left"/>
        <w:rPr>
          <w:rFonts w:hint="eastAsia" w:ascii="宋体" w:hAnsi="宋体" w:eastAsia="宋体" w:cs="宋体"/>
          <w:sz w:val="21"/>
          <w:szCs w:val="21"/>
        </w:rPr>
      </w:pPr>
      <w:bookmarkStart w:id="11" w:name="_Toc30573"/>
      <w:bookmarkStart w:id="12" w:name="_Toc6133"/>
      <w:bookmarkStart w:id="13" w:name="_Toc29556"/>
      <w:r>
        <w:rPr>
          <w:rFonts w:hint="eastAsia" w:ascii="宋体" w:hAnsi="宋体" w:eastAsia="宋体" w:cs="宋体"/>
          <w:sz w:val="21"/>
          <w:szCs w:val="21"/>
        </w:rPr>
        <w:t>申请人的资格要求</w:t>
      </w:r>
      <w:bookmarkEnd w:id="11"/>
      <w:bookmarkEnd w:id="12"/>
      <w:bookmarkEnd w:id="13"/>
    </w:p>
    <w:p>
      <w:pPr>
        <w:numPr>
          <w:ilvl w:val="0"/>
          <w:numId w:val="8"/>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满足《中华人民共和国政府采购法》第二十二条规定；</w:t>
      </w:r>
    </w:p>
    <w:p>
      <w:pPr>
        <w:spacing w:line="360" w:lineRule="auto"/>
        <w:ind w:left="446"/>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1.1具有独立承担民事责任的能力（经营范围需满足采购需求）；</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1.2具有良好的商业信誉和健全的财务会计制度；</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1.3具有履行合同所必需的设备和专业技术能力；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1.4有依法缴纳税收和社会保障资金的良好记录；</w:t>
      </w:r>
    </w:p>
    <w:p>
      <w:pPr>
        <w:spacing w:line="360" w:lineRule="auto"/>
        <w:ind w:left="420" w:firstLine="315" w:firstLineChars="15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1.5参加政府采购活动前三年内，在经营活动中没有重大违法记录</w:t>
      </w:r>
      <w:r>
        <w:rPr>
          <w:rFonts w:hint="eastAsia" w:ascii="宋体" w:hAnsi="宋体" w:eastAsia="宋体" w:cs="宋体"/>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1.6法律、行政法规规定的其他条件；</w:t>
      </w:r>
    </w:p>
    <w:p>
      <w:pPr>
        <w:numPr>
          <w:ilvl w:val="0"/>
          <w:numId w:val="8"/>
        </w:numPr>
        <w:spacing w:line="360" w:lineRule="auto"/>
        <w:ind w:firstLine="420" w:firstLineChars="200"/>
        <w:jc w:val="left"/>
        <w:rPr>
          <w:rFonts w:hint="eastAsia" w:ascii="宋体" w:hAnsi="宋体" w:eastAsia="宋体" w:cs="宋体"/>
          <w:strike w:val="0"/>
          <w:dstrike w:val="0"/>
          <w:sz w:val="21"/>
          <w:szCs w:val="21"/>
        </w:rPr>
      </w:pPr>
      <w:r>
        <w:rPr>
          <w:rFonts w:hint="eastAsia" w:ascii="宋体" w:hAnsi="宋体" w:eastAsia="宋体" w:cs="宋体"/>
          <w:color w:val="000000"/>
          <w:sz w:val="21"/>
          <w:szCs w:val="21"/>
        </w:rPr>
        <w:t>落实政府采购政策需满足的资格要求：</w:t>
      </w:r>
      <w:r>
        <w:rPr>
          <w:rFonts w:hint="eastAsia" w:ascii="宋体" w:hAnsi="宋体" w:eastAsia="宋体" w:cs="宋体"/>
          <w:strike w:val="0"/>
          <w:dstrike w:val="0"/>
          <w:sz w:val="21"/>
          <w:szCs w:val="21"/>
        </w:rPr>
        <w:t>本项目需落实政府采购强制、优先采购节能产品政策；政府采购优先采购环保产品政策；政府采购促进中小企业发展（监狱企业、残疾人福利性单位视同小微企业）等政策详见</w:t>
      </w:r>
      <w:r>
        <w:rPr>
          <w:rFonts w:hint="eastAsia" w:ascii="宋体" w:hAnsi="宋体" w:eastAsia="宋体" w:cs="宋体"/>
          <w:strike w:val="0"/>
          <w:dstrike w:val="0"/>
          <w:sz w:val="21"/>
          <w:szCs w:val="21"/>
          <w:lang w:val="en-US" w:eastAsia="zh-CN"/>
        </w:rPr>
        <w:t>采购</w:t>
      </w:r>
      <w:r>
        <w:rPr>
          <w:rFonts w:hint="eastAsia" w:ascii="宋体" w:hAnsi="宋体" w:eastAsia="宋体" w:cs="宋体"/>
          <w:strike w:val="0"/>
          <w:dstrike w:val="0"/>
          <w:sz w:val="21"/>
          <w:szCs w:val="21"/>
        </w:rPr>
        <w:t>文件；</w:t>
      </w:r>
    </w:p>
    <w:p>
      <w:pPr>
        <w:numPr>
          <w:ilvl w:val="0"/>
          <w:numId w:val="8"/>
        </w:numPr>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本项目的特定资格要求：</w:t>
      </w:r>
    </w:p>
    <w:p>
      <w:pPr>
        <w:numPr>
          <w:ilvl w:val="0"/>
          <w:numId w:val="0"/>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p>
    <w:p>
      <w:pPr>
        <w:numPr>
          <w:ilvl w:val="0"/>
          <w:numId w:val="8"/>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如国家法律法规对市场准入有要</w:t>
      </w:r>
      <w:r>
        <w:rPr>
          <w:rFonts w:hint="eastAsia" w:ascii="宋体" w:hAnsi="宋体" w:eastAsia="宋体" w:cs="宋体"/>
          <w:sz w:val="21"/>
          <w:szCs w:val="21"/>
        </w:rPr>
        <w:t>求的还应符合相关规定；</w:t>
      </w:r>
    </w:p>
    <w:p>
      <w:pPr>
        <w:pStyle w:val="4"/>
        <w:numPr>
          <w:ilvl w:val="0"/>
          <w:numId w:val="6"/>
        </w:numPr>
        <w:spacing w:line="360" w:lineRule="auto"/>
        <w:jc w:val="left"/>
        <w:rPr>
          <w:rFonts w:hint="eastAsia" w:ascii="宋体" w:hAnsi="宋体" w:eastAsia="宋体" w:cs="宋体"/>
          <w:sz w:val="21"/>
          <w:szCs w:val="21"/>
        </w:rPr>
      </w:pPr>
      <w:bookmarkStart w:id="14" w:name="_Toc11199"/>
      <w:bookmarkStart w:id="15" w:name="_Toc3451"/>
      <w:bookmarkStart w:id="16" w:name="_Toc21087"/>
      <w:bookmarkStart w:id="17"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14"/>
      <w:bookmarkEnd w:id="15"/>
      <w:bookmarkEnd w:id="16"/>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8</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21</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8</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27</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5</w:t>
      </w:r>
      <w:r>
        <w:rPr>
          <w:rFonts w:hint="eastAsia" w:ascii="宋体" w:hAnsi="宋体" w:eastAsia="宋体" w:cs="宋体"/>
          <w:sz w:val="21"/>
          <w:szCs w:val="21"/>
        </w:rPr>
        <w:t>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7"/>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val="0"/>
          <w:bCs w:val="0"/>
          <w:color w:val="auto"/>
          <w:sz w:val="21"/>
          <w:szCs w:val="21"/>
          <w:lang w:val="en-US" w:eastAsia="zh-CN"/>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4"/>
        <w:numPr>
          <w:ilvl w:val="0"/>
          <w:numId w:val="6"/>
        </w:numPr>
        <w:spacing w:line="360" w:lineRule="auto"/>
        <w:jc w:val="left"/>
        <w:rPr>
          <w:rFonts w:hint="eastAsia" w:ascii="宋体" w:hAnsi="宋体" w:eastAsia="宋体" w:cs="宋体"/>
          <w:sz w:val="21"/>
          <w:szCs w:val="21"/>
        </w:rPr>
      </w:pPr>
      <w:bookmarkStart w:id="18" w:name="_Toc6945"/>
      <w:bookmarkStart w:id="19" w:name="_Toc21118"/>
      <w:bookmarkStart w:id="20" w:name="_Toc1131"/>
      <w:r>
        <w:rPr>
          <w:rFonts w:hint="eastAsia" w:ascii="宋体" w:hAnsi="宋体" w:eastAsia="宋体" w:cs="宋体"/>
          <w:sz w:val="21"/>
          <w:szCs w:val="21"/>
          <w:lang w:eastAsia="zh-CN"/>
        </w:rPr>
        <w:t>响应文件提交</w:t>
      </w:r>
      <w:bookmarkEnd w:id="18"/>
      <w:bookmarkEnd w:id="19"/>
      <w:bookmarkEnd w:id="20"/>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b w:val="0"/>
          <w:bCs w:val="0"/>
          <w:color w:val="auto"/>
          <w:kern w:val="2"/>
          <w:sz w:val="21"/>
          <w:szCs w:val="21"/>
          <w:lang w:val="en-US" w:eastAsia="zh-CN" w:bidi="ar-SA"/>
        </w:rPr>
        <w:t>2020年</w:t>
      </w:r>
      <w:r>
        <w:rPr>
          <w:rFonts w:hint="eastAsia" w:ascii="宋体" w:hAnsi="宋体" w:cs="宋体"/>
          <w:b w:val="0"/>
          <w:bCs w:val="0"/>
          <w:color w:val="auto"/>
          <w:kern w:val="2"/>
          <w:sz w:val="21"/>
          <w:szCs w:val="21"/>
          <w:lang w:val="en-US" w:eastAsia="zh-CN" w:bidi="ar-SA"/>
        </w:rPr>
        <w:t>8</w:t>
      </w:r>
      <w:r>
        <w:rPr>
          <w:rFonts w:hint="eastAsia" w:ascii="宋体" w:hAnsi="宋体" w:eastAsia="宋体" w:cs="宋体"/>
          <w:b w:val="0"/>
          <w:bCs w:val="0"/>
          <w:color w:val="auto"/>
          <w:kern w:val="2"/>
          <w:sz w:val="21"/>
          <w:szCs w:val="21"/>
          <w:lang w:val="en-US" w:eastAsia="zh-CN" w:bidi="ar-SA"/>
        </w:rPr>
        <w:t>月</w:t>
      </w:r>
      <w:r>
        <w:rPr>
          <w:rFonts w:hint="eastAsia" w:ascii="宋体" w:hAnsi="宋体" w:cs="宋体"/>
          <w:b w:val="0"/>
          <w:bCs w:val="0"/>
          <w:color w:val="auto"/>
          <w:kern w:val="2"/>
          <w:sz w:val="21"/>
          <w:szCs w:val="21"/>
          <w:lang w:val="en-US" w:eastAsia="zh-CN" w:bidi="ar-SA"/>
        </w:rPr>
        <w:t>31</w:t>
      </w:r>
      <w:r>
        <w:rPr>
          <w:rFonts w:hint="eastAsia" w:ascii="宋体" w:hAnsi="宋体" w:eastAsia="宋体" w:cs="宋体"/>
          <w:b w:val="0"/>
          <w:bCs w:val="0"/>
          <w:color w:val="auto"/>
          <w:kern w:val="2"/>
          <w:sz w:val="21"/>
          <w:szCs w:val="21"/>
          <w:lang w:val="en-US" w:eastAsia="zh-CN" w:bidi="ar-SA"/>
        </w:rPr>
        <w:t>日</w:t>
      </w:r>
      <w:r>
        <w:rPr>
          <w:rFonts w:hint="eastAsia" w:ascii="宋体" w:hAnsi="宋体" w:cs="宋体"/>
          <w:b w:val="0"/>
          <w:bCs w:val="0"/>
          <w:color w:val="auto"/>
          <w:kern w:val="2"/>
          <w:sz w:val="21"/>
          <w:szCs w:val="21"/>
          <w:lang w:val="en-US" w:eastAsia="zh-CN" w:bidi="ar-SA"/>
        </w:rPr>
        <w:t>09</w:t>
      </w:r>
      <w:r>
        <w:rPr>
          <w:rFonts w:hint="eastAsia" w:ascii="宋体" w:hAnsi="宋体" w:eastAsia="宋体" w:cs="宋体"/>
          <w:b w:val="0"/>
          <w:bCs w:val="0"/>
          <w:color w:val="auto"/>
          <w:kern w:val="2"/>
          <w:sz w:val="21"/>
          <w:szCs w:val="21"/>
          <w:lang w:val="en-US" w:eastAsia="zh-CN" w:bidi="ar-SA"/>
        </w:rPr>
        <w:t>点</w:t>
      </w:r>
      <w:r>
        <w:rPr>
          <w:rFonts w:hint="eastAsia" w:ascii="宋体" w:hAnsi="宋体" w:cs="宋体"/>
          <w:b w:val="0"/>
          <w:bCs w:val="0"/>
          <w:color w:val="auto"/>
          <w:kern w:val="2"/>
          <w:sz w:val="21"/>
          <w:szCs w:val="21"/>
          <w:lang w:val="en-US" w:eastAsia="zh-CN" w:bidi="ar-SA"/>
        </w:rPr>
        <w:t>30</w:t>
      </w:r>
      <w:r>
        <w:rPr>
          <w:rFonts w:hint="eastAsia" w:ascii="宋体" w:hAnsi="宋体" w:eastAsia="宋体" w:cs="宋体"/>
          <w:b w:val="0"/>
          <w:bCs w:val="0"/>
          <w:color w:val="auto"/>
          <w:kern w:val="2"/>
          <w:sz w:val="21"/>
          <w:szCs w:val="21"/>
          <w:lang w:val="en-US" w:eastAsia="zh-CN" w:bidi="ar-SA"/>
        </w:rPr>
        <w:t>分（北京时间）（从</w:t>
      </w:r>
      <w:r>
        <w:rPr>
          <w:rFonts w:hint="eastAsia" w:ascii="宋体" w:hAnsi="宋体" w:cs="宋体"/>
          <w:b w:val="0"/>
          <w:bCs w:val="0"/>
          <w:color w:val="auto"/>
          <w:kern w:val="2"/>
          <w:sz w:val="21"/>
          <w:szCs w:val="21"/>
          <w:lang w:val="en-US" w:eastAsia="zh-CN" w:bidi="ar-SA"/>
        </w:rPr>
        <w:t>磋商文件</w:t>
      </w:r>
      <w:r>
        <w:rPr>
          <w:rFonts w:hint="eastAsia" w:ascii="宋体" w:hAnsi="宋体" w:eastAsia="宋体" w:cs="宋体"/>
          <w:b w:val="0"/>
          <w:bCs w:val="0"/>
          <w:color w:val="auto"/>
          <w:kern w:val="2"/>
          <w:sz w:val="21"/>
          <w:szCs w:val="21"/>
          <w:lang w:val="en-US" w:eastAsia="zh-CN" w:bidi="ar-SA"/>
        </w:rPr>
        <w:t>开始发出之日起至供应商提交响应文件截止之日止不得少于</w:t>
      </w:r>
      <w:r>
        <w:rPr>
          <w:rFonts w:hint="eastAsia" w:ascii="宋体" w:hAnsi="宋体" w:cs="宋体"/>
          <w:b w:val="0"/>
          <w:bCs w:val="0"/>
          <w:color w:val="auto"/>
          <w:kern w:val="2"/>
          <w:sz w:val="21"/>
          <w:szCs w:val="21"/>
          <w:lang w:val="en-US" w:eastAsia="zh-CN" w:bidi="ar-SA"/>
        </w:rPr>
        <w:t>10</w:t>
      </w:r>
      <w:r>
        <w:rPr>
          <w:rFonts w:hint="eastAsia" w:ascii="宋体" w:hAnsi="宋体" w:eastAsia="宋体" w:cs="宋体"/>
          <w:b w:val="0"/>
          <w:bCs w:val="0"/>
          <w:color w:val="auto"/>
          <w:kern w:val="2"/>
          <w:sz w:val="21"/>
          <w:szCs w:val="21"/>
          <w:lang w:val="en-US" w:eastAsia="zh-CN" w:bidi="ar-SA"/>
        </w:rPr>
        <w:t>个工作日）</w:t>
      </w:r>
      <w:r>
        <w:rPr>
          <w:rFonts w:hint="eastAsia" w:ascii="宋体" w:hAnsi="宋体" w:eastAsia="宋体" w:cs="宋体"/>
          <w:b w:val="0"/>
          <w:bCs w:val="0"/>
          <w:color w:val="auto"/>
          <w:kern w:val="2"/>
          <w:sz w:val="21"/>
          <w:szCs w:val="21"/>
          <w:lang w:val="en-US" w:eastAsia="zh-CN" w:bidi="ar-SA"/>
        </w:rPr>
        <w:br w:type="textWrapping"/>
      </w:r>
      <w:r>
        <w:rPr>
          <w:rFonts w:hint="eastAsia" w:ascii="宋体" w:hAnsi="宋体" w:cs="宋体"/>
          <w:b w:val="0"/>
          <w:bCs w:val="0"/>
          <w:color w:val="auto"/>
          <w:kern w:val="2"/>
          <w:sz w:val="21"/>
          <w:szCs w:val="21"/>
          <w:lang w:val="en-US" w:eastAsia="zh-CN" w:bidi="ar-SA"/>
        </w:rPr>
        <w:t xml:space="preserve">    </w:t>
      </w:r>
      <w:r>
        <w:rPr>
          <w:rFonts w:hint="eastAsia" w:ascii="宋体" w:hAnsi="宋体" w:eastAsia="宋体" w:cs="宋体"/>
          <w:b w:val="0"/>
          <w:bCs w:val="0"/>
          <w:color w:val="auto"/>
          <w:kern w:val="2"/>
          <w:sz w:val="21"/>
          <w:szCs w:val="21"/>
          <w:lang w:val="en-US" w:eastAsia="zh-CN" w:bidi="ar-SA"/>
        </w:rPr>
        <w:t>送达地点：武昌区中北路岳家嘴立交山河企业大厦4806室</w:t>
      </w:r>
    </w:p>
    <w:p>
      <w:pPr>
        <w:pStyle w:val="4"/>
        <w:numPr>
          <w:ilvl w:val="0"/>
          <w:numId w:val="6"/>
        </w:numPr>
        <w:spacing w:line="360" w:lineRule="auto"/>
        <w:jc w:val="left"/>
        <w:rPr>
          <w:rFonts w:hint="eastAsia" w:eastAsia="宋体"/>
          <w:sz w:val="21"/>
          <w:szCs w:val="21"/>
          <w:lang w:eastAsia="zh-CN"/>
        </w:rPr>
      </w:pPr>
      <w:bookmarkStart w:id="21" w:name="_Toc6781"/>
      <w:bookmarkStart w:id="22" w:name="_Toc11700"/>
      <w:bookmarkStart w:id="23" w:name="_Toc8879"/>
      <w:r>
        <w:rPr>
          <w:rFonts w:hint="eastAsia" w:ascii="宋体" w:hAnsi="宋体" w:eastAsia="宋体" w:cs="宋体"/>
          <w:sz w:val="21"/>
          <w:szCs w:val="21"/>
          <w:lang w:eastAsia="zh-CN"/>
        </w:rPr>
        <w:t>开启</w:t>
      </w:r>
      <w:bookmarkEnd w:id="21"/>
      <w:bookmarkEnd w:id="22"/>
      <w:bookmarkEnd w:id="2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宋体" w:hAnsi="宋体" w:eastAsia="宋体" w:cs="宋体"/>
          <w:sz w:val="21"/>
          <w:szCs w:val="21"/>
          <w:lang w:eastAsia="zh-CN"/>
        </w:rPr>
        <w:t>2020年</w:t>
      </w:r>
      <w:r>
        <w:rPr>
          <w:rFonts w:hint="eastAsia" w:ascii="宋体" w:hAnsi="宋体" w:cs="宋体"/>
          <w:sz w:val="21"/>
          <w:szCs w:val="21"/>
          <w:lang w:val="en-US" w:eastAsia="zh-CN"/>
        </w:rPr>
        <w:t>8</w:t>
      </w:r>
      <w:r>
        <w:rPr>
          <w:rFonts w:hint="eastAsia" w:ascii="宋体" w:hAnsi="宋体" w:eastAsia="宋体" w:cs="宋体"/>
          <w:sz w:val="21"/>
          <w:szCs w:val="21"/>
          <w:lang w:eastAsia="zh-CN"/>
        </w:rPr>
        <w:t>月</w:t>
      </w:r>
      <w:r>
        <w:rPr>
          <w:rFonts w:hint="eastAsia" w:ascii="宋体" w:hAnsi="宋体" w:cs="宋体"/>
          <w:sz w:val="21"/>
          <w:szCs w:val="21"/>
          <w:lang w:val="en-US" w:eastAsia="zh-CN"/>
        </w:rPr>
        <w:t>31</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eastAsia="zh-CN"/>
        </w:rPr>
        <w:t>点</w:t>
      </w:r>
      <w:r>
        <w:rPr>
          <w:rFonts w:hint="eastAsia" w:ascii="宋体" w:hAnsi="宋体" w:cs="宋体"/>
          <w:sz w:val="21"/>
          <w:szCs w:val="21"/>
          <w:lang w:val="en-US" w:eastAsia="zh-CN"/>
        </w:rPr>
        <w:t>30</w:t>
      </w:r>
      <w:r>
        <w:rPr>
          <w:rFonts w:hint="eastAsia" w:ascii="宋体" w:hAnsi="宋体" w:eastAsia="宋体" w:cs="宋体"/>
          <w:sz w:val="21"/>
          <w:szCs w:val="21"/>
          <w:lang w:eastAsia="zh-CN"/>
        </w:rPr>
        <w:t>分（北京时间）</w:t>
      </w:r>
    </w:p>
    <w:p>
      <w:pPr>
        <w:pStyle w:val="4"/>
        <w:numPr>
          <w:ilvl w:val="0"/>
          <w:numId w:val="6"/>
        </w:numPr>
        <w:spacing w:line="360" w:lineRule="auto"/>
        <w:jc w:val="left"/>
        <w:rPr>
          <w:rFonts w:hint="eastAsia" w:ascii="宋体" w:hAnsi="宋体" w:eastAsia="宋体" w:cs="宋体"/>
          <w:sz w:val="21"/>
          <w:szCs w:val="21"/>
        </w:rPr>
      </w:pPr>
      <w:bookmarkStart w:id="24" w:name="_Toc2782"/>
      <w:bookmarkStart w:id="25" w:name="_Toc664"/>
      <w:bookmarkStart w:id="26" w:name="_Toc9082"/>
      <w:r>
        <w:rPr>
          <w:rFonts w:hint="eastAsia" w:ascii="宋体" w:hAnsi="宋体" w:eastAsia="宋体" w:cs="宋体"/>
          <w:sz w:val="21"/>
          <w:szCs w:val="21"/>
        </w:rPr>
        <w:t>公告期限</w:t>
      </w:r>
      <w:bookmarkEnd w:id="24"/>
      <w:bookmarkEnd w:id="25"/>
      <w:bookmarkEnd w:id="26"/>
    </w:p>
    <w:p>
      <w:pPr>
        <w:spacing w:line="360" w:lineRule="auto"/>
        <w:ind w:firstLine="420" w:firstLineChars="200"/>
        <w:jc w:val="left"/>
        <w:rPr>
          <w:rFonts w:hint="eastAsia" w:ascii="宋体" w:hAnsi="宋体" w:eastAsia="宋体" w:cs="宋体"/>
          <w:sz w:val="21"/>
          <w:szCs w:val="21"/>
          <w:lang w:eastAsia="zh-CN"/>
        </w:rPr>
      </w:pPr>
      <w:bookmarkStart w:id="27" w:name="_Toc320898024"/>
      <w:bookmarkStart w:id="28" w:name="_Toc276368888"/>
      <w:bookmarkStart w:id="29" w:name="_Toc317262251"/>
      <w:bookmarkStart w:id="30" w:name="_Toc259607751"/>
      <w:bookmarkStart w:id="31" w:name="_Toc334539188"/>
      <w:bookmarkStart w:id="32" w:name="_Toc6021"/>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个工作日</w:t>
      </w:r>
      <w:bookmarkStart w:id="251" w:name="_GoBack"/>
      <w:bookmarkEnd w:id="251"/>
    </w:p>
    <w:bookmarkEnd w:id="27"/>
    <w:bookmarkEnd w:id="28"/>
    <w:bookmarkEnd w:id="29"/>
    <w:bookmarkEnd w:id="30"/>
    <w:bookmarkEnd w:id="31"/>
    <w:bookmarkEnd w:id="32"/>
    <w:p>
      <w:pPr>
        <w:pStyle w:val="4"/>
        <w:numPr>
          <w:ilvl w:val="0"/>
          <w:numId w:val="6"/>
        </w:numPr>
        <w:spacing w:line="360" w:lineRule="auto"/>
        <w:jc w:val="left"/>
        <w:rPr>
          <w:rFonts w:hint="eastAsia" w:ascii="宋体" w:hAnsi="宋体" w:eastAsia="宋体" w:cs="宋体"/>
          <w:sz w:val="21"/>
          <w:szCs w:val="21"/>
        </w:rPr>
      </w:pPr>
      <w:bookmarkStart w:id="33" w:name="_Toc10432"/>
      <w:bookmarkStart w:id="34" w:name="_Toc25750"/>
      <w:bookmarkStart w:id="35" w:name="_Toc24708"/>
      <w:r>
        <w:rPr>
          <w:rFonts w:hint="eastAsia" w:ascii="宋体" w:hAnsi="宋体" w:eastAsia="宋体" w:cs="宋体"/>
          <w:sz w:val="21"/>
          <w:szCs w:val="21"/>
        </w:rPr>
        <w:t>其他补充事宜</w:t>
      </w:r>
      <w:bookmarkEnd w:id="33"/>
      <w:bookmarkEnd w:id="34"/>
      <w:bookmarkEnd w:id="35"/>
    </w:p>
    <w:p>
      <w:pPr>
        <w:numPr>
          <w:ilvl w:val="0"/>
          <w:numId w:val="0"/>
        </w:numPr>
        <w:spacing w:line="360" w:lineRule="auto"/>
        <w:ind w:firstLine="420" w:firstLineChars="200"/>
        <w:jc w:val="left"/>
        <w:rPr>
          <w:rFonts w:hint="eastAsia" w:ascii="宋体" w:hAnsi="宋体" w:eastAsia="宋体" w:cs="宋体"/>
          <w:sz w:val="21"/>
          <w:szCs w:val="21"/>
          <w:lang w:val="en-US" w:eastAsia="zh-CN"/>
        </w:rPr>
      </w:pPr>
      <w:bookmarkStart w:id="36" w:name="_Toc259028279"/>
      <w:r>
        <w:rPr>
          <w:rFonts w:hint="eastAsia" w:ascii="宋体" w:hAnsi="宋体" w:eastAsia="宋体" w:cs="宋体"/>
          <w:sz w:val="21"/>
          <w:szCs w:val="21"/>
          <w:lang w:val="en-US" w:eastAsia="zh-CN"/>
        </w:rPr>
        <w:t>1.本项目是否专门面向中小企业、监狱企业、残疾人福利性单位：</w:t>
      </w:r>
      <w:r>
        <w:rPr>
          <w:rFonts w:hint="eastAsia" w:ascii="宋体" w:hAnsi="宋体" w:eastAsia="宋体" w:cs="宋体"/>
          <w:color w:val="auto"/>
          <w:sz w:val="21"/>
          <w:szCs w:val="21"/>
          <w:lang w:val="en-US" w:eastAsia="zh-CN"/>
        </w:rPr>
        <w:t>否</w:t>
      </w:r>
    </w:p>
    <w:p>
      <w:pPr>
        <w:numPr>
          <w:ilvl w:val="0"/>
          <w:numId w:val="0"/>
        </w:num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3.供应商如需查询技术要求可直接到我处查阅采购文件第三章相关内容。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一</w:t>
      </w:r>
      <w:r>
        <w:rPr>
          <w:rFonts w:hint="eastAsia" w:ascii="宋体" w:hAnsi="宋体" w:eastAsia="宋体" w:cs="宋体"/>
          <w:sz w:val="21"/>
          <w:szCs w:val="21"/>
          <w:lang w:val="en-US" w:eastAsia="zh-CN"/>
        </w:rPr>
        <w:t>）《中经国际招标集团有限公司官网》（网址：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"http://www.ceitcl.com/）"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http://www.ceitcl.com/）</w:t>
      </w:r>
      <w:r>
        <w:rPr>
          <w:rFonts w:hint="eastAsia" w:ascii="宋体" w:hAnsi="宋体" w:eastAsia="宋体" w:cs="宋体"/>
          <w:sz w:val="21"/>
          <w:szCs w:val="21"/>
          <w:lang w:val="en-US" w:eastAsia="zh-CN"/>
        </w:rPr>
        <w:fldChar w:fldCharType="end"/>
      </w:r>
    </w:p>
    <w:p>
      <w:pPr>
        <w:spacing w:line="360" w:lineRule="auto"/>
        <w:ind w:firstLine="420" w:firstLineChars="200"/>
        <w:jc w:val="left"/>
        <w:rPr>
          <w:rFonts w:hint="eastAsia" w:ascii="宋体" w:hAnsi="宋体" w:eastAsia="宋体" w:cs="宋体"/>
          <w:b/>
          <w:bCs/>
          <w:kern w:val="2"/>
          <w:sz w:val="21"/>
          <w:szCs w:val="21"/>
          <w:highlight w:val="none"/>
          <w:lang w:val="en-US" w:eastAsia="zh-CN" w:bidi="ar-SA"/>
        </w:rPr>
      </w:pP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en-US" w:eastAsia="zh-CN"/>
        </w:rPr>
        <w:t>）《湖北工业大学采招网》（网址：http://tend.hbut.edu.cn/index.chtml）</w:t>
      </w:r>
    </w:p>
    <w:bookmarkEnd w:id="36"/>
    <w:p>
      <w:pPr>
        <w:pStyle w:val="4"/>
        <w:numPr>
          <w:ilvl w:val="0"/>
          <w:numId w:val="6"/>
        </w:numPr>
        <w:spacing w:line="360" w:lineRule="auto"/>
        <w:jc w:val="left"/>
        <w:rPr>
          <w:rFonts w:hint="eastAsia" w:ascii="宋体" w:hAnsi="宋体" w:eastAsia="宋体" w:cs="宋体"/>
          <w:sz w:val="21"/>
          <w:szCs w:val="21"/>
        </w:rPr>
      </w:pPr>
      <w:bookmarkStart w:id="37" w:name="_Toc27052"/>
      <w:bookmarkStart w:id="38" w:name="_Toc5107"/>
      <w:bookmarkStart w:id="39" w:name="_Toc27070"/>
      <w:r>
        <w:rPr>
          <w:rFonts w:hint="eastAsia" w:ascii="宋体" w:hAnsi="宋体" w:eastAsia="宋体" w:cs="宋体"/>
          <w:sz w:val="21"/>
          <w:szCs w:val="21"/>
        </w:rPr>
        <w:t>凡对本次采购提出询问，请按以下方式联系</w:t>
      </w:r>
      <w:bookmarkEnd w:id="37"/>
      <w:bookmarkEnd w:id="38"/>
      <w:bookmarkEnd w:id="39"/>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Theme="minorEastAsia" w:hAnsiTheme="minorEastAsia" w:eastAsiaTheme="minorEastAsia" w:cstheme="minorEastAsia"/>
          <w:color w:val="auto"/>
          <w:szCs w:val="21"/>
          <w:u w:val="none"/>
        </w:rPr>
        <w:t>湖北工业大学</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w:t>
      </w:r>
      <w:r>
        <w:rPr>
          <w:rFonts w:hint="eastAsia" w:asciiTheme="minorEastAsia" w:hAnsiTheme="minorEastAsia" w:eastAsiaTheme="minorEastAsia" w:cstheme="minorEastAsia"/>
          <w:color w:val="auto"/>
          <w:szCs w:val="21"/>
          <w:u w:val="none"/>
        </w:rPr>
        <w:t>湖北省武汉市洪山区南李路28号</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联系方式：王老师、</w:t>
      </w:r>
      <w:r>
        <w:rPr>
          <w:rFonts w:hint="eastAsia" w:asciiTheme="minorEastAsia" w:hAnsiTheme="minorEastAsia" w:eastAsiaTheme="minorEastAsia" w:cstheme="minorEastAsia"/>
          <w:color w:val="auto"/>
          <w:szCs w:val="21"/>
          <w:u w:val="none"/>
        </w:rPr>
        <w:t>027-59750213</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2.采购代理机</w:t>
      </w:r>
      <w:r>
        <w:rPr>
          <w:rFonts w:hint="eastAsia" w:ascii="宋体" w:hAnsi="宋体" w:eastAsia="宋体" w:cs="宋体"/>
          <w:sz w:val="21"/>
          <w:szCs w:val="21"/>
          <w:lang w:eastAsia="zh-CN"/>
        </w:rPr>
        <w:t>构信息</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地　址：武昌区中北路岳家嘴立交山河企业大厦</w:t>
      </w:r>
      <w:r>
        <w:rPr>
          <w:rFonts w:hint="eastAsia" w:ascii="宋体" w:hAnsi="宋体" w:eastAsia="宋体" w:cs="宋体"/>
          <w:sz w:val="21"/>
          <w:szCs w:val="21"/>
          <w:lang w:val="en-US" w:eastAsia="zh-CN"/>
        </w:rPr>
        <w:t>48楼4805、</w:t>
      </w:r>
      <w:r>
        <w:rPr>
          <w:rFonts w:hint="eastAsia" w:ascii="宋体" w:hAnsi="宋体" w:eastAsia="宋体" w:cs="宋体"/>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方雪菲、刘晋琦</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eastAsia="zh-CN"/>
        </w:rPr>
        <w:t>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40" w:name="_Toc24714"/>
      <w:bookmarkStart w:id="41" w:name="_Toc22777"/>
      <w:bookmarkStart w:id="42" w:name="_Toc15624"/>
      <w:bookmarkStart w:id="43" w:name="_Toc31580"/>
      <w:r>
        <w:rPr>
          <w:rFonts w:hint="eastAsia" w:asciiTheme="minorEastAsia" w:hAnsiTheme="minorEastAsia" w:eastAsiaTheme="minorEastAsia" w:cstheme="minorEastAsia"/>
          <w:sz w:val="21"/>
          <w:szCs w:val="21"/>
        </w:rPr>
        <w:t>注意事项</w:t>
      </w:r>
      <w:bookmarkEnd w:id="40"/>
      <w:bookmarkEnd w:id="41"/>
      <w:bookmarkEnd w:id="42"/>
      <w:bookmarkEnd w:id="43"/>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44" w:name="_Toc15616"/>
      <w:r>
        <w:rPr>
          <w:rFonts w:hint="eastAsia" w:asciiTheme="minorEastAsia" w:hAnsiTheme="minorEastAsia" w:eastAsiaTheme="minorEastAsia" w:cstheme="minorEastAsia"/>
          <w:sz w:val="36"/>
          <w:szCs w:val="36"/>
        </w:rPr>
        <w:t>供应商须知</w:t>
      </w:r>
      <w:bookmarkEnd w:id="44"/>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45" w:name="_Toc22892"/>
      <w:r>
        <w:rPr>
          <w:rFonts w:hint="eastAsia" w:asciiTheme="minorEastAsia" w:hAnsiTheme="minorEastAsia" w:eastAsiaTheme="minorEastAsia" w:cstheme="minorEastAsia"/>
          <w:b/>
          <w:szCs w:val="21"/>
        </w:rPr>
        <w:t>《供应商须知前附表》</w:t>
      </w:r>
      <w:bookmarkEnd w:id="4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发展与改革委员会办公厅发改办价格【2003】857号文的规定，经与采购人协商，由成交供应商按国家发展计划委员会计价格【2002】1980号文规定货物类取费标准的80%向采购代理机构支付招标代理服务费。招标代理服务费由成交供应商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28</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本次采购</w:t>
            </w:r>
            <w:r>
              <w:rPr>
                <w:rFonts w:hint="eastAsia" w:asciiTheme="minorEastAsia" w:hAnsiTheme="minorEastAsia" w:eastAsiaTheme="minorEastAsia" w:cstheme="minorEastAsia"/>
                <w:color w:val="auto"/>
                <w:sz w:val="21"/>
                <w:szCs w:val="21"/>
                <w:lang w:val="zh-CN"/>
              </w:rPr>
              <w:t xml:space="preserve">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w:t>
            </w:r>
            <w:r>
              <w:rPr>
                <w:rFonts w:hint="eastAsia" w:asciiTheme="minorEastAsia" w:hAnsiTheme="minorEastAsia" w:eastAsiaTheme="minorEastAsia" w:cstheme="minorEastAsia"/>
                <w:sz w:val="21"/>
                <w:szCs w:val="21"/>
                <w:lang w:val="zh-CN"/>
              </w:rPr>
              <w:t>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竞争性磋商</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    额：</w:t>
            </w:r>
            <w:r>
              <w:rPr>
                <w:rFonts w:hint="eastAsia" w:asciiTheme="minorEastAsia" w:hAnsiTheme="minorEastAsia" w:eastAsiaTheme="minorEastAsia" w:cstheme="minorEastAsia"/>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w:t>
            </w:r>
            <w:r>
              <w:rPr>
                <w:rFonts w:hint="eastAsia" w:asciiTheme="minorEastAsia" w:hAnsiTheme="minorEastAsia" w:eastAsiaTheme="minorEastAsia" w:cstheme="minorEastAsia"/>
                <w:sz w:val="21"/>
                <w:szCs w:val="21"/>
                <w:lang w:eastAsia="zh-CN"/>
              </w:rPr>
              <w:t>，以采购代理公司银行到账信息为准。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w:t>
            </w:r>
            <w:r>
              <w:rPr>
                <w:rFonts w:hint="eastAsia" w:asciiTheme="minorEastAsia" w:hAnsiTheme="minorEastAsia" w:eastAsiaTheme="minorEastAsia" w:cstheme="minorEastAsia"/>
                <w:b/>
                <w:bCs/>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spacing w:line="360" w:lineRule="auto"/>
        <w:outlineLvl w:val="1"/>
        <w:rPr>
          <w:rFonts w:hint="eastAsia" w:asciiTheme="minorEastAsia" w:hAnsiTheme="minorEastAsia" w:eastAsiaTheme="minorEastAsia" w:cstheme="minorEastAsia"/>
          <w:b/>
          <w:szCs w:val="21"/>
        </w:rPr>
      </w:pPr>
      <w:bookmarkStart w:id="46" w:name="_Toc20433"/>
      <w:r>
        <w:rPr>
          <w:rFonts w:hint="eastAsia" w:asciiTheme="minorEastAsia" w:hAnsiTheme="minorEastAsia" w:eastAsiaTheme="minorEastAsia" w:cstheme="minorEastAsia"/>
          <w:b/>
          <w:szCs w:val="21"/>
        </w:rPr>
        <w:t>供应商须知</w:t>
      </w:r>
      <w:bookmarkEnd w:id="46"/>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7" w:name="_Toc31387"/>
      <w:r>
        <w:rPr>
          <w:rFonts w:hint="eastAsia" w:asciiTheme="minorEastAsia" w:hAnsiTheme="minorEastAsia" w:eastAsiaTheme="minorEastAsia" w:cstheme="minorEastAsia"/>
          <w:b/>
          <w:szCs w:val="21"/>
        </w:rPr>
        <w:t>总则</w:t>
      </w:r>
      <w:bookmarkEnd w:id="47"/>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48" w:name="_Toc15744"/>
      <w:bookmarkStart w:id="49" w:name="_Toc27243"/>
      <w:r>
        <w:rPr>
          <w:rFonts w:hint="eastAsia" w:asciiTheme="minorEastAsia" w:hAnsiTheme="minorEastAsia" w:eastAsiaTheme="minorEastAsia" w:cstheme="minorEastAsia"/>
          <w:b/>
          <w:szCs w:val="21"/>
        </w:rPr>
        <w:t>适用法律及范围</w:t>
      </w:r>
      <w:bookmarkEnd w:id="48"/>
      <w:bookmarkEnd w:id="49"/>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50" w:name="_Toc9077"/>
      <w:bookmarkStart w:id="51" w:name="_Toc30547"/>
      <w:r>
        <w:rPr>
          <w:rFonts w:hint="eastAsia" w:asciiTheme="minorEastAsia" w:hAnsiTheme="minorEastAsia" w:eastAsiaTheme="minorEastAsia" w:cstheme="minorEastAsia"/>
          <w:b/>
          <w:szCs w:val="21"/>
        </w:rPr>
        <w:t>定义</w:t>
      </w:r>
      <w:bookmarkEnd w:id="50"/>
      <w:bookmarkEnd w:id="51"/>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52" w:name="_Toc15445"/>
      <w:bookmarkStart w:id="53" w:name="_Toc30503"/>
      <w:r>
        <w:rPr>
          <w:rFonts w:hint="eastAsia" w:asciiTheme="minorEastAsia" w:hAnsiTheme="minorEastAsia" w:eastAsiaTheme="minorEastAsia" w:cstheme="minorEastAsia"/>
          <w:b/>
          <w:snapToGrid w:val="0"/>
          <w:kern w:val="0"/>
          <w:szCs w:val="21"/>
          <w:lang w:val="zh-CN"/>
        </w:rPr>
        <w:t>工程、货物及服务</w:t>
      </w:r>
      <w:bookmarkEnd w:id="52"/>
      <w:bookmarkEnd w:id="53"/>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54" w:name="_Toc19819"/>
      <w:bookmarkStart w:id="55" w:name="_Toc9974"/>
      <w:r>
        <w:rPr>
          <w:rFonts w:hint="eastAsia" w:asciiTheme="minorEastAsia" w:hAnsiTheme="minorEastAsia" w:eastAsiaTheme="minorEastAsia" w:cstheme="minorEastAsia"/>
          <w:b/>
          <w:szCs w:val="21"/>
        </w:rPr>
        <w:t>费用</w:t>
      </w:r>
      <w:bookmarkEnd w:id="54"/>
      <w:bookmarkEnd w:id="55"/>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合计收费=324000.000元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6" w:name="_Toc4922"/>
      <w:r>
        <w:rPr>
          <w:rFonts w:hint="eastAsia" w:asciiTheme="minorEastAsia" w:hAnsiTheme="minorEastAsia" w:eastAsiaTheme="minorEastAsia" w:cstheme="minorEastAsia"/>
          <w:b/>
          <w:szCs w:val="21"/>
        </w:rPr>
        <w:t>竞争性磋商采购文件</w:t>
      </w:r>
      <w:bookmarkEnd w:id="56"/>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57" w:name="_Toc4547"/>
      <w:bookmarkStart w:id="58" w:name="_Toc29195"/>
      <w:r>
        <w:rPr>
          <w:rFonts w:hint="eastAsia" w:asciiTheme="minorEastAsia" w:hAnsiTheme="minorEastAsia" w:eastAsiaTheme="minorEastAsia" w:cstheme="minorEastAsia"/>
          <w:b/>
          <w:szCs w:val="21"/>
        </w:rPr>
        <w:t>竞争性磋商采购文件的构成</w:t>
      </w:r>
      <w:bookmarkEnd w:id="57"/>
      <w:bookmarkEnd w:id="58"/>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9" w:name="_Toc29700"/>
      <w:bookmarkStart w:id="60" w:name="_Toc12939"/>
      <w:r>
        <w:rPr>
          <w:rFonts w:hint="eastAsia" w:asciiTheme="minorEastAsia" w:hAnsiTheme="minorEastAsia" w:eastAsiaTheme="minorEastAsia" w:cstheme="minorEastAsia"/>
          <w:b/>
          <w:snapToGrid w:val="0"/>
          <w:kern w:val="0"/>
          <w:szCs w:val="21"/>
          <w:lang w:val="zh-CN"/>
        </w:rPr>
        <w:t>竞争性磋商采购文件的澄清</w:t>
      </w:r>
      <w:bookmarkEnd w:id="59"/>
      <w:bookmarkEnd w:id="60"/>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1" w:name="_Toc20775"/>
      <w:bookmarkStart w:id="62" w:name="_Toc31761"/>
      <w:r>
        <w:rPr>
          <w:rFonts w:hint="eastAsia" w:asciiTheme="minorEastAsia" w:hAnsiTheme="minorEastAsia" w:eastAsiaTheme="minorEastAsia" w:cstheme="minorEastAsia"/>
          <w:b/>
          <w:snapToGrid w:val="0"/>
          <w:kern w:val="0"/>
          <w:szCs w:val="21"/>
          <w:lang w:val="zh-CN"/>
        </w:rPr>
        <w:t>竞争性磋商采购文件的修改</w:t>
      </w:r>
      <w:bookmarkEnd w:id="61"/>
      <w:bookmarkEnd w:id="62"/>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3" w:name="_Toc12332"/>
      <w:r>
        <w:rPr>
          <w:rFonts w:hint="eastAsia" w:asciiTheme="minorEastAsia" w:hAnsiTheme="minorEastAsia" w:eastAsiaTheme="minorEastAsia" w:cstheme="minorEastAsia"/>
          <w:b/>
          <w:szCs w:val="21"/>
        </w:rPr>
        <w:t>竞争性磋商响应文件</w:t>
      </w:r>
      <w:bookmarkEnd w:id="63"/>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64" w:name="_Toc30987"/>
      <w:bookmarkStart w:id="65" w:name="_Toc4353"/>
      <w:r>
        <w:rPr>
          <w:rFonts w:hint="eastAsia" w:asciiTheme="minorEastAsia" w:hAnsiTheme="minorEastAsia" w:eastAsiaTheme="minorEastAsia" w:cstheme="minorEastAsia"/>
          <w:b/>
          <w:snapToGrid w:val="0"/>
          <w:kern w:val="0"/>
          <w:szCs w:val="21"/>
          <w:lang w:val="zh-CN"/>
        </w:rPr>
        <w:t>语言和计量单位</w:t>
      </w:r>
      <w:bookmarkEnd w:id="64"/>
      <w:bookmarkEnd w:id="65"/>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10626"/>
      <w:bookmarkStart w:id="67" w:name="_Toc32272"/>
      <w:r>
        <w:rPr>
          <w:rFonts w:hint="eastAsia" w:asciiTheme="minorEastAsia" w:hAnsiTheme="minorEastAsia" w:eastAsiaTheme="minorEastAsia" w:cstheme="minorEastAsia"/>
          <w:b/>
          <w:snapToGrid w:val="0"/>
          <w:kern w:val="0"/>
          <w:szCs w:val="21"/>
          <w:lang w:val="zh-CN"/>
        </w:rPr>
        <w:t>竞争性磋商响应文件的构成</w:t>
      </w:r>
      <w:bookmarkEnd w:id="66"/>
      <w:bookmarkEnd w:id="67"/>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20720"/>
      <w:bookmarkStart w:id="69" w:name="_Toc25217"/>
      <w:r>
        <w:rPr>
          <w:rFonts w:hint="eastAsia" w:asciiTheme="minorEastAsia" w:hAnsiTheme="minorEastAsia" w:eastAsiaTheme="minorEastAsia" w:cstheme="minorEastAsia"/>
          <w:b/>
          <w:snapToGrid w:val="0"/>
          <w:kern w:val="0"/>
          <w:szCs w:val="21"/>
          <w:lang w:val="zh-CN"/>
        </w:rPr>
        <w:t>竞争性磋商响应文件的编制</w:t>
      </w:r>
      <w:bookmarkEnd w:id="68"/>
      <w:bookmarkEnd w:id="69"/>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25093"/>
      <w:bookmarkStart w:id="71" w:name="_Toc24544"/>
      <w:r>
        <w:rPr>
          <w:rFonts w:hint="eastAsia" w:asciiTheme="minorEastAsia" w:hAnsiTheme="minorEastAsia" w:eastAsiaTheme="minorEastAsia" w:cstheme="minorEastAsia"/>
          <w:b/>
          <w:snapToGrid w:val="0"/>
          <w:kern w:val="0"/>
          <w:szCs w:val="21"/>
          <w:lang w:val="zh-CN"/>
        </w:rPr>
        <w:t>磋商报价</w:t>
      </w:r>
      <w:bookmarkEnd w:id="70"/>
      <w:bookmarkEnd w:id="71"/>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6176"/>
      <w:bookmarkStart w:id="73" w:name="_Toc18974"/>
      <w:r>
        <w:rPr>
          <w:rFonts w:hint="eastAsia" w:asciiTheme="minorEastAsia" w:hAnsiTheme="minorEastAsia" w:eastAsiaTheme="minorEastAsia" w:cstheme="minorEastAsia"/>
          <w:b/>
          <w:snapToGrid w:val="0"/>
          <w:kern w:val="0"/>
          <w:szCs w:val="21"/>
          <w:lang w:val="zh-CN"/>
        </w:rPr>
        <w:t>备选方案</w:t>
      </w:r>
      <w:bookmarkEnd w:id="72"/>
      <w:bookmarkEnd w:id="73"/>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4" w:name="_Toc27517"/>
      <w:bookmarkStart w:id="75" w:name="_Toc3324"/>
      <w:r>
        <w:rPr>
          <w:rFonts w:hint="eastAsia" w:asciiTheme="minorEastAsia" w:hAnsiTheme="minorEastAsia" w:eastAsiaTheme="minorEastAsia" w:cstheme="minorEastAsia"/>
          <w:b/>
          <w:snapToGrid w:val="0"/>
          <w:kern w:val="0"/>
          <w:szCs w:val="21"/>
          <w:lang w:val="zh-CN"/>
        </w:rPr>
        <w:t>联合体</w:t>
      </w:r>
      <w:bookmarkEnd w:id="74"/>
      <w:bookmarkEnd w:id="75"/>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2434"/>
      <w:bookmarkStart w:id="77" w:name="_Toc14160"/>
      <w:r>
        <w:rPr>
          <w:rFonts w:hint="eastAsia" w:asciiTheme="minorEastAsia" w:hAnsiTheme="minorEastAsia" w:eastAsiaTheme="minorEastAsia" w:cstheme="minorEastAsia"/>
          <w:b/>
          <w:snapToGrid w:val="0"/>
          <w:kern w:val="0"/>
          <w:szCs w:val="21"/>
          <w:lang w:val="zh-CN"/>
        </w:rPr>
        <w:t>供应商资格证明文件</w:t>
      </w:r>
      <w:bookmarkEnd w:id="76"/>
      <w:bookmarkEnd w:id="77"/>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9935"/>
      <w:bookmarkStart w:id="79" w:name="_Toc19766"/>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8"/>
      <w:bookmarkEnd w:id="79"/>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0" w:name="_Toc27068"/>
      <w:bookmarkStart w:id="81" w:name="_Toc17368"/>
      <w:r>
        <w:rPr>
          <w:rFonts w:hint="eastAsia" w:asciiTheme="minorEastAsia" w:hAnsiTheme="minorEastAsia" w:eastAsiaTheme="minorEastAsia" w:cstheme="minorEastAsia"/>
          <w:b/>
          <w:snapToGrid w:val="0"/>
          <w:color w:val="auto"/>
          <w:kern w:val="0"/>
          <w:szCs w:val="21"/>
          <w:lang w:val="zh-CN"/>
        </w:rPr>
        <w:t>磋商保证金</w:t>
      </w:r>
      <w:bookmarkEnd w:id="80"/>
      <w:bookmarkEnd w:id="81"/>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2" w:name="_Toc5668"/>
      <w:bookmarkStart w:id="83" w:name="_Toc2467"/>
      <w:r>
        <w:rPr>
          <w:rFonts w:hint="eastAsia" w:asciiTheme="minorEastAsia" w:hAnsiTheme="minorEastAsia" w:eastAsiaTheme="minorEastAsia" w:cstheme="minorEastAsia"/>
          <w:b/>
          <w:snapToGrid w:val="0"/>
          <w:kern w:val="0"/>
          <w:szCs w:val="21"/>
          <w:lang w:val="zh-CN"/>
        </w:rPr>
        <w:t>磋商有效期</w:t>
      </w:r>
      <w:bookmarkEnd w:id="82"/>
      <w:bookmarkEnd w:id="83"/>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4" w:name="_Toc797"/>
      <w:bookmarkStart w:id="85"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84"/>
      <w:bookmarkEnd w:id="85"/>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6" w:name="_Toc7755"/>
      <w:r>
        <w:rPr>
          <w:rFonts w:hint="eastAsia" w:asciiTheme="minorEastAsia" w:hAnsiTheme="minorEastAsia" w:eastAsiaTheme="minorEastAsia" w:cstheme="minorEastAsia"/>
          <w:b/>
          <w:szCs w:val="21"/>
        </w:rPr>
        <w:t>竞争性磋商响应文件的递交</w:t>
      </w:r>
      <w:bookmarkEnd w:id="8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7" w:name="_Toc27305"/>
      <w:bookmarkStart w:id="88" w:name="_Toc15711"/>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7"/>
      <w:bookmarkEnd w:id="88"/>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9" w:name="_Toc14328"/>
      <w:bookmarkStart w:id="90"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89"/>
      <w:bookmarkEnd w:id="90"/>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1" w:name="_Toc31376"/>
      <w:bookmarkStart w:id="92" w:name="_Toc928"/>
      <w:r>
        <w:rPr>
          <w:rFonts w:hint="eastAsia" w:asciiTheme="minorEastAsia" w:hAnsiTheme="minorEastAsia" w:eastAsiaTheme="minorEastAsia" w:cstheme="minorEastAsia"/>
          <w:b/>
          <w:snapToGrid w:val="0"/>
          <w:kern w:val="0"/>
          <w:szCs w:val="21"/>
          <w:lang w:val="zh-CN"/>
        </w:rPr>
        <w:t>迟交的竞争性磋商响应文件</w:t>
      </w:r>
      <w:bookmarkEnd w:id="91"/>
      <w:bookmarkEnd w:id="92"/>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3" w:name="_Toc31760"/>
      <w:bookmarkStart w:id="94" w:name="_Toc25980"/>
      <w:r>
        <w:rPr>
          <w:rFonts w:hint="eastAsia" w:asciiTheme="minorEastAsia" w:hAnsiTheme="minorEastAsia" w:eastAsiaTheme="minorEastAsia" w:cstheme="minorEastAsia"/>
          <w:b/>
          <w:snapToGrid w:val="0"/>
          <w:kern w:val="0"/>
          <w:szCs w:val="21"/>
          <w:lang w:val="zh-CN"/>
        </w:rPr>
        <w:t>竞争性磋商响应文件的补充、修改或者撤回</w:t>
      </w:r>
      <w:bookmarkEnd w:id="93"/>
      <w:bookmarkEnd w:id="94"/>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95" w:name="_Toc19421"/>
      <w:r>
        <w:rPr>
          <w:rFonts w:hint="eastAsia" w:asciiTheme="minorEastAsia" w:hAnsiTheme="minorEastAsia" w:eastAsiaTheme="minorEastAsia" w:cstheme="minorEastAsia"/>
          <w:b/>
          <w:szCs w:val="21"/>
        </w:rPr>
        <w:t>磋商程序及步骤</w:t>
      </w:r>
      <w:bookmarkEnd w:id="95"/>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6" w:name="_Toc22624"/>
      <w:bookmarkStart w:id="97" w:name="_Toc9612"/>
      <w:r>
        <w:rPr>
          <w:rFonts w:hint="eastAsia" w:asciiTheme="minorEastAsia" w:hAnsiTheme="minorEastAsia" w:eastAsiaTheme="minorEastAsia" w:cstheme="minorEastAsia"/>
          <w:b/>
        </w:rPr>
        <w:t>竞争性磋商小组</w:t>
      </w:r>
      <w:bookmarkEnd w:id="96"/>
      <w:bookmarkEnd w:id="97"/>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8" w:name="_Toc21483"/>
      <w:bookmarkStart w:id="99" w:name="_Toc8183"/>
      <w:r>
        <w:rPr>
          <w:rFonts w:hint="eastAsia" w:asciiTheme="minorEastAsia" w:hAnsiTheme="minorEastAsia" w:eastAsiaTheme="minorEastAsia" w:cstheme="minorEastAsia"/>
          <w:b/>
        </w:rPr>
        <w:t>磋商代表</w:t>
      </w:r>
      <w:bookmarkEnd w:id="98"/>
      <w:bookmarkEnd w:id="99"/>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lang w:val="en-US" w:eastAsia="zh-CN"/>
        </w:rPr>
      </w:pPr>
      <w:bookmarkStart w:id="100" w:name="_Toc32662"/>
      <w:bookmarkStart w:id="101"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100"/>
      <w:bookmarkEnd w:id="101"/>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102" w:name="_Toc20607"/>
      <w:r>
        <w:rPr>
          <w:rFonts w:hint="eastAsia" w:asciiTheme="minorEastAsia" w:hAnsiTheme="minorEastAsia" w:eastAsiaTheme="minorEastAsia" w:cstheme="minorEastAsia"/>
          <w:b/>
        </w:rPr>
        <w:t>资格审查和符合性审查</w:t>
      </w:r>
      <w:bookmarkEnd w:id="102"/>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103" w:name="_Toc31996"/>
      <w:r>
        <w:rPr>
          <w:rFonts w:hint="eastAsia" w:asciiTheme="minorEastAsia" w:hAnsiTheme="minorEastAsia" w:eastAsiaTheme="minorEastAsia" w:cstheme="minorEastAsia"/>
          <w:b/>
        </w:rPr>
        <w:t>磋商</w:t>
      </w:r>
      <w:bookmarkEnd w:id="10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15" w:firstLine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4" w:name="_Toc9459"/>
      <w:r>
        <w:rPr>
          <w:rFonts w:hint="eastAsia" w:asciiTheme="minorEastAsia" w:hAnsiTheme="minorEastAsia" w:eastAsiaTheme="minorEastAsia" w:cstheme="minorEastAsia"/>
          <w:b/>
          <w:lang w:val="zh-CN"/>
        </w:rPr>
        <w:t>保密</w:t>
      </w:r>
      <w:bookmarkEnd w:id="104"/>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105" w:name="_Toc11704"/>
      <w:r>
        <w:rPr>
          <w:rFonts w:hint="eastAsia" w:asciiTheme="minorEastAsia" w:hAnsiTheme="minorEastAsia" w:eastAsiaTheme="minorEastAsia" w:cstheme="minorEastAsia"/>
          <w:b/>
          <w:szCs w:val="21"/>
        </w:rPr>
        <w:t>成交与签订合同</w:t>
      </w:r>
      <w:bookmarkEnd w:id="105"/>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6" w:name="_Toc13985"/>
      <w:r>
        <w:rPr>
          <w:rFonts w:hint="eastAsia" w:asciiTheme="minorEastAsia" w:hAnsiTheme="minorEastAsia" w:eastAsiaTheme="minorEastAsia" w:cstheme="minorEastAsia"/>
          <w:b/>
          <w:lang w:val="zh-CN"/>
        </w:rPr>
        <w:t>合同授予标准</w:t>
      </w:r>
      <w:bookmarkEnd w:id="106"/>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Cs w:val="21"/>
          <w:lang w:val="zh-CN"/>
        </w:rPr>
        <w:t>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2 </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28.</w:t>
      </w:r>
      <w:r>
        <w:rPr>
          <w:rFonts w:hint="eastAsia" w:asciiTheme="minorEastAsia" w:hAnsiTheme="minorEastAsia" w:eastAsiaTheme="minorEastAsia" w:cstheme="minorEastAsia"/>
          <w:snapToGrid w:val="0"/>
          <w:kern w:val="0"/>
          <w:szCs w:val="21"/>
          <w:lang w:val="en-US" w:eastAsia="zh-CN"/>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28.</w:t>
      </w:r>
      <w:r>
        <w:rPr>
          <w:rFonts w:hint="eastAsia" w:asciiTheme="minorEastAsia" w:hAnsiTheme="minorEastAsia" w:eastAsiaTheme="minorEastAsia" w:cstheme="minorEastAsia"/>
          <w:snapToGrid w:val="0"/>
          <w:kern w:val="0"/>
          <w:szCs w:val="21"/>
          <w:lang w:val="en-US" w:eastAsia="zh-CN"/>
        </w:rPr>
        <w:t xml:space="preserve">4 </w:t>
      </w:r>
      <w:r>
        <w:rPr>
          <w:rFonts w:hint="eastAsia" w:asciiTheme="minorEastAsia" w:hAnsiTheme="minorEastAsia" w:eastAsiaTheme="minorEastAsia" w:cstheme="minorEastAsia"/>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5 </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7" w:name="_Toc682"/>
      <w:r>
        <w:rPr>
          <w:rFonts w:hint="eastAsia" w:asciiTheme="minorEastAsia" w:hAnsiTheme="minorEastAsia" w:eastAsiaTheme="minorEastAsia" w:cstheme="minorEastAsia"/>
          <w:b/>
          <w:lang w:val="zh-CN"/>
        </w:rPr>
        <w:t>签订合同</w:t>
      </w:r>
      <w:bookmarkEnd w:id="107"/>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8" w:name="_Toc14510"/>
      <w:bookmarkStart w:id="109" w:name="_Toc13988"/>
      <w:bookmarkStart w:id="110" w:name="_Toc4883"/>
      <w:bookmarkStart w:id="111" w:name="_Toc14580"/>
      <w:r>
        <w:rPr>
          <w:rFonts w:hint="eastAsia" w:asciiTheme="minorEastAsia" w:hAnsiTheme="minorEastAsia" w:eastAsiaTheme="minorEastAsia" w:cstheme="minorEastAsia"/>
          <w:b/>
          <w:szCs w:val="21"/>
          <w:lang w:val="zh-CN"/>
        </w:rPr>
        <w:t>质疑和投诉</w:t>
      </w:r>
      <w:bookmarkEnd w:id="108"/>
      <w:bookmarkEnd w:id="109"/>
      <w:bookmarkEnd w:id="110"/>
      <w:bookmarkEnd w:id="111"/>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12" w:name="_Toc6871"/>
      <w:r>
        <w:rPr>
          <w:rFonts w:hint="eastAsia" w:asciiTheme="minorEastAsia" w:hAnsiTheme="minorEastAsia" w:eastAsiaTheme="minorEastAsia" w:cstheme="minorEastAsia"/>
          <w:b/>
          <w:lang w:val="zh-CN"/>
        </w:rPr>
        <w:t>质疑</w:t>
      </w:r>
      <w:bookmarkEnd w:id="112"/>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13" w:name="_Toc11029"/>
      <w:r>
        <w:rPr>
          <w:rFonts w:hint="eastAsia" w:asciiTheme="minorEastAsia" w:hAnsiTheme="minorEastAsia" w:eastAsiaTheme="minorEastAsia" w:cstheme="minorEastAsia"/>
          <w:b/>
          <w:lang w:val="zh-CN"/>
        </w:rPr>
        <w:t>质疑回复</w:t>
      </w:r>
      <w:bookmarkEnd w:id="113"/>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14" w:name="_Toc19481"/>
      <w:r>
        <w:rPr>
          <w:rFonts w:hint="eastAsia" w:asciiTheme="minorEastAsia" w:hAnsiTheme="minorEastAsia" w:eastAsiaTheme="minorEastAsia" w:cstheme="minorEastAsia"/>
          <w:b/>
          <w:lang w:val="zh-CN"/>
        </w:rPr>
        <w:t>投诉</w:t>
      </w:r>
      <w:bookmarkEnd w:id="11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5" w:name="_Toc5571"/>
      <w:bookmarkStart w:id="116" w:name="_Toc14767"/>
      <w:bookmarkStart w:id="117" w:name="_Toc28705"/>
      <w:bookmarkStart w:id="118" w:name="_Toc22917"/>
      <w:r>
        <w:rPr>
          <w:rFonts w:hint="eastAsia" w:asciiTheme="minorEastAsia" w:hAnsiTheme="minorEastAsia" w:eastAsiaTheme="minorEastAsia" w:cstheme="minorEastAsia"/>
          <w:b/>
          <w:szCs w:val="21"/>
          <w:lang w:val="zh-CN"/>
        </w:rPr>
        <w:t>政策</w:t>
      </w:r>
      <w:bookmarkEnd w:id="115"/>
      <w:bookmarkEnd w:id="116"/>
      <w:bookmarkEnd w:id="117"/>
      <w:bookmarkEnd w:id="11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19" w:name="_Toc28362"/>
      <w:r>
        <w:rPr>
          <w:rFonts w:hint="eastAsia" w:asciiTheme="minorEastAsia" w:hAnsiTheme="minorEastAsia" w:eastAsiaTheme="minorEastAsia" w:cstheme="minorEastAsia"/>
          <w:b/>
          <w:lang w:val="en-US" w:eastAsia="zh-CN"/>
        </w:rPr>
        <w:t>政府采购政策</w:t>
      </w:r>
      <w:bookmarkEnd w:id="119"/>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firstLine="211" w:firstLineChars="100"/>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20" w:name="_Toc2444"/>
      <w:r>
        <w:rPr>
          <w:rFonts w:hint="eastAsia" w:asciiTheme="minorEastAsia" w:hAnsiTheme="minorEastAsia" w:eastAsiaTheme="minorEastAsia" w:cstheme="minorEastAsia"/>
          <w:b/>
          <w:szCs w:val="21"/>
          <w:lang w:val="zh-CN"/>
        </w:rPr>
        <w:t>其他要求</w:t>
      </w:r>
      <w:bookmarkEnd w:id="120"/>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21" w:name="_Toc12297"/>
      <w:r>
        <w:rPr>
          <w:rFonts w:hint="eastAsia" w:asciiTheme="minorEastAsia" w:hAnsiTheme="minorEastAsia" w:eastAsiaTheme="minorEastAsia" w:cstheme="minorEastAsia"/>
          <w:b/>
          <w:szCs w:val="21"/>
          <w:lang w:val="zh-CN"/>
        </w:rPr>
        <w:t>适用法律</w:t>
      </w:r>
      <w:bookmarkEnd w:id="121"/>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22" w:name="_Toc1272"/>
      <w:r>
        <w:rPr>
          <w:rFonts w:hint="eastAsia" w:asciiTheme="minorEastAsia" w:hAnsiTheme="minorEastAsia" w:eastAsiaTheme="minorEastAsia" w:cstheme="minorEastAsia"/>
          <w:b/>
          <w:bCs/>
          <w:sz w:val="36"/>
          <w:szCs w:val="36"/>
        </w:rPr>
        <w:t>采购需求</w:t>
      </w:r>
      <w:bookmarkEnd w:id="122"/>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23" w:name="_Toc26346"/>
      <w:r>
        <w:rPr>
          <w:rFonts w:hint="eastAsia" w:asciiTheme="minorEastAsia" w:hAnsiTheme="minorEastAsia" w:eastAsiaTheme="minorEastAsia" w:cstheme="minorEastAsia"/>
          <w:b/>
          <w:bCs/>
          <w:color w:val="auto"/>
          <w:sz w:val="24"/>
          <w:szCs w:val="24"/>
          <w:lang w:val="en-US" w:eastAsia="zh-CN"/>
        </w:rPr>
        <w:t>一、技术需求</w:t>
      </w:r>
      <w:bookmarkEnd w:id="123"/>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1、项目概况：采购14台会议教学触碰一体机</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2、设备/货物清单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787"/>
        <w:gridCol w:w="7556"/>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0" w:type="auto"/>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仪器设备名称</w:t>
            </w:r>
          </w:p>
        </w:tc>
        <w:tc>
          <w:tcPr>
            <w:tcW w:w="0" w:type="auto"/>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技术性能</w:t>
            </w:r>
          </w:p>
        </w:tc>
        <w:tc>
          <w:tcPr>
            <w:tcW w:w="0" w:type="auto"/>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widowControl/>
              <w:spacing w:line="360" w:lineRule="auto"/>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w:t>
            </w:r>
          </w:p>
        </w:tc>
        <w:tc>
          <w:tcPr>
            <w:tcW w:w="0" w:type="auto"/>
            <w:noWrap w:val="0"/>
            <w:vAlign w:val="center"/>
          </w:tcPr>
          <w:p>
            <w:pPr>
              <w:widowControl/>
              <w:spacing w:line="360" w:lineRule="auto"/>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会议教学触碰一体机</w:t>
            </w:r>
          </w:p>
        </w:tc>
        <w:tc>
          <w:tcPr>
            <w:tcW w:w="0" w:type="auto"/>
            <w:noWrap w:val="0"/>
            <w:vAlign w:val="center"/>
          </w:tcPr>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1.★整机屏幕采用65 UHD超高清LED液晶屏，显示比例16:9，屏幕图像分辨率达3840*2160，色彩度10bit ,可视角度178°，全高清4K系统图标显示</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2.整机屏幕与屏幕保护层零贴合技术，色域达到 90%NTSC</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3.★采用模块化的多版本系统解决方案，支持多个系统应用，包括Windows 10企业版系统、Android 8.0系统、Linux系统等，供用户根据使用场景做不同的选择</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4. ★整机音视频一体性、集成性，内置正面上居中1200万像素及以上高清摄像头，内置6个麦克风，8米有效拾音距离</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5.★PC通道下内置视频会议软件，为保证与会议平板的兼容性，视频会议软件与整机为同一厂家</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6.采用红外触控技术，支持Windows系统中进行20点或以上触控，支持高精度红外被动笔书写，书写精度可达±1mm</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7.★整机屏幕触摸有效识别高度≤2mm,，即触摸物体距离玻璃外表面高度≤2mm时，触摸屏识别为点击操作，保证触摸精准；单点触摸响应时间≤10ms，90%以上触摸区域精度为±1mm</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8.整机内置接收模块，除无线传屏器外不需要连接任何附加设备，可实现外部电脑音视频信号实时传输到触摸一体机上（无论整机处于任何通道），并可支持触摸回传，支持免安装驱动，即插即用，支持操作系统：Win7/Win8/Win8.1/Win10/Mac OS10.10及以上</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9.★整机具备全功能Type-C接口，支持手机充电、音视频信号传输、外部设备调用本机摄像头、麦克风及扬声器</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10.★无线传屏支持win10系统扩展屏显示，传屏的内容以窗口方式进行展示，用户可自己调整窗口的大小和排布。同时具备Type-C和USB接口的无线传屏器（为保证投屏的稳定性，不接受转接方式），根据用户电脑接口可自由选择</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11.白板中提供三种及以上大小笔粗，并预置10种以上颜色，具备手势板擦功能，当手掌在电子白板上触摸时，会被自动识别为板擦，可快速擦除白板内容</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12.★整机能快速调出小工具拦，具备设置、拍照、快传、录屏、投票器、多屏联动等实用的会议小工具功能</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13.白板内容分享：支持白板内容本地／U盘保存/一键打印，支持二维码和邮件分享，二维码分享时可加密</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14.★为方便用户操作，快速进入书写状态，具备提笔提示的功能，当拿起吸附在整机笔槽上的书写笔时，可即可弹出提示窗口，引导用户进入白板、批注或者快捷白板等快捷方式，也可以在非白板模式下快捷调出书写板进行快速书写</w:t>
            </w:r>
            <w:r>
              <w:rPr>
                <w:rFonts w:hint="eastAsia" w:ascii="宋体" w:hAnsi="宋体" w:eastAsia="宋体" w:cs="宋体"/>
                <w:color w:val="auto"/>
                <w:kern w:val="0"/>
                <w:sz w:val="21"/>
                <w:szCs w:val="21"/>
                <w:lang w:eastAsia="zh-CN" w:bidi="ar"/>
              </w:rPr>
              <w:t>；</w:t>
            </w:r>
          </w:p>
          <w:p>
            <w:pPr>
              <w:widowControl/>
              <w:spacing w:line="360" w:lineRule="auto"/>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bidi="ar"/>
              </w:rPr>
              <w:t>15.★Windows系统兼容常用的PPT播放软件，搭配PC模块后无需调用PPT播放软件的批注功能，即可对PPT播放状态下进行连续多页批注，擦除，批注内容与原文件扫码分享保存</w:t>
            </w:r>
            <w:r>
              <w:rPr>
                <w:rFonts w:hint="eastAsia" w:ascii="宋体" w:hAnsi="宋体" w:eastAsia="宋体" w:cs="宋体"/>
                <w:color w:val="auto"/>
                <w:kern w:val="0"/>
                <w:sz w:val="21"/>
                <w:szCs w:val="21"/>
                <w:lang w:eastAsia="zh-CN" w:bidi="ar"/>
              </w:rPr>
              <w:t>；</w:t>
            </w:r>
          </w:p>
        </w:tc>
        <w:tc>
          <w:tcPr>
            <w:tcW w:w="0" w:type="auto"/>
            <w:noWrap w:val="0"/>
            <w:vAlign w:val="center"/>
          </w:tcPr>
          <w:p>
            <w:pPr>
              <w:widowControl/>
              <w:spacing w:line="360" w:lineRule="auto"/>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14</w:t>
            </w:r>
          </w:p>
        </w:tc>
      </w:tr>
    </w:tbl>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numPr>
          <w:ilvl w:val="0"/>
          <w:numId w:val="37"/>
        </w:numPr>
        <w:autoSpaceDE w:val="0"/>
        <w:autoSpaceDN w:val="0"/>
        <w:adjustRightInd w:val="0"/>
        <w:spacing w:line="360" w:lineRule="auto"/>
        <w:outlineLvl w:val="9"/>
        <w:rPr>
          <w:rFonts w:hint="eastAsia"/>
          <w:lang w:val="en-US" w:eastAsia="zh-CN"/>
        </w:rPr>
      </w:pPr>
      <w:r>
        <w:rPr>
          <w:rFonts w:hint="eastAsia" w:asciiTheme="minorEastAsia" w:hAnsiTheme="minorEastAsia" w:eastAsiaTheme="minorEastAsia" w:cstheme="minorEastAsia"/>
          <w:b w:val="0"/>
          <w:bCs w:val="0"/>
          <w:color w:val="auto"/>
          <w:szCs w:val="21"/>
          <w:lang w:val="en-US" w:eastAsia="zh-CN"/>
        </w:rPr>
        <w:t>以上清单需求表中如出现涉及固定规格型号、尺寸及重量的均为参考，允许略有误差，但投标人报价的产品必须符合采购人使用功能及质量要求，并提供相应技术参数证明其符合采购需求或优于采购需求，否则视其为不满足采购需求。如涉及固定厂家品牌也均为参考或推荐，并要求其唯一性，投标人可提供同等质量标准或更高标准产品，并提供相应技术参数证明其符合采购需求或优于采购需求，否则视其为不满足采购需求。</w:t>
      </w: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default"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2.带★的参数为优势参数，做加减分项，具体以评分细则为准。</w:t>
      </w:r>
    </w:p>
    <w:p>
      <w:pPr>
        <w:autoSpaceDE w:val="0"/>
        <w:autoSpaceDN w:val="0"/>
        <w:adjustRightInd w:val="0"/>
        <w:spacing w:line="360" w:lineRule="auto"/>
        <w:outlineLvl w:val="9"/>
        <w:rPr>
          <w:rFonts w:hint="eastAsia"/>
          <w:lang w:val="en-US" w:eastAsia="zh-CN"/>
        </w:rPr>
      </w:pPr>
      <w:r>
        <w:rPr>
          <w:rFonts w:ascii="宋体" w:hAnsi="宋体" w:eastAsia="宋体" w:cs="宋体"/>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24" w:name="_Toc12550"/>
      <w:r>
        <w:rPr>
          <w:rFonts w:hint="eastAsia" w:asciiTheme="minorEastAsia" w:hAnsiTheme="minorEastAsia" w:eastAsiaTheme="minorEastAsia" w:cstheme="minorEastAsia"/>
          <w:b/>
          <w:bCs/>
          <w:color w:val="auto"/>
          <w:sz w:val="24"/>
          <w:szCs w:val="24"/>
          <w:lang w:val="en-US" w:eastAsia="zh-CN"/>
        </w:rPr>
        <w:t>二、商务需求</w:t>
      </w:r>
      <w:bookmarkEnd w:id="124"/>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1、违约责任：</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1.1所有拟派服务人员及服务内容均需按照</w:t>
      </w:r>
      <w:r>
        <w:rPr>
          <w:rFonts w:hint="eastAsia" w:asciiTheme="minorEastAsia" w:hAnsiTheme="minorEastAsia" w:eastAsiaTheme="minorEastAsia" w:cstheme="minorEastAsia"/>
          <w:color w:val="auto"/>
          <w:sz w:val="21"/>
          <w:szCs w:val="21"/>
          <w:lang w:eastAsia="zh-CN"/>
        </w:rPr>
        <w:t>磋商文件</w:t>
      </w:r>
      <w:r>
        <w:rPr>
          <w:rFonts w:hint="eastAsia" w:asciiTheme="minorEastAsia" w:hAnsiTheme="minorEastAsia" w:eastAsiaTheme="minorEastAsia" w:cstheme="minorEastAsia"/>
          <w:color w:val="auto"/>
          <w:sz w:val="21"/>
          <w:szCs w:val="21"/>
        </w:rPr>
        <w:t>指标要求及竞标响应情况进行检查核对后方可签订合同，不满足</w:t>
      </w:r>
      <w:r>
        <w:rPr>
          <w:rFonts w:hint="eastAsia" w:asciiTheme="minorEastAsia" w:hAnsiTheme="minorEastAsia" w:eastAsiaTheme="minorEastAsia" w:cstheme="minorEastAsia"/>
          <w:color w:val="auto"/>
          <w:sz w:val="21"/>
          <w:szCs w:val="21"/>
          <w:lang w:eastAsia="zh-CN"/>
        </w:rPr>
        <w:t>磋商文件</w:t>
      </w:r>
      <w:r>
        <w:rPr>
          <w:rFonts w:hint="eastAsia" w:asciiTheme="minorEastAsia" w:hAnsiTheme="minorEastAsia" w:eastAsiaTheme="minorEastAsia" w:cstheme="minorEastAsia"/>
          <w:color w:val="auto"/>
          <w:sz w:val="21"/>
          <w:szCs w:val="21"/>
        </w:rPr>
        <w:t>要求的，采购人有权不对其进行验收；同时采购人有权对成交供应商进行双倍罚款或取消合同。</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1.3因成交供应商原因服务质量及诚信要求达不到约定的标准，由成交供应商向采购人支付合同价款10%的违约金。</w:t>
      </w:r>
    </w:p>
    <w:p>
      <w:pPr>
        <w:autoSpaceDE w:val="0"/>
        <w:autoSpaceDN w:val="0"/>
        <w:adjustRightInd w:val="0"/>
        <w:spacing w:line="36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2、产品质量要求：</w:t>
      </w:r>
    </w:p>
    <w:p>
      <w:pPr>
        <w:numPr>
          <w:ilvl w:val="0"/>
          <w:numId w:val="0"/>
        </w:num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2.1满足执行的国家相关标准、行业标准、地方标准或其他标准</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规范；</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2.2所有产品是否满足采购文件的要求及响应文件的承诺；</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2.3供应商须提供设备的相应参数和技术支持材料，不得完全照搬采购文件技术参数要求内容或标示无偏离或者符合等。</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lang w:val="en-US" w:eastAsia="zh-CN"/>
        </w:rPr>
        <w:t>如有在本</w:t>
      </w:r>
      <w:r>
        <w:rPr>
          <w:rFonts w:hint="eastAsia" w:ascii="宋体" w:hAnsi="宋体" w:cs="宋体"/>
          <w:b w:val="0"/>
          <w:bCs w:val="0"/>
          <w:color w:val="auto"/>
          <w:sz w:val="21"/>
          <w:szCs w:val="21"/>
          <w:lang w:val="en-US" w:eastAsia="zh-CN"/>
        </w:rPr>
        <w:t>磋商</w:t>
      </w:r>
      <w:r>
        <w:rPr>
          <w:rFonts w:hint="eastAsia" w:ascii="宋体" w:hAnsi="宋体" w:eastAsia="宋体" w:cs="宋体"/>
          <w:b w:val="0"/>
          <w:bCs w:val="0"/>
          <w:color w:val="auto"/>
          <w:sz w:val="21"/>
          <w:szCs w:val="21"/>
          <w:lang w:val="en-US" w:eastAsia="zh-CN"/>
        </w:rPr>
        <w:t>文件中未说明的设备运行所必须的其他辅助设备及软件系统，请在响应文件中提供详细说明及相关报价。</w:t>
      </w:r>
    </w:p>
    <w:p>
      <w:pPr>
        <w:autoSpaceDE w:val="0"/>
        <w:autoSpaceDN w:val="0"/>
        <w:adjustRightInd w:val="0"/>
        <w:spacing w:line="360" w:lineRule="auto"/>
        <w:jc w:val="left"/>
        <w:rPr>
          <w:rFonts w:hint="eastAsia" w:ascii="宋体" w:hAnsi="宋体" w:cs="宋体"/>
          <w:color w:val="auto"/>
          <w:szCs w:val="21"/>
        </w:rPr>
      </w:pPr>
      <w:r>
        <w:rPr>
          <w:rFonts w:hint="eastAsia" w:ascii="宋体" w:hAnsi="宋体" w:eastAsia="宋体" w:cs="宋体"/>
          <w:b w:val="0"/>
          <w:bCs w:val="0"/>
          <w:color w:val="auto"/>
          <w:sz w:val="21"/>
          <w:szCs w:val="21"/>
          <w:lang w:val="en-US" w:eastAsia="zh-CN"/>
        </w:rPr>
        <w:t>2.</w:t>
      </w: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完成本项目的培训工作。</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val="0"/>
          <w:bCs w:val="0"/>
          <w:color w:val="auto"/>
          <w:szCs w:val="21"/>
          <w:lang w:val="en-US" w:eastAsia="zh-CN"/>
        </w:rPr>
        <w:t>3、产品进场安装、</w:t>
      </w:r>
      <w:r>
        <w:rPr>
          <w:rFonts w:hint="eastAsia" w:ascii="宋体" w:hAnsi="宋体" w:eastAsia="宋体" w:cs="宋体"/>
          <w:b w:val="0"/>
          <w:bCs w:val="0"/>
          <w:color w:val="auto"/>
          <w:szCs w:val="21"/>
        </w:rPr>
        <w:t>调试及验收</w:t>
      </w:r>
      <w:r>
        <w:rPr>
          <w:rFonts w:hint="eastAsia" w:ascii="宋体" w:hAnsi="宋体" w:eastAsia="宋体" w:cs="宋体"/>
          <w:b w:val="0"/>
          <w:bCs w:val="0"/>
          <w:color w:val="auto"/>
          <w:szCs w:val="21"/>
          <w:lang w:eastAsia="zh-CN"/>
        </w:rPr>
        <w:t>：</w:t>
      </w:r>
      <w:r>
        <w:rPr>
          <w:rFonts w:hint="eastAsia" w:ascii="宋体" w:hAnsi="宋体" w:cs="宋体"/>
          <w:color w:val="auto"/>
          <w:szCs w:val="21"/>
        </w:rPr>
        <w:t>安装、</w:t>
      </w:r>
      <w:r>
        <w:rPr>
          <w:rFonts w:hint="eastAsia" w:ascii="宋体" w:hAnsi="宋体" w:cs="宋体"/>
          <w:color w:val="auto"/>
          <w:szCs w:val="21"/>
          <w:lang w:eastAsia="zh-CN"/>
        </w:rPr>
        <w:t>调试</w:t>
      </w:r>
      <w:r>
        <w:rPr>
          <w:rFonts w:hint="eastAsia" w:ascii="宋体" w:hAnsi="宋体" w:cs="宋体"/>
          <w:color w:val="auto"/>
          <w:szCs w:val="21"/>
        </w:rPr>
        <w:t>和初始试运行</w:t>
      </w:r>
      <w:r>
        <w:rPr>
          <w:rFonts w:hint="eastAsia" w:ascii="宋体" w:hAnsi="宋体" w:cs="宋体"/>
          <w:color w:val="auto"/>
          <w:szCs w:val="21"/>
          <w:lang w:eastAsia="zh-CN"/>
        </w:rPr>
        <w:t>，</w:t>
      </w:r>
      <w:r>
        <w:rPr>
          <w:rFonts w:hint="eastAsia" w:ascii="宋体" w:hAnsi="宋体" w:cs="宋体"/>
          <w:color w:val="auto"/>
          <w:szCs w:val="21"/>
        </w:rPr>
        <w:t>在</w:t>
      </w:r>
      <w:r>
        <w:rPr>
          <w:rFonts w:hint="eastAsia" w:ascii="宋体" w:hAnsi="宋体" w:eastAsia="宋体" w:cs="宋体"/>
          <w:b w:val="0"/>
          <w:bCs w:val="0"/>
          <w:color w:val="auto"/>
          <w:kern w:val="2"/>
          <w:sz w:val="21"/>
          <w:szCs w:val="21"/>
          <w:lang w:val="en-US" w:eastAsia="zh-CN" w:bidi="ar-SA"/>
        </w:rPr>
        <w:t>9月10日前完成设备</w:t>
      </w:r>
      <w:r>
        <w:rPr>
          <w:rFonts w:hint="eastAsia" w:ascii="宋体" w:hAnsi="宋体" w:cs="宋体"/>
          <w:b w:val="0"/>
          <w:bCs w:val="0"/>
          <w:color w:val="auto"/>
          <w:kern w:val="2"/>
          <w:sz w:val="21"/>
          <w:szCs w:val="21"/>
          <w:lang w:val="en-US" w:eastAsia="zh-CN" w:bidi="ar-SA"/>
        </w:rPr>
        <w:t>安装</w:t>
      </w:r>
      <w:r>
        <w:rPr>
          <w:rFonts w:hint="eastAsia" w:ascii="宋体" w:hAnsi="宋体" w:eastAsia="宋体" w:cs="宋体"/>
          <w:b w:val="0"/>
          <w:bCs w:val="0"/>
          <w:color w:val="auto"/>
          <w:kern w:val="2"/>
          <w:sz w:val="21"/>
          <w:szCs w:val="21"/>
          <w:lang w:val="en-US" w:eastAsia="zh-CN" w:bidi="ar-SA"/>
        </w:rPr>
        <w:t>调试</w:t>
      </w:r>
      <w:r>
        <w:rPr>
          <w:rFonts w:hint="eastAsia" w:ascii="宋体" w:hAnsi="宋体" w:cs="宋体"/>
          <w:color w:val="auto"/>
          <w:szCs w:val="21"/>
        </w:rPr>
        <w:t>，安装过程中可能产生的装修、改建、相关配套设备等与设备安装调试有关的项目由</w:t>
      </w:r>
      <w:r>
        <w:rPr>
          <w:rFonts w:hint="eastAsia" w:ascii="宋体" w:hAnsi="宋体" w:cs="宋体"/>
          <w:color w:val="auto"/>
          <w:szCs w:val="21"/>
          <w:lang w:eastAsia="zh-CN"/>
        </w:rPr>
        <w:t>成交供应商</w:t>
      </w:r>
      <w:r>
        <w:rPr>
          <w:rFonts w:hint="eastAsia" w:ascii="宋体" w:hAnsi="宋体" w:cs="宋体"/>
          <w:color w:val="auto"/>
          <w:szCs w:val="21"/>
        </w:rPr>
        <w:t>负责完成</w:t>
      </w:r>
      <w:r>
        <w:rPr>
          <w:rFonts w:hint="eastAsia" w:ascii="宋体" w:hAnsi="宋体" w:cs="宋体"/>
          <w:color w:val="auto"/>
          <w:szCs w:val="21"/>
          <w:lang w:eastAsia="zh-CN"/>
        </w:rPr>
        <w:t>。</w:t>
      </w:r>
      <w:r>
        <w:rPr>
          <w:rFonts w:hint="eastAsia" w:ascii="宋体" w:hAnsi="宋体" w:cs="宋体"/>
          <w:color w:val="auto"/>
          <w:szCs w:val="21"/>
        </w:rPr>
        <w:t>最终的验收在用户所在地进行，根据技术要求和合同进行验收。内容包括：各项参数及性能检验等，验收时必须保证设备功能齐全，所有设备性能参数在设备技术要求的范围内。</w:t>
      </w:r>
    </w:p>
    <w:p>
      <w:pPr>
        <w:spacing w:line="360" w:lineRule="auto"/>
        <w:ind w:firstLine="420" w:firstLineChars="200"/>
        <w:jc w:val="left"/>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4、售后服务要求：</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4.1提供的产品为原装正品，相关的配套附件质量优良，数量齐全。</w:t>
      </w:r>
    </w:p>
    <w:p>
      <w:pPr>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2</w:t>
      </w:r>
      <w:r>
        <w:rPr>
          <w:rFonts w:hint="eastAsia" w:ascii="宋体" w:hAnsi="宋体" w:eastAsia="宋体" w:cs="宋体"/>
          <w:color w:val="auto"/>
          <w:szCs w:val="21"/>
        </w:rPr>
        <w:t>成交供应商应调配技术过硬的技术人员提供各类技术支持服务(包括电话技术支持和现场技术支持等)，成交供应商向采购人提供7×24小时热线电话服务，并通过多种形式实现技术咨询和故障报修，成交供应商向采购人提供系统操作使用说明书，并进行人员培训。</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4.3设备到达用户指定交货地点后，根据采购人的时间安排，供应商在接到用户通知后2周内进行安装调试，直至通过验收。安装过程中所发生的费用均由供应商承担。</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4.4设备安装调试合格后，供应商负责对用户进行免费培训，培训内容包括设备的操作技术、设备的保养和维护等；使用户技术人员能够熟练掌握操作和维护技术，和及时处理各种故障。</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4.5设备验收合格后，供应商提供</w:t>
      </w:r>
      <w:r>
        <w:rPr>
          <w:rFonts w:hint="eastAsia" w:ascii="宋体" w:hAnsi="宋体" w:cs="宋体"/>
          <w:b w:val="0"/>
          <w:bCs w:val="0"/>
          <w:color w:val="auto"/>
          <w:sz w:val="21"/>
          <w:szCs w:val="21"/>
          <w:lang w:val="en-US" w:eastAsia="zh-CN"/>
        </w:rPr>
        <w:t>3年</w:t>
      </w:r>
      <w:r>
        <w:rPr>
          <w:rFonts w:hint="eastAsia" w:ascii="宋体" w:hAnsi="宋体" w:eastAsia="宋体" w:cs="宋体"/>
          <w:b w:val="0"/>
          <w:bCs w:val="0"/>
          <w:color w:val="auto"/>
          <w:sz w:val="21"/>
          <w:szCs w:val="21"/>
          <w:lang w:val="en-US" w:eastAsia="zh-CN"/>
        </w:rPr>
        <w:t>质保期，质保期从双方签署验收报告之日起计算。</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4.6设备供应商在国内有维修中心，有专职维修工程师和备品备件库。在用户提出维修要求后，供应商应在4工作小时内对用户的服务要求做出响应； 需要在现场解决问题的，应在2个工作日内到达用户现场维修，一般故障应在两日内修复，重大故障或其他无法迅速解决的问题需在一周内解决或提出明确解决方案。</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4.7终身免费提供应用咨询及技术帮助。</w:t>
      </w:r>
    </w:p>
    <w:p>
      <w:pPr>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8</w:t>
      </w:r>
      <w:r>
        <w:rPr>
          <w:rFonts w:hint="eastAsia" w:ascii="宋体" w:hAnsi="宋体" w:eastAsia="宋体" w:cs="宋体"/>
          <w:color w:val="auto"/>
          <w:szCs w:val="21"/>
        </w:rPr>
        <w:t>成交供应商应提供多种售后服务方式。</w:t>
      </w:r>
    </w:p>
    <w:p>
      <w:pPr>
        <w:pStyle w:val="10"/>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 w:val="21"/>
          <w:szCs w:val="21"/>
          <w:lang w:val="en-US" w:eastAsia="zh-CN"/>
        </w:rPr>
        <w:t>5、交货地点：湖北工业大学校内，采购人指定地点。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6、履约保证金：</w:t>
      </w:r>
      <w:r>
        <w:rPr>
          <w:rFonts w:hint="eastAsia" w:ascii="宋体" w:hAnsi="宋体" w:eastAsia="宋体" w:cs="宋体"/>
          <w:color w:val="auto"/>
          <w:szCs w:val="21"/>
        </w:rPr>
        <w:t>合同金额的5%</w:t>
      </w:r>
      <w:r>
        <w:rPr>
          <w:rFonts w:hint="eastAsia" w:ascii="宋体" w:hAnsi="宋体" w:eastAsia="宋体" w:cs="宋体"/>
          <w:color w:val="auto"/>
          <w:szCs w:val="21"/>
          <w:lang w:val="zh-CN"/>
        </w:rPr>
        <w:t>，</w:t>
      </w:r>
      <w:r>
        <w:rPr>
          <w:rFonts w:hint="eastAsia" w:ascii="宋体" w:hAnsi="宋体" w:eastAsia="宋体" w:cs="宋体"/>
          <w:color w:val="auto"/>
          <w:szCs w:val="21"/>
        </w:rPr>
        <w:t>签订合同前5个工作日递交，以支票、汇票、本票或者金融机构、担保机构出具的保函等非现金形式提交。</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color w:val="auto"/>
          <w:sz w:val="21"/>
          <w:szCs w:val="21"/>
        </w:rPr>
      </w:pPr>
      <w:r>
        <w:rPr>
          <w:rFonts w:hint="eastAsia" w:ascii="宋体" w:hAnsi="宋体" w:eastAsia="宋体" w:cs="宋体"/>
          <w:b w:val="0"/>
          <w:bCs w:val="0"/>
          <w:color w:val="auto"/>
          <w:szCs w:val="21"/>
          <w:lang w:val="en-US" w:eastAsia="zh-CN"/>
        </w:rPr>
        <w:t>7、付款方式：</w:t>
      </w:r>
      <w:r>
        <w:rPr>
          <w:rFonts w:hint="eastAsia" w:ascii="宋体" w:hAnsi="宋体" w:eastAsia="宋体" w:cs="宋体"/>
          <w:color w:val="auto"/>
          <w:szCs w:val="21"/>
        </w:rPr>
        <w:t>本项目无预付款，签订合同前</w:t>
      </w:r>
      <w:r>
        <w:rPr>
          <w:rFonts w:hint="eastAsia" w:ascii="宋体" w:hAnsi="宋体" w:cs="宋体"/>
          <w:color w:val="auto"/>
          <w:szCs w:val="21"/>
          <w:lang w:val="en-US" w:eastAsia="zh-CN"/>
        </w:rPr>
        <w:t>5</w:t>
      </w:r>
      <w:r>
        <w:rPr>
          <w:rFonts w:hint="eastAsia" w:ascii="宋体" w:hAnsi="宋体" w:eastAsia="宋体" w:cs="宋体"/>
          <w:color w:val="auto"/>
          <w:szCs w:val="21"/>
        </w:rPr>
        <w:t>个工作日，成交供应商向学校账户支付合同总额的5%作为履约保证金，成交供应商按时提供设备并安装完毕、校方验收合格后，全额支付给成交供应商本合同约定的设备款，履约保证金自动转为质保金，</w:t>
      </w:r>
      <w:r>
        <w:rPr>
          <w:rFonts w:hint="eastAsia" w:ascii="宋体" w:hAnsi="宋体" w:eastAsia="宋体" w:cs="宋体"/>
          <w:color w:val="auto"/>
          <w:szCs w:val="21"/>
          <w:lang w:eastAsia="zh-CN"/>
        </w:rPr>
        <w:t>质保期满后</w:t>
      </w:r>
      <w:r>
        <w:rPr>
          <w:rFonts w:hint="eastAsia" w:ascii="宋体" w:hAnsi="宋体" w:eastAsia="宋体" w:cs="宋体"/>
          <w:color w:val="auto"/>
          <w:sz w:val="21"/>
          <w:szCs w:val="21"/>
        </w:rPr>
        <w:t>一次性（无息）返还给乙方。同时，乙方须开具甲方财务部门认可的增值税发票。</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1、资格审查因素等证明材料须提供网上图片或查询方式以供询价小组核查，响应文件内附相关证书真彩扫描件。</w:t>
      </w:r>
    </w:p>
    <w:p>
      <w:pPr>
        <w:spacing w:line="360" w:lineRule="auto"/>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竞标报价明显低于其他通过资格审查及符合性审查的供应商的竞标报价，询价小组认为有可能影响项目实施及服务质量或者不能诚信履约的，可启用澄清程序，有权要求供应商在合理的时间内出具最后报价的合理分析，供应商不能合理说明或者不能提供相关证明材料的，询价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p>
    <w:p>
      <w:pPr>
        <w:spacing w:line="360" w:lineRule="auto"/>
        <w:rPr>
          <w:rFonts w:hint="eastAsia" w:asciiTheme="minorEastAsia" w:hAnsiTheme="minorEastAsia" w:eastAsiaTheme="minorEastAsia" w:cstheme="minorEastAsia"/>
          <w:b/>
          <w:bCs/>
          <w:color w:val="FF0000"/>
          <w:szCs w:val="21"/>
          <w:lang w:val="en-US" w:eastAsia="zh-CN"/>
        </w:rPr>
      </w:pPr>
    </w:p>
    <w:p>
      <w:pPr>
        <w:spacing w:line="360" w:lineRule="auto"/>
        <w:rPr>
          <w:rFonts w:hint="eastAsia" w:asciiTheme="minorEastAsia" w:hAnsiTheme="minorEastAsia" w:eastAsiaTheme="minorEastAsia" w:cstheme="minorEastAsia"/>
          <w:b/>
          <w:bCs/>
          <w:color w:val="FF0000"/>
          <w:szCs w:val="21"/>
          <w:lang w:val="en-US" w:eastAsia="zh-CN"/>
        </w:rPr>
      </w:pPr>
    </w:p>
    <w:p>
      <w:pPr>
        <w:spacing w:line="360" w:lineRule="auto"/>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bCs/>
          <w:color w:val="FF0000"/>
          <w:szCs w:val="21"/>
          <w:lang w:val="en-US" w:eastAsia="zh-CN"/>
        </w:rPr>
        <w:br w:type="textWrapping"/>
      </w:r>
    </w:p>
    <w:p>
      <w:pPr>
        <w:outlineLvl w:val="9"/>
        <w:rPr>
          <w:rFonts w:hint="eastAsia"/>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pStyle w:val="3"/>
        <w:numPr>
          <w:ilvl w:val="0"/>
          <w:numId w:val="4"/>
        </w:numPr>
        <w:jc w:val="center"/>
        <w:rPr>
          <w:rFonts w:hint="eastAsia" w:asciiTheme="minorEastAsia" w:hAnsiTheme="minorEastAsia" w:eastAsiaTheme="minorEastAsia" w:cstheme="minorEastAsia"/>
          <w:szCs w:val="21"/>
        </w:rPr>
      </w:pPr>
      <w:bookmarkStart w:id="125" w:name="_Toc3145"/>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25"/>
    </w:p>
    <w:p>
      <w:pPr>
        <w:spacing w:line="360" w:lineRule="auto"/>
        <w:outlineLvl w:val="1"/>
        <w:rPr>
          <w:rFonts w:hint="eastAsia" w:asciiTheme="minorEastAsia" w:hAnsiTheme="minorEastAsia" w:eastAsiaTheme="minorEastAsia" w:cstheme="minorEastAsia"/>
          <w:b/>
          <w:szCs w:val="21"/>
        </w:rPr>
      </w:pPr>
      <w:bookmarkStart w:id="126" w:name="_Toc29039"/>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6"/>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7" w:name="_Toc12829"/>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7"/>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rPr>
          <w:rFonts w:hint="eastAsia" w:asciiTheme="minorEastAsia" w:hAnsiTheme="minorEastAsia" w:eastAsiaTheme="minorEastAsia" w:cstheme="minorEastAsia"/>
          <w:b/>
          <w:szCs w:val="21"/>
          <w:lang w:val="en-US" w:eastAsia="zh-CN"/>
        </w:rPr>
      </w:pPr>
      <w:bookmarkStart w:id="128" w:name="_Toc24807"/>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8"/>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21"/>
        <w:gridCol w:w="6681"/>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blHeader/>
        </w:trPr>
        <w:tc>
          <w:tcPr>
            <w:tcW w:w="736" w:type="dxa"/>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121" w:type="dxa"/>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6681" w:type="dxa"/>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750" w:type="dxa"/>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36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val="en-US" w:eastAsia="zh-CN" w:bidi="ar"/>
              </w:rPr>
              <w:t>竞标</w:t>
            </w:r>
            <w:r>
              <w:rPr>
                <w:rFonts w:hint="eastAsia" w:ascii="宋体" w:hAnsi="宋体" w:eastAsia="宋体" w:cs="宋体"/>
                <w:color w:val="auto"/>
                <w:kern w:val="0"/>
                <w:sz w:val="21"/>
                <w:szCs w:val="21"/>
                <w:lang w:bidi="ar"/>
              </w:rPr>
              <w:t>报价</w:t>
            </w:r>
            <w:r>
              <w:rPr>
                <w:rFonts w:hint="eastAsia" w:ascii="宋体" w:hAnsi="宋体" w:eastAsia="宋体" w:cs="宋体"/>
                <w:color w:val="auto"/>
                <w:kern w:val="0"/>
                <w:sz w:val="21"/>
                <w:szCs w:val="21"/>
                <w:lang w:bidi="ar"/>
              </w:rPr>
              <w:br w:type="textWrapping"/>
            </w:r>
            <w:r>
              <w:rPr>
                <w:rFonts w:hint="eastAsia" w:ascii="宋体" w:hAnsi="宋体" w:cs="宋体"/>
                <w:color w:val="auto"/>
                <w:kern w:val="0"/>
                <w:sz w:val="21"/>
                <w:szCs w:val="21"/>
                <w:lang w:val="en-US" w:eastAsia="zh-CN" w:bidi="ar"/>
              </w:rPr>
              <w:t>50</w:t>
            </w:r>
            <w:r>
              <w:rPr>
                <w:rFonts w:hint="eastAsia" w:ascii="宋体" w:hAnsi="宋体" w:eastAsia="宋体" w:cs="宋体"/>
                <w:color w:val="auto"/>
                <w:kern w:val="0"/>
                <w:sz w:val="21"/>
                <w:szCs w:val="21"/>
                <w:lang w:bidi="ar"/>
              </w:rPr>
              <w:t>分</w:t>
            </w:r>
          </w:p>
        </w:tc>
        <w:tc>
          <w:tcPr>
            <w:tcW w:w="1121" w:type="dxa"/>
            <w:vAlign w:val="center"/>
          </w:tcPr>
          <w:p>
            <w:pPr>
              <w:widowControl/>
              <w:spacing w:line="36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val="en-US" w:eastAsia="zh-CN" w:bidi="ar"/>
              </w:rPr>
              <w:t>最后</w:t>
            </w:r>
            <w:r>
              <w:rPr>
                <w:rFonts w:hint="eastAsia" w:ascii="宋体" w:hAnsi="宋体" w:eastAsia="宋体" w:cs="宋体"/>
                <w:color w:val="auto"/>
                <w:kern w:val="0"/>
                <w:sz w:val="21"/>
                <w:szCs w:val="21"/>
                <w:lang w:bidi="ar"/>
              </w:rPr>
              <w:t>报价</w:t>
            </w:r>
          </w:p>
        </w:tc>
        <w:tc>
          <w:tcPr>
            <w:tcW w:w="6681" w:type="dxa"/>
            <w:vAlign w:val="center"/>
          </w:tcPr>
          <w:p>
            <w:pPr>
              <w:widowControl/>
              <w:spacing w:line="360" w:lineRule="auto"/>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1、报价采用低价优先法计算，即满足</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采购文件要求且报价最低的报价为磋商基准价，其报价分为满分</w:t>
            </w:r>
            <w:r>
              <w:rPr>
                <w:rFonts w:hint="eastAsia" w:ascii="宋体" w:hAnsi="宋体" w:cs="宋体"/>
                <w:color w:val="auto"/>
                <w:sz w:val="21"/>
                <w:szCs w:val="21"/>
                <w:lang w:val="en-US" w:eastAsia="zh-CN"/>
              </w:rPr>
              <w:t>50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2、其他供应商的报价分按照下列公式计算：</w:t>
            </w:r>
          </w:p>
          <w:p>
            <w:pPr>
              <w:widowControl/>
              <w:spacing w:line="360" w:lineRule="auto"/>
              <w:jc w:val="left"/>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报价分=（磋商基准价/磋商报价）×</w:t>
            </w:r>
            <w:r>
              <w:rPr>
                <w:rFonts w:hint="eastAsia" w:ascii="宋体" w:hAnsi="宋体" w:cs="宋体"/>
                <w:color w:val="auto"/>
                <w:sz w:val="21"/>
                <w:szCs w:val="21"/>
                <w:lang w:val="en-US" w:eastAsia="zh-CN"/>
              </w:rPr>
              <w:t>50</w:t>
            </w:r>
          </w:p>
          <w:p>
            <w:pPr>
              <w:widowControl/>
              <w:spacing w:line="360" w:lineRule="auto"/>
              <w:jc w:val="left"/>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符合本磋商文件第</w:t>
            </w:r>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rPr>
              <w:t>章“政策支持”</w:t>
            </w:r>
            <w:r>
              <w:rPr>
                <w:rFonts w:hint="eastAsia" w:ascii="宋体" w:hAnsi="宋体" w:eastAsia="宋体" w:cs="宋体"/>
                <w:b/>
                <w:bCs/>
                <w:color w:val="auto"/>
                <w:sz w:val="21"/>
                <w:szCs w:val="21"/>
                <w:lang w:val="en-US" w:eastAsia="zh-CN"/>
              </w:rPr>
              <w:t>条件</w:t>
            </w:r>
            <w:r>
              <w:rPr>
                <w:rFonts w:hint="eastAsia" w:ascii="宋体" w:hAnsi="宋体" w:eastAsia="宋体" w:cs="宋体"/>
                <w:b/>
                <w:bCs/>
                <w:color w:val="auto"/>
                <w:sz w:val="21"/>
                <w:szCs w:val="21"/>
              </w:rPr>
              <w:t>的，在评审时予以价格扣除，用扣除后的价格参与评审。</w:t>
            </w:r>
          </w:p>
        </w:tc>
        <w:tc>
          <w:tcPr>
            <w:tcW w:w="750" w:type="dxa"/>
            <w:vAlign w:val="center"/>
          </w:tcPr>
          <w:p>
            <w:pPr>
              <w:widowControl/>
              <w:spacing w:line="360" w:lineRule="auto"/>
              <w:jc w:val="center"/>
              <w:textAlignment w:val="center"/>
              <w:rPr>
                <w:rFonts w:hint="eastAsia" w:ascii="宋体" w:hAnsi="宋体" w:eastAsia="宋体" w:cs="宋体"/>
                <w:color w:val="auto"/>
                <w:sz w:val="21"/>
                <w:szCs w:val="21"/>
              </w:rPr>
            </w:pPr>
            <w:r>
              <w:rPr>
                <w:rFonts w:hint="eastAsia" w:ascii="宋体" w:hAnsi="宋体" w:cs="宋体"/>
                <w:color w:val="auto"/>
                <w:kern w:val="0"/>
                <w:sz w:val="21"/>
                <w:szCs w:val="21"/>
                <w:lang w:val="en-US" w:eastAsia="zh-CN" w:bidi="ar"/>
              </w:rPr>
              <w:t>50</w:t>
            </w:r>
            <w:r>
              <w:rPr>
                <w:rFonts w:hint="eastAsia" w:ascii="宋体" w:hAnsi="宋体" w:eastAsia="宋体" w:cs="宋体"/>
                <w:color w:val="auto"/>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36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商务</w:t>
            </w:r>
            <w:r>
              <w:rPr>
                <w:rFonts w:hint="eastAsia" w:ascii="宋体" w:hAnsi="宋体" w:cs="宋体"/>
                <w:color w:val="auto"/>
                <w:spacing w:val="-6"/>
                <w:sz w:val="21"/>
                <w:szCs w:val="21"/>
                <w:lang w:val="en-US" w:eastAsia="zh-CN"/>
              </w:rPr>
              <w:t>7</w:t>
            </w:r>
            <w:r>
              <w:rPr>
                <w:rFonts w:hint="eastAsia" w:ascii="宋体" w:hAnsi="宋体" w:eastAsia="宋体" w:cs="宋体"/>
                <w:color w:val="auto"/>
                <w:spacing w:val="-6"/>
                <w:sz w:val="21"/>
                <w:szCs w:val="21"/>
              </w:rPr>
              <w:t>分</w:t>
            </w:r>
          </w:p>
        </w:tc>
        <w:tc>
          <w:tcPr>
            <w:tcW w:w="1121" w:type="dxa"/>
            <w:vAlign w:val="center"/>
          </w:tcPr>
          <w:p>
            <w:pPr>
              <w:spacing w:line="360" w:lineRule="auto"/>
              <w:jc w:val="center"/>
              <w:rPr>
                <w:rFonts w:hint="eastAsia" w:ascii="宋体" w:hAnsi="宋体" w:eastAsia="宋体" w:cs="宋体"/>
                <w:kern w:val="2"/>
                <w:sz w:val="21"/>
                <w:szCs w:val="21"/>
                <w:lang w:val="zh-CN" w:eastAsia="zh-CN" w:bidi="ar-SA"/>
              </w:rPr>
            </w:pPr>
            <w:r>
              <w:rPr>
                <w:rFonts w:hint="eastAsia" w:ascii="宋体" w:hAnsi="宋体" w:eastAsia="宋体" w:cs="宋体"/>
                <w:color w:val="auto"/>
                <w:kern w:val="0"/>
                <w:sz w:val="21"/>
                <w:szCs w:val="21"/>
                <w:lang w:eastAsia="zh-CN"/>
              </w:rPr>
              <w:t>产品</w:t>
            </w:r>
            <w:r>
              <w:rPr>
                <w:rFonts w:hint="eastAsia" w:ascii="宋体" w:hAnsi="宋体" w:eastAsia="宋体" w:cs="宋体"/>
                <w:color w:val="auto"/>
                <w:kern w:val="0"/>
                <w:sz w:val="21"/>
                <w:szCs w:val="21"/>
              </w:rPr>
              <w:t>安全性</w:t>
            </w:r>
          </w:p>
        </w:tc>
        <w:tc>
          <w:tcPr>
            <w:tcW w:w="6681" w:type="dxa"/>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color w:val="auto"/>
                <w:kern w:val="0"/>
                <w:sz w:val="21"/>
                <w:szCs w:val="21"/>
                <w:lang w:eastAsia="zh-CN"/>
              </w:rPr>
              <w:t>根据供应商提供所</w:t>
            </w:r>
            <w:r>
              <w:rPr>
                <w:rFonts w:hint="eastAsia" w:ascii="宋体" w:hAnsi="宋体" w:eastAsia="宋体" w:cs="宋体"/>
                <w:color w:val="auto"/>
                <w:kern w:val="0"/>
                <w:sz w:val="21"/>
                <w:szCs w:val="21"/>
              </w:rPr>
              <w:t>投产品</w:t>
            </w:r>
            <w:r>
              <w:rPr>
                <w:rFonts w:hint="eastAsia" w:ascii="宋体" w:hAnsi="宋体" w:eastAsia="宋体" w:cs="宋体"/>
                <w:color w:val="auto"/>
                <w:kern w:val="0"/>
                <w:sz w:val="21"/>
                <w:szCs w:val="21"/>
                <w:lang w:eastAsia="zh-CN"/>
              </w:rPr>
              <w:t>的</w:t>
            </w:r>
            <w:r>
              <w:rPr>
                <w:rFonts w:hint="eastAsia" w:ascii="宋体" w:hAnsi="宋体" w:eastAsia="宋体" w:cs="宋体"/>
                <w:color w:val="auto"/>
                <w:kern w:val="0"/>
                <w:sz w:val="21"/>
                <w:szCs w:val="21"/>
              </w:rPr>
              <w:t>国家级权威机构出具的会议平板产品信息安全评估证书，包括对操作系统安全、外围接口安全、移动应用安全、数据传输安全、管理平台安全等内容的评估，符合智能安全级别</w:t>
            </w:r>
            <w:r>
              <w:rPr>
                <w:rFonts w:hint="eastAsia" w:ascii="宋体" w:hAnsi="宋体" w:eastAsia="宋体" w:cs="宋体"/>
                <w:color w:val="auto"/>
                <w:kern w:val="0"/>
                <w:sz w:val="21"/>
                <w:szCs w:val="21"/>
                <w:lang w:eastAsia="zh-CN"/>
              </w:rPr>
              <w:t>的得</w:t>
            </w:r>
            <w:r>
              <w:rPr>
                <w:rFonts w:hint="eastAsia" w:ascii="宋体" w:hAnsi="宋体" w:cs="宋体"/>
                <w:color w:val="auto"/>
                <w:kern w:val="0"/>
                <w:sz w:val="21"/>
                <w:szCs w:val="21"/>
                <w:lang w:val="en-US" w:eastAsia="zh-CN"/>
              </w:rPr>
              <w:t>1</w:t>
            </w:r>
            <w:r>
              <w:rPr>
                <w:rFonts w:hint="eastAsia" w:ascii="宋体" w:hAnsi="宋体" w:eastAsia="宋体" w:cs="宋体"/>
                <w:color w:val="auto"/>
                <w:kern w:val="0"/>
                <w:sz w:val="21"/>
                <w:szCs w:val="21"/>
                <w:lang w:val="en-US" w:eastAsia="zh-CN"/>
              </w:rPr>
              <w:t>分，未提供或不符合的不得分</w:t>
            </w:r>
            <w:r>
              <w:rPr>
                <w:rFonts w:hint="eastAsia" w:ascii="宋体" w:hAnsi="宋体" w:eastAsia="宋体" w:cs="宋体"/>
                <w:color w:val="auto"/>
                <w:kern w:val="0"/>
                <w:sz w:val="21"/>
                <w:szCs w:val="21"/>
              </w:rPr>
              <w:t>。</w:t>
            </w:r>
            <w:r>
              <w:rPr>
                <w:rFonts w:hint="eastAsia" w:ascii="宋体" w:hAnsi="宋体" w:eastAsia="宋体" w:cs="宋体"/>
                <w:sz w:val="21"/>
                <w:szCs w:val="21"/>
                <w:lang w:eastAsia="zh-CN"/>
              </w:rPr>
              <w:t>（须</w:t>
            </w:r>
            <w:r>
              <w:rPr>
                <w:rFonts w:hint="eastAsia" w:ascii="宋体" w:hAnsi="宋体" w:eastAsia="宋体" w:cs="宋体"/>
                <w:sz w:val="21"/>
                <w:szCs w:val="21"/>
              </w:rPr>
              <w:t>提供证明材料并加盖公章</w:t>
            </w:r>
            <w:r>
              <w:rPr>
                <w:rFonts w:hint="eastAsia" w:ascii="宋体" w:hAnsi="宋体" w:eastAsia="宋体" w:cs="宋体"/>
                <w:sz w:val="21"/>
                <w:szCs w:val="21"/>
                <w:lang w:eastAsia="zh-CN"/>
              </w:rPr>
              <w:t>）</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bidi="ar-SA"/>
              </w:rPr>
            </w:pPr>
            <w:r>
              <w:rPr>
                <w:rFonts w:hint="eastAsia" w:ascii="宋体" w:hAnsi="宋体" w:cs="宋体"/>
                <w:spacing w:val="-6"/>
                <w:kern w:val="0"/>
                <w:sz w:val="21"/>
                <w:szCs w:val="21"/>
                <w:lang w:val="en-US" w:eastAsia="zh-CN"/>
              </w:rPr>
              <w:t>1</w:t>
            </w:r>
            <w:r>
              <w:rPr>
                <w:rFonts w:hint="eastAsia" w:ascii="宋体" w:hAnsi="宋体" w:eastAsia="宋体" w:cs="宋体"/>
                <w:spacing w:val="-6"/>
                <w:kern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hint="eastAsia" w:ascii="宋体" w:hAnsi="宋体" w:eastAsia="宋体" w:cs="宋体"/>
                <w:color w:val="auto"/>
                <w:spacing w:val="-6"/>
                <w:sz w:val="21"/>
                <w:szCs w:val="21"/>
              </w:rPr>
            </w:pPr>
          </w:p>
        </w:tc>
        <w:tc>
          <w:tcPr>
            <w:tcW w:w="1121" w:type="dxa"/>
            <w:vAlign w:val="center"/>
          </w:tcPr>
          <w:p>
            <w:pPr>
              <w:spacing w:line="360" w:lineRule="auto"/>
              <w:jc w:val="center"/>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企业资质</w:t>
            </w:r>
          </w:p>
        </w:tc>
        <w:tc>
          <w:tcPr>
            <w:tcW w:w="6681" w:type="dxa"/>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根据供应商提供所</w:t>
            </w:r>
            <w:r>
              <w:rPr>
                <w:rFonts w:hint="eastAsia" w:ascii="宋体" w:hAnsi="宋体" w:eastAsia="宋体" w:cs="宋体"/>
                <w:sz w:val="21"/>
                <w:szCs w:val="21"/>
              </w:rPr>
              <w:t>投产品</w:t>
            </w:r>
            <w:r>
              <w:rPr>
                <w:rFonts w:hint="eastAsia" w:ascii="宋体" w:hAnsi="宋体" w:eastAsia="宋体" w:cs="宋体"/>
                <w:sz w:val="21"/>
                <w:szCs w:val="21"/>
                <w:lang w:eastAsia="zh-CN"/>
              </w:rPr>
              <w:t>的</w:t>
            </w:r>
            <w:r>
              <w:rPr>
                <w:rFonts w:hint="eastAsia" w:ascii="宋体" w:hAnsi="宋体" w:eastAsia="宋体" w:cs="宋体"/>
                <w:sz w:val="21"/>
                <w:szCs w:val="21"/>
              </w:rPr>
              <w:t>制造商</w:t>
            </w:r>
            <w:r>
              <w:rPr>
                <w:rFonts w:hint="eastAsia" w:ascii="宋体" w:hAnsi="宋体" w:eastAsia="宋体" w:cs="宋体"/>
                <w:sz w:val="21"/>
                <w:szCs w:val="21"/>
                <w:lang w:eastAsia="zh-CN"/>
              </w:rPr>
              <w:t>的</w:t>
            </w:r>
            <w:r>
              <w:rPr>
                <w:rFonts w:hint="eastAsia" w:ascii="宋体" w:hAnsi="宋体" w:eastAsia="宋体" w:cs="宋体"/>
                <w:sz w:val="21"/>
                <w:szCs w:val="21"/>
              </w:rPr>
              <w:t>高新技术企业证书（有效期内）得</w:t>
            </w:r>
            <w:r>
              <w:rPr>
                <w:rFonts w:hint="eastAsia" w:ascii="宋体" w:hAnsi="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未提供</w:t>
            </w:r>
            <w:r>
              <w:rPr>
                <w:rFonts w:hint="eastAsia" w:ascii="宋体" w:hAnsi="宋体" w:eastAsia="宋体" w:cs="宋体"/>
                <w:sz w:val="21"/>
                <w:szCs w:val="21"/>
              </w:rPr>
              <w:t>不得分。</w:t>
            </w:r>
            <w:r>
              <w:rPr>
                <w:rFonts w:hint="eastAsia" w:ascii="宋体" w:hAnsi="宋体" w:eastAsia="宋体" w:cs="宋体"/>
                <w:sz w:val="21"/>
                <w:szCs w:val="21"/>
                <w:lang w:eastAsia="zh-CN"/>
              </w:rPr>
              <w:t>（须</w:t>
            </w:r>
            <w:r>
              <w:rPr>
                <w:rFonts w:hint="eastAsia" w:ascii="宋体" w:hAnsi="宋体" w:eastAsia="宋体" w:cs="宋体"/>
                <w:sz w:val="21"/>
                <w:szCs w:val="21"/>
              </w:rPr>
              <w:t>提供证明材料并加盖公章</w:t>
            </w:r>
            <w:r>
              <w:rPr>
                <w:rFonts w:hint="eastAsia" w:ascii="宋体" w:hAnsi="宋体" w:eastAsia="宋体" w:cs="宋体"/>
                <w:sz w:val="21"/>
                <w:szCs w:val="21"/>
                <w:lang w:eastAsia="zh-CN"/>
              </w:rPr>
              <w:t>）</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bidi="ar-SA"/>
              </w:rPr>
            </w:pPr>
            <w:r>
              <w:rPr>
                <w:rFonts w:hint="eastAsia" w:ascii="宋体" w:hAnsi="宋体" w:cs="宋体"/>
                <w:spacing w:val="-6"/>
                <w:kern w:val="0"/>
                <w:sz w:val="21"/>
                <w:szCs w:val="21"/>
                <w:lang w:val="en-US" w:eastAsia="zh-CN"/>
              </w:rPr>
              <w:t>1</w:t>
            </w:r>
            <w:r>
              <w:rPr>
                <w:rFonts w:hint="eastAsia" w:ascii="宋体" w:hAnsi="宋体" w:eastAsia="宋体" w:cs="宋体"/>
                <w:spacing w:val="-6"/>
                <w:kern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宋体" w:hAnsi="宋体" w:eastAsia="宋体" w:cs="宋体"/>
                <w:sz w:val="21"/>
                <w:szCs w:val="21"/>
              </w:rPr>
            </w:pPr>
          </w:p>
        </w:tc>
        <w:tc>
          <w:tcPr>
            <w:tcW w:w="1121" w:type="dxa"/>
            <w:vAlign w:val="center"/>
          </w:tcPr>
          <w:p>
            <w:pPr>
              <w:autoSpaceDE w:val="0"/>
              <w:autoSpaceDN w:val="0"/>
              <w:adjustRightInd w:val="0"/>
              <w:spacing w:line="360" w:lineRule="auto"/>
              <w:jc w:val="center"/>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响应文件规范性</w:t>
            </w:r>
          </w:p>
        </w:tc>
        <w:tc>
          <w:tcPr>
            <w:tcW w:w="6681" w:type="dxa"/>
            <w:vAlign w:val="center"/>
          </w:tcPr>
          <w:p>
            <w:pPr>
              <w:autoSpaceDE w:val="0"/>
              <w:autoSpaceDN w:val="0"/>
              <w:adjustRightInd w:val="0"/>
              <w:spacing w:line="360" w:lineRule="auto"/>
              <w:ind w:right="71" w:rightChars="34"/>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响应文件逐页有连续页码，并有详细目录，目录与有关材料装订顺序对应清晰，查阅方便，有评分导引表的得</w:t>
            </w:r>
            <w:r>
              <w:rPr>
                <w:rFonts w:hint="eastAsia" w:ascii="宋体" w:hAnsi="宋体" w:cs="宋体"/>
                <w:sz w:val="21"/>
                <w:szCs w:val="21"/>
                <w:lang w:val="en-US" w:eastAsia="zh-CN"/>
              </w:rPr>
              <w:t>1</w:t>
            </w:r>
            <w:r>
              <w:rPr>
                <w:rFonts w:hint="eastAsia" w:ascii="宋体" w:hAnsi="宋体" w:eastAsia="宋体" w:cs="宋体"/>
                <w:sz w:val="21"/>
                <w:szCs w:val="21"/>
                <w:lang w:val="zh-CN"/>
              </w:rPr>
              <w:t>分，差的不得分；</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bidi="ar-SA"/>
              </w:rPr>
            </w:pPr>
            <w:r>
              <w:rPr>
                <w:rFonts w:hint="eastAsia" w:ascii="宋体" w:hAnsi="宋体" w:cs="宋体"/>
                <w:kern w:val="0"/>
                <w:sz w:val="21"/>
                <w:szCs w:val="21"/>
                <w:lang w:val="en-US" w:eastAsia="zh-CN"/>
              </w:rPr>
              <w:t>1</w:t>
            </w:r>
            <w:r>
              <w:rPr>
                <w:rFonts w:hint="eastAsia" w:ascii="宋体" w:hAnsi="宋体" w:eastAsia="宋体" w:cs="宋体"/>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宋体" w:hAnsi="宋体" w:eastAsia="宋体" w:cs="宋体"/>
                <w:sz w:val="21"/>
                <w:szCs w:val="21"/>
              </w:rPr>
            </w:pPr>
          </w:p>
        </w:tc>
        <w:tc>
          <w:tcPr>
            <w:tcW w:w="1121" w:type="dxa"/>
            <w:vAlign w:val="center"/>
          </w:tcPr>
          <w:p>
            <w:pPr>
              <w:spacing w:line="360" w:lineRule="auto"/>
              <w:jc w:val="center"/>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认证体系</w:t>
            </w:r>
          </w:p>
        </w:tc>
        <w:tc>
          <w:tcPr>
            <w:tcW w:w="6681" w:type="dxa"/>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根据供应商提供的有效期内ISO9001质量管理体系认证证书、有效期内QC080000有害物质过程管理认证证书每提供一项得</w:t>
            </w:r>
            <w:r>
              <w:rPr>
                <w:rFonts w:hint="eastAsia" w:ascii="宋体" w:hAnsi="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最高得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r>
              <w:rPr>
                <w:rFonts w:hint="eastAsia" w:ascii="宋体" w:hAnsi="宋体" w:eastAsia="宋体" w:cs="宋体"/>
                <w:sz w:val="21"/>
                <w:szCs w:val="21"/>
              </w:rPr>
              <w:t>未提供不得分（提供原件真彩扫描件）。</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bidi="ar-SA"/>
              </w:rPr>
            </w:pPr>
            <w:r>
              <w:rPr>
                <w:rFonts w:hint="eastAsia" w:ascii="宋体" w:hAnsi="宋体" w:cs="宋体"/>
                <w:spacing w:val="-6"/>
                <w:kern w:val="0"/>
                <w:sz w:val="21"/>
                <w:szCs w:val="21"/>
                <w:lang w:val="en-US" w:eastAsia="zh-CN"/>
              </w:rPr>
              <w:t>2</w:t>
            </w:r>
            <w:r>
              <w:rPr>
                <w:rFonts w:hint="eastAsia" w:ascii="宋体" w:hAnsi="宋体" w:eastAsia="宋体" w:cs="宋体"/>
                <w:spacing w:val="-6"/>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36" w:type="dxa"/>
            <w:vMerge w:val="continue"/>
            <w:vAlign w:val="center"/>
          </w:tcPr>
          <w:p>
            <w:pPr>
              <w:spacing w:line="360" w:lineRule="auto"/>
              <w:rPr>
                <w:rFonts w:hint="eastAsia" w:ascii="宋体" w:hAnsi="宋体" w:eastAsia="宋体" w:cs="宋体"/>
                <w:sz w:val="21"/>
                <w:szCs w:val="21"/>
              </w:rPr>
            </w:pPr>
          </w:p>
        </w:tc>
        <w:tc>
          <w:tcPr>
            <w:tcW w:w="1121" w:type="dxa"/>
            <w:vAlign w:val="center"/>
          </w:tcPr>
          <w:p>
            <w:pPr>
              <w:spacing w:line="360"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产品证书</w:t>
            </w:r>
          </w:p>
        </w:tc>
        <w:tc>
          <w:tcPr>
            <w:tcW w:w="6681"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根据供应商提供所</w:t>
            </w:r>
            <w:r>
              <w:rPr>
                <w:rFonts w:hint="eastAsia" w:ascii="宋体" w:hAnsi="宋体" w:eastAsia="宋体" w:cs="宋体"/>
                <w:sz w:val="21"/>
                <w:szCs w:val="21"/>
              </w:rPr>
              <w:t>投产品</w:t>
            </w:r>
            <w:r>
              <w:rPr>
                <w:rFonts w:hint="eastAsia" w:ascii="宋体" w:hAnsi="宋体" w:eastAsia="宋体" w:cs="宋体"/>
                <w:sz w:val="21"/>
                <w:szCs w:val="21"/>
                <w:lang w:eastAsia="zh-CN"/>
              </w:rPr>
              <w:t>的</w:t>
            </w:r>
            <w:r>
              <w:rPr>
                <w:rFonts w:hint="eastAsia" w:ascii="宋体" w:hAnsi="宋体" w:eastAsia="宋体" w:cs="宋体"/>
                <w:sz w:val="21"/>
                <w:szCs w:val="21"/>
              </w:rPr>
              <w:t>3C</w:t>
            </w:r>
            <w:r>
              <w:rPr>
                <w:rFonts w:hint="eastAsia" w:ascii="宋体" w:hAnsi="宋体" w:eastAsia="宋体" w:cs="宋体"/>
                <w:sz w:val="21"/>
                <w:szCs w:val="21"/>
                <w:lang w:eastAsia="zh-CN"/>
              </w:rPr>
              <w:t>证书</w:t>
            </w:r>
            <w:r>
              <w:rPr>
                <w:rFonts w:hint="eastAsia" w:ascii="宋体" w:hAnsi="宋体" w:eastAsia="宋体" w:cs="宋体"/>
                <w:sz w:val="21"/>
                <w:szCs w:val="21"/>
              </w:rPr>
              <w:t>及节能证书每提供一项得</w:t>
            </w:r>
            <w:r>
              <w:rPr>
                <w:rFonts w:hint="eastAsia" w:ascii="宋体" w:hAnsi="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，最高得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未提供不得分。（须</w:t>
            </w:r>
            <w:r>
              <w:rPr>
                <w:rFonts w:hint="eastAsia" w:ascii="宋体" w:hAnsi="宋体" w:eastAsia="宋体" w:cs="宋体"/>
                <w:sz w:val="21"/>
                <w:szCs w:val="21"/>
              </w:rPr>
              <w:t>提供证明材料并加盖公章</w:t>
            </w:r>
            <w:r>
              <w:rPr>
                <w:rFonts w:hint="eastAsia" w:ascii="宋体" w:hAnsi="宋体" w:eastAsia="宋体" w:cs="宋体"/>
                <w:sz w:val="21"/>
                <w:szCs w:val="21"/>
                <w:lang w:eastAsia="zh-CN"/>
              </w:rPr>
              <w:t>）</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rPr>
            </w:pPr>
            <w:r>
              <w:rPr>
                <w:rFonts w:hint="eastAsia" w:ascii="宋体" w:hAnsi="宋体" w:cs="宋体"/>
                <w:spacing w:val="-6"/>
                <w:kern w:val="0"/>
                <w:sz w:val="21"/>
                <w:szCs w:val="21"/>
                <w:lang w:val="en-US" w:eastAsia="zh-CN"/>
              </w:rPr>
              <w:t>2</w:t>
            </w:r>
            <w:r>
              <w:rPr>
                <w:rFonts w:hint="eastAsia" w:ascii="宋体" w:hAnsi="宋体" w:eastAsia="宋体" w:cs="宋体"/>
                <w:spacing w:val="-6"/>
                <w:kern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rPr>
              <w:t>技术服务</w:t>
            </w:r>
            <w:r>
              <w:rPr>
                <w:rFonts w:hint="eastAsia" w:ascii="宋体" w:hAnsi="宋体" w:cs="宋体"/>
                <w:color w:val="auto"/>
                <w:spacing w:val="-6"/>
                <w:sz w:val="21"/>
                <w:szCs w:val="21"/>
                <w:lang w:val="en-US" w:eastAsia="zh-CN"/>
              </w:rPr>
              <w:t>43</w:t>
            </w:r>
            <w:r>
              <w:rPr>
                <w:rFonts w:hint="eastAsia" w:ascii="宋体" w:hAnsi="宋体" w:eastAsia="宋体" w:cs="宋体"/>
                <w:color w:val="auto"/>
                <w:spacing w:val="-6"/>
                <w:sz w:val="21"/>
                <w:szCs w:val="21"/>
              </w:rPr>
              <w:t>分</w:t>
            </w:r>
          </w:p>
        </w:tc>
        <w:tc>
          <w:tcPr>
            <w:tcW w:w="1121" w:type="dxa"/>
            <w:vAlign w:val="center"/>
          </w:tcPr>
          <w:p>
            <w:pPr>
              <w:spacing w:line="360" w:lineRule="auto"/>
              <w:jc w:val="center"/>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样品演示</w:t>
            </w:r>
          </w:p>
        </w:tc>
        <w:tc>
          <w:tcPr>
            <w:tcW w:w="6681" w:type="dxa"/>
            <w:vAlign w:val="center"/>
          </w:tcPr>
          <w:p>
            <w:pPr>
              <w:tabs>
                <w:tab w:val="left" w:pos="734"/>
              </w:tabs>
              <w:spacing w:line="360" w:lineRule="auto"/>
              <w:ind w:left="-4" w:leftChars="-2" w:firstLine="2" w:firstLineChars="1"/>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根据样品的</w:t>
            </w:r>
            <w:r>
              <w:rPr>
                <w:rFonts w:hint="eastAsia"/>
                <w:szCs w:val="21"/>
                <w:lang w:val="en-US" w:eastAsia="zh-CN"/>
              </w:rPr>
              <w:t>做工质量</w:t>
            </w:r>
            <w:r>
              <w:rPr>
                <w:rFonts w:hint="eastAsia"/>
                <w:szCs w:val="21"/>
              </w:rPr>
              <w:t>、</w:t>
            </w:r>
            <w:r>
              <w:rPr>
                <w:rFonts w:hint="eastAsia"/>
                <w:szCs w:val="21"/>
                <w:lang w:val="en-US" w:eastAsia="zh-CN"/>
              </w:rPr>
              <w:t>参数响应</w:t>
            </w:r>
            <w:r>
              <w:rPr>
                <w:rFonts w:hint="eastAsia"/>
                <w:szCs w:val="21"/>
              </w:rPr>
              <w:t>、功能演示</w:t>
            </w:r>
            <w:r>
              <w:rPr>
                <w:rFonts w:hint="eastAsia"/>
                <w:szCs w:val="21"/>
                <w:lang w:eastAsia="zh-CN"/>
              </w:rPr>
              <w:t>、</w:t>
            </w:r>
            <w:r>
              <w:rPr>
                <w:rFonts w:hint="eastAsia" w:ascii="宋体" w:hAnsi="宋体" w:eastAsia="宋体" w:cs="宋体"/>
                <w:color w:val="auto"/>
                <w:kern w:val="0"/>
                <w:sz w:val="21"/>
                <w:szCs w:val="21"/>
                <w:lang w:bidi="ar"/>
              </w:rPr>
              <w:t>模块化的多版本系统</w:t>
            </w:r>
            <w:r>
              <w:rPr>
                <w:rFonts w:hint="eastAsia" w:ascii="宋体" w:hAnsi="宋体" w:cs="宋体"/>
                <w:color w:val="auto"/>
                <w:kern w:val="0"/>
                <w:sz w:val="21"/>
                <w:szCs w:val="21"/>
                <w:lang w:eastAsia="zh-CN" w:bidi="ar"/>
              </w:rPr>
              <w:t>、</w:t>
            </w:r>
            <w:r>
              <w:rPr>
                <w:rFonts w:hint="eastAsia" w:ascii="宋体" w:hAnsi="宋体" w:eastAsia="宋体" w:cs="宋体"/>
                <w:color w:val="auto"/>
                <w:kern w:val="0"/>
                <w:sz w:val="21"/>
                <w:szCs w:val="21"/>
                <w:lang w:bidi="ar"/>
              </w:rPr>
              <w:t>内置视频会议软件</w:t>
            </w:r>
            <w:r>
              <w:rPr>
                <w:rFonts w:hint="eastAsia" w:ascii="宋体" w:hAnsi="宋体" w:cs="宋体"/>
                <w:color w:val="auto"/>
                <w:kern w:val="0"/>
                <w:sz w:val="21"/>
                <w:szCs w:val="21"/>
                <w:lang w:eastAsia="zh-CN" w:bidi="ar"/>
              </w:rPr>
              <w:t>、</w:t>
            </w:r>
            <w:r>
              <w:rPr>
                <w:rFonts w:hint="eastAsia" w:ascii="宋体" w:hAnsi="宋体" w:eastAsia="宋体" w:cs="宋体"/>
                <w:color w:val="auto"/>
                <w:kern w:val="0"/>
                <w:sz w:val="21"/>
                <w:szCs w:val="21"/>
                <w:lang w:bidi="ar"/>
              </w:rPr>
              <w:t>提笔提示的功能</w:t>
            </w:r>
            <w:r>
              <w:rPr>
                <w:rFonts w:hint="eastAsia" w:ascii="宋体" w:hAnsi="宋体" w:eastAsia="宋体" w:cs="宋体"/>
                <w:b w:val="0"/>
                <w:bCs w:val="0"/>
                <w:sz w:val="21"/>
                <w:szCs w:val="21"/>
              </w:rPr>
              <w:t>等方面的</w:t>
            </w:r>
            <w:r>
              <w:rPr>
                <w:rFonts w:hint="eastAsia" w:ascii="宋体" w:hAnsi="宋体" w:eastAsia="宋体" w:cs="宋体"/>
                <w:b w:val="0"/>
                <w:bCs w:val="0"/>
                <w:sz w:val="21"/>
                <w:szCs w:val="21"/>
                <w:lang w:eastAsia="zh-CN"/>
              </w:rPr>
              <w:t>进行评议：</w:t>
            </w:r>
          </w:p>
          <w:p>
            <w:pPr>
              <w:spacing w:line="360" w:lineRule="auto"/>
              <w:ind w:left="-4" w:leftChars="-2" w:firstLine="2" w:firstLineChars="1"/>
              <w:rPr>
                <w:rFonts w:hint="eastAsia" w:ascii="宋体" w:hAnsi="宋体" w:eastAsia="宋体" w:cs="宋体"/>
                <w:b w:val="0"/>
                <w:bCs w:val="0"/>
                <w:sz w:val="21"/>
                <w:szCs w:val="21"/>
              </w:rPr>
            </w:pPr>
            <w:r>
              <w:rPr>
                <w:rFonts w:hint="eastAsia" w:ascii="宋体" w:hAnsi="宋体" w:eastAsia="宋体" w:cs="宋体"/>
                <w:b w:val="0"/>
                <w:bCs w:val="0"/>
                <w:sz w:val="21"/>
                <w:szCs w:val="21"/>
              </w:rPr>
              <w:t>内容完备、合理，针对性强，</w:t>
            </w:r>
            <w:r>
              <w:rPr>
                <w:rFonts w:hint="eastAsia" w:ascii="宋体" w:hAnsi="宋体" w:cs="宋体"/>
                <w:b w:val="0"/>
                <w:bCs w:val="0"/>
                <w:sz w:val="21"/>
                <w:szCs w:val="21"/>
                <w:lang w:val="en-US" w:eastAsia="zh-CN"/>
              </w:rPr>
              <w:t>7</w:t>
            </w:r>
            <w:r>
              <w:rPr>
                <w:rFonts w:hint="eastAsia" w:ascii="宋体" w:hAnsi="宋体" w:eastAsia="宋体" w:cs="宋体"/>
                <w:b w:val="0"/>
                <w:bCs w:val="0"/>
                <w:sz w:val="21"/>
                <w:szCs w:val="21"/>
              </w:rPr>
              <w:t>分；</w:t>
            </w:r>
          </w:p>
          <w:p>
            <w:pPr>
              <w:spacing w:line="360" w:lineRule="auto"/>
              <w:ind w:left="-4" w:leftChars="-2" w:firstLine="2" w:firstLineChars="1"/>
              <w:rPr>
                <w:rFonts w:hint="eastAsia" w:ascii="宋体" w:hAnsi="宋体" w:eastAsia="宋体" w:cs="宋体"/>
                <w:b w:val="0"/>
                <w:bCs w:val="0"/>
                <w:sz w:val="21"/>
                <w:szCs w:val="21"/>
              </w:rPr>
            </w:pPr>
            <w:r>
              <w:rPr>
                <w:rFonts w:hint="eastAsia" w:ascii="宋体" w:hAnsi="宋体" w:eastAsia="宋体" w:cs="宋体"/>
                <w:b w:val="0"/>
                <w:bCs w:val="0"/>
                <w:sz w:val="21"/>
                <w:szCs w:val="21"/>
              </w:rPr>
              <w:t>内容完备，可行，</w:t>
            </w: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分；</w:t>
            </w:r>
          </w:p>
          <w:p>
            <w:pPr>
              <w:spacing w:line="360" w:lineRule="auto"/>
              <w:ind w:left="-4" w:leftChars="-2" w:firstLine="2" w:firstLineChars="1"/>
              <w:rPr>
                <w:rFonts w:hint="eastAsia" w:ascii="宋体" w:hAnsi="宋体" w:eastAsia="宋体" w:cs="宋体"/>
                <w:b w:val="0"/>
                <w:bCs w:val="0"/>
                <w:sz w:val="21"/>
                <w:szCs w:val="21"/>
              </w:rPr>
            </w:pPr>
            <w:r>
              <w:rPr>
                <w:rFonts w:hint="eastAsia" w:ascii="宋体" w:hAnsi="宋体" w:eastAsia="宋体" w:cs="宋体"/>
                <w:b w:val="0"/>
                <w:bCs w:val="0"/>
                <w:sz w:val="21"/>
                <w:szCs w:val="21"/>
              </w:rPr>
              <w:t>内容欠完备，基本可行，</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分；</w:t>
            </w:r>
          </w:p>
          <w:p>
            <w:pPr>
              <w:tabs>
                <w:tab w:val="left" w:pos="734"/>
              </w:tabs>
              <w:spacing w:line="360" w:lineRule="auto"/>
              <w:ind w:left="-4" w:leftChars="-2" w:firstLine="2" w:firstLineChars="1"/>
              <w:rPr>
                <w:rFonts w:hint="eastAsia" w:ascii="宋体" w:hAnsi="宋体" w:eastAsia="宋体" w:cs="宋体"/>
                <w:b w:val="0"/>
                <w:bCs w:val="0"/>
                <w:sz w:val="21"/>
                <w:szCs w:val="21"/>
              </w:rPr>
            </w:pPr>
            <w:r>
              <w:rPr>
                <w:rFonts w:hint="eastAsia" w:ascii="宋体" w:hAnsi="宋体" w:eastAsia="宋体" w:cs="宋体"/>
                <w:b w:val="0"/>
                <w:bCs w:val="0"/>
                <w:sz w:val="21"/>
                <w:szCs w:val="21"/>
              </w:rPr>
              <w:t>不可行，0 分。</w:t>
            </w:r>
          </w:p>
          <w:p>
            <w:pPr>
              <w:tabs>
                <w:tab w:val="left" w:pos="734"/>
              </w:tabs>
              <w:spacing w:line="360" w:lineRule="auto"/>
              <w:ind w:left="-4" w:leftChars="-2" w:firstLine="2" w:firstLineChars="1"/>
              <w:rPr>
                <w:rFonts w:hint="eastAsia" w:ascii="宋体" w:hAnsi="宋体" w:eastAsia="宋体" w:cs="宋体"/>
                <w:kern w:val="2"/>
                <w:sz w:val="21"/>
                <w:szCs w:val="21"/>
                <w:lang w:val="en-US" w:eastAsia="zh-CN" w:bidi="ar-SA"/>
              </w:rPr>
            </w:pPr>
            <w:r>
              <w:rPr>
                <w:rFonts w:hint="eastAsia" w:ascii="宋体" w:hAnsi="宋体" w:eastAsia="宋体" w:cs="宋体"/>
                <w:b w:val="0"/>
                <w:bCs w:val="0"/>
                <w:sz w:val="21"/>
                <w:szCs w:val="21"/>
              </w:rPr>
              <w:t>（提供样品现场进行演示或提供相关视频演示电脑设备自带</w:t>
            </w:r>
            <w:r>
              <w:rPr>
                <w:rFonts w:hint="eastAsia" w:ascii="宋体" w:hAnsi="宋体" w:eastAsia="宋体" w:cs="宋体"/>
                <w:b w:val="0"/>
                <w:bCs w:val="0"/>
                <w:sz w:val="21"/>
                <w:szCs w:val="21"/>
                <w:lang w:eastAsia="zh-CN"/>
              </w:rPr>
              <w:t>，</w:t>
            </w:r>
            <w:r>
              <w:rPr>
                <w:rFonts w:hint="eastAsia" w:ascii="宋体" w:hAnsi="宋体" w:eastAsia="宋体" w:cs="宋体"/>
                <w:b w:val="0"/>
                <w:bCs w:val="0"/>
                <w:color w:val="auto"/>
                <w:kern w:val="0"/>
                <w:sz w:val="21"/>
                <w:szCs w:val="21"/>
              </w:rPr>
              <w:t>演示时间为</w:t>
            </w:r>
            <w:r>
              <w:rPr>
                <w:rFonts w:hint="eastAsia" w:ascii="宋体" w:hAnsi="宋体" w:eastAsia="宋体" w:cs="宋体"/>
                <w:b w:val="0"/>
                <w:bCs w:val="0"/>
                <w:color w:val="auto"/>
                <w:kern w:val="0"/>
                <w:sz w:val="21"/>
                <w:szCs w:val="21"/>
                <w:lang w:val="en-US" w:eastAsia="zh-CN"/>
              </w:rPr>
              <w:t>10</w:t>
            </w:r>
            <w:r>
              <w:rPr>
                <w:rFonts w:hint="eastAsia" w:ascii="宋体" w:hAnsi="宋体" w:eastAsia="宋体" w:cs="宋体"/>
                <w:b w:val="0"/>
                <w:bCs w:val="0"/>
                <w:color w:val="auto"/>
                <w:kern w:val="0"/>
                <w:sz w:val="21"/>
                <w:szCs w:val="21"/>
              </w:rPr>
              <w:t>分钟以内</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未提供样品的不得分。</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bidi="ar-SA"/>
              </w:rPr>
            </w:pPr>
            <w:r>
              <w:rPr>
                <w:rFonts w:hint="eastAsia" w:ascii="宋体" w:hAnsi="宋体" w:cs="宋体"/>
                <w:spacing w:val="-6"/>
                <w:kern w:val="0"/>
                <w:sz w:val="21"/>
                <w:szCs w:val="21"/>
                <w:lang w:val="en-US" w:eastAsia="zh-CN"/>
              </w:rPr>
              <w:t>7</w:t>
            </w:r>
            <w:r>
              <w:rPr>
                <w:rFonts w:hint="eastAsia" w:ascii="宋体" w:hAnsi="宋体" w:eastAsia="宋体" w:cs="宋体"/>
                <w:spacing w:val="-6"/>
                <w:kern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jc w:val="center"/>
              <w:rPr>
                <w:rFonts w:hint="eastAsia" w:ascii="宋体" w:hAnsi="宋体" w:eastAsia="宋体" w:cs="宋体"/>
                <w:spacing w:val="-6"/>
                <w:sz w:val="21"/>
                <w:szCs w:val="21"/>
              </w:rPr>
            </w:pPr>
          </w:p>
        </w:tc>
        <w:tc>
          <w:tcPr>
            <w:tcW w:w="1121" w:type="dxa"/>
            <w:vAlign w:val="center"/>
          </w:tcPr>
          <w:p>
            <w:pPr>
              <w:spacing w:line="360" w:lineRule="auto"/>
              <w:jc w:val="center"/>
              <w:rPr>
                <w:rFonts w:hint="eastAsia" w:ascii="宋体" w:hAnsi="宋体" w:eastAsia="宋体" w:cs="宋体"/>
                <w:sz w:val="21"/>
                <w:szCs w:val="21"/>
                <w:lang w:val="zh-CN"/>
              </w:rPr>
            </w:pPr>
            <w:r>
              <w:rPr>
                <w:rFonts w:hint="eastAsia" w:ascii="宋体" w:hAnsi="宋体" w:cs="宋体"/>
                <w:szCs w:val="21"/>
              </w:rPr>
              <w:t>配送方案</w:t>
            </w:r>
          </w:p>
        </w:tc>
        <w:tc>
          <w:tcPr>
            <w:tcW w:w="6681" w:type="dxa"/>
            <w:vAlign w:val="center"/>
          </w:tcPr>
          <w:p>
            <w:pPr>
              <w:tabs>
                <w:tab w:val="left" w:pos="734"/>
              </w:tabs>
              <w:spacing w:line="360" w:lineRule="auto"/>
              <w:ind w:left="-4" w:leftChars="-2" w:firstLine="2" w:firstLineChars="1"/>
              <w:rPr>
                <w:rFonts w:hint="eastAsia" w:ascii="宋体" w:hAnsi="宋体" w:cs="宋体"/>
                <w:szCs w:val="21"/>
              </w:rPr>
            </w:pPr>
            <w:r>
              <w:rPr>
                <w:rFonts w:hint="eastAsia" w:ascii="宋体" w:hAnsi="宋体" w:cs="宋体"/>
                <w:szCs w:val="21"/>
              </w:rPr>
              <w:t>根据供应商提供对项目实施进度安排，时间点控制，人员和设备投入等情况进行评分：</w:t>
            </w:r>
          </w:p>
          <w:p>
            <w:pPr>
              <w:tabs>
                <w:tab w:val="left" w:pos="734"/>
              </w:tabs>
              <w:spacing w:line="360" w:lineRule="auto"/>
              <w:ind w:left="-4" w:leftChars="-2" w:firstLine="2" w:firstLineChars="1"/>
              <w:rPr>
                <w:rFonts w:hint="eastAsia" w:ascii="宋体" w:hAnsi="宋体" w:cs="宋体"/>
                <w:szCs w:val="21"/>
              </w:rPr>
            </w:pPr>
            <w:r>
              <w:rPr>
                <w:rFonts w:hint="eastAsia" w:ascii="宋体" w:hAnsi="宋体" w:cs="宋体"/>
                <w:szCs w:val="21"/>
              </w:rPr>
              <w:t>内容完备、合理，针对性强，</w:t>
            </w:r>
            <w:r>
              <w:rPr>
                <w:rFonts w:hint="eastAsia" w:ascii="宋体" w:hAnsi="宋体" w:cs="宋体"/>
                <w:szCs w:val="21"/>
                <w:lang w:val="en-US" w:eastAsia="zh-CN"/>
              </w:rPr>
              <w:t>3</w:t>
            </w:r>
            <w:r>
              <w:rPr>
                <w:rFonts w:hint="eastAsia" w:ascii="宋体" w:hAnsi="宋体" w:cs="宋体"/>
                <w:szCs w:val="21"/>
              </w:rPr>
              <w:t>分；</w:t>
            </w:r>
          </w:p>
          <w:p>
            <w:pPr>
              <w:tabs>
                <w:tab w:val="left" w:pos="734"/>
              </w:tabs>
              <w:spacing w:line="360" w:lineRule="auto"/>
              <w:ind w:left="-4" w:leftChars="-2" w:firstLine="2" w:firstLineChars="1"/>
              <w:rPr>
                <w:rFonts w:hint="eastAsia" w:ascii="宋体" w:hAnsi="宋体" w:cs="宋体"/>
                <w:szCs w:val="21"/>
              </w:rPr>
            </w:pPr>
            <w:r>
              <w:rPr>
                <w:rFonts w:hint="eastAsia" w:ascii="宋体" w:hAnsi="宋体" w:cs="宋体"/>
                <w:szCs w:val="21"/>
              </w:rPr>
              <w:t>内容完备，可行，</w:t>
            </w:r>
            <w:r>
              <w:rPr>
                <w:rFonts w:hint="eastAsia" w:ascii="宋体" w:hAnsi="宋体" w:cs="宋体"/>
                <w:szCs w:val="21"/>
                <w:lang w:val="en-US" w:eastAsia="zh-CN"/>
              </w:rPr>
              <w:t>2</w:t>
            </w:r>
            <w:r>
              <w:rPr>
                <w:rFonts w:hint="eastAsia" w:ascii="宋体" w:hAnsi="宋体" w:cs="宋体"/>
                <w:szCs w:val="21"/>
              </w:rPr>
              <w:t>分；</w:t>
            </w:r>
          </w:p>
          <w:p>
            <w:pPr>
              <w:tabs>
                <w:tab w:val="left" w:pos="734"/>
              </w:tabs>
              <w:spacing w:line="360" w:lineRule="auto"/>
              <w:ind w:left="-4" w:leftChars="-2" w:firstLine="2" w:firstLineChars="1"/>
              <w:rPr>
                <w:rFonts w:hint="eastAsia" w:ascii="宋体" w:hAnsi="宋体" w:cs="宋体"/>
                <w:szCs w:val="21"/>
              </w:rPr>
            </w:pPr>
            <w:r>
              <w:rPr>
                <w:rFonts w:hint="eastAsia" w:ascii="宋体" w:hAnsi="宋体" w:cs="宋体"/>
                <w:szCs w:val="21"/>
              </w:rPr>
              <w:t>内容欠完备，基本可行，1分；</w:t>
            </w:r>
          </w:p>
          <w:p>
            <w:pPr>
              <w:tabs>
                <w:tab w:val="left" w:pos="734"/>
              </w:tabs>
              <w:spacing w:line="360" w:lineRule="auto"/>
              <w:ind w:left="-4" w:leftChars="-2" w:firstLine="2" w:firstLineChars="1"/>
              <w:rPr>
                <w:rFonts w:hint="eastAsia" w:ascii="宋体" w:hAnsi="宋体" w:eastAsia="宋体" w:cs="宋体"/>
                <w:b w:val="0"/>
                <w:bCs w:val="0"/>
                <w:sz w:val="21"/>
                <w:szCs w:val="21"/>
              </w:rPr>
            </w:pPr>
            <w:r>
              <w:rPr>
                <w:rFonts w:hint="eastAsia" w:ascii="宋体" w:hAnsi="宋体" w:cs="宋体"/>
                <w:szCs w:val="21"/>
              </w:rPr>
              <w:t>不可行，0分。</w:t>
            </w:r>
          </w:p>
        </w:tc>
        <w:tc>
          <w:tcPr>
            <w:tcW w:w="750" w:type="dxa"/>
            <w:vAlign w:val="center"/>
          </w:tcPr>
          <w:p>
            <w:pPr>
              <w:autoSpaceDE w:val="0"/>
              <w:autoSpaceDN w:val="0"/>
              <w:adjustRightInd w:val="0"/>
              <w:spacing w:line="360" w:lineRule="auto"/>
              <w:ind w:right="71" w:rightChars="34"/>
              <w:jc w:val="center"/>
              <w:rPr>
                <w:rFonts w:hint="default" w:ascii="宋体" w:hAnsi="宋体" w:eastAsia="宋体" w:cs="宋体"/>
                <w:spacing w:val="-6"/>
                <w:kern w:val="0"/>
                <w:sz w:val="21"/>
                <w:szCs w:val="21"/>
                <w:lang w:val="en-US" w:eastAsia="zh-CN"/>
              </w:rPr>
            </w:pPr>
            <w:r>
              <w:rPr>
                <w:rFonts w:hint="eastAsia" w:ascii="宋体" w:hAnsi="宋体" w:cs="宋体"/>
                <w:spacing w:val="-6"/>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ind w:left="-4" w:leftChars="-2" w:firstLine="2" w:firstLineChars="1"/>
              <w:rPr>
                <w:rFonts w:hint="eastAsia" w:ascii="宋体" w:hAnsi="宋体" w:eastAsia="宋体" w:cs="宋体"/>
                <w:sz w:val="21"/>
                <w:szCs w:val="21"/>
              </w:rPr>
            </w:pPr>
          </w:p>
        </w:tc>
        <w:tc>
          <w:tcPr>
            <w:tcW w:w="1121" w:type="dxa"/>
            <w:vAlign w:val="center"/>
          </w:tcPr>
          <w:p>
            <w:pPr>
              <w:spacing w:line="360" w:lineRule="auto"/>
              <w:jc w:val="center"/>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售后服务方案</w:t>
            </w:r>
          </w:p>
        </w:tc>
        <w:tc>
          <w:tcPr>
            <w:tcW w:w="6681" w:type="dxa"/>
            <w:vAlign w:val="center"/>
          </w:tcPr>
          <w:p>
            <w:pPr>
              <w:autoSpaceDE w:val="0"/>
              <w:autoSpaceDN w:val="0"/>
              <w:adjustRightInd w:val="0"/>
              <w:spacing w:line="360" w:lineRule="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根据供应商提供的售后服务体系情况、故障处理措施和应急处理方案、售后服务响应时间以及供应商提供的切实可行的售后服务优惠承诺等进行评分：</w:t>
            </w:r>
          </w:p>
          <w:p>
            <w:pPr>
              <w:autoSpaceDE w:val="0"/>
              <w:autoSpaceDN w:val="0"/>
              <w:adjustRightInd w:val="0"/>
              <w:spacing w:line="360" w:lineRule="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内容完备、合理，针对性强，</w:t>
            </w:r>
            <w:r>
              <w:rPr>
                <w:rFonts w:hint="eastAsia" w:ascii="Times New Roman" w:hAnsi="Times New Roman" w:eastAsia="宋体" w:cs="Times New Roman"/>
                <w:color w:val="auto"/>
                <w:kern w:val="0"/>
                <w:szCs w:val="21"/>
                <w:lang w:val="en-US" w:eastAsia="zh-CN"/>
              </w:rPr>
              <w:t>3</w:t>
            </w:r>
            <w:r>
              <w:rPr>
                <w:rFonts w:hint="eastAsia" w:ascii="Times New Roman" w:hAnsi="Times New Roman" w:eastAsia="宋体" w:cs="Times New Roman"/>
                <w:color w:val="auto"/>
                <w:kern w:val="0"/>
                <w:szCs w:val="21"/>
              </w:rPr>
              <w:t>分；</w:t>
            </w:r>
          </w:p>
          <w:p>
            <w:pPr>
              <w:autoSpaceDE w:val="0"/>
              <w:autoSpaceDN w:val="0"/>
              <w:adjustRightInd w:val="0"/>
              <w:spacing w:line="360" w:lineRule="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内容完备，可行，</w:t>
            </w:r>
            <w:r>
              <w:rPr>
                <w:rFonts w:hint="eastAsia" w:ascii="Times New Roman" w:hAnsi="Times New Roman" w:eastAsia="宋体" w:cs="Times New Roman"/>
                <w:color w:val="auto"/>
                <w:kern w:val="0"/>
                <w:szCs w:val="21"/>
                <w:lang w:val="en-US" w:eastAsia="zh-CN"/>
              </w:rPr>
              <w:t>2</w:t>
            </w:r>
            <w:r>
              <w:rPr>
                <w:rFonts w:hint="eastAsia" w:ascii="Times New Roman" w:hAnsi="Times New Roman" w:eastAsia="宋体" w:cs="Times New Roman"/>
                <w:color w:val="auto"/>
                <w:kern w:val="0"/>
                <w:szCs w:val="21"/>
              </w:rPr>
              <w:t>分；</w:t>
            </w:r>
          </w:p>
          <w:p>
            <w:pPr>
              <w:autoSpaceDE w:val="0"/>
              <w:autoSpaceDN w:val="0"/>
              <w:adjustRightInd w:val="0"/>
              <w:spacing w:line="360" w:lineRule="auto"/>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内容欠完备，基本可行，1分；</w:t>
            </w:r>
          </w:p>
          <w:p>
            <w:pPr>
              <w:autoSpaceDE w:val="0"/>
              <w:autoSpaceDN w:val="0"/>
              <w:adjustRightInd w:val="0"/>
              <w:spacing w:line="360" w:lineRule="auto"/>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kern w:val="0"/>
                <w:szCs w:val="21"/>
              </w:rPr>
              <w:t>不可行，0分。</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color w:val="auto"/>
                <w:spacing w:val="-6"/>
                <w:kern w:val="0"/>
                <w:sz w:val="21"/>
                <w:szCs w:val="21"/>
                <w:lang w:val="en-US" w:eastAsia="zh-CN" w:bidi="ar-SA"/>
              </w:rPr>
            </w:pPr>
            <w:r>
              <w:rPr>
                <w:rFonts w:hint="eastAsia" w:ascii="宋体" w:hAnsi="宋体" w:cs="宋体"/>
                <w:color w:val="auto"/>
                <w:spacing w:val="-6"/>
                <w:kern w:val="0"/>
                <w:sz w:val="21"/>
                <w:szCs w:val="21"/>
                <w:lang w:val="en-US" w:eastAsia="zh-CN"/>
              </w:rPr>
              <w:t>3</w:t>
            </w:r>
            <w:r>
              <w:rPr>
                <w:rFonts w:hint="eastAsia" w:ascii="宋体" w:hAnsi="宋体" w:eastAsia="宋体" w:cs="宋体"/>
                <w:color w:val="auto"/>
                <w:spacing w:val="-6"/>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宋体" w:hAnsi="宋体" w:eastAsia="宋体" w:cs="宋体"/>
                <w:sz w:val="21"/>
                <w:szCs w:val="21"/>
              </w:rPr>
            </w:pPr>
          </w:p>
        </w:tc>
        <w:tc>
          <w:tcPr>
            <w:tcW w:w="1121" w:type="dxa"/>
            <w:vAlign w:val="center"/>
          </w:tcPr>
          <w:p>
            <w:pPr>
              <w:spacing w:line="360" w:lineRule="auto"/>
              <w:jc w:val="center"/>
              <w:rPr>
                <w:rFonts w:hint="eastAsia" w:ascii="宋体" w:hAnsi="宋体" w:eastAsia="宋体" w:cs="宋体"/>
                <w:kern w:val="2"/>
                <w:sz w:val="21"/>
                <w:szCs w:val="21"/>
                <w:lang w:val="zh-CN" w:eastAsia="zh-CN" w:bidi="ar-SA"/>
              </w:rPr>
            </w:pPr>
            <w:r>
              <w:rPr>
                <w:rFonts w:hint="eastAsia" w:ascii="宋体" w:hAnsi="宋体" w:eastAsia="宋体" w:cs="宋体"/>
                <w:sz w:val="21"/>
                <w:szCs w:val="21"/>
                <w:lang w:val="zh-CN"/>
              </w:rPr>
              <w:t>技术偏离</w:t>
            </w:r>
          </w:p>
        </w:tc>
        <w:tc>
          <w:tcPr>
            <w:tcW w:w="6681"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sz w:val="21"/>
                <w:szCs w:val="21"/>
              </w:rPr>
              <w:t>技术参数响应情况占</w:t>
            </w:r>
            <w:r>
              <w:rPr>
                <w:rFonts w:hint="eastAsia" w:ascii="宋体" w:hAnsi="宋体" w:cs="宋体"/>
                <w:sz w:val="21"/>
                <w:szCs w:val="21"/>
                <w:lang w:val="en-US" w:eastAsia="zh-CN"/>
              </w:rPr>
              <w:t>30</w:t>
            </w:r>
            <w:r>
              <w:rPr>
                <w:rFonts w:hint="eastAsia" w:ascii="宋体" w:hAnsi="宋体" w:eastAsia="宋体" w:cs="宋体"/>
                <w:sz w:val="21"/>
                <w:szCs w:val="21"/>
              </w:rPr>
              <w:t>分，具体由评委根据供应商的磋商文件中产品情况、《技</w:t>
            </w:r>
            <w:r>
              <w:rPr>
                <w:rFonts w:hint="eastAsia" w:ascii="宋体" w:hAnsi="宋体" w:eastAsia="宋体" w:cs="宋体"/>
                <w:color w:val="auto"/>
                <w:sz w:val="21"/>
                <w:szCs w:val="21"/>
              </w:rPr>
              <w:t>术响应、偏离说明表》等有关资料打分。</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其中：完全满足</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文件技术参数要求的得</w:t>
            </w:r>
            <w:r>
              <w:rPr>
                <w:rFonts w:hint="eastAsia" w:ascii="宋体" w:hAnsi="宋体" w:cs="宋体"/>
                <w:color w:val="auto"/>
                <w:sz w:val="21"/>
                <w:szCs w:val="21"/>
                <w:lang w:val="en-US" w:eastAsia="zh-CN"/>
              </w:rPr>
              <w:t>30</w:t>
            </w:r>
            <w:r>
              <w:rPr>
                <w:rFonts w:hint="eastAsia" w:ascii="宋体" w:hAnsi="宋体" w:eastAsia="宋体" w:cs="宋体"/>
                <w:color w:val="auto"/>
                <w:sz w:val="21"/>
                <w:szCs w:val="21"/>
              </w:rPr>
              <w:t>分；在此基础上，</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文件中内容带“★”号条款有一项不符合的则每项扣3分，</w:t>
            </w: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条款有一项不符合的则每项扣 1分扣完为止。</w:t>
            </w:r>
          </w:p>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rPr>
              <w:t>备注：复制招标文件技术要求作为实际响</w:t>
            </w:r>
            <w:r>
              <w:rPr>
                <w:rFonts w:hint="eastAsia" w:ascii="宋体" w:hAnsi="宋体" w:eastAsia="宋体" w:cs="宋体"/>
                <w:sz w:val="21"/>
                <w:szCs w:val="21"/>
              </w:rPr>
              <w:t>应数据或投标响应数据无对应支持文件的，其技术响应将可能按负偏离处理。参数需列出</w:t>
            </w:r>
            <w:r>
              <w:rPr>
                <w:rFonts w:hint="eastAsia" w:ascii="宋体" w:hAnsi="宋体" w:eastAsia="宋体" w:cs="宋体"/>
                <w:sz w:val="21"/>
                <w:szCs w:val="21"/>
                <w:lang w:eastAsia="zh-CN"/>
              </w:rPr>
              <w:t>产品彩页或其他</w:t>
            </w:r>
            <w:r>
              <w:rPr>
                <w:rFonts w:hint="eastAsia" w:ascii="宋体" w:hAnsi="宋体" w:eastAsia="宋体" w:cs="宋体"/>
                <w:sz w:val="21"/>
                <w:szCs w:val="21"/>
              </w:rPr>
              <w:t>证明</w:t>
            </w:r>
            <w:r>
              <w:rPr>
                <w:rFonts w:hint="eastAsia" w:ascii="宋体" w:hAnsi="宋体" w:eastAsia="宋体" w:cs="宋体"/>
                <w:sz w:val="21"/>
                <w:szCs w:val="21"/>
                <w:lang w:eastAsia="zh-CN"/>
              </w:rPr>
              <w:t>材料</w:t>
            </w:r>
            <w:r>
              <w:rPr>
                <w:rFonts w:hint="eastAsia" w:ascii="宋体" w:hAnsi="宋体" w:eastAsia="宋体" w:cs="宋体"/>
                <w:sz w:val="21"/>
                <w:szCs w:val="21"/>
              </w:rPr>
              <w:t>予以佐证,未予以佐证视为不响应。</w:t>
            </w:r>
          </w:p>
        </w:tc>
        <w:tc>
          <w:tcPr>
            <w:tcW w:w="750" w:type="dxa"/>
            <w:vAlign w:val="center"/>
          </w:tcPr>
          <w:p>
            <w:pPr>
              <w:autoSpaceDE w:val="0"/>
              <w:autoSpaceDN w:val="0"/>
              <w:adjustRightInd w:val="0"/>
              <w:spacing w:line="360" w:lineRule="auto"/>
              <w:ind w:right="71" w:rightChars="34"/>
              <w:jc w:val="center"/>
              <w:rPr>
                <w:rFonts w:hint="eastAsia" w:ascii="宋体" w:hAnsi="宋体" w:eastAsia="宋体" w:cs="宋体"/>
                <w:spacing w:val="-6"/>
                <w:kern w:val="0"/>
                <w:sz w:val="21"/>
                <w:szCs w:val="21"/>
                <w:lang w:val="en-US" w:eastAsia="zh-CN" w:bidi="ar-SA"/>
              </w:rPr>
            </w:pPr>
            <w:r>
              <w:rPr>
                <w:rFonts w:hint="eastAsia" w:ascii="宋体" w:hAnsi="宋体" w:cs="宋体"/>
                <w:spacing w:val="-6"/>
                <w:kern w:val="0"/>
                <w:sz w:val="21"/>
                <w:szCs w:val="21"/>
                <w:lang w:val="en-US" w:eastAsia="zh-CN"/>
              </w:rPr>
              <w:t>30</w:t>
            </w:r>
            <w:r>
              <w:rPr>
                <w:rFonts w:hint="eastAsia" w:ascii="宋体" w:hAnsi="宋体" w:eastAsia="宋体" w:cs="宋体"/>
                <w:spacing w:val="-6"/>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36"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总分</w:t>
            </w:r>
          </w:p>
        </w:tc>
        <w:tc>
          <w:tcPr>
            <w:tcW w:w="8552" w:type="dxa"/>
            <w:gridSpan w:val="3"/>
            <w:vAlign w:val="center"/>
          </w:tcPr>
          <w:p>
            <w:pPr>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lang w:val="en-US" w:eastAsia="zh-CN"/>
              </w:rPr>
              <w:t>100</w:t>
            </w:r>
          </w:p>
        </w:tc>
      </w:tr>
    </w:tbl>
    <w:p>
      <w:pPr>
        <w:rPr>
          <w:rFonts w:hint="eastAsia" w:asciiTheme="minorEastAsia" w:hAnsiTheme="minorEastAsia" w:eastAsiaTheme="minorEastAsia" w:cstheme="minorEastAsia"/>
          <w:b/>
          <w:szCs w:val="21"/>
          <w:lang w:val="en-US" w:eastAsia="zh-CN"/>
        </w:rPr>
      </w:pPr>
      <w:bookmarkStart w:id="129" w:name="_Toc32379"/>
      <w:r>
        <w:rPr>
          <w:rFonts w:hint="eastAsia" w:asciiTheme="minorEastAsia" w:hAnsiTheme="minorEastAsia" w:eastAsiaTheme="minorEastAsia" w:cstheme="minorEastAsia"/>
          <w:b/>
          <w:szCs w:val="21"/>
          <w:lang w:val="en-US" w:eastAsia="zh-CN"/>
        </w:rPr>
        <w:br w:type="page"/>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9"/>
    </w:p>
    <w:p>
      <w:pPr>
        <w:numPr>
          <w:ilvl w:val="3"/>
          <w:numId w:val="38"/>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9"/>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9"/>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9"/>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8"/>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8"/>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8"/>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30" w:name="_Toc29333"/>
      <w:r>
        <w:rPr>
          <w:rFonts w:hint="eastAsia" w:asciiTheme="minorEastAsia" w:hAnsiTheme="minorEastAsia" w:eastAsiaTheme="minorEastAsia" w:cstheme="minorEastAsia"/>
          <w:b/>
          <w:szCs w:val="21"/>
          <w:lang w:val="en-US" w:eastAsia="zh-CN"/>
        </w:rPr>
        <w:t>五、磋商及评审步骤</w:t>
      </w:r>
      <w:bookmarkEnd w:id="130"/>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8"/>
        </w:rPr>
        <w:br w:type="textWrapping"/>
      </w:r>
      <w:r>
        <w:rPr>
          <w:rFonts w:hint="eastAsia" w:asciiTheme="minorEastAsia" w:hAnsiTheme="minorEastAsia" w:eastAsiaTheme="minorEastAsia" w:cstheme="minorEastAsia"/>
          <w:szCs w:val="28"/>
        </w:rPr>
        <w:br w:type="textWrapping"/>
      </w:r>
      <w:r>
        <w:rPr>
          <w:rFonts w:hint="eastAsia" w:asciiTheme="minorEastAsia" w:hAnsiTheme="minorEastAsia" w:eastAsiaTheme="minorEastAsia" w:cstheme="minorEastAsia"/>
          <w:szCs w:val="21"/>
        </w:rPr>
        <w:br w:type="textWrapping"/>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31" w:name="_Toc318643471"/>
      <w:bookmarkStart w:id="132" w:name="_Toc211783328"/>
      <w:bookmarkStart w:id="133" w:name="_Toc4018"/>
      <w:r>
        <w:rPr>
          <w:rFonts w:hint="eastAsia" w:asciiTheme="minorEastAsia" w:hAnsiTheme="minorEastAsia" w:eastAsiaTheme="minorEastAsia" w:cstheme="minorEastAsia"/>
          <w:sz w:val="36"/>
          <w:szCs w:val="36"/>
        </w:rPr>
        <w:t>合同书</w:t>
      </w:r>
      <w:bookmarkEnd w:id="131"/>
      <w:bookmarkEnd w:id="132"/>
      <w:r>
        <w:rPr>
          <w:rFonts w:hint="eastAsia" w:asciiTheme="minorEastAsia" w:hAnsiTheme="minorEastAsia" w:eastAsiaTheme="minorEastAsia" w:cstheme="minorEastAsia"/>
          <w:sz w:val="36"/>
          <w:szCs w:val="36"/>
          <w:lang w:val="en-US" w:eastAsia="zh-CN"/>
        </w:rPr>
        <w:t>格式</w:t>
      </w:r>
      <w:bookmarkEnd w:id="133"/>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34" w:name="_Toc27725"/>
      <w:r>
        <w:rPr>
          <w:rFonts w:hint="eastAsia" w:asciiTheme="minorEastAsia" w:hAnsiTheme="minorEastAsia" w:eastAsiaTheme="minorEastAsia" w:cstheme="minorEastAsia"/>
          <w:sz w:val="36"/>
          <w:szCs w:val="36"/>
        </w:rPr>
        <w:t>竞争性磋商响应文件格式</w:t>
      </w:r>
      <w:bookmarkEnd w:id="134"/>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35" w:name="_Toc5751"/>
      <w:bookmarkStart w:id="136"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35"/>
    <w:bookmarkEnd w:id="136"/>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7" w:name="_Toc360174584"/>
      <w:bookmarkStart w:id="138" w:name="_Toc264644272"/>
      <w:bookmarkStart w:id="139" w:name="_Toc11320441"/>
      <w:bookmarkStart w:id="140" w:name="_Toc211783342"/>
      <w:bookmarkStart w:id="141" w:name="_Toc533331084"/>
      <w:bookmarkStart w:id="142" w:name="_Toc533330957"/>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7"/>
      <w:bookmarkEnd w:id="138"/>
    </w:p>
    <w:p>
      <w:pPr>
        <w:autoSpaceDE w:val="0"/>
        <w:autoSpaceDN w:val="0"/>
        <w:adjustRightInd w:val="0"/>
        <w:rPr>
          <w:rFonts w:hint="eastAsia" w:asciiTheme="minorEastAsia" w:hAnsiTheme="minorEastAsia" w:eastAsiaTheme="minorEastAsia" w:cstheme="minorEastAsia"/>
          <w:b/>
          <w:bCs/>
          <w:szCs w:val="21"/>
        </w:rPr>
      </w:pPr>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eastAsia="宋体" w:cs="宋体"/>
          <w:b/>
          <w:sz w:val="21"/>
          <w:szCs w:val="21"/>
          <w:lang w:val="en-US" w:eastAsia="zh-CN"/>
        </w:rPr>
        <w:t>投标</w:t>
      </w:r>
      <w:r>
        <w:rPr>
          <w:rFonts w:hint="eastAsia" w:ascii="宋体" w:hAnsi="宋体" w:eastAsia="宋体" w:cs="宋体"/>
          <w:b/>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43" w:name="_Toc6681"/>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43"/>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rPr>
      </w:pPr>
    </w:p>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44" w:name="_Toc26512"/>
      <w:bookmarkStart w:id="145" w:name="_Toc15789"/>
      <w:bookmarkStart w:id="146" w:name="_Toc30144"/>
      <w:bookmarkStart w:id="147" w:name="_Toc479184125"/>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44"/>
      <w:bookmarkEnd w:id="145"/>
      <w:bookmarkEnd w:id="146"/>
      <w:bookmarkEnd w:id="147"/>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货物</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40"/>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0"/>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0"/>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1"/>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1"/>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1"/>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1"/>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2"/>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2"/>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2"/>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2"/>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2"/>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2"/>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2"/>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8" w:name="_Toc13969"/>
      <w:bookmarkStart w:id="149" w:name="_Toc24205"/>
      <w:bookmarkStart w:id="150" w:name="_Toc21900"/>
      <w:bookmarkStart w:id="151"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8"/>
      <w:bookmarkEnd w:id="149"/>
      <w:bookmarkEnd w:id="150"/>
      <w:bookmarkEnd w:id="151"/>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2" w:name="_Toc360120184"/>
      <w:bookmarkStart w:id="153" w:name="_Toc29904"/>
      <w:bookmarkStart w:id="154" w:name="_Toc432149008"/>
      <w:bookmarkStart w:id="155" w:name="_Toc30245"/>
      <w:bookmarkStart w:id="156" w:name="_Toc424832832"/>
      <w:bookmarkStart w:id="157" w:name="_Toc479184127"/>
      <w:bookmarkStart w:id="158" w:name="_Toc30476"/>
      <w:bookmarkStart w:id="159" w:name="_Toc14241"/>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52"/>
      <w:bookmarkEnd w:id="153"/>
      <w:bookmarkEnd w:id="154"/>
      <w:bookmarkEnd w:id="155"/>
      <w:bookmarkEnd w:id="156"/>
      <w:bookmarkEnd w:id="157"/>
      <w:bookmarkEnd w:id="158"/>
      <w:bookmarkEnd w:id="159"/>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60" w:name="_Toc422466732"/>
      <w:bookmarkStart w:id="161" w:name="_Toc432149006"/>
      <w:r>
        <w:rPr>
          <w:rFonts w:hint="eastAsia" w:asciiTheme="minorEastAsia" w:hAnsiTheme="minorEastAsia" w:eastAsiaTheme="minorEastAsia" w:cstheme="minorEastAsia"/>
          <w:b/>
          <w:bCs/>
          <w:sz w:val="24"/>
        </w:rPr>
        <w:br w:type="page"/>
      </w:r>
      <w:bookmarkStart w:id="162" w:name="_Toc479184128"/>
      <w:bookmarkStart w:id="163" w:name="_Toc4741"/>
      <w:bookmarkStart w:id="164" w:name="_Toc4301"/>
      <w:bookmarkStart w:id="165" w:name="_Toc16309"/>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60"/>
      <w:bookmarkEnd w:id="161"/>
      <w:bookmarkEnd w:id="162"/>
      <w:bookmarkEnd w:id="163"/>
      <w:bookmarkEnd w:id="164"/>
      <w:bookmarkEnd w:id="165"/>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FF0000"/>
                <w:sz w:val="21"/>
                <w:szCs w:val="21"/>
                <w:u w:val="single"/>
                <w:lang w:val="en-US" w:eastAsia="zh-CN"/>
              </w:rPr>
              <w:t>大写：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br w:type="textWrapping"/>
            </w:r>
            <w:r>
              <w:rPr>
                <w:rFonts w:hint="eastAsia" w:asciiTheme="minorEastAsia" w:hAnsiTheme="minorEastAsia" w:eastAsiaTheme="minorEastAsia" w:cstheme="minorEastAsia"/>
                <w:color w:val="FF0000"/>
                <w:sz w:val="21"/>
                <w:szCs w:val="21"/>
                <w:u w:val="single"/>
                <w:lang w:val="en-US" w:eastAsia="zh-CN"/>
              </w:rPr>
              <w:t>小写：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FF0000"/>
                <w:szCs w:val="21"/>
                <w:lang w:val="en-US" w:eastAsia="zh-CN"/>
              </w:rPr>
            </w:pPr>
            <w:r>
              <w:rPr>
                <w:rFonts w:hint="eastAsia" w:asciiTheme="minorEastAsia" w:hAnsiTheme="minorEastAsia" w:eastAsiaTheme="minorEastAsia" w:cstheme="minorEastAsia"/>
                <w:bCs/>
                <w:color w:val="FF0000"/>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66" w:name="_Toc259028723"/>
      <w:bookmarkStart w:id="167" w:name="_Toc460258117"/>
      <w:bookmarkStart w:id="168" w:name="_Toc424832831"/>
      <w:bookmarkStart w:id="169" w:name="_Toc432149007"/>
      <w:r>
        <w:rPr>
          <w:rFonts w:hint="eastAsia" w:asciiTheme="minorEastAsia" w:hAnsiTheme="minorEastAsia" w:eastAsiaTheme="minorEastAsia" w:cstheme="minorEastAsia"/>
          <w:b/>
          <w:bCs/>
          <w:sz w:val="24"/>
        </w:rPr>
        <w:br w:type="page"/>
      </w:r>
      <w:bookmarkStart w:id="170" w:name="_Toc18559"/>
      <w:bookmarkStart w:id="171" w:name="_Toc479184129"/>
      <w:bookmarkStart w:id="172" w:name="_Toc1079"/>
      <w:bookmarkStart w:id="173" w:name="_Toc17713"/>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66"/>
      <w:bookmarkEnd w:id="167"/>
      <w:bookmarkEnd w:id="170"/>
      <w:bookmarkEnd w:id="171"/>
      <w:bookmarkEnd w:id="172"/>
      <w:r>
        <w:rPr>
          <w:rFonts w:hint="eastAsia" w:asciiTheme="minorEastAsia" w:hAnsiTheme="minorEastAsia" w:eastAsiaTheme="minorEastAsia" w:cstheme="minorEastAsia"/>
          <w:b/>
          <w:bCs/>
          <w:szCs w:val="21"/>
          <w:lang w:eastAsia="zh-CN"/>
        </w:rPr>
        <w:t>报价费用构成表</w:t>
      </w:r>
      <w:bookmarkEnd w:id="173"/>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3"/>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3"/>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3"/>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4" w:name="_Toc479184130"/>
      <w:bookmarkStart w:id="175" w:name="_Toc26825"/>
      <w:bookmarkStart w:id="176" w:name="_Toc28656"/>
      <w:bookmarkStart w:id="177" w:name="_Toc8579"/>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74"/>
      <w:bookmarkEnd w:id="175"/>
      <w:bookmarkEnd w:id="176"/>
      <w:bookmarkEnd w:id="177"/>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8" w:name="_Toc13420"/>
      <w:bookmarkStart w:id="179" w:name="_Toc32726"/>
      <w:bookmarkStart w:id="180" w:name="_Toc479184131"/>
      <w:bookmarkStart w:id="181" w:name="_Toc7535"/>
      <w:r>
        <w:rPr>
          <w:rFonts w:hint="eastAsia" w:asciiTheme="minorEastAsia" w:hAnsiTheme="minorEastAsia" w:eastAsiaTheme="minorEastAsia" w:cstheme="minorEastAsia"/>
          <w:b/>
          <w:bCs/>
          <w:szCs w:val="21"/>
          <w:lang w:val="en-US" w:eastAsia="zh-CN"/>
        </w:rPr>
        <w:t>八、拟投入设备/备件、工具情况</w:t>
      </w:r>
      <w:bookmarkEnd w:id="178"/>
      <w:bookmarkEnd w:id="179"/>
      <w:bookmarkEnd w:id="180"/>
      <w:bookmarkEnd w:id="181"/>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82" w:name="_Toc27053"/>
      <w:bookmarkStart w:id="183" w:name="_Toc10449"/>
      <w:bookmarkStart w:id="184" w:name="_Toc479184132"/>
      <w:bookmarkStart w:id="185" w:name="_Toc450827818"/>
      <w:bookmarkStart w:id="186" w:name="_Toc31109"/>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82"/>
      <w:bookmarkEnd w:id="183"/>
      <w:bookmarkEnd w:id="184"/>
      <w:bookmarkEnd w:id="185"/>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86"/>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8"/>
    <w:bookmarkEnd w:id="169"/>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7" w:name="_Toc28200"/>
      <w:bookmarkStart w:id="188" w:name="_Toc479184133"/>
      <w:bookmarkStart w:id="189" w:name="_Toc1591"/>
      <w:bookmarkStart w:id="190" w:name="_Toc422466736"/>
      <w:bookmarkStart w:id="191" w:name="_Toc4206"/>
      <w:bookmarkStart w:id="192" w:name="_Toc432149012"/>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87"/>
      <w:bookmarkEnd w:id="188"/>
      <w:bookmarkEnd w:id="189"/>
      <w:bookmarkEnd w:id="190"/>
      <w:bookmarkEnd w:id="191"/>
      <w:bookmarkEnd w:id="192"/>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4"/>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4"/>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93" w:name="_Toc362935521"/>
      <w:bookmarkStart w:id="194" w:name="_Toc479184134"/>
      <w:bookmarkStart w:id="195" w:name="_Toc432149013"/>
      <w:bookmarkStart w:id="196" w:name="_Toc32060"/>
      <w:bookmarkStart w:id="197" w:name="_Toc28283"/>
      <w:bookmarkStart w:id="198" w:name="_Toc14855"/>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93"/>
      <w:bookmarkEnd w:id="194"/>
      <w:bookmarkEnd w:id="195"/>
      <w:bookmarkEnd w:id="196"/>
      <w:bookmarkEnd w:id="197"/>
      <w:r>
        <w:rPr>
          <w:rFonts w:hint="eastAsia" w:asciiTheme="minorEastAsia" w:hAnsiTheme="minorEastAsia" w:eastAsiaTheme="minorEastAsia" w:cstheme="minorEastAsia"/>
          <w:b/>
          <w:bCs/>
          <w:szCs w:val="21"/>
        </w:rPr>
        <w:br w:type="textWrapping"/>
      </w:r>
      <w:bookmarkEnd w:id="198"/>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9" w:name="_Toc454806053"/>
      <w:bookmarkStart w:id="200"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201" w:name="_Toc479184135"/>
      <w:bookmarkStart w:id="202" w:name="_Toc4834"/>
      <w:bookmarkStart w:id="203" w:name="_Toc30455"/>
      <w:bookmarkStart w:id="204" w:name="_Toc20332"/>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99"/>
      <w:bookmarkEnd w:id="200"/>
      <w:bookmarkEnd w:id="201"/>
      <w:bookmarkEnd w:id="202"/>
      <w:bookmarkEnd w:id="203"/>
      <w:bookmarkEnd w:id="204"/>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5" w:name="_Toc26838"/>
      <w:bookmarkStart w:id="206" w:name="_Toc422466737"/>
      <w:bookmarkStart w:id="207" w:name="_Toc432149014"/>
      <w:bookmarkStart w:id="208" w:name="_Toc10429"/>
      <w:bookmarkStart w:id="209" w:name="_Toc479184136"/>
      <w:bookmarkStart w:id="210" w:name="_Toc286"/>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205"/>
      <w:bookmarkEnd w:id="206"/>
      <w:bookmarkEnd w:id="207"/>
      <w:bookmarkEnd w:id="208"/>
      <w:bookmarkEnd w:id="209"/>
      <w:bookmarkEnd w:id="210"/>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11" w:name="_Toc17331"/>
      <w:bookmarkStart w:id="212" w:name="_Toc23827"/>
      <w:bookmarkStart w:id="213" w:name="_Toc450827823"/>
      <w:bookmarkStart w:id="214" w:name="_Toc259028731"/>
      <w:bookmarkStart w:id="215" w:name="_Toc17527"/>
      <w:bookmarkStart w:id="216" w:name="_Toc47918413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11"/>
      <w:bookmarkEnd w:id="212"/>
      <w:bookmarkEnd w:id="213"/>
      <w:bookmarkEnd w:id="214"/>
      <w:bookmarkEnd w:id="215"/>
      <w:bookmarkEnd w:id="216"/>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7" w:name="_Toc18555"/>
      <w:bookmarkStart w:id="218" w:name="_Toc290207179"/>
      <w:bookmarkStart w:id="219" w:name="_Toc427239751"/>
      <w:bookmarkStart w:id="220" w:name="_Toc358447587"/>
      <w:bookmarkStart w:id="221" w:name="_Toc364868916"/>
      <w:bookmarkStart w:id="222" w:name="_Toc5793"/>
      <w:bookmarkStart w:id="223" w:name="_Toc32187"/>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kern w:val="0"/>
          <w:szCs w:val="21"/>
        </w:rPr>
      </w:pPr>
      <w:bookmarkStart w:id="224" w:name="_Toc25094"/>
      <w:r>
        <w:rPr>
          <w:rFonts w:hint="eastAsia" w:asciiTheme="minorEastAsia" w:hAnsiTheme="minorEastAsia" w:eastAsiaTheme="minorEastAsia" w:cstheme="minorEastAsia"/>
          <w:b/>
          <w:bCs/>
          <w:kern w:val="0"/>
          <w:szCs w:val="21"/>
          <w:lang w:val="en-US" w:eastAsia="zh-CN"/>
        </w:rPr>
        <w:t>十五、</w:t>
      </w:r>
      <w:bookmarkEnd w:id="217"/>
      <w:bookmarkEnd w:id="218"/>
      <w:bookmarkEnd w:id="219"/>
      <w:bookmarkEnd w:id="220"/>
      <w:bookmarkEnd w:id="221"/>
      <w:bookmarkEnd w:id="222"/>
      <w:bookmarkEnd w:id="223"/>
      <w:bookmarkStart w:id="225" w:name="_Toc27229"/>
      <w:bookmarkStart w:id="226" w:name="_Toc29785"/>
      <w:bookmarkStart w:id="227" w:name="_Toc460258123"/>
      <w:bookmarkStart w:id="228" w:name="_Toc479184138"/>
      <w:r>
        <w:rPr>
          <w:rFonts w:hint="eastAsia" w:asciiTheme="minorEastAsia" w:hAnsiTheme="minorEastAsia" w:eastAsiaTheme="minorEastAsia" w:cstheme="minorEastAsia"/>
          <w:b/>
          <w:bCs/>
          <w:kern w:val="0"/>
          <w:szCs w:val="21"/>
        </w:rPr>
        <w:t>报价技术文件</w:t>
      </w:r>
      <w:bookmarkEnd w:id="224"/>
      <w:bookmarkEnd w:id="225"/>
      <w:bookmarkEnd w:id="226"/>
      <w:bookmarkEnd w:id="227"/>
      <w:bookmarkEnd w:id="228"/>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5"/>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5"/>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5"/>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5"/>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5"/>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5"/>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9" w:name="_Toc356836516"/>
      <w:bookmarkStart w:id="230" w:name="_Toc22465"/>
      <w:bookmarkStart w:id="231" w:name="_Toc2101"/>
      <w:bookmarkStart w:id="232" w:name="_Toc8098"/>
      <w:bookmarkStart w:id="233" w:name="_Toc12119"/>
      <w:bookmarkStart w:id="234" w:name="_Toc432149016"/>
      <w:bookmarkStart w:id="235" w:name="_Toc479184140"/>
      <w:bookmarkStart w:id="236" w:name="_Toc422466739"/>
      <w:bookmarkStart w:id="237" w:name="_Toc355802499"/>
      <w:bookmarkStart w:id="238" w:name="_Toc1256"/>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六</w:t>
      </w:r>
      <w:r>
        <w:rPr>
          <w:rFonts w:hint="eastAsia" w:asciiTheme="minorEastAsia" w:hAnsiTheme="minorEastAsia" w:eastAsiaTheme="minorEastAsia" w:cstheme="minorEastAsia"/>
          <w:b/>
        </w:rPr>
        <w:t>、中小企业声明函</w:t>
      </w:r>
      <w:bookmarkEnd w:id="229"/>
      <w:bookmarkEnd w:id="230"/>
      <w:bookmarkEnd w:id="231"/>
      <w:bookmarkEnd w:id="232"/>
      <w:bookmarkEnd w:id="233"/>
      <w:bookmarkEnd w:id="234"/>
      <w:bookmarkEnd w:id="235"/>
      <w:bookmarkEnd w:id="236"/>
      <w:bookmarkEnd w:id="237"/>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8"/>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9" w:name="OLE_LINK5"/>
      <w:r>
        <w:rPr>
          <w:rFonts w:hint="eastAsia" w:asciiTheme="minorEastAsia" w:hAnsiTheme="minorEastAsia" w:eastAsiaTheme="minorEastAsia" w:cstheme="minorEastAsia"/>
          <w:spacing w:val="6"/>
          <w:szCs w:val="21"/>
        </w:rPr>
        <w:t>______（请填写：中型、小型、微型）企业</w:t>
      </w:r>
      <w:bookmarkEnd w:id="239"/>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6"/>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6"/>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9"/>
    <w:bookmarkEnd w:id="140"/>
    <w:bookmarkEnd w:id="141"/>
    <w:bookmarkEnd w:id="142"/>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40" w:name="_Toc21120"/>
      <w:bookmarkStart w:id="241" w:name="_Toc479184141"/>
      <w:bookmarkStart w:id="242" w:name="_Toc476839034"/>
      <w:bookmarkStart w:id="243" w:name="_Toc30406"/>
      <w:bookmarkStart w:id="244" w:name="_Toc7229"/>
      <w:bookmarkStart w:id="245" w:name="_Toc4320"/>
      <w:r>
        <w:rPr>
          <w:rFonts w:hint="eastAsia" w:asciiTheme="minorEastAsia" w:hAnsiTheme="minorEastAsia" w:eastAsiaTheme="minorEastAsia" w:cstheme="minorEastAsia"/>
          <w:b/>
          <w:bCs/>
          <w:spacing w:val="6"/>
          <w:szCs w:val="21"/>
          <w:lang w:val="en-US" w:eastAsia="zh-CN"/>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40"/>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46" w:name="_Toc9396"/>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十八</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46"/>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7"/>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7"/>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7"/>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7"/>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7"/>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47" w:name="_Toc9232"/>
      <w:r>
        <w:rPr>
          <w:rFonts w:hint="eastAsia" w:asciiTheme="minorEastAsia" w:hAnsiTheme="minorEastAsia" w:eastAsiaTheme="minorEastAsia" w:cstheme="minorEastAsia"/>
          <w:b/>
          <w:lang w:val="en-US" w:eastAsia="zh-CN"/>
        </w:rPr>
        <w:t>十九、节能环保产品证明材料（若符合）</w:t>
      </w:r>
      <w:bookmarkEnd w:id="247"/>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48" w:name="_Toc3904"/>
      <w:r>
        <w:rPr>
          <w:rFonts w:hint="eastAsia" w:asciiTheme="minorEastAsia" w:hAnsiTheme="minorEastAsia" w:eastAsiaTheme="minorEastAsia" w:cstheme="minorEastAsia"/>
          <w:b/>
          <w:bCs/>
          <w:spacing w:val="6"/>
          <w:szCs w:val="21"/>
          <w:lang w:val="en-US" w:eastAsia="zh-CN"/>
        </w:rPr>
        <w:t>二十</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41"/>
      <w:bookmarkEnd w:id="242"/>
      <w:bookmarkEnd w:id="243"/>
      <w:bookmarkEnd w:id="244"/>
      <w:bookmarkEnd w:id="245"/>
      <w:bookmarkEnd w:id="248"/>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line="360" w:lineRule="auto"/>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spacing w:line="360" w:lineRule="auto"/>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49" w:name="_Toc10829"/>
      <w:bookmarkStart w:id="250" w:name="_Toc28755"/>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49"/>
      <w:bookmarkEnd w:id="250"/>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D757A492"/>
    <w:multiLevelType w:val="singleLevel"/>
    <w:tmpl w:val="D757A492"/>
    <w:lvl w:ilvl="0" w:tentative="0">
      <w:start w:val="1"/>
      <w:numFmt w:val="decimal"/>
      <w:suff w:val="space"/>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E84619A"/>
    <w:multiLevelType w:val="singleLevel"/>
    <w:tmpl w:val="1E84619A"/>
    <w:lvl w:ilvl="0" w:tentative="0">
      <w:start w:val="1"/>
      <w:numFmt w:val="decimal"/>
      <w:suff w:val="nothing"/>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3A6C504D"/>
    <w:multiLevelType w:val="singleLevel"/>
    <w:tmpl w:val="3A6C504D"/>
    <w:lvl w:ilvl="0" w:tentative="0">
      <w:start w:val="1"/>
      <w:numFmt w:val="decimal"/>
      <w:lvlText w:val="%1."/>
      <w:lvlJc w:val="left"/>
      <w:pPr>
        <w:tabs>
          <w:tab w:val="left" w:pos="312"/>
        </w:tabs>
      </w:pPr>
    </w:lvl>
  </w:abstractNum>
  <w:abstractNum w:abstractNumId="25">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6">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7">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9">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1">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3">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4">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0">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1">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4">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6">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9"/>
  </w:num>
  <w:num w:numId="2">
    <w:abstractNumId w:val="11"/>
  </w:num>
  <w:num w:numId="3">
    <w:abstractNumId w:val="19"/>
  </w:num>
  <w:num w:numId="4">
    <w:abstractNumId w:val="29"/>
  </w:num>
  <w:num w:numId="5">
    <w:abstractNumId w:val="14"/>
  </w:num>
  <w:num w:numId="6">
    <w:abstractNumId w:val="13"/>
  </w:num>
  <w:num w:numId="7">
    <w:abstractNumId w:val="2"/>
  </w:num>
  <w:num w:numId="8">
    <w:abstractNumId w:val="33"/>
  </w:num>
  <w:num w:numId="9">
    <w:abstractNumId w:val="16"/>
  </w:num>
  <w:num w:numId="10">
    <w:abstractNumId w:val="9"/>
  </w:num>
  <w:num w:numId="11">
    <w:abstractNumId w:val="15"/>
  </w:num>
  <w:num w:numId="12">
    <w:abstractNumId w:val="35"/>
  </w:num>
  <w:num w:numId="13">
    <w:abstractNumId w:val="45"/>
  </w:num>
  <w:num w:numId="14">
    <w:abstractNumId w:val="46"/>
  </w:num>
  <w:num w:numId="15">
    <w:abstractNumId w:val="28"/>
  </w:num>
  <w:num w:numId="16">
    <w:abstractNumId w:val="31"/>
  </w:num>
  <w:num w:numId="17">
    <w:abstractNumId w:val="34"/>
  </w:num>
  <w:num w:numId="18">
    <w:abstractNumId w:val="36"/>
  </w:num>
  <w:num w:numId="19">
    <w:abstractNumId w:val="4"/>
  </w:num>
  <w:num w:numId="20">
    <w:abstractNumId w:val="38"/>
  </w:num>
  <w:num w:numId="21">
    <w:abstractNumId w:val="6"/>
  </w:num>
  <w:num w:numId="22">
    <w:abstractNumId w:val="26"/>
  </w:num>
  <w:num w:numId="23">
    <w:abstractNumId w:val="21"/>
  </w:num>
  <w:num w:numId="24">
    <w:abstractNumId w:val="41"/>
  </w:num>
  <w:num w:numId="25">
    <w:abstractNumId w:val="12"/>
  </w:num>
  <w:num w:numId="26">
    <w:abstractNumId w:val="27"/>
  </w:num>
  <w:num w:numId="27">
    <w:abstractNumId w:val="8"/>
  </w:num>
  <w:num w:numId="28">
    <w:abstractNumId w:val="40"/>
  </w:num>
  <w:num w:numId="29">
    <w:abstractNumId w:val="44"/>
  </w:num>
  <w:num w:numId="30">
    <w:abstractNumId w:val="30"/>
  </w:num>
  <w:num w:numId="31">
    <w:abstractNumId w:val="23"/>
  </w:num>
  <w:num w:numId="32">
    <w:abstractNumId w:val="10"/>
  </w:num>
  <w:num w:numId="33">
    <w:abstractNumId w:val="20"/>
  </w:num>
  <w:num w:numId="34">
    <w:abstractNumId w:val="43"/>
  </w:num>
  <w:num w:numId="35">
    <w:abstractNumId w:val="25"/>
  </w:num>
  <w:num w:numId="36">
    <w:abstractNumId w:val="1"/>
  </w:num>
  <w:num w:numId="37">
    <w:abstractNumId w:val="24"/>
  </w:num>
  <w:num w:numId="38">
    <w:abstractNumId w:val="42"/>
  </w:num>
  <w:num w:numId="39">
    <w:abstractNumId w:val="37"/>
  </w:num>
  <w:num w:numId="40">
    <w:abstractNumId w:val="17"/>
  </w:num>
  <w:num w:numId="41">
    <w:abstractNumId w:val="32"/>
  </w:num>
  <w:num w:numId="42">
    <w:abstractNumId w:val="3"/>
  </w:num>
  <w:num w:numId="43">
    <w:abstractNumId w:val="18"/>
  </w:num>
  <w:num w:numId="44">
    <w:abstractNumId w:val="22"/>
  </w:num>
  <w:num w:numId="45">
    <w:abstractNumId w:val="7"/>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E6CE0"/>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0C399E"/>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03507"/>
    <w:rsid w:val="06EA2FBD"/>
    <w:rsid w:val="06ED1770"/>
    <w:rsid w:val="06FE4AAE"/>
    <w:rsid w:val="070157D1"/>
    <w:rsid w:val="07117CDC"/>
    <w:rsid w:val="07354BE2"/>
    <w:rsid w:val="07506DDE"/>
    <w:rsid w:val="078360F1"/>
    <w:rsid w:val="079555F7"/>
    <w:rsid w:val="07AA21A6"/>
    <w:rsid w:val="07B323DD"/>
    <w:rsid w:val="07CB1191"/>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4D4501"/>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F02600"/>
    <w:rsid w:val="0D162766"/>
    <w:rsid w:val="0D30615A"/>
    <w:rsid w:val="0D4A590E"/>
    <w:rsid w:val="0D50445B"/>
    <w:rsid w:val="0D7807F1"/>
    <w:rsid w:val="0D895A46"/>
    <w:rsid w:val="0D9B67EB"/>
    <w:rsid w:val="0DA45AD2"/>
    <w:rsid w:val="0DE86CEC"/>
    <w:rsid w:val="0DEA406D"/>
    <w:rsid w:val="0E0A51BD"/>
    <w:rsid w:val="0E141CA7"/>
    <w:rsid w:val="0E386D2E"/>
    <w:rsid w:val="0E442D5B"/>
    <w:rsid w:val="0E4E7B59"/>
    <w:rsid w:val="0E6E5960"/>
    <w:rsid w:val="0EAE4301"/>
    <w:rsid w:val="0ED27024"/>
    <w:rsid w:val="0ED94F19"/>
    <w:rsid w:val="0EDC5EDB"/>
    <w:rsid w:val="0F1B0DB7"/>
    <w:rsid w:val="0F3425BB"/>
    <w:rsid w:val="0F5A5FCA"/>
    <w:rsid w:val="0F6C7EA7"/>
    <w:rsid w:val="0FA03F81"/>
    <w:rsid w:val="0FC5121F"/>
    <w:rsid w:val="0FC52200"/>
    <w:rsid w:val="0FC57219"/>
    <w:rsid w:val="0FF11896"/>
    <w:rsid w:val="0FF743B8"/>
    <w:rsid w:val="100D440A"/>
    <w:rsid w:val="104114BC"/>
    <w:rsid w:val="104F21E7"/>
    <w:rsid w:val="10522A43"/>
    <w:rsid w:val="105950B7"/>
    <w:rsid w:val="10681B45"/>
    <w:rsid w:val="10D545EB"/>
    <w:rsid w:val="10E51E7E"/>
    <w:rsid w:val="110045E6"/>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3146457"/>
    <w:rsid w:val="135A65CD"/>
    <w:rsid w:val="13681291"/>
    <w:rsid w:val="139A72A6"/>
    <w:rsid w:val="13AA397B"/>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D46399"/>
    <w:rsid w:val="18F56002"/>
    <w:rsid w:val="192F50C9"/>
    <w:rsid w:val="19633F03"/>
    <w:rsid w:val="196F047E"/>
    <w:rsid w:val="199E02FC"/>
    <w:rsid w:val="19BA1CE3"/>
    <w:rsid w:val="19DF55C2"/>
    <w:rsid w:val="1A0C61A8"/>
    <w:rsid w:val="1A132F57"/>
    <w:rsid w:val="1A300E03"/>
    <w:rsid w:val="1A5F760F"/>
    <w:rsid w:val="1A6F3E95"/>
    <w:rsid w:val="1A6F6E85"/>
    <w:rsid w:val="1AD22ED2"/>
    <w:rsid w:val="1AD51B88"/>
    <w:rsid w:val="1B2058A0"/>
    <w:rsid w:val="1B566A66"/>
    <w:rsid w:val="1B8565CF"/>
    <w:rsid w:val="1B9104B0"/>
    <w:rsid w:val="1BAC363D"/>
    <w:rsid w:val="1BD60F79"/>
    <w:rsid w:val="1C0C60A0"/>
    <w:rsid w:val="1C41527E"/>
    <w:rsid w:val="1C49412F"/>
    <w:rsid w:val="1C4D3DCD"/>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8503D4"/>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7471CF"/>
    <w:rsid w:val="20950348"/>
    <w:rsid w:val="20981E88"/>
    <w:rsid w:val="20A06A24"/>
    <w:rsid w:val="20A10137"/>
    <w:rsid w:val="20B97750"/>
    <w:rsid w:val="20BD2343"/>
    <w:rsid w:val="20C125E5"/>
    <w:rsid w:val="20F77EBA"/>
    <w:rsid w:val="20FE0571"/>
    <w:rsid w:val="212F48FD"/>
    <w:rsid w:val="216135E4"/>
    <w:rsid w:val="21B23C30"/>
    <w:rsid w:val="21D5663A"/>
    <w:rsid w:val="220D5F91"/>
    <w:rsid w:val="220F017A"/>
    <w:rsid w:val="223D6488"/>
    <w:rsid w:val="224F423C"/>
    <w:rsid w:val="227710AB"/>
    <w:rsid w:val="229B4E78"/>
    <w:rsid w:val="22C77F82"/>
    <w:rsid w:val="22E50F21"/>
    <w:rsid w:val="22F562BD"/>
    <w:rsid w:val="231C3AC6"/>
    <w:rsid w:val="23261385"/>
    <w:rsid w:val="233970A1"/>
    <w:rsid w:val="2354755E"/>
    <w:rsid w:val="236D7442"/>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D966A6"/>
    <w:rsid w:val="25FE15DC"/>
    <w:rsid w:val="26806C09"/>
    <w:rsid w:val="26863962"/>
    <w:rsid w:val="26983FA4"/>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C30A0"/>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C52B69"/>
    <w:rsid w:val="2AE42B9F"/>
    <w:rsid w:val="2AFA4FF0"/>
    <w:rsid w:val="2AFF35D3"/>
    <w:rsid w:val="2B0A651F"/>
    <w:rsid w:val="2B132D50"/>
    <w:rsid w:val="2B6076B4"/>
    <w:rsid w:val="2B617D56"/>
    <w:rsid w:val="2B6E542D"/>
    <w:rsid w:val="2BEB27E3"/>
    <w:rsid w:val="2BEB2E9D"/>
    <w:rsid w:val="2BF61207"/>
    <w:rsid w:val="2C1713D1"/>
    <w:rsid w:val="2C2E6F83"/>
    <w:rsid w:val="2C4C6F81"/>
    <w:rsid w:val="2C620007"/>
    <w:rsid w:val="2C7A7F5E"/>
    <w:rsid w:val="2CD367CC"/>
    <w:rsid w:val="2CDD2B9E"/>
    <w:rsid w:val="2CF457B0"/>
    <w:rsid w:val="2D09394F"/>
    <w:rsid w:val="2D6345E9"/>
    <w:rsid w:val="2D7E4209"/>
    <w:rsid w:val="2D9B288E"/>
    <w:rsid w:val="2DA5449B"/>
    <w:rsid w:val="2DBD42B5"/>
    <w:rsid w:val="2DCB5DC1"/>
    <w:rsid w:val="2DCE5309"/>
    <w:rsid w:val="2DE2242A"/>
    <w:rsid w:val="2E4225F7"/>
    <w:rsid w:val="2E463849"/>
    <w:rsid w:val="2E5A5340"/>
    <w:rsid w:val="2E6E73D5"/>
    <w:rsid w:val="2E81141D"/>
    <w:rsid w:val="2E9A7ADA"/>
    <w:rsid w:val="2EC2396D"/>
    <w:rsid w:val="2F0A76AE"/>
    <w:rsid w:val="2F1B0798"/>
    <w:rsid w:val="2F4F0438"/>
    <w:rsid w:val="2F506BFB"/>
    <w:rsid w:val="2F7E2CC0"/>
    <w:rsid w:val="2F921764"/>
    <w:rsid w:val="2F98405A"/>
    <w:rsid w:val="2FD11EB8"/>
    <w:rsid w:val="2FDE5B8E"/>
    <w:rsid w:val="2FE1749B"/>
    <w:rsid w:val="303D5772"/>
    <w:rsid w:val="306E40F7"/>
    <w:rsid w:val="306F4499"/>
    <w:rsid w:val="30B15581"/>
    <w:rsid w:val="30B93848"/>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C3D97"/>
    <w:rsid w:val="3360351F"/>
    <w:rsid w:val="33620CB2"/>
    <w:rsid w:val="33B17CDB"/>
    <w:rsid w:val="33E04B57"/>
    <w:rsid w:val="33FA7456"/>
    <w:rsid w:val="34024883"/>
    <w:rsid w:val="342C6E98"/>
    <w:rsid w:val="344F7140"/>
    <w:rsid w:val="34755DB1"/>
    <w:rsid w:val="349E0FB2"/>
    <w:rsid w:val="34A96A1A"/>
    <w:rsid w:val="34B370D1"/>
    <w:rsid w:val="34CA52FD"/>
    <w:rsid w:val="34D51FF4"/>
    <w:rsid w:val="34E622D6"/>
    <w:rsid w:val="3518700F"/>
    <w:rsid w:val="352F2FF3"/>
    <w:rsid w:val="35375748"/>
    <w:rsid w:val="35486C73"/>
    <w:rsid w:val="359E09BB"/>
    <w:rsid w:val="361A4DE1"/>
    <w:rsid w:val="361F592F"/>
    <w:rsid w:val="362F79EA"/>
    <w:rsid w:val="36494A8D"/>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D058F"/>
    <w:rsid w:val="3A1E303B"/>
    <w:rsid w:val="3A1F74C9"/>
    <w:rsid w:val="3A2A1F54"/>
    <w:rsid w:val="3A2D40D1"/>
    <w:rsid w:val="3A314B02"/>
    <w:rsid w:val="3A5C2602"/>
    <w:rsid w:val="3A79657B"/>
    <w:rsid w:val="3A8B77C7"/>
    <w:rsid w:val="3A9A32EA"/>
    <w:rsid w:val="3AC1708C"/>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50FB5"/>
    <w:rsid w:val="3F982DCA"/>
    <w:rsid w:val="3FD12D26"/>
    <w:rsid w:val="3FDE4917"/>
    <w:rsid w:val="3FE2412F"/>
    <w:rsid w:val="402F3ADF"/>
    <w:rsid w:val="40306F5A"/>
    <w:rsid w:val="40476BB3"/>
    <w:rsid w:val="40546FB6"/>
    <w:rsid w:val="40554803"/>
    <w:rsid w:val="407A60D5"/>
    <w:rsid w:val="40961808"/>
    <w:rsid w:val="40AB4DEE"/>
    <w:rsid w:val="40D24BBE"/>
    <w:rsid w:val="40E64DC7"/>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91E30"/>
    <w:rsid w:val="42CC19F4"/>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171ED"/>
    <w:rsid w:val="44C45031"/>
    <w:rsid w:val="44D53AB2"/>
    <w:rsid w:val="44F27B0D"/>
    <w:rsid w:val="45485BDE"/>
    <w:rsid w:val="458571EC"/>
    <w:rsid w:val="45935492"/>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8C0B54"/>
    <w:rsid w:val="468E6A9E"/>
    <w:rsid w:val="46AE6970"/>
    <w:rsid w:val="46BC623F"/>
    <w:rsid w:val="46D855B9"/>
    <w:rsid w:val="470D2C74"/>
    <w:rsid w:val="477570F1"/>
    <w:rsid w:val="47AD33FA"/>
    <w:rsid w:val="47B41AAA"/>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60050C"/>
    <w:rsid w:val="4C736F36"/>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76298"/>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D187E"/>
    <w:rsid w:val="4FC56067"/>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C136D4"/>
    <w:rsid w:val="51D33F6D"/>
    <w:rsid w:val="51DB1448"/>
    <w:rsid w:val="52045DB4"/>
    <w:rsid w:val="522C275E"/>
    <w:rsid w:val="524C13A2"/>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57E5"/>
    <w:rsid w:val="54667BA2"/>
    <w:rsid w:val="547E7555"/>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5E41A8A"/>
    <w:rsid w:val="560A42BD"/>
    <w:rsid w:val="560C1D89"/>
    <w:rsid w:val="56353B20"/>
    <w:rsid w:val="56443B98"/>
    <w:rsid w:val="56453A77"/>
    <w:rsid w:val="56757259"/>
    <w:rsid w:val="568B7EB7"/>
    <w:rsid w:val="56AB14E9"/>
    <w:rsid w:val="56BC078F"/>
    <w:rsid w:val="56CB4BCB"/>
    <w:rsid w:val="56FB75FE"/>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76CA0"/>
    <w:rsid w:val="58BA45A1"/>
    <w:rsid w:val="594F6915"/>
    <w:rsid w:val="59737A65"/>
    <w:rsid w:val="59842DF4"/>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1203C7"/>
    <w:rsid w:val="5C1F35AE"/>
    <w:rsid w:val="5C3905BF"/>
    <w:rsid w:val="5C66397A"/>
    <w:rsid w:val="5C7349B6"/>
    <w:rsid w:val="5C824C05"/>
    <w:rsid w:val="5C8725EE"/>
    <w:rsid w:val="5CB0251A"/>
    <w:rsid w:val="5CB97030"/>
    <w:rsid w:val="5CC97332"/>
    <w:rsid w:val="5D187049"/>
    <w:rsid w:val="5D1D2427"/>
    <w:rsid w:val="5D306AB3"/>
    <w:rsid w:val="5D756277"/>
    <w:rsid w:val="5D955FBD"/>
    <w:rsid w:val="5DA62524"/>
    <w:rsid w:val="5DAC3919"/>
    <w:rsid w:val="5DB36259"/>
    <w:rsid w:val="5DBD33B2"/>
    <w:rsid w:val="5DC223CB"/>
    <w:rsid w:val="5DF66637"/>
    <w:rsid w:val="5DFF6858"/>
    <w:rsid w:val="5E0F2B0E"/>
    <w:rsid w:val="5E185132"/>
    <w:rsid w:val="5E2A0167"/>
    <w:rsid w:val="5E5D68E8"/>
    <w:rsid w:val="5E802A96"/>
    <w:rsid w:val="5E9074FF"/>
    <w:rsid w:val="5EAE1AF2"/>
    <w:rsid w:val="5EB62A77"/>
    <w:rsid w:val="5EB80355"/>
    <w:rsid w:val="5EBB2226"/>
    <w:rsid w:val="5EBE5F24"/>
    <w:rsid w:val="5EF07004"/>
    <w:rsid w:val="5F0C63C6"/>
    <w:rsid w:val="5F0E1E9A"/>
    <w:rsid w:val="5F860C23"/>
    <w:rsid w:val="5FC44411"/>
    <w:rsid w:val="5FE426E2"/>
    <w:rsid w:val="605C7AA6"/>
    <w:rsid w:val="605F132B"/>
    <w:rsid w:val="608510A4"/>
    <w:rsid w:val="608762FF"/>
    <w:rsid w:val="609E1C45"/>
    <w:rsid w:val="60BD4FD1"/>
    <w:rsid w:val="60D507D0"/>
    <w:rsid w:val="60EA1511"/>
    <w:rsid w:val="60EB6C34"/>
    <w:rsid w:val="60FD5C7B"/>
    <w:rsid w:val="613D7E7B"/>
    <w:rsid w:val="617162E9"/>
    <w:rsid w:val="61A52BAA"/>
    <w:rsid w:val="61FA0AE4"/>
    <w:rsid w:val="61FB0A0C"/>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75AD4"/>
    <w:rsid w:val="683870E8"/>
    <w:rsid w:val="68457681"/>
    <w:rsid w:val="684977D5"/>
    <w:rsid w:val="68552C50"/>
    <w:rsid w:val="685D34E7"/>
    <w:rsid w:val="68A8123A"/>
    <w:rsid w:val="68B84F4C"/>
    <w:rsid w:val="69055229"/>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3983"/>
    <w:rsid w:val="6E95768E"/>
    <w:rsid w:val="6EA14900"/>
    <w:rsid w:val="6EB27AA3"/>
    <w:rsid w:val="6EBD1CFE"/>
    <w:rsid w:val="6EF9461D"/>
    <w:rsid w:val="6F1348E9"/>
    <w:rsid w:val="6F2A01FE"/>
    <w:rsid w:val="6F2A71A4"/>
    <w:rsid w:val="6F9415EA"/>
    <w:rsid w:val="6FB72F84"/>
    <w:rsid w:val="6FCA5E7C"/>
    <w:rsid w:val="6FE3419F"/>
    <w:rsid w:val="6FF778F1"/>
    <w:rsid w:val="700346D4"/>
    <w:rsid w:val="700972F0"/>
    <w:rsid w:val="70287F2C"/>
    <w:rsid w:val="70AF69EB"/>
    <w:rsid w:val="70F97D93"/>
    <w:rsid w:val="71181113"/>
    <w:rsid w:val="711D7CA6"/>
    <w:rsid w:val="71227E63"/>
    <w:rsid w:val="714815F4"/>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D504C8"/>
    <w:rsid w:val="74F679F1"/>
    <w:rsid w:val="74F841F7"/>
    <w:rsid w:val="75003D28"/>
    <w:rsid w:val="750445F2"/>
    <w:rsid w:val="751D637E"/>
    <w:rsid w:val="751F2555"/>
    <w:rsid w:val="753504B8"/>
    <w:rsid w:val="75466A74"/>
    <w:rsid w:val="757F267E"/>
    <w:rsid w:val="758418D8"/>
    <w:rsid w:val="75A17528"/>
    <w:rsid w:val="75AA6AC3"/>
    <w:rsid w:val="75B749A9"/>
    <w:rsid w:val="75CB1443"/>
    <w:rsid w:val="75CD3F16"/>
    <w:rsid w:val="761A34DA"/>
    <w:rsid w:val="76781DCD"/>
    <w:rsid w:val="76D84698"/>
    <w:rsid w:val="775865D7"/>
    <w:rsid w:val="775A33B3"/>
    <w:rsid w:val="775B4584"/>
    <w:rsid w:val="776234AF"/>
    <w:rsid w:val="776D12AE"/>
    <w:rsid w:val="77895532"/>
    <w:rsid w:val="77AD0FE0"/>
    <w:rsid w:val="77BE7384"/>
    <w:rsid w:val="78821B50"/>
    <w:rsid w:val="788E2A2A"/>
    <w:rsid w:val="78C52EE0"/>
    <w:rsid w:val="78D23C9C"/>
    <w:rsid w:val="78E62157"/>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DDD18D5"/>
    <w:rsid w:val="7E644E79"/>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466AD"/>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basedOn w:val="28"/>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basedOn w:val="28"/>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basedOn w:val="28"/>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8">
    <w:name w:val="font21"/>
    <w:basedOn w:val="28"/>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34</TotalTime>
  <ScaleCrop>false</ScaleCrop>
  <LinksUpToDate>false</LinksUpToDate>
  <CharactersWithSpaces>29889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NTKO</cp:lastModifiedBy>
  <cp:lastPrinted>2019-09-01T07:55:00Z</cp:lastPrinted>
  <dcterms:modified xsi:type="dcterms:W3CDTF">2020-08-20T02:18:23Z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